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微软雅黑" w:hAnsi="微软雅黑" w:eastAsia="微软雅黑" w:cs="微软雅黑"/>
          <w:b/>
          <w:bCs/>
          <w:i w:val="0"/>
          <w:iCs w:val="0"/>
          <w:caps w:val="0"/>
          <w:color w:val="000000"/>
          <w:spacing w:val="0"/>
          <w:kern w:val="0"/>
          <w:sz w:val="27"/>
          <w:szCs w:val="27"/>
          <w:lang w:val="en-US" w:eastAsia="zh-CN" w:bidi="ar"/>
        </w:rPr>
        <w:t>中国邮政集团有限公司石河子市分公司2023年至2024年航空货物代理运输项目（二次）招标公告</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中国邮政集团有限公司石河子市分公司2023年至2024年航空货物代理</w:t>
      </w:r>
      <w:r>
        <w:rPr>
          <w:rFonts w:hint="eastAsia" w:ascii="微软雅黑" w:hAnsi="微软雅黑" w:eastAsia="微软雅黑" w:cs="微软雅黑"/>
          <w:i w:val="0"/>
          <w:iCs w:val="0"/>
          <w:caps w:val="0"/>
          <w:color w:val="FF0000"/>
          <w:spacing w:val="0"/>
          <w:sz w:val="27"/>
          <w:szCs w:val="27"/>
        </w:rPr>
        <w:t>运输</w:t>
      </w:r>
      <w:r>
        <w:rPr>
          <w:rFonts w:hint="eastAsia" w:ascii="微软雅黑" w:hAnsi="微软雅黑" w:eastAsia="微软雅黑" w:cs="微软雅黑"/>
          <w:i w:val="0"/>
          <w:iCs w:val="0"/>
          <w:caps w:val="0"/>
          <w:color w:val="000000"/>
          <w:spacing w:val="0"/>
          <w:sz w:val="27"/>
          <w:szCs w:val="27"/>
        </w:rPr>
        <w:t>项目（二次）</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招标公告</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新疆华域建设工程项目管理咨询有限公司（以下简称“招标代理”）受中国邮政集团有限公司石河子市分公司（以下简称“招标人”）委托，就中国邮政集团有限公司石河子市分公司2023年至2024年航空货物代理</w:t>
      </w:r>
      <w:r>
        <w:rPr>
          <w:rFonts w:hint="eastAsia" w:ascii="微软雅黑" w:hAnsi="微软雅黑" w:eastAsia="微软雅黑" w:cs="微软雅黑"/>
          <w:i w:val="0"/>
          <w:iCs w:val="0"/>
          <w:caps w:val="0"/>
          <w:color w:val="FF0000"/>
          <w:spacing w:val="0"/>
          <w:sz w:val="27"/>
          <w:szCs w:val="27"/>
        </w:rPr>
        <w:t>运输</w:t>
      </w:r>
      <w:r>
        <w:rPr>
          <w:rFonts w:hint="eastAsia" w:ascii="微软雅黑" w:hAnsi="微软雅黑" w:eastAsia="微软雅黑" w:cs="微软雅黑"/>
          <w:i w:val="0"/>
          <w:iCs w:val="0"/>
          <w:caps w:val="0"/>
          <w:color w:val="000000"/>
          <w:spacing w:val="0"/>
          <w:sz w:val="27"/>
          <w:szCs w:val="27"/>
        </w:rPr>
        <w:t>项目项下的服务进行国内公开招标。现邀请合格的投标人前来投标。</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1.项目名称：中国邮政集团有限公司石河子市分公司2023年至2024年航空货物代理</w:t>
      </w:r>
      <w:r>
        <w:rPr>
          <w:rFonts w:hint="eastAsia" w:ascii="微软雅黑" w:hAnsi="微软雅黑" w:eastAsia="微软雅黑" w:cs="微软雅黑"/>
          <w:i w:val="0"/>
          <w:iCs w:val="0"/>
          <w:caps w:val="0"/>
          <w:color w:val="FF0000"/>
          <w:spacing w:val="0"/>
          <w:sz w:val="27"/>
          <w:szCs w:val="27"/>
        </w:rPr>
        <w:t>运输</w:t>
      </w:r>
      <w:r>
        <w:rPr>
          <w:rFonts w:hint="eastAsia" w:ascii="微软雅黑" w:hAnsi="微软雅黑" w:eastAsia="微软雅黑" w:cs="微软雅黑"/>
          <w:i w:val="0"/>
          <w:iCs w:val="0"/>
          <w:caps w:val="0"/>
          <w:color w:val="000000"/>
          <w:spacing w:val="0"/>
          <w:sz w:val="27"/>
          <w:szCs w:val="27"/>
        </w:rPr>
        <w:t>项目</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2.招标编号：XJHYG2023-27</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3.项目概述：对成都方向（云、贵、川、藏）、上海方向（江、浙、沪、皖）两个重点路向可以实现航空货物代理</w:t>
      </w:r>
      <w:r>
        <w:rPr>
          <w:rFonts w:hint="eastAsia" w:ascii="微软雅黑" w:hAnsi="微软雅黑" w:eastAsia="微软雅黑" w:cs="微软雅黑"/>
          <w:i w:val="0"/>
          <w:iCs w:val="0"/>
          <w:caps w:val="0"/>
          <w:color w:val="FF0000"/>
          <w:spacing w:val="0"/>
          <w:sz w:val="27"/>
          <w:szCs w:val="27"/>
        </w:rPr>
        <w:t>运输</w:t>
      </w:r>
      <w:r>
        <w:rPr>
          <w:rFonts w:hint="eastAsia" w:ascii="微软雅黑" w:hAnsi="微软雅黑" w:eastAsia="微软雅黑" w:cs="微软雅黑"/>
          <w:i w:val="0"/>
          <w:iCs w:val="0"/>
          <w:caps w:val="0"/>
          <w:color w:val="000000"/>
          <w:spacing w:val="0"/>
          <w:sz w:val="27"/>
          <w:szCs w:val="27"/>
        </w:rPr>
        <w:t>业务。</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4.招标内容：航空货物代理</w:t>
      </w:r>
      <w:r>
        <w:rPr>
          <w:rFonts w:hint="eastAsia" w:ascii="微软雅黑" w:hAnsi="微软雅黑" w:eastAsia="微软雅黑" w:cs="微软雅黑"/>
          <w:i w:val="0"/>
          <w:iCs w:val="0"/>
          <w:caps w:val="0"/>
          <w:color w:val="FF0000"/>
          <w:spacing w:val="0"/>
          <w:sz w:val="27"/>
          <w:szCs w:val="27"/>
        </w:rPr>
        <w:t>运输</w:t>
      </w:r>
      <w:r>
        <w:rPr>
          <w:rFonts w:hint="eastAsia" w:ascii="微软雅黑" w:hAnsi="微软雅黑" w:eastAsia="微软雅黑" w:cs="微软雅黑"/>
          <w:i w:val="0"/>
          <w:iCs w:val="0"/>
          <w:caps w:val="0"/>
          <w:color w:val="000000"/>
          <w:spacing w:val="0"/>
          <w:sz w:val="27"/>
          <w:szCs w:val="27"/>
        </w:rPr>
        <w:t>：石河子至成都、石河子至上海两条航线 </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5.采购预算：</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邮件</w:t>
      </w:r>
      <w:r>
        <w:rPr>
          <w:rFonts w:hint="eastAsia" w:ascii="微软雅黑" w:hAnsi="微软雅黑" w:eastAsia="微软雅黑" w:cs="微软雅黑"/>
          <w:i w:val="0"/>
          <w:iCs w:val="0"/>
          <w:caps w:val="0"/>
          <w:color w:val="FF0000"/>
          <w:spacing w:val="0"/>
          <w:sz w:val="27"/>
          <w:szCs w:val="27"/>
        </w:rPr>
        <w:t>运输</w:t>
      </w:r>
      <w:r>
        <w:rPr>
          <w:rFonts w:hint="eastAsia" w:ascii="微软雅黑" w:hAnsi="微软雅黑" w:eastAsia="微软雅黑" w:cs="微软雅黑"/>
          <w:i w:val="0"/>
          <w:iCs w:val="0"/>
          <w:caps w:val="0"/>
          <w:color w:val="000000"/>
          <w:spacing w:val="0"/>
          <w:sz w:val="27"/>
          <w:szCs w:val="27"/>
        </w:rPr>
        <w:t>费用限价表</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单位：元</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6"/>
        <w:gridCol w:w="696"/>
        <w:gridCol w:w="780"/>
        <w:gridCol w:w="824"/>
        <w:gridCol w:w="651"/>
        <w:gridCol w:w="679"/>
        <w:gridCol w:w="605"/>
        <w:gridCol w:w="740"/>
        <w:gridCol w:w="1042"/>
        <w:gridCol w:w="1042"/>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始发地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目极地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航班号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班期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接货</w:t>
            </w:r>
          </w:p>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5公斤</w:t>
            </w:r>
          </w:p>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以内</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6-45</w:t>
            </w:r>
          </w:p>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公斤</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45-100</w:t>
            </w:r>
          </w:p>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公斤</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100公斤以上</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300公斤以上</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石河子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成都</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CA2510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1357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16:00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85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13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3.25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3.15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rPr>
                <w:rFonts w:hint="eastAsia" w:ascii="微软雅黑" w:hAnsi="微软雅黑" w:eastAsia="微软雅黑" w:cs="微软雅黑"/>
                <w:caps w:val="0"/>
                <w:spacing w:val="0"/>
                <w:sz w:val="14"/>
                <w:szCs w:val="14"/>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上海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9C6452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1234567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13:10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85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13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3.25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3.15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pPr>
              <w:pStyle w:val="2"/>
              <w:keepNext w:val="0"/>
              <w:keepLines w:val="0"/>
              <w:widowControl/>
              <w:suppressLineNumbers w:val="0"/>
              <w:wordWrap w:val="0"/>
              <w:spacing w:line="200" w:lineRule="atLeast"/>
            </w:pPr>
            <w:r>
              <w:rPr>
                <w:rFonts w:hint="eastAsia" w:ascii="微软雅黑" w:hAnsi="微软雅黑" w:eastAsia="微软雅黑" w:cs="微软雅黑"/>
                <w:caps w:val="0"/>
                <w:spacing w:val="0"/>
                <w:sz w:val="14"/>
                <w:szCs w:val="14"/>
                <w:bdr w:val="none" w:color="auto" w:sz="0" w:space="0"/>
              </w:rPr>
              <w:t>　　110.4</w:t>
            </w:r>
          </w:p>
        </w:tc>
      </w:tr>
    </w:tbl>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注：1）以上航班均为直达航班，可保障当日到达，每班货量可确保2吨左右。</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2）以上运价为送货上门运价。</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3）限价表费用为港到港全含运价（包括搬运费、航运费、代理费和增值税发票）。</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4）本项目最高投标限价为44万元，投标人报价如高于最高投标限价，其投标将被否决。</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6.投标人资格条件：</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（1）投标人应在中华人民共和国境内注册，具有独立法人资格，能够独立承担民事责任，具有有效的营业执照；</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（2）投标人应具备承担本项目的能力、良好的商业信誉和健全的财务会计制度，并在场地、人员、设备、资金等方面具有相应的能力；</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（3）投标人须为航空货物</w:t>
      </w:r>
      <w:r>
        <w:rPr>
          <w:rFonts w:hint="eastAsia" w:ascii="微软雅黑" w:hAnsi="微软雅黑" w:eastAsia="微软雅黑" w:cs="微软雅黑"/>
          <w:i w:val="0"/>
          <w:iCs w:val="0"/>
          <w:caps w:val="0"/>
          <w:color w:val="FF0000"/>
          <w:spacing w:val="0"/>
          <w:sz w:val="27"/>
          <w:szCs w:val="27"/>
        </w:rPr>
        <w:t>运输</w:t>
      </w:r>
      <w:r>
        <w:rPr>
          <w:rFonts w:hint="eastAsia" w:ascii="微软雅黑" w:hAnsi="微软雅黑" w:eastAsia="微软雅黑" w:cs="微软雅黑"/>
          <w:i w:val="0"/>
          <w:iCs w:val="0"/>
          <w:caps w:val="0"/>
          <w:color w:val="000000"/>
          <w:spacing w:val="0"/>
          <w:sz w:val="27"/>
          <w:szCs w:val="27"/>
        </w:rPr>
        <w:t>代理公司，代理人业务须包含航空</w:t>
      </w:r>
      <w:r>
        <w:rPr>
          <w:rFonts w:hint="eastAsia" w:ascii="微软雅黑" w:hAnsi="微软雅黑" w:eastAsia="微软雅黑" w:cs="微软雅黑"/>
          <w:i w:val="0"/>
          <w:iCs w:val="0"/>
          <w:caps w:val="0"/>
          <w:color w:val="FF0000"/>
          <w:spacing w:val="0"/>
          <w:sz w:val="27"/>
          <w:szCs w:val="27"/>
        </w:rPr>
        <w:t>快递</w:t>
      </w:r>
      <w:r>
        <w:rPr>
          <w:rFonts w:hint="eastAsia" w:ascii="微软雅黑" w:hAnsi="微软雅黑" w:eastAsia="微软雅黑" w:cs="微软雅黑"/>
          <w:i w:val="0"/>
          <w:iCs w:val="0"/>
          <w:caps w:val="0"/>
          <w:color w:val="000000"/>
          <w:spacing w:val="0"/>
          <w:sz w:val="27"/>
          <w:szCs w:val="27"/>
        </w:rPr>
        <w:t>的相关内容，且与航空公司签订的合同条款中运送货物的范围包含货邮或邮件（提供合同复印件加盖投标人公章）。</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4）投标人未被“信用中国”网站（www.creditchina.gov.cn）、“中国政府采购网”网站(www.ccgp.gov.cn)、“中国执行信息公开网”网站（zxgk.court.gov.cn）列入失信被执行人、重大税收违法案件当事人名单、政府采购严重失信行为记录名单；</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5）投标人的法定代表人、控股股东或实际控制人与中国邮政集团高管及使用需求部门、采购部门关键岗位人员无夫妻、直系血亲、三代以内旁系血亲或者近姻亲关系，且未与中国邮政集团产生经济纠纷，未被中国邮政集团列入采购禁入名单；</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6）投标人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7）其他说明:1）被责令停业的；2）被暂停或取消投标资格的；3）财产被接管或冻结的；4）与招标人存在利害关系可能影响招标公正性的法人、其他组织或者个人，不得参加投标；5）单位负责人为同一人或者存在控股、管理关系的不同单位，不得参加同一标段投标或者未划分标段的同一招标项目投标。违反上述规定的，相关投标均无效；</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（8）本项目不接受联合体投标；</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注：投标人须按照“第四章 投标文件格式”的要求提供上述资格要求的有效证明材料，否则，其投标将被否决。</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7.招标文件的获取方式：</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（一）办理CA证书</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登录“中国邮政电子采购与供应平台”（网址：https://cg.11185.cn）办理CA证书等。</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-898-8881 (周一～周五9:00-17:00）。</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（二）获取招标文件</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获取文件流程：进入平台—注册并办理CA—（审批通过）—选择参加投标的项目—购买招标文件—填写并上传订单信息（支付凭证）—（审批通过）—下载招标文件（具体参照平台页面右下角“投标人操作指南”）。</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凡有意参加投标者，请于2023年8月18日至2023年8月24日，每日上午10时至13时，下午16时至19时（北京时间，下同），在中国邮政电子采购与供应平台（网址: https://cg.11185.cn）获取招标文件。投标人报名需上传:企业法人营业执照副本、法定代表人授权委托书、信用中国(失信被执行人及重大税收违法失信主体名单网页查询截图)、中国政府采购网（政府采购严重违法失信行为记录名单网页查询截图），以上所有资料彩印件逐页加盖公章后扫描为PDF格式文件上传。邮购招标文件的，需另加手续费（含邮费）100元。招标人在收到邮购款（含手续费）后2日内寄送。投标人应将获取文件时的支付凭证同步上传至“中国邮政电子采购与供应平台”对应的报名项目中，经审核后即可下载招标文件。</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注：投标人须在“中国邮政电子采购与供应平台”（网址：https://cg.11185.cn）完成“下载招标文件”的操作。</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8.投标文件的递交：</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递交平台、递交时间及签到：线上电子版与纸质版投标文件递交的截止时间均为2023年9月7日上午11:00（北京时间），投标人应在截止时间前通过“中国邮政电子采购与供应平台”（网址：https://cg.11185.cn）递交加密的线上电子版投标文件，并在2023年9月7日上午10:00-11:00（北京时间）现场完成纸质版投标文件和线上电子版投标文件“签到”流程。请投标人准备签到、解密所需CA、电脑等必备设备。</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递交及解密地点：石河子开发区北三路石河子大学科技园果蔬大厦B座613室。投标人须派代表当面递交纸质版投标文件，并且通过制作线上电子版投标文件的电脑解密线上电子版投标文件，保证网络畅通、运行环境良好、介质完好等。逾期递交的纸质版和线上电子版投标文件以及不符合规定的纸质版和线上电子版投标文件将被拒绝。</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3）线上电子版投标文件加密、解密：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开标时，尽快使用CA证书完成线上电子版投标文件的解密。</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4）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注：1）线上电子版投标文件指：按招标文件要求通过《中国邮政投标管家》工具编制、加密、上传至“中国邮政电子采购与供应平台”（网址：https://cg.11185.cn）的电子版投标文件；2）纸质版投标文件指：按招标文件要求制作的纸质打印版投标文件；3）投标人须派代表当面递交纸质版投标文件。招标人不接受以邮寄、传真、电子邮件等方式递交的投标文件。逾期或不符合规定的投标文件恕不接受。</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9.开标：</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（1）开标形式：本项目采用在“中国邮政电子采购与供应平台”（网址：https://cg.11185.cn）线上解密开标。</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（2）开标时间：2023年9月7日上午11:00（北京时间）。线上电子版投标文件现场解密截止时间为：2023年9月7日上午11:00（北京时间）。投标人须自行考虑互联网网络及运行环境不畅、介质损坏等因素造成的风险。</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（3）投标文件递交及开标地点：新疆华域建设工程项目管理咨询有限公司石河子分公司(石河子大学科技园果蔬大厦B座613室） 。</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10.发布公告的媒体：本次招标公告同时在中国邮政集团有限公司官网、中国邮政电子采购与供应平台、中国政府采购网发布。 </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11.联系方式：</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采 购 人：中国邮政集团有限公司石河子市分公司</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详细地址：石河子 </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邮    编：832000</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联 系 人：郭照侠</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电    话：18997887696</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代理机构：新疆华域建设工程项目管理咨询有限公司</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详细地址：石河子开发区北三路石河子大学科技园</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邮    编：832000</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项目联系人：赵晨紫</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电    话：19809930060</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12.账户信息：</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户名：新疆华域建设工程项目管理咨询有限公司石河子分公司</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开户银行：中国建设银行股份有限公司石河子市分行六建支行</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账    号：6505 0163 8658 0000 0156</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电子邮件：15089385@qq.com</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NGM3ZGVkNmMwMTdlNGRhZTdiOWJmOWQ4YzhlOWYifQ=="/>
  </w:docVars>
  <w:rsids>
    <w:rsidRoot w:val="042420BC"/>
    <w:rsid w:val="04242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2023-08-17T03:40:00Z</dcterms:created>
  <dc:creator>暮悲</dc:creator>
  <cp:lastModifiedBy>暮悲</cp:lastModifiedBy>
  <dcterms:modified xsi:type="dcterms:W3CDTF">2023-08-17T03:42:53Z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D7C454C86C9B444694044238A48E7E5B_11</vt:lpwstr>
  </property>
</Properties>
</file>