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Arial"/>
          <w:b/>
          <w:kern w:val="0"/>
          <w:sz w:val="20"/>
          <w:szCs w:val="18"/>
        </w:rPr>
      </w:pPr>
      <w:bookmarkStart w:id="3" w:name="_GoBack"/>
      <w:r>
        <w:rPr>
          <w:rFonts w:hint="eastAsia" w:ascii="微软雅黑" w:hAnsi="微软雅黑" w:eastAsia="微软雅黑" w:cs="Arial"/>
          <w:b/>
          <w:kern w:val="0"/>
          <w:sz w:val="20"/>
          <w:szCs w:val="18"/>
        </w:rPr>
        <w:t>京东物流20</w:t>
      </w:r>
      <w:r>
        <w:rPr>
          <w:rFonts w:ascii="微软雅黑" w:hAnsi="微软雅黑" w:eastAsia="微软雅黑" w:cs="Arial"/>
          <w:b/>
          <w:kern w:val="0"/>
          <w:sz w:val="20"/>
          <w:szCs w:val="18"/>
        </w:rPr>
        <w:t>24</w:t>
      </w:r>
      <w:r>
        <w:rPr>
          <w:rFonts w:hint="eastAsia" w:ascii="微软雅黑" w:hAnsi="微软雅黑" w:eastAsia="微软雅黑" w:cs="Arial"/>
          <w:b/>
          <w:kern w:val="0"/>
          <w:sz w:val="20"/>
          <w:szCs w:val="18"/>
        </w:rPr>
        <w:t>年浙闽区【杭州卓家严选冷链城配】运输业务招标书</w:t>
      </w:r>
    </w:p>
    <w:bookmarkEnd w:id="3"/>
    <w:p>
      <w:pPr>
        <w:widowControl/>
        <w:adjustRightInd w:val="0"/>
        <w:snapToGrid w:val="0"/>
        <w:jc w:val="center"/>
        <w:rPr>
          <w:rFonts w:ascii="微软雅黑" w:hAnsi="微软雅黑" w:eastAsia="微软雅黑" w:cs="Arial"/>
          <w:b/>
          <w:color w:val="FF0000"/>
          <w:kern w:val="0"/>
          <w:sz w:val="18"/>
          <w:szCs w:val="18"/>
        </w:rPr>
      </w:pPr>
      <w:r>
        <w:rPr>
          <w:rFonts w:hint="eastAsia" w:ascii="微软雅黑" w:hAnsi="微软雅黑" w:eastAsia="微软雅黑" w:cs="Arial"/>
          <w:b/>
          <w:color w:val="FF0000"/>
          <w:kern w:val="0"/>
          <w:sz w:val="18"/>
          <w:szCs w:val="18"/>
        </w:rPr>
        <w:t>（请仔细阅读标书内容后参与招标报名）</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招标编号：</w:t>
      </w:r>
      <w:r>
        <w:rPr>
          <w:rFonts w:hint="eastAsia" w:ascii="微软雅黑" w:hAnsi="微软雅黑" w:eastAsia="微软雅黑" w:cs="Arial"/>
          <w:b/>
          <w:kern w:val="0"/>
          <w:sz w:val="18"/>
          <w:szCs w:val="18"/>
          <w:highlight w:val="yellow"/>
        </w:rPr>
        <w:t>【2024YSZC-ZM-04-XM-30】</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报名截止时间：</w:t>
      </w:r>
      <w:r>
        <w:rPr>
          <w:rFonts w:hint="eastAsia" w:ascii="微软雅黑" w:hAnsi="微软雅黑" w:eastAsia="微软雅黑" w:cs="Arial"/>
          <w:b/>
          <w:kern w:val="0"/>
          <w:sz w:val="18"/>
          <w:szCs w:val="18"/>
          <w:highlight w:val="yellow"/>
        </w:rPr>
        <w:t>【</w:t>
      </w:r>
      <w:r>
        <w:rPr>
          <w:rFonts w:ascii="微软雅黑" w:hAnsi="微软雅黑" w:eastAsia="微软雅黑" w:cs="Arial"/>
          <w:b/>
          <w:kern w:val="0"/>
          <w:sz w:val="18"/>
          <w:szCs w:val="18"/>
          <w:highlight w:val="yellow"/>
        </w:rPr>
        <w:t>2024</w:t>
      </w:r>
      <w:r>
        <w:rPr>
          <w:rFonts w:hint="eastAsia" w:ascii="微软雅黑" w:hAnsi="微软雅黑" w:eastAsia="微软雅黑" w:cs="Arial"/>
          <w:b/>
          <w:kern w:val="0"/>
          <w:sz w:val="18"/>
          <w:szCs w:val="18"/>
          <w:highlight w:val="yellow"/>
        </w:rPr>
        <w:t>年</w:t>
      </w:r>
      <w:r>
        <w:rPr>
          <w:rFonts w:ascii="微软雅黑" w:hAnsi="微软雅黑" w:eastAsia="微软雅黑" w:cs="Arial"/>
          <w:b/>
          <w:kern w:val="0"/>
          <w:sz w:val="18"/>
          <w:szCs w:val="18"/>
          <w:highlight w:val="yellow"/>
        </w:rPr>
        <w:t>4</w:t>
      </w:r>
      <w:r>
        <w:rPr>
          <w:rFonts w:hint="eastAsia" w:ascii="微软雅黑" w:hAnsi="微软雅黑" w:eastAsia="微软雅黑" w:cs="Arial"/>
          <w:b/>
          <w:kern w:val="0"/>
          <w:sz w:val="18"/>
          <w:szCs w:val="18"/>
          <w:highlight w:val="yellow"/>
        </w:rPr>
        <w:t>月</w:t>
      </w:r>
      <w:r>
        <w:rPr>
          <w:rFonts w:ascii="微软雅黑" w:hAnsi="微软雅黑" w:eastAsia="微软雅黑" w:cs="Arial"/>
          <w:b/>
          <w:kern w:val="0"/>
          <w:sz w:val="18"/>
          <w:szCs w:val="18"/>
          <w:highlight w:val="yellow"/>
        </w:rPr>
        <w:t>28</w:t>
      </w:r>
      <w:r>
        <w:rPr>
          <w:rFonts w:hint="eastAsia" w:ascii="微软雅黑" w:hAnsi="微软雅黑" w:eastAsia="微软雅黑" w:cs="Arial"/>
          <w:b/>
          <w:kern w:val="0"/>
          <w:sz w:val="18"/>
          <w:szCs w:val="18"/>
          <w:highlight w:val="yellow"/>
        </w:rPr>
        <w:t>日</w:t>
      </w:r>
      <w:r>
        <w:rPr>
          <w:rFonts w:ascii="微软雅黑" w:hAnsi="微软雅黑" w:eastAsia="微软雅黑" w:cs="Arial"/>
          <w:b/>
          <w:kern w:val="0"/>
          <w:sz w:val="18"/>
          <w:szCs w:val="18"/>
          <w:highlight w:val="yellow"/>
        </w:rPr>
        <w:t>10:00</w:t>
      </w:r>
      <w:r>
        <w:rPr>
          <w:rFonts w:hint="eastAsia" w:ascii="微软雅黑" w:hAnsi="微软雅黑" w:eastAsia="微软雅黑" w:cs="Arial"/>
          <w:b/>
          <w:kern w:val="0"/>
          <w:sz w:val="18"/>
          <w:szCs w:val="18"/>
          <w:highlight w:val="yellow"/>
        </w:rPr>
        <w:t>】</w:t>
      </w:r>
      <w:r>
        <w:rPr>
          <w:rFonts w:hint="eastAsia" w:ascii="微软雅黑" w:hAnsi="微软雅黑" w:eastAsia="微软雅黑" w:cs="Arial"/>
          <w:b/>
          <w:color w:val="FF0000"/>
          <w:kern w:val="0"/>
          <w:sz w:val="18"/>
          <w:szCs w:val="18"/>
        </w:rPr>
        <w:t>（报名完成后即可线上报价）</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color w:val="FF0000"/>
          <w:kern w:val="0"/>
          <w:sz w:val="18"/>
          <w:szCs w:val="18"/>
        </w:rPr>
        <w:t>招标答疑时间：</w:t>
      </w:r>
      <w:r>
        <w:rPr>
          <w:rFonts w:hint="eastAsia" w:ascii="微软雅黑" w:hAnsi="微软雅黑" w:eastAsia="微软雅黑" w:cs="Arial"/>
          <w:b/>
          <w:kern w:val="0"/>
          <w:sz w:val="18"/>
          <w:szCs w:val="18"/>
          <w:highlight w:val="yellow"/>
        </w:rPr>
        <w:t>【</w:t>
      </w:r>
      <w:r>
        <w:rPr>
          <w:rFonts w:ascii="微软雅黑" w:hAnsi="微软雅黑" w:eastAsia="微软雅黑" w:cs="Arial"/>
          <w:b/>
          <w:kern w:val="0"/>
          <w:sz w:val="18"/>
          <w:szCs w:val="18"/>
          <w:highlight w:val="yellow"/>
        </w:rPr>
        <w:t>2023</w:t>
      </w:r>
      <w:r>
        <w:rPr>
          <w:rFonts w:hint="eastAsia" w:ascii="微软雅黑" w:hAnsi="微软雅黑" w:eastAsia="微软雅黑" w:cs="Arial"/>
          <w:b/>
          <w:kern w:val="0"/>
          <w:sz w:val="18"/>
          <w:szCs w:val="18"/>
          <w:highlight w:val="yellow"/>
        </w:rPr>
        <w:t>年</w:t>
      </w:r>
      <w:r>
        <w:rPr>
          <w:rFonts w:ascii="微软雅黑" w:hAnsi="微软雅黑" w:eastAsia="微软雅黑" w:cs="Arial"/>
          <w:b/>
          <w:kern w:val="0"/>
          <w:sz w:val="18"/>
          <w:szCs w:val="18"/>
          <w:highlight w:val="yellow"/>
        </w:rPr>
        <w:t>4月28</w:t>
      </w:r>
      <w:r>
        <w:rPr>
          <w:rFonts w:hint="eastAsia" w:ascii="微软雅黑" w:hAnsi="微软雅黑" w:eastAsia="微软雅黑" w:cs="Arial"/>
          <w:b/>
          <w:kern w:val="0"/>
          <w:sz w:val="18"/>
          <w:szCs w:val="18"/>
          <w:highlight w:val="yellow"/>
        </w:rPr>
        <w:t>日</w:t>
      </w:r>
      <w:r>
        <w:rPr>
          <w:rFonts w:ascii="微软雅黑" w:hAnsi="微软雅黑" w:eastAsia="微软雅黑" w:cs="Arial"/>
          <w:b/>
          <w:kern w:val="0"/>
          <w:sz w:val="18"/>
          <w:szCs w:val="18"/>
          <w:highlight w:val="yellow"/>
        </w:rPr>
        <w:t>11:00】</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报价</w:t>
      </w:r>
      <w:r>
        <w:rPr>
          <w:rFonts w:ascii="微软雅黑" w:hAnsi="微软雅黑" w:eastAsia="微软雅黑" w:cs="Arial"/>
          <w:b/>
          <w:kern w:val="0"/>
          <w:sz w:val="18"/>
          <w:szCs w:val="18"/>
        </w:rPr>
        <w:t>截止时间：</w:t>
      </w:r>
      <w:r>
        <w:rPr>
          <w:rFonts w:hint="eastAsia" w:ascii="微软雅黑" w:hAnsi="微软雅黑" w:eastAsia="微软雅黑" w:cs="Arial"/>
          <w:b/>
          <w:kern w:val="0"/>
          <w:sz w:val="18"/>
          <w:szCs w:val="18"/>
          <w:highlight w:val="yellow"/>
        </w:rPr>
        <w:t>【</w:t>
      </w:r>
      <w:r>
        <w:rPr>
          <w:rFonts w:ascii="微软雅黑" w:hAnsi="微软雅黑" w:eastAsia="微软雅黑" w:cs="Arial"/>
          <w:b/>
          <w:kern w:val="0"/>
          <w:sz w:val="18"/>
          <w:szCs w:val="18"/>
          <w:highlight w:val="yellow"/>
        </w:rPr>
        <w:t>2023</w:t>
      </w:r>
      <w:r>
        <w:rPr>
          <w:rFonts w:hint="eastAsia" w:ascii="微软雅黑" w:hAnsi="微软雅黑" w:eastAsia="微软雅黑" w:cs="Arial"/>
          <w:b/>
          <w:kern w:val="0"/>
          <w:sz w:val="18"/>
          <w:szCs w:val="18"/>
          <w:highlight w:val="yellow"/>
        </w:rPr>
        <w:t>年</w:t>
      </w:r>
      <w:r>
        <w:rPr>
          <w:rFonts w:ascii="微软雅黑" w:hAnsi="微软雅黑" w:eastAsia="微软雅黑" w:cs="Arial"/>
          <w:b/>
          <w:kern w:val="0"/>
          <w:sz w:val="18"/>
          <w:szCs w:val="18"/>
          <w:highlight w:val="yellow"/>
        </w:rPr>
        <w:t>4月28</w:t>
      </w:r>
      <w:r>
        <w:rPr>
          <w:rFonts w:hint="eastAsia" w:ascii="微软雅黑" w:hAnsi="微软雅黑" w:eastAsia="微软雅黑" w:cs="Arial"/>
          <w:b/>
          <w:kern w:val="0"/>
          <w:sz w:val="18"/>
          <w:szCs w:val="18"/>
          <w:highlight w:val="yellow"/>
        </w:rPr>
        <w:t>日</w:t>
      </w:r>
      <w:r>
        <w:rPr>
          <w:rFonts w:ascii="微软雅黑" w:hAnsi="微软雅黑" w:eastAsia="微软雅黑" w:cs="Arial"/>
          <w:b/>
          <w:kern w:val="0"/>
          <w:sz w:val="18"/>
          <w:szCs w:val="18"/>
          <w:highlight w:val="yellow"/>
        </w:rPr>
        <w:t>16:00</w:t>
      </w:r>
      <w:r>
        <w:rPr>
          <w:rFonts w:hint="eastAsia" w:ascii="微软雅黑" w:hAnsi="微软雅黑" w:eastAsia="微软雅黑" w:cs="Arial"/>
          <w:b/>
          <w:kern w:val="0"/>
          <w:sz w:val="18"/>
          <w:szCs w:val="18"/>
          <w:highlight w:val="yellow"/>
        </w:rPr>
        <w:t>】</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技术标评审截止时间：</w:t>
      </w:r>
      <w:r>
        <w:rPr>
          <w:rFonts w:hint="eastAsia" w:ascii="微软雅黑" w:hAnsi="微软雅黑" w:eastAsia="微软雅黑" w:cs="Arial"/>
          <w:b/>
          <w:kern w:val="0"/>
          <w:sz w:val="18"/>
          <w:szCs w:val="18"/>
          <w:highlight w:val="yellow"/>
        </w:rPr>
        <w:t>【</w:t>
      </w:r>
      <w:r>
        <w:rPr>
          <w:rFonts w:ascii="微软雅黑" w:hAnsi="微软雅黑" w:eastAsia="微软雅黑" w:cs="Arial"/>
          <w:b/>
          <w:kern w:val="0"/>
          <w:sz w:val="18"/>
          <w:szCs w:val="18"/>
          <w:highlight w:val="yellow"/>
        </w:rPr>
        <w:t>2023</w:t>
      </w:r>
      <w:r>
        <w:rPr>
          <w:rFonts w:hint="eastAsia" w:ascii="微软雅黑" w:hAnsi="微软雅黑" w:eastAsia="微软雅黑" w:cs="Arial"/>
          <w:b/>
          <w:kern w:val="0"/>
          <w:sz w:val="18"/>
          <w:szCs w:val="18"/>
          <w:highlight w:val="yellow"/>
        </w:rPr>
        <w:t>年</w:t>
      </w:r>
      <w:r>
        <w:rPr>
          <w:rFonts w:ascii="微软雅黑" w:hAnsi="微软雅黑" w:eastAsia="微软雅黑" w:cs="Arial"/>
          <w:b/>
          <w:kern w:val="0"/>
          <w:sz w:val="18"/>
          <w:szCs w:val="18"/>
          <w:highlight w:val="yellow"/>
        </w:rPr>
        <w:t>4月28</w:t>
      </w:r>
      <w:r>
        <w:rPr>
          <w:rFonts w:hint="eastAsia" w:ascii="微软雅黑" w:hAnsi="微软雅黑" w:eastAsia="微软雅黑" w:cs="Arial"/>
          <w:b/>
          <w:kern w:val="0"/>
          <w:sz w:val="18"/>
          <w:szCs w:val="18"/>
          <w:highlight w:val="yellow"/>
        </w:rPr>
        <w:t>日</w:t>
      </w:r>
      <w:r>
        <w:rPr>
          <w:rFonts w:ascii="微软雅黑" w:hAnsi="微软雅黑" w:eastAsia="微软雅黑" w:cs="Arial"/>
          <w:b/>
          <w:kern w:val="0"/>
          <w:sz w:val="18"/>
          <w:szCs w:val="18"/>
          <w:highlight w:val="yellow"/>
        </w:rPr>
        <w:t>17:00</w:t>
      </w:r>
      <w:r>
        <w:rPr>
          <w:rFonts w:hint="eastAsia" w:ascii="微软雅黑" w:hAnsi="微软雅黑" w:eastAsia="微软雅黑" w:cs="Arial"/>
          <w:b/>
          <w:kern w:val="0"/>
          <w:sz w:val="18"/>
          <w:szCs w:val="18"/>
          <w:highlight w:val="yellow"/>
        </w:rPr>
        <w:t>】</w:t>
      </w:r>
    </w:p>
    <w:p>
      <w:pPr>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系统议价截止时间：</w:t>
      </w:r>
      <w:r>
        <w:rPr>
          <w:rFonts w:hint="eastAsia" w:ascii="微软雅黑" w:hAnsi="微软雅黑" w:eastAsia="微软雅黑" w:cs="Arial"/>
          <w:b/>
          <w:kern w:val="0"/>
          <w:sz w:val="18"/>
          <w:szCs w:val="18"/>
          <w:highlight w:val="yellow"/>
        </w:rPr>
        <w:t>【</w:t>
      </w:r>
      <w:r>
        <w:rPr>
          <w:rFonts w:ascii="微软雅黑" w:hAnsi="微软雅黑" w:eastAsia="微软雅黑" w:cs="Arial"/>
          <w:b/>
          <w:kern w:val="0"/>
          <w:sz w:val="18"/>
          <w:szCs w:val="18"/>
          <w:highlight w:val="yellow"/>
        </w:rPr>
        <w:t>2023</w:t>
      </w:r>
      <w:r>
        <w:rPr>
          <w:rFonts w:hint="eastAsia" w:ascii="微软雅黑" w:hAnsi="微软雅黑" w:eastAsia="微软雅黑" w:cs="Arial"/>
          <w:b/>
          <w:kern w:val="0"/>
          <w:sz w:val="18"/>
          <w:szCs w:val="18"/>
          <w:highlight w:val="yellow"/>
        </w:rPr>
        <w:t>年</w:t>
      </w:r>
      <w:r>
        <w:rPr>
          <w:rFonts w:ascii="微软雅黑" w:hAnsi="微软雅黑" w:eastAsia="微软雅黑" w:cs="Arial"/>
          <w:b/>
          <w:kern w:val="0"/>
          <w:sz w:val="18"/>
          <w:szCs w:val="18"/>
          <w:highlight w:val="yellow"/>
        </w:rPr>
        <w:t>4月28</w:t>
      </w:r>
      <w:r>
        <w:rPr>
          <w:rFonts w:hint="eastAsia" w:ascii="微软雅黑" w:hAnsi="微软雅黑" w:eastAsia="微软雅黑" w:cs="Arial"/>
          <w:b/>
          <w:kern w:val="0"/>
          <w:sz w:val="18"/>
          <w:szCs w:val="18"/>
          <w:highlight w:val="yellow"/>
        </w:rPr>
        <w:t>日</w:t>
      </w:r>
      <w:r>
        <w:rPr>
          <w:rFonts w:ascii="微软雅黑" w:hAnsi="微软雅黑" w:eastAsia="微软雅黑" w:cs="Arial"/>
          <w:b/>
          <w:kern w:val="0"/>
          <w:sz w:val="18"/>
          <w:szCs w:val="18"/>
          <w:highlight w:val="yellow"/>
        </w:rPr>
        <w:t>17:06</w:t>
      </w:r>
      <w:r>
        <w:rPr>
          <w:rFonts w:hint="eastAsia" w:ascii="微软雅黑" w:hAnsi="微软雅黑" w:eastAsia="微软雅黑" w:cs="Arial"/>
          <w:b/>
          <w:kern w:val="0"/>
          <w:sz w:val="18"/>
          <w:szCs w:val="18"/>
          <w:highlight w:val="yellow"/>
        </w:rPr>
        <w:t>】</w:t>
      </w:r>
    </w:p>
    <w:p>
      <w:pPr>
        <w:pStyle w:val="2"/>
        <w:spacing w:line="240" w:lineRule="auto"/>
        <w:rPr>
          <w:rFonts w:ascii="微软雅黑" w:hAnsi="微软雅黑" w:eastAsia="微软雅黑"/>
          <w:color w:val="FFFFFF" w:themeColor="background1"/>
          <w:sz w:val="18"/>
          <w:szCs w:val="18"/>
          <w14:textFill>
            <w14:solidFill>
              <w14:schemeClr w14:val="bg1"/>
            </w14:solidFill>
          </w14:textFill>
        </w:rPr>
      </w:pPr>
      <w:r>
        <w:rPr>
          <w:rFonts w:hint="eastAsia" w:ascii="微软雅黑" w:hAnsi="微软雅黑" w:eastAsia="微软雅黑"/>
          <w:color w:val="FFFFFF" w:themeColor="background1"/>
          <w:sz w:val="18"/>
          <w:szCs w:val="18"/>
          <w:highlight w:val="black"/>
          <w14:textFill>
            <w14:solidFill>
              <w14:schemeClr w14:val="bg1"/>
            </w14:solidFill>
          </w14:textFill>
        </w:rPr>
        <w:t>一</w:t>
      </w:r>
      <w:r>
        <w:rPr>
          <w:rFonts w:ascii="微软雅黑" w:hAnsi="微软雅黑" w:eastAsia="微软雅黑"/>
          <w:color w:val="FFFFFF" w:themeColor="background1"/>
          <w:sz w:val="18"/>
          <w:szCs w:val="18"/>
          <w:highlight w:val="black"/>
          <w14:textFill>
            <w14:solidFill>
              <w14:schemeClr w14:val="bg1"/>
            </w14:solidFill>
          </w14:textFill>
        </w:rPr>
        <w:t>.</w:t>
      </w:r>
      <w:r>
        <w:rPr>
          <w:rFonts w:hint="eastAsia" w:ascii="微软雅黑" w:hAnsi="微软雅黑" w:eastAsia="微软雅黑"/>
          <w:color w:val="FFFFFF" w:themeColor="background1"/>
          <w:sz w:val="18"/>
          <w:szCs w:val="18"/>
          <w:highlight w:val="black"/>
          <w14:textFill>
            <w14:solidFill>
              <w14:schemeClr w14:val="bg1"/>
            </w14:solidFill>
          </w14:textFill>
        </w:rPr>
        <w:t>采购</w:t>
      </w:r>
      <w:r>
        <w:rPr>
          <w:rFonts w:ascii="微软雅黑" w:hAnsi="微软雅黑" w:eastAsia="微软雅黑"/>
          <w:color w:val="FFFFFF" w:themeColor="background1"/>
          <w:sz w:val="18"/>
          <w:szCs w:val="18"/>
          <w:highlight w:val="black"/>
          <w14:textFill>
            <w14:solidFill>
              <w14:schemeClr w14:val="bg1"/>
            </w14:solidFill>
          </w14:textFill>
        </w:rPr>
        <w:t>公司简介</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b/>
          <w:color w:val="000000" w:themeColor="text1"/>
          <w:kern w:val="0"/>
          <w:sz w:val="18"/>
          <w:szCs w:val="18"/>
          <w14:textFill>
            <w14:solidFill>
              <w14:schemeClr w14:val="tx1"/>
            </w14:solidFill>
          </w14:textFill>
        </w:rPr>
        <w:t>京东物流集团：成为全球最值得信赖的供应链基础设施服务商</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模块化，以更加灵活、可调用与组合的方式，满足不同行业的中小客户需求。</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物流建立了包含仓储网络、综合运输网络、最后一公里配送网络、大件网络、冷链物流网络和跨境物流网络在内的高度协同的六大网络，具备数字化、广泛和灵活的特点，服务范围覆盖了中国几乎所有地区、城镇和人口，不仅建立了中国电商与消费者之间的信赖关系，还通过211限时达等时效产品和上门服务，重新定义了物流服务标准，客户体验持续领先行业。截至2022年9月30日，京东物流运营超1500个仓库，含云仓生态平台的管理面积在内，京东物流仓储总面积超3000万平方米。同时，截至2022年6月30日，在全球运营近90个保税仓库、直邮仓库和海外仓库，总管理面积近90万平方米。</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物流始终重视技术创新在企业发展中的重要作用。基于5G、人工智能、大数据、云计算及物联网等底层技术，京东物流不断扩大软件、硬件和系统集成的三位一体的供应链技术优势，不仅通过自动搬运机器人、分拣机器人、智能快递车、无人机等，在仓储、运输、分拣及配送等环节大大提升效率，还自主研发了仓储、运输及订单管理系统等，支持客户供应链的全面数字化，通过专有算法，在销售预测、商品配送规划及供应链网络优化等领域实现决策。凭借这些专有技术，京东物流已经构建了一套全面的智能物流系统，实现服务自动化、运营数字化及决策智能化。截至2022年6月30日，京东物流已申请的专利和软件许可超7000项，其中与自动化和无人技术相关的专利数量超过4000项。</w:t>
      </w:r>
    </w:p>
    <w:p>
      <w:pPr>
        <w:adjustRightInd w:val="0"/>
        <w:snapToGrid w:val="0"/>
        <w:ind w:firstLine="360" w:firstLineChars="20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物流构建了协同共生的供应链网络，中国及全球各行业合作伙伴参与其中。2017年，京东物流创新推出云仓模式，将自身的管理系统、规划能力、运营标准、行业经验等赋用于第三方仓库，通过优化本地仓库资源，有效增加闲置仓库的利用率，让中小物流企业也能充分利用京东物流的技术、标准和品牌，提升自身的服务能力。截至2022年6月30日，云仓生态平台合作云仓的数量已超过1700个。京东物流着力推行战略级项目“青流计划”，从“环境（Planet）”“人文社会（People）”和“经济（Profits）”三个方面，协同行业和社会力量共同关注人类的可持续发展。京东物流是国内首家完成设立科学碳目标倡议（SBTi）的物流企业，同时引入使用更多清洁能源，推广和使用更多可再生能源和环保材料，践行绿色环保措施。</w:t>
      </w:r>
    </w:p>
    <w:p>
      <w:pPr>
        <w:adjustRightInd w:val="0"/>
        <w:snapToGrid w:val="0"/>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color w:val="000000" w:themeColor="text1"/>
          <w:kern w:val="0"/>
          <w:sz w:val="18"/>
          <w:szCs w:val="18"/>
          <w14:textFill>
            <w14:solidFill>
              <w14:schemeClr w14:val="tx1"/>
            </w14:solidFill>
          </w14:textFill>
        </w:rPr>
        <w:t>京东物流正坚持“体验为本、技术驱动、效率制胜”核心发展战略，将自身长期积累的新型实体企业发展经验和长期技术投入所带来的数智化能力持续向实体经济开放，服务实体经济，持续创造社会价值。</w:t>
      </w:r>
    </w:p>
    <w:p>
      <w:pPr>
        <w:pStyle w:val="2"/>
        <w:spacing w:line="240" w:lineRule="auto"/>
        <w:rPr>
          <w:rFonts w:ascii="微软雅黑" w:hAnsi="微软雅黑" w:eastAsia="微软雅黑"/>
          <w:color w:val="FFFFFF" w:themeColor="background1"/>
          <w:sz w:val="18"/>
          <w:szCs w:val="18"/>
          <w14:textFill>
            <w14:solidFill>
              <w14:schemeClr w14:val="bg1"/>
            </w14:solidFill>
          </w14:textFill>
        </w:rPr>
      </w:pPr>
      <w:r>
        <w:rPr>
          <w:rFonts w:hint="eastAsia" w:ascii="微软雅黑" w:hAnsi="微软雅黑" w:eastAsia="微软雅黑"/>
          <w:color w:val="FFFFFF" w:themeColor="background1"/>
          <w:sz w:val="18"/>
          <w:szCs w:val="18"/>
          <w:highlight w:val="black"/>
          <w14:textFill>
            <w14:solidFill>
              <w14:schemeClr w14:val="bg1"/>
            </w14:solidFill>
          </w14:textFill>
        </w:rPr>
        <w:t>二</w:t>
      </w:r>
      <w:r>
        <w:rPr>
          <w:rFonts w:ascii="微软雅黑" w:hAnsi="微软雅黑" w:eastAsia="微软雅黑"/>
          <w:color w:val="FFFFFF" w:themeColor="background1"/>
          <w:sz w:val="18"/>
          <w:szCs w:val="18"/>
          <w:highlight w:val="black"/>
          <w14:textFill>
            <w14:solidFill>
              <w14:schemeClr w14:val="bg1"/>
            </w14:solidFill>
          </w14:textFill>
        </w:rPr>
        <w:t>.标的介绍</w:t>
      </w:r>
    </w:p>
    <w:p>
      <w:pPr>
        <w:pStyle w:val="19"/>
        <w:widowControl/>
        <w:numPr>
          <w:ilvl w:val="0"/>
          <w:numId w:val="1"/>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 xml:space="preserve">标的信息：详见附件一《标的基础信息》；（含线路明细介绍、业务咨询联系人）； </w:t>
      </w:r>
    </w:p>
    <w:p>
      <w:pPr>
        <w:pStyle w:val="19"/>
        <w:widowControl/>
        <w:numPr>
          <w:ilvl w:val="0"/>
          <w:numId w:val="1"/>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京东不接受任何技术或商务负偏离，出现任何负偏离将直接废标，部分正偏离会获得评标高分；</w:t>
      </w:r>
    </w:p>
    <w:p>
      <w:pPr>
        <w:pStyle w:val="19"/>
        <w:widowControl/>
        <w:numPr>
          <w:ilvl w:val="0"/>
          <w:numId w:val="1"/>
        </w:numPr>
        <w:adjustRightInd w:val="0"/>
        <w:snapToGrid w:val="0"/>
        <w:ind w:firstLineChars="0"/>
        <w:jc w:val="left"/>
        <w:rPr>
          <w:rFonts w:ascii="微软雅黑" w:hAnsi="微软雅黑" w:eastAsia="微软雅黑" w:cs="Arial"/>
          <w:color w:val="FF0000"/>
          <w:kern w:val="0"/>
          <w:sz w:val="18"/>
          <w:szCs w:val="18"/>
        </w:rPr>
      </w:pPr>
      <w:r>
        <w:rPr>
          <w:rFonts w:hint="eastAsia" w:ascii="微软雅黑" w:hAnsi="微软雅黑" w:eastAsia="微软雅黑" w:cs="Arial"/>
          <w:b/>
          <w:color w:val="FF0000"/>
          <w:kern w:val="0"/>
          <w:sz w:val="18"/>
          <w:szCs w:val="18"/>
        </w:rPr>
        <w:t>合同签署期限：</w:t>
      </w:r>
      <w:r>
        <w:rPr>
          <w:rFonts w:hint="eastAsia" w:ascii="微软雅黑" w:hAnsi="微软雅黑" w:eastAsia="微软雅黑" w:cs="Arial"/>
          <w:color w:val="FF0000"/>
          <w:kern w:val="0"/>
          <w:sz w:val="18"/>
          <w:szCs w:val="18"/>
          <w:highlight w:val="yellow"/>
        </w:rPr>
        <w:t>【自合同签署之日起至</w:t>
      </w:r>
      <w:r>
        <w:rPr>
          <w:rFonts w:ascii="微软雅黑" w:hAnsi="微软雅黑" w:eastAsia="微软雅黑" w:cs="Arial"/>
          <w:color w:val="FF0000"/>
          <w:kern w:val="0"/>
          <w:sz w:val="18"/>
          <w:szCs w:val="18"/>
          <w:highlight w:val="yellow"/>
        </w:rPr>
        <w:t>2025</w:t>
      </w:r>
      <w:r>
        <w:rPr>
          <w:rFonts w:hint="eastAsia" w:ascii="微软雅黑" w:hAnsi="微软雅黑" w:eastAsia="微软雅黑" w:cs="Arial"/>
          <w:color w:val="FF0000"/>
          <w:kern w:val="0"/>
          <w:sz w:val="18"/>
          <w:szCs w:val="18"/>
          <w:highlight w:val="yellow"/>
        </w:rPr>
        <w:t>年</w:t>
      </w:r>
      <w:r>
        <w:rPr>
          <w:rFonts w:ascii="微软雅黑" w:hAnsi="微软雅黑" w:eastAsia="微软雅黑" w:cs="Arial"/>
          <w:color w:val="FF0000"/>
          <w:kern w:val="0"/>
          <w:sz w:val="18"/>
          <w:szCs w:val="18"/>
          <w:highlight w:val="yellow"/>
        </w:rPr>
        <w:t>3月31日</w:t>
      </w:r>
      <w:r>
        <w:rPr>
          <w:rFonts w:hint="eastAsia" w:ascii="微软雅黑" w:hAnsi="微软雅黑" w:eastAsia="微软雅黑" w:cs="Arial"/>
          <w:color w:val="FF0000"/>
          <w:kern w:val="0"/>
          <w:sz w:val="18"/>
          <w:szCs w:val="18"/>
          <w:highlight w:val="yellow"/>
        </w:rPr>
        <w:t>止】</w:t>
      </w:r>
      <w:r>
        <w:rPr>
          <w:rFonts w:ascii="微软雅黑" w:hAnsi="微软雅黑" w:eastAsia="微软雅黑" w:cs="Arial"/>
          <w:color w:val="FF0000"/>
          <w:kern w:val="0"/>
          <w:sz w:val="18"/>
          <w:szCs w:val="18"/>
        </w:rPr>
        <w:t xml:space="preserve"> </w:t>
      </w:r>
    </w:p>
    <w:p>
      <w:pPr>
        <w:pStyle w:val="19"/>
        <w:numPr>
          <w:ilvl w:val="0"/>
          <w:numId w:val="1"/>
        </w:numPr>
        <w:ind w:firstLineChars="0"/>
        <w:rPr>
          <w:rFonts w:ascii="微软雅黑" w:hAnsi="微软雅黑" w:eastAsia="微软雅黑" w:cs="Arial"/>
          <w:color w:val="FF0000"/>
          <w:kern w:val="0"/>
          <w:sz w:val="18"/>
          <w:szCs w:val="18"/>
        </w:rPr>
      </w:pPr>
      <w:r>
        <w:rPr>
          <w:rFonts w:hint="eastAsia" w:ascii="微软雅黑" w:hAnsi="微软雅黑" w:eastAsia="微软雅黑" w:cs="Arial"/>
          <w:color w:val="FF0000"/>
          <w:kern w:val="0"/>
          <w:sz w:val="18"/>
          <w:szCs w:val="18"/>
        </w:rPr>
        <w:t>报价单内必须将所有车型报价信息填写完毕，报价信息不全的废标处理；</w:t>
      </w:r>
    </w:p>
    <w:p>
      <w:pPr>
        <w:pStyle w:val="19"/>
        <w:widowControl/>
        <w:numPr>
          <w:ilvl w:val="0"/>
          <w:numId w:val="1"/>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其他要求：</w:t>
      </w:r>
      <w:r>
        <w:rPr>
          <w:rFonts w:hint="eastAsia" w:ascii="微软雅黑" w:hAnsi="微软雅黑" w:eastAsia="微软雅黑" w:cs="Arial"/>
          <w:color w:val="000000" w:themeColor="text1"/>
          <w:kern w:val="0"/>
          <w:sz w:val="18"/>
          <w:szCs w:val="18"/>
          <w14:textFill>
            <w14:solidFill>
              <w14:schemeClr w14:val="tx1"/>
            </w14:solidFill>
          </w14:textFill>
        </w:rPr>
        <w:t>其他未尽事宜以京东运输服务合同条款为准，合同模板详情见附件五。</w:t>
      </w:r>
    </w:p>
    <w:p>
      <w:pPr>
        <w:pStyle w:val="2"/>
        <w:spacing w:line="240" w:lineRule="auto"/>
        <w:rPr>
          <w:rFonts w:ascii="微软雅黑" w:hAnsi="微软雅黑" w:eastAsia="微软雅黑"/>
          <w:color w:val="FFFFFF" w:themeColor="background1"/>
          <w:sz w:val="18"/>
          <w:szCs w:val="18"/>
          <w14:textFill>
            <w14:solidFill>
              <w14:schemeClr w14:val="bg1"/>
            </w14:solidFill>
          </w14:textFill>
        </w:rPr>
      </w:pPr>
      <w:r>
        <w:rPr>
          <w:rFonts w:hint="eastAsia" w:ascii="微软雅黑" w:hAnsi="微软雅黑" w:eastAsia="微软雅黑"/>
          <w:color w:val="FFFFFF" w:themeColor="background1"/>
          <w:sz w:val="18"/>
          <w:szCs w:val="18"/>
          <w:highlight w:val="black"/>
          <w14:textFill>
            <w14:solidFill>
              <w14:schemeClr w14:val="bg1"/>
            </w14:solidFill>
          </w14:textFill>
        </w:rPr>
        <w:t>三</w:t>
      </w:r>
      <w:r>
        <w:rPr>
          <w:rFonts w:ascii="微软雅黑" w:hAnsi="微软雅黑" w:eastAsia="微软雅黑"/>
          <w:color w:val="FFFFFF" w:themeColor="background1"/>
          <w:sz w:val="18"/>
          <w:szCs w:val="18"/>
          <w:highlight w:val="black"/>
          <w14:textFill>
            <w14:solidFill>
              <w14:schemeClr w14:val="bg1"/>
            </w14:solidFill>
          </w14:textFill>
        </w:rPr>
        <w:t>.参与招标</w:t>
      </w:r>
    </w:p>
    <w:p>
      <w:pPr>
        <w:adjustRightInd w:val="0"/>
        <w:snapToGrid w:val="0"/>
        <w:spacing w:line="360" w:lineRule="auto"/>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1.承运商</w:t>
      </w:r>
      <w:r>
        <w:rPr>
          <w:rFonts w:ascii="微软雅黑" w:hAnsi="微软雅黑" w:eastAsia="微软雅黑" w:cs="Arial"/>
          <w:b/>
          <w:color w:val="000000" w:themeColor="text1"/>
          <w:kern w:val="0"/>
          <w:sz w:val="18"/>
          <w:szCs w:val="18"/>
          <w14:textFill>
            <w14:solidFill>
              <w14:schemeClr w14:val="tx1"/>
            </w14:solidFill>
          </w14:textFill>
        </w:rPr>
        <w:t>资质要求</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t>必须经具有独立法人资格，具有独立承担民事责任能力，</w:t>
      </w:r>
      <w:r>
        <w:rPr>
          <w:rFonts w:hint="eastAsia" w:ascii="微软雅黑" w:hAnsi="微软雅黑" w:eastAsia="微软雅黑" w:cs="Arial"/>
          <w:color w:val="000000" w:themeColor="text1"/>
          <w:kern w:val="0"/>
          <w:sz w:val="18"/>
          <w:szCs w:val="18"/>
          <w14:textFill>
            <w14:solidFill>
              <w14:schemeClr w14:val="tx1"/>
            </w14:solidFill>
          </w14:textFill>
        </w:rPr>
        <w:t>未存在重大异常状态。具有《企业法人营业执照》、《组织机构代码证》、《税务登记证》、《道路运输经营许可证》、《开户许可证》、一般纳税人证明等有效证件。</w:t>
      </w:r>
    </w:p>
    <w:p>
      <w:pPr>
        <w:pStyle w:val="19"/>
        <w:widowControl/>
        <w:adjustRightInd w:val="0"/>
        <w:snapToGrid w:val="0"/>
        <w:ind w:left="420" w:firstLine="0"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说明：</w:t>
      </w:r>
    </w:p>
    <w:p>
      <w:pPr>
        <w:pStyle w:val="19"/>
        <w:widowControl/>
        <w:numPr>
          <w:ilvl w:val="0"/>
          <w:numId w:val="3"/>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税务登记证上无一般纳税人红章的，需单独提供一般纳税人证明，已三证合一的企业，《组织机构代码证》、《税务登记证》不作要求；</w:t>
      </w:r>
    </w:p>
    <w:p>
      <w:pPr>
        <w:pStyle w:val="19"/>
        <w:widowControl/>
        <w:numPr>
          <w:ilvl w:val="0"/>
          <w:numId w:val="3"/>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未存在重大异常状态，是指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等重大异常的状态；</w:t>
      </w:r>
    </w:p>
    <w:p>
      <w:pPr>
        <w:pStyle w:val="19"/>
        <w:widowControl/>
        <w:numPr>
          <w:ilvl w:val="0"/>
          <w:numId w:val="3"/>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一般纳税人，可以开具增值税发票，发票税率要求为9</w:t>
      </w:r>
      <w:r>
        <w:rPr>
          <w:rFonts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w:t>
      </w:r>
    </w:p>
    <w:p>
      <w:pPr>
        <w:pStyle w:val="19"/>
        <w:numPr>
          <w:ilvl w:val="0"/>
          <w:numId w:val="2"/>
        </w:numPr>
        <w:ind w:firstLineChars="0"/>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公司注册时间满1年，注册资金不低于</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ascii="微软雅黑" w:hAnsi="微软雅黑" w:eastAsia="微软雅黑" w:cs="Arial"/>
          <w:color w:val="000000" w:themeColor="text1"/>
          <w:kern w:val="0"/>
          <w:sz w:val="18"/>
          <w:szCs w:val="18"/>
          <w:highlight w:val="yellow"/>
          <w14:textFill>
            <w14:solidFill>
              <w14:schemeClr w14:val="tx1"/>
            </w14:solidFill>
          </w14:textFill>
        </w:rPr>
        <w:t>100</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万；</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已以公司名义购买全年货物运输险，每次保额不得低于</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ascii="微软雅黑" w:hAnsi="微软雅黑" w:eastAsia="微软雅黑" w:cs="Arial"/>
          <w:color w:val="000000" w:themeColor="text1"/>
          <w:kern w:val="0"/>
          <w:sz w:val="18"/>
          <w:szCs w:val="18"/>
          <w:highlight w:val="yellow"/>
          <w14:textFill>
            <w14:solidFill>
              <w14:schemeClr w14:val="tx1"/>
            </w14:solidFill>
          </w14:textFill>
        </w:rPr>
        <w:t>10</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万元，全年累计保额不得低于</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ascii="微软雅黑" w:hAnsi="微软雅黑" w:eastAsia="微软雅黑" w:cs="Arial"/>
          <w:color w:val="000000" w:themeColor="text1"/>
          <w:kern w:val="0"/>
          <w:sz w:val="18"/>
          <w:szCs w:val="18"/>
          <w:highlight w:val="yellow"/>
          <w14:textFill>
            <w14:solidFill>
              <w14:schemeClr w14:val="tx1"/>
            </w14:solidFill>
          </w14:textFill>
        </w:rPr>
        <w:t>100</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万元（注：此项不满足的，需在投标保证金环节提交《货物运输保险购买承诺函》（参考附件七）后，方可参与投标，并在业务运作前完成保险的购买）；</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所有提供服务的车辆已安装车辆GPS，</w:t>
      </w:r>
      <w:r>
        <w:rPr>
          <w:rFonts w:ascii="微软雅黑" w:hAnsi="微软雅黑" w:eastAsia="微软雅黑" w:cs="Arial"/>
          <w:color w:val="000000" w:themeColor="text1"/>
          <w:kern w:val="0"/>
          <w:sz w:val="18"/>
          <w:szCs w:val="18"/>
          <w14:textFill>
            <w14:solidFill>
              <w14:schemeClr w14:val="tx1"/>
            </w14:solidFill>
          </w14:textFill>
        </w:rPr>
        <w:t>车辆符合排放标准</w:t>
      </w:r>
      <w:r>
        <w:rPr>
          <w:rFonts w:hint="eastAsia" w:ascii="微软雅黑" w:hAnsi="微软雅黑" w:eastAsia="微软雅黑" w:cs="Arial"/>
          <w:color w:val="000000" w:themeColor="text1"/>
          <w:kern w:val="0"/>
          <w:sz w:val="18"/>
          <w:szCs w:val="18"/>
          <w14:textFill>
            <w14:solidFill>
              <w14:schemeClr w14:val="tx1"/>
            </w14:solidFill>
          </w14:textFill>
        </w:rPr>
        <w:t>，有明确、固定办公场所；</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自营车辆不低于</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ascii="微软雅黑" w:hAnsi="微软雅黑" w:eastAsia="微软雅黑" w:cs="Arial"/>
          <w:color w:val="000000" w:themeColor="text1"/>
          <w:kern w:val="0"/>
          <w:sz w:val="18"/>
          <w:szCs w:val="18"/>
          <w:highlight w:val="yellow"/>
          <w14:textFill>
            <w14:solidFill>
              <w14:schemeClr w14:val="tx1"/>
            </w14:solidFill>
          </w14:textFill>
        </w:rPr>
        <w:t>5</w:t>
      </w:r>
      <w:r>
        <w:rPr>
          <w:rFonts w:hint="eastAsia" w:ascii="微软雅黑" w:hAnsi="微软雅黑" w:eastAsia="微软雅黑" w:cs="Arial"/>
          <w:color w:val="000000" w:themeColor="text1"/>
          <w:kern w:val="0"/>
          <w:sz w:val="18"/>
          <w:szCs w:val="18"/>
          <w:highlight w:val="yellow"/>
          <w14:textFill>
            <w14:solidFill>
              <w14:schemeClr w14:val="tx1"/>
            </w14:solidFill>
          </w14:textFill>
        </w:rPr>
        <w:t>】辆（</w:t>
      </w:r>
      <w:r>
        <w:rPr>
          <w:rFonts w:hint="eastAsia" w:ascii="微软雅黑" w:hAnsi="微软雅黑" w:eastAsia="微软雅黑" w:cs="Arial"/>
          <w:color w:val="000000" w:themeColor="text1"/>
          <w:kern w:val="0"/>
          <w:sz w:val="18"/>
          <w:szCs w:val="18"/>
          <w14:textFill>
            <w14:solidFill>
              <w14:schemeClr w14:val="tx1"/>
            </w14:solidFill>
          </w14:textFill>
        </w:rPr>
        <w:t>如为平台型承运商需有《道路运输经营许可证（网络货运）》资质，不强制要求自营车辆）；</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t xml:space="preserve">不接受联合体投标； </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t>法定代表人为同一个的两个及两个以上法人，母公司、全资子公司及其控股公司，只能有一家参加此项目</w:t>
      </w:r>
      <w:r>
        <w:rPr>
          <w:rFonts w:hint="eastAsia" w:ascii="微软雅黑" w:hAnsi="微软雅黑" w:eastAsia="微软雅黑" w:cs="Arial"/>
          <w:color w:val="000000" w:themeColor="text1"/>
          <w:kern w:val="0"/>
          <w:sz w:val="18"/>
          <w:szCs w:val="18"/>
          <w14:textFill>
            <w14:solidFill>
              <w14:schemeClr w14:val="tx1"/>
            </w14:solidFill>
          </w14:textFill>
        </w:rPr>
        <w:t>同一标的、线路</w:t>
      </w:r>
      <w:r>
        <w:rPr>
          <w:rFonts w:ascii="微软雅黑" w:hAnsi="微软雅黑" w:eastAsia="微软雅黑" w:cs="Arial"/>
          <w:color w:val="000000" w:themeColor="text1"/>
          <w:kern w:val="0"/>
          <w:sz w:val="18"/>
          <w:szCs w:val="18"/>
          <w14:textFill>
            <w14:solidFill>
              <w14:schemeClr w14:val="tx1"/>
            </w14:solidFill>
          </w14:textFill>
        </w:rPr>
        <w:t>的</w:t>
      </w:r>
      <w:r>
        <w:rPr>
          <w:rFonts w:hint="eastAsia" w:ascii="微软雅黑" w:hAnsi="微软雅黑" w:eastAsia="微软雅黑" w:cs="Arial"/>
          <w:color w:val="000000" w:themeColor="text1"/>
          <w:kern w:val="0"/>
          <w:sz w:val="18"/>
          <w:szCs w:val="18"/>
          <w14:textFill>
            <w14:solidFill>
              <w14:schemeClr w14:val="tx1"/>
            </w14:solidFill>
          </w14:textFill>
        </w:rPr>
        <w:t>招投标</w:t>
      </w:r>
      <w:r>
        <w:rPr>
          <w:rFonts w:ascii="微软雅黑" w:hAnsi="微软雅黑" w:eastAsia="微软雅黑" w:cs="Arial"/>
          <w:color w:val="000000" w:themeColor="text1"/>
          <w:kern w:val="0"/>
          <w:sz w:val="18"/>
          <w:szCs w:val="18"/>
          <w14:textFill>
            <w14:solidFill>
              <w14:schemeClr w14:val="tx1"/>
            </w14:solidFill>
          </w14:textFill>
        </w:rPr>
        <w:t>。法定代表人参股的企业，只允许一家参与</w:t>
      </w:r>
      <w:r>
        <w:rPr>
          <w:rFonts w:hint="eastAsia" w:ascii="微软雅黑" w:hAnsi="微软雅黑" w:eastAsia="微软雅黑" w:cs="Arial"/>
          <w:color w:val="000000" w:themeColor="text1"/>
          <w:kern w:val="0"/>
          <w:sz w:val="18"/>
          <w:szCs w:val="18"/>
          <w14:textFill>
            <w14:solidFill>
              <w14:schemeClr w14:val="tx1"/>
            </w14:solidFill>
          </w14:textFill>
        </w:rPr>
        <w:t>同一标的、线路</w:t>
      </w:r>
      <w:r>
        <w:rPr>
          <w:rFonts w:ascii="微软雅黑" w:hAnsi="微软雅黑" w:eastAsia="微软雅黑" w:cs="Arial"/>
          <w:color w:val="000000" w:themeColor="text1"/>
          <w:kern w:val="0"/>
          <w:sz w:val="18"/>
          <w:szCs w:val="18"/>
          <w14:textFill>
            <w14:solidFill>
              <w14:schemeClr w14:val="tx1"/>
            </w14:solidFill>
          </w14:textFill>
        </w:rPr>
        <w:t>的</w:t>
      </w:r>
      <w:r>
        <w:rPr>
          <w:rFonts w:hint="eastAsia" w:ascii="微软雅黑" w:hAnsi="微软雅黑" w:eastAsia="微软雅黑" w:cs="Arial"/>
          <w:color w:val="000000" w:themeColor="text1"/>
          <w:kern w:val="0"/>
          <w:sz w:val="18"/>
          <w:szCs w:val="18"/>
          <w14:textFill>
            <w14:solidFill>
              <w14:schemeClr w14:val="tx1"/>
            </w14:solidFill>
          </w14:textFill>
        </w:rPr>
        <w:t>招投标。</w:t>
      </w:r>
    </w:p>
    <w:p>
      <w:pPr>
        <w:pStyle w:val="19"/>
        <w:widowControl/>
        <w:numPr>
          <w:ilvl w:val="0"/>
          <w:numId w:val="2"/>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FF0000"/>
          <w:kern w:val="0"/>
          <w:sz w:val="18"/>
          <w:szCs w:val="18"/>
        </w:rPr>
        <w:t>若有其他特殊要求，如温控、危化品运输等需要备注具体能力、资质要求。</w:t>
      </w:r>
      <w:r>
        <w:rPr>
          <w:rFonts w:hint="eastAsia" w:ascii="微软雅黑" w:hAnsi="微软雅黑" w:eastAsia="微软雅黑" w:cs="Arial"/>
          <w:color w:val="FF0000"/>
          <w:kern w:val="0"/>
          <w:sz w:val="18"/>
          <w:szCs w:val="18"/>
          <w:highlight w:val="yellow"/>
        </w:rPr>
        <w:t>【冷藏车】</w:t>
      </w:r>
    </w:p>
    <w:p>
      <w:pPr>
        <w:adjustRightInd w:val="0"/>
        <w:snapToGrid w:val="0"/>
        <w:spacing w:line="276" w:lineRule="auto"/>
        <w:jc w:val="left"/>
        <w:rPr>
          <w:rStyle w:val="12"/>
          <w:rFonts w:ascii="微软雅黑" w:hAnsi="微软雅黑" w:eastAsia="微软雅黑"/>
          <w:sz w:val="18"/>
          <w:szCs w:val="18"/>
        </w:rPr>
      </w:pPr>
      <w:r>
        <w:rPr>
          <w:rFonts w:hint="eastAsia" w:ascii="微软雅黑" w:hAnsi="微软雅黑" w:eastAsia="微软雅黑" w:cs="Arial"/>
          <w:b/>
          <w:color w:val="000000" w:themeColor="text1"/>
          <w:kern w:val="0"/>
          <w:sz w:val="18"/>
          <w:szCs w:val="18"/>
          <w14:textFill>
            <w14:solidFill>
              <w14:schemeClr w14:val="tx1"/>
            </w14:solidFill>
          </w14:textFill>
        </w:rPr>
        <w:t>备注：</w:t>
      </w:r>
      <w:r>
        <w:rPr>
          <w:rFonts w:ascii="微软雅黑" w:hAnsi="微软雅黑" w:eastAsia="微软雅黑" w:cs="Arial"/>
          <w:color w:val="FF0000"/>
          <w:kern w:val="0"/>
          <w:sz w:val="18"/>
          <w:szCs w:val="18"/>
        </w:rPr>
        <w:t>目前未与京东</w:t>
      </w:r>
      <w:r>
        <w:rPr>
          <w:rFonts w:hint="eastAsia" w:ascii="微软雅黑" w:hAnsi="微软雅黑" w:eastAsia="微软雅黑" w:cs="Arial"/>
          <w:color w:val="FF0000"/>
          <w:kern w:val="0"/>
          <w:sz w:val="18"/>
          <w:szCs w:val="18"/>
        </w:rPr>
        <w:t>物流</w:t>
      </w:r>
      <w:r>
        <w:rPr>
          <w:rFonts w:ascii="微软雅黑" w:hAnsi="微软雅黑" w:eastAsia="微软雅黑" w:cs="Arial"/>
          <w:color w:val="FF0000"/>
          <w:kern w:val="0"/>
          <w:sz w:val="18"/>
          <w:szCs w:val="18"/>
        </w:rPr>
        <w:t>合作的公司，</w:t>
      </w:r>
      <w:r>
        <w:rPr>
          <w:rFonts w:hint="eastAsia" w:ascii="微软雅黑" w:hAnsi="微软雅黑" w:eastAsia="微软雅黑" w:cs="Arial"/>
          <w:color w:val="FF0000"/>
          <w:kern w:val="0"/>
          <w:sz w:val="18"/>
          <w:szCs w:val="18"/>
        </w:rPr>
        <w:t>需首先入驻成为京东物流运力，网址：</w:t>
      </w:r>
      <w:r>
        <w:rPr>
          <w:rFonts w:ascii="微软雅黑" w:hAnsi="微软雅黑" w:eastAsia="微软雅黑" w:cs="Arial"/>
          <w:color w:val="FF0000"/>
          <w:kern w:val="0"/>
          <w:sz w:val="18"/>
          <w:szCs w:val="18"/>
        </w:rPr>
        <w:t>https://tms.jdl.com/</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ascii="微软雅黑" w:hAnsi="微软雅黑" w:eastAsia="微软雅黑" w:cs="Arial"/>
          <w:b/>
          <w:color w:val="000000" w:themeColor="text1"/>
          <w:kern w:val="0"/>
          <w:sz w:val="18"/>
          <w:szCs w:val="18"/>
          <w14:textFill>
            <w14:solidFill>
              <w14:schemeClr w14:val="tx1"/>
            </w14:solidFill>
          </w14:textFill>
        </w:rPr>
        <w:t>2</w:t>
      </w:r>
      <w:r>
        <w:rPr>
          <w:rFonts w:hint="eastAsia" w:ascii="微软雅黑" w:hAnsi="微软雅黑" w:eastAsia="微软雅黑" w:cs="Arial"/>
          <w:b/>
          <w:color w:val="000000" w:themeColor="text1"/>
          <w:kern w:val="0"/>
          <w:sz w:val="18"/>
          <w:szCs w:val="18"/>
          <w14:textFill>
            <w14:solidFill>
              <w14:schemeClr w14:val="tx1"/>
            </w14:solidFill>
          </w14:textFill>
        </w:rPr>
        <w:t>.</w:t>
      </w:r>
      <w:r>
        <w:rPr>
          <w:rFonts w:ascii="微软雅黑" w:hAnsi="微软雅黑" w:eastAsia="微软雅黑" w:cs="Arial"/>
          <w:b/>
          <w:color w:val="000000" w:themeColor="text1"/>
          <w:kern w:val="0"/>
          <w:sz w:val="18"/>
          <w:szCs w:val="18"/>
          <w14:textFill>
            <w14:solidFill>
              <w14:schemeClr w14:val="tx1"/>
            </w14:solidFill>
          </w14:textFill>
        </w:rPr>
        <w:t>投标</w:t>
      </w:r>
      <w:r>
        <w:rPr>
          <w:rFonts w:hint="eastAsia" w:ascii="微软雅黑" w:hAnsi="微软雅黑" w:eastAsia="微软雅黑" w:cs="Arial"/>
          <w:b/>
          <w:color w:val="000000" w:themeColor="text1"/>
          <w:kern w:val="0"/>
          <w:sz w:val="18"/>
          <w:szCs w:val="18"/>
          <w14:textFill>
            <w14:solidFill>
              <w14:schemeClr w14:val="tx1"/>
            </w14:solidFill>
          </w14:textFill>
        </w:rPr>
        <w:t>说明：</w:t>
      </w:r>
    </w:p>
    <w:p>
      <w:pPr>
        <w:pStyle w:val="19"/>
        <w:widowControl/>
        <w:numPr>
          <w:ilvl w:val="0"/>
          <w:numId w:val="4"/>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招标形式：全部参与招</w:t>
      </w:r>
      <w:r>
        <w:rPr>
          <w:rFonts w:ascii="微软雅黑" w:hAnsi="微软雅黑" w:eastAsia="微软雅黑" w:cs="Arial"/>
          <w:b/>
          <w:color w:val="000000" w:themeColor="text1"/>
          <w:kern w:val="0"/>
          <w:sz w:val="18"/>
          <w:szCs w:val="18"/>
          <w14:textFill>
            <w14:solidFill>
              <w14:schemeClr w14:val="tx1"/>
            </w14:solidFill>
          </w14:textFill>
        </w:rPr>
        <w:t>投标</w:t>
      </w:r>
      <w:r>
        <w:rPr>
          <w:rFonts w:hint="eastAsia" w:ascii="微软雅黑" w:hAnsi="微软雅黑" w:eastAsia="微软雅黑" w:cs="Arial"/>
          <w:b/>
          <w:color w:val="000000" w:themeColor="text1"/>
          <w:kern w:val="0"/>
          <w:sz w:val="18"/>
          <w:szCs w:val="18"/>
          <w14:textFill>
            <w14:solidFill>
              <w14:schemeClr w14:val="tx1"/>
            </w14:solidFill>
          </w14:textFill>
        </w:rPr>
        <w:t>承运商，均需在京东物流运力</w:t>
      </w:r>
      <w:r>
        <w:rPr>
          <w:rFonts w:ascii="微软雅黑" w:hAnsi="微软雅黑" w:eastAsia="微软雅黑" w:cs="Arial"/>
          <w:b/>
          <w:color w:val="000000" w:themeColor="text1"/>
          <w:kern w:val="0"/>
          <w:sz w:val="18"/>
          <w:szCs w:val="18"/>
          <w14:textFill>
            <w14:solidFill>
              <w14:schemeClr w14:val="tx1"/>
            </w14:solidFill>
          </w14:textFill>
        </w:rPr>
        <w:t>招标系统</w:t>
      </w:r>
      <w:r>
        <w:rPr>
          <w:rFonts w:hint="eastAsia" w:ascii="微软雅黑" w:hAnsi="微软雅黑" w:eastAsia="微软雅黑" w:cs="Arial"/>
          <w:b/>
          <w:color w:val="000000" w:themeColor="text1"/>
          <w:kern w:val="0"/>
          <w:sz w:val="18"/>
          <w:szCs w:val="18"/>
          <w14:textFill>
            <w14:solidFill>
              <w14:schemeClr w14:val="tx1"/>
            </w14:solidFill>
          </w14:textFill>
        </w:rPr>
        <w:t>（</w:t>
      </w:r>
      <w:r>
        <w:rPr>
          <w:rFonts w:ascii="微软雅黑" w:hAnsi="微软雅黑" w:eastAsia="微软雅黑" w:cs="Arial"/>
          <w:b/>
          <w:color w:val="000000" w:themeColor="text1"/>
          <w:kern w:val="0"/>
          <w:sz w:val="18"/>
          <w:szCs w:val="18"/>
          <w14:textFill>
            <w14:solidFill>
              <w14:schemeClr w14:val="tx1"/>
            </w14:solidFill>
          </w14:textFill>
        </w:rPr>
        <w:t>https://tms.jdl.com/</w:t>
      </w:r>
      <w:r>
        <w:rPr>
          <w:rFonts w:hint="eastAsia" w:ascii="微软雅黑" w:hAnsi="微软雅黑" w:eastAsia="微软雅黑" w:cs="Arial"/>
          <w:b/>
          <w:color w:val="000000" w:themeColor="text1"/>
          <w:kern w:val="0"/>
          <w:sz w:val="18"/>
          <w:szCs w:val="18"/>
          <w14:textFill>
            <w14:solidFill>
              <w14:schemeClr w14:val="tx1"/>
            </w14:solidFill>
          </w14:textFill>
        </w:rPr>
        <w:t>）</w:t>
      </w:r>
      <w:r>
        <w:rPr>
          <w:rFonts w:ascii="微软雅黑" w:hAnsi="微软雅黑" w:eastAsia="微软雅黑" w:cs="Arial"/>
          <w:b/>
          <w:color w:val="000000" w:themeColor="text1"/>
          <w:kern w:val="0"/>
          <w:sz w:val="18"/>
          <w:szCs w:val="18"/>
          <w14:textFill>
            <w14:solidFill>
              <w14:schemeClr w14:val="tx1"/>
            </w14:solidFill>
          </w14:textFill>
        </w:rPr>
        <w:t>进行</w:t>
      </w:r>
      <w:r>
        <w:rPr>
          <w:rFonts w:hint="eastAsia" w:ascii="微软雅黑" w:hAnsi="微软雅黑" w:eastAsia="微软雅黑" w:cs="Arial"/>
          <w:b/>
          <w:color w:val="000000" w:themeColor="text1"/>
          <w:kern w:val="0"/>
          <w:sz w:val="18"/>
          <w:szCs w:val="18"/>
          <w14:textFill>
            <w14:solidFill>
              <w14:schemeClr w14:val="tx1"/>
            </w14:solidFill>
          </w14:textFill>
        </w:rPr>
        <w:t>报名</w:t>
      </w:r>
      <w:r>
        <w:rPr>
          <w:rFonts w:ascii="微软雅黑" w:hAnsi="微软雅黑" w:eastAsia="微软雅黑" w:cs="Arial"/>
          <w:b/>
          <w:color w:val="000000" w:themeColor="text1"/>
          <w:kern w:val="0"/>
          <w:sz w:val="18"/>
          <w:szCs w:val="18"/>
          <w14:textFill>
            <w14:solidFill>
              <w14:schemeClr w14:val="tx1"/>
            </w14:solidFill>
          </w14:textFill>
        </w:rPr>
        <w:t>、报价</w:t>
      </w:r>
      <w:r>
        <w:rPr>
          <w:rFonts w:hint="eastAsia" w:ascii="微软雅黑" w:hAnsi="微软雅黑" w:eastAsia="微软雅黑" w:cs="Arial"/>
          <w:b/>
          <w:color w:val="000000" w:themeColor="text1"/>
          <w:kern w:val="0"/>
          <w:sz w:val="18"/>
          <w:szCs w:val="18"/>
          <w14:textFill>
            <w14:solidFill>
              <w14:schemeClr w14:val="tx1"/>
            </w14:solidFill>
          </w14:textFill>
        </w:rPr>
        <w:t>，不接受线下邮件、纸质标书等形式投标</w:t>
      </w:r>
      <w:r>
        <w:rPr>
          <w:rFonts w:hint="eastAsia" w:ascii="微软雅黑" w:hAnsi="微软雅黑" w:eastAsia="微软雅黑" w:cs="Arial"/>
          <w:color w:val="000000" w:themeColor="text1"/>
          <w:kern w:val="0"/>
          <w:sz w:val="18"/>
          <w:szCs w:val="18"/>
          <w14:textFill>
            <w14:solidFill>
              <w14:schemeClr w14:val="tx1"/>
            </w14:solidFill>
          </w14:textFill>
        </w:rPr>
        <w:t>（</w:t>
      </w:r>
      <w:r>
        <w:rPr>
          <w:rFonts w:ascii="微软雅黑" w:hAnsi="微软雅黑" w:eastAsia="微软雅黑" w:cs="Arial"/>
          <w:b/>
          <w:kern w:val="0"/>
          <w:sz w:val="18"/>
          <w:szCs w:val="18"/>
        </w:rPr>
        <w:t>承运商登陆账号若已绑定企业信息，则此登录账号不得再继续注册京驿平台个体信息，否则系统内身份异常，将造成不能招投标情况</w:t>
      </w:r>
      <w:r>
        <w:rPr>
          <w:rFonts w:hint="eastAsia"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b/>
          <w:color w:val="000000" w:themeColor="text1"/>
          <w:kern w:val="0"/>
          <w:sz w:val="18"/>
          <w:szCs w:val="18"/>
          <w14:textFill>
            <w14:solidFill>
              <w14:schemeClr w14:val="tx1"/>
            </w14:solidFill>
          </w14:textFill>
        </w:rPr>
        <w:t>；同时，概不受理在非京东物流运力招标系统的报名报价；投标人需对投标文件的真实性、准确性负责，一旦中标，投标书将作为合同的重要组成部分；</w:t>
      </w:r>
    </w:p>
    <w:p>
      <w:pPr>
        <w:pStyle w:val="19"/>
        <w:widowControl/>
        <w:numPr>
          <w:ilvl w:val="0"/>
          <w:numId w:val="4"/>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评标维度：依据投标承运商的商务标、及技术标得分综合评定；</w:t>
      </w:r>
    </w:p>
    <w:p>
      <w:pPr>
        <w:pStyle w:val="19"/>
        <w:widowControl/>
        <w:numPr>
          <w:ilvl w:val="0"/>
          <w:numId w:val="4"/>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技术标说明：投标承运商系统报名，并完成投标保证金缴纳后，需参考系统技术标评定维度，在规定的时间内完成技术标相关资料的上传，未上传技术标资料的技术分将默认零分 ；</w:t>
      </w:r>
    </w:p>
    <w:p>
      <w:pPr>
        <w:pStyle w:val="19"/>
        <w:widowControl/>
        <w:numPr>
          <w:ilvl w:val="0"/>
          <w:numId w:val="4"/>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商务标说明：参与招</w:t>
      </w:r>
      <w:r>
        <w:rPr>
          <w:rFonts w:ascii="微软雅黑" w:hAnsi="微软雅黑" w:eastAsia="微软雅黑" w:cs="Arial"/>
          <w:b/>
          <w:color w:val="000000" w:themeColor="text1"/>
          <w:kern w:val="0"/>
          <w:sz w:val="18"/>
          <w:szCs w:val="18"/>
          <w14:textFill>
            <w14:solidFill>
              <w14:schemeClr w14:val="tx1"/>
            </w14:solidFill>
          </w14:textFill>
        </w:rPr>
        <w:t>投标承运商需</w:t>
      </w:r>
      <w:r>
        <w:rPr>
          <w:rFonts w:hint="eastAsia" w:ascii="微软雅黑" w:hAnsi="微软雅黑" w:eastAsia="微软雅黑" w:cs="Arial"/>
          <w:b/>
          <w:color w:val="000000" w:themeColor="text1"/>
          <w:kern w:val="0"/>
          <w:sz w:val="18"/>
          <w:szCs w:val="18"/>
          <w14:textFill>
            <w14:solidFill>
              <w14:schemeClr w14:val="tx1"/>
            </w14:solidFill>
          </w14:textFill>
        </w:rPr>
        <w:t>按时在系统完成首次报价，超期不作处理，，首次报价后系统将结合报价情况启动多轮议价，以系统发送到报名预留邮箱的通知为主；</w:t>
      </w:r>
    </w:p>
    <w:p>
      <w:pPr>
        <w:pStyle w:val="19"/>
        <w:widowControl/>
        <w:numPr>
          <w:ilvl w:val="0"/>
          <w:numId w:val="4"/>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线上系统投标具体操作要求见下：</w:t>
      </w:r>
    </w:p>
    <w:p>
      <w:pPr>
        <w:widowControl/>
        <w:tabs>
          <w:tab w:val="left" w:pos="7035"/>
        </w:tabs>
        <w:adjustRightInd w:val="0"/>
        <w:snapToGrid w:val="0"/>
        <w:spacing w:before="163" w:beforeLines="50"/>
        <w:jc w:val="left"/>
        <w:rPr>
          <w:rFonts w:ascii="微软雅黑" w:hAnsi="微软雅黑" w:eastAsia="微软雅黑" w:cs="Arial"/>
          <w:b/>
          <w:kern w:val="0"/>
          <w:sz w:val="18"/>
          <w:szCs w:val="18"/>
        </w:rPr>
      </w:pPr>
      <w:r>
        <w:rPr>
          <w:rFonts w:ascii="微软雅黑" w:hAnsi="微软雅黑" w:eastAsia="微软雅黑" w:cs="Arial"/>
          <w:b/>
          <w:kern w:val="0"/>
          <w:sz w:val="18"/>
          <w:szCs w:val="18"/>
        </w:rPr>
        <w:t>3</w:t>
      </w:r>
      <w:r>
        <w:rPr>
          <w:rFonts w:hint="eastAsia" w:ascii="微软雅黑" w:hAnsi="微软雅黑" w:eastAsia="微软雅黑" w:cs="Arial"/>
          <w:b/>
          <w:kern w:val="0"/>
          <w:sz w:val="18"/>
          <w:szCs w:val="18"/>
        </w:rPr>
        <w:t>.报名报价说明</w:t>
      </w:r>
      <w:r>
        <w:rPr>
          <w:rFonts w:ascii="微软雅黑" w:hAnsi="微软雅黑" w:eastAsia="微软雅黑" w:cs="Arial"/>
          <w:b/>
          <w:kern w:val="0"/>
          <w:sz w:val="18"/>
          <w:szCs w:val="18"/>
        </w:rPr>
        <w:tab/>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（1）报名截止日期</w:t>
      </w:r>
      <w:r>
        <w:rPr>
          <w:rFonts w:hint="eastAsia"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color w:val="FF0000"/>
          <w:kern w:val="0"/>
          <w:sz w:val="18"/>
          <w:szCs w:val="18"/>
          <w:highlight w:val="yellow"/>
        </w:rPr>
        <w:t>【</w:t>
      </w:r>
      <w:r>
        <w:rPr>
          <w:rFonts w:ascii="微软雅黑" w:hAnsi="微软雅黑" w:eastAsia="微软雅黑" w:cs="Arial"/>
          <w:color w:val="FF0000"/>
          <w:kern w:val="0"/>
          <w:sz w:val="18"/>
          <w:szCs w:val="18"/>
          <w:highlight w:val="yellow"/>
        </w:rPr>
        <w:t>2024</w:t>
      </w:r>
      <w:r>
        <w:rPr>
          <w:rFonts w:hint="eastAsia" w:ascii="微软雅黑" w:hAnsi="微软雅黑" w:eastAsia="微软雅黑" w:cs="Arial"/>
          <w:color w:val="FF0000"/>
          <w:kern w:val="0"/>
          <w:sz w:val="18"/>
          <w:szCs w:val="18"/>
          <w:highlight w:val="yellow"/>
        </w:rPr>
        <w:t>年</w:t>
      </w:r>
      <w:r>
        <w:rPr>
          <w:rFonts w:ascii="微软雅黑" w:hAnsi="微软雅黑" w:eastAsia="微软雅黑" w:cs="Arial"/>
          <w:color w:val="FF0000"/>
          <w:kern w:val="0"/>
          <w:sz w:val="18"/>
          <w:szCs w:val="18"/>
          <w:highlight w:val="yellow"/>
        </w:rPr>
        <w:t>4</w:t>
      </w:r>
      <w:r>
        <w:rPr>
          <w:rFonts w:hint="eastAsia" w:ascii="微软雅黑" w:hAnsi="微软雅黑" w:eastAsia="微软雅黑" w:cs="Arial"/>
          <w:color w:val="FF0000"/>
          <w:kern w:val="0"/>
          <w:sz w:val="18"/>
          <w:szCs w:val="18"/>
          <w:highlight w:val="yellow"/>
        </w:rPr>
        <w:t>月</w:t>
      </w:r>
      <w:r>
        <w:rPr>
          <w:rFonts w:ascii="微软雅黑" w:hAnsi="微软雅黑" w:eastAsia="微软雅黑" w:cs="Arial"/>
          <w:color w:val="FF0000"/>
          <w:kern w:val="0"/>
          <w:sz w:val="18"/>
          <w:szCs w:val="18"/>
          <w:highlight w:val="yellow"/>
        </w:rPr>
        <w:t>28</w:t>
      </w:r>
      <w:r>
        <w:rPr>
          <w:rFonts w:hint="eastAsia" w:ascii="微软雅黑" w:hAnsi="微软雅黑" w:eastAsia="微软雅黑" w:cs="Arial"/>
          <w:color w:val="FF0000"/>
          <w:kern w:val="0"/>
          <w:sz w:val="18"/>
          <w:szCs w:val="18"/>
          <w:highlight w:val="yellow"/>
        </w:rPr>
        <w:t>日</w:t>
      </w:r>
      <w:r>
        <w:rPr>
          <w:rFonts w:ascii="微软雅黑" w:hAnsi="微软雅黑" w:eastAsia="微软雅黑" w:cs="Arial"/>
          <w:color w:val="FF0000"/>
          <w:kern w:val="0"/>
          <w:sz w:val="18"/>
          <w:szCs w:val="18"/>
          <w:highlight w:val="yellow"/>
        </w:rPr>
        <w:t>10:00</w:t>
      </w:r>
      <w:r>
        <w:rPr>
          <w:rFonts w:hint="eastAsia" w:ascii="微软雅黑" w:hAnsi="微软雅黑" w:eastAsia="微软雅黑" w:cs="Arial"/>
          <w:color w:val="FF0000"/>
          <w:kern w:val="0"/>
          <w:sz w:val="18"/>
          <w:szCs w:val="18"/>
          <w:highlight w:val="yellow"/>
        </w:rPr>
        <w:t>】</w:t>
      </w:r>
      <w:r>
        <w:rPr>
          <w:rFonts w:hint="eastAsia" w:ascii="微软雅黑" w:hAnsi="微软雅黑" w:eastAsia="微软雅黑" w:cs="Arial"/>
          <w:color w:val="000000" w:themeColor="text1"/>
          <w:kern w:val="0"/>
          <w:sz w:val="18"/>
          <w:szCs w:val="18"/>
          <w14:textFill>
            <w14:solidFill>
              <w14:schemeClr w14:val="tx1"/>
            </w14:solidFill>
          </w14:textFill>
        </w:rPr>
        <w:t>，线上报名网址：</w:t>
      </w:r>
      <w:r>
        <w:rPr>
          <w:rFonts w:ascii="微软雅黑" w:hAnsi="微软雅黑" w:eastAsia="微软雅黑" w:cs="Arial"/>
          <w:color w:val="000000" w:themeColor="text1"/>
          <w:kern w:val="0"/>
          <w:sz w:val="18"/>
          <w:szCs w:val="18"/>
          <w14:textFill>
            <w14:solidFill>
              <w14:schemeClr w14:val="tx1"/>
            </w14:solidFill>
          </w14:textFill>
        </w:rPr>
        <w:t>https://tms.jdl.com/</w:t>
      </w:r>
      <w:r>
        <w:rPr>
          <w:rFonts w:hint="eastAsia" w:cs="Arial"/>
          <w:color w:val="000000" w:themeColor="text1"/>
          <w:kern w:val="0"/>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 xml:space="preserve">以线上报名为准，逾期恕不受理报名，未报名不受理投标； </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（2）报名形式</w:t>
      </w:r>
      <w:r>
        <w:rPr>
          <w:rFonts w:hint="eastAsia"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b/>
          <w:color w:val="000000" w:themeColor="text1"/>
          <w:kern w:val="0"/>
          <w:sz w:val="18"/>
          <w:szCs w:val="18"/>
          <w14:textFill>
            <w14:solidFill>
              <w14:schemeClr w14:val="tx1"/>
            </w14:solidFill>
          </w14:textFill>
        </w:rPr>
        <w:t>系统报名报价。</w:t>
      </w:r>
      <w:r>
        <w:rPr>
          <w:rFonts w:hint="eastAsia" w:ascii="微软雅黑" w:hAnsi="微软雅黑" w:eastAsia="微软雅黑" w:cs="Arial"/>
          <w:color w:val="FF0000"/>
          <w:kern w:val="0"/>
          <w:sz w:val="18"/>
          <w:szCs w:val="18"/>
        </w:rPr>
        <w:t>系统报名操作方式见附件四</w:t>
      </w:r>
      <w:r>
        <w:rPr>
          <w:rFonts w:ascii="微软雅黑" w:hAnsi="微软雅黑" w:eastAsia="微软雅黑" w:cs="Arial"/>
          <w:color w:val="FF0000"/>
          <w:kern w:val="0"/>
          <w:sz w:val="18"/>
          <w:szCs w:val="18"/>
        </w:rPr>
        <w:t>《</w:t>
      </w:r>
      <w:r>
        <w:rPr>
          <w:rFonts w:hint="eastAsia" w:ascii="微软雅黑" w:hAnsi="微软雅黑" w:eastAsia="微软雅黑" w:cs="Arial"/>
          <w:color w:val="FF0000"/>
          <w:kern w:val="0"/>
          <w:sz w:val="18"/>
          <w:szCs w:val="18"/>
        </w:rPr>
        <w:t>承运商入驻及投标指导手册</w:t>
      </w:r>
      <w:r>
        <w:rPr>
          <w:rFonts w:ascii="微软雅黑" w:hAnsi="微软雅黑" w:eastAsia="微软雅黑" w:cs="Arial"/>
          <w:color w:val="FF0000"/>
          <w:kern w:val="0"/>
          <w:sz w:val="18"/>
          <w:szCs w:val="18"/>
        </w:rPr>
        <w:t>》；系统报名时，在合作承运商可不缴纳投标保证金</w:t>
      </w:r>
      <w:r>
        <w:rPr>
          <w:rFonts w:hint="eastAsia" w:ascii="微软雅黑" w:hAnsi="微软雅黑" w:eastAsia="微软雅黑" w:cs="Arial"/>
          <w:color w:val="FF0000"/>
          <w:kern w:val="0"/>
          <w:sz w:val="18"/>
          <w:szCs w:val="18"/>
        </w:rPr>
        <w:t>，上传附件二《投标承诺函》</w:t>
      </w:r>
      <w:r>
        <w:rPr>
          <w:rFonts w:ascii="微软雅黑" w:hAnsi="微软雅黑" w:eastAsia="微软雅黑" w:cs="Arial"/>
          <w:color w:val="FF0000"/>
          <w:kern w:val="0"/>
          <w:sz w:val="18"/>
          <w:szCs w:val="18"/>
        </w:rPr>
        <w:t>和</w:t>
      </w:r>
      <w:r>
        <w:rPr>
          <w:rFonts w:hint="eastAsia" w:ascii="微软雅黑" w:hAnsi="微软雅黑" w:eastAsia="微软雅黑" w:cs="Arial"/>
          <w:color w:val="FF0000"/>
          <w:kern w:val="0"/>
          <w:sz w:val="18"/>
          <w:szCs w:val="18"/>
        </w:rPr>
        <w:t>附件三《投标授权书》即可。其他参与投标承运商均需缴纳投标保证金并上传《投标保证金缴纳凭证》和附件三《投标授权书》</w:t>
      </w:r>
      <w:r>
        <w:rPr>
          <w:rFonts w:ascii="微软雅黑" w:hAnsi="微软雅黑" w:eastAsia="微软雅黑" w:cs="Arial"/>
          <w:color w:val="FF0000"/>
          <w:kern w:val="0"/>
          <w:sz w:val="18"/>
          <w:szCs w:val="18"/>
        </w:rPr>
        <w:t xml:space="preserve"> </w:t>
      </w:r>
      <w:r>
        <w:rPr>
          <w:rFonts w:hint="eastAsia" w:ascii="微软雅黑" w:hAnsi="微软雅黑" w:eastAsia="微软雅黑" w:cs="Arial"/>
          <w:color w:val="FF0000"/>
          <w:kern w:val="0"/>
          <w:sz w:val="18"/>
          <w:szCs w:val="18"/>
        </w:rPr>
        <w:t>。</w:t>
      </w:r>
    </w:p>
    <w:p>
      <w:pPr>
        <w:pStyle w:val="19"/>
        <w:widowControl/>
        <w:adjustRightInd w:val="0"/>
        <w:snapToGrid w:val="0"/>
        <w:ind w:left="720" w:firstLine="0"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drawing>
          <wp:anchor distT="0" distB="0" distL="114300" distR="114300" simplePos="0" relativeHeight="251661312" behindDoc="0" locked="0" layoutInCell="1" allowOverlap="1">
            <wp:simplePos x="0" y="0"/>
            <wp:positionH relativeFrom="margin">
              <wp:align>left</wp:align>
            </wp:positionH>
            <wp:positionV relativeFrom="paragraph">
              <wp:posOffset>21590</wp:posOffset>
            </wp:positionV>
            <wp:extent cx="5864860" cy="2030095"/>
            <wp:effectExtent l="19050" t="19050" r="21590" b="273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64860" cy="2030095"/>
                    </a:xfrm>
                    <a:prstGeom prst="rect">
                      <a:avLst/>
                    </a:prstGeom>
                    <a:noFill/>
                    <a:ln>
                      <a:solidFill>
                        <a:schemeClr val="bg1">
                          <a:lumMod val="75000"/>
                        </a:schemeClr>
                      </a:solidFill>
                    </a:ln>
                  </pic:spPr>
                </pic:pic>
              </a:graphicData>
            </a:graphic>
          </wp:anchor>
        </w:drawing>
      </w:r>
      <w:r>
        <w:rPr>
          <w:rFonts w:asciiTheme="minorHAnsi" w:hAnsiTheme="minorHAnsi" w:eastAsiaTheme="minorEastAsia" w:cstheme="minorBidi"/>
          <w:sz w:val="24"/>
          <w:szCs w:val="24"/>
        </w:rPr>
        <mc:AlternateContent>
          <mc:Choice Requires="wps">
            <w:drawing>
              <wp:anchor distT="0" distB="0" distL="114300" distR="114300" simplePos="0" relativeHeight="251659264" behindDoc="0" locked="0" layoutInCell="1" allowOverlap="1">
                <wp:simplePos x="0" y="0"/>
                <wp:positionH relativeFrom="column">
                  <wp:posOffset>1358900</wp:posOffset>
                </wp:positionH>
                <wp:positionV relativeFrom="paragraph">
                  <wp:posOffset>1613535</wp:posOffset>
                </wp:positionV>
                <wp:extent cx="1708150" cy="349250"/>
                <wp:effectExtent l="0" t="0" r="0" b="0"/>
                <wp:wrapNone/>
                <wp:docPr id="18" name="矩形 17"/>
                <wp:cNvGraphicFramePr/>
                <a:graphic xmlns:a="http://schemas.openxmlformats.org/drawingml/2006/main">
                  <a:graphicData uri="http://schemas.microsoft.com/office/word/2010/wordprocessingShape">
                    <wps:wsp>
                      <wps:cNvSpPr/>
                      <wps:spPr>
                        <a:xfrm>
                          <a:off x="0" y="0"/>
                          <a:ext cx="1708150" cy="349250"/>
                        </a:xfrm>
                        <a:prstGeom prst="rect">
                          <a:avLst/>
                        </a:prstGeom>
                      </wps:spPr>
                      <wps:txbx>
                        <w:txbxContent>
                          <w:p>
                            <w:pPr>
                              <w:pStyle w:val="19"/>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点击“上传凭证”</w:t>
                            </w:r>
                          </w:p>
                        </w:txbxContent>
                      </wps:txbx>
                      <wps:bodyPr wrap="square">
                        <a:noAutofit/>
                      </wps:bodyPr>
                    </wps:wsp>
                  </a:graphicData>
                </a:graphic>
              </wp:anchor>
            </w:drawing>
          </mc:Choice>
          <mc:Fallback>
            <w:pict>
              <v:rect id="矩形 17" o:spid="_x0000_s1026" o:spt="1" style="position:absolute;left:0pt;margin-left:107pt;margin-top:127.05pt;height:27.5pt;width:134.5pt;z-index:251659264;mso-width-relative:page;mso-height-relative:page;" filled="f" stroked="f" coordsize="21600,21600" o:gfxdata="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yDeHtwAAAALAQAA&#10;DwAAAAAAAAABACAAAAAiAAAAZHJzL2Rvd25yZXYueG1sUEsBAhQAFAAAAAgAh07iQAst6RejAQAA&#10;PAMAAA4AAAAAAAAAAQAgAAAAKwEAAGRycy9lMm9Eb2MueG1sUEsFBgAAAAAGAAYAWQEAAEAFAAAA&#10;AA==&#10;">
                <v:fill on="f" focussize="0,0"/>
                <v:stroke on="f"/>
                <v:imagedata o:title=""/>
                <o:lock v:ext="edit" aspectratio="f"/>
                <v:textbox>
                  <w:txbxContent>
                    <w:p>
                      <w:pPr>
                        <w:pStyle w:val="19"/>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点击“上传凭证”</w:t>
                      </w:r>
                    </w:p>
                  </w:txbxContent>
                </v:textbox>
              </v:rect>
            </w:pict>
          </mc:Fallback>
        </mc:AlternateContent>
      </w:r>
    </w:p>
    <w:p>
      <w:pPr>
        <w:widowControl/>
        <w:adjustRightInd w:val="0"/>
        <w:snapToGrid w:val="0"/>
        <w:spacing w:line="276" w:lineRule="auto"/>
        <w:jc w:val="left"/>
      </w:pPr>
      <w:r>
        <w:rPr>
          <w:rFonts w:ascii="Calibri" w:hAnsi="Calibri" w:eastAsia="宋体" w:cs="Times New Roman"/>
          <w:sz w:val="21"/>
          <w:szCs w:val="22"/>
        </w:rPr>
        <mc:AlternateContent>
          <mc:Choice Requires="wps">
            <w:drawing>
              <wp:anchor distT="0" distB="0" distL="114300" distR="114300" simplePos="0" relativeHeight="251660288" behindDoc="0" locked="0" layoutInCell="1" allowOverlap="1">
                <wp:simplePos x="0" y="0"/>
                <wp:positionH relativeFrom="column">
                  <wp:posOffset>1555750</wp:posOffset>
                </wp:positionH>
                <wp:positionV relativeFrom="paragraph">
                  <wp:posOffset>1568450</wp:posOffset>
                </wp:positionV>
                <wp:extent cx="2152650" cy="393700"/>
                <wp:effectExtent l="0" t="0" r="0" b="0"/>
                <wp:wrapNone/>
                <wp:docPr id="4" name="矩形 17"/>
                <wp:cNvGraphicFramePr/>
                <a:graphic xmlns:a="http://schemas.openxmlformats.org/drawingml/2006/main">
                  <a:graphicData uri="http://schemas.microsoft.com/office/word/2010/wordprocessingShape">
                    <wps:wsp>
                      <wps:cNvSpPr/>
                      <wps:spPr>
                        <a:xfrm>
                          <a:off x="0" y="0"/>
                          <a:ext cx="2152650" cy="393700"/>
                        </a:xfrm>
                        <a:prstGeom prst="rect">
                          <a:avLst/>
                        </a:prstGeom>
                      </wps:spPr>
                      <wps:txbx>
                        <w:txbxContent>
                          <w:p>
                            <w:pPr>
                              <w:pStyle w:val="19"/>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上传打款凭证和投标授权书</w:t>
                            </w:r>
                          </w:p>
                        </w:txbxContent>
                      </wps:txbx>
                      <wps:bodyPr wrap="square">
                        <a:noAutofit/>
                      </wps:bodyPr>
                    </wps:wsp>
                  </a:graphicData>
                </a:graphic>
              </wp:anchor>
            </w:drawing>
          </mc:Choice>
          <mc:Fallback>
            <w:pict>
              <v:rect id="矩形 17" o:spid="_x0000_s1026" o:spt="1" style="position:absolute;left:0pt;margin-left:122.5pt;margin-top:123.5pt;height:31pt;width:169.5pt;z-index:251660288;mso-width-relative:page;mso-height-relative:page;" filled="f" stroked="f" coordsize="21600,21600" o:gfxdata="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wkjFNsAAAALAQAA&#10;DwAAAAAAAAABACAAAAAiAAAAZHJzL2Rvd25yZXYueG1sUEsBAhQAFAAAAAgAh07iQHkdT3WkAQAA&#10;OwMAAA4AAAAAAAAAAQAgAAAAKgEAAGRycy9lMm9Eb2MueG1sUEsFBgAAAAAGAAYAWQEAAEAFAAAA&#10;AA==&#10;">
                <v:fill on="f" focussize="0,0"/>
                <v:stroke on="f"/>
                <v:imagedata o:title=""/>
                <o:lock v:ext="edit" aspectratio="f"/>
                <v:textbox>
                  <w:txbxContent>
                    <w:p>
                      <w:pPr>
                        <w:pStyle w:val="19"/>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上传打款凭证和投标授权书</w:t>
                      </w:r>
                    </w:p>
                  </w:txbxContent>
                </v:textbox>
              </v:rect>
            </w:pict>
          </mc:Fallback>
        </mc:AlternateContent>
      </w:r>
      <w:r>
        <w:t xml:space="preserve"> </w:t>
      </w: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p>
    <w:p>
      <w:pPr>
        <w:widowControl/>
        <w:adjustRightInd w:val="0"/>
        <w:snapToGrid w:val="0"/>
        <w:spacing w:line="276" w:lineRule="auto"/>
        <w:jc w:val="left"/>
      </w:pPr>
      <w:r>
        <w:rPr>
          <w:rFonts w:ascii="微软雅黑" w:hAnsi="微软雅黑" w:eastAsia="微软雅黑" w:cs="Arial"/>
          <w:color w:val="000000" w:themeColor="text1"/>
          <w:kern w:val="0"/>
          <w:sz w:val="18"/>
          <w:szCs w:val="18"/>
          <w14:textFill>
            <w14:solidFill>
              <w14:schemeClr w14:val="tx1"/>
            </w14:solidFill>
          </w14:textFill>
        </w:rPr>
        <w:drawing>
          <wp:anchor distT="0" distB="0" distL="114300" distR="114300" simplePos="0" relativeHeight="251662336" behindDoc="0" locked="0" layoutInCell="1" allowOverlap="1">
            <wp:simplePos x="0" y="0"/>
            <wp:positionH relativeFrom="margin">
              <wp:posOffset>12065</wp:posOffset>
            </wp:positionH>
            <wp:positionV relativeFrom="paragraph">
              <wp:posOffset>12700</wp:posOffset>
            </wp:positionV>
            <wp:extent cx="3751580" cy="2850515"/>
            <wp:effectExtent l="19050" t="19050" r="20320" b="260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51831" cy="2850553"/>
                    </a:xfrm>
                    <a:prstGeom prst="rect">
                      <a:avLst/>
                    </a:prstGeom>
                    <a:ln>
                      <a:solidFill>
                        <a:schemeClr val="bg1">
                          <a:lumMod val="75000"/>
                        </a:schemeClr>
                      </a:solidFill>
                    </a:ln>
                  </pic:spPr>
                </pic:pic>
              </a:graphicData>
            </a:graphic>
          </wp:anchor>
        </w:drawing>
      </w:r>
    </w:p>
    <w:p>
      <w:pPr>
        <w:widowControl/>
        <w:adjustRightInd w:val="0"/>
        <w:snapToGrid w:val="0"/>
        <w:spacing w:line="276" w:lineRule="auto"/>
        <w:jc w:val="left"/>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r>
        <w:rPr>
          <w:rFonts w:ascii="Calibri" w:hAnsi="Calibri" w:eastAsia="宋体" w:cs="Times New Roman"/>
          <w:sz w:val="21"/>
          <w:szCs w:val="22"/>
        </w:rPr>
        <mc:AlternateContent>
          <mc:Choice Requires="wps">
            <w:drawing>
              <wp:anchor distT="0" distB="0" distL="114300" distR="114300" simplePos="0" relativeHeight="251663360" behindDoc="0" locked="0" layoutInCell="1" allowOverlap="1">
                <wp:simplePos x="0" y="0"/>
                <wp:positionH relativeFrom="column">
                  <wp:posOffset>119380</wp:posOffset>
                </wp:positionH>
                <wp:positionV relativeFrom="paragraph">
                  <wp:posOffset>154305</wp:posOffset>
                </wp:positionV>
                <wp:extent cx="1593850" cy="1600200"/>
                <wp:effectExtent l="0" t="0" r="25400" b="19050"/>
                <wp:wrapNone/>
                <wp:docPr id="5" name="矩形 5"/>
                <wp:cNvGraphicFramePr/>
                <a:graphic xmlns:a="http://schemas.openxmlformats.org/drawingml/2006/main">
                  <a:graphicData uri="http://schemas.microsoft.com/office/word/2010/wordprocessingShape">
                    <wps:wsp>
                      <wps:cNvSpPr/>
                      <wps:spPr>
                        <a:xfrm>
                          <a:off x="0" y="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pt;margin-top:12.15pt;height:126pt;width:125.5pt;z-index:251663360;v-text-anchor:middle;mso-width-relative:page;mso-height-relative:page;" filled="f" stroked="t" coordsize="21600,21600" o:gfxdata="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Uahdd1gAAAAkBAAAPAAAAAAAAAAEAIAAAACIAAABkcnMvZG93bnJldi54bWxQ&#10;SwECFAAUAAAACACHTuJA80TFVmsCAADMBAAADgAAAAAAAAABACAAAAAlAQAAZHJzL2Uyb0RvYy54&#10;bWxQSwUGAAAAAAYABgBZAQAAAgYAAAAA&#10;">
                <v:fill on="f" focussize="0,0"/>
                <v:stroke weight="1pt" color="#FF0000 [3204]" miterlimit="8" joinstyle="miter"/>
                <v:imagedata o:title=""/>
                <o:lock v:ext="edit" aspectratio="f"/>
              </v:rect>
            </w:pict>
          </mc:Fallback>
        </mc:AlternateContent>
      </w: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276" w:lineRule="auto"/>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jc w:val="left"/>
        <w:rPr>
          <w:rFonts w:ascii="微软雅黑" w:hAnsi="微软雅黑" w:eastAsia="微软雅黑" w:cs="Arial"/>
          <w:b/>
          <w:kern w:val="0"/>
          <w:sz w:val="18"/>
          <w:szCs w:val="18"/>
        </w:rPr>
      </w:pPr>
      <w:r>
        <w:rPr>
          <w:rFonts w:hint="eastAsia" w:ascii="微软雅黑" w:hAnsi="微软雅黑" w:eastAsia="微软雅黑" w:cs="Arial"/>
          <w:b/>
          <w:color w:val="000000" w:themeColor="text1"/>
          <w:kern w:val="0"/>
          <w:sz w:val="18"/>
          <w:szCs w:val="18"/>
          <w14:textFill>
            <w14:solidFill>
              <w14:schemeClr w14:val="tx1"/>
            </w14:solidFill>
          </w14:textFill>
        </w:rPr>
        <w:t>（3）报名最小单位：标的号。</w:t>
      </w:r>
      <w:r>
        <w:rPr>
          <w:rFonts w:hint="eastAsia" w:ascii="微软雅黑" w:hAnsi="微软雅黑" w:eastAsia="微软雅黑" w:cs="Arial"/>
          <w:b/>
          <w:kern w:val="0"/>
          <w:sz w:val="18"/>
          <w:szCs w:val="18"/>
        </w:rPr>
        <w:t>可以任意选择报名，标的号详见投标报价单表头名称“标的号”数字，报价单以系统导出为准，其中标的需求报价部分未画“/”均需报价，报价不全视为此标的废标；</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（4）项目答疑：如项目有答疑环节，具体操作流程及时间安排以京东邮件通知为准；</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（5）开标前，如后续因投标方内部原因等无法继续参与本次招标的，须在【首轮议价截止时间】前在投标系统中操作弃标。超过此时间后，默认报价有效。</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（6）报名后续安排：请按时报价及上传相关资料，并参与入围标的议价，配合京东进行现场考察;</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（7）投标保证金：</w:t>
      </w:r>
    </w:p>
    <w:p>
      <w:pPr>
        <w:pStyle w:val="19"/>
        <w:widowControl/>
        <w:numPr>
          <w:ilvl w:val="0"/>
          <w:numId w:val="6"/>
        </w:numPr>
        <w:adjustRightInd w:val="0"/>
        <w:snapToGrid w:val="0"/>
        <w:spacing w:line="276" w:lineRule="auto"/>
        <w:ind w:firstLineChars="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投标保证金缴纳：</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京东在合作承运商</w:t>
      </w:r>
      <w:r>
        <w:rPr>
          <w:rFonts w:hint="eastAsia" w:ascii="微软雅黑" w:hAnsi="微软雅黑" w:eastAsia="微软雅黑" w:cs="Arial"/>
          <w:kern w:val="0"/>
          <w:sz w:val="18"/>
          <w:szCs w:val="18"/>
        </w:rPr>
        <w:t>：如在我司处有</w:t>
      </w:r>
      <w:r>
        <w:rPr>
          <w:rFonts w:hint="eastAsia" w:ascii="微软雅黑" w:hAnsi="微软雅黑" w:eastAsia="微软雅黑" w:cs="Arial"/>
          <w:kern w:val="0"/>
          <w:sz w:val="18"/>
          <w:szCs w:val="18"/>
          <w:highlight w:val="yellow"/>
        </w:rPr>
        <w:t>【/】</w:t>
      </w:r>
      <w:r>
        <w:rPr>
          <w:rFonts w:hint="eastAsia" w:ascii="微软雅黑" w:hAnsi="微软雅黑" w:eastAsia="微软雅黑" w:cs="Arial"/>
          <w:kern w:val="0"/>
          <w:sz w:val="18"/>
          <w:szCs w:val="18"/>
        </w:rPr>
        <w:t>万元及以上的待结款项，则无需缴纳本次的投标保证金，同时需签署《投标承诺函》</w:t>
      </w:r>
      <w:r>
        <w:rPr>
          <w:rFonts w:hint="eastAsia" w:ascii="微软雅黑" w:hAnsi="微软雅黑" w:eastAsia="微软雅黑" w:cs="Arial"/>
          <w:color w:val="FF0000"/>
          <w:kern w:val="0"/>
          <w:sz w:val="18"/>
          <w:szCs w:val="18"/>
        </w:rPr>
        <w:t>（附件二）</w:t>
      </w:r>
      <w:r>
        <w:rPr>
          <w:rFonts w:hint="eastAsia" w:ascii="微软雅黑" w:hAnsi="微软雅黑" w:eastAsia="微软雅黑" w:cs="Arial"/>
          <w:kern w:val="0"/>
          <w:sz w:val="18"/>
          <w:szCs w:val="18"/>
        </w:rPr>
        <w:t>;</w:t>
      </w:r>
      <w:r>
        <w:rPr>
          <w:rFonts w:ascii="微软雅黑" w:hAnsi="微软雅黑" w:eastAsia="微软雅黑" w:cs="Arial"/>
          <w:kern w:val="0"/>
          <w:sz w:val="18"/>
          <w:szCs w:val="18"/>
        </w:rPr>
        <w:t xml:space="preserve"> </w:t>
      </w:r>
      <w:r>
        <w:rPr>
          <w:rFonts w:hint="eastAsia" w:ascii="微软雅黑" w:hAnsi="微软雅黑" w:eastAsia="微软雅黑" w:cs="Arial"/>
          <w:color w:val="FF0000"/>
          <w:kern w:val="0"/>
          <w:sz w:val="18"/>
          <w:szCs w:val="18"/>
        </w:rPr>
        <w:t>不适用</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新承运商（与京东无合作业务承运商）</w:t>
      </w:r>
      <w:r>
        <w:rPr>
          <w:rFonts w:hint="eastAsia" w:ascii="微软雅黑" w:hAnsi="微软雅黑" w:eastAsia="微软雅黑" w:cs="Arial"/>
          <w:kern w:val="0"/>
          <w:sz w:val="18"/>
          <w:szCs w:val="18"/>
        </w:rPr>
        <w:t>：需缴纳</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5</w:t>
      </w:r>
      <w:r>
        <w:rPr>
          <w:rFonts w:hint="eastAsia" w:ascii="微软雅黑" w:hAnsi="微软雅黑" w:eastAsia="微软雅黑" w:cs="Arial"/>
          <w:kern w:val="0"/>
          <w:sz w:val="18"/>
          <w:szCs w:val="18"/>
          <w:highlight w:val="yellow"/>
        </w:rPr>
        <w:t>】</w:t>
      </w:r>
      <w:r>
        <w:rPr>
          <w:rFonts w:hint="eastAsia" w:ascii="微软雅黑" w:hAnsi="微软雅黑" w:eastAsia="微软雅黑" w:cs="Arial"/>
          <w:kern w:val="0"/>
          <w:sz w:val="18"/>
          <w:szCs w:val="18"/>
        </w:rPr>
        <w:t>万元投标保证金。在投标报名截止时间前缴纳，即【</w:t>
      </w:r>
      <w:r>
        <w:rPr>
          <w:rFonts w:hint="eastAsia" w:ascii="微软雅黑" w:hAnsi="微软雅黑" w:eastAsia="微软雅黑" w:cs="Arial"/>
          <w:color w:val="FF0000"/>
          <w:kern w:val="0"/>
          <w:sz w:val="18"/>
          <w:szCs w:val="18"/>
        </w:rPr>
        <w:t>202</w:t>
      </w:r>
      <w:r>
        <w:rPr>
          <w:rFonts w:ascii="微软雅黑" w:hAnsi="微软雅黑" w:eastAsia="微软雅黑" w:cs="Arial"/>
          <w:color w:val="FF0000"/>
          <w:kern w:val="0"/>
          <w:sz w:val="18"/>
          <w:szCs w:val="18"/>
        </w:rPr>
        <w:t>4</w:t>
      </w:r>
      <w:r>
        <w:rPr>
          <w:rFonts w:hint="eastAsia" w:ascii="微软雅黑" w:hAnsi="微软雅黑" w:eastAsia="微软雅黑" w:cs="Arial"/>
          <w:color w:val="FF0000"/>
          <w:kern w:val="0"/>
          <w:sz w:val="18"/>
          <w:szCs w:val="18"/>
        </w:rPr>
        <w:t>年</w:t>
      </w:r>
      <w:r>
        <w:rPr>
          <w:rFonts w:ascii="微软雅黑" w:hAnsi="微软雅黑" w:eastAsia="微软雅黑" w:cs="Arial"/>
          <w:color w:val="FF0000"/>
          <w:kern w:val="0"/>
          <w:sz w:val="18"/>
          <w:szCs w:val="18"/>
        </w:rPr>
        <w:t>4</w:t>
      </w:r>
      <w:r>
        <w:rPr>
          <w:rFonts w:hint="eastAsia" w:ascii="微软雅黑" w:hAnsi="微软雅黑" w:eastAsia="微软雅黑" w:cs="Arial"/>
          <w:color w:val="FF0000"/>
          <w:kern w:val="0"/>
          <w:sz w:val="18"/>
          <w:szCs w:val="18"/>
        </w:rPr>
        <w:t>月</w:t>
      </w:r>
      <w:r>
        <w:rPr>
          <w:rFonts w:ascii="微软雅黑" w:hAnsi="微软雅黑" w:eastAsia="微软雅黑" w:cs="Arial"/>
          <w:color w:val="FF0000"/>
          <w:kern w:val="0"/>
          <w:sz w:val="18"/>
          <w:szCs w:val="18"/>
        </w:rPr>
        <w:t>28</w:t>
      </w:r>
      <w:r>
        <w:rPr>
          <w:rFonts w:hint="eastAsia" w:ascii="微软雅黑" w:hAnsi="微软雅黑" w:eastAsia="微软雅黑" w:cs="Arial"/>
          <w:color w:val="FF0000"/>
          <w:kern w:val="0"/>
          <w:sz w:val="18"/>
          <w:szCs w:val="18"/>
        </w:rPr>
        <w:t>日1</w:t>
      </w:r>
      <w:r>
        <w:rPr>
          <w:rFonts w:ascii="微软雅黑" w:hAnsi="微软雅黑" w:eastAsia="微软雅黑" w:cs="Arial"/>
          <w:color w:val="FF0000"/>
          <w:kern w:val="0"/>
          <w:sz w:val="18"/>
          <w:szCs w:val="18"/>
        </w:rPr>
        <w:t>0</w:t>
      </w:r>
      <w:r>
        <w:rPr>
          <w:rFonts w:hint="eastAsia" w:ascii="微软雅黑" w:hAnsi="微软雅黑" w:eastAsia="微软雅黑" w:cs="Arial"/>
          <w:color w:val="FF0000"/>
          <w:kern w:val="0"/>
          <w:sz w:val="18"/>
          <w:szCs w:val="18"/>
        </w:rPr>
        <w:t>:</w:t>
      </w:r>
      <w:r>
        <w:rPr>
          <w:rFonts w:ascii="微软雅黑" w:hAnsi="微软雅黑" w:eastAsia="微软雅黑" w:cs="Arial"/>
          <w:color w:val="FF0000"/>
          <w:kern w:val="0"/>
          <w:sz w:val="18"/>
          <w:szCs w:val="18"/>
        </w:rPr>
        <w:t>0</w:t>
      </w:r>
      <w:r>
        <w:rPr>
          <w:rFonts w:hint="eastAsia" w:ascii="微软雅黑" w:hAnsi="微软雅黑" w:eastAsia="微软雅黑" w:cs="Arial"/>
          <w:color w:val="FF0000"/>
          <w:kern w:val="0"/>
          <w:sz w:val="18"/>
          <w:szCs w:val="18"/>
        </w:rPr>
        <w:t>0</w:t>
      </w:r>
      <w:r>
        <w:rPr>
          <w:rFonts w:hint="eastAsia" w:ascii="微软雅黑" w:hAnsi="微软雅黑" w:eastAsia="微软雅黑" w:cs="Arial"/>
          <w:kern w:val="0"/>
          <w:sz w:val="18"/>
          <w:szCs w:val="18"/>
        </w:rPr>
        <w:t>】前完成打款，并将【投标保证金缴纳凭证】上传至系统。</w:t>
      </w:r>
    </w:p>
    <w:p>
      <w:pPr>
        <w:pStyle w:val="19"/>
        <w:widowControl/>
        <w:numPr>
          <w:ilvl w:val="0"/>
          <w:numId w:val="6"/>
        </w:numPr>
        <w:adjustRightInd w:val="0"/>
        <w:snapToGrid w:val="0"/>
        <w:spacing w:line="276" w:lineRule="auto"/>
        <w:ind w:firstLineChars="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打款账户信息：</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收款账户名称：</w:t>
      </w:r>
      <w:r>
        <w:rPr>
          <w:rFonts w:hint="eastAsia" w:ascii="微软雅黑" w:hAnsi="微软雅黑" w:eastAsia="微软雅黑" w:cs="Arial"/>
          <w:kern w:val="0"/>
          <w:sz w:val="18"/>
          <w:szCs w:val="18"/>
          <w:highlight w:val="yellow"/>
        </w:rPr>
        <w:t>【京东物流运输有限公司】；</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银行名称：</w:t>
      </w:r>
      <w:r>
        <w:rPr>
          <w:rFonts w:hint="eastAsia" w:ascii="微软雅黑" w:hAnsi="微软雅黑" w:eastAsia="微软雅黑" w:cs="Arial"/>
          <w:kern w:val="0"/>
          <w:sz w:val="18"/>
          <w:szCs w:val="18"/>
          <w:highlight w:val="yellow"/>
        </w:rPr>
        <w:t>【中国银行股份有限公司宿迁宿豫支行】；</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银行账户号：</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528776141221</w:t>
      </w:r>
      <w:r>
        <w:rPr>
          <w:rFonts w:hint="eastAsia" w:ascii="微软雅黑" w:hAnsi="微软雅黑" w:eastAsia="微软雅黑" w:cs="Arial"/>
          <w:kern w:val="0"/>
          <w:sz w:val="18"/>
          <w:szCs w:val="18"/>
          <w:highlight w:val="yellow"/>
        </w:rPr>
        <w:t>】；</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保证金打款备注：</w:t>
      </w:r>
      <w:r>
        <w:rPr>
          <w:rFonts w:hint="eastAsia" w:ascii="微软雅黑" w:hAnsi="微软雅黑" w:eastAsia="微软雅黑" w:cs="Arial"/>
          <w:kern w:val="0"/>
          <w:sz w:val="18"/>
          <w:szCs w:val="18"/>
          <w:highlight w:val="yellow"/>
        </w:rPr>
        <w:t>【浙闽投标保证金】</w:t>
      </w:r>
      <w:r>
        <w:rPr>
          <w:rFonts w:hint="eastAsia" w:ascii="微软雅黑" w:hAnsi="微软雅黑" w:eastAsia="微软雅黑" w:cs="Arial"/>
          <w:kern w:val="0"/>
          <w:sz w:val="18"/>
          <w:szCs w:val="18"/>
        </w:rPr>
        <w:t xml:space="preserve"> </w:t>
      </w:r>
    </w:p>
    <w:p>
      <w:pPr>
        <w:pStyle w:val="19"/>
        <w:widowControl/>
        <w:numPr>
          <w:ilvl w:val="0"/>
          <w:numId w:val="6"/>
        </w:numPr>
        <w:adjustRightInd w:val="0"/>
        <w:snapToGrid w:val="0"/>
        <w:spacing w:line="276" w:lineRule="auto"/>
        <w:ind w:firstLineChars="0"/>
        <w:jc w:val="left"/>
        <w:rPr>
          <w:rFonts w:ascii="微软雅黑" w:hAnsi="微软雅黑" w:eastAsia="微软雅黑" w:cs="Arial"/>
          <w:b/>
          <w:kern w:val="0"/>
          <w:sz w:val="18"/>
          <w:szCs w:val="18"/>
        </w:rPr>
      </w:pPr>
      <w:r>
        <w:rPr>
          <w:rFonts w:hint="eastAsia" w:ascii="微软雅黑" w:hAnsi="微软雅黑" w:eastAsia="微软雅黑" w:cs="Arial"/>
          <w:b/>
          <w:color w:val="000000" w:themeColor="text1"/>
          <w:kern w:val="0"/>
          <w:sz w:val="18"/>
          <w:szCs w:val="18"/>
          <w14:textFill>
            <w14:solidFill>
              <w14:schemeClr w14:val="tx1"/>
            </w14:solidFill>
          </w14:textFill>
        </w:rPr>
        <w:t>违法/舞弊处理</w:t>
      </w:r>
      <w:r>
        <w:rPr>
          <w:rFonts w:hint="eastAsia" w:ascii="微软雅黑" w:hAnsi="微软雅黑" w:eastAsia="微软雅黑" w:cs="Arial"/>
          <w:b/>
          <w:kern w:val="0"/>
          <w:sz w:val="18"/>
          <w:szCs w:val="18"/>
        </w:rPr>
        <w:t>：</w:t>
      </w:r>
    </w:p>
    <w:p>
      <w:pPr>
        <w:widowControl/>
        <w:adjustRightInd w:val="0"/>
        <w:snapToGrid w:val="0"/>
        <w:spacing w:line="276" w:lineRule="auto"/>
        <w:ind w:firstLine="360" w:firstLine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1）投标人有下列情形之一的，京东物流有权扣除本次投标缴纳的保证金，拉入黑名单，切停已有业务，限制至少2年内的招投标，行为极其恶劣的，保留永久拉黑权利：a、中标后出现弃标、未按期签署合同及购买符合要求的货物运输保险、订立合同未履约就解除、签订合同时提出附加条件、未按约缴纳履约保证金等扰乱本次招标秩序的情况；b、在招标过程中有行贿、严重泄露京东保密信息等违背京东反腐及保密原则的行为；c、首轮议价结束后，撤回投标文件的；d、提供虚假材料等违反诚信原则的行为；e、</w:t>
      </w:r>
      <w:r>
        <w:rPr>
          <w:rFonts w:hint="eastAsia" w:ascii="微软雅黑" w:hAnsi="微软雅黑" w:eastAsia="微软雅黑" w:cs="微软雅黑"/>
          <w:color w:val="000000"/>
          <w:kern w:val="0"/>
          <w:sz w:val="18"/>
          <w:szCs w:val="18"/>
        </w:rPr>
        <w:t>有围标（</w:t>
      </w:r>
      <w:r>
        <w:rPr>
          <w:rFonts w:hint="eastAsia" w:ascii="微软雅黑" w:hAnsi="微软雅黑" w:eastAsia="微软雅黑" w:cs="Arial"/>
          <w:b/>
          <w:color w:val="000000" w:themeColor="text1"/>
          <w:kern w:val="0"/>
          <w:sz w:val="18"/>
          <w:szCs w:val="18"/>
          <w14:textFill>
            <w14:solidFill>
              <w14:schemeClr w14:val="tx1"/>
            </w14:solidFill>
          </w14:textFill>
        </w:rPr>
        <w:t>使用两个或以上公司主体参与投标、相关主体的报价存在规律性等将被视为围标</w:t>
      </w:r>
      <w:r>
        <w:rPr>
          <w:rFonts w:hint="eastAsia" w:ascii="微软雅黑" w:hAnsi="微软雅黑" w:eastAsia="微软雅黑" w:cs="微软雅黑"/>
          <w:color w:val="000000"/>
          <w:kern w:val="0"/>
          <w:sz w:val="18"/>
          <w:szCs w:val="18"/>
        </w:rPr>
        <w:t>）、串标、哄抬标价和恶意竞标或其他违规违法行为</w:t>
      </w:r>
      <w:r>
        <w:rPr>
          <w:rFonts w:hint="eastAsia" w:ascii="微软雅黑" w:hAnsi="微软雅黑" w:eastAsia="微软雅黑" w:cs="Arial"/>
          <w:kern w:val="0"/>
          <w:sz w:val="18"/>
          <w:szCs w:val="18"/>
        </w:rPr>
        <w:t>；f、</w:t>
      </w:r>
      <w:r>
        <w:rPr>
          <w:rFonts w:hint="eastAsia" w:ascii="微软雅黑" w:hAnsi="微软雅黑" w:eastAsia="微软雅黑" w:cs="微软雅黑"/>
          <w:color w:val="000000"/>
          <w:kern w:val="0"/>
          <w:sz w:val="18"/>
          <w:szCs w:val="18"/>
        </w:rPr>
        <w:t>合同签订后，不按照合同条款约定履约的</w:t>
      </w:r>
      <w:r>
        <w:rPr>
          <w:rFonts w:hint="eastAsia" w:ascii="微软雅黑" w:hAnsi="微软雅黑" w:eastAsia="微软雅黑" w:cs="Arial"/>
          <w:kern w:val="0"/>
          <w:sz w:val="18"/>
          <w:szCs w:val="18"/>
        </w:rPr>
        <w:t>；</w:t>
      </w:r>
    </w:p>
    <w:p>
      <w:pPr>
        <w:widowControl/>
        <w:adjustRightInd w:val="0"/>
        <w:snapToGrid w:val="0"/>
        <w:spacing w:line="276" w:lineRule="auto"/>
        <w:ind w:firstLine="360" w:firstLineChars="200"/>
        <w:jc w:val="left"/>
        <w:rPr>
          <w:rFonts w:ascii="微软雅黑" w:hAnsi="微软雅黑" w:eastAsia="微软雅黑" w:cs="Arial"/>
          <w:b/>
          <w:kern w:val="0"/>
          <w:sz w:val="18"/>
          <w:szCs w:val="18"/>
        </w:rPr>
      </w:pPr>
      <w:r>
        <w:rPr>
          <w:rFonts w:hint="eastAsia" w:ascii="微软雅黑" w:hAnsi="微软雅黑" w:eastAsia="微软雅黑" w:cs="Arial"/>
          <w:kern w:val="0"/>
          <w:sz w:val="18"/>
          <w:szCs w:val="18"/>
        </w:rPr>
        <w:t>2）投标人</w:t>
      </w:r>
      <w:r>
        <w:rPr>
          <w:rFonts w:hint="eastAsia" w:ascii="微软雅黑" w:hAnsi="微软雅黑" w:eastAsia="微软雅黑" w:cs="Arial"/>
          <w:b/>
          <w:kern w:val="0"/>
          <w:sz w:val="18"/>
          <w:szCs w:val="18"/>
        </w:rPr>
        <w:t>未签署《投标承诺函》、</w:t>
      </w:r>
      <w:r>
        <w:rPr>
          <w:rFonts w:hint="eastAsia" w:ascii="微软雅黑" w:hAnsi="微软雅黑" w:eastAsia="微软雅黑" w:cs="Arial"/>
          <w:kern w:val="0"/>
          <w:sz w:val="18"/>
          <w:szCs w:val="18"/>
        </w:rPr>
        <w:t>或</w:t>
      </w:r>
      <w:r>
        <w:rPr>
          <w:rFonts w:hint="eastAsia" w:ascii="微软雅黑" w:hAnsi="微软雅黑" w:eastAsia="微软雅黑" w:cs="Arial"/>
          <w:b/>
          <w:kern w:val="0"/>
          <w:sz w:val="18"/>
          <w:szCs w:val="18"/>
        </w:rPr>
        <w:t>未缴纳投标保证金的报价视作无效处理；</w:t>
      </w:r>
    </w:p>
    <w:p>
      <w:pPr>
        <w:pStyle w:val="19"/>
        <w:widowControl/>
        <w:numPr>
          <w:ilvl w:val="0"/>
          <w:numId w:val="6"/>
        </w:numPr>
        <w:adjustRightInd w:val="0"/>
        <w:snapToGrid w:val="0"/>
        <w:spacing w:line="276" w:lineRule="auto"/>
        <w:ind w:firstLineChars="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保证金退回：</w:t>
      </w:r>
    </w:p>
    <w:p>
      <w:pPr>
        <w:widowControl/>
        <w:adjustRightInd w:val="0"/>
        <w:snapToGrid w:val="0"/>
        <w:spacing w:line="276" w:lineRule="auto"/>
        <w:ind w:left="480" w:left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未中标承运商：</w:t>
      </w:r>
      <w:r>
        <w:rPr>
          <w:rFonts w:ascii="微软雅黑" w:hAnsi="微软雅黑" w:eastAsia="微软雅黑" w:cs="Arial"/>
          <w:kern w:val="0"/>
          <w:sz w:val="18"/>
          <w:szCs w:val="18"/>
        </w:rPr>
        <w:t>招标结束后</w:t>
      </w:r>
      <w:r>
        <w:rPr>
          <w:rFonts w:hint="eastAsia" w:ascii="微软雅黑" w:hAnsi="微软雅黑" w:eastAsia="微软雅黑" w:cs="Arial"/>
          <w:kern w:val="0"/>
          <w:sz w:val="18"/>
          <w:szCs w:val="18"/>
        </w:rPr>
        <w:t>，由</w:t>
      </w:r>
      <w:r>
        <w:rPr>
          <w:rFonts w:ascii="微软雅黑" w:hAnsi="微软雅黑" w:eastAsia="微软雅黑" w:cs="Arial"/>
          <w:kern w:val="0"/>
          <w:sz w:val="18"/>
          <w:szCs w:val="18"/>
        </w:rPr>
        <w:t>承运商邮件申请退回</w:t>
      </w:r>
      <w:r>
        <w:rPr>
          <w:rFonts w:hint="eastAsia" w:ascii="微软雅黑" w:hAnsi="微软雅黑" w:eastAsia="微软雅黑" w:cs="Arial"/>
          <w:kern w:val="0"/>
          <w:sz w:val="18"/>
          <w:szCs w:val="18"/>
        </w:rPr>
        <w:t>；</w:t>
      </w:r>
      <w:r>
        <w:rPr>
          <w:rFonts w:ascii="微软雅黑" w:hAnsi="微软雅黑" w:eastAsia="微软雅黑" w:cs="Arial"/>
          <w:kern w:val="0"/>
          <w:sz w:val="18"/>
          <w:szCs w:val="18"/>
        </w:rPr>
        <w:t xml:space="preserve"> </w:t>
      </w:r>
    </w:p>
    <w:p>
      <w:pPr>
        <w:widowControl/>
        <w:adjustRightInd w:val="0"/>
        <w:snapToGrid w:val="0"/>
        <w:spacing w:line="276" w:lineRule="auto"/>
        <w:ind w:left="480" w:left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中标承运商：</w:t>
      </w:r>
      <w:r>
        <w:rPr>
          <w:rFonts w:hint="eastAsia" w:ascii="微软雅黑" w:hAnsi="微软雅黑" w:eastAsia="微软雅黑" w:cs="Arial"/>
          <w:kern w:val="0"/>
          <w:sz w:val="18"/>
          <w:szCs w:val="18"/>
        </w:rPr>
        <w:t>在招标结束，合同签署完成，并缴纳运营保证金之后，由承运商邮件申请退回。</w:t>
      </w:r>
    </w:p>
    <w:p>
      <w:pPr>
        <w:widowControl/>
        <w:adjustRightInd w:val="0"/>
        <w:snapToGrid w:val="0"/>
        <w:spacing w:line="276" w:lineRule="auto"/>
        <w:ind w:left="480" w:left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办理退还时，</w:t>
      </w:r>
      <w:r>
        <w:rPr>
          <w:rFonts w:hint="eastAsia" w:ascii="微软雅黑" w:hAnsi="微软雅黑" w:eastAsia="微软雅黑" w:cs="Arial"/>
          <w:kern w:val="0"/>
          <w:sz w:val="18"/>
          <w:szCs w:val="18"/>
        </w:rPr>
        <w:t>需附保证金收取或银行打款凭证，联系</w:t>
      </w:r>
      <w:r>
        <w:rPr>
          <w:rFonts w:hint="eastAsia" w:ascii="微软雅黑" w:hAnsi="微软雅黑" w:eastAsia="微软雅黑" w:cs="Arial"/>
          <w:kern w:val="0"/>
          <w:sz w:val="18"/>
          <w:szCs w:val="18"/>
          <w:highlight w:val="yellow"/>
        </w:rPr>
        <w:t>【庞琳琳；1</w:t>
      </w:r>
      <w:r>
        <w:rPr>
          <w:rFonts w:ascii="微软雅黑" w:hAnsi="微软雅黑" w:eastAsia="微软雅黑" w:cs="Arial"/>
          <w:kern w:val="0"/>
          <w:sz w:val="18"/>
          <w:szCs w:val="18"/>
          <w:highlight w:val="yellow"/>
        </w:rPr>
        <w:t>5867187545</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panglinlin3@jd.com</w:t>
      </w:r>
      <w:r>
        <w:rPr>
          <w:rFonts w:hint="eastAsia" w:ascii="微软雅黑" w:hAnsi="微软雅黑" w:eastAsia="微软雅黑" w:cs="Arial"/>
          <w:kern w:val="0"/>
          <w:sz w:val="18"/>
          <w:szCs w:val="18"/>
          <w:highlight w:val="yellow"/>
        </w:rPr>
        <w:t>】</w:t>
      </w:r>
      <w:r>
        <w:rPr>
          <w:rFonts w:hint="eastAsia" w:ascii="微软雅黑" w:hAnsi="微软雅黑" w:eastAsia="微软雅黑" w:cs="Arial"/>
          <w:kern w:val="0"/>
          <w:sz w:val="18"/>
          <w:szCs w:val="18"/>
        </w:rPr>
        <w:t>退回；如不申请退回，默认为下次投标保证金使用。</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ascii="微软雅黑" w:hAnsi="微软雅黑" w:eastAsia="微软雅黑" w:cs="Arial"/>
          <w:b/>
          <w:color w:val="000000" w:themeColor="text1"/>
          <w:kern w:val="0"/>
          <w:sz w:val="18"/>
          <w:szCs w:val="18"/>
          <w14:textFill>
            <w14:solidFill>
              <w14:schemeClr w14:val="tx1"/>
            </w14:solidFill>
          </w14:textFill>
        </w:rPr>
        <w:t>4</w:t>
      </w:r>
      <w:r>
        <w:rPr>
          <w:rFonts w:hint="eastAsia" w:ascii="微软雅黑" w:hAnsi="微软雅黑" w:eastAsia="微软雅黑" w:cs="Arial"/>
          <w:b/>
          <w:color w:val="000000" w:themeColor="text1"/>
          <w:kern w:val="0"/>
          <w:sz w:val="18"/>
          <w:szCs w:val="18"/>
          <w14:textFill>
            <w14:solidFill>
              <w14:schemeClr w14:val="tx1"/>
            </w14:solidFill>
          </w14:textFill>
        </w:rPr>
        <w:t>.业务咨询联系人</w:t>
      </w:r>
    </w:p>
    <w:p>
      <w:pPr>
        <w:widowControl/>
        <w:adjustRightInd w:val="0"/>
        <w:snapToGrid w:val="0"/>
        <w:spacing w:line="276" w:lineRule="auto"/>
        <w:ind w:left="480" w:leftChars="200"/>
        <w:jc w:val="left"/>
        <w:rPr>
          <w:rFonts w:ascii="微软雅黑" w:hAnsi="微软雅黑" w:eastAsia="微软雅黑" w:cs="Arial"/>
          <w:b/>
          <w:kern w:val="0"/>
          <w:sz w:val="18"/>
          <w:szCs w:val="18"/>
        </w:rPr>
      </w:pPr>
      <w:r>
        <w:rPr>
          <w:rFonts w:hint="eastAsia" w:ascii="微软雅黑" w:hAnsi="微软雅黑" w:eastAsia="微软雅黑" w:cs="Arial"/>
          <w:b/>
          <w:kern w:val="0"/>
          <w:sz w:val="18"/>
          <w:szCs w:val="18"/>
        </w:rPr>
        <w:t>业务联系人：</w:t>
      </w:r>
      <w:r>
        <w:rPr>
          <w:rFonts w:hint="eastAsia" w:ascii="微软雅黑" w:hAnsi="微软雅黑" w:eastAsia="微软雅黑" w:cs="Arial"/>
          <w:kern w:val="0"/>
          <w:sz w:val="18"/>
          <w:szCs w:val="18"/>
          <w:highlight w:val="yellow"/>
        </w:rPr>
        <w:t>【严江鹏；</w:t>
      </w:r>
      <w:r>
        <w:rPr>
          <w:rFonts w:ascii="微软雅黑" w:hAnsi="微软雅黑" w:eastAsia="微软雅黑" w:cs="Arial"/>
          <w:kern w:val="0"/>
          <w:sz w:val="18"/>
          <w:szCs w:val="18"/>
          <w:highlight w:val="yellow"/>
        </w:rPr>
        <w:t>13023121810</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yanjiangpeng@jd.com</w:t>
      </w:r>
      <w:r>
        <w:rPr>
          <w:rFonts w:hint="eastAsia" w:ascii="微软雅黑" w:hAnsi="微软雅黑" w:eastAsia="微软雅黑" w:cs="Arial"/>
          <w:kern w:val="0"/>
          <w:sz w:val="18"/>
          <w:szCs w:val="18"/>
          <w:highlight w:val="yellow"/>
        </w:rPr>
        <w:t>】</w:t>
      </w:r>
      <w:r>
        <w:rPr>
          <w:rFonts w:hint="eastAsia" w:ascii="微软雅黑" w:hAnsi="微软雅黑" w:eastAsia="微软雅黑" w:cs="Arial"/>
          <w:kern w:val="0"/>
          <w:sz w:val="18"/>
          <w:szCs w:val="18"/>
        </w:rPr>
        <w:t>，仅负责业务答疑，可电话</w:t>
      </w:r>
      <w:r>
        <w:rPr>
          <w:rFonts w:ascii="微软雅黑" w:hAnsi="微软雅黑" w:eastAsia="微软雅黑" w:cs="Arial"/>
          <w:kern w:val="0"/>
          <w:sz w:val="18"/>
          <w:szCs w:val="18"/>
        </w:rPr>
        <w:t>/邮件咨询</w:t>
      </w:r>
    </w:p>
    <w:p>
      <w:pPr>
        <w:widowControl/>
        <w:adjustRightInd w:val="0"/>
        <w:snapToGrid w:val="0"/>
        <w:spacing w:line="276" w:lineRule="auto"/>
        <w:ind w:left="480" w:leftChars="200"/>
        <w:jc w:val="left"/>
        <w:rPr>
          <w:rFonts w:ascii="微软雅黑" w:hAnsi="微软雅黑" w:eastAsia="微软雅黑" w:cs="Arial"/>
          <w:kern w:val="0"/>
          <w:sz w:val="18"/>
          <w:szCs w:val="18"/>
        </w:rPr>
      </w:pPr>
      <w:r>
        <w:rPr>
          <w:rFonts w:hint="eastAsia" w:ascii="微软雅黑" w:hAnsi="微软雅黑" w:eastAsia="微软雅黑" w:cs="Arial"/>
          <w:b/>
          <w:kern w:val="0"/>
          <w:sz w:val="18"/>
          <w:szCs w:val="18"/>
        </w:rPr>
        <w:t>投标联系人：</w:t>
      </w:r>
      <w:r>
        <w:rPr>
          <w:rFonts w:hint="eastAsia" w:ascii="微软雅黑" w:hAnsi="微软雅黑" w:eastAsia="微软雅黑" w:cs="Arial"/>
          <w:kern w:val="0"/>
          <w:sz w:val="18"/>
          <w:szCs w:val="18"/>
          <w:highlight w:val="yellow"/>
        </w:rPr>
        <w:t>【庞琳琳；1</w:t>
      </w:r>
      <w:r>
        <w:rPr>
          <w:rFonts w:ascii="微软雅黑" w:hAnsi="微软雅黑" w:eastAsia="微软雅黑" w:cs="Arial"/>
          <w:kern w:val="0"/>
          <w:sz w:val="18"/>
          <w:szCs w:val="18"/>
          <w:highlight w:val="yellow"/>
        </w:rPr>
        <w:t>5867187545</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panglinlin3@jd.com</w:t>
      </w:r>
      <w:r>
        <w:rPr>
          <w:rFonts w:hint="eastAsia" w:ascii="微软雅黑" w:hAnsi="微软雅黑" w:eastAsia="微软雅黑" w:cs="Arial"/>
          <w:kern w:val="0"/>
          <w:sz w:val="18"/>
          <w:szCs w:val="18"/>
          <w:highlight w:val="yellow"/>
        </w:rPr>
        <w:t>】</w:t>
      </w:r>
      <w:r>
        <w:rPr>
          <w:rFonts w:hint="eastAsia" w:ascii="微软雅黑" w:hAnsi="微软雅黑" w:eastAsia="微软雅黑" w:cs="Arial"/>
          <w:kern w:val="0"/>
          <w:sz w:val="18"/>
          <w:szCs w:val="18"/>
        </w:rPr>
        <w:t>，负责本次招标全流程，可电话</w:t>
      </w:r>
      <w:r>
        <w:rPr>
          <w:rFonts w:ascii="微软雅黑" w:hAnsi="微软雅黑" w:eastAsia="微软雅黑" w:cs="Arial"/>
          <w:kern w:val="0"/>
          <w:sz w:val="18"/>
          <w:szCs w:val="18"/>
        </w:rPr>
        <w:t>/邮件咨询</w:t>
      </w:r>
    </w:p>
    <w:p>
      <w:pPr>
        <w:widowControl/>
        <w:adjustRightInd w:val="0"/>
        <w:snapToGrid w:val="0"/>
        <w:spacing w:line="276" w:lineRule="auto"/>
        <w:ind w:left="480" w:leftChars="200"/>
        <w:jc w:val="left"/>
        <w:rPr>
          <w:rFonts w:ascii="微软雅黑" w:hAnsi="微软雅黑" w:eastAsia="微软雅黑" w:cs="Arial"/>
          <w:kern w:val="0"/>
          <w:sz w:val="18"/>
          <w:szCs w:val="18"/>
        </w:rPr>
      </w:pPr>
      <w:r>
        <w:rPr>
          <w:rFonts w:hint="eastAsia" w:ascii="微软雅黑" w:hAnsi="微软雅黑" w:eastAsia="微软雅黑" w:cs="Arial"/>
          <w:kern w:val="0"/>
          <w:sz w:val="18"/>
          <w:szCs w:val="18"/>
        </w:rPr>
        <w:t>本次招投标均通过京东物流运力招标系统（</w:t>
      </w:r>
      <w:r>
        <w:rPr>
          <w:rFonts w:ascii="微软雅黑" w:hAnsi="微软雅黑" w:eastAsia="微软雅黑" w:cs="Arial"/>
          <w:kern w:val="0"/>
          <w:sz w:val="18"/>
          <w:szCs w:val="18"/>
        </w:rPr>
        <w:t>https://tms.jdl.com/）进行</w:t>
      </w:r>
      <w:r>
        <w:rPr>
          <w:rFonts w:hint="eastAsia" w:ascii="微软雅黑" w:hAnsi="微软雅黑" w:eastAsia="微软雅黑" w:cs="Arial"/>
          <w:kern w:val="0"/>
          <w:sz w:val="18"/>
          <w:szCs w:val="18"/>
        </w:rPr>
        <w:t>，以上业务邮箱请勿投寄电子版标书。</w:t>
      </w:r>
    </w:p>
    <w:p>
      <w:pPr>
        <w:pStyle w:val="2"/>
        <w:spacing w:line="240" w:lineRule="auto"/>
        <w:rPr>
          <w:rFonts w:ascii="微软雅黑" w:hAnsi="微软雅黑" w:eastAsia="微软雅黑"/>
          <w:color w:val="FFFFFF" w:themeColor="background1"/>
          <w:sz w:val="18"/>
          <w:szCs w:val="18"/>
          <w14:textFill>
            <w14:solidFill>
              <w14:schemeClr w14:val="bg1"/>
            </w14:solidFill>
          </w14:textFill>
        </w:rPr>
      </w:pPr>
      <w:r>
        <w:rPr>
          <w:rFonts w:hint="eastAsia" w:ascii="微软雅黑" w:hAnsi="微软雅黑" w:eastAsia="微软雅黑"/>
          <w:color w:val="FFFFFF" w:themeColor="background1"/>
          <w:sz w:val="18"/>
          <w:szCs w:val="18"/>
          <w:highlight w:val="black"/>
          <w14:textFill>
            <w14:solidFill>
              <w14:schemeClr w14:val="bg1"/>
            </w14:solidFill>
          </w14:textFill>
        </w:rPr>
        <w:t>四</w:t>
      </w:r>
      <w:r>
        <w:rPr>
          <w:rFonts w:ascii="微软雅黑" w:hAnsi="微软雅黑" w:eastAsia="微软雅黑"/>
          <w:color w:val="FFFFFF" w:themeColor="background1"/>
          <w:sz w:val="18"/>
          <w:szCs w:val="18"/>
          <w:highlight w:val="black"/>
          <w14:textFill>
            <w14:solidFill>
              <w14:schemeClr w14:val="bg1"/>
            </w14:solidFill>
          </w14:textFill>
        </w:rPr>
        <w:t>.</w:t>
      </w:r>
      <w:r>
        <w:rPr>
          <w:rFonts w:ascii="微软雅黑" w:hAnsi="微软雅黑" w:eastAsia="微软雅黑" w:cs="Arial"/>
          <w:color w:val="FFFFFF" w:themeColor="background1"/>
          <w:kern w:val="0"/>
          <w:sz w:val="18"/>
          <w:szCs w:val="18"/>
          <w:highlight w:val="black"/>
          <w14:textFill>
            <w14:solidFill>
              <w14:schemeClr w14:val="bg1"/>
            </w14:solidFill>
          </w14:textFill>
        </w:rPr>
        <w:t xml:space="preserve"> 开标说明</w:t>
      </w:r>
    </w:p>
    <w:p>
      <w:pPr>
        <w:pStyle w:val="19"/>
        <w:widowControl/>
        <w:numPr>
          <w:ilvl w:val="0"/>
          <w:numId w:val="7"/>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系统开标日期：</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ascii="微软雅黑" w:hAnsi="微软雅黑" w:eastAsia="微软雅黑" w:cs="Arial"/>
          <w:color w:val="000000" w:themeColor="text1"/>
          <w:kern w:val="0"/>
          <w:sz w:val="18"/>
          <w:szCs w:val="18"/>
          <w:highlight w:val="yellow"/>
          <w14:textFill>
            <w14:solidFill>
              <w14:schemeClr w14:val="tx1"/>
            </w14:solidFill>
          </w14:textFill>
        </w:rPr>
        <w:t>2024 年4月28日17:06】</w:t>
      </w:r>
      <w:r>
        <w:rPr>
          <w:rFonts w:hint="eastAsia" w:ascii="微软雅黑" w:hAnsi="微软雅黑" w:eastAsia="微软雅黑" w:cs="Arial"/>
          <w:color w:val="000000" w:themeColor="text1"/>
          <w:kern w:val="0"/>
          <w:sz w:val="18"/>
          <w:szCs w:val="18"/>
          <w14:textFill>
            <w14:solidFill>
              <w14:schemeClr w14:val="tx1"/>
            </w14:solidFill>
          </w14:textFill>
        </w:rPr>
        <w:t>;</w:t>
      </w:r>
    </w:p>
    <w:p>
      <w:pPr>
        <w:pStyle w:val="19"/>
        <w:widowControl/>
        <w:numPr>
          <w:ilvl w:val="0"/>
          <w:numId w:val="7"/>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承运商入围：</w:t>
      </w:r>
      <w:r>
        <w:rPr>
          <w:rFonts w:hint="eastAsia" w:ascii="微软雅黑" w:hAnsi="微软雅黑" w:eastAsia="微软雅黑" w:cs="Arial"/>
          <w:color w:val="000000" w:themeColor="text1"/>
          <w:kern w:val="0"/>
          <w:sz w:val="18"/>
          <w:szCs w:val="18"/>
          <w14:textFill>
            <w14:solidFill>
              <w14:schemeClr w14:val="tx1"/>
            </w14:solidFill>
          </w14:textFill>
        </w:rPr>
        <w:t>开标前我司会对投标承运商进行考察，未通过考察的承运商将无法进入后续环节；</w:t>
      </w:r>
      <w:r>
        <w:rPr>
          <w:rFonts w:ascii="微软雅黑" w:hAnsi="微软雅黑" w:eastAsia="微软雅黑" w:cs="Arial"/>
          <w:color w:val="000000" w:themeColor="text1"/>
          <w:kern w:val="0"/>
          <w:sz w:val="18"/>
          <w:szCs w:val="18"/>
          <w14:textFill>
            <w14:solidFill>
              <w14:schemeClr w14:val="tx1"/>
            </w14:solidFill>
          </w14:textFill>
        </w:rPr>
        <w:t xml:space="preserve"> </w:t>
      </w:r>
    </w:p>
    <w:p>
      <w:pPr>
        <w:pStyle w:val="19"/>
        <w:widowControl/>
        <w:numPr>
          <w:ilvl w:val="0"/>
          <w:numId w:val="7"/>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评标形式：</w:t>
      </w:r>
      <w:r>
        <w:rPr>
          <w:rFonts w:hint="eastAsia" w:ascii="微软雅黑" w:hAnsi="微软雅黑" w:eastAsia="微软雅黑" w:cs="Arial"/>
          <w:color w:val="000000" w:themeColor="text1"/>
          <w:kern w:val="0"/>
          <w:sz w:val="18"/>
          <w:szCs w:val="18"/>
          <w14:textFill>
            <w14:solidFill>
              <w14:schemeClr w14:val="tx1"/>
            </w14:solidFill>
          </w14:textFill>
        </w:rPr>
        <w:t>线上评标为主，线下邮件或由我司多部门集中会议评标为辅；</w:t>
      </w:r>
    </w:p>
    <w:p>
      <w:pPr>
        <w:pStyle w:val="19"/>
        <w:widowControl/>
        <w:numPr>
          <w:ilvl w:val="0"/>
          <w:numId w:val="7"/>
        </w:numPr>
        <w:adjustRightInd w:val="0"/>
        <w:snapToGrid w:val="0"/>
        <w:ind w:firstLineChars="0"/>
        <w:jc w:val="lef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投标</w:t>
      </w:r>
      <w:r>
        <w:rPr>
          <w:rFonts w:ascii="微软雅黑" w:hAnsi="微软雅黑" w:eastAsia="微软雅黑" w:cs="Arial"/>
          <w:b/>
          <w:color w:val="000000" w:themeColor="text1"/>
          <w:kern w:val="0"/>
          <w:sz w:val="18"/>
          <w:szCs w:val="18"/>
          <w14:textFill>
            <w14:solidFill>
              <w14:schemeClr w14:val="tx1"/>
            </w14:solidFill>
          </w14:textFill>
        </w:rPr>
        <w:t>议价：</w:t>
      </w:r>
      <w:r>
        <w:rPr>
          <w:rFonts w:hint="eastAsia" w:ascii="微软雅黑" w:hAnsi="微软雅黑" w:eastAsia="微软雅黑" w:cs="Arial"/>
          <w:color w:val="000000" w:themeColor="text1"/>
          <w:kern w:val="0"/>
          <w:sz w:val="18"/>
          <w:szCs w:val="18"/>
          <w14:textFill>
            <w14:solidFill>
              <w14:schemeClr w14:val="tx1"/>
            </w14:solidFill>
          </w14:textFill>
        </w:rPr>
        <w:t>采用多</w:t>
      </w:r>
      <w:r>
        <w:rPr>
          <w:rFonts w:ascii="微软雅黑" w:hAnsi="微软雅黑" w:eastAsia="微软雅黑" w:cs="Arial"/>
          <w:color w:val="000000" w:themeColor="text1"/>
          <w:kern w:val="0"/>
          <w:sz w:val="18"/>
          <w:szCs w:val="18"/>
          <w14:textFill>
            <w14:solidFill>
              <w14:schemeClr w14:val="tx1"/>
            </w14:solidFill>
          </w14:textFill>
        </w:rPr>
        <w:t>轮</w:t>
      </w:r>
      <w:r>
        <w:rPr>
          <w:rFonts w:hint="eastAsia" w:ascii="微软雅黑" w:hAnsi="微软雅黑" w:eastAsia="微软雅黑" w:cs="Arial"/>
          <w:color w:val="000000" w:themeColor="text1"/>
          <w:kern w:val="0"/>
          <w:sz w:val="18"/>
          <w:szCs w:val="18"/>
          <w14:textFill>
            <w14:solidFill>
              <w14:schemeClr w14:val="tx1"/>
            </w14:solidFill>
          </w14:textFill>
        </w:rPr>
        <w:t>报价，第一轮线上报价后</w:t>
      </w:r>
      <w:r>
        <w:rPr>
          <w:rFonts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系统</w:t>
      </w:r>
      <w:r>
        <w:rPr>
          <w:rFonts w:ascii="微软雅黑" w:hAnsi="微软雅黑" w:eastAsia="微软雅黑" w:cs="Arial"/>
          <w:color w:val="000000" w:themeColor="text1"/>
          <w:kern w:val="0"/>
          <w:sz w:val="18"/>
          <w:szCs w:val="18"/>
          <w14:textFill>
            <w14:solidFill>
              <w14:schemeClr w14:val="tx1"/>
            </w14:solidFill>
          </w14:textFill>
        </w:rPr>
        <w:t>自动计算</w:t>
      </w:r>
      <w:r>
        <w:rPr>
          <w:rFonts w:hint="eastAsia" w:ascii="微软雅黑" w:hAnsi="微软雅黑" w:eastAsia="微软雅黑" w:cs="Arial"/>
          <w:color w:val="000000" w:themeColor="text1"/>
          <w:kern w:val="0"/>
          <w:sz w:val="18"/>
          <w:szCs w:val="18"/>
          <w14:textFill>
            <w14:solidFill>
              <w14:schemeClr w14:val="tx1"/>
            </w14:solidFill>
          </w14:textFill>
        </w:rPr>
        <w:t>排名</w:t>
      </w:r>
      <w:r>
        <w:rPr>
          <w:rFonts w:ascii="微软雅黑" w:hAnsi="微软雅黑" w:eastAsia="微软雅黑" w:cs="Arial"/>
          <w:color w:val="000000" w:themeColor="text1"/>
          <w:kern w:val="0"/>
          <w:sz w:val="18"/>
          <w:szCs w:val="18"/>
          <w14:textFill>
            <w14:solidFill>
              <w14:schemeClr w14:val="tx1"/>
            </w14:solidFill>
          </w14:textFill>
        </w:rPr>
        <w:t>前</w:t>
      </w:r>
      <w:r>
        <w:rPr>
          <w:rFonts w:hint="eastAsia" w:ascii="微软雅黑" w:hAnsi="微软雅黑" w:eastAsia="微软雅黑" w:cs="Arial"/>
          <w:color w:val="000000" w:themeColor="text1"/>
          <w:kern w:val="0"/>
          <w:sz w:val="18"/>
          <w:szCs w:val="18"/>
          <w14:textFill>
            <w14:solidFill>
              <w14:schemeClr w14:val="tx1"/>
            </w14:solidFill>
          </w14:textFill>
        </w:rPr>
        <w:t>五承运商进入线上第二轮报价，未进入前五的将不得进行后续的议价环节，请承运商注意谨慎报价；</w:t>
      </w:r>
    </w:p>
    <w:p>
      <w:pPr>
        <w:pStyle w:val="19"/>
        <w:widowControl/>
        <w:numPr>
          <w:ilvl w:val="0"/>
          <w:numId w:val="7"/>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合同签署：中标承运商需在</w:t>
      </w:r>
      <w:r>
        <w:rPr>
          <w:rFonts w:hint="eastAsia" w:ascii="微软雅黑" w:hAnsi="微软雅黑" w:eastAsia="微软雅黑" w:cs="Arial"/>
          <w:b/>
          <w:color w:val="000000" w:themeColor="text1"/>
          <w:kern w:val="0"/>
          <w:sz w:val="18"/>
          <w:szCs w:val="18"/>
          <w:highlight w:val="yellow"/>
          <w14:textFill>
            <w14:solidFill>
              <w14:schemeClr w14:val="tx1"/>
            </w14:solidFill>
          </w14:textFill>
        </w:rPr>
        <w:t>【</w:t>
      </w:r>
      <w:r>
        <w:rPr>
          <w:rFonts w:ascii="微软雅黑" w:hAnsi="微软雅黑" w:eastAsia="微软雅黑" w:cs="Arial"/>
          <w:b/>
          <w:color w:val="000000" w:themeColor="text1"/>
          <w:kern w:val="0"/>
          <w:sz w:val="18"/>
          <w:szCs w:val="18"/>
          <w:highlight w:val="yellow"/>
          <w14:textFill>
            <w14:solidFill>
              <w14:schemeClr w14:val="tx1"/>
            </w14:solidFill>
          </w14:textFill>
        </w:rPr>
        <w:t>10</w:t>
      </w:r>
      <w:r>
        <w:rPr>
          <w:rFonts w:hint="eastAsia" w:ascii="微软雅黑" w:hAnsi="微软雅黑" w:eastAsia="微软雅黑" w:cs="Arial"/>
          <w:b/>
          <w:color w:val="000000" w:themeColor="text1"/>
          <w:kern w:val="0"/>
          <w:sz w:val="18"/>
          <w:szCs w:val="18"/>
          <w:highlight w:val="yellow"/>
          <w14:textFill>
            <w14:solidFill>
              <w14:schemeClr w14:val="tx1"/>
            </w14:solidFill>
          </w14:textFill>
        </w:rPr>
        <w:t>】</w:t>
      </w:r>
      <w:r>
        <w:rPr>
          <w:rFonts w:hint="eastAsia" w:ascii="微软雅黑" w:hAnsi="微软雅黑" w:eastAsia="微软雅黑" w:cs="Arial"/>
          <w:b/>
          <w:color w:val="000000" w:themeColor="text1"/>
          <w:kern w:val="0"/>
          <w:sz w:val="18"/>
          <w:szCs w:val="18"/>
          <w14:textFill>
            <w14:solidFill>
              <w14:schemeClr w14:val="tx1"/>
            </w14:solidFill>
          </w14:textFill>
        </w:rPr>
        <w:t>个自然日内（具体合同签署时间安排根据京东物流人员通知为准）完成合同签署，未按期签署合同的将视为有责弃标，投标人将被扣除投标保证金，列入黑名单，至少两年内禁止参与京东任何运输招标；</w:t>
      </w:r>
    </w:p>
    <w:p>
      <w:pPr>
        <w:pStyle w:val="19"/>
        <w:widowControl/>
        <w:numPr>
          <w:ilvl w:val="0"/>
          <w:numId w:val="7"/>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履约保证金收取：以承运商中标线路【年收入/</w:t>
      </w:r>
      <w:r>
        <w:rPr>
          <w:rFonts w:ascii="微软雅黑" w:hAnsi="微软雅黑" w:eastAsia="微软雅黑" w:cs="Arial"/>
          <w:b/>
          <w:color w:val="000000" w:themeColor="text1"/>
          <w:kern w:val="0"/>
          <w:sz w:val="18"/>
          <w:szCs w:val="18"/>
          <w14:textFill>
            <w14:solidFill>
              <w14:schemeClr w14:val="tx1"/>
            </w14:solidFill>
          </w14:textFill>
        </w:rPr>
        <w:t>36</w:t>
      </w:r>
      <w:r>
        <w:rPr>
          <w:rFonts w:hint="eastAsia" w:ascii="微软雅黑" w:hAnsi="微软雅黑" w:eastAsia="微软雅黑" w:cs="Arial"/>
          <w:b/>
          <w:color w:val="000000" w:themeColor="text1"/>
          <w:kern w:val="0"/>
          <w:sz w:val="18"/>
          <w:szCs w:val="18"/>
          <w14:textFill>
            <w14:solidFill>
              <w14:schemeClr w14:val="tx1"/>
            </w14:solidFill>
          </w14:textFill>
        </w:rPr>
        <w:t>】为标准收取履约保证金，最低收取1万元；</w:t>
      </w:r>
    </w:p>
    <w:p>
      <w:pPr>
        <w:pStyle w:val="19"/>
        <w:widowControl/>
        <w:numPr>
          <w:ilvl w:val="0"/>
          <w:numId w:val="7"/>
        </w:numPr>
        <w:adjustRightInd w:val="0"/>
        <w:snapToGrid w:val="0"/>
        <w:ind w:firstLineChars="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合同执行：业务启动前承运商按规定缴纳履约保证金，未按期缴纳履约保证金或缴纳后未按约定执行合同的将被扣除投标保证金，列入黑名单，至少两年内禁止参与京东任何运输招标；</w:t>
      </w:r>
    </w:p>
    <w:p>
      <w:pPr>
        <w:pStyle w:val="19"/>
        <w:widowControl/>
        <w:numPr>
          <w:ilvl w:val="0"/>
          <w:numId w:val="7"/>
        </w:numPr>
        <w:adjustRightInd w:val="0"/>
        <w:snapToGrid w:val="0"/>
        <w:ind w:firstLineChars="0"/>
        <w:jc w:val="left"/>
        <w:rPr>
          <w:rFonts w:ascii="微软雅黑" w:hAnsi="微软雅黑" w:eastAsia="微软雅黑" w:cs="Arial"/>
          <w:b/>
          <w:color w:val="FF0000"/>
          <w:kern w:val="0"/>
          <w:sz w:val="18"/>
          <w:szCs w:val="18"/>
        </w:rPr>
      </w:pPr>
      <w:r>
        <w:rPr>
          <w:rFonts w:hint="eastAsia" w:ascii="微软雅黑" w:hAnsi="微软雅黑" w:eastAsia="微软雅黑" w:cs="Arial"/>
          <w:b/>
          <w:kern w:val="0"/>
          <w:sz w:val="18"/>
          <w:szCs w:val="18"/>
        </w:rPr>
        <w:t>弃标：在首轮议价（系统会显示节点、线下招标即未收到议价邮件）结束之前，如承运商因自身运力安排等原因需暂停投标的，经与我司招标人员联系确认可弃标；首轮议价结束之后，因</w:t>
      </w:r>
      <w:r>
        <w:rPr>
          <w:rFonts w:ascii="微软雅黑" w:hAnsi="微软雅黑" w:eastAsia="微软雅黑" w:cs="Arial"/>
          <w:b/>
          <w:kern w:val="0"/>
          <w:sz w:val="18"/>
          <w:szCs w:val="18"/>
        </w:rPr>
        <w:t>承运商自身原因弃</w:t>
      </w:r>
      <w:r>
        <w:rPr>
          <w:rFonts w:ascii="微软雅黑" w:hAnsi="微软雅黑" w:eastAsia="微软雅黑" w:cs="Arial"/>
          <w:b/>
          <w:color w:val="000000" w:themeColor="text1"/>
          <w:kern w:val="0"/>
          <w:sz w:val="18"/>
          <w:szCs w:val="18"/>
          <w14:textFill>
            <w14:solidFill>
              <w14:schemeClr w14:val="tx1"/>
            </w14:solidFill>
          </w14:textFill>
        </w:rPr>
        <w:t>标</w:t>
      </w:r>
      <w:r>
        <w:rPr>
          <w:rFonts w:hint="eastAsia" w:ascii="微软雅黑" w:hAnsi="微软雅黑" w:eastAsia="微软雅黑" w:cs="Arial"/>
          <w:b/>
          <w:color w:val="000000" w:themeColor="text1"/>
          <w:kern w:val="0"/>
          <w:sz w:val="18"/>
          <w:szCs w:val="18"/>
          <w14:textFill>
            <w14:solidFill>
              <w14:schemeClr w14:val="tx1"/>
            </w14:solidFill>
          </w14:textFill>
        </w:rPr>
        <w:t>的则为有责弃标</w:t>
      </w:r>
      <w:r>
        <w:rPr>
          <w:rFonts w:ascii="微软雅黑" w:hAnsi="微软雅黑" w:eastAsia="微软雅黑" w:cs="Arial"/>
          <w:b/>
          <w:color w:val="000000" w:themeColor="text1"/>
          <w:kern w:val="0"/>
          <w:sz w:val="18"/>
          <w:szCs w:val="18"/>
          <w14:textFill>
            <w14:solidFill>
              <w14:schemeClr w14:val="tx1"/>
            </w14:solidFill>
          </w14:textFill>
        </w:rPr>
        <w:t>，</w:t>
      </w:r>
      <w:r>
        <w:rPr>
          <w:rFonts w:hint="eastAsia" w:ascii="微软雅黑" w:hAnsi="微软雅黑" w:eastAsia="微软雅黑" w:cs="Arial"/>
          <w:b/>
          <w:color w:val="000000" w:themeColor="text1"/>
          <w:kern w:val="0"/>
          <w:sz w:val="18"/>
          <w:szCs w:val="18"/>
          <w14:textFill>
            <w14:solidFill>
              <w14:schemeClr w14:val="tx1"/>
            </w14:solidFill>
          </w14:textFill>
        </w:rPr>
        <w:t>扣除投标保证金，至少两</w:t>
      </w:r>
      <w:r>
        <w:rPr>
          <w:rFonts w:ascii="微软雅黑" w:hAnsi="微软雅黑" w:eastAsia="微软雅黑" w:cs="Arial"/>
          <w:b/>
          <w:color w:val="000000" w:themeColor="text1"/>
          <w:kern w:val="0"/>
          <w:sz w:val="18"/>
          <w:szCs w:val="18"/>
          <w14:textFill>
            <w14:solidFill>
              <w14:schemeClr w14:val="tx1"/>
            </w14:solidFill>
          </w14:textFill>
        </w:rPr>
        <w:t>年内</w:t>
      </w:r>
      <w:r>
        <w:rPr>
          <w:rFonts w:hint="eastAsia" w:ascii="微软雅黑" w:hAnsi="微软雅黑" w:eastAsia="微软雅黑" w:cs="Arial"/>
          <w:b/>
          <w:color w:val="000000" w:themeColor="text1"/>
          <w:kern w:val="0"/>
          <w:sz w:val="18"/>
          <w:szCs w:val="18"/>
          <w14:textFill>
            <w14:solidFill>
              <w14:schemeClr w14:val="tx1"/>
            </w14:solidFill>
          </w14:textFill>
        </w:rPr>
        <w:t>禁止参与京东任何运输招标。</w:t>
      </w:r>
    </w:p>
    <w:p>
      <w:pPr>
        <w:adjustRightInd w:val="0"/>
        <w:snapToGrid w:val="0"/>
        <w:spacing w:before="240"/>
        <w:jc w:val="left"/>
        <w:rPr>
          <w:rFonts w:ascii="微软雅黑" w:hAnsi="微软雅黑" w:eastAsia="微软雅黑" w:cs="Arial"/>
          <w:b/>
          <w:color w:val="FFFFFF" w:themeColor="background1"/>
          <w:kern w:val="0"/>
          <w:sz w:val="18"/>
          <w:szCs w:val="18"/>
          <w14:textFill>
            <w14:solidFill>
              <w14:schemeClr w14:val="bg1"/>
            </w14:solidFill>
          </w14:textFill>
        </w:rPr>
      </w:pPr>
      <w:r>
        <w:rPr>
          <w:rFonts w:hint="eastAsia" w:ascii="微软雅黑" w:hAnsi="微软雅黑" w:eastAsia="微软雅黑" w:cs="Arial"/>
          <w:b/>
          <w:color w:val="FFFFFF" w:themeColor="background1"/>
          <w:kern w:val="0"/>
          <w:sz w:val="18"/>
          <w:szCs w:val="18"/>
          <w:highlight w:val="black"/>
          <w14:textFill>
            <w14:solidFill>
              <w14:schemeClr w14:val="bg1"/>
            </w14:solidFill>
          </w14:textFill>
        </w:rPr>
        <w:t>五．附件</w:t>
      </w:r>
    </w:p>
    <w:p>
      <w:pPr>
        <w:widowControl/>
        <w:adjustRightInd w:val="0"/>
        <w:snapToGrid w:val="0"/>
        <w:spacing w:before="163" w:beforeLines="50"/>
        <w:jc w:val="left"/>
        <w:rPr>
          <w:rFonts w:ascii="微软雅黑" w:hAnsi="微软雅黑" w:eastAsia="微软雅黑" w:cs="Arial"/>
          <w:b/>
          <w:color w:val="FF0000"/>
          <w:kern w:val="0"/>
          <w:sz w:val="18"/>
          <w:szCs w:val="18"/>
        </w:rPr>
      </w:pPr>
      <w:r>
        <w:rPr>
          <w:rFonts w:hint="eastAsia" w:ascii="微软雅黑" w:hAnsi="微软雅黑" w:eastAsia="微软雅黑" w:cs="Arial"/>
          <w:b/>
          <w:color w:val="FF0000"/>
          <w:kern w:val="0"/>
          <w:sz w:val="18"/>
          <w:szCs w:val="18"/>
        </w:rPr>
        <w:t>详见投标系统界面（</w:t>
      </w:r>
      <w:r>
        <w:rPr>
          <w:rFonts w:ascii="微软雅黑" w:hAnsi="微软雅黑" w:eastAsia="微软雅黑" w:cs="Arial"/>
          <w:b/>
          <w:color w:val="FF0000"/>
          <w:kern w:val="0"/>
          <w:sz w:val="18"/>
          <w:szCs w:val="18"/>
        </w:rPr>
        <w:t>https://tms.jdl.com/</w:t>
      </w:r>
      <w:r>
        <w:rPr>
          <w:rFonts w:hint="eastAsia" w:ascii="微软雅黑" w:hAnsi="微软雅黑" w:eastAsia="微软雅黑" w:cs="Arial"/>
          <w:b/>
          <w:color w:val="FF0000"/>
          <w:kern w:val="0"/>
          <w:sz w:val="18"/>
          <w:szCs w:val="18"/>
        </w:rPr>
        <w:t>）</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附件一：标的基础信息</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附件二：投标承诺函</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bookmarkStart w:id="0" w:name="_MON_1751353756"/>
      <w:bookmarkEnd w:id="0"/>
      <w:r>
        <w:rPr>
          <w:rFonts w:ascii="微软雅黑" w:hAnsi="微软雅黑" w:eastAsia="微软雅黑" w:cs="Arial"/>
          <w:b/>
          <w:color w:val="000000" w:themeColor="text1"/>
          <w:kern w:val="0"/>
          <w:sz w:val="18"/>
          <w:szCs w:val="18"/>
          <w14:textFill>
            <w14:solidFill>
              <w14:schemeClr w14:val="tx1"/>
            </w14:solidFill>
          </w14:textFill>
        </w:rPr>
        <w:object>
          <v:shape id="_x0000_i1030" o:spt="75" type="#_x0000_t75" style="height:51.75pt;width:75.75pt;" o:ole="t" filled="f" o:preferrelative="t" stroked="f" coordsize="21600,21600">
            <v:path/>
            <v:fill on="f" focussize="0,0"/>
            <v:stroke on="f" joinstyle="miter"/>
            <v:imagedata r:id="rId10" o:title=""/>
            <o:lock v:ext="edit" aspectratio="t"/>
            <w10:wrap type="none"/>
            <w10:anchorlock/>
          </v:shape>
          <o:OLEObject Type="Embed" ProgID="Word.Document.12" ShapeID="_x0000_i1030" DrawAspect="Icon" ObjectID="_1468075725" r:id="rId9">
            <o:LockedField>false</o:LockedField>
          </o:OLEObject>
        </w:objec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附件三：投标授权书</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bookmarkStart w:id="1" w:name="_MON_1751353785"/>
      <w:bookmarkEnd w:id="1"/>
      <w:r>
        <w:rPr>
          <w:rFonts w:ascii="微软雅黑" w:hAnsi="微软雅黑" w:eastAsia="微软雅黑" w:cs="Arial"/>
          <w:b/>
          <w:color w:val="000000" w:themeColor="text1"/>
          <w:kern w:val="0"/>
          <w:sz w:val="18"/>
          <w:szCs w:val="18"/>
          <w14:textFill>
            <w14:solidFill>
              <w14:schemeClr w14:val="tx1"/>
            </w14:solidFill>
          </w14:textFill>
        </w:rPr>
        <w:object>
          <v:shape id="_x0000_i1026" o:spt="75" type="#_x0000_t75" style="height:51.75pt;width:75.75pt;" o:ole="t" filled="f" o:preferrelative="t" stroked="f" coordsize="21600,21600">
            <v:path/>
            <v:fill on="f" focussize="0,0"/>
            <v:stroke on="f" joinstyle="miter"/>
            <v:imagedata r:id="rId12" o:title=""/>
            <o:lock v:ext="edit" aspectratio="t"/>
            <w10:wrap type="none"/>
            <w10:anchorlock/>
          </v:shape>
          <o:OLEObject Type="Embed" ProgID="Word.Document.12" ShapeID="_x0000_i1026" DrawAspect="Icon" ObjectID="_1468075726" r:id="rId11">
            <o:LockedField>false</o:LockedField>
          </o:OLEObject>
        </w:object>
      </w:r>
    </w:p>
    <w:p>
      <w:pPr>
        <w:widowControl/>
        <w:adjustRightInd w:val="0"/>
        <w:snapToGrid w:val="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附件四：承运商入驻及投标指导手册</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ascii="微软雅黑" w:hAnsi="微软雅黑" w:eastAsia="微软雅黑" w:cs="Arial"/>
          <w:b/>
          <w:color w:val="000000" w:themeColor="text1"/>
          <w:kern w:val="0"/>
          <w:sz w:val="18"/>
          <w:szCs w:val="18"/>
          <w14:textFill>
            <w14:solidFill>
              <w14:schemeClr w14:val="tx1"/>
            </w14:solidFill>
          </w14:textFill>
        </w:rPr>
        <w:object>
          <v:shape id="_x0000_i1027" o:spt="75" type="#_x0000_t75" style="height:52.5pt;width:75.75pt;" o:ole="t" filled="f" o:preferrelative="t" stroked="f" coordsize="21600,21600">
            <v:path/>
            <v:fill on="f" focussize="0,0"/>
            <v:stroke on="f" joinstyle="miter"/>
            <v:imagedata r:id="rId14" o:title=""/>
            <o:lock v:ext="edit" aspectratio="t"/>
            <w10:wrap type="none"/>
            <w10:anchorlock/>
          </v:shape>
          <o:OLEObject Type="Embed" ProgID="AcroExch.Document.DC" ShapeID="_x0000_i1027" DrawAspect="Icon" ObjectID="_1468075727" r:id="rId13">
            <o:LockedField>false</o:LockedField>
          </o:OLEObject>
        </w:object>
      </w:r>
      <w:r>
        <w:rPr>
          <w:rFonts w:ascii="微软雅黑" w:hAnsi="微软雅黑" w:eastAsia="微软雅黑" w:cs="Arial"/>
          <w:b/>
          <w:color w:val="000000" w:themeColor="text1"/>
          <w:kern w:val="0"/>
          <w:sz w:val="18"/>
          <w:szCs w:val="18"/>
          <w14:textFill>
            <w14:solidFill>
              <w14:schemeClr w14:val="tx1"/>
            </w14:solidFill>
          </w14:textFill>
        </w:rPr>
        <w:t xml:space="preserve">  </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附件五：运输服务合同模板</w:t>
      </w:r>
    </w:p>
    <w:p>
      <w:pPr>
        <w:widowControl/>
        <w:adjustRightInd w:val="0"/>
        <w:snapToGrid w:val="0"/>
        <w:spacing w:before="163" w:beforeLines="50"/>
        <w:jc w:val="left"/>
        <w:rPr>
          <w:rFonts w:ascii="微软雅黑" w:hAnsi="微软雅黑" w:eastAsia="微软雅黑" w:cs="Arial"/>
          <w:color w:val="FF0000"/>
          <w:kern w:val="0"/>
          <w:sz w:val="18"/>
          <w:szCs w:val="18"/>
        </w:rPr>
      </w:pPr>
      <w:r>
        <w:rPr>
          <w:rFonts w:hint="eastAsia" w:ascii="微软雅黑" w:hAnsi="微软雅黑" w:eastAsia="微软雅黑" w:cs="Arial"/>
          <w:color w:val="FF0000"/>
          <w:kern w:val="0"/>
          <w:sz w:val="18"/>
          <w:szCs w:val="18"/>
        </w:rPr>
        <w:t>【需根据业务类型插入附件】</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附件六：京东保险经纪货运一切险</w: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ascii="微软雅黑" w:hAnsi="微软雅黑" w:eastAsia="微软雅黑" w:cs="Arial"/>
          <w:b/>
          <w:color w:val="000000" w:themeColor="text1"/>
          <w:kern w:val="0"/>
          <w:sz w:val="18"/>
          <w:szCs w:val="18"/>
          <w14:textFill>
            <w14:solidFill>
              <w14:schemeClr w14:val="tx1"/>
            </w14:solidFill>
          </w14:textFill>
        </w:rPr>
        <w:object>
          <v:shape id="_x0000_i1028" o:spt="75" type="#_x0000_t75" style="height:52.5pt;width:75.75pt;" o:ole="t" filled="f" o:preferrelative="t" stroked="f" coordsize="21600,21600">
            <v:path/>
            <v:fill on="f" focussize="0,0"/>
            <v:stroke on="f" joinstyle="miter"/>
            <v:imagedata r:id="rId15" o:title=""/>
            <o:lock v:ext="edit" aspectratio="t"/>
            <w10:wrap type="none"/>
            <w10:anchorlock/>
          </v:shape>
          <o:OLEObject Type="Link" ProgID="" ShapeID="_x0000_i1028" UpdateMode="Always" DrawAspect="Content" ObjectID="_1468075728" r:id="rId16">
            <o:LinkType>EnhancedMetaFile</o:LinkType>
            <o:LockedField>false</o:LockedField>
            <o:FieldCodes>\f 0</o:FieldCodes>
          </o:OLEObject>
        </w:object>
      </w:r>
    </w:p>
    <w:p>
      <w:pPr>
        <w:widowControl/>
        <w:adjustRightInd w:val="0"/>
        <w:snapToGrid w:val="0"/>
        <w:spacing w:before="163" w:beforeLines="50"/>
        <w:jc w:val="lef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附件七：货物运输保险购买承诺函</w: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bookmarkStart w:id="2" w:name="_MON_1751353830"/>
      <w:bookmarkEnd w:id="2"/>
      <w:r>
        <w:rPr>
          <w:rFonts w:ascii="微软雅黑" w:hAnsi="微软雅黑" w:eastAsia="微软雅黑" w:cs="Arial"/>
          <w:color w:val="000000" w:themeColor="text1"/>
          <w:kern w:val="0"/>
          <w:sz w:val="18"/>
          <w:szCs w:val="18"/>
          <w14:textFill>
            <w14:solidFill>
              <w14:schemeClr w14:val="tx1"/>
            </w14:solidFill>
          </w14:textFill>
        </w:rPr>
        <w:object>
          <v:shape id="_x0000_i1029" o:spt="75" type="#_x0000_t75" style="height:51.75pt;width:75.75pt;" o:ole="t" filled="f" o:preferrelative="t" stroked="f" coordsize="21600,21600">
            <v:path/>
            <v:fill on="f" focussize="0,0"/>
            <v:stroke on="f" joinstyle="miter"/>
            <v:imagedata r:id="rId18" o:title=""/>
            <o:lock v:ext="edit" aspectratio="t"/>
            <w10:wrap type="none"/>
            <w10:anchorlock/>
          </v:shape>
          <o:OLEObject Type="Embed" ProgID="Word.Document.12" ShapeID="_x0000_i1029" DrawAspect="Icon" ObjectID="_1468075729" r:id="rId17">
            <o:LockedField>false</o:LockedField>
          </o:OLEObject>
        </w:object>
      </w:r>
    </w:p>
    <w:p>
      <w:pPr>
        <w:widowControl/>
        <w:adjustRightInd w:val="0"/>
        <w:snapToGrid w:val="0"/>
        <w:jc w:val="lef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 xml:space="preserve"> </w:t>
      </w: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t>本次招标活动</w:t>
      </w:r>
      <w:r>
        <w:rPr>
          <w:rFonts w:hint="eastAsia" w:ascii="微软雅黑" w:hAnsi="微软雅黑" w:eastAsia="微软雅黑" w:cs="Arial"/>
          <w:color w:val="000000" w:themeColor="text1"/>
          <w:kern w:val="0"/>
          <w:sz w:val="18"/>
          <w:szCs w:val="18"/>
          <w14:textFill>
            <w14:solidFill>
              <w14:schemeClr w14:val="tx1"/>
            </w14:solidFill>
          </w14:textFill>
        </w:rPr>
        <w:t>的咨询答疑方</w:t>
      </w:r>
      <w:r>
        <w:rPr>
          <w:rFonts w:ascii="微软雅黑" w:hAnsi="微软雅黑" w:eastAsia="微软雅黑" w:cs="Arial"/>
          <w:color w:val="000000" w:themeColor="text1"/>
          <w:kern w:val="0"/>
          <w:sz w:val="18"/>
          <w:szCs w:val="18"/>
          <w14:textFill>
            <w14:solidFill>
              <w14:schemeClr w14:val="tx1"/>
            </w14:solidFill>
          </w14:textFill>
        </w:rPr>
        <w:t>：</w:t>
      </w:r>
      <w:r>
        <w:rPr>
          <w:rFonts w:hint="eastAsia" w:ascii="微软雅黑" w:hAnsi="微软雅黑" w:eastAsia="微软雅黑" w:cs="Arial"/>
          <w:color w:val="000000" w:themeColor="text1"/>
          <w:kern w:val="0"/>
          <w:sz w:val="18"/>
          <w:szCs w:val="18"/>
          <w14:textFill>
            <w14:solidFill>
              <w14:schemeClr w14:val="tx1"/>
            </w14:solidFill>
          </w14:textFill>
        </w:rPr>
        <w:t>京东物流运输有限公司；</w:t>
      </w:r>
    </w:p>
    <w:p>
      <w:pPr>
        <w:widowControl/>
        <w:adjustRightInd w:val="0"/>
        <w:snapToGrid w:val="0"/>
        <w:jc w:val="right"/>
        <w:rPr>
          <w:rFonts w:ascii="微软雅黑" w:hAnsi="微软雅黑" w:eastAsia="微软雅黑"/>
          <w:color w:val="000000" w:themeColor="text1"/>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京东设定专用邮箱接受投标方的投诉</w:t>
      </w:r>
      <w:r>
        <w:rPr>
          <w:rFonts w:ascii="微软雅黑" w:hAnsi="微软雅黑" w:eastAsia="微软雅黑" w:cs="Arial"/>
          <w:color w:val="000000" w:themeColor="text1"/>
          <w:kern w:val="0"/>
          <w:sz w:val="18"/>
          <w:szCs w:val="18"/>
          <w14:textFill>
            <w14:solidFill>
              <w14:schemeClr w14:val="tx1"/>
            </w14:solidFill>
          </w14:textFill>
        </w:rPr>
        <w:t>jiancha@jd.com，电话：</w:t>
      </w:r>
      <w:r>
        <w:rPr>
          <w:rFonts w:ascii="微软雅黑" w:hAnsi="微软雅黑" w:eastAsia="微软雅黑" w:cs="Segoe UI"/>
          <w:color w:val="000000"/>
          <w:sz w:val="18"/>
          <w:szCs w:val="18"/>
          <w:shd w:val="clear" w:color="auto" w:fill="FFFFFF"/>
        </w:rPr>
        <w:t>400-601-3618</w:t>
      </w:r>
      <w:r>
        <w:rPr>
          <w:rFonts w:hint="eastAsia" w:ascii="微软雅黑" w:hAnsi="微软雅黑" w:eastAsia="微软雅黑" w:cs="Segoe UI"/>
          <w:color w:val="000000"/>
          <w:sz w:val="18"/>
          <w:szCs w:val="18"/>
          <w:shd w:val="clear" w:color="auto" w:fill="FFFFFF"/>
        </w:rPr>
        <w:t>；</w:t>
      </w: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r>
        <w:rPr>
          <w:rFonts w:hint="eastAsia" w:ascii="微软雅黑" w:hAnsi="微软雅黑" w:eastAsia="微软雅黑" w:cs="Arial"/>
          <w:color w:val="000000" w:themeColor="text1"/>
          <w:kern w:val="0"/>
          <w:sz w:val="18"/>
          <w:szCs w:val="18"/>
          <w14:textFill>
            <w14:solidFill>
              <w14:schemeClr w14:val="tx1"/>
            </w14:solidFill>
          </w14:textFill>
        </w:rPr>
        <w:t>京东监察防损部会对所有信息提供者及所提供的全部资料严格保密。</w:t>
      </w:r>
    </w:p>
    <w:p>
      <w:pPr>
        <w:widowControl/>
        <w:adjustRightInd w:val="0"/>
        <w:snapToGrid w:val="0"/>
        <w:jc w:val="right"/>
        <w:rPr>
          <w:rFonts w:ascii="微软雅黑" w:hAnsi="微软雅黑" w:eastAsia="微软雅黑" w:cs="Arial"/>
          <w:color w:val="000000" w:themeColor="text1"/>
          <w:kern w:val="0"/>
          <w:sz w:val="18"/>
          <w:szCs w:val="18"/>
          <w14:textFill>
            <w14:solidFill>
              <w14:schemeClr w14:val="tx1"/>
            </w14:solidFill>
          </w14:textFill>
        </w:rPr>
      </w:pPr>
    </w:p>
    <w:p>
      <w:pPr>
        <w:widowControl/>
        <w:adjustRightInd w:val="0"/>
        <w:snapToGrid w:val="0"/>
        <w:spacing w:line="360" w:lineRule="auto"/>
        <w:ind w:firstLine="1530" w:firstLineChars="850"/>
        <w:jc w:val="right"/>
        <w:rPr>
          <w:rFonts w:ascii="微软雅黑" w:hAnsi="微软雅黑" w:eastAsia="微软雅黑" w:cs="Arial"/>
          <w:b/>
          <w:color w:val="000000" w:themeColor="text1"/>
          <w:kern w:val="0"/>
          <w:sz w:val="18"/>
          <w:szCs w:val="18"/>
          <w14:textFill>
            <w14:solidFill>
              <w14:schemeClr w14:val="tx1"/>
            </w14:solidFill>
          </w14:textFill>
        </w:rPr>
      </w:pPr>
      <w:r>
        <w:rPr>
          <w:rFonts w:ascii="微软雅黑" w:hAnsi="微软雅黑" w:eastAsia="微软雅黑" w:cs="Arial"/>
          <w:color w:val="000000" w:themeColor="text1"/>
          <w:kern w:val="0"/>
          <w:sz w:val="18"/>
          <w:szCs w:val="18"/>
          <w14:textFill>
            <w14:solidFill>
              <w14:schemeClr w14:val="tx1"/>
            </w14:solidFill>
          </w14:textFill>
        </w:rPr>
        <w:t> </w:t>
      </w:r>
      <w:r>
        <w:rPr>
          <w:rFonts w:ascii="微软雅黑" w:hAnsi="微软雅黑" w:eastAsia="微软雅黑" w:cs="Arial"/>
          <w:b/>
          <w:color w:val="000000" w:themeColor="text1"/>
          <w:kern w:val="0"/>
          <w:sz w:val="18"/>
          <w:szCs w:val="18"/>
          <w14:textFill>
            <w14:solidFill>
              <w14:schemeClr w14:val="tx1"/>
            </w14:solidFill>
          </w14:textFill>
        </w:rPr>
        <w:t>  </w:t>
      </w:r>
      <w:r>
        <w:rPr>
          <w:rFonts w:hint="eastAsia" w:ascii="微软雅黑" w:hAnsi="微软雅黑" w:eastAsia="微软雅黑" w:cs="Arial"/>
          <w:b/>
          <w:color w:val="000000" w:themeColor="text1"/>
          <w:kern w:val="0"/>
          <w:sz w:val="18"/>
          <w:szCs w:val="18"/>
          <w14:textFill>
            <w14:solidFill>
              <w14:schemeClr w14:val="tx1"/>
            </w14:solidFill>
          </w14:textFill>
        </w:rPr>
        <w:t>京东物流运输有限公司</w:t>
      </w:r>
    </w:p>
    <w:p>
      <w:pPr>
        <w:widowControl/>
        <w:adjustRightInd w:val="0"/>
        <w:snapToGrid w:val="0"/>
        <w:spacing w:line="360" w:lineRule="auto"/>
        <w:ind w:firstLine="1531" w:firstLineChars="850"/>
        <w:jc w:val="right"/>
        <w:rPr>
          <w:rFonts w:ascii="微软雅黑" w:hAnsi="微软雅黑" w:eastAsia="微软雅黑" w:cs="Arial"/>
          <w:b/>
          <w:color w:val="000000" w:themeColor="text1"/>
          <w:kern w:val="0"/>
          <w:sz w:val="18"/>
          <w:szCs w:val="18"/>
          <w14:textFill>
            <w14:solidFill>
              <w14:schemeClr w14:val="tx1"/>
            </w14:solidFill>
          </w14:textFill>
        </w:rPr>
      </w:pPr>
      <w:r>
        <w:rPr>
          <w:rFonts w:hint="eastAsia" w:ascii="微软雅黑" w:hAnsi="微软雅黑" w:eastAsia="微软雅黑" w:cs="Arial"/>
          <w:b/>
          <w:color w:val="000000" w:themeColor="text1"/>
          <w:kern w:val="0"/>
          <w:sz w:val="18"/>
          <w:szCs w:val="18"/>
          <w14:textFill>
            <w14:solidFill>
              <w14:schemeClr w14:val="tx1"/>
            </w14:solidFill>
          </w14:textFill>
        </w:rPr>
        <w:t>日期：2</w:t>
      </w:r>
      <w:r>
        <w:rPr>
          <w:rFonts w:hint="eastAsia" w:ascii="微软雅黑" w:hAnsi="微软雅黑" w:eastAsia="微软雅黑" w:cs="Arial"/>
          <w:b/>
          <w:kern w:val="0"/>
          <w:sz w:val="18"/>
          <w:szCs w:val="18"/>
        </w:rPr>
        <w:t>0</w:t>
      </w:r>
      <w:r>
        <w:rPr>
          <w:rFonts w:ascii="微软雅黑" w:hAnsi="微软雅黑" w:eastAsia="微软雅黑" w:cs="Arial"/>
          <w:b/>
          <w:kern w:val="0"/>
          <w:sz w:val="18"/>
          <w:szCs w:val="18"/>
        </w:rPr>
        <w:t>24</w:t>
      </w:r>
      <w:r>
        <w:rPr>
          <w:rFonts w:hint="eastAsia" w:ascii="微软雅黑" w:hAnsi="微软雅黑" w:eastAsia="微软雅黑" w:cs="Arial"/>
          <w:b/>
          <w:kern w:val="0"/>
          <w:sz w:val="18"/>
          <w:szCs w:val="18"/>
        </w:rPr>
        <w:t>年</w:t>
      </w:r>
      <w:r>
        <w:rPr>
          <w:rFonts w:ascii="微软雅黑" w:hAnsi="微软雅黑" w:eastAsia="微软雅黑" w:cs="Arial"/>
          <w:b/>
          <w:kern w:val="0"/>
          <w:sz w:val="18"/>
          <w:szCs w:val="18"/>
        </w:rPr>
        <w:t>4</w:t>
      </w:r>
      <w:r>
        <w:rPr>
          <w:rFonts w:hint="eastAsia" w:ascii="微软雅黑" w:hAnsi="微软雅黑" w:eastAsia="微软雅黑" w:cs="Arial"/>
          <w:b/>
          <w:kern w:val="0"/>
          <w:sz w:val="18"/>
          <w:szCs w:val="18"/>
        </w:rPr>
        <w:t>月</w:t>
      </w:r>
      <w:r>
        <w:rPr>
          <w:rFonts w:ascii="微软雅黑" w:hAnsi="微软雅黑" w:eastAsia="微软雅黑" w:cs="Arial"/>
          <w:b/>
          <w:kern w:val="0"/>
          <w:sz w:val="18"/>
          <w:szCs w:val="18"/>
        </w:rPr>
        <w:t>24</w:t>
      </w:r>
      <w:r>
        <w:rPr>
          <w:rFonts w:hint="eastAsia" w:ascii="微软雅黑" w:hAnsi="微软雅黑" w:eastAsia="微软雅黑" w:cs="Arial"/>
          <w:b/>
          <w:kern w:val="0"/>
          <w:sz w:val="18"/>
          <w:szCs w:val="18"/>
        </w:rPr>
        <w:t>日</w:t>
      </w:r>
    </w:p>
    <w:p>
      <w:pPr>
        <w:spacing w:line="192" w:lineRule="auto"/>
        <w:ind w:firstLine="480"/>
        <w:rPr>
          <w:rFonts w:ascii="微软雅黑" w:hAnsi="微软雅黑" w:eastAsia="微软雅黑"/>
        </w:rPr>
      </w:pPr>
    </w:p>
    <w:sectPr>
      <w:headerReference r:id="rId3" w:type="default"/>
      <w:footerReference r:id="rId4" w:type="default"/>
      <w:footerReference r:id="rId5" w:type="even"/>
      <w:pgSz w:w="11900" w:h="16840"/>
      <w:pgMar w:top="1440" w:right="1800" w:bottom="1440" w:left="1800" w:header="737" w:footer="1191"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京东朗正体 玲珑">
    <w:altName w:val="宋体"/>
    <w:panose1 w:val="02000400000000000000"/>
    <w:charset w:val="86"/>
    <w:family w:val="auto"/>
    <w:pitch w:val="default"/>
    <w:sig w:usb0="00000000" w:usb1="00000000"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t xml:space="preserve"> </w:t>
    </w:r>
    <w:r>
      <w:rPr>
        <w:rFonts w:hint="eastAsia"/>
      </w:rPr>
      <w:t>北京市亦庄经济开发区科创十一街18号院</w:t>
    </w:r>
    <w:r>
      <w:t xml:space="preserve">  |  No.18 Kechuang 11 Street, BDA, Beijing, China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pPr>
    <w:r>
      <w:t>www.jdl.cn</w:t>
    </w:r>
    <w:r>
      <w:rPr>
        <w:rFonts w:hint="eastAsia"/>
      </w:rPr>
      <w:t xml:space="preserve">        </w:t>
    </w:r>
    <w:r>
      <w:t xml:space="preserve">   </w:t>
    </w:r>
    <w:r>
      <w:rPr>
        <w:rFonts w:hint="eastAsia"/>
      </w:rPr>
      <w:t xml:space="preserve">    </w:t>
    </w:r>
    <w:r>
      <w:t xml:space="preserve">                               </w:t>
    </w:r>
    <w:r>
      <w:drawing>
        <wp:inline distT="0" distB="0" distL="0" distR="0">
          <wp:extent cx="1404620" cy="3022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416203" cy="3051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9F4F1B"/>
    <w:multiLevelType w:val="multilevel"/>
    <w:tmpl w:val="1F9F4F1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1A90244"/>
    <w:multiLevelType w:val="multilevel"/>
    <w:tmpl w:val="21A9024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22246"/>
    <w:multiLevelType w:val="multilevel"/>
    <w:tmpl w:val="2842224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C2438B"/>
    <w:multiLevelType w:val="multilevel"/>
    <w:tmpl w:val="55C2438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5B3188"/>
    <w:multiLevelType w:val="multilevel"/>
    <w:tmpl w:val="5D5B3188"/>
    <w:lvl w:ilvl="0" w:tentative="0">
      <w:start w:val="1"/>
      <w:numFmt w:val="decimal"/>
      <w:lvlText w:val="（%1）"/>
      <w:lvlJc w:val="left"/>
      <w:pPr>
        <w:ind w:left="720" w:hanging="720"/>
      </w:pPr>
      <w:rPr>
        <w:rFonts w:hint="default"/>
        <w:b w:val="0"/>
        <w:color w:val="auto"/>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5F367A0"/>
    <w:multiLevelType w:val="multilevel"/>
    <w:tmpl w:val="65F367A0"/>
    <w:lvl w:ilvl="0" w:tentative="0">
      <w:start w:val="1"/>
      <w:numFmt w:val="bullet"/>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abstractNum w:abstractNumId="6">
    <w:nsid w:val="76475F03"/>
    <w:multiLevelType w:val="multilevel"/>
    <w:tmpl w:val="76475F03"/>
    <w:lvl w:ilvl="0" w:tentative="0">
      <w:start w:val="1"/>
      <w:numFmt w:val="decimalEnclosedCircle"/>
      <w:lvlText w:val="%1"/>
      <w:lvlJc w:val="left"/>
      <w:pPr>
        <w:ind w:left="1271" w:hanging="420"/>
      </w:pPr>
      <w:rPr>
        <w:rFonts w:ascii="京东朗正体 玲珑" w:hAnsi="京东朗正体 玲珑" w:eastAsia="京东朗正体 玲珑" w:cs="Times New Roman"/>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5MGM5OTkwMzQ0OTMzYTQ0Mzk0MjgzNjBmZTRjNjQifQ=="/>
    <w:docVar w:name="KSO_WPS_MARK_KEY" w:val="c392c8b9-dc31-47eb-a8cf-db163de1fb88"/>
  </w:docVars>
  <w:rsids>
    <w:rsidRoot w:val="00621C25"/>
    <w:rsid w:val="000133AE"/>
    <w:rsid w:val="00013CC4"/>
    <w:rsid w:val="000174CC"/>
    <w:rsid w:val="00021A61"/>
    <w:rsid w:val="00024C4A"/>
    <w:rsid w:val="00024EEA"/>
    <w:rsid w:val="00026C9E"/>
    <w:rsid w:val="00035270"/>
    <w:rsid w:val="00036B20"/>
    <w:rsid w:val="000413AC"/>
    <w:rsid w:val="00042ADC"/>
    <w:rsid w:val="000438F0"/>
    <w:rsid w:val="00047D0E"/>
    <w:rsid w:val="00053A9F"/>
    <w:rsid w:val="00081B2E"/>
    <w:rsid w:val="00082226"/>
    <w:rsid w:val="000830C5"/>
    <w:rsid w:val="0008376A"/>
    <w:rsid w:val="000847F5"/>
    <w:rsid w:val="0008669D"/>
    <w:rsid w:val="00093345"/>
    <w:rsid w:val="00094E1F"/>
    <w:rsid w:val="000A57BE"/>
    <w:rsid w:val="000C43D4"/>
    <w:rsid w:val="000D3933"/>
    <w:rsid w:val="000E4BA6"/>
    <w:rsid w:val="000E5F72"/>
    <w:rsid w:val="000E7522"/>
    <w:rsid w:val="000E7999"/>
    <w:rsid w:val="000F38E6"/>
    <w:rsid w:val="000F57D9"/>
    <w:rsid w:val="000F5D5F"/>
    <w:rsid w:val="00105527"/>
    <w:rsid w:val="00114EB0"/>
    <w:rsid w:val="00117B24"/>
    <w:rsid w:val="001201B5"/>
    <w:rsid w:val="001206E4"/>
    <w:rsid w:val="00121610"/>
    <w:rsid w:val="0012310A"/>
    <w:rsid w:val="0012588F"/>
    <w:rsid w:val="001338E1"/>
    <w:rsid w:val="001433BB"/>
    <w:rsid w:val="00155FDF"/>
    <w:rsid w:val="0016133B"/>
    <w:rsid w:val="001672B6"/>
    <w:rsid w:val="00172AAB"/>
    <w:rsid w:val="00172BA9"/>
    <w:rsid w:val="00174784"/>
    <w:rsid w:val="0019130A"/>
    <w:rsid w:val="00194950"/>
    <w:rsid w:val="00195FCB"/>
    <w:rsid w:val="001A3EAC"/>
    <w:rsid w:val="001B4DA2"/>
    <w:rsid w:val="001C23AB"/>
    <w:rsid w:val="001C7E38"/>
    <w:rsid w:val="001D0453"/>
    <w:rsid w:val="001D473E"/>
    <w:rsid w:val="001D64FD"/>
    <w:rsid w:val="001F2BA8"/>
    <w:rsid w:val="001F7EBA"/>
    <w:rsid w:val="00201A8C"/>
    <w:rsid w:val="002053A7"/>
    <w:rsid w:val="00210DA9"/>
    <w:rsid w:val="00221392"/>
    <w:rsid w:val="00222119"/>
    <w:rsid w:val="002434A3"/>
    <w:rsid w:val="002436DD"/>
    <w:rsid w:val="00252CED"/>
    <w:rsid w:val="00253B08"/>
    <w:rsid w:val="00263549"/>
    <w:rsid w:val="00271875"/>
    <w:rsid w:val="00273546"/>
    <w:rsid w:val="00273A7F"/>
    <w:rsid w:val="00276D62"/>
    <w:rsid w:val="00281221"/>
    <w:rsid w:val="002822C8"/>
    <w:rsid w:val="002822F4"/>
    <w:rsid w:val="002B4476"/>
    <w:rsid w:val="002C745A"/>
    <w:rsid w:val="002D0AD1"/>
    <w:rsid w:val="002D6FC7"/>
    <w:rsid w:val="002E27E0"/>
    <w:rsid w:val="002E3D6E"/>
    <w:rsid w:val="002E60EF"/>
    <w:rsid w:val="002F2AAC"/>
    <w:rsid w:val="002F3BA4"/>
    <w:rsid w:val="002F440F"/>
    <w:rsid w:val="00307739"/>
    <w:rsid w:val="00334389"/>
    <w:rsid w:val="00345D23"/>
    <w:rsid w:val="00346400"/>
    <w:rsid w:val="00347F9B"/>
    <w:rsid w:val="00353512"/>
    <w:rsid w:val="003540E1"/>
    <w:rsid w:val="00373854"/>
    <w:rsid w:val="003B66F5"/>
    <w:rsid w:val="003C4734"/>
    <w:rsid w:val="003D17E4"/>
    <w:rsid w:val="003D613F"/>
    <w:rsid w:val="003E1CAC"/>
    <w:rsid w:val="003E5040"/>
    <w:rsid w:val="003E776B"/>
    <w:rsid w:val="003F22B4"/>
    <w:rsid w:val="003F54B9"/>
    <w:rsid w:val="003F7692"/>
    <w:rsid w:val="00402CEF"/>
    <w:rsid w:val="00407258"/>
    <w:rsid w:val="004122B7"/>
    <w:rsid w:val="00422594"/>
    <w:rsid w:val="00433904"/>
    <w:rsid w:val="004468FE"/>
    <w:rsid w:val="0045082C"/>
    <w:rsid w:val="00463E93"/>
    <w:rsid w:val="00465249"/>
    <w:rsid w:val="004764D2"/>
    <w:rsid w:val="00480AE3"/>
    <w:rsid w:val="00487338"/>
    <w:rsid w:val="004878DF"/>
    <w:rsid w:val="00487AF4"/>
    <w:rsid w:val="004931DE"/>
    <w:rsid w:val="00493758"/>
    <w:rsid w:val="004962C8"/>
    <w:rsid w:val="004A3B22"/>
    <w:rsid w:val="004B42B1"/>
    <w:rsid w:val="004C18A6"/>
    <w:rsid w:val="004C5B22"/>
    <w:rsid w:val="004D0721"/>
    <w:rsid w:val="004D3D77"/>
    <w:rsid w:val="004E4F21"/>
    <w:rsid w:val="00505BDC"/>
    <w:rsid w:val="0052036F"/>
    <w:rsid w:val="00526DDC"/>
    <w:rsid w:val="00534955"/>
    <w:rsid w:val="00550D92"/>
    <w:rsid w:val="0056226D"/>
    <w:rsid w:val="005738AF"/>
    <w:rsid w:val="00575327"/>
    <w:rsid w:val="00576B64"/>
    <w:rsid w:val="005802C4"/>
    <w:rsid w:val="005817B2"/>
    <w:rsid w:val="005D03AF"/>
    <w:rsid w:val="005D0484"/>
    <w:rsid w:val="005D612A"/>
    <w:rsid w:val="005E5DEB"/>
    <w:rsid w:val="005E5FE2"/>
    <w:rsid w:val="005E7C6C"/>
    <w:rsid w:val="005F45AC"/>
    <w:rsid w:val="005F5514"/>
    <w:rsid w:val="005F73F0"/>
    <w:rsid w:val="005F7927"/>
    <w:rsid w:val="006058A4"/>
    <w:rsid w:val="006060FF"/>
    <w:rsid w:val="00610813"/>
    <w:rsid w:val="00611D01"/>
    <w:rsid w:val="00613D46"/>
    <w:rsid w:val="0062066A"/>
    <w:rsid w:val="00620EDF"/>
    <w:rsid w:val="00621C25"/>
    <w:rsid w:val="00625A46"/>
    <w:rsid w:val="00625B3A"/>
    <w:rsid w:val="00630C96"/>
    <w:rsid w:val="00641936"/>
    <w:rsid w:val="006421E7"/>
    <w:rsid w:val="00644115"/>
    <w:rsid w:val="006446F3"/>
    <w:rsid w:val="00647725"/>
    <w:rsid w:val="00650D48"/>
    <w:rsid w:val="0065449C"/>
    <w:rsid w:val="00655C5E"/>
    <w:rsid w:val="006572A9"/>
    <w:rsid w:val="00661FEE"/>
    <w:rsid w:val="00667EF9"/>
    <w:rsid w:val="006805F6"/>
    <w:rsid w:val="00681D61"/>
    <w:rsid w:val="00683584"/>
    <w:rsid w:val="006849D9"/>
    <w:rsid w:val="006939CE"/>
    <w:rsid w:val="00696AF6"/>
    <w:rsid w:val="006A4A93"/>
    <w:rsid w:val="006A700D"/>
    <w:rsid w:val="006B2118"/>
    <w:rsid w:val="006B4A6F"/>
    <w:rsid w:val="006B6FD8"/>
    <w:rsid w:val="006B7BA7"/>
    <w:rsid w:val="006B7BB6"/>
    <w:rsid w:val="006C0413"/>
    <w:rsid w:val="006C7FD8"/>
    <w:rsid w:val="006D48B6"/>
    <w:rsid w:val="006D4C09"/>
    <w:rsid w:val="006E168B"/>
    <w:rsid w:val="00706754"/>
    <w:rsid w:val="00720C57"/>
    <w:rsid w:val="00722225"/>
    <w:rsid w:val="00746693"/>
    <w:rsid w:val="0076488B"/>
    <w:rsid w:val="007724FB"/>
    <w:rsid w:val="007775C5"/>
    <w:rsid w:val="007A1B2A"/>
    <w:rsid w:val="007A34CA"/>
    <w:rsid w:val="007C0212"/>
    <w:rsid w:val="007C7FC8"/>
    <w:rsid w:val="007D42B0"/>
    <w:rsid w:val="007D466B"/>
    <w:rsid w:val="007D4E38"/>
    <w:rsid w:val="007E03C1"/>
    <w:rsid w:val="007E04EE"/>
    <w:rsid w:val="007E328E"/>
    <w:rsid w:val="007E460D"/>
    <w:rsid w:val="007F1E47"/>
    <w:rsid w:val="007F24DF"/>
    <w:rsid w:val="007F2913"/>
    <w:rsid w:val="007F2FFB"/>
    <w:rsid w:val="007F796C"/>
    <w:rsid w:val="00803E40"/>
    <w:rsid w:val="0080501A"/>
    <w:rsid w:val="00810859"/>
    <w:rsid w:val="00813337"/>
    <w:rsid w:val="008201C2"/>
    <w:rsid w:val="008259BB"/>
    <w:rsid w:val="00827C0F"/>
    <w:rsid w:val="00840563"/>
    <w:rsid w:val="00842DEB"/>
    <w:rsid w:val="008624D4"/>
    <w:rsid w:val="00870D0B"/>
    <w:rsid w:val="008845C0"/>
    <w:rsid w:val="008860AD"/>
    <w:rsid w:val="0089080E"/>
    <w:rsid w:val="008913ED"/>
    <w:rsid w:val="008947C0"/>
    <w:rsid w:val="008A1E12"/>
    <w:rsid w:val="008A464F"/>
    <w:rsid w:val="008B64C2"/>
    <w:rsid w:val="008C0B26"/>
    <w:rsid w:val="008C0FFE"/>
    <w:rsid w:val="008C45BB"/>
    <w:rsid w:val="008D76AD"/>
    <w:rsid w:val="008E6C50"/>
    <w:rsid w:val="008E73F7"/>
    <w:rsid w:val="008F05DD"/>
    <w:rsid w:val="0090621F"/>
    <w:rsid w:val="00910751"/>
    <w:rsid w:val="009115A7"/>
    <w:rsid w:val="00911C58"/>
    <w:rsid w:val="00921A9A"/>
    <w:rsid w:val="00926B78"/>
    <w:rsid w:val="0093200C"/>
    <w:rsid w:val="00941940"/>
    <w:rsid w:val="00967705"/>
    <w:rsid w:val="00967C7F"/>
    <w:rsid w:val="009770C8"/>
    <w:rsid w:val="009867D7"/>
    <w:rsid w:val="00987FAB"/>
    <w:rsid w:val="00993AF6"/>
    <w:rsid w:val="00996586"/>
    <w:rsid w:val="00996737"/>
    <w:rsid w:val="00997097"/>
    <w:rsid w:val="00997924"/>
    <w:rsid w:val="009A2F94"/>
    <w:rsid w:val="009B2DBA"/>
    <w:rsid w:val="009C0421"/>
    <w:rsid w:val="009C246A"/>
    <w:rsid w:val="009C3157"/>
    <w:rsid w:val="009C37F9"/>
    <w:rsid w:val="009C5C37"/>
    <w:rsid w:val="009F1984"/>
    <w:rsid w:val="00A0421E"/>
    <w:rsid w:val="00A07ABB"/>
    <w:rsid w:val="00A10F00"/>
    <w:rsid w:val="00A21F2F"/>
    <w:rsid w:val="00A24FFE"/>
    <w:rsid w:val="00A3196A"/>
    <w:rsid w:val="00A373A7"/>
    <w:rsid w:val="00A43831"/>
    <w:rsid w:val="00A80F41"/>
    <w:rsid w:val="00A9396C"/>
    <w:rsid w:val="00A96E96"/>
    <w:rsid w:val="00AA2CD0"/>
    <w:rsid w:val="00AA67E2"/>
    <w:rsid w:val="00AB5D20"/>
    <w:rsid w:val="00AD1339"/>
    <w:rsid w:val="00AD4031"/>
    <w:rsid w:val="00AD605D"/>
    <w:rsid w:val="00AE049A"/>
    <w:rsid w:val="00AF2710"/>
    <w:rsid w:val="00AF5EB5"/>
    <w:rsid w:val="00B039CD"/>
    <w:rsid w:val="00B15630"/>
    <w:rsid w:val="00B214F6"/>
    <w:rsid w:val="00B26BED"/>
    <w:rsid w:val="00B26DCB"/>
    <w:rsid w:val="00B32CCC"/>
    <w:rsid w:val="00B3757F"/>
    <w:rsid w:val="00B45419"/>
    <w:rsid w:val="00B47F93"/>
    <w:rsid w:val="00B5781D"/>
    <w:rsid w:val="00B66FD8"/>
    <w:rsid w:val="00B71736"/>
    <w:rsid w:val="00B73E45"/>
    <w:rsid w:val="00B7621C"/>
    <w:rsid w:val="00B9008A"/>
    <w:rsid w:val="00B91A01"/>
    <w:rsid w:val="00B96661"/>
    <w:rsid w:val="00BB60C8"/>
    <w:rsid w:val="00BB6D33"/>
    <w:rsid w:val="00BC4041"/>
    <w:rsid w:val="00BC45EF"/>
    <w:rsid w:val="00BD2EF1"/>
    <w:rsid w:val="00BD6567"/>
    <w:rsid w:val="00BE40A2"/>
    <w:rsid w:val="00BF1C6D"/>
    <w:rsid w:val="00BF1D14"/>
    <w:rsid w:val="00C04A0E"/>
    <w:rsid w:val="00C132DE"/>
    <w:rsid w:val="00C209D6"/>
    <w:rsid w:val="00C20F25"/>
    <w:rsid w:val="00C329AC"/>
    <w:rsid w:val="00C35D81"/>
    <w:rsid w:val="00C4109D"/>
    <w:rsid w:val="00C55AB1"/>
    <w:rsid w:val="00C56AFB"/>
    <w:rsid w:val="00C6395A"/>
    <w:rsid w:val="00C64F83"/>
    <w:rsid w:val="00C96794"/>
    <w:rsid w:val="00CA1615"/>
    <w:rsid w:val="00CA2FA9"/>
    <w:rsid w:val="00CA7A9F"/>
    <w:rsid w:val="00CB4B0C"/>
    <w:rsid w:val="00CB53F0"/>
    <w:rsid w:val="00CC05C1"/>
    <w:rsid w:val="00CC0ED0"/>
    <w:rsid w:val="00CC72B7"/>
    <w:rsid w:val="00CC7E4B"/>
    <w:rsid w:val="00CD51DD"/>
    <w:rsid w:val="00D01FBC"/>
    <w:rsid w:val="00D05C96"/>
    <w:rsid w:val="00D06F4C"/>
    <w:rsid w:val="00D17643"/>
    <w:rsid w:val="00D448DD"/>
    <w:rsid w:val="00D45CC2"/>
    <w:rsid w:val="00D55973"/>
    <w:rsid w:val="00D56843"/>
    <w:rsid w:val="00D67BA4"/>
    <w:rsid w:val="00D74133"/>
    <w:rsid w:val="00D80EFB"/>
    <w:rsid w:val="00D817CE"/>
    <w:rsid w:val="00D83F28"/>
    <w:rsid w:val="00D8725B"/>
    <w:rsid w:val="00DA1514"/>
    <w:rsid w:val="00DA3DE0"/>
    <w:rsid w:val="00DA7E40"/>
    <w:rsid w:val="00DC4BAB"/>
    <w:rsid w:val="00DD1873"/>
    <w:rsid w:val="00DD283E"/>
    <w:rsid w:val="00DF01BB"/>
    <w:rsid w:val="00DF346B"/>
    <w:rsid w:val="00DF4436"/>
    <w:rsid w:val="00E0455D"/>
    <w:rsid w:val="00E06790"/>
    <w:rsid w:val="00E075D1"/>
    <w:rsid w:val="00E15516"/>
    <w:rsid w:val="00E170C9"/>
    <w:rsid w:val="00E21D39"/>
    <w:rsid w:val="00E24605"/>
    <w:rsid w:val="00E30DD2"/>
    <w:rsid w:val="00E4731C"/>
    <w:rsid w:val="00E47DC8"/>
    <w:rsid w:val="00E506DF"/>
    <w:rsid w:val="00E56526"/>
    <w:rsid w:val="00E64C83"/>
    <w:rsid w:val="00E6517E"/>
    <w:rsid w:val="00E73356"/>
    <w:rsid w:val="00E73B48"/>
    <w:rsid w:val="00E90C4E"/>
    <w:rsid w:val="00EB052A"/>
    <w:rsid w:val="00EB2D9D"/>
    <w:rsid w:val="00EC7ABA"/>
    <w:rsid w:val="00ED3899"/>
    <w:rsid w:val="00ED6DD8"/>
    <w:rsid w:val="00EE0275"/>
    <w:rsid w:val="00EE67EB"/>
    <w:rsid w:val="00EF16F5"/>
    <w:rsid w:val="00EF6FD0"/>
    <w:rsid w:val="00F21854"/>
    <w:rsid w:val="00F2390D"/>
    <w:rsid w:val="00F26389"/>
    <w:rsid w:val="00F35B1A"/>
    <w:rsid w:val="00F41B41"/>
    <w:rsid w:val="00F472D9"/>
    <w:rsid w:val="00F51109"/>
    <w:rsid w:val="00F60B7B"/>
    <w:rsid w:val="00F64CFD"/>
    <w:rsid w:val="00F652F7"/>
    <w:rsid w:val="00F87369"/>
    <w:rsid w:val="00F9274E"/>
    <w:rsid w:val="00F96E07"/>
    <w:rsid w:val="00FA2505"/>
    <w:rsid w:val="00FA5818"/>
    <w:rsid w:val="00FB3B1F"/>
    <w:rsid w:val="00FE690F"/>
    <w:rsid w:val="00FF40EF"/>
    <w:rsid w:val="788A6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0"/>
    <w:semiHidden/>
    <w:unhideWhenUsed/>
    <w:uiPriority w:val="99"/>
    <w:pPr>
      <w:jc w:val="left"/>
    </w:pPr>
    <w:rPr>
      <w:rFonts w:ascii="Calibri" w:hAnsi="Calibri" w:eastAsia="宋体" w:cs="Times New Roman"/>
      <w:sz w:val="21"/>
      <w:szCs w:val="22"/>
    </w:rPr>
  </w:style>
  <w:style w:type="paragraph" w:styleId="4">
    <w:name w:val="Balloon Text"/>
    <w:basedOn w:val="1"/>
    <w:link w:val="21"/>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22"/>
    <w:semiHidden/>
    <w:unhideWhenUsed/>
    <w:uiPriority w:val="99"/>
    <w:rPr>
      <w:rFonts w:asciiTheme="minorHAnsi" w:hAnsiTheme="minorHAnsi" w:eastAsiaTheme="minorEastAsia" w:cstheme="minorBidi"/>
      <w:b/>
      <w:bCs/>
      <w:sz w:val="24"/>
      <w:szCs w:val="24"/>
    </w:rPr>
  </w:style>
  <w:style w:type="character" w:styleId="10">
    <w:name w:val="page number"/>
    <w:basedOn w:val="9"/>
    <w:semiHidden/>
    <w:unhideWhenUsed/>
    <w:qFormat/>
    <w:uiPriority w:val="99"/>
  </w:style>
  <w:style w:type="character" w:styleId="11">
    <w:name w:val="FollowedHyperlink"/>
    <w:basedOn w:val="9"/>
    <w:semiHidden/>
    <w:unhideWhenUsed/>
    <w:uiPriority w:val="99"/>
    <w:rPr>
      <w:color w:val="919191" w:themeColor="followedHyperlink"/>
      <w:u w:val="single"/>
      <w14:textFill>
        <w14:solidFill>
          <w14:schemeClr w14:val="folHlink"/>
        </w14:solidFill>
      </w14:textFill>
    </w:rPr>
  </w:style>
  <w:style w:type="character" w:styleId="12">
    <w:name w:val="Hyperlink"/>
    <w:basedOn w:val="9"/>
    <w:unhideWhenUsed/>
    <w:qFormat/>
    <w:uiPriority w:val="99"/>
    <w:rPr>
      <w:color w:val="5F5F5F" w:themeColor="hyperlink"/>
      <w:u w:val="single"/>
      <w14:textFill>
        <w14:solidFill>
          <w14:schemeClr w14:val="hlink"/>
        </w14:solidFill>
      </w14:textFill>
    </w:rPr>
  </w:style>
  <w:style w:type="character" w:styleId="13">
    <w:name w:val="annotation reference"/>
    <w:basedOn w:val="9"/>
    <w:semiHidden/>
    <w:unhideWhenUsed/>
    <w:uiPriority w:val="99"/>
    <w:rPr>
      <w:sz w:val="21"/>
      <w:szCs w:val="21"/>
    </w:rPr>
  </w:style>
  <w:style w:type="character" w:customStyle="1" w:styleId="14">
    <w:name w:val="页眉 字符"/>
    <w:basedOn w:val="9"/>
    <w:link w:val="6"/>
    <w:uiPriority w:val="99"/>
    <w:rPr>
      <w:sz w:val="18"/>
      <w:szCs w:val="18"/>
    </w:rPr>
  </w:style>
  <w:style w:type="character" w:customStyle="1" w:styleId="15">
    <w:name w:val="页脚 字符"/>
    <w:basedOn w:val="9"/>
    <w:link w:val="5"/>
    <w:qFormat/>
    <w:uiPriority w:val="99"/>
    <w:rPr>
      <w:sz w:val="18"/>
      <w:szCs w:val="18"/>
    </w:rPr>
  </w:style>
  <w:style w:type="paragraph" w:styleId="16">
    <w:name w:val="No Spacing"/>
    <w:qFormat/>
    <w:uiPriority w:val="1"/>
    <w:rPr>
      <w:rFonts w:eastAsia="Microsoft YaHei UI" w:asciiTheme="minorHAnsi" w:hAnsiTheme="minorHAnsi" w:cstheme="minorBidi"/>
      <w:kern w:val="0"/>
      <w:sz w:val="22"/>
      <w:szCs w:val="22"/>
      <w:lang w:val="en-US" w:eastAsia="zh-CN" w:bidi="ar-SA"/>
    </w:rPr>
  </w:style>
  <w:style w:type="character" w:customStyle="1" w:styleId="17">
    <w:name w:val="未处理的提及1"/>
    <w:basedOn w:val="9"/>
    <w:semiHidden/>
    <w:unhideWhenUsed/>
    <w:uiPriority w:val="99"/>
    <w:rPr>
      <w:color w:val="605E5C"/>
      <w:shd w:val="clear" w:color="auto" w:fill="E1DFDD"/>
    </w:rPr>
  </w:style>
  <w:style w:type="character" w:customStyle="1" w:styleId="18">
    <w:name w:val="标题 2 字符"/>
    <w:basedOn w:val="9"/>
    <w:link w:val="2"/>
    <w:uiPriority w:val="9"/>
    <w:rPr>
      <w:rFonts w:asciiTheme="majorHAnsi" w:hAnsiTheme="majorHAnsi" w:eastAsiaTheme="majorEastAsia" w:cstheme="majorBidi"/>
      <w:b/>
      <w:bCs/>
      <w:sz w:val="32"/>
      <w:szCs w:val="32"/>
    </w:rPr>
  </w:style>
  <w:style w:type="paragraph" w:styleId="19">
    <w:name w:val="List Paragraph"/>
    <w:basedOn w:val="1"/>
    <w:qFormat/>
    <w:uiPriority w:val="0"/>
    <w:pPr>
      <w:ind w:firstLine="420" w:firstLineChars="200"/>
    </w:pPr>
    <w:rPr>
      <w:rFonts w:ascii="Calibri" w:hAnsi="Calibri" w:eastAsia="宋体" w:cs="Times New Roman"/>
      <w:sz w:val="21"/>
      <w:szCs w:val="22"/>
    </w:rPr>
  </w:style>
  <w:style w:type="character" w:customStyle="1" w:styleId="20">
    <w:name w:val="批注文字 字符"/>
    <w:basedOn w:val="9"/>
    <w:link w:val="3"/>
    <w:semiHidden/>
    <w:uiPriority w:val="99"/>
    <w:rPr>
      <w:rFonts w:ascii="Calibri" w:hAnsi="Calibri" w:eastAsia="宋体" w:cs="Times New Roman"/>
      <w:sz w:val="21"/>
      <w:szCs w:val="22"/>
    </w:rPr>
  </w:style>
  <w:style w:type="character" w:customStyle="1" w:styleId="21">
    <w:name w:val="批注框文本 字符"/>
    <w:basedOn w:val="9"/>
    <w:link w:val="4"/>
    <w:semiHidden/>
    <w:uiPriority w:val="99"/>
    <w:rPr>
      <w:sz w:val="18"/>
      <w:szCs w:val="18"/>
    </w:rPr>
  </w:style>
  <w:style w:type="character" w:customStyle="1" w:styleId="22">
    <w:name w:val="批注主题 字符"/>
    <w:basedOn w:val="20"/>
    <w:link w:val="7"/>
    <w:semiHidden/>
    <w:qFormat/>
    <w:uiPriority w:val="99"/>
    <w:rPr>
      <w:rFonts w:ascii="Calibri" w:hAnsi="Calibri" w:eastAsia="宋体" w:cs="Times New Roman"/>
      <w:b/>
      <w:bCs/>
      <w:sz w:val="21"/>
      <w:szCs w:val="22"/>
    </w:rPr>
  </w:style>
  <w:style w:type="paragraph" w:customStyle="1" w:styleId="23">
    <w:name w:val="Revision"/>
    <w:hidden/>
    <w:semiHidden/>
    <w:uiPriority w:val="99"/>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emf"/><Relationship Id="rId17" Type="http://schemas.openxmlformats.org/officeDocument/2006/relationships/package" Target="embeddings/Document2.docx"/><Relationship Id="rId16" Type="http://schemas.openxmlformats.org/officeDocument/2006/relationships/oleObject" Target="file:///D:\&#24037;&#20316;\&#32452;&#32455;&#34701;&#21512;\&#32452;&#32455;&#33021;&#21147;&#25552;&#21319;&#24037;&#20316;\&#24635;&#37096;&#19979;&#19968;&#32447;&#38754;&#23545;&#38754;&#25351;&#23548;&#26448;&#26009;\&#36816;&#21147;&#25307;&#37319;&#37096;&#27969;&#31243;&#21488;&#36134;\&#26631;&#20934;%26&#38750;&#26631;&#20849;&#26377;\&#20140;&#19996;&#29289;&#27969;&#36816;&#36755;&#36816;&#21147;&#36164;&#28304;&#25307;&#26631;&#21450;&#24341;&#20837;&#27969;&#31243;V3.0\&#38468;&#20214;&#20845;&#65306;&#20140;&#19996;&#20445;&#38505;&#32463;&#32426;&#36135;&#36816;&#19968;&#20999;&#38505;.pdf" TargetMode="External"/><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oleObject" Target="embeddings/oleObject2.bin"/><Relationship Id="rId12" Type="http://schemas.openxmlformats.org/officeDocument/2006/relationships/image" Target="media/image5.emf"/><Relationship Id="rId11" Type="http://schemas.openxmlformats.org/officeDocument/2006/relationships/package" Target="embeddings/Document1.docx"/><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2004E6-962A-4060-885F-6F027E7FE4E9}">
  <ds:schemaRefs/>
</ds:datastoreItem>
</file>

<file path=docProps/app.xml><?xml version="1.0" encoding="utf-8"?>
<Properties xmlns="http://schemas.openxmlformats.org/officeDocument/2006/extended-properties" xmlns:vt="http://schemas.openxmlformats.org/officeDocument/2006/docPropsVTypes">
  <Template>Normal</Template>
  <Pages>6</Pages>
  <Words>4767</Words>
  <Characters>5156</Characters>
  <Lines>39</Lines>
  <Paragraphs>11</Paragraphs>
  <TotalTime>0</TotalTime>
  <ScaleCrop>false</ScaleCrop>
  <LinksUpToDate>false</LinksUpToDate>
  <CharactersWithSpaces>5176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2024-04-24T02:07:00Z</dcterms:created>
  <dc:creator>Microsoft Office 用户</dc:creator>
  <cp:lastModifiedBy>冯-Janet</cp:lastModifiedBy>
  <dcterms:modified xsi:type="dcterms:W3CDTF">2024-04-25T02:44:43Z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C423F896F8FB47898F0E5B5615214FC9_12</vt:lpwstr>
  </property>
</Properties>
</file>