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攀枝花市国钛科技有限公司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汽车</w:t>
      </w:r>
      <w:r>
        <w:rPr>
          <w:rFonts w:hint="eastAsia" w:ascii="宋体" w:hAnsi="宋体" w:cs="宋体"/>
          <w:b/>
          <w:sz w:val="44"/>
          <w:szCs w:val="44"/>
        </w:rPr>
        <w:t>运输服务项目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合同主要条款</w:t>
      </w:r>
    </w:p>
    <w:p>
      <w:pPr>
        <w:spacing w:line="288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88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88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甲方（托运方）：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攀枝花市国钛科技有限公司</w:t>
      </w:r>
    </w:p>
    <w:p>
      <w:pPr>
        <w:spacing w:line="288" w:lineRule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乙方（承运方）：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288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民法典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》规定，经甲乙双方共同协商，甲方同意将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攀枝花市国钛科技有限公司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25-2027</w:t>
      </w:r>
      <w:r>
        <w:rPr>
          <w:rFonts w:hint="eastAsia" w:ascii="仿宋_GB2312" w:hAnsi="仿宋_GB2312" w:eastAsia="仿宋_GB2312" w:cs="仿宋_GB2312"/>
          <w:sz w:val="32"/>
          <w:szCs w:val="32"/>
        </w:rPr>
        <w:t>年运输服务项目委托给乙方，乙方同意承包，经双方协商一致订立如下条款：</w:t>
      </w:r>
    </w:p>
    <w:p>
      <w:pPr>
        <w:numPr>
          <w:ilvl w:val="0"/>
          <w:numId w:val="0"/>
        </w:numPr>
        <w:spacing w:line="288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</w:t>
      </w:r>
    </w:p>
    <w:p>
      <w:pPr>
        <w:spacing w:line="288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1.1项目内容：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攀枝花市国钛科技有限公司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生产保产用车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租赁，计量运输业务等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288" w:lineRule="auto"/>
        <w:ind w:firstLine="57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第二条 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期限</w:t>
      </w:r>
    </w:p>
    <w:p>
      <w:pPr>
        <w:numPr>
          <w:ilvl w:val="0"/>
          <w:numId w:val="0"/>
        </w:numPr>
        <w:spacing w:line="288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2.1项目期限：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12月31日，合同一年一签。</w:t>
      </w:r>
    </w:p>
    <w:p>
      <w:pPr>
        <w:spacing w:line="288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第三条 主要运输内容</w:t>
      </w:r>
    </w:p>
    <w:p>
      <w:pPr>
        <w:spacing w:line="288" w:lineRule="auto"/>
        <w:ind w:firstLine="57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 生产业务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3.11 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生产保产车辆：板车、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16-50吨</w:t>
      </w:r>
      <w:r>
        <w:rPr>
          <w:rFonts w:hint="eastAsia" w:ascii="仿宋_GB2312" w:hAnsi="仿宋_GB2312" w:eastAsia="仿宋_GB2312" w:cs="仿宋_GB2312"/>
          <w:sz w:val="32"/>
          <w:szCs w:val="32"/>
        </w:rPr>
        <w:t>不同型号的吊车、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立方挖掘机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高空作业车21-28m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88" w:lineRule="auto"/>
        <w:ind w:firstLine="57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3.12 负责国钛科技厂内原辅料短倒、电炉卸灰，设备设施运输、吊运等工作。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 租赁业务</w:t>
      </w:r>
    </w:p>
    <w:p>
      <w:pPr>
        <w:spacing w:line="288" w:lineRule="auto"/>
        <w:ind w:firstLine="570"/>
        <w:rPr>
          <w:rFonts w:hint="eastAsia" w:ascii="仿宋_GB2312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3.21叉车</w:t>
      </w: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租赁业务，主要负责产品运输、装卸货物、配合检修及临时性任务。乙方负责司机、车辆维护费用。叉车型号:内燃平衡重式叉车，额定起重量3000KG。</w:t>
      </w:r>
    </w:p>
    <w:p>
      <w:pPr>
        <w:spacing w:line="288" w:lineRule="auto"/>
        <w:ind w:firstLine="570"/>
        <w:rPr>
          <w:rFonts w:hint="eastAsia" w:ascii="仿宋_GB2312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3.22 拖拉机租赁业务，主要负责一期电炉卸货。乙方负责司机、车辆维护费用。拖拉机型号:普通三轮农用型。</w:t>
      </w:r>
    </w:p>
    <w:p>
      <w:pPr>
        <w:spacing w:line="288" w:lineRule="auto"/>
        <w:ind w:firstLine="570"/>
        <w:rPr>
          <w:rFonts w:hint="eastAsia" w:ascii="仿宋_GB2312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3.23 </w:t>
      </w: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装载机租赁业务，主要负责货物装车、电炉料仓加料、破碎加料及临时性任务。乙方负责车辆的维护费用。装载机型号:30装载机。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3.3 计量运输业</w:t>
      </w:r>
      <w:r>
        <w:rPr>
          <w:rFonts w:hint="eastAsia" w:ascii="仿宋_GB2312" w:hAnsi="仿宋_GB2312" w:eastAsia="仿宋_GB2312" w:cs="仿宋_GB2312"/>
          <w:sz w:val="32"/>
          <w:szCs w:val="32"/>
        </w:rPr>
        <w:t>务</w:t>
      </w:r>
    </w:p>
    <w:p>
      <w:pPr>
        <w:spacing w:line="288" w:lineRule="auto"/>
        <w:ind w:firstLine="57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3.31 主要负责原辅料的运输，货物路线有1条路线，即国钛科技-钛冶炼产线。</w:t>
      </w:r>
    </w:p>
    <w:p>
      <w:pPr>
        <w:spacing w:line="288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第四条 计价及结算方式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 计价方式：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2025-2027年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汽车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运输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项目单价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957"/>
        <w:gridCol w:w="1400"/>
        <w:gridCol w:w="1366"/>
        <w:gridCol w:w="2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单价（元、不含税）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国钛科技-钛冶炼厂产线（大宗物资、除尘灰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倒运）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以实际计量为准。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国钛科技→园区垃圾场（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、除尘灰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倒运）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以实际计量为准。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厂内倒运</w:t>
            </w: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（大宗物资、除尘灰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倒运）</w:t>
            </w:r>
            <w:bookmarkEnd w:id="0"/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8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以实际计量为准。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租赁叉车（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司机及维护费用）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以日计量为准。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租赁30装载机（维护费用）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以日计量为准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租用拖拉机（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司机、卸灰及维护费用）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以日计量为准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汽车吊（16t）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以实际计量为准。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汽车吊（25t）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以实际计量为准。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汽车吊（50t）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以实际计量为准。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高空作业车（21-28M）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以实际计量为准。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挖掘机（0.6立方）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以实际计量为准。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板车（25吨）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以实际计量为准。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临时增加运输项目比照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国钛至钛冶炼产线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运输费进行折算，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长途运输单独商议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4.3 </w:t>
      </w:r>
      <w:r>
        <w:rPr>
          <w:rFonts w:hint="eastAsia" w:ascii="仿宋_GB2312" w:hAnsi="仿宋_GB2312" w:eastAsia="仿宋_GB2312" w:cs="仿宋_GB2312"/>
          <w:sz w:val="32"/>
          <w:szCs w:val="32"/>
        </w:rPr>
        <w:t>结算周期为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日到本月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最后一天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月度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结算周期。</w:t>
      </w:r>
    </w:p>
    <w:p>
      <w:pPr>
        <w:numPr>
          <w:ilvl w:val="0"/>
          <w:numId w:val="0"/>
        </w:num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 以量进行结算的项目，均以国钛科技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磅单作为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结算依据，每月甲方根据双方确认的运输量与乙方办理结算手续,乙方以甲方提供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攀枝花市国钛科技有限公司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费用审批表为凭据开具增值税运输、装卸服务增值税发票。甲方财务部门凭乙方所提供的运输发票和费用审批表按月结算，并于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月以银行转账或承兑汇票的方式支付乙方承包费。</w:t>
      </w:r>
    </w:p>
    <w:p>
      <w:pPr>
        <w:adjustRightInd w:val="0"/>
        <w:spacing w:line="500" w:lineRule="exact"/>
        <w:ind w:firstLine="640" w:firstLineChars="200"/>
        <w:contextualSpacing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 乙方应承担运输过程中产生的运杂费、过路费、过桥费、税费、包装费、保险费、装卸费等其他费用。</w:t>
      </w:r>
    </w:p>
    <w:p>
      <w:pPr>
        <w:numPr>
          <w:ilvl w:val="0"/>
          <w:numId w:val="0"/>
        </w:numPr>
        <w:spacing w:line="288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4.6运输结算价格均为不含税。</w:t>
      </w:r>
    </w:p>
    <w:p>
      <w:pPr>
        <w:spacing w:line="288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 相关责任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5.1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乙方对作业过程中的司乘人员人身安全、车辆安全及因乙方人员和车辆原因发生的各类事故负全部责任，乙方需按国家相关要求为从业人员及车辆购买相关保险。</w:t>
      </w:r>
    </w:p>
    <w:p>
      <w:pPr>
        <w:spacing w:line="28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5.2 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为确保安全生产，入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前乙方必须与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攀枝花市国钛科技有限公司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签订安全协议、接受安全交底。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 服务约定及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违约责任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攀枝花市国钛科技有限公司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作为甲方，负责本合同的履行，负责现场及日常具体运输管理工作。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6.2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乙方不得对本合同所约定的运输项目拒绝履行。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6.3 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用车时，甲方提前12小时向乙方提出要车需求，乙方必须在规定时间内到达指定地点，工作时间内必须听从甲方工作人员的安排。如车辆未按时到达指定位置或在规定时间内未完成工作任务，按1000-5000元/次进行考核，考核金额从当月服务费中扣除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6.4 </w:t>
      </w:r>
      <w:r>
        <w:rPr>
          <w:rFonts w:hint="eastAsia" w:ascii="仿宋_GB2312" w:hAnsi="仿宋_GB2312" w:eastAsia="仿宋_GB2312" w:cs="仿宋_GB2312"/>
          <w:sz w:val="32"/>
          <w:szCs w:val="32"/>
        </w:rPr>
        <w:t>临时紧急用车时，乙方在接到甲方通知时起，四个小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时内保证车辆到位，如因车辆未按要求到位而影响甲方生产运行的，按1000—5000元/次进行考核，考核金额从当月服务费中扣除。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6.5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乙方在服务过程中未按甲方要求提供车型：如对生产造成的影响均由乙方负责，甲方视影响程度大小考核乙方1000-5000元/次，考核金额从当月服务费中扣除。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6.6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在车辆作业过程中，乙方人员应积极配合甲方工作，如出现窝工、慢工、不听指挥、打架斗殴等不良情况，视情节考核乙方1000-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000元/次，考核金额从当月服务费中扣除。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6.7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运输过程中，如乙方破坏甲方建筑物，由乙方负责及时修复，如修复不及时，影响甲方生产，视情况考核乙方100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-5000元/次；如乙方拒绝修复，由甲方负责修复，费用按实际修复金额1.5倍考核乙方，考核金额从当月服务费中扣除。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6.8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乙方必须按国家法律法规要求组织运输业务，必须做好防泄漏、防污染路面的工作，若出现污染路面，在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内按每次100元从运费中扣除，并由乙方负责清扫恢复；在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外由乙方全权负责交罚款金、清扫、赔偿事宜。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6.9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在整个运输过程中负责货物安全，乙方必须对货物的数量、质量采取措施进行保护，做好防盗、防潮、防破坏工作，如出现货物丢失、货物质量破坏，乙方按照货物市场价值的3倍赔偿给甲方，赔偿金从运费中扣除，如果运输费不足赔偿，由乙方运输设备或固定资产作为抵押，同时甲方有权立即终止合同，并拒付运输费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6.10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乙方运输物资仅限甲方委托运输的物资，如发生错运、偷运、搭运其他物资出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的行为，甲方有权立即终止合同，拒付运输费，同时追究乙方及当事人的法律责任。如超出本合同范围，双方另行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协商谈判结算金额。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6.11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乙方作业人员在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内作业时，只能在限定区域内活动，未经甲方工作人员同意，不得在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内随意走动，严格遵守甲方现场管理、安全管理等各项管理制度，若有违反按甲方相关管理规定处理。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6.12 </w:t>
      </w:r>
      <w:r>
        <w:rPr>
          <w:rFonts w:hint="eastAsia" w:ascii="仿宋_GB2312" w:hAnsi="仿宋_GB2312" w:eastAsia="仿宋_GB2312" w:cs="仿宋_GB2312"/>
          <w:sz w:val="32"/>
          <w:szCs w:val="32"/>
        </w:rPr>
        <w:t>在符合法律和合同规定条件下的运输，由于下列原因造成货物丢失、短少、变质、污染、损坏的乙方不承担违约责任：（1）不可抗力；（2）货物本身的自然属性；（3）货物的合理损耗；（4）发货方或收货方本身的过错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6.13 </w:t>
      </w:r>
      <w:r>
        <w:rPr>
          <w:rFonts w:hint="eastAsia" w:ascii="仿宋_GB2312" w:hAnsi="仿宋_GB2312" w:eastAsia="仿宋_GB2312" w:cs="仿宋_GB2312"/>
          <w:sz w:val="32"/>
          <w:szCs w:val="32"/>
        </w:rPr>
        <w:t>因甲方生产经营发生重大变化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在合同执行期内出现限、停产的，甲乙双方协商解决；其它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不可抗</w:t>
      </w:r>
      <w:r>
        <w:rPr>
          <w:rFonts w:hint="eastAsia" w:ascii="仿宋_GB2312" w:hAnsi="仿宋_GB2312" w:eastAsia="仿宋_GB2312" w:cs="仿宋_GB2312"/>
          <w:sz w:val="32"/>
          <w:szCs w:val="32"/>
        </w:rPr>
        <w:t>力因素或甲方工作需要提前终止合同，甲方应提前10天通知乙方终止合同，不支付违约金。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6.14 </w:t>
      </w:r>
      <w:r>
        <w:rPr>
          <w:rFonts w:hint="eastAsia" w:ascii="仿宋_GB2312" w:hAnsi="仿宋_GB2312" w:eastAsia="仿宋_GB2312" w:cs="仿宋_GB2312"/>
          <w:sz w:val="32"/>
          <w:szCs w:val="32"/>
        </w:rPr>
        <w:t>因乙方原因不能满足保产要求，甲方有权单方面终止合同。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6.15 </w:t>
      </w:r>
      <w:r>
        <w:rPr>
          <w:rFonts w:hint="eastAsia" w:ascii="仿宋_GB2312" w:hAnsi="仿宋_GB2312" w:eastAsia="仿宋_GB2312" w:cs="仿宋_GB2312"/>
          <w:sz w:val="32"/>
          <w:szCs w:val="32"/>
        </w:rPr>
        <w:t>在合同期满或因故终止合同两个月内，甲方尚未确定新的合作单位前，乙方应继续为甲方提供服务，保证甲方正常生产运行，费用按本合同执行。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6.16 本项目需缴纳</w:t>
      </w:r>
      <w:r>
        <w:rPr>
          <w:rFonts w:hint="eastAsia" w:ascii="仿宋_GB2312" w:hAnsi="仿宋_GB2312" w:eastAsia="仿宋_GB2312" w:cs="仿宋_GB2312"/>
          <w:sz w:val="32"/>
          <w:szCs w:val="32"/>
        </w:rPr>
        <w:t>履约保证金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5万元。</w:t>
      </w:r>
    </w:p>
    <w:p>
      <w:pPr>
        <w:spacing w:line="288" w:lineRule="auto"/>
        <w:ind w:firstLine="57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争议解决方式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7.1 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本合同在履行过程中如果发生争议，由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双方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协商解决，在协商无法解决时，向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依法向甲方所在地人民法院提起诉讼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88" w:lineRule="auto"/>
        <w:ind w:firstLine="57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 其他约定事项</w:t>
      </w:r>
    </w:p>
    <w:p>
      <w:pPr>
        <w:spacing w:line="288" w:lineRule="auto"/>
        <w:ind w:firstLine="570"/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8.1 </w:t>
      </w:r>
      <w:r>
        <w:rPr>
          <w:rFonts w:hint="eastAsia" w:ascii="仿宋_GB2312" w:hAnsi="仿宋_GB2312" w:eastAsia="仿宋_GB2312" w:cs="仿宋_GB2312"/>
          <w:sz w:val="32"/>
          <w:szCs w:val="32"/>
        </w:rPr>
        <w:t>本合同一式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份，甲方持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叁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份，乙方持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本合同经双方签字盖章后即生效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。</w:t>
      </w:r>
    </w:p>
    <w:tbl>
      <w:tblPr>
        <w:tblStyle w:val="8"/>
        <w:tblW w:w="9019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758"/>
        <w:gridCol w:w="1795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45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甲方（签字盖章）</w:t>
            </w:r>
          </w:p>
        </w:tc>
        <w:tc>
          <w:tcPr>
            <w:tcW w:w="44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乙方（签字盖章）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甲方：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攀枝花市国钛科技有限公司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乙方：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注册住所：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攀枝花市钒钛产业园区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注册住所：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法定代表人：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刘洪能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法定代表人：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委托代表签字：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委托代表签字：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电话：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电话：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交通银行股份有限公司</w:t>
            </w:r>
          </w:p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攀枝花分行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514004050018010021445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617000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税号：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91510400675794486M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税号：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019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汉仪旗黑-55S" w:eastAsia="仿宋_GB2312" w:cs="汉仪旗黑-55S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汉仪旗黑-55S" w:eastAsia="仿宋_GB2312" w:cs="汉仪旗黑-55S"/>
                <w:sz w:val="24"/>
                <w:szCs w:val="24"/>
                <w:lang w:val="en-US" w:eastAsia="zh-CN"/>
              </w:rPr>
              <w:t>签订时间：</w:t>
            </w:r>
          </w:p>
        </w:tc>
      </w:tr>
    </w:tbl>
    <w:p>
      <w:pPr>
        <w:spacing w:line="288" w:lineRule="auto"/>
        <w:jc w:val="left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spacing w:line="288" w:lineRule="auto"/>
        <w:jc w:val="left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spacing w:line="288" w:lineRule="auto"/>
        <w:jc w:val="left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tabs>
          <w:tab w:val="left" w:pos="420"/>
          <w:tab w:val="left" w:pos="900"/>
        </w:tabs>
        <w:spacing w:line="240" w:lineRule="auto"/>
        <w:jc w:val="left"/>
        <w:rPr>
          <w:rFonts w:ascii="仿宋_GB2312" w:hAnsi="宋体" w:eastAsia="仿宋_GB2312"/>
          <w:bCs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旗黑-55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color w:val="000000" w:themeColor="text1"/>
        <w14:textFill>
          <w14:solidFill>
            <w14:schemeClr w14:val="tx1"/>
          </w14:solidFill>
        </w14:textFill>
      </w:rPr>
    </w:pPr>
    <w:r>
      <w:rPr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Style w:val="10"/>
        <w:color w:val="000000" w:themeColor="text1"/>
        <w14:textFill>
          <w14:solidFill>
            <w14:schemeClr w14:val="tx1"/>
          </w14:solidFill>
        </w14:textFill>
      </w:rPr>
      <w:instrText xml:space="preserve">PAGE  </w:instrText>
    </w:r>
    <w:r>
      <w:rPr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Style w:val="10"/>
        <w:color w:val="000000" w:themeColor="text1"/>
        <w14:textFill>
          <w14:solidFill>
            <w14:schemeClr w14:val="tx1"/>
          </w14:solidFill>
        </w14:textFill>
      </w:rPr>
      <w:t>8</w:t>
    </w:r>
    <w:r>
      <w:rPr>
        <w:color w:val="000000" w:themeColor="text1"/>
        <w14:textFill>
          <w14:solidFill>
            <w14:schemeClr w14:val="tx1"/>
          </w14:solidFill>
        </w14:textFill>
      </w:rPr>
      <w:fldChar w:fldCharType="end"/>
    </w:r>
  </w:p>
  <w:p>
    <w:pPr>
      <w:pStyle w:val="5"/>
      <w:rPr>
        <w:color w:val="000000" w:themeColor="text1"/>
        <w14:textFill>
          <w14:solidFill>
            <w14:schemeClr w14:val="tx1"/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ZDM5NzRjNDgzZTY1NDdlYzYzZmQxNTIxZThjODUifQ=="/>
  </w:docVars>
  <w:rsids>
    <w:rsidRoot w:val="00DA62D0"/>
    <w:rsid w:val="00000C51"/>
    <w:rsid w:val="00017A6D"/>
    <w:rsid w:val="000864AD"/>
    <w:rsid w:val="000E6E95"/>
    <w:rsid w:val="00127CAF"/>
    <w:rsid w:val="00146D6C"/>
    <w:rsid w:val="00184E93"/>
    <w:rsid w:val="00190398"/>
    <w:rsid w:val="0019096D"/>
    <w:rsid w:val="001920B3"/>
    <w:rsid w:val="002274AF"/>
    <w:rsid w:val="00242F97"/>
    <w:rsid w:val="00285071"/>
    <w:rsid w:val="002B27D0"/>
    <w:rsid w:val="003361AC"/>
    <w:rsid w:val="003B45AD"/>
    <w:rsid w:val="003B5D37"/>
    <w:rsid w:val="003C549B"/>
    <w:rsid w:val="00404D49"/>
    <w:rsid w:val="00416EC1"/>
    <w:rsid w:val="00441397"/>
    <w:rsid w:val="00482C5B"/>
    <w:rsid w:val="004C42F8"/>
    <w:rsid w:val="004D18AA"/>
    <w:rsid w:val="005029AC"/>
    <w:rsid w:val="00587850"/>
    <w:rsid w:val="006B65EC"/>
    <w:rsid w:val="00736F0D"/>
    <w:rsid w:val="0078388E"/>
    <w:rsid w:val="007C20B1"/>
    <w:rsid w:val="007C7A35"/>
    <w:rsid w:val="008406AD"/>
    <w:rsid w:val="00973827"/>
    <w:rsid w:val="00993822"/>
    <w:rsid w:val="009A0E25"/>
    <w:rsid w:val="00A1751D"/>
    <w:rsid w:val="00AA64A2"/>
    <w:rsid w:val="00AE244C"/>
    <w:rsid w:val="00BB01AC"/>
    <w:rsid w:val="00BF11D2"/>
    <w:rsid w:val="00C025DB"/>
    <w:rsid w:val="00C04740"/>
    <w:rsid w:val="00C07CE7"/>
    <w:rsid w:val="00C14AF5"/>
    <w:rsid w:val="00C8204D"/>
    <w:rsid w:val="00D01DCE"/>
    <w:rsid w:val="00D42F7D"/>
    <w:rsid w:val="00DA62D0"/>
    <w:rsid w:val="00DC32D4"/>
    <w:rsid w:val="00E065A4"/>
    <w:rsid w:val="00E10506"/>
    <w:rsid w:val="00E30649"/>
    <w:rsid w:val="00E51448"/>
    <w:rsid w:val="00E931BE"/>
    <w:rsid w:val="00EC0BA5"/>
    <w:rsid w:val="00ED2647"/>
    <w:rsid w:val="00ED48E4"/>
    <w:rsid w:val="00F05742"/>
    <w:rsid w:val="00F17060"/>
    <w:rsid w:val="00F40B60"/>
    <w:rsid w:val="00F70959"/>
    <w:rsid w:val="00FB3231"/>
    <w:rsid w:val="010C704F"/>
    <w:rsid w:val="01386799"/>
    <w:rsid w:val="02AE2FAF"/>
    <w:rsid w:val="03F47F72"/>
    <w:rsid w:val="05392642"/>
    <w:rsid w:val="07590AAA"/>
    <w:rsid w:val="085376E8"/>
    <w:rsid w:val="08540F90"/>
    <w:rsid w:val="0998511F"/>
    <w:rsid w:val="09CA44B0"/>
    <w:rsid w:val="0BEB592B"/>
    <w:rsid w:val="0E263E06"/>
    <w:rsid w:val="0F197E62"/>
    <w:rsid w:val="0F6D1632"/>
    <w:rsid w:val="107B6A21"/>
    <w:rsid w:val="10F137A3"/>
    <w:rsid w:val="110F0BEB"/>
    <w:rsid w:val="12C35BA0"/>
    <w:rsid w:val="146F5353"/>
    <w:rsid w:val="164C4DE9"/>
    <w:rsid w:val="16971776"/>
    <w:rsid w:val="17155DDF"/>
    <w:rsid w:val="179331B7"/>
    <w:rsid w:val="180B06B9"/>
    <w:rsid w:val="19F23633"/>
    <w:rsid w:val="1A503744"/>
    <w:rsid w:val="1B3353AA"/>
    <w:rsid w:val="1D9821B7"/>
    <w:rsid w:val="1F42588A"/>
    <w:rsid w:val="1F536F7E"/>
    <w:rsid w:val="1FB53B3E"/>
    <w:rsid w:val="218D76CC"/>
    <w:rsid w:val="22A13CB0"/>
    <w:rsid w:val="22D73B29"/>
    <w:rsid w:val="23A46F6A"/>
    <w:rsid w:val="24133402"/>
    <w:rsid w:val="243E0FD5"/>
    <w:rsid w:val="244439B3"/>
    <w:rsid w:val="244F378A"/>
    <w:rsid w:val="24784B7E"/>
    <w:rsid w:val="248D42DB"/>
    <w:rsid w:val="25BF78DC"/>
    <w:rsid w:val="262D160C"/>
    <w:rsid w:val="27C06FA7"/>
    <w:rsid w:val="289F1567"/>
    <w:rsid w:val="294D45E7"/>
    <w:rsid w:val="2B566F25"/>
    <w:rsid w:val="2D5B4CF9"/>
    <w:rsid w:val="2E483A0A"/>
    <w:rsid w:val="2E9A55F8"/>
    <w:rsid w:val="2EFC0F4E"/>
    <w:rsid w:val="300232BD"/>
    <w:rsid w:val="30A40091"/>
    <w:rsid w:val="31120217"/>
    <w:rsid w:val="31C10F52"/>
    <w:rsid w:val="32803D72"/>
    <w:rsid w:val="329030C7"/>
    <w:rsid w:val="34071994"/>
    <w:rsid w:val="348929EF"/>
    <w:rsid w:val="35434ACF"/>
    <w:rsid w:val="367B2BEB"/>
    <w:rsid w:val="399B7A80"/>
    <w:rsid w:val="39A15913"/>
    <w:rsid w:val="3A0065F2"/>
    <w:rsid w:val="3C5658AE"/>
    <w:rsid w:val="3C79626B"/>
    <w:rsid w:val="3DC673C3"/>
    <w:rsid w:val="3DC7324C"/>
    <w:rsid w:val="3E8A2355"/>
    <w:rsid w:val="40D273F0"/>
    <w:rsid w:val="43BE4477"/>
    <w:rsid w:val="43E86C4C"/>
    <w:rsid w:val="443E37FF"/>
    <w:rsid w:val="46BA5F0E"/>
    <w:rsid w:val="47E82A9A"/>
    <w:rsid w:val="48A478DC"/>
    <w:rsid w:val="48B130EF"/>
    <w:rsid w:val="49007193"/>
    <w:rsid w:val="49602E8B"/>
    <w:rsid w:val="4A3D3624"/>
    <w:rsid w:val="4B0A719D"/>
    <w:rsid w:val="4B5B7F81"/>
    <w:rsid w:val="4B9A2731"/>
    <w:rsid w:val="4C1127B9"/>
    <w:rsid w:val="4C5523EC"/>
    <w:rsid w:val="4C950D9C"/>
    <w:rsid w:val="4E4E7248"/>
    <w:rsid w:val="4E5C202B"/>
    <w:rsid w:val="4E98763E"/>
    <w:rsid w:val="4EEE41BE"/>
    <w:rsid w:val="5328266F"/>
    <w:rsid w:val="54F563EE"/>
    <w:rsid w:val="556C1FD6"/>
    <w:rsid w:val="55E61928"/>
    <w:rsid w:val="56EE3A7B"/>
    <w:rsid w:val="57EC7E6A"/>
    <w:rsid w:val="5B60291F"/>
    <w:rsid w:val="5B6D6E56"/>
    <w:rsid w:val="5D30786A"/>
    <w:rsid w:val="5E8B3A24"/>
    <w:rsid w:val="5E9B6EFF"/>
    <w:rsid w:val="5EEA02EE"/>
    <w:rsid w:val="5EF10997"/>
    <w:rsid w:val="5F194817"/>
    <w:rsid w:val="5FFC5D1B"/>
    <w:rsid w:val="61A77941"/>
    <w:rsid w:val="63D33BDF"/>
    <w:rsid w:val="66AC16BF"/>
    <w:rsid w:val="66C33A50"/>
    <w:rsid w:val="66EB73D1"/>
    <w:rsid w:val="6769364A"/>
    <w:rsid w:val="69D21C8A"/>
    <w:rsid w:val="6AC3147B"/>
    <w:rsid w:val="6B2073E7"/>
    <w:rsid w:val="6C3731F2"/>
    <w:rsid w:val="6E792F1C"/>
    <w:rsid w:val="6E8723EC"/>
    <w:rsid w:val="6FF040F6"/>
    <w:rsid w:val="729F1E94"/>
    <w:rsid w:val="73213F2B"/>
    <w:rsid w:val="73F71FF6"/>
    <w:rsid w:val="74BB0D28"/>
    <w:rsid w:val="77660128"/>
    <w:rsid w:val="780740A1"/>
    <w:rsid w:val="79021F9A"/>
    <w:rsid w:val="796F5D6B"/>
    <w:rsid w:val="79E175D6"/>
    <w:rsid w:val="7A176C42"/>
    <w:rsid w:val="7A343E9E"/>
    <w:rsid w:val="7A423BE5"/>
    <w:rsid w:val="7AC81D3E"/>
    <w:rsid w:val="7B9A282E"/>
    <w:rsid w:val="7BA93C01"/>
    <w:rsid w:val="7CA763DA"/>
    <w:rsid w:val="7FE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link w:val="15"/>
    <w:qFormat/>
    <w:uiPriority w:val="99"/>
    <w:pPr>
      <w:tabs>
        <w:tab w:val="left" w:pos="900"/>
      </w:tabs>
      <w:ind w:firstLine="434" w:firstLineChars="155"/>
      <w:jc w:val="left"/>
    </w:pPr>
    <w:rPr>
      <w:sz w:val="28"/>
    </w:r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日期 Char"/>
    <w:basedOn w:val="9"/>
    <w:link w:val="4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正文文本缩进 Char"/>
    <w:basedOn w:val="9"/>
    <w:link w:val="3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6">
    <w:name w:val="Char Char Char Char"/>
    <w:basedOn w:val="1"/>
    <w:qFormat/>
    <w:uiPriority w:val="99"/>
  </w:style>
  <w:style w:type="character" w:customStyle="1" w:styleId="17">
    <w:name w:val="font11"/>
    <w:basedOn w:val="9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459</Words>
  <Characters>2620</Characters>
  <Lines>21</Lines>
  <Paragraphs>6</Paragraphs>
  <TotalTime>7</TotalTime>
  <ScaleCrop>false</ScaleCrop>
  <LinksUpToDate>false</LinksUpToDate>
  <CharactersWithSpaces>3073</CharactersWithSpaces>
  <Application>WPS Office_11.8.2.12307_F1E327BC-269C-435d-A152-05C5408002CA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2019-03-20T02:13:00Z</dcterms:created>
  <dc:creator>User</dc:creator>
  <cp:lastModifiedBy>陈洲</cp:lastModifiedBy>
  <cp:lastPrinted>2023-01-10T04:44:00Z</cp:lastPrinted>
  <dcterms:modified xsi:type="dcterms:W3CDTF">2025-02-10T08:25:59Z</dcterms:modified>
  <dc:title>询 价 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2052-11.8.2.12307</vt:lpwstr>
  </property>
  <property fmtid="{D5CDD505-2E9C-101B-9397-08002B2CF9AE}" pid="3" name="ICV">
    <vt:lpwstr>705264A12A6E438AB4380D51DA59E13B</vt:lpwstr>
  </property>
</Properties>
</file>