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F87B0">
      <w:pPr>
        <w:keepNext w:val="0"/>
        <w:keepLines w:val="0"/>
        <w:pageBreakBefore w:val="0"/>
        <w:widowControl w:val="0"/>
        <w:tabs>
          <w:tab w:val="left" w:pos="420"/>
        </w:tabs>
        <w:kinsoku/>
        <w:wordWrap/>
        <w:overflowPunct/>
        <w:topLinePunct w:val="0"/>
        <w:autoSpaceDE/>
        <w:autoSpaceDN/>
        <w:bidi w:val="0"/>
        <w:adjustRightInd w:val="0"/>
        <w:snapToGrid w:val="0"/>
        <w:jc w:val="right"/>
        <w:textAlignment w:val="auto"/>
        <w:rPr>
          <w:rFonts w:hint="eastAsia" w:ascii="宋体" w:hAnsi="宋体" w:cs="宋体"/>
          <w:b/>
          <w:bCs/>
          <w:color w:val="auto"/>
          <w:sz w:val="52"/>
          <w:szCs w:val="52"/>
          <w:highlight w:val="none"/>
        </w:rPr>
      </w:pPr>
      <w:r>
        <w:rPr>
          <w:rFonts w:hint="eastAsia" w:ascii="新宋体" w:hAnsi="新宋体" w:eastAsia="新宋体" w:cs="新宋体"/>
          <w:color w:val="auto"/>
          <w:sz w:val="24"/>
          <w:highlight w:val="none"/>
          <w:lang w:eastAsia="zh-CN"/>
        </w:rPr>
        <w:drawing>
          <wp:inline distT="0" distB="0" distL="114300" distR="114300">
            <wp:extent cx="793115" cy="504190"/>
            <wp:effectExtent l="0" t="0" r="6985" b="10160"/>
            <wp:docPr id="1" name="图片 3" descr="图片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图片logo1"/>
                    <pic:cNvPicPr>
                      <a:picLocks noChangeAspect="1"/>
                    </pic:cNvPicPr>
                  </pic:nvPicPr>
                  <pic:blipFill>
                    <a:blip r:embed="rId8"/>
                    <a:stretch>
                      <a:fillRect/>
                    </a:stretch>
                  </pic:blipFill>
                  <pic:spPr>
                    <a:xfrm>
                      <a:off x="0" y="0"/>
                      <a:ext cx="793115" cy="504190"/>
                    </a:xfrm>
                    <a:prstGeom prst="rect">
                      <a:avLst/>
                    </a:prstGeom>
                    <a:noFill/>
                    <a:ln>
                      <a:noFill/>
                    </a:ln>
                  </pic:spPr>
                </pic:pic>
              </a:graphicData>
            </a:graphic>
          </wp:inline>
        </w:drawing>
      </w:r>
    </w:p>
    <w:p w14:paraId="0E271FEC">
      <w:pPr>
        <w:keepNext w:val="0"/>
        <w:keepLines w:val="0"/>
        <w:pageBreakBefore w:val="0"/>
        <w:widowControl w:val="0"/>
        <w:tabs>
          <w:tab w:val="left" w:pos="420"/>
        </w:tabs>
        <w:kinsoku/>
        <w:wordWrap/>
        <w:overflowPunct/>
        <w:topLinePunct w:val="0"/>
        <w:autoSpaceDE/>
        <w:autoSpaceDN/>
        <w:bidi w:val="0"/>
        <w:adjustRightInd w:val="0"/>
        <w:snapToGrid w:val="0"/>
        <w:jc w:val="right"/>
        <w:textAlignment w:val="auto"/>
        <w:rPr>
          <w:rFonts w:hint="eastAsia" w:ascii="宋体" w:hAnsi="宋体" w:cs="宋体"/>
          <w:b/>
          <w:bCs/>
          <w:color w:val="auto"/>
          <w:sz w:val="52"/>
          <w:szCs w:val="52"/>
          <w:highlight w:val="none"/>
        </w:rPr>
      </w:pPr>
    </w:p>
    <w:p w14:paraId="48946402">
      <w:pPr>
        <w:bidi w:val="0"/>
        <w:rPr>
          <w:rFonts w:hint="eastAsia"/>
          <w:color w:val="auto"/>
          <w:highlight w:val="none"/>
        </w:rPr>
      </w:pPr>
    </w:p>
    <w:p w14:paraId="21376F5B">
      <w:pPr>
        <w:bidi w:val="0"/>
        <w:rPr>
          <w:rFonts w:hint="eastAsia"/>
          <w:color w:val="auto"/>
          <w:highlight w:val="none"/>
        </w:rPr>
      </w:pPr>
    </w:p>
    <w:p w14:paraId="714B2633">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rFonts w:hint="eastAsia" w:ascii="微软简标宋"/>
          <w:b/>
          <w:bCs/>
          <w:color w:val="auto"/>
          <w:sz w:val="52"/>
          <w:szCs w:val="52"/>
          <w:highlight w:val="none"/>
        </w:rPr>
      </w:pPr>
    </w:p>
    <w:p w14:paraId="0EFAD89A">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rFonts w:hint="eastAsia" w:ascii="微软简标宋"/>
          <w:b/>
          <w:bCs/>
          <w:color w:val="auto"/>
          <w:sz w:val="32"/>
          <w:szCs w:val="32"/>
          <w:highlight w:val="none"/>
          <w:lang w:val="en-US" w:eastAsia="zh-CN"/>
        </w:rPr>
      </w:pPr>
      <w:r>
        <w:rPr>
          <w:rFonts w:hint="eastAsia" w:ascii="微软简标宋"/>
          <w:b/>
          <w:bCs/>
          <w:color w:val="auto"/>
          <w:sz w:val="32"/>
          <w:szCs w:val="32"/>
          <w:highlight w:val="none"/>
          <w:lang w:val="en-US" w:eastAsia="zh-CN"/>
        </w:rPr>
        <w:t>金寨县乡村振兴发展有限公司石料运输服务采购项目</w:t>
      </w:r>
    </w:p>
    <w:p w14:paraId="1D39471A">
      <w:pPr>
        <w:keepNext w:val="0"/>
        <w:keepLines w:val="0"/>
        <w:pageBreakBefore w:val="0"/>
        <w:widowControl w:val="0"/>
        <w:tabs>
          <w:tab w:val="left" w:pos="420"/>
        </w:tabs>
        <w:kinsoku/>
        <w:wordWrap/>
        <w:overflowPunct/>
        <w:topLinePunct w:val="0"/>
        <w:autoSpaceDE/>
        <w:autoSpaceDN/>
        <w:bidi w:val="0"/>
        <w:adjustRightInd/>
        <w:snapToGrid/>
        <w:spacing w:line="360" w:lineRule="auto"/>
        <w:jc w:val="center"/>
        <w:textAlignment w:val="auto"/>
        <w:rPr>
          <w:rFonts w:hint="eastAsia" w:ascii="微软简标宋"/>
          <w:b/>
          <w:bCs/>
          <w:color w:val="auto"/>
          <w:sz w:val="32"/>
          <w:szCs w:val="32"/>
          <w:highlight w:val="none"/>
        </w:rPr>
      </w:pPr>
      <w:r>
        <w:rPr>
          <w:rFonts w:hint="eastAsia" w:ascii="微软简标宋"/>
          <w:b/>
          <w:bCs/>
          <w:color w:val="auto"/>
          <w:sz w:val="32"/>
          <w:szCs w:val="32"/>
          <w:highlight w:val="none"/>
          <w:lang w:val="en-US" w:eastAsia="zh-CN"/>
        </w:rPr>
        <w:t>招标</w:t>
      </w:r>
      <w:r>
        <w:rPr>
          <w:rFonts w:hint="eastAsia" w:ascii="微软简标宋"/>
          <w:b/>
          <w:bCs/>
          <w:color w:val="auto"/>
          <w:sz w:val="32"/>
          <w:szCs w:val="32"/>
          <w:highlight w:val="none"/>
        </w:rPr>
        <w:t>文件</w:t>
      </w:r>
    </w:p>
    <w:p w14:paraId="279B988F">
      <w:pPr>
        <w:pStyle w:val="38"/>
        <w:ind w:left="0" w:leftChars="0" w:right="-21" w:firstLine="0" w:firstLineChars="0"/>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w:t>
      </w:r>
      <w:r>
        <w:rPr>
          <w:rFonts w:hint="eastAsia" w:ascii="宋体" w:hAnsi="宋体" w:eastAsia="宋体" w:cs="宋体"/>
          <w:b w:val="0"/>
          <w:bCs/>
          <w:color w:val="auto"/>
          <w:sz w:val="28"/>
          <w:szCs w:val="28"/>
          <w:highlight w:val="none"/>
          <w:lang w:val="en-US" w:eastAsia="zh-CN"/>
        </w:rPr>
        <w:t>国有企业纸质招投标</w:t>
      </w:r>
      <w:r>
        <w:rPr>
          <w:rFonts w:hint="eastAsia" w:ascii="宋体" w:hAnsi="宋体" w:eastAsia="宋体" w:cs="宋体"/>
          <w:b w:val="0"/>
          <w:bCs/>
          <w:color w:val="auto"/>
          <w:sz w:val="28"/>
          <w:szCs w:val="28"/>
          <w:highlight w:val="none"/>
        </w:rPr>
        <w:t>）</w:t>
      </w:r>
    </w:p>
    <w:p w14:paraId="719ED8F8">
      <w:pPr>
        <w:pStyle w:val="38"/>
        <w:ind w:left="0" w:leftChars="0" w:right="-21" w:firstLine="0" w:firstLineChars="0"/>
        <w:jc w:val="cente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项目编号：AHZZ25CG-014</w:t>
      </w:r>
    </w:p>
    <w:p w14:paraId="469A4CA8">
      <w:pPr>
        <w:rPr>
          <w:rFonts w:hint="eastAsia"/>
          <w:color w:val="auto"/>
          <w:highlight w:val="none"/>
        </w:rPr>
      </w:pPr>
    </w:p>
    <w:p w14:paraId="7EBBC4E4">
      <w:pPr>
        <w:tabs>
          <w:tab w:val="left" w:pos="315"/>
          <w:tab w:val="left" w:pos="8820"/>
        </w:tabs>
        <w:spacing w:before="240" w:beforeLines="100" w:after="120" w:afterLines="50" w:line="500" w:lineRule="exact"/>
        <w:ind w:right="267" w:rightChars="127"/>
        <w:rPr>
          <w:rFonts w:hint="eastAsia" w:ascii="Arial Black" w:hAnsi="Arial Black"/>
          <w:b/>
          <w:bCs/>
          <w:color w:val="auto"/>
          <w:sz w:val="44"/>
          <w:szCs w:val="44"/>
          <w:highlight w:val="none"/>
        </w:rPr>
      </w:pPr>
    </w:p>
    <w:p w14:paraId="7B9DB883">
      <w:pPr>
        <w:tabs>
          <w:tab w:val="left" w:pos="315"/>
          <w:tab w:val="left" w:pos="8820"/>
        </w:tabs>
        <w:spacing w:before="240" w:beforeLines="100" w:after="120" w:afterLines="50" w:line="500" w:lineRule="exact"/>
        <w:ind w:right="267" w:rightChars="127"/>
        <w:jc w:val="center"/>
        <w:rPr>
          <w:rFonts w:hint="eastAsia" w:ascii="Arial Black" w:hAnsi="Arial Black"/>
          <w:b/>
          <w:bCs/>
          <w:color w:val="auto"/>
          <w:sz w:val="44"/>
          <w:szCs w:val="44"/>
          <w:highlight w:val="none"/>
        </w:rPr>
      </w:pPr>
    </w:p>
    <w:p w14:paraId="0E4EFAF3">
      <w:pPr>
        <w:pStyle w:val="38"/>
        <w:rPr>
          <w:rFonts w:hint="eastAsia" w:ascii="Arial Black" w:hAnsi="Arial Black"/>
          <w:b/>
          <w:bCs/>
          <w:color w:val="auto"/>
          <w:sz w:val="44"/>
          <w:szCs w:val="44"/>
          <w:highlight w:val="none"/>
        </w:rPr>
      </w:pPr>
    </w:p>
    <w:p w14:paraId="52462D71">
      <w:pPr>
        <w:pStyle w:val="38"/>
        <w:rPr>
          <w:rFonts w:hint="eastAsia" w:ascii="Arial Black" w:hAnsi="Arial Black"/>
          <w:b/>
          <w:bCs/>
          <w:color w:val="auto"/>
          <w:sz w:val="44"/>
          <w:szCs w:val="44"/>
          <w:highlight w:val="none"/>
        </w:rPr>
      </w:pPr>
    </w:p>
    <w:p w14:paraId="05610D55">
      <w:pPr>
        <w:pStyle w:val="38"/>
        <w:ind w:left="0" w:leftChars="0"/>
        <w:rPr>
          <w:rFonts w:hint="eastAsia" w:ascii="宋体" w:hAnsi="宋体" w:eastAsia="宋体" w:cs="宋体"/>
          <w:b w:val="0"/>
          <w:bCs w:val="0"/>
          <w:color w:val="auto"/>
          <w:sz w:val="32"/>
          <w:szCs w:val="32"/>
          <w:highlight w:val="none"/>
        </w:rPr>
      </w:pPr>
    </w:p>
    <w:p w14:paraId="66F1AA25">
      <w:pPr>
        <w:pStyle w:val="38"/>
        <w:ind w:left="0" w:leftChars="0"/>
        <w:rPr>
          <w:rFonts w:hint="eastAsia" w:ascii="宋体" w:hAnsi="宋体" w:eastAsia="宋体" w:cs="宋体"/>
          <w:b w:val="0"/>
          <w:bCs w:val="0"/>
          <w:color w:val="auto"/>
          <w:sz w:val="32"/>
          <w:szCs w:val="32"/>
          <w:highlight w:val="none"/>
        </w:rPr>
      </w:pPr>
    </w:p>
    <w:p w14:paraId="5BAE8BA2">
      <w:pPr>
        <w:pStyle w:val="38"/>
        <w:ind w:left="0" w:leftChars="0"/>
        <w:rPr>
          <w:rFonts w:hint="eastAsia" w:ascii="宋体" w:hAnsi="宋体" w:eastAsia="宋体" w:cs="宋体"/>
          <w:b w:val="0"/>
          <w:bCs w:val="0"/>
          <w:color w:val="auto"/>
          <w:sz w:val="32"/>
          <w:szCs w:val="32"/>
          <w:highlight w:val="none"/>
        </w:rPr>
      </w:pPr>
    </w:p>
    <w:p w14:paraId="283348AB">
      <w:pPr>
        <w:keepNext w:val="0"/>
        <w:keepLines w:val="0"/>
        <w:pageBreakBefore w:val="0"/>
        <w:widowControl w:val="0"/>
        <w:tabs>
          <w:tab w:val="left" w:pos="2410"/>
        </w:tabs>
        <w:kinsoku/>
        <w:wordWrap/>
        <w:overflowPunct/>
        <w:topLinePunct w:val="0"/>
        <w:autoSpaceDE w:val="0"/>
        <w:autoSpaceDN w:val="0"/>
        <w:bidi w:val="0"/>
        <w:adjustRightInd/>
        <w:snapToGrid/>
        <w:spacing w:line="360" w:lineRule="auto"/>
        <w:ind w:left="420" w:leftChars="200" w:firstLine="1113" w:firstLineChars="348"/>
        <w:textAlignment w:val="auto"/>
        <w:rPr>
          <w:rFonts w:hint="eastAsia" w:ascii="宋体" w:hAnsi="宋体" w:eastAsia="宋体" w:cs="宋体"/>
          <w:b w:val="0"/>
          <w:bCs w:val="0"/>
          <w:color w:val="auto"/>
          <w:spacing w:val="0"/>
          <w:kern w:val="0"/>
          <w:sz w:val="32"/>
          <w:szCs w:val="32"/>
          <w:highlight w:val="none"/>
          <w:lang w:eastAsia="zh-CN"/>
        </w:rPr>
      </w:pPr>
      <w:r>
        <w:rPr>
          <w:rFonts w:hint="eastAsia" w:ascii="宋体" w:hAnsi="宋体" w:eastAsia="宋体" w:cs="宋体"/>
          <w:b w:val="0"/>
          <w:bCs w:val="0"/>
          <w:color w:val="auto"/>
          <w:spacing w:val="0"/>
          <w:kern w:val="0"/>
          <w:sz w:val="32"/>
          <w:szCs w:val="32"/>
          <w:highlight w:val="none"/>
          <w:lang w:eastAsia="zh-CN"/>
        </w:rPr>
        <w:t>招标人</w:t>
      </w:r>
      <w:r>
        <w:rPr>
          <w:rFonts w:hint="eastAsia" w:ascii="宋体" w:hAnsi="宋体" w:eastAsia="宋体" w:cs="宋体"/>
          <w:b w:val="0"/>
          <w:bCs w:val="0"/>
          <w:color w:val="auto"/>
          <w:spacing w:val="0"/>
          <w:kern w:val="0"/>
          <w:sz w:val="32"/>
          <w:szCs w:val="32"/>
          <w:highlight w:val="none"/>
        </w:rPr>
        <w:t>：</w:t>
      </w:r>
      <w:r>
        <w:rPr>
          <w:rFonts w:hint="eastAsia" w:ascii="宋体" w:hAnsi="宋体" w:eastAsia="宋体" w:cs="宋体"/>
          <w:b w:val="0"/>
          <w:bCs w:val="0"/>
          <w:color w:val="auto"/>
          <w:spacing w:val="0"/>
          <w:kern w:val="0"/>
          <w:sz w:val="32"/>
          <w:szCs w:val="32"/>
          <w:highlight w:val="none"/>
          <w:lang w:val="en-US" w:eastAsia="zh-CN"/>
        </w:rPr>
        <w:t>金寨县乡村振兴发展有限公司</w:t>
      </w:r>
    </w:p>
    <w:p w14:paraId="1D2BECE4">
      <w:pPr>
        <w:keepNext w:val="0"/>
        <w:keepLines w:val="0"/>
        <w:pageBreakBefore w:val="0"/>
        <w:widowControl w:val="0"/>
        <w:tabs>
          <w:tab w:val="left" w:pos="2410"/>
        </w:tabs>
        <w:kinsoku/>
        <w:wordWrap/>
        <w:overflowPunct/>
        <w:topLinePunct w:val="0"/>
        <w:autoSpaceDE w:val="0"/>
        <w:autoSpaceDN w:val="0"/>
        <w:bidi w:val="0"/>
        <w:adjustRightInd/>
        <w:snapToGrid/>
        <w:spacing w:line="360" w:lineRule="auto"/>
        <w:ind w:left="420" w:leftChars="200" w:firstLine="1113" w:firstLineChars="348"/>
        <w:textAlignment w:val="auto"/>
        <w:rPr>
          <w:rFonts w:hint="eastAsia" w:ascii="宋体" w:hAnsi="宋体" w:eastAsia="宋体" w:cs="宋体"/>
          <w:b w:val="0"/>
          <w:bCs w:val="0"/>
          <w:color w:val="auto"/>
          <w:spacing w:val="0"/>
          <w:kern w:val="0"/>
          <w:sz w:val="32"/>
          <w:szCs w:val="32"/>
          <w:highlight w:val="none"/>
          <w:lang w:eastAsia="zh-CN"/>
        </w:rPr>
      </w:pPr>
      <w:r>
        <w:rPr>
          <w:rFonts w:hint="eastAsia" w:ascii="宋体" w:hAnsi="宋体" w:eastAsia="宋体" w:cs="宋体"/>
          <w:b w:val="0"/>
          <w:bCs w:val="0"/>
          <w:color w:val="auto"/>
          <w:spacing w:val="0"/>
          <w:kern w:val="0"/>
          <w:sz w:val="32"/>
          <w:szCs w:val="32"/>
          <w:highlight w:val="none"/>
          <w:lang w:val="en-US" w:eastAsia="zh-CN"/>
        </w:rPr>
        <w:t>招标</w:t>
      </w:r>
      <w:r>
        <w:rPr>
          <w:rFonts w:hint="eastAsia" w:ascii="宋体" w:hAnsi="宋体" w:eastAsia="宋体" w:cs="宋体"/>
          <w:b w:val="0"/>
          <w:bCs w:val="0"/>
          <w:color w:val="auto"/>
          <w:spacing w:val="0"/>
          <w:kern w:val="0"/>
          <w:sz w:val="32"/>
          <w:szCs w:val="32"/>
          <w:highlight w:val="none"/>
        </w:rPr>
        <w:t>代理机构：</w:t>
      </w:r>
      <w:r>
        <w:rPr>
          <w:rFonts w:hint="eastAsia" w:ascii="宋体" w:hAnsi="宋体" w:eastAsia="宋体" w:cs="宋体"/>
          <w:b w:val="0"/>
          <w:bCs w:val="0"/>
          <w:color w:val="auto"/>
          <w:spacing w:val="0"/>
          <w:kern w:val="0"/>
          <w:sz w:val="32"/>
          <w:szCs w:val="32"/>
          <w:highlight w:val="none"/>
          <w:lang w:eastAsia="zh-CN"/>
        </w:rPr>
        <w:t>安徽中资项目管理有限公司</w:t>
      </w:r>
    </w:p>
    <w:p w14:paraId="335DDDF8">
      <w:pPr>
        <w:keepNext w:val="0"/>
        <w:keepLines w:val="0"/>
        <w:pageBreakBefore w:val="0"/>
        <w:widowControl w:val="0"/>
        <w:tabs>
          <w:tab w:val="left" w:pos="2410"/>
        </w:tabs>
        <w:kinsoku/>
        <w:wordWrap/>
        <w:overflowPunct/>
        <w:topLinePunct w:val="0"/>
        <w:autoSpaceDE w:val="0"/>
        <w:autoSpaceDN w:val="0"/>
        <w:bidi w:val="0"/>
        <w:adjustRightInd/>
        <w:snapToGrid/>
        <w:spacing w:line="360" w:lineRule="auto"/>
        <w:ind w:left="420" w:leftChars="200" w:firstLine="1113" w:firstLineChars="348"/>
        <w:textAlignment w:val="auto"/>
        <w:rPr>
          <w:rFonts w:hint="eastAsia" w:ascii="宋体" w:hAnsi="宋体" w:eastAsia="宋体" w:cs="宋体"/>
          <w:b w:val="0"/>
          <w:bCs w:val="0"/>
          <w:color w:val="auto"/>
          <w:spacing w:val="0"/>
          <w:kern w:val="0"/>
          <w:sz w:val="32"/>
          <w:szCs w:val="32"/>
          <w:highlight w:val="none"/>
        </w:rPr>
      </w:pPr>
      <w:r>
        <w:rPr>
          <w:rFonts w:hint="eastAsia" w:ascii="宋体" w:hAnsi="宋体" w:eastAsia="宋体" w:cs="宋体"/>
          <w:b w:val="0"/>
          <w:bCs w:val="0"/>
          <w:color w:val="auto"/>
          <w:spacing w:val="0"/>
          <w:kern w:val="0"/>
          <w:sz w:val="32"/>
          <w:szCs w:val="32"/>
          <w:highlight w:val="none"/>
          <w:lang w:val="en-US" w:eastAsia="zh-CN"/>
        </w:rPr>
        <w:t>招标</w:t>
      </w:r>
      <w:r>
        <w:rPr>
          <w:rFonts w:hint="eastAsia" w:ascii="宋体" w:hAnsi="宋体" w:eastAsia="宋体" w:cs="宋体"/>
          <w:b w:val="0"/>
          <w:bCs w:val="0"/>
          <w:color w:val="auto"/>
          <w:spacing w:val="0"/>
          <w:kern w:val="0"/>
          <w:sz w:val="32"/>
          <w:szCs w:val="32"/>
          <w:highlight w:val="none"/>
        </w:rPr>
        <w:t>时间：</w:t>
      </w:r>
      <w:r>
        <w:rPr>
          <w:rFonts w:hint="eastAsia" w:ascii="宋体" w:hAnsi="宋体" w:cs="宋体"/>
          <w:b w:val="0"/>
          <w:bCs w:val="0"/>
          <w:color w:val="auto"/>
          <w:spacing w:val="0"/>
          <w:kern w:val="0"/>
          <w:sz w:val="32"/>
          <w:szCs w:val="32"/>
          <w:highlight w:val="none"/>
          <w:lang w:eastAsia="zh-CN"/>
        </w:rPr>
        <w:t>2025年03月0</w:t>
      </w:r>
      <w:r>
        <w:rPr>
          <w:rFonts w:hint="eastAsia" w:ascii="宋体" w:hAnsi="宋体" w:cs="宋体"/>
          <w:b w:val="0"/>
          <w:bCs w:val="0"/>
          <w:color w:val="auto"/>
          <w:spacing w:val="0"/>
          <w:kern w:val="0"/>
          <w:sz w:val="32"/>
          <w:szCs w:val="32"/>
          <w:highlight w:val="none"/>
          <w:lang w:val="en-US" w:eastAsia="zh-CN"/>
        </w:rPr>
        <w:t>6</w:t>
      </w:r>
      <w:r>
        <w:rPr>
          <w:rFonts w:hint="eastAsia" w:ascii="宋体" w:hAnsi="宋体" w:cs="宋体"/>
          <w:b w:val="0"/>
          <w:bCs w:val="0"/>
          <w:color w:val="auto"/>
          <w:spacing w:val="0"/>
          <w:kern w:val="0"/>
          <w:sz w:val="32"/>
          <w:szCs w:val="32"/>
          <w:highlight w:val="none"/>
          <w:lang w:eastAsia="zh-CN"/>
        </w:rPr>
        <w:t>日</w:t>
      </w:r>
    </w:p>
    <w:p w14:paraId="72F6B39B">
      <w:pPr>
        <w:tabs>
          <w:tab w:val="left" w:pos="315"/>
          <w:tab w:val="left" w:pos="8820"/>
        </w:tabs>
        <w:spacing w:before="240" w:beforeLines="100" w:after="120" w:afterLines="50" w:line="500" w:lineRule="exact"/>
        <w:ind w:right="267" w:rightChars="127"/>
        <w:jc w:val="center"/>
        <w:rPr>
          <w:rFonts w:hint="eastAsia" w:ascii="Arial Black" w:hAnsi="Arial Black"/>
          <w:b/>
          <w:bCs/>
          <w:color w:val="auto"/>
          <w:sz w:val="44"/>
          <w:szCs w:val="44"/>
          <w:highlight w:val="none"/>
        </w:rPr>
      </w:pPr>
    </w:p>
    <w:p w14:paraId="7D8F741E">
      <w:pPr>
        <w:spacing w:line="360" w:lineRule="auto"/>
        <w:ind w:firstLine="682" w:firstLineChars="200"/>
        <w:rPr>
          <w:rFonts w:ascii="宋体" w:hAnsi="宋体" w:cs="宋体"/>
          <w:b/>
          <w:color w:val="auto"/>
          <w:spacing w:val="20"/>
          <w:kern w:val="0"/>
          <w:sz w:val="30"/>
          <w:szCs w:val="30"/>
          <w:highlight w:val="none"/>
        </w:rPr>
      </w:pPr>
    </w:p>
    <w:p w14:paraId="65E6AE8F">
      <w:pPr>
        <w:pStyle w:val="2"/>
        <w:keepNext/>
        <w:keepLines/>
        <w:pageBreakBefore w:val="0"/>
        <w:widowControl w:val="0"/>
        <w:tabs>
          <w:tab w:val="right" w:leader="dot" w:pos="9413"/>
        </w:tabs>
        <w:kinsoku/>
        <w:wordWrap/>
        <w:overflowPunct/>
        <w:topLinePunct w:val="0"/>
        <w:autoSpaceDE/>
        <w:autoSpaceDN/>
        <w:bidi w:val="0"/>
        <w:adjustRightInd/>
        <w:snapToGrid/>
        <w:spacing w:before="0" w:after="153" w:afterLines="50" w:line="360" w:lineRule="auto"/>
        <w:jc w:val="center"/>
        <w:textAlignment w:val="auto"/>
        <w:rPr>
          <w:rFonts w:hint="eastAsia" w:ascii="宋体" w:hAnsi="宋体" w:eastAsia="宋体" w:cs="宋体"/>
          <w:color w:val="auto"/>
          <w:sz w:val="32"/>
          <w:szCs w:val="32"/>
          <w:highlight w:val="none"/>
          <w:lang w:val="en-US" w:eastAsia="zh-CN"/>
        </w:rPr>
      </w:pPr>
      <w:bookmarkStart w:id="0" w:name="_Toc20340"/>
      <w:bookmarkStart w:id="1" w:name="_Toc6728"/>
      <w:bookmarkStart w:id="2" w:name="_Toc24475"/>
      <w:bookmarkStart w:id="3" w:name="_Toc21740"/>
      <w:bookmarkStart w:id="4" w:name="_Toc29057"/>
      <w:bookmarkStart w:id="5" w:name="_Toc28498"/>
      <w:bookmarkStart w:id="6" w:name="_Toc20082"/>
      <w:bookmarkStart w:id="7" w:name="_Toc7075"/>
      <w:bookmarkStart w:id="8" w:name="_Toc30473"/>
      <w:bookmarkStart w:id="9" w:name="_Toc8357"/>
      <w:bookmarkStart w:id="10" w:name="_Toc7399"/>
      <w:bookmarkStart w:id="11" w:name="_Toc2681"/>
      <w:bookmarkStart w:id="12" w:name="_Toc28789"/>
      <w:r>
        <w:rPr>
          <w:rFonts w:hint="eastAsia" w:ascii="宋体" w:hAnsi="宋体" w:eastAsia="宋体" w:cs="宋体"/>
          <w:color w:val="auto"/>
          <w:sz w:val="32"/>
          <w:szCs w:val="32"/>
          <w:highlight w:val="none"/>
          <w:lang w:val="en-US" w:eastAsia="zh-CN"/>
        </w:rPr>
        <w:t>目录</w:t>
      </w:r>
      <w:bookmarkEnd w:id="0"/>
      <w:bookmarkEnd w:id="1"/>
      <w:bookmarkEnd w:id="2"/>
      <w:bookmarkEnd w:id="3"/>
      <w:bookmarkEnd w:id="4"/>
      <w:bookmarkEnd w:id="5"/>
      <w:bookmarkEnd w:id="6"/>
      <w:bookmarkEnd w:id="7"/>
      <w:bookmarkEnd w:id="8"/>
      <w:bookmarkEnd w:id="9"/>
      <w:bookmarkEnd w:id="10"/>
      <w:bookmarkEnd w:id="11"/>
      <w:bookmarkEnd w:id="12"/>
      <w:bookmarkStart w:id="13" w:name="_Hlt533241375"/>
      <w:bookmarkEnd w:id="13"/>
      <w:bookmarkStart w:id="14" w:name="_Hlt526418134"/>
      <w:bookmarkEnd w:id="14"/>
      <w:bookmarkStart w:id="15" w:name="_Hlt519045295"/>
      <w:bookmarkEnd w:id="15"/>
    </w:p>
    <w:p w14:paraId="20898017">
      <w:pPr>
        <w:pStyle w:val="28"/>
        <w:tabs>
          <w:tab w:val="right" w:leader="dot" w:pos="9070"/>
        </w:tabs>
        <w:spacing w:line="360" w:lineRule="auto"/>
        <w:rPr>
          <w:rFonts w:hint="eastAsia" w:ascii="宋体" w:hAnsi="宋体" w:eastAsia="宋体" w:cs="宋体"/>
          <w:color w:val="auto"/>
          <w:sz w:val="24"/>
          <w:szCs w:val="24"/>
          <w:highlight w:val="none"/>
        </w:rPr>
      </w:pPr>
      <w:bookmarkStart w:id="16" w:name="_Toc29484"/>
      <w:bookmarkStart w:id="17" w:name="_Toc19665"/>
      <w:bookmarkStart w:id="18" w:name="_Hlt510343011"/>
      <w:bookmarkStart w:id="19" w:name="_Hlt510342998"/>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_Toc11594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rPr>
        <w:t>第一章 公开招标公告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_Toc11594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F59BB0E">
      <w:pPr>
        <w:pStyle w:val="28"/>
        <w:tabs>
          <w:tab w:val="right" w:leader="dot" w:pos="907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_Toc29558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rPr>
        <w:t>第二章 投标投标人须知前附表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_Toc29558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9CC093C">
      <w:pPr>
        <w:pStyle w:val="28"/>
        <w:tabs>
          <w:tab w:val="right" w:leader="dot" w:pos="907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_Toc2762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rPr>
        <w:t>第三章 投标投标人须知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_Toc2762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AA2C685">
      <w:pPr>
        <w:pStyle w:val="28"/>
        <w:tabs>
          <w:tab w:val="right" w:leader="dot" w:pos="907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_Toc4344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rPr>
        <w:t>第四章 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_Toc4344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5A60C09">
      <w:pPr>
        <w:pStyle w:val="28"/>
        <w:tabs>
          <w:tab w:val="right" w:leader="dot" w:pos="907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_Toc15579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rPr>
        <w:t>第五章 合同条款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_Toc15579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BAD2E19">
      <w:pPr>
        <w:pStyle w:val="28"/>
        <w:tabs>
          <w:tab w:val="right" w:leader="dot" w:pos="907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_Toc21790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rPr>
        <w:t>第六章 招标需求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_Toc21790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DF46677">
      <w:pPr>
        <w:pStyle w:val="28"/>
        <w:tabs>
          <w:tab w:val="right" w:leader="dot" w:pos="907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_Toc29441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rPr>
        <w:t>第七章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_Toc29441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1D1DA7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14:paraId="2926A019">
      <w:pPr>
        <w:spacing w:line="360" w:lineRule="auto"/>
        <w:rPr>
          <w:rFonts w:hint="eastAsia" w:ascii="宋体" w:hAnsi="宋体" w:eastAsia="宋体" w:cs="宋体"/>
          <w:color w:val="auto"/>
          <w:sz w:val="24"/>
          <w:szCs w:val="24"/>
          <w:highlight w:val="none"/>
        </w:rPr>
      </w:pPr>
    </w:p>
    <w:p w14:paraId="58AB2B67">
      <w:pPr>
        <w:spacing w:line="360" w:lineRule="auto"/>
        <w:rPr>
          <w:rFonts w:hint="eastAsia" w:ascii="宋体" w:hAnsi="宋体" w:eastAsia="宋体" w:cs="宋体"/>
          <w:color w:val="auto"/>
          <w:sz w:val="24"/>
          <w:szCs w:val="24"/>
          <w:highlight w:val="none"/>
        </w:rPr>
      </w:pPr>
    </w:p>
    <w:p w14:paraId="0FFB245D">
      <w:pPr>
        <w:spacing w:line="360" w:lineRule="auto"/>
        <w:rPr>
          <w:rFonts w:hint="eastAsia" w:ascii="宋体" w:hAnsi="宋体" w:eastAsia="宋体" w:cs="宋体"/>
          <w:color w:val="auto"/>
          <w:sz w:val="24"/>
          <w:szCs w:val="24"/>
          <w:highlight w:val="none"/>
        </w:rPr>
      </w:pPr>
    </w:p>
    <w:p w14:paraId="4586F5D5">
      <w:pPr>
        <w:spacing w:line="360" w:lineRule="auto"/>
        <w:rPr>
          <w:rFonts w:hint="eastAsia" w:ascii="宋体" w:hAnsi="宋体" w:eastAsia="宋体" w:cs="宋体"/>
          <w:color w:val="auto"/>
          <w:sz w:val="24"/>
          <w:szCs w:val="24"/>
          <w:highlight w:val="none"/>
        </w:rPr>
      </w:pPr>
    </w:p>
    <w:p w14:paraId="403C0636">
      <w:pPr>
        <w:spacing w:line="360" w:lineRule="auto"/>
        <w:rPr>
          <w:rFonts w:hint="eastAsia" w:ascii="宋体" w:hAnsi="宋体" w:eastAsia="宋体" w:cs="宋体"/>
          <w:color w:val="auto"/>
          <w:sz w:val="24"/>
          <w:szCs w:val="24"/>
          <w:highlight w:val="none"/>
        </w:rPr>
      </w:pPr>
    </w:p>
    <w:p w14:paraId="4CACBC4F">
      <w:pPr>
        <w:spacing w:line="360" w:lineRule="auto"/>
        <w:rPr>
          <w:rFonts w:hint="eastAsia" w:ascii="宋体" w:hAnsi="宋体" w:eastAsia="宋体" w:cs="宋体"/>
          <w:color w:val="auto"/>
          <w:sz w:val="24"/>
          <w:szCs w:val="24"/>
          <w:highlight w:val="none"/>
        </w:rPr>
      </w:pPr>
    </w:p>
    <w:p w14:paraId="7D139811">
      <w:pPr>
        <w:spacing w:line="360" w:lineRule="auto"/>
        <w:rPr>
          <w:rFonts w:hint="eastAsia" w:ascii="宋体" w:hAnsi="宋体" w:eastAsia="宋体" w:cs="宋体"/>
          <w:color w:val="auto"/>
          <w:sz w:val="24"/>
          <w:szCs w:val="24"/>
          <w:highlight w:val="none"/>
        </w:rPr>
      </w:pPr>
    </w:p>
    <w:p w14:paraId="51C85232">
      <w:pPr>
        <w:spacing w:line="360" w:lineRule="auto"/>
        <w:rPr>
          <w:rFonts w:hint="eastAsia" w:ascii="宋体" w:hAnsi="宋体" w:eastAsia="宋体" w:cs="宋体"/>
          <w:color w:val="auto"/>
          <w:sz w:val="24"/>
          <w:szCs w:val="24"/>
          <w:highlight w:val="none"/>
        </w:rPr>
      </w:pPr>
    </w:p>
    <w:p w14:paraId="67D9500D">
      <w:pPr>
        <w:spacing w:line="360" w:lineRule="auto"/>
        <w:rPr>
          <w:rFonts w:hint="eastAsia" w:ascii="宋体" w:hAnsi="宋体" w:eastAsia="宋体" w:cs="宋体"/>
          <w:color w:val="auto"/>
          <w:sz w:val="24"/>
          <w:szCs w:val="24"/>
          <w:highlight w:val="none"/>
        </w:rPr>
      </w:pPr>
    </w:p>
    <w:p w14:paraId="0E6E6681">
      <w:pPr>
        <w:spacing w:line="360" w:lineRule="auto"/>
        <w:rPr>
          <w:rFonts w:hint="eastAsia" w:ascii="宋体" w:hAnsi="宋体" w:eastAsia="宋体" w:cs="宋体"/>
          <w:color w:val="auto"/>
          <w:sz w:val="24"/>
          <w:szCs w:val="24"/>
          <w:highlight w:val="none"/>
        </w:rPr>
      </w:pPr>
    </w:p>
    <w:p w14:paraId="276E441B">
      <w:pPr>
        <w:spacing w:line="360" w:lineRule="auto"/>
        <w:rPr>
          <w:rFonts w:hint="eastAsia" w:ascii="宋体" w:hAnsi="宋体" w:eastAsia="宋体" w:cs="宋体"/>
          <w:color w:val="auto"/>
          <w:sz w:val="24"/>
          <w:szCs w:val="24"/>
          <w:highlight w:val="none"/>
        </w:rPr>
      </w:pPr>
    </w:p>
    <w:p w14:paraId="5F8959F6">
      <w:pPr>
        <w:spacing w:line="360" w:lineRule="auto"/>
        <w:rPr>
          <w:rFonts w:hint="eastAsia" w:ascii="宋体" w:hAnsi="宋体" w:eastAsia="宋体" w:cs="宋体"/>
          <w:color w:val="auto"/>
          <w:sz w:val="24"/>
          <w:szCs w:val="24"/>
          <w:highlight w:val="none"/>
        </w:rPr>
      </w:pPr>
    </w:p>
    <w:p w14:paraId="22FCB5B1">
      <w:pPr>
        <w:spacing w:line="360" w:lineRule="auto"/>
        <w:rPr>
          <w:rFonts w:hint="eastAsia" w:ascii="宋体" w:hAnsi="宋体" w:eastAsia="宋体" w:cs="宋体"/>
          <w:color w:val="auto"/>
          <w:sz w:val="24"/>
          <w:szCs w:val="24"/>
          <w:highlight w:val="none"/>
        </w:rPr>
      </w:pPr>
    </w:p>
    <w:p w14:paraId="77F98618">
      <w:pPr>
        <w:spacing w:line="360" w:lineRule="auto"/>
        <w:rPr>
          <w:rFonts w:hint="eastAsia" w:ascii="宋体" w:hAnsi="宋体" w:eastAsia="宋体" w:cs="宋体"/>
          <w:color w:val="auto"/>
          <w:sz w:val="24"/>
          <w:szCs w:val="24"/>
          <w:highlight w:val="none"/>
        </w:rPr>
      </w:pPr>
    </w:p>
    <w:p w14:paraId="5D74D4BA">
      <w:pPr>
        <w:spacing w:line="360" w:lineRule="auto"/>
        <w:rPr>
          <w:rFonts w:hint="eastAsia" w:ascii="宋体" w:hAnsi="宋体" w:eastAsia="宋体" w:cs="宋体"/>
          <w:color w:val="auto"/>
          <w:sz w:val="24"/>
          <w:szCs w:val="24"/>
          <w:highlight w:val="none"/>
        </w:rPr>
      </w:pPr>
    </w:p>
    <w:p w14:paraId="587A4419">
      <w:pPr>
        <w:spacing w:line="360" w:lineRule="auto"/>
        <w:rPr>
          <w:rFonts w:hint="eastAsia" w:ascii="宋体" w:hAnsi="宋体" w:eastAsia="宋体" w:cs="宋体"/>
          <w:color w:val="auto"/>
          <w:sz w:val="24"/>
          <w:szCs w:val="24"/>
          <w:highlight w:val="none"/>
        </w:rPr>
      </w:pPr>
    </w:p>
    <w:p w14:paraId="29A02376">
      <w:pPr>
        <w:spacing w:line="360" w:lineRule="auto"/>
        <w:rPr>
          <w:rFonts w:hint="eastAsia" w:ascii="宋体" w:hAnsi="宋体" w:eastAsia="宋体" w:cs="宋体"/>
          <w:color w:val="auto"/>
          <w:sz w:val="24"/>
          <w:szCs w:val="24"/>
          <w:highlight w:val="none"/>
        </w:rPr>
      </w:pPr>
    </w:p>
    <w:p w14:paraId="78CFE15E">
      <w:pPr>
        <w:spacing w:line="360" w:lineRule="auto"/>
        <w:rPr>
          <w:rFonts w:hint="eastAsia" w:ascii="宋体" w:hAnsi="宋体" w:eastAsia="宋体" w:cs="宋体"/>
          <w:color w:val="auto"/>
          <w:sz w:val="24"/>
          <w:szCs w:val="24"/>
          <w:highlight w:val="none"/>
        </w:rPr>
      </w:pPr>
    </w:p>
    <w:p w14:paraId="7B9F7519">
      <w:pPr>
        <w:keepNext w:val="0"/>
        <w:keepLines w:val="0"/>
        <w:pageBreakBefore w:val="0"/>
        <w:widowControl w:val="0"/>
        <w:kinsoku/>
        <w:wordWrap/>
        <w:overflowPunct/>
        <w:topLinePunct w:val="0"/>
        <w:autoSpaceDE/>
        <w:autoSpaceDN/>
        <w:bidi w:val="0"/>
        <w:adjustRightInd/>
        <w:snapToGrid/>
        <w:spacing w:after="0" w:afterLines="50" w:line="360" w:lineRule="auto"/>
        <w:jc w:val="center"/>
        <w:textAlignment w:val="auto"/>
        <w:outlineLvl w:val="0"/>
        <w:rPr>
          <w:rFonts w:hint="default" w:ascii="Times New Roman" w:hAnsi="Times New Roman" w:eastAsia="宋体" w:cs="Times New Roman"/>
          <w:b/>
          <w:bCs/>
          <w:color w:val="auto"/>
          <w:kern w:val="44"/>
          <w:sz w:val="32"/>
          <w:szCs w:val="48"/>
          <w:highlight w:val="none"/>
          <w:lang w:val="en-US" w:eastAsia="zh-CN"/>
        </w:rPr>
      </w:pPr>
      <w:bookmarkStart w:id="20" w:name="_Toc11594"/>
      <w:r>
        <w:rPr>
          <w:rFonts w:hint="eastAsia" w:ascii="Times New Roman" w:hAnsi="Times New Roman" w:eastAsia="宋体" w:cs="Times New Roman"/>
          <w:b/>
          <w:bCs/>
          <w:color w:val="auto"/>
          <w:kern w:val="44"/>
          <w:sz w:val="32"/>
          <w:szCs w:val="48"/>
          <w:highlight w:val="none"/>
          <w:lang w:val="en-US" w:eastAsia="zh-CN"/>
        </w:rPr>
        <w:t>第一章 公开招标公告</w:t>
      </w:r>
      <w:bookmarkEnd w:id="16"/>
      <w:bookmarkEnd w:id="17"/>
      <w:bookmarkEnd w:id="20"/>
    </w:p>
    <w:p w14:paraId="59FE03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bCs/>
          <w:color w:val="auto"/>
          <w:sz w:val="44"/>
          <w:szCs w:val="44"/>
          <w:highlight w:val="none"/>
          <w:lang w:val="en-US" w:eastAsia="zh-CN"/>
        </w:rPr>
      </w:pPr>
      <w:bookmarkStart w:id="216" w:name="_GoBack"/>
      <w:r>
        <w:rPr>
          <w:rFonts w:hint="eastAsia" w:ascii="华文中宋" w:hAnsi="华文中宋" w:eastAsia="华文中宋" w:cs="华文中宋"/>
          <w:b/>
          <w:bCs/>
          <w:color w:val="auto"/>
          <w:sz w:val="44"/>
          <w:szCs w:val="44"/>
          <w:highlight w:val="none"/>
          <w:lang w:val="en-US" w:eastAsia="zh-CN"/>
        </w:rPr>
        <w:t>金寨县乡村振兴发展有限公司石料运输服务</w:t>
      </w:r>
    </w:p>
    <w:p w14:paraId="6028CA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bCs/>
          <w:color w:val="auto"/>
          <w:sz w:val="44"/>
          <w:szCs w:val="44"/>
          <w:highlight w:val="none"/>
          <w:lang w:val="en-US" w:eastAsia="zh-CN"/>
        </w:rPr>
      </w:pPr>
      <w:r>
        <w:rPr>
          <w:rFonts w:hint="eastAsia" w:ascii="华文中宋" w:hAnsi="华文中宋" w:eastAsia="华文中宋" w:cs="华文中宋"/>
          <w:b/>
          <w:bCs/>
          <w:color w:val="auto"/>
          <w:sz w:val="44"/>
          <w:szCs w:val="44"/>
          <w:highlight w:val="none"/>
          <w:lang w:val="en-US" w:eastAsia="zh-CN"/>
        </w:rPr>
        <w:t>采购项目公开招标公告</w:t>
      </w:r>
    </w:p>
    <w:p w14:paraId="4E4000E3">
      <w:pPr>
        <w:pStyle w:val="3"/>
        <w:widowControl/>
        <w:spacing w:before="0" w:after="0" w:line="540" w:lineRule="exact"/>
        <w:ind w:firstLine="0"/>
        <w:jc w:val="both"/>
        <w:rPr>
          <w:rFonts w:hint="eastAsia" w:ascii="黑体" w:hAnsi="黑体" w:eastAsia="黑体" w:cs="黑体"/>
          <w:b w:val="0"/>
          <w:bCs w:val="0"/>
          <w:color w:val="auto"/>
          <w:kern w:val="0"/>
          <w:sz w:val="28"/>
          <w:szCs w:val="28"/>
          <w:highlight w:val="none"/>
        </w:rPr>
      </w:pPr>
      <w:bookmarkStart w:id="21" w:name="_Toc15946"/>
      <w:bookmarkStart w:id="22" w:name="_Toc17094"/>
      <w:bookmarkStart w:id="23" w:name="_Toc16555"/>
      <w:bookmarkStart w:id="24" w:name="_Toc28776"/>
      <w:r>
        <w:rPr>
          <w:rFonts w:hint="eastAsia" w:ascii="黑体" w:hAnsi="黑体" w:eastAsia="黑体" w:cs="黑体"/>
          <w:b w:val="0"/>
          <w:bCs w:val="0"/>
          <w:color w:val="auto"/>
          <w:kern w:val="0"/>
          <w:sz w:val="28"/>
          <w:szCs w:val="28"/>
          <w:highlight w:val="none"/>
        </w:rPr>
        <w:t>一、项目基本情况</w:t>
      </w:r>
      <w:bookmarkEnd w:id="21"/>
      <w:bookmarkEnd w:id="22"/>
      <w:bookmarkEnd w:id="23"/>
      <w:bookmarkEnd w:id="24"/>
    </w:p>
    <w:p w14:paraId="3ACF1DB4">
      <w:pPr>
        <w:spacing w:line="54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1、项目编号：</w:t>
      </w:r>
      <w:r>
        <w:rPr>
          <w:rFonts w:hint="eastAsia" w:ascii="宋体" w:hAnsi="DotumChe" w:cs="宋体"/>
          <w:b w:val="0"/>
          <w:bCs/>
          <w:color w:val="auto"/>
          <w:spacing w:val="0"/>
          <w:kern w:val="0"/>
          <w:sz w:val="28"/>
          <w:szCs w:val="28"/>
          <w:highlight w:val="none"/>
          <w:lang w:eastAsia="zh-CN"/>
        </w:rPr>
        <w:t>AHZZ25CG-014</w:t>
      </w:r>
    </w:p>
    <w:p w14:paraId="44DCD550">
      <w:pPr>
        <w:spacing w:line="54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2、项目名称：</w:t>
      </w:r>
      <w:r>
        <w:rPr>
          <w:rFonts w:hint="eastAsia" w:ascii="仿宋" w:hAnsi="仿宋" w:eastAsia="仿宋" w:cs="仿宋"/>
          <w:bCs/>
          <w:color w:val="auto"/>
          <w:sz w:val="28"/>
          <w:szCs w:val="28"/>
          <w:highlight w:val="none"/>
          <w:lang w:val="en-US" w:eastAsia="zh-CN" w:bidi="ar"/>
        </w:rPr>
        <w:t>金寨县乡村振兴发展有限公司石料运输服务采购项目</w:t>
      </w:r>
    </w:p>
    <w:p w14:paraId="7E873F96">
      <w:pPr>
        <w:spacing w:line="540" w:lineRule="exact"/>
        <w:ind w:firstLine="560" w:firstLineChars="200"/>
        <w:rPr>
          <w:rFonts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3、项目类型：</w:t>
      </w:r>
      <w:r>
        <w:rPr>
          <w:rFonts w:hint="eastAsia" w:ascii="仿宋" w:hAnsi="仿宋" w:eastAsia="仿宋" w:cs="仿宋"/>
          <w:bCs/>
          <w:color w:val="auto"/>
          <w:sz w:val="28"/>
          <w:szCs w:val="28"/>
          <w:highlight w:val="none"/>
          <w:lang w:val="en-US" w:eastAsia="zh-CN" w:bidi="ar"/>
        </w:rPr>
        <w:t>服务</w:t>
      </w:r>
      <w:r>
        <w:rPr>
          <w:rFonts w:hint="eastAsia" w:ascii="仿宋" w:hAnsi="仿宋" w:eastAsia="仿宋" w:cs="仿宋"/>
          <w:bCs/>
          <w:color w:val="auto"/>
          <w:sz w:val="28"/>
          <w:szCs w:val="28"/>
          <w:highlight w:val="none"/>
          <w:lang w:bidi="ar"/>
        </w:rPr>
        <w:t>类</w:t>
      </w:r>
    </w:p>
    <w:p w14:paraId="4C1C3E12">
      <w:pPr>
        <w:spacing w:line="540" w:lineRule="exact"/>
        <w:ind w:firstLine="560" w:firstLineChars="200"/>
        <w:rPr>
          <w:rFonts w:hint="eastAsia" w:ascii="仿宋" w:hAnsi="仿宋" w:eastAsia="仿宋" w:cs="仿宋"/>
          <w:bCs/>
          <w:color w:val="auto"/>
          <w:sz w:val="28"/>
          <w:szCs w:val="28"/>
          <w:highlight w:val="none"/>
          <w:lang w:eastAsia="zh-CN" w:bidi="ar"/>
        </w:rPr>
      </w:pPr>
      <w:r>
        <w:rPr>
          <w:rFonts w:hint="eastAsia" w:ascii="仿宋" w:hAnsi="仿宋" w:eastAsia="仿宋" w:cs="仿宋"/>
          <w:bCs/>
          <w:color w:val="auto"/>
          <w:sz w:val="28"/>
          <w:szCs w:val="28"/>
          <w:highlight w:val="none"/>
          <w:lang w:bidi="ar"/>
        </w:rPr>
        <w:t>4、预算金额：</w:t>
      </w:r>
      <w:r>
        <w:rPr>
          <w:rFonts w:hint="eastAsia" w:ascii="仿宋" w:hAnsi="仿宋" w:eastAsia="仿宋" w:cs="仿宋"/>
          <w:color w:val="auto"/>
          <w:sz w:val="28"/>
          <w:szCs w:val="28"/>
          <w:highlight w:val="none"/>
          <w:lang w:val="en-US" w:eastAsia="zh-CN"/>
        </w:rPr>
        <w:t>3000万元</w:t>
      </w:r>
    </w:p>
    <w:p w14:paraId="3F7ACC99">
      <w:pPr>
        <w:spacing w:line="540" w:lineRule="exact"/>
        <w:ind w:firstLine="560" w:firstLineChars="200"/>
        <w:rPr>
          <w:rFonts w:hint="default" w:ascii="仿宋" w:hAnsi="仿宋" w:eastAsia="仿宋" w:cs="仿宋"/>
          <w:bCs/>
          <w:color w:val="auto"/>
          <w:sz w:val="28"/>
          <w:szCs w:val="28"/>
          <w:highlight w:val="none"/>
          <w:u w:val="none"/>
          <w:lang w:val="en-US" w:eastAsia="zh-CN" w:bidi="ar"/>
        </w:rPr>
      </w:pPr>
      <w:r>
        <w:rPr>
          <w:rFonts w:hint="eastAsia" w:ascii="仿宋" w:hAnsi="仿宋" w:eastAsia="仿宋" w:cs="仿宋"/>
          <w:bCs/>
          <w:color w:val="auto"/>
          <w:sz w:val="28"/>
          <w:szCs w:val="28"/>
          <w:highlight w:val="none"/>
          <w:u w:val="none"/>
          <w:lang w:bidi="ar"/>
        </w:rPr>
        <w:t>5、最高限价：</w:t>
      </w: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采取</w:t>
      </w:r>
      <w:r>
        <w:rPr>
          <w:rFonts w:hint="eastAsia" w:ascii="仿宋" w:hAnsi="仿宋" w:eastAsia="仿宋" w:cs="仿宋"/>
          <w:color w:val="auto"/>
          <w:sz w:val="28"/>
          <w:szCs w:val="28"/>
          <w:highlight w:val="none"/>
        </w:rPr>
        <w:t>统一折扣方式招标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按统一折扣（百分比）报价，最高限价为100%。</w:t>
      </w:r>
    </w:p>
    <w:p w14:paraId="448936F6">
      <w:pPr>
        <w:widowControl/>
        <w:spacing w:line="520" w:lineRule="exact"/>
        <w:ind w:firstLine="560" w:firstLineChars="200"/>
        <w:rPr>
          <w:rFonts w:hint="eastAsia" w:ascii="仿宋" w:hAnsi="仿宋" w:eastAsia="仿宋" w:cs="仿宋"/>
          <w:bCs/>
          <w:color w:val="auto"/>
          <w:sz w:val="28"/>
          <w:szCs w:val="28"/>
          <w:highlight w:val="none"/>
          <w:lang w:val="en-US" w:eastAsia="zh-CN" w:bidi="ar"/>
        </w:rPr>
      </w:pPr>
      <w:r>
        <w:rPr>
          <w:rFonts w:hint="eastAsia" w:ascii="仿宋" w:hAnsi="仿宋" w:eastAsia="仿宋" w:cs="仿宋"/>
          <w:bCs/>
          <w:color w:val="auto"/>
          <w:sz w:val="28"/>
          <w:szCs w:val="28"/>
          <w:highlight w:val="none"/>
          <w:lang w:bidi="ar"/>
        </w:rPr>
        <w:t>6、</w:t>
      </w:r>
      <w:r>
        <w:rPr>
          <w:rFonts w:hint="eastAsia" w:ascii="仿宋" w:hAnsi="仿宋" w:eastAsia="仿宋" w:cs="仿宋"/>
          <w:bCs/>
          <w:color w:val="auto"/>
          <w:sz w:val="28"/>
          <w:szCs w:val="28"/>
          <w:highlight w:val="none"/>
          <w:lang w:val="en-US" w:eastAsia="zh-CN" w:bidi="ar"/>
        </w:rPr>
        <w:t>招标范围</w:t>
      </w: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val="en-US" w:eastAsia="zh-CN" w:bidi="ar"/>
        </w:rPr>
        <w:t>为保障城区废石料加工厂生产原料供应，选择一家运输企业承担相关清运工作，包括石料原料分拣装车、运输、打堆等服务。</w:t>
      </w:r>
    </w:p>
    <w:p w14:paraId="690917C1">
      <w:pPr>
        <w:widowControl/>
        <w:spacing w:line="520" w:lineRule="exact"/>
        <w:ind w:firstLine="560" w:firstLineChars="200"/>
        <w:rPr>
          <w:rFonts w:hint="default" w:ascii="仿宋" w:hAnsi="仿宋" w:eastAsia="仿宋" w:cs="仿宋"/>
          <w:bCs/>
          <w:color w:val="auto"/>
          <w:sz w:val="28"/>
          <w:szCs w:val="28"/>
          <w:highlight w:val="none"/>
          <w:lang w:val="en-US" w:eastAsia="zh-CN" w:bidi="ar"/>
        </w:rPr>
      </w:pPr>
      <w:r>
        <w:rPr>
          <w:rFonts w:hint="eastAsia" w:ascii="仿宋" w:hAnsi="仿宋" w:eastAsia="仿宋" w:cs="仿宋"/>
          <w:bCs/>
          <w:color w:val="auto"/>
          <w:sz w:val="28"/>
          <w:szCs w:val="28"/>
          <w:highlight w:val="none"/>
          <w:lang w:bidi="ar"/>
        </w:rPr>
        <w:t>7、合同履行期限：</w:t>
      </w:r>
      <w:r>
        <w:rPr>
          <w:rFonts w:hint="eastAsia" w:ascii="仿宋" w:hAnsi="仿宋" w:eastAsia="仿宋" w:cs="仿宋"/>
          <w:bCs/>
          <w:color w:val="auto"/>
          <w:sz w:val="28"/>
          <w:szCs w:val="28"/>
          <w:highlight w:val="none"/>
          <w:lang w:val="en-US" w:eastAsia="zh-CN" w:bidi="ar"/>
        </w:rPr>
        <w:t>3年</w:t>
      </w:r>
    </w:p>
    <w:p w14:paraId="1709D2A6">
      <w:pPr>
        <w:widowControl/>
        <w:spacing w:line="520" w:lineRule="exact"/>
        <w:ind w:firstLine="560" w:firstLineChars="200"/>
        <w:rPr>
          <w:rFonts w:hint="eastAsia" w:ascii="仿宋" w:hAnsi="仿宋" w:eastAsia="仿宋" w:cs="仿宋"/>
          <w:bCs/>
          <w:color w:val="auto"/>
          <w:sz w:val="28"/>
          <w:szCs w:val="28"/>
          <w:highlight w:val="none"/>
          <w:lang w:val="en-US" w:eastAsia="zh-CN" w:bidi="ar"/>
        </w:rPr>
      </w:pPr>
      <w:r>
        <w:rPr>
          <w:rFonts w:hint="eastAsia" w:ascii="仿宋" w:hAnsi="仿宋" w:eastAsia="仿宋" w:cs="仿宋"/>
          <w:bCs/>
          <w:color w:val="auto"/>
          <w:sz w:val="28"/>
          <w:szCs w:val="28"/>
          <w:highlight w:val="none"/>
          <w:lang w:val="en-US" w:eastAsia="zh-CN" w:bidi="ar"/>
        </w:rPr>
        <w:t>8、是否接受联合体：本项目不接受联合体投标</w:t>
      </w:r>
    </w:p>
    <w:p w14:paraId="30BCF1CA">
      <w:pPr>
        <w:pStyle w:val="3"/>
        <w:widowControl/>
        <w:spacing w:before="0" w:after="0" w:line="540" w:lineRule="exact"/>
        <w:ind w:firstLine="0"/>
        <w:jc w:val="both"/>
        <w:rPr>
          <w:rFonts w:hint="eastAsia" w:ascii="黑体" w:hAnsi="黑体" w:cs="黑体"/>
          <w:b w:val="0"/>
          <w:bCs w:val="0"/>
          <w:color w:val="auto"/>
          <w:kern w:val="0"/>
          <w:sz w:val="28"/>
          <w:szCs w:val="28"/>
          <w:highlight w:val="none"/>
        </w:rPr>
      </w:pPr>
      <w:bookmarkStart w:id="25" w:name="_Toc28359090"/>
      <w:bookmarkStart w:id="26" w:name="_Toc35393630"/>
      <w:bookmarkStart w:id="27" w:name="_Toc35393799"/>
      <w:bookmarkStart w:id="28" w:name="_Toc25360"/>
      <w:bookmarkStart w:id="29" w:name="_Toc8072"/>
      <w:bookmarkStart w:id="30" w:name="_Toc18152"/>
      <w:bookmarkStart w:id="31" w:name="_Toc28359013"/>
      <w:r>
        <w:rPr>
          <w:rFonts w:hint="eastAsia" w:ascii="黑体" w:hAnsi="黑体" w:cs="黑体"/>
          <w:b w:val="0"/>
          <w:bCs w:val="0"/>
          <w:color w:val="auto"/>
          <w:kern w:val="0"/>
          <w:sz w:val="28"/>
          <w:szCs w:val="28"/>
          <w:highlight w:val="none"/>
        </w:rPr>
        <w:t>二、</w:t>
      </w:r>
      <w:r>
        <w:rPr>
          <w:rFonts w:hint="eastAsia" w:ascii="黑体" w:hAnsi="黑体" w:cs="黑体"/>
          <w:b w:val="0"/>
          <w:bCs w:val="0"/>
          <w:color w:val="auto"/>
          <w:kern w:val="0"/>
          <w:sz w:val="28"/>
          <w:szCs w:val="28"/>
          <w:highlight w:val="none"/>
          <w:lang w:val="en-US" w:eastAsia="zh-CN"/>
        </w:rPr>
        <w:t>投标人</w:t>
      </w:r>
      <w:r>
        <w:rPr>
          <w:rFonts w:hint="eastAsia" w:ascii="黑体" w:hAnsi="黑体" w:cs="黑体"/>
          <w:b w:val="0"/>
          <w:bCs w:val="0"/>
          <w:color w:val="auto"/>
          <w:kern w:val="0"/>
          <w:sz w:val="28"/>
          <w:szCs w:val="28"/>
          <w:highlight w:val="none"/>
        </w:rPr>
        <w:t>的资格要求</w:t>
      </w:r>
      <w:bookmarkEnd w:id="25"/>
      <w:bookmarkEnd w:id="26"/>
      <w:bookmarkEnd w:id="27"/>
      <w:bookmarkEnd w:id="28"/>
      <w:bookmarkEnd w:id="29"/>
      <w:bookmarkEnd w:id="30"/>
      <w:bookmarkEnd w:id="31"/>
    </w:p>
    <w:p w14:paraId="07FB6C97">
      <w:pPr>
        <w:spacing w:line="520" w:lineRule="exact"/>
        <w:ind w:firstLine="560" w:firstLineChars="200"/>
        <w:rPr>
          <w:rFonts w:hint="eastAsia" w:ascii="仿宋" w:hAnsi="仿宋" w:eastAsia="仿宋" w:cs="仿宋"/>
          <w:color w:val="auto"/>
          <w:sz w:val="28"/>
          <w:szCs w:val="28"/>
          <w:highlight w:val="none"/>
          <w:lang w:val="en-US" w:eastAsia="zh-CN"/>
        </w:rPr>
      </w:pPr>
      <w:bookmarkStart w:id="32" w:name="_Toc29375"/>
      <w:bookmarkStart w:id="33" w:name="_Toc16090"/>
      <w:bookmarkStart w:id="34" w:name="_Toc785"/>
      <w:r>
        <w:rPr>
          <w:rFonts w:hint="eastAsia" w:ascii="仿宋" w:hAnsi="仿宋" w:eastAsia="仿宋" w:cs="仿宋"/>
          <w:color w:val="auto"/>
          <w:sz w:val="28"/>
          <w:szCs w:val="28"/>
          <w:highlight w:val="none"/>
          <w:lang w:val="en-US" w:eastAsia="zh-CN"/>
        </w:rPr>
        <w:t>1、投标人应为依法成立并有效存续的法人或其他组织，没有处于被吊销营业执照、责令关闭或者被撤销等不良状态；</w:t>
      </w:r>
    </w:p>
    <w:p w14:paraId="0CECC6E0">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2、本项目的特定资格要求：</w:t>
      </w:r>
    </w:p>
    <w:p w14:paraId="5E72F8BB">
      <w:pPr>
        <w:spacing w:line="52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（1）投标人须具有有效的《道路运输经营许可证》；</w:t>
      </w:r>
    </w:p>
    <w:p w14:paraId="1F5CD681">
      <w:pPr>
        <w:spacing w:line="52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（2）投标人须自有不少于15辆年审合格的国V及以上排放标准的3轴或4轴重型自卸货车（每辆车至少配备1名专职驾驶员）、1台洒水车、1台50型铲车及1台300型（含）以上挖掘机。</w:t>
      </w:r>
    </w:p>
    <w:p w14:paraId="1E4C0E53">
      <w:pPr>
        <w:spacing w:line="52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注：①自卸货车需提供车辆行驶证、车辆登记证、车辆营运证，且相关材料须能体现车辆年审合格；②洒水车需提供车辆行驶证、车辆登记证，且相关材料须能体现车辆年审合格；③铲车、挖掘机需提供清单和购进发票；④自有是指车辆所有权人名称与投标人名称一致，机械设备购进发票中的购买方名称与投标人名称一致。⑤提供运输车辆专职驾驶员符合本项目机动车准驾车型的驾驶证（代号A1、A2、B2）、道路运输从业人员从业资格证、身份证。</w:t>
      </w:r>
    </w:p>
    <w:p w14:paraId="12F104AD">
      <w:pPr>
        <w:pStyle w:val="3"/>
        <w:widowControl/>
        <w:spacing w:before="0" w:after="0" w:line="540" w:lineRule="exact"/>
        <w:ind w:firstLine="0"/>
        <w:jc w:val="both"/>
        <w:rPr>
          <w:rFonts w:hint="eastAsia" w:ascii="黑体" w:hAnsi="黑体" w:cs="黑体"/>
          <w:b w:val="0"/>
          <w:bCs w:val="0"/>
          <w:color w:val="auto"/>
          <w:kern w:val="0"/>
          <w:sz w:val="28"/>
          <w:szCs w:val="28"/>
          <w:highlight w:val="none"/>
        </w:rPr>
      </w:pPr>
      <w:bookmarkStart w:id="35" w:name="_Toc26494"/>
      <w:r>
        <w:rPr>
          <w:rFonts w:hint="eastAsia" w:ascii="黑体" w:hAnsi="黑体" w:cs="黑体"/>
          <w:b w:val="0"/>
          <w:bCs w:val="0"/>
          <w:color w:val="auto"/>
          <w:kern w:val="0"/>
          <w:sz w:val="28"/>
          <w:szCs w:val="28"/>
          <w:highlight w:val="none"/>
        </w:rPr>
        <w:t>三、获取招标文件</w:t>
      </w:r>
      <w:bookmarkEnd w:id="32"/>
      <w:bookmarkEnd w:id="33"/>
      <w:bookmarkEnd w:id="34"/>
      <w:bookmarkEnd w:id="35"/>
    </w:p>
    <w:p w14:paraId="3183A165">
      <w:pPr>
        <w:spacing w:line="520" w:lineRule="exact"/>
        <w:ind w:firstLine="560" w:firstLineChars="200"/>
        <w:rPr>
          <w:rFonts w:ascii="仿宋" w:hAnsi="仿宋" w:eastAsia="仿宋" w:cs="仿宋"/>
          <w:color w:val="auto"/>
          <w:sz w:val="28"/>
          <w:szCs w:val="28"/>
          <w:highlight w:val="none"/>
        </w:rPr>
      </w:pPr>
      <w:bookmarkStart w:id="36" w:name="_Toc5980"/>
      <w:bookmarkStart w:id="37" w:name="_Toc12819"/>
      <w:r>
        <w:rPr>
          <w:rFonts w:hint="eastAsia" w:ascii="仿宋" w:hAnsi="仿宋" w:eastAsia="仿宋" w:cs="仿宋"/>
          <w:color w:val="auto"/>
          <w:sz w:val="28"/>
          <w:szCs w:val="28"/>
          <w:highlight w:val="none"/>
        </w:rPr>
        <w:t>1、时间：</w:t>
      </w:r>
      <w:r>
        <w:rPr>
          <w:rFonts w:hint="eastAsia" w:ascii="仿宋" w:hAnsi="仿宋" w:eastAsia="仿宋" w:cs="仿宋"/>
          <w:color w:val="auto"/>
          <w:sz w:val="28"/>
          <w:szCs w:val="28"/>
          <w:highlight w:val="none"/>
          <w:lang w:bidi="ar"/>
        </w:rPr>
        <w:t>自公告发布之日起至</w:t>
      </w:r>
      <w:r>
        <w:rPr>
          <w:rFonts w:hint="eastAsia" w:ascii="仿宋" w:hAnsi="仿宋" w:eastAsia="仿宋" w:cs="仿宋"/>
          <w:color w:val="auto"/>
          <w:sz w:val="28"/>
          <w:szCs w:val="28"/>
          <w:highlight w:val="none"/>
          <w:lang w:val="en-US" w:eastAsia="zh-CN" w:bidi="ar"/>
        </w:rPr>
        <w:t>投标截止</w:t>
      </w:r>
      <w:r>
        <w:rPr>
          <w:rFonts w:hint="eastAsia" w:ascii="仿宋" w:hAnsi="仿宋" w:eastAsia="仿宋" w:cs="仿宋"/>
          <w:color w:val="auto"/>
          <w:sz w:val="28"/>
          <w:szCs w:val="28"/>
          <w:highlight w:val="none"/>
          <w:lang w:bidi="ar"/>
        </w:rPr>
        <w:t>时间前</w:t>
      </w:r>
    </w:p>
    <w:p w14:paraId="68E9DD9F">
      <w:pPr>
        <w:spacing w:line="54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2、地点：六安市公共资源交易</w:t>
      </w:r>
      <w:r>
        <w:rPr>
          <w:rFonts w:hint="eastAsia" w:ascii="仿宋" w:hAnsi="仿宋" w:eastAsia="仿宋" w:cs="仿宋"/>
          <w:color w:val="auto"/>
          <w:sz w:val="28"/>
          <w:szCs w:val="28"/>
          <w:highlight w:val="none"/>
          <w:lang w:val="en-US" w:eastAsia="zh-CN"/>
        </w:rPr>
        <w:t>平台</w:t>
      </w:r>
      <w:r>
        <w:rPr>
          <w:rFonts w:hint="eastAsia" w:ascii="仿宋" w:hAnsi="仿宋" w:eastAsia="仿宋" w:cs="仿宋"/>
          <w:color w:val="auto"/>
          <w:sz w:val="28"/>
          <w:szCs w:val="28"/>
          <w:highlight w:val="none"/>
        </w:rPr>
        <w:t>（http://ggzy.luan.gov.cn）</w:t>
      </w:r>
    </w:p>
    <w:p w14:paraId="76A2339C">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3、获取方式：本项目招标文件（答疑澄清等相关文件资料）</w:t>
      </w:r>
      <w:r>
        <w:rPr>
          <w:rFonts w:hint="eastAsia" w:ascii="仿宋" w:hAnsi="仿宋" w:eastAsia="仿宋" w:cs="仿宋"/>
          <w:color w:val="auto"/>
          <w:sz w:val="28"/>
          <w:szCs w:val="28"/>
          <w:highlight w:val="none"/>
          <w:lang w:bidi="ar"/>
        </w:rPr>
        <w:t>从六安市公共资源交易平台“交易信息”、“</w:t>
      </w:r>
      <w:r>
        <w:rPr>
          <w:rFonts w:hint="eastAsia" w:ascii="仿宋" w:hAnsi="仿宋" w:eastAsia="仿宋" w:cs="仿宋"/>
          <w:color w:val="auto"/>
          <w:sz w:val="28"/>
          <w:szCs w:val="28"/>
          <w:highlight w:val="none"/>
          <w:lang w:eastAsia="zh-CN" w:bidi="ar"/>
        </w:rPr>
        <w:t>其他行业</w:t>
      </w:r>
      <w:r>
        <w:rPr>
          <w:rFonts w:hint="eastAsia" w:ascii="仿宋" w:hAnsi="仿宋" w:eastAsia="仿宋" w:cs="仿宋"/>
          <w:color w:val="auto"/>
          <w:sz w:val="28"/>
          <w:szCs w:val="28"/>
          <w:highlight w:val="none"/>
          <w:lang w:bidi="ar"/>
        </w:rPr>
        <w:t>”版块免费下载。</w:t>
      </w:r>
    </w:p>
    <w:bookmarkEnd w:id="36"/>
    <w:bookmarkEnd w:id="37"/>
    <w:p w14:paraId="5BBDD078">
      <w:pPr>
        <w:pStyle w:val="3"/>
        <w:widowControl/>
        <w:spacing w:before="0" w:after="0" w:line="540" w:lineRule="exact"/>
        <w:ind w:firstLine="0"/>
        <w:jc w:val="both"/>
        <w:rPr>
          <w:rFonts w:hint="eastAsia" w:ascii="黑体" w:hAnsi="黑体" w:cs="黑体"/>
          <w:b w:val="0"/>
          <w:bCs w:val="0"/>
          <w:color w:val="auto"/>
          <w:kern w:val="0"/>
          <w:sz w:val="28"/>
          <w:szCs w:val="28"/>
          <w:highlight w:val="none"/>
        </w:rPr>
      </w:pPr>
      <w:bookmarkStart w:id="38" w:name="_Toc28359005"/>
      <w:bookmarkStart w:id="39" w:name="_Toc28359082"/>
      <w:bookmarkStart w:id="40" w:name="_Toc35393624"/>
      <w:bookmarkStart w:id="41" w:name="_Toc27674"/>
      <w:bookmarkStart w:id="42" w:name="_Toc2704"/>
      <w:bookmarkStart w:id="43" w:name="_Toc35393793"/>
      <w:bookmarkStart w:id="44" w:name="_Toc11629"/>
      <w:bookmarkStart w:id="45" w:name="_Toc5172"/>
      <w:bookmarkStart w:id="46" w:name="_Toc32218"/>
      <w:r>
        <w:rPr>
          <w:rFonts w:hint="eastAsia" w:ascii="黑体" w:hAnsi="黑体" w:cs="黑体"/>
          <w:b w:val="0"/>
          <w:bCs w:val="0"/>
          <w:color w:val="auto"/>
          <w:kern w:val="0"/>
          <w:sz w:val="28"/>
          <w:szCs w:val="28"/>
          <w:highlight w:val="none"/>
        </w:rPr>
        <w:t>四、投标文件</w:t>
      </w:r>
      <w:bookmarkEnd w:id="38"/>
      <w:bookmarkEnd w:id="39"/>
      <w:r>
        <w:rPr>
          <w:rFonts w:hint="eastAsia" w:ascii="黑体" w:hAnsi="黑体" w:cs="黑体"/>
          <w:b w:val="0"/>
          <w:bCs w:val="0"/>
          <w:color w:val="auto"/>
          <w:kern w:val="0"/>
          <w:sz w:val="28"/>
          <w:szCs w:val="28"/>
          <w:highlight w:val="none"/>
        </w:rPr>
        <w:t>递交截止时间、开标时间和地点</w:t>
      </w:r>
      <w:bookmarkEnd w:id="40"/>
      <w:bookmarkEnd w:id="41"/>
      <w:bookmarkEnd w:id="42"/>
      <w:bookmarkEnd w:id="43"/>
      <w:bookmarkEnd w:id="44"/>
    </w:p>
    <w:p w14:paraId="7DD7BED7">
      <w:pPr>
        <w:spacing w:line="540" w:lineRule="exact"/>
        <w:ind w:firstLine="560" w:firstLineChars="200"/>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1、时间：</w:t>
      </w:r>
      <w:r>
        <w:rPr>
          <w:rFonts w:hint="eastAsia" w:ascii="仿宋" w:hAnsi="仿宋" w:eastAsia="仿宋" w:cs="仿宋"/>
          <w:bCs/>
          <w:color w:val="auto"/>
          <w:sz w:val="28"/>
          <w:szCs w:val="28"/>
          <w:highlight w:val="none"/>
          <w:u w:val="none"/>
          <w:lang w:val="en-US" w:eastAsia="zh-CN"/>
        </w:rPr>
        <w:t>2025年03月26日11点00分</w:t>
      </w:r>
    </w:p>
    <w:p w14:paraId="68F961BB">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安徽</w:t>
      </w:r>
      <w:r>
        <w:rPr>
          <w:rFonts w:hint="eastAsia" w:ascii="仿宋" w:hAnsi="仿宋" w:eastAsia="仿宋" w:cs="仿宋"/>
          <w:color w:val="auto"/>
          <w:sz w:val="28"/>
          <w:szCs w:val="28"/>
          <w:highlight w:val="none"/>
        </w:rPr>
        <w:t>金寨经济开发区金梧桐创业园综合楼15楼</w:t>
      </w: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开标室</w:t>
      </w:r>
    </w:p>
    <w:p w14:paraId="4B9956C9">
      <w:pPr>
        <w:spacing w:line="54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3、投标文件</w:t>
      </w:r>
      <w:r>
        <w:rPr>
          <w:rFonts w:hint="eastAsia" w:ascii="仿宋" w:hAnsi="仿宋" w:eastAsia="仿宋" w:cs="仿宋"/>
          <w:color w:val="auto"/>
          <w:sz w:val="28"/>
          <w:szCs w:val="28"/>
          <w:highlight w:val="none"/>
          <w:lang w:val="en-US" w:eastAsia="zh-CN"/>
        </w:rPr>
        <w:t>递交</w:t>
      </w:r>
      <w:r>
        <w:rPr>
          <w:rFonts w:hint="eastAsia" w:ascii="仿宋" w:hAnsi="仿宋" w:eastAsia="仿宋" w:cs="仿宋"/>
          <w:color w:val="auto"/>
          <w:sz w:val="28"/>
          <w:szCs w:val="28"/>
          <w:highlight w:val="none"/>
        </w:rPr>
        <w:t>方式：</w:t>
      </w:r>
      <w:r>
        <w:rPr>
          <w:rFonts w:hint="eastAsia" w:ascii="仿宋" w:hAnsi="仿宋" w:eastAsia="仿宋" w:cs="仿宋"/>
          <w:color w:val="auto"/>
          <w:sz w:val="28"/>
          <w:szCs w:val="28"/>
          <w:highlight w:val="none"/>
          <w:lang w:val="en-US" w:eastAsia="zh-CN"/>
        </w:rPr>
        <w:t>纸质</w:t>
      </w:r>
      <w:r>
        <w:rPr>
          <w:rFonts w:hint="eastAsia" w:ascii="仿宋" w:hAnsi="仿宋" w:eastAsia="仿宋" w:cs="仿宋"/>
          <w:color w:val="auto"/>
          <w:sz w:val="28"/>
          <w:szCs w:val="28"/>
          <w:highlight w:val="none"/>
        </w:rPr>
        <w:t>投标文件</w:t>
      </w:r>
      <w:r>
        <w:rPr>
          <w:rFonts w:hint="eastAsia" w:ascii="仿宋" w:hAnsi="仿宋" w:eastAsia="仿宋" w:cs="仿宋"/>
          <w:color w:val="auto"/>
          <w:sz w:val="28"/>
          <w:szCs w:val="28"/>
          <w:highlight w:val="none"/>
          <w:lang w:val="en-US" w:eastAsia="zh-CN"/>
        </w:rPr>
        <w:t>于</w:t>
      </w: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en-US" w:eastAsia="zh-CN"/>
        </w:rPr>
        <w:t>文件递交</w:t>
      </w:r>
      <w:r>
        <w:rPr>
          <w:rFonts w:hint="eastAsia" w:ascii="仿宋" w:hAnsi="仿宋" w:eastAsia="仿宋" w:cs="仿宋"/>
          <w:color w:val="auto"/>
          <w:sz w:val="28"/>
          <w:szCs w:val="28"/>
          <w:highlight w:val="none"/>
        </w:rPr>
        <w:t>截止时间前</w:t>
      </w:r>
      <w:r>
        <w:rPr>
          <w:rFonts w:hint="eastAsia" w:ascii="仿宋" w:hAnsi="仿宋" w:eastAsia="仿宋" w:cs="仿宋"/>
          <w:color w:val="auto"/>
          <w:sz w:val="28"/>
          <w:szCs w:val="28"/>
          <w:highlight w:val="none"/>
          <w:lang w:val="en-US" w:eastAsia="zh-CN"/>
        </w:rPr>
        <w:t>在开标地点现场递交。</w:t>
      </w:r>
    </w:p>
    <w:p w14:paraId="7B8EA290">
      <w:pPr>
        <w:pStyle w:val="3"/>
        <w:widowControl/>
        <w:spacing w:before="0" w:after="0" w:line="540" w:lineRule="exact"/>
        <w:ind w:firstLine="0"/>
        <w:jc w:val="both"/>
        <w:rPr>
          <w:rFonts w:hint="eastAsia" w:ascii="黑体" w:hAnsi="黑体" w:cs="黑体"/>
          <w:b w:val="0"/>
          <w:bCs w:val="0"/>
          <w:color w:val="auto"/>
          <w:kern w:val="0"/>
          <w:sz w:val="28"/>
          <w:szCs w:val="28"/>
          <w:highlight w:val="none"/>
        </w:rPr>
      </w:pPr>
      <w:bookmarkStart w:id="47" w:name="_Toc26807"/>
      <w:bookmarkStart w:id="48" w:name="_Toc28359084"/>
      <w:bookmarkStart w:id="49" w:name="_Toc35393625"/>
      <w:bookmarkStart w:id="50" w:name="_Toc25077"/>
      <w:bookmarkStart w:id="51" w:name="_Toc1455"/>
      <w:bookmarkStart w:id="52" w:name="_Toc35393794"/>
      <w:bookmarkStart w:id="53" w:name="_Toc28359007"/>
      <w:r>
        <w:rPr>
          <w:rFonts w:hint="eastAsia" w:ascii="黑体" w:hAnsi="黑体" w:cs="黑体"/>
          <w:b w:val="0"/>
          <w:bCs w:val="0"/>
          <w:color w:val="auto"/>
          <w:kern w:val="0"/>
          <w:sz w:val="28"/>
          <w:szCs w:val="28"/>
          <w:highlight w:val="none"/>
        </w:rPr>
        <w:t>五、公告期限</w:t>
      </w:r>
      <w:bookmarkEnd w:id="47"/>
      <w:bookmarkEnd w:id="48"/>
      <w:bookmarkEnd w:id="49"/>
      <w:bookmarkEnd w:id="50"/>
      <w:bookmarkEnd w:id="51"/>
      <w:bookmarkEnd w:id="52"/>
      <w:bookmarkEnd w:id="53"/>
    </w:p>
    <w:p w14:paraId="13389ACB">
      <w:pPr>
        <w:spacing w:line="54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自本公告发布之日起5个工作日</w:t>
      </w:r>
    </w:p>
    <w:p w14:paraId="2F1AD70B">
      <w:pPr>
        <w:pStyle w:val="3"/>
        <w:widowControl/>
        <w:spacing w:before="0" w:after="0" w:line="540" w:lineRule="exact"/>
        <w:ind w:firstLine="0"/>
        <w:jc w:val="both"/>
        <w:rPr>
          <w:rFonts w:hint="eastAsia" w:ascii="黑体" w:hAnsi="黑体" w:cs="黑体"/>
          <w:b w:val="0"/>
          <w:bCs w:val="0"/>
          <w:color w:val="auto"/>
          <w:kern w:val="0"/>
          <w:sz w:val="28"/>
          <w:szCs w:val="28"/>
          <w:highlight w:val="none"/>
        </w:rPr>
      </w:pPr>
      <w:bookmarkStart w:id="54" w:name="_Toc27494"/>
      <w:bookmarkStart w:id="55" w:name="_Toc17159"/>
      <w:r>
        <w:rPr>
          <w:rFonts w:hint="eastAsia" w:ascii="黑体" w:hAnsi="黑体" w:cs="黑体"/>
          <w:b w:val="0"/>
          <w:bCs w:val="0"/>
          <w:color w:val="auto"/>
          <w:kern w:val="0"/>
          <w:sz w:val="28"/>
          <w:szCs w:val="28"/>
          <w:highlight w:val="none"/>
        </w:rPr>
        <w:t>六、其他补充事宜</w:t>
      </w:r>
      <w:bookmarkEnd w:id="45"/>
      <w:bookmarkEnd w:id="46"/>
      <w:bookmarkEnd w:id="54"/>
      <w:bookmarkEnd w:id="55"/>
    </w:p>
    <w:p w14:paraId="0117A777">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投标</w:t>
      </w:r>
      <w:r>
        <w:rPr>
          <w:rFonts w:hint="eastAsia" w:ascii="仿宋" w:hAnsi="仿宋" w:eastAsia="仿宋" w:cs="仿宋"/>
          <w:color w:val="auto"/>
          <w:kern w:val="0"/>
          <w:sz w:val="28"/>
          <w:szCs w:val="28"/>
          <w:highlight w:val="none"/>
          <w:lang w:val="en-US" w:eastAsia="zh-CN"/>
        </w:rPr>
        <w:t>人</w:t>
      </w:r>
      <w:r>
        <w:rPr>
          <w:rFonts w:hint="eastAsia" w:ascii="仿宋" w:hAnsi="仿宋" w:eastAsia="仿宋" w:cs="仿宋"/>
          <w:color w:val="auto"/>
          <w:kern w:val="0"/>
          <w:sz w:val="28"/>
          <w:szCs w:val="28"/>
          <w:highlight w:val="none"/>
        </w:rPr>
        <w:t>法定代表人持法定代表人身份证原件，委托代理人持委托代理人身份证原件以及授权委托书原件</w:t>
      </w:r>
      <w:r>
        <w:rPr>
          <w:rFonts w:hint="eastAsia" w:ascii="仿宋" w:hAnsi="仿宋" w:eastAsia="仿宋" w:cs="仿宋"/>
          <w:color w:val="auto"/>
          <w:kern w:val="0"/>
          <w:sz w:val="28"/>
          <w:szCs w:val="28"/>
          <w:highlight w:val="none"/>
          <w:lang w:val="en-US" w:eastAsia="zh-CN"/>
        </w:rPr>
        <w:t>现场</w:t>
      </w:r>
      <w:r>
        <w:rPr>
          <w:rFonts w:hint="eastAsia" w:ascii="仿宋" w:hAnsi="仿宋" w:eastAsia="仿宋" w:cs="仿宋"/>
          <w:color w:val="auto"/>
          <w:kern w:val="0"/>
          <w:sz w:val="28"/>
          <w:szCs w:val="28"/>
          <w:highlight w:val="none"/>
        </w:rPr>
        <w:t>递交</w:t>
      </w:r>
      <w:r>
        <w:rPr>
          <w:rFonts w:hint="eastAsia" w:ascii="仿宋" w:hAnsi="仿宋" w:eastAsia="仿宋" w:cs="仿宋"/>
          <w:color w:val="auto"/>
          <w:kern w:val="0"/>
          <w:sz w:val="28"/>
          <w:szCs w:val="28"/>
          <w:highlight w:val="none"/>
          <w:lang w:val="en-US" w:eastAsia="zh-CN"/>
        </w:rPr>
        <w:t>投标</w:t>
      </w:r>
      <w:r>
        <w:rPr>
          <w:rFonts w:hint="eastAsia" w:ascii="仿宋" w:hAnsi="仿宋" w:eastAsia="仿宋" w:cs="仿宋"/>
          <w:color w:val="auto"/>
          <w:kern w:val="0"/>
          <w:sz w:val="28"/>
          <w:szCs w:val="28"/>
          <w:highlight w:val="none"/>
        </w:rPr>
        <w:t>文件</w:t>
      </w:r>
      <w:r>
        <w:rPr>
          <w:rFonts w:hint="eastAsia" w:ascii="仿宋" w:hAnsi="仿宋" w:eastAsia="仿宋" w:cs="仿宋"/>
          <w:color w:val="auto"/>
          <w:kern w:val="0"/>
          <w:sz w:val="28"/>
          <w:szCs w:val="28"/>
          <w:highlight w:val="none"/>
          <w:lang w:bidi="ar"/>
        </w:rPr>
        <w:t>。</w:t>
      </w:r>
    </w:p>
    <w:p w14:paraId="119504B8">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default"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2、如因政策性限制或项目实际需求调整等因素影响，招标人可以取消或暂缓实施本项目招标范围内的需求内容，中标人须无条件执行招标人的此类指令，同时也不得以“合同履行后可以获得的利益”或“规模减少影响可以获得的利益”为由要求赔偿损失。相关风险因素由投标人综合考虑并自愿承担。</w:t>
      </w:r>
    </w:p>
    <w:p w14:paraId="39729566">
      <w:pPr>
        <w:pStyle w:val="3"/>
        <w:widowControl/>
        <w:spacing w:before="0" w:after="0" w:line="540" w:lineRule="exact"/>
        <w:ind w:firstLine="0"/>
        <w:jc w:val="both"/>
        <w:rPr>
          <w:rFonts w:hint="eastAsia" w:ascii="黑体" w:hAnsi="黑体" w:cs="黑体"/>
          <w:b/>
          <w:bCs/>
          <w:color w:val="auto"/>
          <w:kern w:val="0"/>
          <w:sz w:val="28"/>
          <w:szCs w:val="28"/>
          <w:highlight w:val="none"/>
          <w:lang w:val="en-US" w:eastAsia="zh-CN"/>
        </w:rPr>
      </w:pPr>
      <w:r>
        <w:rPr>
          <w:rFonts w:hint="eastAsia" w:ascii="黑体" w:hAnsi="黑体" w:cs="黑体"/>
          <w:b/>
          <w:bCs/>
          <w:color w:val="auto"/>
          <w:kern w:val="0"/>
          <w:sz w:val="28"/>
          <w:szCs w:val="28"/>
          <w:highlight w:val="none"/>
          <w:lang w:val="en-US" w:eastAsia="zh-CN"/>
        </w:rPr>
        <w:t>七、</w:t>
      </w:r>
      <w:r>
        <w:rPr>
          <w:rFonts w:hint="eastAsia" w:ascii="黑体" w:hAnsi="黑体" w:cs="黑体"/>
          <w:b/>
          <w:bCs/>
          <w:color w:val="auto"/>
          <w:kern w:val="0"/>
          <w:sz w:val="28"/>
          <w:szCs w:val="28"/>
          <w:highlight w:val="none"/>
        </w:rPr>
        <w:t>投标保证金</w:t>
      </w:r>
    </w:p>
    <w:p w14:paraId="009EEA3C">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 xml:space="preserve">本项目实行投标保证金制度和履约保证金制度，投标保证金伍拾万元整；投标人中标后应缴纳履约保证金。 </w:t>
      </w:r>
    </w:p>
    <w:p w14:paraId="55C30C09">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kern w:val="0"/>
          <w:sz w:val="28"/>
          <w:szCs w:val="28"/>
          <w:highlight w:val="none"/>
          <w:lang w:val="en-US" w:eastAsia="zh-CN"/>
        </w:rPr>
      </w:pPr>
      <w:bookmarkStart w:id="56" w:name="OLE_LINK2"/>
      <w:r>
        <w:rPr>
          <w:rFonts w:hint="eastAsia" w:ascii="仿宋" w:hAnsi="仿宋" w:eastAsia="仿宋" w:cs="仿宋"/>
          <w:color w:val="auto"/>
          <w:kern w:val="0"/>
          <w:sz w:val="28"/>
          <w:szCs w:val="28"/>
          <w:highlight w:val="none"/>
          <w:lang w:val="en-US" w:eastAsia="zh-CN"/>
        </w:rPr>
        <w:t>投标保证金允许方式：</w:t>
      </w:r>
    </w:p>
    <w:p w14:paraId="55623A30">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第一种方式：■网银支付  ■银行转账</w:t>
      </w:r>
    </w:p>
    <w:bookmarkEnd w:id="56"/>
    <w:p w14:paraId="3E707B6F">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 xml:space="preserve">账户名称：金寨县公共资源交易监督管理局 </w:t>
      </w:r>
    </w:p>
    <w:p w14:paraId="3F4D07D7">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 xml:space="preserve">备注：投标保证金应在投标截止时间前从投标人基本账户网银支付或银行转账交纳至如下指定账户，交款时需在附言中注明此款所对应项目的名称及交款用途。 </w:t>
      </w:r>
    </w:p>
    <w:p w14:paraId="67329017">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联系人：孙主任，电话：0564-7350776</w:t>
      </w:r>
    </w:p>
    <w:p w14:paraId="7AEA7F15">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 xml:space="preserve">开户银行：安徽金寨农村商业银行股份有限公司 </w:t>
      </w:r>
    </w:p>
    <w:p w14:paraId="59DE33AC">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账号：20000278890610300000018</w:t>
      </w:r>
    </w:p>
    <w:p w14:paraId="6248C388">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备注：具体要求详见投标须知前附表</w:t>
      </w:r>
    </w:p>
    <w:p w14:paraId="0B0E8040">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 xml:space="preserve">第二种方式：■纸质银行保函 ■纸质保证保险、担保保函等 </w:t>
      </w:r>
    </w:p>
    <w:p w14:paraId="48F6B7FB">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备注：具体要求详见投标须知前附表</w:t>
      </w:r>
    </w:p>
    <w:p w14:paraId="42C84DED">
      <w:pPr>
        <w:pStyle w:val="3"/>
        <w:widowControl/>
        <w:spacing w:before="0" w:after="0" w:line="540" w:lineRule="exact"/>
        <w:ind w:firstLine="0"/>
        <w:jc w:val="both"/>
        <w:rPr>
          <w:rFonts w:hint="eastAsia" w:ascii="黑体" w:hAnsi="黑体" w:cs="黑体"/>
          <w:b w:val="0"/>
          <w:bCs w:val="0"/>
          <w:color w:val="auto"/>
          <w:kern w:val="0"/>
          <w:sz w:val="28"/>
          <w:szCs w:val="28"/>
          <w:highlight w:val="none"/>
        </w:rPr>
      </w:pPr>
      <w:bookmarkStart w:id="57" w:name="_Toc6597"/>
      <w:bookmarkStart w:id="58" w:name="_Toc28543"/>
      <w:bookmarkStart w:id="59" w:name="_Toc13631"/>
      <w:bookmarkStart w:id="60" w:name="_Toc22370"/>
      <w:bookmarkStart w:id="61" w:name="_Toc8075"/>
      <w:bookmarkStart w:id="62" w:name="_Toc26145"/>
      <w:bookmarkStart w:id="63" w:name="_Toc19777"/>
      <w:r>
        <w:rPr>
          <w:rFonts w:hint="eastAsia" w:ascii="黑体" w:hAnsi="黑体" w:cs="黑体"/>
          <w:b w:val="0"/>
          <w:bCs w:val="0"/>
          <w:color w:val="auto"/>
          <w:kern w:val="0"/>
          <w:sz w:val="28"/>
          <w:szCs w:val="28"/>
          <w:highlight w:val="none"/>
          <w:lang w:val="en-US" w:eastAsia="zh-CN"/>
        </w:rPr>
        <w:t>八</w:t>
      </w:r>
      <w:r>
        <w:rPr>
          <w:rFonts w:hint="eastAsia" w:ascii="黑体" w:hAnsi="黑体" w:cs="黑体"/>
          <w:b w:val="0"/>
          <w:bCs w:val="0"/>
          <w:color w:val="auto"/>
          <w:kern w:val="0"/>
          <w:sz w:val="28"/>
          <w:szCs w:val="28"/>
          <w:highlight w:val="none"/>
        </w:rPr>
        <w:t>、对本次招标提出询问，请按以下方式联系</w:t>
      </w:r>
      <w:bookmarkEnd w:id="57"/>
      <w:bookmarkEnd w:id="58"/>
      <w:bookmarkEnd w:id="59"/>
      <w:bookmarkEnd w:id="60"/>
      <w:bookmarkEnd w:id="61"/>
      <w:bookmarkEnd w:id="62"/>
      <w:bookmarkEnd w:id="63"/>
    </w:p>
    <w:p w14:paraId="469122FA">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1</w:t>
      </w:r>
      <w:r>
        <w:rPr>
          <w:rFonts w:hint="eastAsia" w:ascii="仿宋" w:hAnsi="仿宋" w:eastAsia="仿宋" w:cs="仿宋"/>
          <w:bCs/>
          <w:color w:val="auto"/>
          <w:sz w:val="28"/>
          <w:szCs w:val="28"/>
          <w:highlight w:val="none"/>
          <w:lang w:eastAsia="zh-CN" w:bidi="ar"/>
        </w:rPr>
        <w:t>、招标人</w:t>
      </w:r>
      <w:r>
        <w:rPr>
          <w:rFonts w:hint="eastAsia" w:ascii="仿宋" w:hAnsi="仿宋" w:eastAsia="仿宋" w:cs="仿宋"/>
          <w:bCs/>
          <w:color w:val="auto"/>
          <w:sz w:val="28"/>
          <w:szCs w:val="28"/>
          <w:highlight w:val="none"/>
          <w:lang w:bidi="ar"/>
        </w:rPr>
        <w:t>信息</w:t>
      </w:r>
    </w:p>
    <w:p w14:paraId="663065B4">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名称：</w:t>
      </w:r>
      <w:r>
        <w:rPr>
          <w:rFonts w:hint="eastAsia" w:ascii="仿宋" w:hAnsi="仿宋" w:eastAsia="仿宋" w:cs="仿宋"/>
          <w:color w:val="auto"/>
          <w:kern w:val="0"/>
          <w:sz w:val="28"/>
          <w:szCs w:val="28"/>
          <w:highlight w:val="none"/>
          <w:lang w:eastAsia="zh-CN"/>
        </w:rPr>
        <w:t>金寨县乡村振兴发展有限公司</w:t>
      </w:r>
    </w:p>
    <w:p w14:paraId="7BA87051">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color w:val="auto"/>
          <w:kern w:val="0"/>
          <w:sz w:val="28"/>
          <w:szCs w:val="28"/>
          <w:highlight w:val="none"/>
          <w:lang w:eastAsia="zh-CN"/>
        </w:rPr>
        <w:t>地址：</w:t>
      </w:r>
      <w:r>
        <w:rPr>
          <w:rFonts w:hint="eastAsia" w:ascii="仿宋" w:hAnsi="仿宋" w:eastAsia="仿宋" w:cs="仿宋"/>
          <w:color w:val="auto"/>
          <w:kern w:val="0"/>
          <w:sz w:val="28"/>
          <w:szCs w:val="28"/>
          <w:highlight w:val="none"/>
        </w:rPr>
        <w:t>金寨现代产业园区金梧桐创业园县政务服务中心大楼17楼</w:t>
      </w:r>
    </w:p>
    <w:p w14:paraId="7E198CA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联系方式：</w:t>
      </w:r>
      <w:r>
        <w:rPr>
          <w:rFonts w:hint="eastAsia" w:ascii="仿宋" w:hAnsi="仿宋" w:eastAsia="仿宋" w:cs="仿宋"/>
          <w:color w:val="auto"/>
          <w:kern w:val="0"/>
          <w:sz w:val="28"/>
          <w:szCs w:val="28"/>
          <w:highlight w:val="none"/>
          <w:lang w:val="en-US" w:eastAsia="zh-CN"/>
        </w:rPr>
        <w:t>0564-7066055</w:t>
      </w:r>
    </w:p>
    <w:p w14:paraId="05FC07F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2</w:t>
      </w:r>
      <w:r>
        <w:rPr>
          <w:rFonts w:hint="eastAsia" w:ascii="仿宋" w:hAnsi="仿宋" w:eastAsia="仿宋" w:cs="仿宋"/>
          <w:bCs/>
          <w:color w:val="auto"/>
          <w:sz w:val="28"/>
          <w:szCs w:val="28"/>
          <w:highlight w:val="none"/>
          <w:lang w:eastAsia="zh-CN" w:bidi="ar"/>
        </w:rPr>
        <w:t>、</w:t>
      </w:r>
      <w:r>
        <w:rPr>
          <w:rFonts w:hint="eastAsia" w:ascii="仿宋" w:hAnsi="仿宋" w:eastAsia="仿宋" w:cs="仿宋"/>
          <w:bCs/>
          <w:color w:val="auto"/>
          <w:sz w:val="28"/>
          <w:szCs w:val="28"/>
          <w:highlight w:val="none"/>
          <w:lang w:val="en-US" w:eastAsia="zh-CN" w:bidi="ar"/>
        </w:rPr>
        <w:t>招标</w:t>
      </w:r>
      <w:r>
        <w:rPr>
          <w:rFonts w:hint="eastAsia" w:ascii="仿宋" w:hAnsi="仿宋" w:eastAsia="仿宋" w:cs="仿宋"/>
          <w:bCs/>
          <w:color w:val="auto"/>
          <w:sz w:val="28"/>
          <w:szCs w:val="28"/>
          <w:highlight w:val="none"/>
          <w:lang w:bidi="ar"/>
        </w:rPr>
        <w:t>代理机构信息</w:t>
      </w:r>
    </w:p>
    <w:p w14:paraId="1AB8C97F">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color w:val="auto"/>
          <w:sz w:val="28"/>
          <w:szCs w:val="28"/>
          <w:highlight w:val="none"/>
          <w:lang w:eastAsia="zh-CN" w:bidi="ar"/>
        </w:rPr>
      </w:pPr>
      <w:r>
        <w:rPr>
          <w:rFonts w:hint="eastAsia" w:ascii="仿宋" w:hAnsi="仿宋" w:eastAsia="仿宋" w:cs="仿宋"/>
          <w:bCs/>
          <w:color w:val="auto"/>
          <w:sz w:val="28"/>
          <w:szCs w:val="28"/>
          <w:highlight w:val="none"/>
          <w:lang w:bidi="ar"/>
        </w:rPr>
        <w:t>名称：</w:t>
      </w:r>
      <w:r>
        <w:rPr>
          <w:rFonts w:hint="eastAsia" w:ascii="仿宋" w:hAnsi="仿宋" w:eastAsia="仿宋" w:cs="仿宋"/>
          <w:bCs/>
          <w:color w:val="auto"/>
          <w:sz w:val="28"/>
          <w:szCs w:val="28"/>
          <w:highlight w:val="none"/>
          <w:lang w:eastAsia="zh-CN" w:bidi="ar"/>
        </w:rPr>
        <w:t>安徽中资项目管理有限公司</w:t>
      </w:r>
    </w:p>
    <w:p w14:paraId="4CBB53C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地址：</w:t>
      </w:r>
      <w:r>
        <w:rPr>
          <w:rFonts w:hint="eastAsia" w:ascii="仿宋" w:hAnsi="仿宋" w:eastAsia="仿宋" w:cs="仿宋"/>
          <w:bCs/>
          <w:color w:val="auto"/>
          <w:sz w:val="28"/>
          <w:szCs w:val="28"/>
          <w:highlight w:val="none"/>
        </w:rPr>
        <w:t>合肥市高新区长江西路683号拓基城市广场金座C幢办1603</w:t>
      </w:r>
    </w:p>
    <w:p w14:paraId="1103A9BB">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联系电话：0564-7060400</w:t>
      </w:r>
    </w:p>
    <w:p w14:paraId="09FCB4A1">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3</w:t>
      </w:r>
      <w:r>
        <w:rPr>
          <w:rFonts w:hint="eastAsia" w:ascii="仿宋" w:hAnsi="仿宋" w:eastAsia="仿宋" w:cs="仿宋"/>
          <w:bCs/>
          <w:color w:val="auto"/>
          <w:sz w:val="28"/>
          <w:szCs w:val="28"/>
          <w:highlight w:val="none"/>
          <w:lang w:eastAsia="zh-CN" w:bidi="ar"/>
        </w:rPr>
        <w:t>、</w:t>
      </w:r>
      <w:r>
        <w:rPr>
          <w:rFonts w:hint="eastAsia" w:ascii="仿宋" w:hAnsi="仿宋" w:eastAsia="仿宋" w:cs="仿宋"/>
          <w:bCs/>
          <w:color w:val="auto"/>
          <w:sz w:val="28"/>
          <w:szCs w:val="28"/>
          <w:highlight w:val="none"/>
          <w:lang w:bidi="ar"/>
        </w:rPr>
        <w:t>项目联系方式</w:t>
      </w:r>
    </w:p>
    <w:p w14:paraId="14460E20">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项目联系人：</w:t>
      </w:r>
      <w:r>
        <w:rPr>
          <w:rFonts w:hint="eastAsia" w:ascii="仿宋" w:hAnsi="仿宋" w:eastAsia="仿宋" w:cs="仿宋"/>
          <w:bCs/>
          <w:color w:val="auto"/>
          <w:sz w:val="28"/>
          <w:szCs w:val="28"/>
          <w:highlight w:val="none"/>
          <w:lang w:val="en-US" w:eastAsia="zh-CN" w:bidi="ar"/>
        </w:rPr>
        <w:t>汪</w:t>
      </w:r>
      <w:r>
        <w:rPr>
          <w:rFonts w:hint="eastAsia" w:ascii="仿宋" w:hAnsi="仿宋" w:eastAsia="仿宋" w:cs="仿宋"/>
          <w:bCs/>
          <w:color w:val="auto"/>
          <w:sz w:val="28"/>
          <w:szCs w:val="28"/>
          <w:highlight w:val="none"/>
          <w:lang w:bidi="ar"/>
        </w:rPr>
        <w:t xml:space="preserve">  工</w:t>
      </w:r>
    </w:p>
    <w:p w14:paraId="6233BE90">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color w:val="auto"/>
          <w:sz w:val="28"/>
          <w:szCs w:val="28"/>
          <w:highlight w:val="none"/>
          <w:lang w:val="en-US" w:eastAsia="zh-CN" w:bidi="ar"/>
        </w:rPr>
      </w:pPr>
      <w:r>
        <w:rPr>
          <w:rFonts w:hint="eastAsia" w:ascii="仿宋" w:hAnsi="仿宋" w:eastAsia="仿宋" w:cs="仿宋"/>
          <w:bCs/>
          <w:color w:val="auto"/>
          <w:sz w:val="28"/>
          <w:szCs w:val="28"/>
          <w:highlight w:val="none"/>
          <w:lang w:bidi="ar"/>
        </w:rPr>
        <w:t>电话：</w:t>
      </w:r>
      <w:r>
        <w:rPr>
          <w:rFonts w:hint="eastAsia" w:ascii="仿宋" w:hAnsi="仿宋" w:eastAsia="仿宋" w:cs="仿宋"/>
          <w:bCs/>
          <w:color w:val="auto"/>
          <w:sz w:val="28"/>
          <w:szCs w:val="28"/>
          <w:highlight w:val="none"/>
          <w:lang w:val="en-US" w:eastAsia="zh-CN" w:bidi="ar"/>
        </w:rPr>
        <w:t>0564-7060400</w:t>
      </w:r>
    </w:p>
    <w:p w14:paraId="5F5718D5">
      <w:pPr>
        <w:bidi w:val="0"/>
        <w:rPr>
          <w:rFonts w:hint="eastAsia"/>
          <w:color w:val="auto"/>
          <w:highlight w:val="none"/>
        </w:rPr>
      </w:pPr>
      <w:r>
        <w:rPr>
          <w:rFonts w:hint="eastAsia"/>
          <w:color w:val="auto"/>
          <w:highlight w:val="none"/>
          <w:lang w:val="en-US" w:eastAsia="zh-CN"/>
        </w:rPr>
        <w:t xml:space="preserve">    </w:t>
      </w:r>
    </w:p>
    <w:p w14:paraId="0BE69C4D">
      <w:pPr>
        <w:spacing w:line="540" w:lineRule="exact"/>
        <w:jc w:val="right"/>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2025年03月06日</w:t>
      </w:r>
    </w:p>
    <w:bookmarkEnd w:id="216"/>
    <w:p w14:paraId="36B6E6E7">
      <w:pPr>
        <w:pStyle w:val="2"/>
        <w:keepNext/>
        <w:keepLines/>
        <w:pageBreakBefore w:val="0"/>
        <w:widowControl w:val="0"/>
        <w:kinsoku/>
        <w:wordWrap/>
        <w:overflowPunct/>
        <w:topLinePunct w:val="0"/>
        <w:autoSpaceDE/>
        <w:autoSpaceDN/>
        <w:bidi w:val="0"/>
        <w:adjustRightInd/>
        <w:snapToGrid/>
        <w:spacing w:before="0" w:after="157" w:afterLines="50" w:line="360" w:lineRule="auto"/>
        <w:jc w:val="center"/>
        <w:textAlignment w:val="auto"/>
        <w:rPr>
          <w:rFonts w:hint="eastAsia" w:ascii="Times New Roman" w:hAnsi="Times New Roman" w:eastAsia="宋体" w:cs="Times New Roman"/>
          <w:b/>
          <w:bCs/>
          <w:color w:val="auto"/>
          <w:kern w:val="44"/>
          <w:sz w:val="32"/>
          <w:szCs w:val="48"/>
          <w:highlight w:val="none"/>
          <w:lang w:val="en-US" w:eastAsia="zh-CN"/>
        </w:rPr>
      </w:pPr>
      <w:bookmarkStart w:id="64" w:name="_Toc10771"/>
      <w:bookmarkStart w:id="65" w:name="_Toc7471"/>
      <w:bookmarkStart w:id="66" w:name="_Toc29558"/>
      <w:r>
        <w:rPr>
          <w:rFonts w:hint="eastAsia" w:ascii="Times New Roman" w:hAnsi="Times New Roman" w:eastAsia="宋体" w:cs="Times New Roman"/>
          <w:b/>
          <w:bCs/>
          <w:color w:val="auto"/>
          <w:kern w:val="44"/>
          <w:sz w:val="32"/>
          <w:szCs w:val="48"/>
          <w:highlight w:val="none"/>
          <w:lang w:val="en-US" w:eastAsia="zh-CN"/>
        </w:rPr>
        <w:t>第二章 投标人须</w:t>
      </w:r>
      <w:bookmarkEnd w:id="18"/>
      <w:r>
        <w:rPr>
          <w:rFonts w:hint="eastAsia" w:ascii="Times New Roman" w:hAnsi="Times New Roman" w:eastAsia="宋体" w:cs="Times New Roman"/>
          <w:b/>
          <w:bCs/>
          <w:color w:val="auto"/>
          <w:kern w:val="44"/>
          <w:sz w:val="32"/>
          <w:szCs w:val="48"/>
          <w:highlight w:val="none"/>
          <w:lang w:val="en-US" w:eastAsia="zh-CN"/>
        </w:rPr>
        <w:t>知前</w:t>
      </w:r>
      <w:bookmarkEnd w:id="19"/>
      <w:r>
        <w:rPr>
          <w:rFonts w:hint="eastAsia" w:ascii="Times New Roman" w:hAnsi="Times New Roman" w:eastAsia="宋体" w:cs="Times New Roman"/>
          <w:b/>
          <w:bCs/>
          <w:color w:val="auto"/>
          <w:kern w:val="44"/>
          <w:sz w:val="32"/>
          <w:szCs w:val="48"/>
          <w:highlight w:val="none"/>
          <w:lang w:val="en-US" w:eastAsia="zh-CN"/>
        </w:rPr>
        <w:t>附表</w:t>
      </w:r>
      <w:bookmarkEnd w:id="64"/>
      <w:bookmarkEnd w:id="65"/>
      <w:bookmarkEnd w:id="66"/>
    </w:p>
    <w:tbl>
      <w:tblPr>
        <w:tblStyle w:val="40"/>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37"/>
        <w:gridCol w:w="1701"/>
        <w:gridCol w:w="7370"/>
      </w:tblGrid>
      <w:tr w14:paraId="2954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737" w:type="dxa"/>
            <w:noWrap w:val="0"/>
            <w:vAlign w:val="center"/>
          </w:tcPr>
          <w:p w14:paraId="6BA81671">
            <w:pPr>
              <w:spacing w:line="240" w:lineRule="auto"/>
              <w:jc w:val="center"/>
              <w:rPr>
                <w:rFonts w:hint="eastAsia" w:ascii="宋体" w:hAnsi="宋体"/>
                <w:b/>
                <w:bCs w:val="0"/>
                <w:color w:val="auto"/>
                <w:sz w:val="24"/>
                <w:szCs w:val="24"/>
                <w:highlight w:val="none"/>
              </w:rPr>
            </w:pPr>
            <w:r>
              <w:rPr>
                <w:rFonts w:hint="eastAsia" w:ascii="宋体" w:hAnsi="宋体"/>
                <w:b/>
                <w:bCs w:val="0"/>
                <w:color w:val="auto"/>
                <w:sz w:val="24"/>
                <w:szCs w:val="24"/>
                <w:highlight w:val="none"/>
              </w:rPr>
              <w:t>序号</w:t>
            </w:r>
          </w:p>
        </w:tc>
        <w:tc>
          <w:tcPr>
            <w:tcW w:w="1701" w:type="dxa"/>
            <w:noWrap w:val="0"/>
            <w:vAlign w:val="center"/>
          </w:tcPr>
          <w:p w14:paraId="2EEA821A">
            <w:pPr>
              <w:spacing w:line="240" w:lineRule="auto"/>
              <w:jc w:val="center"/>
              <w:rPr>
                <w:rFonts w:hint="eastAsia" w:ascii="宋体" w:hAnsi="宋体"/>
                <w:b/>
                <w:bCs w:val="0"/>
                <w:color w:val="auto"/>
                <w:sz w:val="24"/>
                <w:szCs w:val="24"/>
                <w:highlight w:val="none"/>
              </w:rPr>
            </w:pPr>
            <w:r>
              <w:rPr>
                <w:rFonts w:hint="eastAsia" w:ascii="宋体" w:hAnsi="宋体"/>
                <w:b/>
                <w:bCs w:val="0"/>
                <w:color w:val="auto"/>
                <w:sz w:val="24"/>
                <w:szCs w:val="24"/>
                <w:highlight w:val="none"/>
              </w:rPr>
              <w:t>内容</w:t>
            </w:r>
          </w:p>
        </w:tc>
        <w:tc>
          <w:tcPr>
            <w:tcW w:w="7370" w:type="dxa"/>
            <w:noWrap w:val="0"/>
            <w:vAlign w:val="center"/>
          </w:tcPr>
          <w:p w14:paraId="45BA4CCB">
            <w:pPr>
              <w:pStyle w:val="96"/>
              <w:widowControl w:val="0"/>
              <w:spacing w:before="0" w:beforeAutospacing="0" w:after="0" w:afterAutospacing="0" w:line="240" w:lineRule="auto"/>
              <w:rPr>
                <w:rFonts w:hint="eastAsia"/>
                <w:b/>
                <w:bCs w:val="0"/>
                <w:color w:val="auto"/>
                <w:kern w:val="2"/>
                <w:sz w:val="24"/>
                <w:szCs w:val="24"/>
                <w:highlight w:val="none"/>
              </w:rPr>
            </w:pPr>
            <w:r>
              <w:rPr>
                <w:rFonts w:hint="eastAsia"/>
                <w:b/>
                <w:bCs w:val="0"/>
                <w:color w:val="auto"/>
                <w:kern w:val="2"/>
                <w:sz w:val="24"/>
                <w:szCs w:val="24"/>
                <w:highlight w:val="none"/>
              </w:rPr>
              <w:t>说明与要求</w:t>
            </w:r>
          </w:p>
        </w:tc>
      </w:tr>
      <w:tr w14:paraId="6E87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737" w:type="dxa"/>
            <w:noWrap w:val="0"/>
            <w:vAlign w:val="center"/>
          </w:tcPr>
          <w:p w14:paraId="231298DD">
            <w:pPr>
              <w:pStyle w:val="81"/>
              <w:pBdr>
                <w:bottom w:val="none" w:color="auto" w:sz="0" w:space="0"/>
              </w:pBdr>
              <w:tabs>
                <w:tab w:val="clear" w:pos="4153"/>
                <w:tab w:val="clear" w:pos="8306"/>
              </w:tabs>
              <w:adjustRightInd/>
              <w:spacing w:line="240" w:lineRule="auto"/>
              <w:textAlignment w:val="auto"/>
              <w:rPr>
                <w:rFonts w:hint="eastAsia" w:ascii="宋体" w:hAnsi="宋体"/>
                <w:b w:val="0"/>
                <w:bCs/>
                <w:color w:val="auto"/>
                <w:kern w:val="2"/>
                <w:szCs w:val="24"/>
                <w:highlight w:val="none"/>
              </w:rPr>
            </w:pPr>
            <w:r>
              <w:rPr>
                <w:rFonts w:hint="eastAsia" w:ascii="宋体" w:hAnsi="宋体"/>
                <w:b w:val="0"/>
                <w:bCs/>
                <w:color w:val="auto"/>
                <w:kern w:val="2"/>
                <w:szCs w:val="24"/>
                <w:highlight w:val="none"/>
              </w:rPr>
              <w:t>1</w:t>
            </w:r>
          </w:p>
        </w:tc>
        <w:tc>
          <w:tcPr>
            <w:tcW w:w="1701" w:type="dxa"/>
            <w:noWrap w:val="0"/>
            <w:vAlign w:val="center"/>
          </w:tcPr>
          <w:p w14:paraId="573BE26E">
            <w:pPr>
              <w:spacing w:line="240" w:lineRule="auto"/>
              <w:jc w:val="center"/>
              <w:rPr>
                <w:rFonts w:hint="eastAsia" w:ascii="宋体" w:hAnsi="宋体" w:eastAsia="宋体"/>
                <w:color w:val="auto"/>
                <w:sz w:val="24"/>
                <w:szCs w:val="24"/>
                <w:highlight w:val="none"/>
                <w:lang w:eastAsia="zh-CN"/>
              </w:rPr>
            </w:pPr>
            <w:r>
              <w:rPr>
                <w:rFonts w:hint="eastAsia" w:ascii="宋体" w:hAnsi="宋体"/>
                <w:bCs/>
                <w:color w:val="auto"/>
                <w:sz w:val="24"/>
                <w:szCs w:val="24"/>
                <w:highlight w:val="none"/>
                <w:lang w:eastAsia="zh-CN"/>
              </w:rPr>
              <w:t>招标人</w:t>
            </w:r>
          </w:p>
        </w:tc>
        <w:tc>
          <w:tcPr>
            <w:tcW w:w="7370" w:type="dxa"/>
            <w:noWrap w:val="0"/>
            <w:vAlign w:val="center"/>
          </w:tcPr>
          <w:p w14:paraId="73F436B9">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bidi="ar"/>
              </w:rPr>
              <w:t>金寨县乡村振兴发展有限公司</w:t>
            </w:r>
          </w:p>
        </w:tc>
      </w:tr>
      <w:tr w14:paraId="0246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737" w:type="dxa"/>
            <w:noWrap w:val="0"/>
            <w:vAlign w:val="center"/>
          </w:tcPr>
          <w:p w14:paraId="4458352A">
            <w:pPr>
              <w:pStyle w:val="81"/>
              <w:pBdr>
                <w:bottom w:val="none" w:color="auto" w:sz="0" w:space="0"/>
              </w:pBdr>
              <w:tabs>
                <w:tab w:val="clear" w:pos="4153"/>
                <w:tab w:val="clear" w:pos="8306"/>
              </w:tabs>
              <w:adjustRightInd/>
              <w:spacing w:line="460" w:lineRule="exact"/>
              <w:textAlignment w:val="auto"/>
              <w:rPr>
                <w:rFonts w:hint="eastAsia" w:ascii="宋体" w:hAnsi="宋体"/>
                <w:b w:val="0"/>
                <w:bCs/>
                <w:color w:val="auto"/>
                <w:kern w:val="2"/>
                <w:szCs w:val="24"/>
                <w:highlight w:val="none"/>
              </w:rPr>
            </w:pPr>
            <w:r>
              <w:rPr>
                <w:rFonts w:hint="eastAsia" w:ascii="宋体" w:hAnsi="宋体"/>
                <w:b w:val="0"/>
                <w:bCs/>
                <w:color w:val="auto"/>
                <w:kern w:val="2"/>
                <w:szCs w:val="24"/>
                <w:highlight w:val="none"/>
              </w:rPr>
              <w:t>2</w:t>
            </w:r>
          </w:p>
        </w:tc>
        <w:tc>
          <w:tcPr>
            <w:tcW w:w="1701" w:type="dxa"/>
            <w:noWrap w:val="0"/>
            <w:vAlign w:val="center"/>
          </w:tcPr>
          <w:p w14:paraId="317D91D5">
            <w:pPr>
              <w:spacing w:line="460" w:lineRule="exact"/>
              <w:jc w:val="center"/>
              <w:rPr>
                <w:rFonts w:hint="eastAsia" w:ascii="宋体" w:hAnsi="宋体" w:eastAsia="宋体"/>
                <w:bCs/>
                <w:color w:val="auto"/>
                <w:sz w:val="24"/>
                <w:szCs w:val="24"/>
                <w:highlight w:val="none"/>
                <w:lang w:eastAsia="zh-CN"/>
              </w:rPr>
            </w:pPr>
            <w:r>
              <w:rPr>
                <w:rFonts w:hint="eastAsia" w:ascii="宋体" w:hAnsi="宋体"/>
                <w:color w:val="auto"/>
                <w:sz w:val="24"/>
                <w:szCs w:val="24"/>
                <w:highlight w:val="none"/>
                <w:lang w:eastAsia="zh-CN"/>
              </w:rPr>
              <w:t>招标代理机构</w:t>
            </w:r>
          </w:p>
        </w:tc>
        <w:tc>
          <w:tcPr>
            <w:tcW w:w="7370" w:type="dxa"/>
            <w:noWrap w:val="0"/>
            <w:vAlign w:val="center"/>
          </w:tcPr>
          <w:p w14:paraId="1DF3B1BA">
            <w:pPr>
              <w:spacing w:line="460" w:lineRule="exact"/>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名称：</w:t>
            </w:r>
            <w:r>
              <w:rPr>
                <w:rFonts w:hint="eastAsia" w:ascii="宋体" w:hAnsi="宋体" w:eastAsia="宋体" w:cs="宋体"/>
                <w:b w:val="0"/>
                <w:bCs/>
                <w:color w:val="auto"/>
                <w:sz w:val="24"/>
                <w:szCs w:val="24"/>
                <w:highlight w:val="none"/>
                <w:lang w:eastAsia="zh-CN"/>
              </w:rPr>
              <w:t>安徽中资项目管理有限公司</w:t>
            </w:r>
          </w:p>
          <w:p w14:paraId="105CF82A">
            <w:pPr>
              <w:spacing w:line="460" w:lineRule="exact"/>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地址：</w:t>
            </w:r>
            <w:r>
              <w:rPr>
                <w:rFonts w:hint="eastAsia" w:ascii="宋体" w:hAnsi="宋体" w:eastAsia="宋体" w:cs="宋体"/>
                <w:b w:val="0"/>
                <w:bCs/>
                <w:color w:val="auto"/>
                <w:sz w:val="24"/>
                <w:szCs w:val="24"/>
                <w:highlight w:val="none"/>
                <w:lang w:eastAsia="zh-CN"/>
              </w:rPr>
              <w:t>合肥市高新区长江西路683号拓基城市广场金座C幢办1603</w:t>
            </w:r>
            <w:r>
              <w:rPr>
                <w:rFonts w:hint="eastAsia" w:ascii="宋体" w:hAnsi="宋体" w:eastAsia="宋体" w:cs="宋体"/>
                <w:b w:val="0"/>
                <w:bCs/>
                <w:color w:val="auto"/>
                <w:sz w:val="24"/>
                <w:szCs w:val="24"/>
                <w:highlight w:val="none"/>
              </w:rPr>
              <w:t xml:space="preserve"> </w:t>
            </w:r>
          </w:p>
        </w:tc>
      </w:tr>
      <w:tr w14:paraId="0544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737" w:type="dxa"/>
            <w:noWrap w:val="0"/>
            <w:vAlign w:val="center"/>
          </w:tcPr>
          <w:p w14:paraId="732B34A1">
            <w:pPr>
              <w:pStyle w:val="81"/>
              <w:pBdr>
                <w:bottom w:val="none" w:color="auto" w:sz="0" w:space="0"/>
              </w:pBdr>
              <w:tabs>
                <w:tab w:val="clear" w:pos="4153"/>
                <w:tab w:val="clear" w:pos="8306"/>
              </w:tabs>
              <w:adjustRightInd/>
              <w:spacing w:line="240" w:lineRule="auto"/>
              <w:textAlignment w:val="auto"/>
              <w:rPr>
                <w:rFonts w:hint="eastAsia" w:ascii="宋体" w:hAnsi="宋体"/>
                <w:b w:val="0"/>
                <w:bCs/>
                <w:color w:val="auto"/>
                <w:kern w:val="2"/>
                <w:szCs w:val="24"/>
                <w:highlight w:val="none"/>
              </w:rPr>
            </w:pPr>
            <w:r>
              <w:rPr>
                <w:rFonts w:hint="eastAsia" w:ascii="宋体" w:hAnsi="宋体"/>
                <w:b w:val="0"/>
                <w:bCs/>
                <w:color w:val="auto"/>
                <w:kern w:val="2"/>
                <w:szCs w:val="24"/>
                <w:highlight w:val="none"/>
              </w:rPr>
              <w:t>3</w:t>
            </w:r>
          </w:p>
        </w:tc>
        <w:tc>
          <w:tcPr>
            <w:tcW w:w="1701" w:type="dxa"/>
            <w:noWrap w:val="0"/>
            <w:vAlign w:val="center"/>
          </w:tcPr>
          <w:p w14:paraId="6B6C6723">
            <w:pPr>
              <w:spacing w:line="240" w:lineRule="auto"/>
              <w:jc w:val="center"/>
              <w:rPr>
                <w:rFonts w:hint="eastAsia" w:ascii="宋体" w:hAnsi="宋体"/>
                <w:color w:val="auto"/>
                <w:sz w:val="24"/>
                <w:szCs w:val="24"/>
                <w:highlight w:val="none"/>
              </w:rPr>
            </w:pPr>
            <w:r>
              <w:rPr>
                <w:rFonts w:hint="eastAsia" w:ascii="宋体" w:hAnsi="宋体"/>
                <w:color w:val="auto"/>
                <w:sz w:val="24"/>
                <w:szCs w:val="24"/>
                <w:highlight w:val="none"/>
              </w:rPr>
              <w:t>投标有效期</w:t>
            </w:r>
          </w:p>
        </w:tc>
        <w:tc>
          <w:tcPr>
            <w:tcW w:w="7370" w:type="dxa"/>
            <w:noWrap w:val="0"/>
            <w:vAlign w:val="center"/>
          </w:tcPr>
          <w:p w14:paraId="26683682">
            <w:pPr>
              <w:pStyle w:val="96"/>
              <w:widowControl w:val="0"/>
              <w:spacing w:before="0" w:beforeAutospacing="0" w:after="0" w:afterAutospacing="0" w:line="240" w:lineRule="auto"/>
              <w:jc w:val="both"/>
              <w:rPr>
                <w:rFonts w:hint="eastAsia"/>
                <w:b w:val="0"/>
                <w:bCs w:val="0"/>
                <w:color w:val="auto"/>
                <w:sz w:val="24"/>
                <w:szCs w:val="24"/>
                <w:highlight w:val="none"/>
              </w:rPr>
            </w:pPr>
            <w:r>
              <w:rPr>
                <w:rFonts w:hint="eastAsia"/>
                <w:b w:val="0"/>
                <w:bCs w:val="0"/>
                <w:color w:val="auto"/>
                <w:sz w:val="24"/>
                <w:szCs w:val="24"/>
                <w:highlight w:val="none"/>
              </w:rPr>
              <w:t>投标截止日后30天</w:t>
            </w:r>
          </w:p>
        </w:tc>
      </w:tr>
      <w:tr w14:paraId="1527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737" w:type="dxa"/>
            <w:noWrap w:val="0"/>
            <w:vAlign w:val="center"/>
          </w:tcPr>
          <w:p w14:paraId="45769AB7">
            <w:pPr>
              <w:pStyle w:val="81"/>
              <w:pBdr>
                <w:bottom w:val="none" w:color="auto" w:sz="0" w:space="0"/>
              </w:pBdr>
              <w:tabs>
                <w:tab w:val="clear" w:pos="4153"/>
                <w:tab w:val="clear" w:pos="8306"/>
              </w:tabs>
              <w:adjustRightInd/>
              <w:spacing w:line="240" w:lineRule="auto"/>
              <w:textAlignment w:val="auto"/>
              <w:rPr>
                <w:rFonts w:hint="eastAsia" w:ascii="宋体" w:hAnsi="宋体"/>
                <w:b w:val="0"/>
                <w:bCs/>
                <w:color w:val="auto"/>
                <w:kern w:val="2"/>
                <w:szCs w:val="24"/>
                <w:highlight w:val="none"/>
              </w:rPr>
            </w:pPr>
            <w:r>
              <w:rPr>
                <w:rFonts w:hint="eastAsia" w:ascii="宋体" w:hAnsi="宋体"/>
                <w:b w:val="0"/>
                <w:bCs/>
                <w:color w:val="auto"/>
                <w:kern w:val="2"/>
                <w:szCs w:val="24"/>
                <w:highlight w:val="none"/>
              </w:rPr>
              <w:t>4</w:t>
            </w:r>
          </w:p>
        </w:tc>
        <w:tc>
          <w:tcPr>
            <w:tcW w:w="1701" w:type="dxa"/>
            <w:noWrap w:val="0"/>
            <w:vAlign w:val="center"/>
          </w:tcPr>
          <w:p w14:paraId="3BA56B10">
            <w:pPr>
              <w:spacing w:line="240" w:lineRule="auto"/>
              <w:jc w:val="center"/>
              <w:rPr>
                <w:rFonts w:hint="eastAsia" w:ascii="宋体" w:hAnsi="宋体"/>
                <w:b/>
                <w:color w:val="auto"/>
                <w:sz w:val="24"/>
                <w:szCs w:val="24"/>
                <w:highlight w:val="none"/>
              </w:rPr>
            </w:pPr>
            <w:r>
              <w:rPr>
                <w:rFonts w:hint="eastAsia" w:ascii="宋体" w:hAnsi="宋体"/>
                <w:color w:val="auto"/>
                <w:sz w:val="24"/>
                <w:szCs w:val="24"/>
                <w:highlight w:val="none"/>
              </w:rPr>
              <w:t>项目类型</w:t>
            </w:r>
          </w:p>
        </w:tc>
        <w:tc>
          <w:tcPr>
            <w:tcW w:w="7370" w:type="dxa"/>
            <w:noWrap w:val="0"/>
            <w:vAlign w:val="center"/>
          </w:tcPr>
          <w:p w14:paraId="41CD65E1">
            <w:pPr>
              <w:pStyle w:val="96"/>
              <w:widowControl w:val="0"/>
              <w:spacing w:before="0" w:beforeAutospacing="0" w:after="0" w:afterAutospacing="0" w:line="240" w:lineRule="auto"/>
              <w:jc w:val="both"/>
              <w:rPr>
                <w:rFonts w:hint="eastAsia"/>
                <w:bCs w:val="0"/>
                <w:color w:val="auto"/>
                <w:sz w:val="24"/>
                <w:szCs w:val="24"/>
                <w:highlight w:val="none"/>
              </w:rPr>
            </w:pPr>
            <w:r>
              <w:rPr>
                <w:rFonts w:hint="eastAsia"/>
                <w:b w:val="0"/>
                <w:bCs w:val="0"/>
                <w:color w:val="auto"/>
                <w:sz w:val="24"/>
                <w:szCs w:val="24"/>
                <w:highlight w:val="none"/>
                <w:lang w:val="en-US" w:eastAsia="zh-CN"/>
              </w:rPr>
              <w:t>服务</w:t>
            </w:r>
            <w:r>
              <w:rPr>
                <w:rFonts w:hint="eastAsia"/>
                <w:b w:val="0"/>
                <w:bCs w:val="0"/>
                <w:color w:val="auto"/>
                <w:sz w:val="24"/>
                <w:szCs w:val="24"/>
                <w:highlight w:val="none"/>
              </w:rPr>
              <w:t>类</w:t>
            </w:r>
          </w:p>
        </w:tc>
      </w:tr>
      <w:tr w14:paraId="3D06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737" w:type="dxa"/>
            <w:noWrap w:val="0"/>
            <w:vAlign w:val="center"/>
          </w:tcPr>
          <w:p w14:paraId="4BFA152C">
            <w:pPr>
              <w:pStyle w:val="81"/>
              <w:pBdr>
                <w:bottom w:val="none" w:color="auto" w:sz="0" w:space="0"/>
              </w:pBdr>
              <w:tabs>
                <w:tab w:val="clear" w:pos="4153"/>
                <w:tab w:val="clear" w:pos="8306"/>
              </w:tabs>
              <w:adjustRightInd/>
              <w:spacing w:line="240" w:lineRule="auto"/>
              <w:textAlignment w:val="auto"/>
              <w:rPr>
                <w:rFonts w:hint="eastAsia" w:ascii="宋体" w:hAnsi="宋体"/>
                <w:b w:val="0"/>
                <w:bCs/>
                <w:color w:val="auto"/>
                <w:kern w:val="2"/>
                <w:szCs w:val="24"/>
                <w:highlight w:val="none"/>
              </w:rPr>
            </w:pPr>
            <w:r>
              <w:rPr>
                <w:rFonts w:hint="eastAsia" w:ascii="宋体" w:hAnsi="宋体"/>
                <w:b w:val="0"/>
                <w:bCs/>
                <w:color w:val="auto"/>
                <w:kern w:val="2"/>
                <w:szCs w:val="24"/>
                <w:highlight w:val="none"/>
              </w:rPr>
              <w:t>5</w:t>
            </w:r>
          </w:p>
        </w:tc>
        <w:tc>
          <w:tcPr>
            <w:tcW w:w="1701" w:type="dxa"/>
            <w:noWrap w:val="0"/>
            <w:vAlign w:val="center"/>
          </w:tcPr>
          <w:p w14:paraId="49E5A04A">
            <w:pPr>
              <w:spacing w:line="240" w:lineRule="auto"/>
              <w:jc w:val="center"/>
              <w:rPr>
                <w:rFonts w:hint="eastAsia" w:ascii="宋体" w:hAnsi="宋体"/>
                <w:color w:val="auto"/>
                <w:sz w:val="24"/>
                <w:szCs w:val="24"/>
                <w:highlight w:val="none"/>
              </w:rPr>
            </w:pPr>
            <w:r>
              <w:rPr>
                <w:rFonts w:hint="eastAsia" w:ascii="宋体" w:hAnsi="宋体"/>
                <w:color w:val="auto"/>
                <w:sz w:val="24"/>
                <w:szCs w:val="24"/>
                <w:highlight w:val="none"/>
              </w:rPr>
              <w:t>项目名称</w:t>
            </w:r>
          </w:p>
        </w:tc>
        <w:tc>
          <w:tcPr>
            <w:tcW w:w="7370" w:type="dxa"/>
            <w:noWrap w:val="0"/>
            <w:vAlign w:val="center"/>
          </w:tcPr>
          <w:p w14:paraId="3E3A05C1">
            <w:pPr>
              <w:pStyle w:val="96"/>
              <w:widowControl w:val="0"/>
              <w:spacing w:before="0" w:beforeAutospacing="0" w:after="0" w:afterAutospacing="0" w:line="240" w:lineRule="auto"/>
              <w:jc w:val="both"/>
              <w:rPr>
                <w:rFonts w:hint="eastAsia"/>
                <w:b w:val="0"/>
                <w:bCs w:val="0"/>
                <w:color w:val="auto"/>
                <w:sz w:val="24"/>
                <w:szCs w:val="24"/>
                <w:highlight w:val="none"/>
              </w:rPr>
            </w:pPr>
            <w:r>
              <w:rPr>
                <w:rFonts w:hint="eastAsia"/>
                <w:b w:val="0"/>
                <w:bCs w:val="0"/>
                <w:color w:val="auto"/>
                <w:sz w:val="24"/>
                <w:szCs w:val="24"/>
                <w:highlight w:val="none"/>
                <w:lang w:val="en-US" w:eastAsia="zh-CN"/>
              </w:rPr>
              <w:t>金寨县乡村振兴发展有限公司石料运输服务采购项目</w:t>
            </w:r>
          </w:p>
        </w:tc>
      </w:tr>
      <w:tr w14:paraId="35D6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737" w:type="dxa"/>
            <w:noWrap w:val="0"/>
            <w:vAlign w:val="center"/>
          </w:tcPr>
          <w:p w14:paraId="62C1C649">
            <w:pPr>
              <w:pStyle w:val="81"/>
              <w:pBdr>
                <w:bottom w:val="none" w:color="auto" w:sz="0" w:space="0"/>
              </w:pBdr>
              <w:tabs>
                <w:tab w:val="clear" w:pos="4153"/>
                <w:tab w:val="clear" w:pos="8306"/>
              </w:tabs>
              <w:adjustRightInd/>
              <w:spacing w:line="240" w:lineRule="auto"/>
              <w:textAlignment w:val="auto"/>
              <w:rPr>
                <w:rFonts w:ascii="宋体" w:hAnsi="宋体"/>
                <w:b w:val="0"/>
                <w:bCs/>
                <w:color w:val="auto"/>
                <w:kern w:val="2"/>
                <w:szCs w:val="24"/>
                <w:highlight w:val="none"/>
              </w:rPr>
            </w:pPr>
            <w:r>
              <w:rPr>
                <w:rFonts w:hint="eastAsia" w:ascii="宋体" w:hAnsi="宋体"/>
                <w:b w:val="0"/>
                <w:bCs/>
                <w:color w:val="auto"/>
                <w:kern w:val="2"/>
                <w:szCs w:val="24"/>
                <w:highlight w:val="none"/>
              </w:rPr>
              <w:t>6</w:t>
            </w:r>
          </w:p>
        </w:tc>
        <w:tc>
          <w:tcPr>
            <w:tcW w:w="1701" w:type="dxa"/>
            <w:noWrap w:val="0"/>
            <w:vAlign w:val="center"/>
          </w:tcPr>
          <w:p w14:paraId="4474098A">
            <w:pPr>
              <w:spacing w:line="240" w:lineRule="auto"/>
              <w:jc w:val="center"/>
              <w:rPr>
                <w:rFonts w:hint="eastAsia" w:ascii="宋体" w:hAnsi="宋体"/>
                <w:color w:val="auto"/>
                <w:sz w:val="24"/>
                <w:szCs w:val="24"/>
                <w:highlight w:val="none"/>
              </w:rPr>
            </w:pPr>
            <w:r>
              <w:rPr>
                <w:rFonts w:hint="eastAsia" w:ascii="宋体" w:hAnsi="宋体"/>
                <w:color w:val="auto"/>
                <w:sz w:val="24"/>
                <w:szCs w:val="24"/>
                <w:highlight w:val="none"/>
              </w:rPr>
              <w:t>项目编号</w:t>
            </w:r>
          </w:p>
        </w:tc>
        <w:tc>
          <w:tcPr>
            <w:tcW w:w="7370" w:type="dxa"/>
            <w:noWrap w:val="0"/>
            <w:vAlign w:val="center"/>
          </w:tcPr>
          <w:p w14:paraId="5AC5793C">
            <w:pPr>
              <w:pStyle w:val="96"/>
              <w:widowControl w:val="0"/>
              <w:spacing w:before="0" w:beforeAutospacing="0" w:after="0" w:afterAutospacing="0" w:line="240" w:lineRule="auto"/>
              <w:jc w:val="both"/>
              <w:rPr>
                <w:rFonts w:hint="eastAsia"/>
                <w:b w:val="0"/>
                <w:bCs w:val="0"/>
                <w:color w:val="auto"/>
                <w:sz w:val="24"/>
                <w:szCs w:val="24"/>
                <w:highlight w:val="none"/>
              </w:rPr>
            </w:pPr>
            <w:r>
              <w:rPr>
                <w:rFonts w:hint="eastAsia"/>
                <w:b w:val="0"/>
                <w:bCs w:val="0"/>
                <w:color w:val="auto"/>
                <w:sz w:val="24"/>
                <w:szCs w:val="24"/>
                <w:highlight w:val="none"/>
                <w:lang w:eastAsia="zh-CN"/>
              </w:rPr>
              <w:t>AHZZ25CG-014</w:t>
            </w:r>
          </w:p>
        </w:tc>
      </w:tr>
      <w:tr w14:paraId="4DBF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737" w:type="dxa"/>
            <w:noWrap w:val="0"/>
            <w:vAlign w:val="center"/>
          </w:tcPr>
          <w:p w14:paraId="30FDC623">
            <w:pPr>
              <w:pStyle w:val="81"/>
              <w:pBdr>
                <w:bottom w:val="none" w:color="auto" w:sz="0" w:space="0"/>
              </w:pBdr>
              <w:tabs>
                <w:tab w:val="clear" w:pos="4153"/>
                <w:tab w:val="clear" w:pos="8306"/>
              </w:tabs>
              <w:adjustRightInd/>
              <w:spacing w:line="460" w:lineRule="exact"/>
              <w:textAlignment w:val="auto"/>
              <w:rPr>
                <w:rFonts w:hint="eastAsia" w:ascii="宋体" w:hAnsi="宋体"/>
                <w:b w:val="0"/>
                <w:bCs/>
                <w:color w:val="auto"/>
                <w:kern w:val="2"/>
                <w:szCs w:val="24"/>
                <w:highlight w:val="none"/>
              </w:rPr>
            </w:pPr>
            <w:r>
              <w:rPr>
                <w:rFonts w:hint="eastAsia" w:ascii="宋体" w:hAnsi="宋体"/>
                <w:b w:val="0"/>
                <w:bCs/>
                <w:color w:val="auto"/>
                <w:kern w:val="2"/>
                <w:szCs w:val="24"/>
                <w:highlight w:val="none"/>
              </w:rPr>
              <w:t>7</w:t>
            </w:r>
          </w:p>
        </w:tc>
        <w:tc>
          <w:tcPr>
            <w:tcW w:w="1701" w:type="dxa"/>
            <w:noWrap w:val="0"/>
            <w:vAlign w:val="center"/>
          </w:tcPr>
          <w:p w14:paraId="1C6B22D5">
            <w:pPr>
              <w:spacing w:line="460" w:lineRule="exact"/>
              <w:jc w:val="center"/>
              <w:rPr>
                <w:rFonts w:hint="eastAsia" w:ascii="宋体" w:hAnsi="宋体"/>
                <w:color w:val="auto"/>
                <w:sz w:val="24"/>
                <w:szCs w:val="24"/>
                <w:highlight w:val="none"/>
              </w:rPr>
            </w:pPr>
            <w:r>
              <w:rPr>
                <w:rFonts w:hint="eastAsia" w:ascii="宋体" w:hAnsi="宋体"/>
                <w:color w:val="auto"/>
                <w:sz w:val="24"/>
                <w:szCs w:val="24"/>
                <w:highlight w:val="none"/>
              </w:rPr>
              <w:t>付款方式</w:t>
            </w:r>
          </w:p>
        </w:tc>
        <w:tc>
          <w:tcPr>
            <w:tcW w:w="7370" w:type="dxa"/>
            <w:noWrap w:val="0"/>
            <w:vAlign w:val="center"/>
          </w:tcPr>
          <w:p w14:paraId="25A524F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本项目为国有企业自筹资金招标项目，无预付款。</w:t>
            </w:r>
          </w:p>
          <w:p w14:paraId="38CC33B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lang w:val="en-US" w:eastAsia="zh-CN"/>
              </w:rPr>
              <w:t>结算、</w:t>
            </w:r>
            <w:r>
              <w:rPr>
                <w:rFonts w:hint="eastAsia" w:ascii="宋体" w:hAnsi="宋体" w:eastAsia="宋体" w:cs="宋体"/>
                <w:b/>
                <w:bCs/>
                <w:color w:val="auto"/>
                <w:sz w:val="24"/>
                <w:highlight w:val="none"/>
              </w:rPr>
              <w:t>支付方式</w:t>
            </w:r>
            <w:r>
              <w:rPr>
                <w:rFonts w:hint="eastAsia" w:ascii="宋体" w:hAnsi="宋体" w:eastAsia="宋体" w:cs="宋体"/>
                <w:b/>
                <w:bCs/>
                <w:color w:val="auto"/>
                <w:sz w:val="24"/>
                <w:highlight w:val="none"/>
                <w:u w:val="none"/>
                <w:lang w:val="en-US" w:eastAsia="zh-CN"/>
              </w:rPr>
              <w:t>：</w:t>
            </w:r>
          </w:p>
          <w:p w14:paraId="738AA1C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按照中标人统一折扣（百分比）报价与石料运输服务、机械台班服务单价最高限价的乘积结果，确定每项服务的合同单价，根据合同单价和经招标人认可的中标人完成的工作量计算服务费用，每3个月为一个结算、支付周期（其中，成品石料转运服务的相关费用须根据实际销售量结算、支付，结算周期同上）。涉及根据考核对中标人进行扣款、收取违约金的，在结算服务费用时一次性扣除。</w:t>
            </w:r>
          </w:p>
          <w:p w14:paraId="62736E9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2"/>
                <w:highlight w:val="none"/>
                <w:lang w:val="en-US" w:eastAsia="zh-CN" w:bidi="ar-SA"/>
              </w:rPr>
              <w:t>2、一个结算周期内的结算价款确定后，中标人开具招标人认可的增值税发票（金额为结算价款+票面增值税），招标人于收到发票后15个工作日内支付发票金额的70%，余款30%在年度考核后依据考核结果支付</w:t>
            </w:r>
            <w:r>
              <w:rPr>
                <w:rFonts w:hint="eastAsia" w:ascii="宋体" w:hAnsi="宋体" w:eastAsia="宋体" w:cs="宋体"/>
                <w:b w:val="0"/>
                <w:bCs w:val="0"/>
                <w:color w:val="auto"/>
                <w:sz w:val="24"/>
                <w:szCs w:val="24"/>
                <w:highlight w:val="none"/>
                <w:lang w:val="en-US" w:eastAsia="zh-CN"/>
              </w:rPr>
              <w:t>。</w:t>
            </w:r>
          </w:p>
          <w:p w14:paraId="3823213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提交的</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文件中如有关于付款条件的表述与</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rPr>
              <w:t>文件规定不符，将被视为实质性不响应，将导致</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无效）</w:t>
            </w:r>
          </w:p>
        </w:tc>
      </w:tr>
      <w:tr w14:paraId="6D72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737" w:type="dxa"/>
            <w:noWrap w:val="0"/>
            <w:vAlign w:val="center"/>
          </w:tcPr>
          <w:p w14:paraId="006A9A62">
            <w:pPr>
              <w:pStyle w:val="81"/>
              <w:pBdr>
                <w:bottom w:val="none" w:color="auto" w:sz="0" w:space="0"/>
              </w:pBdr>
              <w:tabs>
                <w:tab w:val="clear" w:pos="4153"/>
                <w:tab w:val="clear" w:pos="8306"/>
              </w:tabs>
              <w:adjustRightInd/>
              <w:spacing w:line="240" w:lineRule="auto"/>
              <w:textAlignment w:val="auto"/>
              <w:rPr>
                <w:rFonts w:hint="eastAsia" w:ascii="宋体" w:hAnsi="宋体"/>
                <w:b w:val="0"/>
                <w:bCs/>
                <w:color w:val="auto"/>
                <w:kern w:val="2"/>
                <w:szCs w:val="24"/>
                <w:highlight w:val="none"/>
              </w:rPr>
            </w:pPr>
            <w:r>
              <w:rPr>
                <w:rFonts w:hint="eastAsia" w:ascii="宋体" w:hAnsi="宋体"/>
                <w:b w:val="0"/>
                <w:bCs/>
                <w:color w:val="auto"/>
                <w:kern w:val="2"/>
                <w:szCs w:val="24"/>
                <w:highlight w:val="none"/>
              </w:rPr>
              <w:t>8</w:t>
            </w:r>
          </w:p>
        </w:tc>
        <w:tc>
          <w:tcPr>
            <w:tcW w:w="1701" w:type="dxa"/>
            <w:noWrap w:val="0"/>
            <w:vAlign w:val="center"/>
          </w:tcPr>
          <w:p w14:paraId="7B54FD8E">
            <w:pPr>
              <w:spacing w:line="24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服务期</w:t>
            </w:r>
          </w:p>
        </w:tc>
        <w:tc>
          <w:tcPr>
            <w:tcW w:w="7370" w:type="dxa"/>
            <w:noWrap w:val="0"/>
            <w:vAlign w:val="center"/>
          </w:tcPr>
          <w:p w14:paraId="6BA68450">
            <w:pPr>
              <w:spacing w:line="240" w:lineRule="auto"/>
              <w:jc w:val="both"/>
              <w:rPr>
                <w:rFonts w:hint="default" w:ascii="Times New Roman" w:hAnsi="Times New Roman" w:eastAsia="宋体" w:cs="Times New Roman"/>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3年</w:t>
            </w:r>
          </w:p>
        </w:tc>
      </w:tr>
      <w:tr w14:paraId="0F3F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737" w:type="dxa"/>
            <w:noWrap w:val="0"/>
            <w:vAlign w:val="center"/>
          </w:tcPr>
          <w:p w14:paraId="4F372234">
            <w:pPr>
              <w:pStyle w:val="81"/>
              <w:pBdr>
                <w:bottom w:val="none" w:color="auto" w:sz="0" w:space="0"/>
              </w:pBdr>
              <w:tabs>
                <w:tab w:val="clear" w:pos="4153"/>
                <w:tab w:val="clear" w:pos="8306"/>
              </w:tabs>
              <w:adjustRightInd/>
              <w:spacing w:line="460" w:lineRule="exact"/>
              <w:textAlignment w:val="auto"/>
              <w:rPr>
                <w:rFonts w:hint="eastAsia" w:ascii="宋体" w:hAnsi="宋体"/>
                <w:b w:val="0"/>
                <w:bCs/>
                <w:color w:val="auto"/>
                <w:kern w:val="2"/>
                <w:sz w:val="24"/>
                <w:szCs w:val="24"/>
                <w:highlight w:val="none"/>
                <w:lang w:val="en-US" w:eastAsia="zh-CN" w:bidi="ar-SA"/>
              </w:rPr>
            </w:pPr>
            <w:r>
              <w:rPr>
                <w:rFonts w:hint="eastAsia" w:ascii="宋体" w:hAnsi="宋体"/>
                <w:b w:val="0"/>
                <w:bCs/>
                <w:color w:val="auto"/>
                <w:kern w:val="2"/>
                <w:szCs w:val="24"/>
                <w:highlight w:val="none"/>
              </w:rPr>
              <w:t>9</w:t>
            </w:r>
          </w:p>
        </w:tc>
        <w:tc>
          <w:tcPr>
            <w:tcW w:w="1701" w:type="dxa"/>
            <w:noWrap w:val="0"/>
            <w:vAlign w:val="center"/>
          </w:tcPr>
          <w:p w14:paraId="1FB1D0E8">
            <w:pPr>
              <w:pStyle w:val="81"/>
              <w:pBdr>
                <w:bottom w:val="none" w:color="auto" w:sz="0" w:space="0"/>
              </w:pBdr>
              <w:tabs>
                <w:tab w:val="clear" w:pos="4153"/>
                <w:tab w:val="clear" w:pos="8306"/>
              </w:tabs>
              <w:adjustRightInd/>
              <w:spacing w:line="460" w:lineRule="exact"/>
              <w:textAlignment w:val="auto"/>
              <w:rPr>
                <w:rFonts w:hint="eastAsia" w:ascii="宋体" w:hAnsi="宋体"/>
                <w:color w:val="auto"/>
                <w:szCs w:val="24"/>
                <w:highlight w:val="none"/>
              </w:rPr>
            </w:pPr>
            <w:r>
              <w:rPr>
                <w:rFonts w:hint="eastAsia" w:ascii="宋体" w:hAnsi="宋体"/>
                <w:bCs/>
                <w:color w:val="auto"/>
                <w:kern w:val="2"/>
                <w:szCs w:val="24"/>
                <w:highlight w:val="none"/>
                <w:lang w:val="en-US" w:eastAsia="zh-CN"/>
              </w:rPr>
              <w:t>代理</w:t>
            </w:r>
            <w:r>
              <w:rPr>
                <w:rFonts w:hint="eastAsia" w:ascii="宋体" w:hAnsi="宋体"/>
                <w:bCs/>
                <w:color w:val="auto"/>
                <w:kern w:val="2"/>
                <w:szCs w:val="24"/>
                <w:highlight w:val="none"/>
              </w:rPr>
              <w:t>服务费</w:t>
            </w:r>
          </w:p>
        </w:tc>
        <w:tc>
          <w:tcPr>
            <w:tcW w:w="7370" w:type="dxa"/>
            <w:noWrap w:val="0"/>
            <w:vAlign w:val="center"/>
          </w:tcPr>
          <w:p w14:paraId="7FB07E91">
            <w:pPr>
              <w:pageBreakBefore w:val="0"/>
              <w:kinsoku/>
              <w:wordWrap/>
              <w:overflowPunct w:val="0"/>
              <w:topLinePunct w:val="0"/>
              <w:bidi w:val="0"/>
              <w:spacing w:line="500" w:lineRule="exact"/>
              <w:jc w:val="left"/>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1、支付方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lang w:eastAsia="zh-CN"/>
              </w:rPr>
              <w:t>人</w:t>
            </w:r>
          </w:p>
          <w:p w14:paraId="4E22F332">
            <w:pPr>
              <w:pageBreakBefore w:val="0"/>
              <w:kinsoku/>
              <w:wordWrap/>
              <w:overflowPunct w:val="0"/>
              <w:topLinePunct w:val="0"/>
              <w:bidi w:val="0"/>
              <w:spacing w:line="5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2、收费标准：</w:t>
            </w:r>
          </w:p>
          <w:p w14:paraId="2CDE43C0">
            <w:pPr>
              <w:pageBreakBefore w:val="0"/>
              <w:kinsoku/>
              <w:wordWrap/>
              <w:overflowPunct w:val="0"/>
              <w:topLinePunct w:val="0"/>
              <w:bidi w:val="0"/>
              <w:spacing w:line="50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代理服务费：</w:t>
            </w:r>
            <w:r>
              <w:rPr>
                <w:rFonts w:hint="eastAsia" w:ascii="宋体" w:hAnsi="宋体" w:eastAsia="宋体" w:cs="宋体"/>
                <w:color w:val="auto"/>
                <w:sz w:val="24"/>
                <w:highlight w:val="none"/>
              </w:rPr>
              <w:t>按下列标准</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lang w:val="en-US" w:eastAsia="zh-CN"/>
              </w:rPr>
              <w:t>9</w:t>
            </w:r>
            <w:r>
              <w:rPr>
                <w:rFonts w:hint="eastAsia" w:ascii="宋体" w:hAnsi="宋体" w:cs="宋体"/>
                <w:color w:val="auto"/>
                <w:sz w:val="24"/>
                <w:highlight w:val="none"/>
                <w:lang w:val="en-US" w:eastAsia="zh-CN"/>
              </w:rPr>
              <w:t>1.84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收取：代理服务费的收取采用差额定率累进计费方式，具体收费标准为下表：</w:t>
            </w:r>
          </w:p>
          <w:tbl>
            <w:tblPr>
              <w:tblStyle w:val="40"/>
              <w:tblW w:w="7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005"/>
              <w:gridCol w:w="1361"/>
              <w:gridCol w:w="1361"/>
              <w:gridCol w:w="1361"/>
            </w:tblGrid>
            <w:tr w14:paraId="6073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005" w:type="dxa"/>
                  <w:noWrap/>
                  <w:vAlign w:val="center"/>
                </w:tcPr>
                <w:p w14:paraId="335881CB">
                  <w:pPr>
                    <w:pageBreakBefore w:val="0"/>
                    <w:widowControl/>
                    <w:kinsoku/>
                    <w:wordWrap/>
                    <w:overflowPunct w:val="0"/>
                    <w:topLinePunct w:val="0"/>
                    <w:bidi w:val="0"/>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中标金额（万元）</w:t>
                  </w:r>
                </w:p>
              </w:tc>
              <w:tc>
                <w:tcPr>
                  <w:tcW w:w="1361" w:type="dxa"/>
                  <w:noWrap/>
                  <w:vAlign w:val="center"/>
                </w:tcPr>
                <w:p w14:paraId="754EDD71">
                  <w:pPr>
                    <w:pageBreakBefore w:val="0"/>
                    <w:widowControl/>
                    <w:kinsoku/>
                    <w:wordWrap/>
                    <w:overflowPunct w:val="0"/>
                    <w:topLinePunct w:val="0"/>
                    <w:bidi w:val="0"/>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货物类项目</w:t>
                  </w:r>
                </w:p>
              </w:tc>
              <w:tc>
                <w:tcPr>
                  <w:tcW w:w="1361" w:type="dxa"/>
                  <w:noWrap/>
                  <w:vAlign w:val="center"/>
                </w:tcPr>
                <w:p w14:paraId="2A727EF1">
                  <w:pPr>
                    <w:pageBreakBefore w:val="0"/>
                    <w:widowControl/>
                    <w:kinsoku/>
                    <w:wordWrap/>
                    <w:overflowPunct w:val="0"/>
                    <w:topLinePunct w:val="0"/>
                    <w:bidi w:val="0"/>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服务类项目</w:t>
                  </w:r>
                </w:p>
              </w:tc>
              <w:tc>
                <w:tcPr>
                  <w:tcW w:w="1361" w:type="dxa"/>
                  <w:noWrap/>
                  <w:vAlign w:val="center"/>
                </w:tcPr>
                <w:p w14:paraId="5FB8E9FD">
                  <w:pPr>
                    <w:pageBreakBefore w:val="0"/>
                    <w:widowControl/>
                    <w:kinsoku/>
                    <w:wordWrap/>
                    <w:overflowPunct w:val="0"/>
                    <w:topLinePunct w:val="0"/>
                    <w:bidi w:val="0"/>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工程类项目</w:t>
                  </w:r>
                </w:p>
              </w:tc>
            </w:tr>
            <w:tr w14:paraId="0615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005" w:type="dxa"/>
                  <w:noWrap/>
                  <w:vAlign w:val="center"/>
                </w:tcPr>
                <w:p w14:paraId="6FF1C494">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 以下</w:t>
                  </w:r>
                </w:p>
              </w:tc>
              <w:tc>
                <w:tcPr>
                  <w:tcW w:w="1361" w:type="dxa"/>
                  <w:noWrap/>
                  <w:vAlign w:val="center"/>
                </w:tcPr>
                <w:p w14:paraId="163ACD62">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w:t>
                  </w:r>
                </w:p>
              </w:tc>
              <w:tc>
                <w:tcPr>
                  <w:tcW w:w="1361" w:type="dxa"/>
                  <w:noWrap/>
                  <w:vAlign w:val="center"/>
                </w:tcPr>
                <w:p w14:paraId="2E265368">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w:t>
                  </w:r>
                </w:p>
              </w:tc>
              <w:tc>
                <w:tcPr>
                  <w:tcW w:w="1361" w:type="dxa"/>
                  <w:noWrap/>
                  <w:vAlign w:val="center"/>
                </w:tcPr>
                <w:p w14:paraId="2DD8C234">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r>
            <w:tr w14:paraId="5FFA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005" w:type="dxa"/>
                  <w:noWrap/>
                  <w:vAlign w:val="center"/>
                </w:tcPr>
                <w:p w14:paraId="3B1F3140">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100-500</w:t>
                  </w:r>
                </w:p>
              </w:tc>
              <w:tc>
                <w:tcPr>
                  <w:tcW w:w="1361" w:type="dxa"/>
                  <w:noWrap/>
                  <w:vAlign w:val="center"/>
                </w:tcPr>
                <w:p w14:paraId="394802B2">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1361" w:type="dxa"/>
                  <w:noWrap/>
                  <w:vAlign w:val="center"/>
                </w:tcPr>
                <w:p w14:paraId="5DFC45BB">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0.8%</w:t>
                  </w:r>
                </w:p>
              </w:tc>
              <w:tc>
                <w:tcPr>
                  <w:tcW w:w="1361" w:type="dxa"/>
                  <w:noWrap/>
                  <w:vAlign w:val="center"/>
                </w:tcPr>
                <w:p w14:paraId="5654DEAF">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0.7%</w:t>
                  </w:r>
                </w:p>
              </w:tc>
            </w:tr>
            <w:tr w14:paraId="61FE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005" w:type="dxa"/>
                  <w:noWrap/>
                  <w:vAlign w:val="center"/>
                </w:tcPr>
                <w:p w14:paraId="1630A8EB">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500-1000</w:t>
                  </w:r>
                </w:p>
              </w:tc>
              <w:tc>
                <w:tcPr>
                  <w:tcW w:w="1361" w:type="dxa"/>
                  <w:noWrap/>
                  <w:vAlign w:val="center"/>
                </w:tcPr>
                <w:p w14:paraId="20244DC4">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0.8%</w:t>
                  </w:r>
                </w:p>
              </w:tc>
              <w:tc>
                <w:tcPr>
                  <w:tcW w:w="1361" w:type="dxa"/>
                  <w:noWrap/>
                  <w:vAlign w:val="center"/>
                </w:tcPr>
                <w:p w14:paraId="0CE3C7E1">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0.45%</w:t>
                  </w:r>
                </w:p>
              </w:tc>
              <w:tc>
                <w:tcPr>
                  <w:tcW w:w="1361" w:type="dxa"/>
                  <w:noWrap/>
                  <w:vAlign w:val="center"/>
                </w:tcPr>
                <w:p w14:paraId="7D47C800">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0.55%</w:t>
                  </w:r>
                </w:p>
              </w:tc>
            </w:tr>
            <w:tr w14:paraId="09E6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005" w:type="dxa"/>
                  <w:noWrap/>
                  <w:vAlign w:val="center"/>
                </w:tcPr>
                <w:p w14:paraId="2FD1EEB4">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1000-5000</w:t>
                  </w:r>
                </w:p>
              </w:tc>
              <w:tc>
                <w:tcPr>
                  <w:tcW w:w="1361" w:type="dxa"/>
                  <w:noWrap/>
                  <w:vAlign w:val="center"/>
                </w:tcPr>
                <w:p w14:paraId="36866DDE">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0.5%</w:t>
                  </w:r>
                </w:p>
              </w:tc>
              <w:tc>
                <w:tcPr>
                  <w:tcW w:w="1361" w:type="dxa"/>
                  <w:noWrap/>
                  <w:vAlign w:val="center"/>
                </w:tcPr>
                <w:p w14:paraId="117195D7">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0.25%</w:t>
                  </w:r>
                </w:p>
              </w:tc>
              <w:tc>
                <w:tcPr>
                  <w:tcW w:w="1361" w:type="dxa"/>
                  <w:noWrap/>
                  <w:vAlign w:val="center"/>
                </w:tcPr>
                <w:p w14:paraId="2626E5AD">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0.35%</w:t>
                  </w:r>
                </w:p>
              </w:tc>
            </w:tr>
            <w:tr w14:paraId="55E1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005" w:type="dxa"/>
                  <w:noWrap/>
                  <w:vAlign w:val="center"/>
                </w:tcPr>
                <w:p w14:paraId="22BA2061">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5000-10000</w:t>
                  </w:r>
                </w:p>
              </w:tc>
              <w:tc>
                <w:tcPr>
                  <w:tcW w:w="1361" w:type="dxa"/>
                  <w:noWrap/>
                  <w:vAlign w:val="center"/>
                </w:tcPr>
                <w:p w14:paraId="53112AD7">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0.25%</w:t>
                  </w:r>
                </w:p>
              </w:tc>
              <w:tc>
                <w:tcPr>
                  <w:tcW w:w="1361" w:type="dxa"/>
                  <w:noWrap/>
                  <w:vAlign w:val="center"/>
                </w:tcPr>
                <w:p w14:paraId="7B601196">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0.1%</w:t>
                  </w:r>
                </w:p>
              </w:tc>
              <w:tc>
                <w:tcPr>
                  <w:tcW w:w="1361" w:type="dxa"/>
                  <w:noWrap/>
                  <w:vAlign w:val="center"/>
                </w:tcPr>
                <w:p w14:paraId="0741C9AF">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0.2%</w:t>
                  </w:r>
                </w:p>
              </w:tc>
            </w:tr>
            <w:tr w14:paraId="5A46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005" w:type="dxa"/>
                  <w:noWrap/>
                  <w:vAlign w:val="center"/>
                </w:tcPr>
                <w:p w14:paraId="43047850">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10000-100000</w:t>
                  </w:r>
                </w:p>
              </w:tc>
              <w:tc>
                <w:tcPr>
                  <w:tcW w:w="1361" w:type="dxa"/>
                  <w:noWrap/>
                  <w:vAlign w:val="center"/>
                </w:tcPr>
                <w:p w14:paraId="0C74527B">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0.05%</w:t>
                  </w:r>
                </w:p>
              </w:tc>
              <w:tc>
                <w:tcPr>
                  <w:tcW w:w="1361" w:type="dxa"/>
                  <w:noWrap/>
                  <w:vAlign w:val="center"/>
                </w:tcPr>
                <w:p w14:paraId="1FBB9DB2">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0.05%</w:t>
                  </w:r>
                </w:p>
              </w:tc>
              <w:tc>
                <w:tcPr>
                  <w:tcW w:w="1361" w:type="dxa"/>
                  <w:noWrap/>
                  <w:vAlign w:val="center"/>
                </w:tcPr>
                <w:p w14:paraId="7143F750">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0.05%</w:t>
                  </w:r>
                </w:p>
              </w:tc>
            </w:tr>
            <w:tr w14:paraId="15C2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3005" w:type="dxa"/>
                  <w:noWrap/>
                  <w:vAlign w:val="center"/>
                </w:tcPr>
                <w:p w14:paraId="126A4856">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100000 以上</w:t>
                  </w:r>
                </w:p>
              </w:tc>
              <w:tc>
                <w:tcPr>
                  <w:tcW w:w="1361" w:type="dxa"/>
                  <w:noWrap/>
                  <w:vAlign w:val="center"/>
                </w:tcPr>
                <w:p w14:paraId="702138ED">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0.01%</w:t>
                  </w:r>
                </w:p>
              </w:tc>
              <w:tc>
                <w:tcPr>
                  <w:tcW w:w="1361" w:type="dxa"/>
                  <w:noWrap/>
                  <w:vAlign w:val="center"/>
                </w:tcPr>
                <w:p w14:paraId="26938F0C">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0.01%</w:t>
                  </w:r>
                </w:p>
              </w:tc>
              <w:tc>
                <w:tcPr>
                  <w:tcW w:w="1361" w:type="dxa"/>
                  <w:noWrap/>
                  <w:vAlign w:val="center"/>
                </w:tcPr>
                <w:p w14:paraId="56CA7EEA">
                  <w:pPr>
                    <w:pageBreakBefore w:val="0"/>
                    <w:widowControl/>
                    <w:kinsoku/>
                    <w:wordWrap/>
                    <w:overflowPunct w:val="0"/>
                    <w:topLinePunct w:val="0"/>
                    <w:bidi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0.01%</w:t>
                  </w:r>
                </w:p>
              </w:tc>
            </w:tr>
          </w:tbl>
          <w:p w14:paraId="49452EF9">
            <w:pPr>
              <w:pageBreakBefore w:val="0"/>
              <w:kinsoku/>
              <w:wordWrap/>
              <w:overflowPunct w:val="0"/>
              <w:topLinePunct w:val="0"/>
              <w:bidi w:val="0"/>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注：代理服务费按差额定率累进法计算。</w:t>
            </w:r>
          </w:p>
          <w:p w14:paraId="436ECBBF">
            <w:pPr>
              <w:pageBreakBefore w:val="0"/>
              <w:kinsoku/>
              <w:wordWrap/>
              <w:overflowPunct w:val="0"/>
              <w:topLinePunct w:val="0"/>
              <w:bidi w:val="0"/>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例如：某服务类项目代理业务中标金额为6000万元，计算代理服务费如下：100 万元×1.5％＝1.5万元</w:t>
            </w:r>
          </w:p>
          <w:p w14:paraId="014E5949">
            <w:pPr>
              <w:pageBreakBefore w:val="0"/>
              <w:kinsoku/>
              <w:wordWrap/>
              <w:overflowPunct w:val="0"/>
              <w:topLinePunct w:val="0"/>
              <w:bidi w:val="0"/>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（500－100）万元×0.8％＝3.2万元</w:t>
            </w:r>
          </w:p>
          <w:p w14:paraId="3B24BE40">
            <w:pPr>
              <w:pageBreakBefore w:val="0"/>
              <w:kinsoku/>
              <w:wordWrap/>
              <w:overflowPunct w:val="0"/>
              <w:topLinePunct w:val="0"/>
              <w:bidi w:val="0"/>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（1000－500）万元×0.45％＝2.25 万元</w:t>
            </w:r>
          </w:p>
          <w:p w14:paraId="2DCFD020">
            <w:pPr>
              <w:pageBreakBefore w:val="0"/>
              <w:kinsoku/>
              <w:wordWrap/>
              <w:overflowPunct w:val="0"/>
              <w:topLinePunct w:val="0"/>
              <w:bidi w:val="0"/>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（5000－1000）万元×0.25％＝10万元</w:t>
            </w:r>
          </w:p>
          <w:p w14:paraId="2F53F610">
            <w:pPr>
              <w:pageBreakBefore w:val="0"/>
              <w:kinsoku/>
              <w:wordWrap/>
              <w:overflowPunct w:val="0"/>
              <w:topLinePunct w:val="0"/>
              <w:bidi w:val="0"/>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（6000－5000）万元×0.1％＝1万元</w:t>
            </w:r>
          </w:p>
          <w:p w14:paraId="0C66FA4F">
            <w:pPr>
              <w:pageBreakBefore w:val="0"/>
              <w:kinsoku/>
              <w:wordWrap/>
              <w:overflowPunct w:val="0"/>
              <w:topLinePunct w:val="0"/>
              <w:bidi w:val="0"/>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合计收费＝1.5＋3.2＋2.25＋10＋1＝17.95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p>
          <w:p w14:paraId="2B0D0A91">
            <w:pPr>
              <w:pageBreakBefore w:val="0"/>
              <w:kinsoku/>
              <w:wordWrap/>
              <w:overflowPunct w:val="0"/>
              <w:topLinePunct w:val="0"/>
              <w:bidi w:val="0"/>
              <w:spacing w:line="50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3、收取方式：</w:t>
            </w:r>
            <w:r>
              <w:rPr>
                <w:rFonts w:hint="eastAsia" w:ascii="宋体" w:hAnsi="宋体" w:eastAsia="宋体" w:cs="宋体"/>
                <w:color w:val="auto"/>
                <w:sz w:val="24"/>
                <w:highlight w:val="none"/>
              </w:rPr>
              <w:t>银行转账</w:t>
            </w:r>
          </w:p>
          <w:p w14:paraId="471413EF">
            <w:pPr>
              <w:pageBreakBefore w:val="0"/>
              <w:kinsoku/>
              <w:wordWrap/>
              <w:overflowPunct w:val="0"/>
              <w:topLinePunct w:val="0"/>
              <w:bidi w:val="0"/>
              <w:spacing w:line="5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4、代理服务费缴纳账户：</w:t>
            </w:r>
          </w:p>
          <w:p w14:paraId="4373BC7F">
            <w:pPr>
              <w:pageBreakBefore w:val="0"/>
              <w:kinsoku/>
              <w:wordWrap/>
              <w:overflowPunct w:val="0"/>
              <w:topLinePunct w:val="0"/>
              <w:bidi w:val="0"/>
              <w:spacing w:line="5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户名：</w:t>
            </w:r>
            <w:r>
              <w:rPr>
                <w:rFonts w:hint="eastAsia" w:ascii="宋体" w:hAnsi="宋体" w:eastAsia="宋体" w:cs="宋体"/>
                <w:color w:val="auto"/>
                <w:sz w:val="24"/>
                <w:highlight w:val="none"/>
                <w:lang w:val="en-US" w:eastAsia="zh-CN"/>
              </w:rPr>
              <w:t>安徽中资项目管理有限公司</w:t>
            </w:r>
          </w:p>
          <w:p w14:paraId="3B700483">
            <w:pPr>
              <w:pageBreakBefore w:val="0"/>
              <w:kinsoku/>
              <w:wordWrap/>
              <w:overflowPunct w:val="0"/>
              <w:topLinePunct w:val="0"/>
              <w:bidi w:val="0"/>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开户行：中国农业银行股份有限公司合肥天柱路支行</w:t>
            </w:r>
          </w:p>
          <w:p w14:paraId="4F0AF271">
            <w:pPr>
              <w:pageBreakBefore w:val="0"/>
              <w:kinsoku/>
              <w:wordWrap/>
              <w:overflowPunct w:val="0"/>
              <w:topLinePunct w:val="0"/>
              <w:bidi w:val="0"/>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账号：12086201040024987</w:t>
            </w:r>
          </w:p>
          <w:p w14:paraId="0F30118B">
            <w:pPr>
              <w:pageBreakBefore w:val="0"/>
              <w:kinsoku/>
              <w:wordWrap/>
              <w:overflowPunct w:val="0"/>
              <w:topLinePunct w:val="0"/>
              <w:bidi w:val="0"/>
              <w:spacing w:line="5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5、代理服务费须从</w:t>
            </w:r>
            <w:r>
              <w:rPr>
                <w:rFonts w:hint="eastAsia" w:ascii="宋体" w:hAnsi="宋体" w:eastAsia="宋体" w:cs="宋体"/>
                <w:b/>
                <w:bCs/>
                <w:color w:val="auto"/>
                <w:sz w:val="24"/>
                <w:highlight w:val="none"/>
                <w:lang w:val="en-US" w:eastAsia="zh-CN"/>
              </w:rPr>
              <w:t>中标</w:t>
            </w:r>
            <w:r>
              <w:rPr>
                <w:rFonts w:hint="eastAsia" w:ascii="宋体" w:hAnsi="宋体" w:eastAsia="宋体" w:cs="宋体"/>
                <w:b/>
                <w:bCs/>
                <w:color w:val="auto"/>
                <w:sz w:val="24"/>
                <w:highlight w:val="none"/>
                <w:lang w:eastAsia="zh-CN"/>
              </w:rPr>
              <w:t>人</w:t>
            </w:r>
            <w:r>
              <w:rPr>
                <w:rFonts w:hint="eastAsia" w:ascii="宋体" w:hAnsi="宋体" w:eastAsia="宋体" w:cs="宋体"/>
                <w:b/>
                <w:bCs/>
                <w:color w:val="auto"/>
                <w:sz w:val="24"/>
                <w:highlight w:val="none"/>
              </w:rPr>
              <w:t>账户转出，并备注项目名称。</w:t>
            </w:r>
          </w:p>
          <w:p w14:paraId="6394AB44">
            <w:pPr>
              <w:pageBreakBefore w:val="0"/>
              <w:kinsoku/>
              <w:wordWrap/>
              <w:overflowPunct w:val="0"/>
              <w:topLinePunct w:val="0"/>
              <w:bidi w:val="0"/>
              <w:spacing w:line="500" w:lineRule="exact"/>
              <w:jc w:val="both"/>
              <w:rPr>
                <w:rFonts w:hint="eastAsia"/>
                <w:bCs/>
                <w:color w:val="auto"/>
                <w:szCs w:val="24"/>
                <w:highlight w:val="none"/>
              </w:rPr>
            </w:pPr>
            <w:r>
              <w:rPr>
                <w:rFonts w:hint="eastAsia" w:ascii="宋体" w:hAnsi="宋体" w:cs="宋体"/>
                <w:b w:val="0"/>
                <w:bCs w:val="0"/>
                <w:color w:val="auto"/>
                <w:sz w:val="24"/>
                <w:highlight w:val="none"/>
                <w:lang w:val="en-US" w:eastAsia="zh-CN"/>
              </w:rPr>
              <w:t>6、本项目</w:t>
            </w:r>
            <w:r>
              <w:rPr>
                <w:rFonts w:hint="eastAsia" w:ascii="宋体" w:hAnsi="宋体" w:eastAsia="宋体" w:cs="宋体"/>
                <w:b w:val="0"/>
                <w:bCs w:val="0"/>
                <w:color w:val="auto"/>
                <w:sz w:val="24"/>
                <w:highlight w:val="none"/>
                <w:lang w:val="en-US" w:eastAsia="zh-CN"/>
              </w:rPr>
              <w:t>运输服务</w:t>
            </w:r>
            <w:r>
              <w:rPr>
                <w:rFonts w:hint="eastAsia" w:ascii="宋体" w:hAnsi="宋体" w:cs="宋体"/>
                <w:b w:val="0"/>
                <w:bCs w:val="0"/>
                <w:color w:val="auto"/>
                <w:sz w:val="24"/>
                <w:highlight w:val="none"/>
                <w:lang w:val="en-US" w:eastAsia="zh-CN"/>
              </w:rPr>
              <w:t>价格评估费用由中标人承担并支付至评估单位，金额</w:t>
            </w:r>
            <w:r>
              <w:rPr>
                <w:rFonts w:hint="eastAsia" w:ascii="宋体" w:hAnsi="宋体" w:eastAsia="宋体" w:cs="宋体"/>
                <w:b w:val="0"/>
                <w:bCs w:val="0"/>
                <w:color w:val="auto"/>
                <w:sz w:val="24"/>
                <w:highlight w:val="none"/>
                <w:lang w:val="en-US" w:eastAsia="zh-CN"/>
              </w:rPr>
              <w:t>2000元</w:t>
            </w:r>
            <w:r>
              <w:rPr>
                <w:rFonts w:hint="eastAsia" w:ascii="宋体" w:hAnsi="宋体" w:cs="宋体"/>
                <w:b w:val="0"/>
                <w:bCs w:val="0"/>
                <w:color w:val="auto"/>
                <w:sz w:val="24"/>
                <w:highlight w:val="none"/>
                <w:lang w:val="en-US" w:eastAsia="zh-CN"/>
              </w:rPr>
              <w:t>。</w:t>
            </w:r>
          </w:p>
        </w:tc>
      </w:tr>
      <w:tr w14:paraId="6DB8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737" w:type="dxa"/>
            <w:noWrap w:val="0"/>
            <w:vAlign w:val="center"/>
          </w:tcPr>
          <w:p w14:paraId="3B31838D">
            <w:pPr>
              <w:pStyle w:val="81"/>
              <w:pBdr>
                <w:bottom w:val="none" w:color="auto" w:sz="0" w:space="0"/>
              </w:pBdr>
              <w:tabs>
                <w:tab w:val="clear" w:pos="4153"/>
                <w:tab w:val="clear" w:pos="8306"/>
              </w:tabs>
              <w:adjustRightInd/>
              <w:spacing w:line="460" w:lineRule="exact"/>
              <w:textAlignment w:val="auto"/>
              <w:rPr>
                <w:rFonts w:ascii="宋体" w:hAnsi="宋体"/>
                <w:b w:val="0"/>
                <w:bCs/>
                <w:color w:val="auto"/>
                <w:kern w:val="2"/>
                <w:sz w:val="24"/>
                <w:szCs w:val="24"/>
                <w:highlight w:val="none"/>
                <w:lang w:val="en-US" w:eastAsia="zh-CN" w:bidi="ar-SA"/>
              </w:rPr>
            </w:pPr>
            <w:r>
              <w:rPr>
                <w:rFonts w:hint="eastAsia" w:ascii="宋体" w:hAnsi="宋体"/>
                <w:b w:val="0"/>
                <w:bCs/>
                <w:color w:val="auto"/>
                <w:kern w:val="2"/>
                <w:szCs w:val="24"/>
                <w:highlight w:val="none"/>
              </w:rPr>
              <w:t>10</w:t>
            </w:r>
          </w:p>
        </w:tc>
        <w:tc>
          <w:tcPr>
            <w:tcW w:w="1701" w:type="dxa"/>
            <w:noWrap w:val="0"/>
            <w:vAlign w:val="center"/>
          </w:tcPr>
          <w:p w14:paraId="5CB208C7">
            <w:pPr>
              <w:pStyle w:val="81"/>
              <w:pBdr>
                <w:bottom w:val="none" w:color="auto" w:sz="0" w:space="0"/>
              </w:pBdr>
              <w:tabs>
                <w:tab w:val="clear" w:pos="4153"/>
                <w:tab w:val="clear" w:pos="8306"/>
              </w:tabs>
              <w:adjustRightInd/>
              <w:spacing w:line="460" w:lineRule="exact"/>
              <w:textAlignment w:val="auto"/>
              <w:rPr>
                <w:rFonts w:hint="eastAsia" w:ascii="宋体" w:hAnsi="宋体"/>
                <w:color w:val="auto"/>
                <w:szCs w:val="24"/>
                <w:highlight w:val="none"/>
              </w:rPr>
            </w:pPr>
            <w:r>
              <w:rPr>
                <w:rFonts w:hint="eastAsia" w:ascii="宋体" w:hAnsi="宋体"/>
                <w:bCs/>
                <w:color w:val="auto"/>
                <w:kern w:val="2"/>
                <w:szCs w:val="24"/>
                <w:highlight w:val="none"/>
              </w:rPr>
              <w:t>履约保证金</w:t>
            </w:r>
          </w:p>
        </w:tc>
        <w:tc>
          <w:tcPr>
            <w:tcW w:w="7370" w:type="dxa"/>
            <w:noWrap w:val="0"/>
            <w:vAlign w:val="center"/>
          </w:tcPr>
          <w:p w14:paraId="0A6264A9">
            <w:pPr>
              <w:pStyle w:val="81"/>
              <w:pBdr>
                <w:bottom w:val="none" w:color="auto" w:sz="0" w:space="0"/>
              </w:pBdr>
              <w:tabs>
                <w:tab w:val="clear" w:pos="4153"/>
                <w:tab w:val="clear" w:pos="8306"/>
              </w:tabs>
              <w:adjustRightInd/>
              <w:spacing w:line="440" w:lineRule="exact"/>
              <w:jc w:val="both"/>
              <w:textAlignment w:val="auto"/>
              <w:rPr>
                <w:rFonts w:hint="eastAsia" w:ascii="宋体" w:hAnsi="宋体"/>
                <w:bCs/>
                <w:color w:val="auto"/>
                <w:kern w:val="2"/>
                <w:szCs w:val="24"/>
                <w:highlight w:val="none"/>
              </w:rPr>
            </w:pPr>
            <w:r>
              <w:rPr>
                <w:rFonts w:hint="eastAsia" w:ascii="宋体" w:hAnsi="宋体"/>
                <w:bCs/>
                <w:color w:val="auto"/>
                <w:kern w:val="2"/>
                <w:szCs w:val="24"/>
                <w:highlight w:val="none"/>
              </w:rPr>
              <w:t>1、中标</w:t>
            </w:r>
            <w:r>
              <w:rPr>
                <w:rFonts w:hint="eastAsia" w:ascii="宋体" w:hAnsi="宋体"/>
                <w:bCs/>
                <w:color w:val="auto"/>
                <w:kern w:val="2"/>
                <w:szCs w:val="24"/>
                <w:highlight w:val="none"/>
                <w:lang w:val="en-US" w:eastAsia="zh-CN"/>
              </w:rPr>
              <w:t>人</w:t>
            </w:r>
            <w:r>
              <w:rPr>
                <w:rFonts w:hint="eastAsia" w:ascii="宋体" w:hAnsi="宋体"/>
                <w:bCs/>
                <w:color w:val="auto"/>
                <w:kern w:val="2"/>
                <w:szCs w:val="24"/>
                <w:highlight w:val="none"/>
              </w:rPr>
              <w:t>在签订合同</w:t>
            </w:r>
            <w:r>
              <w:rPr>
                <w:rFonts w:hint="eastAsia" w:ascii="宋体" w:hAnsi="宋体"/>
                <w:color w:val="auto"/>
                <w:sz w:val="24"/>
                <w:szCs w:val="24"/>
                <w:highlight w:val="none"/>
              </w:rPr>
              <w:t>前</w:t>
            </w:r>
            <w:r>
              <w:rPr>
                <w:rFonts w:hint="eastAsia" w:ascii="宋体" w:hAnsi="宋体"/>
                <w:bCs/>
                <w:color w:val="auto"/>
                <w:kern w:val="2"/>
                <w:szCs w:val="24"/>
                <w:highlight w:val="none"/>
              </w:rPr>
              <w:t>应向</w:t>
            </w:r>
            <w:r>
              <w:rPr>
                <w:rFonts w:hint="eastAsia" w:ascii="宋体" w:hAnsi="宋体"/>
                <w:bCs/>
                <w:color w:val="auto"/>
                <w:kern w:val="2"/>
                <w:szCs w:val="24"/>
                <w:highlight w:val="none"/>
                <w:lang w:eastAsia="zh-CN"/>
              </w:rPr>
              <w:t>招标人</w:t>
            </w:r>
            <w:r>
              <w:rPr>
                <w:rFonts w:hint="eastAsia" w:ascii="宋体" w:hAnsi="宋体"/>
                <w:bCs/>
                <w:color w:val="auto"/>
                <w:kern w:val="2"/>
                <w:szCs w:val="24"/>
                <w:highlight w:val="none"/>
              </w:rPr>
              <w:t>提交合同总价</w:t>
            </w:r>
            <w:r>
              <w:rPr>
                <w:rFonts w:hint="eastAsia" w:ascii="宋体" w:hAnsi="宋体"/>
                <w:bCs/>
                <w:color w:val="auto"/>
                <w:kern w:val="2"/>
                <w:szCs w:val="24"/>
                <w:highlight w:val="none"/>
                <w:u w:val="single"/>
                <w:lang w:val="en-US" w:eastAsia="zh-CN"/>
              </w:rPr>
              <w:t>2</w:t>
            </w:r>
            <w:r>
              <w:rPr>
                <w:rFonts w:hint="eastAsia" w:ascii="宋体" w:hAnsi="宋体"/>
                <w:bCs/>
                <w:color w:val="auto"/>
                <w:kern w:val="2"/>
                <w:szCs w:val="24"/>
                <w:highlight w:val="none"/>
                <w:u w:val="single"/>
              </w:rPr>
              <w:t>%</w:t>
            </w:r>
            <w:r>
              <w:rPr>
                <w:rFonts w:hint="eastAsia" w:ascii="宋体" w:hAnsi="宋体"/>
                <w:bCs/>
                <w:color w:val="auto"/>
                <w:kern w:val="2"/>
                <w:szCs w:val="24"/>
                <w:highlight w:val="none"/>
              </w:rPr>
              <w:t>的履约保证金。</w:t>
            </w:r>
          </w:p>
          <w:p w14:paraId="3717A594">
            <w:pPr>
              <w:pStyle w:val="81"/>
              <w:pBdr>
                <w:bottom w:val="none" w:color="auto" w:sz="0" w:space="0"/>
              </w:pBdr>
              <w:tabs>
                <w:tab w:val="clear" w:pos="4153"/>
                <w:tab w:val="clear" w:pos="8306"/>
              </w:tabs>
              <w:adjustRightInd/>
              <w:spacing w:line="440" w:lineRule="exact"/>
              <w:jc w:val="both"/>
              <w:textAlignment w:val="auto"/>
              <w:rPr>
                <w:rFonts w:hint="eastAsia" w:ascii="宋体" w:hAnsi="宋体"/>
                <w:bCs/>
                <w:color w:val="auto"/>
                <w:kern w:val="2"/>
                <w:szCs w:val="24"/>
                <w:highlight w:val="none"/>
              </w:rPr>
            </w:pPr>
            <w:r>
              <w:rPr>
                <w:rFonts w:hint="eastAsia" w:ascii="宋体" w:hAnsi="宋体"/>
                <w:bCs/>
                <w:color w:val="auto"/>
                <w:kern w:val="2"/>
                <w:szCs w:val="24"/>
                <w:highlight w:val="none"/>
              </w:rPr>
              <w:t>2、中标</w:t>
            </w:r>
            <w:r>
              <w:rPr>
                <w:rFonts w:hint="eastAsia" w:ascii="宋体" w:hAnsi="宋体"/>
                <w:bCs/>
                <w:color w:val="auto"/>
                <w:kern w:val="2"/>
                <w:szCs w:val="24"/>
                <w:highlight w:val="none"/>
                <w:lang w:val="en-US" w:eastAsia="zh-CN"/>
              </w:rPr>
              <w:t>人</w:t>
            </w:r>
            <w:r>
              <w:rPr>
                <w:rFonts w:hint="eastAsia" w:ascii="宋体" w:hAnsi="宋体"/>
                <w:bCs/>
                <w:color w:val="auto"/>
                <w:kern w:val="2"/>
                <w:szCs w:val="24"/>
                <w:highlight w:val="none"/>
              </w:rPr>
              <w:t>可以通过转账、网银支付、汇票、支票、保证保险、银行履约保函等方式提交履约保证金。</w:t>
            </w:r>
            <w:r>
              <w:rPr>
                <w:rFonts w:hint="eastAsia" w:ascii="宋体" w:hAnsi="宋体" w:eastAsia="宋体" w:cs="Times New Roman"/>
                <w:bCs/>
                <w:color w:val="auto"/>
                <w:kern w:val="2"/>
                <w:szCs w:val="24"/>
                <w:highlight w:val="none"/>
                <w:lang w:eastAsia="zh-CN"/>
              </w:rPr>
              <w:t>采用纸质保证保险、纸质银行保函的，该保险、保函应当是</w:t>
            </w:r>
            <w:r>
              <w:rPr>
                <w:rFonts w:hint="eastAsia" w:ascii="新宋体" w:hAnsi="新宋体" w:eastAsia="新宋体" w:cs="新宋体"/>
                <w:color w:val="auto"/>
                <w:spacing w:val="0"/>
                <w:sz w:val="24"/>
                <w:szCs w:val="24"/>
                <w:highlight w:val="none"/>
              </w:rPr>
              <w:t>不可撤销、不可转让的</w:t>
            </w:r>
            <w:r>
              <w:rPr>
                <w:rFonts w:hint="eastAsia" w:ascii="宋体" w:hAnsi="宋体" w:eastAsia="宋体" w:cs="Times New Roman"/>
                <w:bCs/>
                <w:color w:val="auto"/>
                <w:kern w:val="2"/>
                <w:szCs w:val="24"/>
                <w:highlight w:val="none"/>
                <w:lang w:eastAsia="zh-CN"/>
              </w:rPr>
              <w:t>无条件见索即付的保证保险、银行保函，保证保险、银行保函期限必须</w:t>
            </w:r>
            <w:r>
              <w:rPr>
                <w:rFonts w:hint="eastAsia" w:ascii="宋体" w:hAnsi="宋体" w:eastAsia="宋体" w:cs="Times New Roman"/>
                <w:bCs/>
                <w:color w:val="auto"/>
                <w:kern w:val="2"/>
                <w:szCs w:val="24"/>
                <w:highlight w:val="none"/>
                <w:lang w:val="en-US" w:eastAsia="zh-CN"/>
              </w:rPr>
              <w:t>满足项目服务期要求</w:t>
            </w:r>
            <w:r>
              <w:rPr>
                <w:rFonts w:hint="eastAsia" w:ascii="宋体" w:hAnsi="宋体" w:eastAsia="宋体" w:cs="Times New Roman"/>
                <w:bCs/>
                <w:color w:val="auto"/>
                <w:kern w:val="2"/>
                <w:szCs w:val="24"/>
                <w:highlight w:val="none"/>
                <w:lang w:eastAsia="zh-CN"/>
              </w:rPr>
              <w:t>，受益人应为</w:t>
            </w:r>
            <w:r>
              <w:rPr>
                <w:rFonts w:hint="eastAsia" w:ascii="宋体" w:hAnsi="宋体" w:eastAsia="宋体" w:cs="Times New Roman"/>
                <w:bCs/>
                <w:color w:val="auto"/>
                <w:kern w:val="2"/>
                <w:szCs w:val="24"/>
                <w:highlight w:val="none"/>
                <w:lang w:val="en-US" w:eastAsia="zh-CN"/>
              </w:rPr>
              <w:t>招标人</w:t>
            </w:r>
            <w:r>
              <w:rPr>
                <w:rFonts w:hint="eastAsia" w:ascii="宋体" w:hAnsi="宋体" w:eastAsia="宋体" w:cs="Times New Roman"/>
                <w:bCs/>
                <w:color w:val="auto"/>
                <w:kern w:val="2"/>
                <w:szCs w:val="24"/>
                <w:highlight w:val="none"/>
                <w:lang w:eastAsia="zh-CN"/>
              </w:rPr>
              <w:t>。</w:t>
            </w:r>
          </w:p>
          <w:p w14:paraId="6D8EA5B8">
            <w:pPr>
              <w:pStyle w:val="81"/>
              <w:pBdr>
                <w:bottom w:val="none" w:color="auto" w:sz="0" w:space="0"/>
              </w:pBdr>
              <w:tabs>
                <w:tab w:val="clear" w:pos="4153"/>
                <w:tab w:val="clear" w:pos="8306"/>
              </w:tabs>
              <w:adjustRightInd/>
              <w:spacing w:line="460" w:lineRule="exact"/>
              <w:jc w:val="both"/>
              <w:textAlignment w:val="auto"/>
              <w:rPr>
                <w:rFonts w:hint="eastAsia" w:ascii="宋体" w:hAnsi="宋体"/>
                <w:bCs/>
                <w:color w:val="auto"/>
                <w:kern w:val="2"/>
                <w:szCs w:val="24"/>
                <w:highlight w:val="none"/>
              </w:rPr>
            </w:pPr>
            <w:r>
              <w:rPr>
                <w:rStyle w:val="43"/>
                <w:rFonts w:hint="eastAsia" w:ascii="宋体" w:hAnsi="宋体" w:eastAsia="宋体" w:cs="宋体"/>
                <w:b w:val="0"/>
                <w:bCs w:val="0"/>
                <w:color w:val="auto"/>
                <w:sz w:val="24"/>
                <w:highlight w:val="none"/>
                <w:lang w:val="en-US" w:eastAsia="zh-CN"/>
              </w:rPr>
              <w:t>3、</w:t>
            </w:r>
            <w:r>
              <w:rPr>
                <w:rStyle w:val="43"/>
                <w:rFonts w:hint="eastAsia" w:ascii="宋体" w:hAnsi="宋体" w:eastAsia="宋体" w:cs="宋体"/>
                <w:b w:val="0"/>
                <w:bCs w:val="0"/>
                <w:color w:val="auto"/>
                <w:sz w:val="24"/>
                <w:highlight w:val="none"/>
              </w:rPr>
              <w:t>中标人必须按上述要求提交履约保证金并与招标人签订合同，超过时限未提交履约保证金或因中标人自身原因未在招标文件约定时限内签订合同的，其中标资格无效，招标人依据《中华人民共和国招标投标法实施条例》第五十五条规定依次确定其他中标候选人为中标人或重新招标。</w:t>
            </w:r>
          </w:p>
          <w:p w14:paraId="30B4AF1A">
            <w:pPr>
              <w:pStyle w:val="81"/>
              <w:pBdr>
                <w:bottom w:val="none" w:color="auto" w:sz="0" w:space="0"/>
              </w:pBdr>
              <w:tabs>
                <w:tab w:val="clear" w:pos="4153"/>
                <w:tab w:val="clear" w:pos="8306"/>
              </w:tabs>
              <w:adjustRightInd/>
              <w:spacing w:line="460" w:lineRule="exact"/>
              <w:jc w:val="both"/>
              <w:textAlignment w:val="auto"/>
              <w:rPr>
                <w:rFonts w:hint="eastAsia"/>
                <w:b/>
                <w:bCs/>
                <w:color w:val="auto"/>
                <w:szCs w:val="24"/>
                <w:highlight w:val="none"/>
              </w:rPr>
            </w:pPr>
            <w:r>
              <w:rPr>
                <w:rFonts w:hint="eastAsia" w:ascii="宋体" w:hAnsi="宋体"/>
                <w:bCs/>
                <w:color w:val="auto"/>
                <w:kern w:val="2"/>
                <w:szCs w:val="24"/>
                <w:highlight w:val="none"/>
                <w:lang w:val="en-US" w:eastAsia="zh-CN"/>
              </w:rPr>
              <w:t>4</w:t>
            </w:r>
            <w:r>
              <w:rPr>
                <w:rFonts w:hint="eastAsia" w:ascii="宋体" w:hAnsi="宋体"/>
                <w:bCs/>
                <w:color w:val="auto"/>
                <w:kern w:val="2"/>
                <w:szCs w:val="24"/>
                <w:highlight w:val="none"/>
              </w:rPr>
              <w:t>、项目</w:t>
            </w:r>
            <w:r>
              <w:rPr>
                <w:rFonts w:hint="eastAsia" w:ascii="宋体" w:hAnsi="宋体"/>
                <w:bCs/>
                <w:color w:val="auto"/>
                <w:kern w:val="2"/>
                <w:szCs w:val="24"/>
                <w:highlight w:val="none"/>
                <w:lang w:val="en-US" w:eastAsia="zh-CN"/>
              </w:rPr>
              <w:t>通过招标人组织的验收</w:t>
            </w:r>
            <w:r>
              <w:rPr>
                <w:rFonts w:hint="eastAsia" w:ascii="宋体" w:hAnsi="宋体"/>
                <w:bCs/>
                <w:color w:val="auto"/>
                <w:kern w:val="2"/>
                <w:szCs w:val="24"/>
                <w:highlight w:val="none"/>
              </w:rPr>
              <w:t>后退还履约保证金。</w:t>
            </w:r>
          </w:p>
        </w:tc>
      </w:tr>
      <w:tr w14:paraId="04EC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737" w:type="dxa"/>
            <w:noWrap w:val="0"/>
            <w:vAlign w:val="center"/>
          </w:tcPr>
          <w:p w14:paraId="1E792720">
            <w:pPr>
              <w:pStyle w:val="81"/>
              <w:pBdr>
                <w:bottom w:val="none" w:color="auto" w:sz="0" w:space="0"/>
              </w:pBdr>
              <w:tabs>
                <w:tab w:val="clear" w:pos="4153"/>
                <w:tab w:val="clear" w:pos="8306"/>
              </w:tabs>
              <w:adjustRightInd/>
              <w:spacing w:line="460" w:lineRule="exact"/>
              <w:textAlignment w:val="auto"/>
              <w:rPr>
                <w:rFonts w:ascii="宋体" w:hAnsi="宋体"/>
                <w:b w:val="0"/>
                <w:bCs/>
                <w:color w:val="auto"/>
                <w:kern w:val="2"/>
                <w:sz w:val="24"/>
                <w:szCs w:val="24"/>
                <w:highlight w:val="none"/>
                <w:lang w:val="en-US" w:eastAsia="zh-CN" w:bidi="ar-SA"/>
              </w:rPr>
            </w:pPr>
            <w:r>
              <w:rPr>
                <w:rFonts w:hint="eastAsia" w:ascii="宋体" w:hAnsi="宋体"/>
                <w:b w:val="0"/>
                <w:bCs/>
                <w:color w:val="auto"/>
                <w:kern w:val="2"/>
                <w:szCs w:val="24"/>
                <w:highlight w:val="none"/>
              </w:rPr>
              <w:t>11</w:t>
            </w:r>
          </w:p>
        </w:tc>
        <w:tc>
          <w:tcPr>
            <w:tcW w:w="1701" w:type="dxa"/>
            <w:noWrap w:val="0"/>
            <w:vAlign w:val="center"/>
          </w:tcPr>
          <w:p w14:paraId="0880C5FF">
            <w:pPr>
              <w:pStyle w:val="81"/>
              <w:pBdr>
                <w:bottom w:val="none" w:color="auto" w:sz="0" w:space="0"/>
              </w:pBdr>
              <w:tabs>
                <w:tab w:val="clear" w:pos="4153"/>
                <w:tab w:val="clear" w:pos="8306"/>
              </w:tabs>
              <w:adjustRightInd/>
              <w:spacing w:line="460" w:lineRule="exact"/>
              <w:textAlignment w:val="auto"/>
              <w:rPr>
                <w:rFonts w:hint="eastAsia" w:ascii="宋体" w:hAnsi="宋体"/>
                <w:bCs/>
                <w:color w:val="auto"/>
                <w:kern w:val="2"/>
                <w:szCs w:val="24"/>
                <w:highlight w:val="none"/>
              </w:rPr>
            </w:pPr>
            <w:r>
              <w:rPr>
                <w:rFonts w:hint="eastAsia" w:ascii="宋体" w:hAnsi="宋体"/>
                <w:bCs/>
                <w:color w:val="auto"/>
                <w:kern w:val="2"/>
                <w:szCs w:val="24"/>
                <w:highlight w:val="none"/>
              </w:rPr>
              <w:t>勘察现场</w:t>
            </w:r>
          </w:p>
        </w:tc>
        <w:tc>
          <w:tcPr>
            <w:tcW w:w="7370" w:type="dxa"/>
            <w:noWrap w:val="0"/>
            <w:vAlign w:val="center"/>
          </w:tcPr>
          <w:p w14:paraId="12363A3F">
            <w:pPr>
              <w:pStyle w:val="81"/>
              <w:pBdr>
                <w:bottom w:val="none" w:color="auto" w:sz="0" w:space="0"/>
              </w:pBdr>
              <w:tabs>
                <w:tab w:val="clear" w:pos="4153"/>
                <w:tab w:val="clear" w:pos="8306"/>
              </w:tabs>
              <w:adjustRightInd/>
              <w:spacing w:line="460" w:lineRule="exact"/>
              <w:jc w:val="both"/>
              <w:textAlignment w:val="auto"/>
              <w:rPr>
                <w:rFonts w:hint="eastAsia" w:ascii="宋体" w:hAnsi="宋体"/>
                <w:bCs/>
                <w:color w:val="auto"/>
                <w:kern w:val="2"/>
                <w:szCs w:val="24"/>
                <w:highlight w:val="none"/>
              </w:rPr>
            </w:pPr>
            <w:r>
              <w:rPr>
                <w:rFonts w:hint="eastAsia" w:ascii="宋体" w:hAnsi="宋体"/>
                <w:bCs/>
                <w:color w:val="auto"/>
                <w:kern w:val="2"/>
                <w:szCs w:val="24"/>
                <w:highlight w:val="none"/>
              </w:rPr>
              <w:t>请各投标</w:t>
            </w:r>
            <w:r>
              <w:rPr>
                <w:rFonts w:hint="eastAsia" w:ascii="宋体" w:hAnsi="宋体"/>
                <w:bCs/>
                <w:color w:val="auto"/>
                <w:kern w:val="2"/>
                <w:szCs w:val="24"/>
                <w:highlight w:val="none"/>
                <w:lang w:eastAsia="zh-CN"/>
              </w:rPr>
              <w:t>人</w:t>
            </w:r>
            <w:r>
              <w:rPr>
                <w:rFonts w:hint="eastAsia" w:ascii="宋体" w:hAnsi="宋体"/>
                <w:bCs/>
                <w:color w:val="auto"/>
                <w:kern w:val="2"/>
                <w:szCs w:val="24"/>
                <w:highlight w:val="none"/>
              </w:rPr>
              <w:t>联系</w:t>
            </w:r>
            <w:r>
              <w:rPr>
                <w:rFonts w:hint="eastAsia" w:ascii="宋体" w:hAnsi="宋体"/>
                <w:bCs/>
                <w:color w:val="auto"/>
                <w:kern w:val="2"/>
                <w:szCs w:val="24"/>
                <w:highlight w:val="none"/>
                <w:lang w:eastAsia="zh-CN"/>
              </w:rPr>
              <w:t>招标人</w:t>
            </w:r>
            <w:r>
              <w:rPr>
                <w:rFonts w:hint="eastAsia" w:ascii="宋体" w:hAnsi="宋体"/>
                <w:bCs/>
                <w:color w:val="auto"/>
                <w:kern w:val="2"/>
                <w:szCs w:val="24"/>
                <w:highlight w:val="none"/>
              </w:rPr>
              <w:t>自行勘踏</w:t>
            </w:r>
          </w:p>
        </w:tc>
      </w:tr>
      <w:tr w14:paraId="4E3D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737" w:type="dxa"/>
            <w:noWrap w:val="0"/>
            <w:vAlign w:val="center"/>
          </w:tcPr>
          <w:p w14:paraId="34EA0BDD">
            <w:pPr>
              <w:pStyle w:val="81"/>
              <w:pBdr>
                <w:bottom w:val="none" w:color="auto" w:sz="0" w:space="0"/>
              </w:pBdr>
              <w:tabs>
                <w:tab w:val="clear" w:pos="4153"/>
                <w:tab w:val="clear" w:pos="8306"/>
              </w:tabs>
              <w:adjustRightInd/>
              <w:spacing w:line="460" w:lineRule="exact"/>
              <w:textAlignment w:val="auto"/>
              <w:rPr>
                <w:rFonts w:ascii="宋体" w:hAnsi="宋体"/>
                <w:b w:val="0"/>
                <w:bCs/>
                <w:color w:val="auto"/>
                <w:kern w:val="2"/>
                <w:sz w:val="24"/>
                <w:szCs w:val="24"/>
                <w:highlight w:val="none"/>
                <w:lang w:val="en-US" w:eastAsia="zh-CN" w:bidi="ar-SA"/>
              </w:rPr>
            </w:pPr>
            <w:r>
              <w:rPr>
                <w:rFonts w:hint="eastAsia" w:ascii="宋体" w:hAnsi="宋体"/>
                <w:b w:val="0"/>
                <w:bCs/>
                <w:color w:val="auto"/>
                <w:kern w:val="2"/>
                <w:szCs w:val="24"/>
                <w:highlight w:val="none"/>
              </w:rPr>
              <w:t>12</w:t>
            </w:r>
          </w:p>
        </w:tc>
        <w:tc>
          <w:tcPr>
            <w:tcW w:w="1701" w:type="dxa"/>
            <w:noWrap w:val="0"/>
            <w:vAlign w:val="center"/>
          </w:tcPr>
          <w:p w14:paraId="19037B86">
            <w:pPr>
              <w:pStyle w:val="81"/>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提问与回复</w:t>
            </w:r>
          </w:p>
        </w:tc>
        <w:tc>
          <w:tcPr>
            <w:tcW w:w="7370" w:type="dxa"/>
            <w:noWrap w:val="0"/>
            <w:vAlign w:val="center"/>
          </w:tcPr>
          <w:p w14:paraId="2B4C5A96">
            <w:pPr>
              <w:pStyle w:val="81"/>
              <w:pBdr>
                <w:bottom w:val="none" w:color="auto" w:sz="0" w:space="0"/>
              </w:pBdr>
              <w:tabs>
                <w:tab w:val="clear" w:pos="4153"/>
                <w:tab w:val="clear" w:pos="8306"/>
              </w:tabs>
              <w:adjustRightInd/>
              <w:spacing w:line="440" w:lineRule="exact"/>
              <w:jc w:val="both"/>
              <w:textAlignment w:val="auto"/>
              <w:rPr>
                <w:rFonts w:hint="eastAsia" w:ascii="宋体" w:hAnsi="宋体"/>
                <w:bCs/>
                <w:color w:val="auto"/>
                <w:kern w:val="2"/>
                <w:szCs w:val="24"/>
                <w:highlight w:val="none"/>
              </w:rPr>
            </w:pPr>
            <w:r>
              <w:rPr>
                <w:rFonts w:hint="eastAsia" w:ascii="宋体" w:hAnsi="宋体"/>
                <w:bCs/>
                <w:color w:val="auto"/>
                <w:kern w:val="2"/>
                <w:szCs w:val="24"/>
                <w:highlight w:val="none"/>
                <w:u w:val="none"/>
              </w:rPr>
              <w:t>1、</w:t>
            </w:r>
            <w:r>
              <w:rPr>
                <w:rFonts w:hint="eastAsia" w:ascii="宋体" w:hAnsi="宋体"/>
                <w:bCs/>
                <w:color w:val="auto"/>
                <w:kern w:val="2"/>
                <w:szCs w:val="24"/>
                <w:highlight w:val="none"/>
                <w:u w:val="none"/>
                <w:lang w:val="en-US" w:eastAsia="zh-CN"/>
              </w:rPr>
              <w:t>投标人</w:t>
            </w:r>
            <w:r>
              <w:rPr>
                <w:rFonts w:hint="eastAsia" w:ascii="宋体" w:hAnsi="宋体"/>
                <w:bCs/>
                <w:color w:val="auto"/>
                <w:kern w:val="2"/>
                <w:szCs w:val="24"/>
                <w:highlight w:val="none"/>
                <w:u w:val="none"/>
              </w:rPr>
              <w:t>对招标文件内容</w:t>
            </w:r>
            <w:r>
              <w:rPr>
                <w:rFonts w:hint="eastAsia" w:ascii="宋体" w:hAnsi="宋体"/>
                <w:bCs/>
                <w:color w:val="auto"/>
                <w:kern w:val="2"/>
                <w:szCs w:val="24"/>
                <w:highlight w:val="none"/>
                <w:u w:val="none"/>
                <w:lang w:eastAsia="zh-CN"/>
              </w:rPr>
              <w:t>的</w:t>
            </w:r>
            <w:r>
              <w:rPr>
                <w:rFonts w:hint="eastAsia" w:ascii="宋体" w:hAnsi="宋体"/>
                <w:bCs/>
                <w:color w:val="auto"/>
                <w:kern w:val="2"/>
                <w:szCs w:val="24"/>
                <w:highlight w:val="none"/>
                <w:u w:val="none"/>
                <w:lang w:val="en-US" w:eastAsia="zh-CN"/>
              </w:rPr>
              <w:t>相关疑问，</w:t>
            </w:r>
            <w:r>
              <w:rPr>
                <w:rFonts w:hint="eastAsia" w:ascii="宋体" w:hAnsi="宋体"/>
                <w:bCs/>
                <w:color w:val="auto"/>
                <w:kern w:val="2"/>
                <w:szCs w:val="24"/>
                <w:highlight w:val="none"/>
                <w:u w:val="none"/>
              </w:rPr>
              <w:t>可</w:t>
            </w:r>
            <w:r>
              <w:rPr>
                <w:rFonts w:hint="eastAsia" w:ascii="宋体" w:hAnsi="宋体"/>
                <w:bCs/>
                <w:color w:val="auto"/>
                <w:kern w:val="2"/>
                <w:szCs w:val="24"/>
                <w:highlight w:val="none"/>
                <w:u w:val="none"/>
                <w:lang w:val="en-US" w:eastAsia="zh-CN"/>
              </w:rPr>
              <w:t>以</w:t>
            </w:r>
            <w:r>
              <w:rPr>
                <w:rFonts w:hint="eastAsia" w:ascii="宋体" w:hAnsi="宋体"/>
                <w:bCs/>
                <w:color w:val="auto"/>
                <w:kern w:val="2"/>
                <w:szCs w:val="24"/>
                <w:highlight w:val="none"/>
                <w:u w:val="none"/>
              </w:rPr>
              <w:t>电子</w:t>
            </w:r>
            <w:r>
              <w:rPr>
                <w:rFonts w:hint="eastAsia" w:ascii="宋体" w:hAnsi="宋体"/>
                <w:bCs/>
                <w:color w:val="auto"/>
                <w:kern w:val="2"/>
                <w:szCs w:val="24"/>
                <w:highlight w:val="none"/>
                <w:u w:val="none"/>
                <w:lang w:val="en-US" w:eastAsia="zh-CN"/>
              </w:rPr>
              <w:t>邮件形式</w:t>
            </w:r>
            <w:r>
              <w:rPr>
                <w:rFonts w:hint="eastAsia" w:ascii="宋体" w:hAnsi="宋体"/>
                <w:bCs/>
                <w:color w:val="auto"/>
                <w:kern w:val="2"/>
                <w:szCs w:val="24"/>
                <w:highlight w:val="none"/>
                <w:u w:val="none"/>
              </w:rPr>
              <w:t>提出</w:t>
            </w:r>
            <w:r>
              <w:rPr>
                <w:rFonts w:hint="eastAsia" w:ascii="宋体" w:hAnsi="宋体"/>
                <w:bCs/>
                <w:color w:val="auto"/>
                <w:kern w:val="2"/>
                <w:szCs w:val="24"/>
                <w:highlight w:val="none"/>
                <w:u w:val="none"/>
                <w:lang w:eastAsia="zh-CN"/>
              </w:rPr>
              <w:t>（</w:t>
            </w:r>
            <w:r>
              <w:rPr>
                <w:rFonts w:hint="eastAsia" w:ascii="宋体" w:hAnsi="宋体"/>
                <w:bCs/>
                <w:color w:val="auto"/>
                <w:kern w:val="2"/>
                <w:szCs w:val="24"/>
                <w:highlight w:val="none"/>
                <w:u w:val="none"/>
                <w:lang w:val="en-US" w:eastAsia="zh-CN"/>
              </w:rPr>
              <w:t>邮箱504552259@qq.com</w:t>
            </w:r>
            <w:r>
              <w:rPr>
                <w:rFonts w:hint="eastAsia" w:ascii="宋体" w:hAnsi="宋体"/>
                <w:bCs/>
                <w:color w:val="auto"/>
                <w:kern w:val="2"/>
                <w:szCs w:val="24"/>
                <w:highlight w:val="none"/>
                <w:u w:val="none"/>
                <w:lang w:eastAsia="zh-CN"/>
              </w:rPr>
              <w:t>）。</w:t>
            </w:r>
            <w:r>
              <w:rPr>
                <w:rFonts w:hint="eastAsia" w:ascii="宋体" w:hAnsi="宋体" w:eastAsia="宋体" w:cs="宋体"/>
                <w:bCs/>
                <w:color w:val="auto"/>
                <w:spacing w:val="0"/>
                <w:sz w:val="24"/>
                <w:szCs w:val="24"/>
                <w:highlight w:val="none"/>
                <w:lang w:val="en-US" w:eastAsia="zh-CN"/>
              </w:rPr>
              <w:t>投标人提出疑问的截止时间为2025年03月</w:t>
            </w:r>
            <w:r>
              <w:rPr>
                <w:rFonts w:hint="eastAsia" w:ascii="宋体" w:hAnsi="宋体" w:cs="宋体"/>
                <w:bCs/>
                <w:color w:val="auto"/>
                <w:spacing w:val="0"/>
                <w:sz w:val="24"/>
                <w:szCs w:val="24"/>
                <w:highlight w:val="none"/>
                <w:lang w:val="en-US" w:eastAsia="zh-CN"/>
              </w:rPr>
              <w:t>10</w:t>
            </w:r>
            <w:r>
              <w:rPr>
                <w:rFonts w:hint="eastAsia" w:ascii="宋体" w:hAnsi="宋体" w:eastAsia="宋体" w:cs="宋体"/>
                <w:bCs/>
                <w:color w:val="auto"/>
                <w:spacing w:val="0"/>
                <w:sz w:val="24"/>
                <w:szCs w:val="24"/>
                <w:highlight w:val="none"/>
                <w:lang w:val="en-US" w:eastAsia="zh-CN"/>
              </w:rPr>
              <w:t>日17时00分，招标人统一答疑时间为2025年03月</w:t>
            </w:r>
            <w:r>
              <w:rPr>
                <w:rFonts w:hint="eastAsia" w:ascii="宋体" w:hAnsi="宋体" w:cs="宋体"/>
                <w:bCs/>
                <w:color w:val="auto"/>
                <w:spacing w:val="0"/>
                <w:sz w:val="24"/>
                <w:szCs w:val="24"/>
                <w:highlight w:val="none"/>
                <w:lang w:val="en-US" w:eastAsia="zh-CN"/>
              </w:rPr>
              <w:t>11</w:t>
            </w:r>
            <w:r>
              <w:rPr>
                <w:rFonts w:hint="eastAsia" w:ascii="宋体" w:hAnsi="宋体" w:eastAsia="宋体" w:cs="宋体"/>
                <w:bCs/>
                <w:color w:val="auto"/>
                <w:spacing w:val="0"/>
                <w:sz w:val="24"/>
                <w:szCs w:val="24"/>
                <w:highlight w:val="none"/>
                <w:lang w:val="en-US" w:eastAsia="zh-CN"/>
              </w:rPr>
              <w:t>日。</w:t>
            </w:r>
          </w:p>
          <w:p w14:paraId="5B444E0B">
            <w:pPr>
              <w:pStyle w:val="81"/>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highlight w:val="none"/>
              </w:rPr>
            </w:pPr>
            <w:r>
              <w:rPr>
                <w:rFonts w:hint="eastAsia" w:ascii="宋体" w:hAnsi="宋体"/>
                <w:bCs/>
                <w:color w:val="auto"/>
                <w:kern w:val="2"/>
                <w:szCs w:val="24"/>
                <w:highlight w:val="none"/>
                <w:lang w:val="en-US" w:eastAsia="zh-CN"/>
              </w:rPr>
              <w:t>2、</w:t>
            </w:r>
            <w:r>
              <w:rPr>
                <w:rFonts w:hint="eastAsia" w:ascii="宋体" w:hAnsi="宋体"/>
                <w:bCs/>
                <w:color w:val="auto"/>
                <w:kern w:val="2"/>
                <w:szCs w:val="24"/>
                <w:highlight w:val="none"/>
              </w:rPr>
              <w:t>对</w:t>
            </w:r>
            <w:r>
              <w:rPr>
                <w:rFonts w:hint="eastAsia" w:ascii="宋体" w:hAnsi="宋体"/>
                <w:bCs/>
                <w:color w:val="auto"/>
                <w:kern w:val="2"/>
                <w:szCs w:val="24"/>
                <w:highlight w:val="none"/>
                <w:lang w:val="en-US" w:eastAsia="zh-CN"/>
              </w:rPr>
              <w:t>招标</w:t>
            </w:r>
            <w:r>
              <w:rPr>
                <w:rFonts w:hint="eastAsia" w:ascii="宋体" w:hAnsi="宋体"/>
                <w:bCs/>
                <w:color w:val="auto"/>
                <w:kern w:val="2"/>
                <w:szCs w:val="24"/>
                <w:highlight w:val="none"/>
              </w:rPr>
              <w:t>文件进行的澄清或</w:t>
            </w:r>
            <w:r>
              <w:rPr>
                <w:rFonts w:hint="eastAsia" w:ascii="宋体" w:hAnsi="宋体"/>
                <w:bCs/>
                <w:color w:val="auto"/>
                <w:kern w:val="2"/>
                <w:szCs w:val="24"/>
                <w:highlight w:val="none"/>
                <w:lang w:val="en-US" w:eastAsia="zh-CN"/>
              </w:rPr>
              <w:t>修改</w:t>
            </w:r>
            <w:r>
              <w:rPr>
                <w:rFonts w:hint="eastAsia" w:ascii="宋体" w:hAnsi="宋体"/>
                <w:bCs/>
                <w:color w:val="auto"/>
                <w:kern w:val="2"/>
                <w:szCs w:val="24"/>
                <w:highlight w:val="none"/>
              </w:rPr>
              <w:t>，将在六安市公共资源交易</w:t>
            </w:r>
            <w:r>
              <w:rPr>
                <w:rFonts w:hint="eastAsia" w:ascii="宋体" w:hAnsi="宋体"/>
                <w:bCs/>
                <w:color w:val="auto"/>
                <w:kern w:val="2"/>
                <w:szCs w:val="24"/>
                <w:highlight w:val="none"/>
                <w:lang w:val="en-US" w:eastAsia="zh-CN"/>
              </w:rPr>
              <w:t>平台</w:t>
            </w:r>
            <w:r>
              <w:rPr>
                <w:rFonts w:hint="eastAsia" w:ascii="宋体" w:hAnsi="宋体"/>
                <w:bCs/>
                <w:color w:val="auto"/>
                <w:kern w:val="2"/>
                <w:szCs w:val="24"/>
                <w:highlight w:val="none"/>
              </w:rPr>
              <w:t>（http://ggzy.luan.gov.cn）“交易信息”、“</w:t>
            </w:r>
            <w:r>
              <w:rPr>
                <w:rFonts w:hint="eastAsia" w:ascii="宋体" w:hAnsi="宋体"/>
                <w:bCs/>
                <w:color w:val="auto"/>
                <w:kern w:val="2"/>
                <w:szCs w:val="24"/>
                <w:highlight w:val="none"/>
                <w:lang w:eastAsia="zh-CN"/>
              </w:rPr>
              <w:t>其他行业</w:t>
            </w:r>
            <w:r>
              <w:rPr>
                <w:rFonts w:hint="eastAsia" w:ascii="宋体" w:hAnsi="宋体"/>
                <w:bCs/>
                <w:color w:val="auto"/>
                <w:kern w:val="2"/>
                <w:szCs w:val="24"/>
                <w:highlight w:val="none"/>
              </w:rPr>
              <w:t>”版块发布，</w:t>
            </w:r>
            <w:r>
              <w:rPr>
                <w:rFonts w:hint="eastAsia" w:ascii="宋体" w:hAnsi="宋体"/>
                <w:bCs/>
                <w:color w:val="auto"/>
                <w:kern w:val="2"/>
                <w:szCs w:val="24"/>
                <w:highlight w:val="none"/>
                <w:lang w:val="en-US" w:eastAsia="zh-CN"/>
              </w:rPr>
              <w:t>相关</w:t>
            </w:r>
            <w:r>
              <w:rPr>
                <w:rFonts w:hint="eastAsia" w:ascii="宋体" w:hAnsi="宋体"/>
                <w:bCs/>
                <w:color w:val="auto"/>
                <w:kern w:val="2"/>
                <w:szCs w:val="24"/>
                <w:highlight w:val="none"/>
              </w:rPr>
              <w:t>公告为招标文件的有效组成部分，一经发布即为视同已通知所有潜在</w:t>
            </w:r>
            <w:r>
              <w:rPr>
                <w:rFonts w:hint="eastAsia" w:ascii="宋体" w:hAnsi="宋体"/>
                <w:bCs/>
                <w:color w:val="auto"/>
                <w:kern w:val="2"/>
                <w:szCs w:val="24"/>
                <w:highlight w:val="none"/>
                <w:lang w:val="en-US" w:eastAsia="zh-CN"/>
              </w:rPr>
              <w:t>投标人</w:t>
            </w:r>
            <w:r>
              <w:rPr>
                <w:rFonts w:hint="eastAsia" w:ascii="宋体" w:hAnsi="宋体"/>
                <w:bCs/>
                <w:color w:val="auto"/>
                <w:kern w:val="2"/>
                <w:szCs w:val="24"/>
                <w:highlight w:val="none"/>
              </w:rPr>
              <w:t>，若因未及时关注而造成的一切后果，由</w:t>
            </w:r>
            <w:r>
              <w:rPr>
                <w:rFonts w:hint="eastAsia" w:ascii="宋体" w:hAnsi="宋体"/>
                <w:bCs/>
                <w:color w:val="auto"/>
                <w:kern w:val="2"/>
                <w:szCs w:val="24"/>
                <w:highlight w:val="none"/>
                <w:lang w:val="en-US" w:eastAsia="zh-CN"/>
              </w:rPr>
              <w:t>投标人</w:t>
            </w:r>
            <w:r>
              <w:rPr>
                <w:rFonts w:hint="eastAsia" w:ascii="宋体" w:hAnsi="宋体"/>
                <w:bCs/>
                <w:color w:val="auto"/>
                <w:kern w:val="2"/>
                <w:szCs w:val="24"/>
                <w:highlight w:val="none"/>
              </w:rPr>
              <w:t>自行承担。</w:t>
            </w:r>
          </w:p>
        </w:tc>
      </w:tr>
      <w:tr w14:paraId="37A8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737" w:type="dxa"/>
            <w:noWrap w:val="0"/>
            <w:vAlign w:val="center"/>
          </w:tcPr>
          <w:p w14:paraId="2EDCBF7A">
            <w:pPr>
              <w:pStyle w:val="81"/>
              <w:pBdr>
                <w:bottom w:val="none" w:color="auto" w:sz="0" w:space="0"/>
              </w:pBdr>
              <w:tabs>
                <w:tab w:val="clear" w:pos="4153"/>
                <w:tab w:val="clear" w:pos="8306"/>
              </w:tabs>
              <w:adjustRightInd/>
              <w:spacing w:line="440" w:lineRule="exact"/>
              <w:textAlignment w:val="auto"/>
              <w:rPr>
                <w:rFonts w:ascii="宋体" w:hAnsi="宋体"/>
                <w:b w:val="0"/>
                <w:bCs/>
                <w:color w:val="auto"/>
                <w:kern w:val="2"/>
                <w:sz w:val="24"/>
                <w:szCs w:val="24"/>
                <w:highlight w:val="none"/>
                <w:lang w:val="en-US" w:eastAsia="zh-CN" w:bidi="ar-SA"/>
              </w:rPr>
            </w:pPr>
            <w:r>
              <w:rPr>
                <w:rFonts w:hint="eastAsia" w:ascii="宋体" w:hAnsi="宋体"/>
                <w:b w:val="0"/>
                <w:bCs/>
                <w:color w:val="auto"/>
                <w:kern w:val="2"/>
                <w:szCs w:val="24"/>
                <w:highlight w:val="none"/>
              </w:rPr>
              <w:t>13</w:t>
            </w:r>
          </w:p>
        </w:tc>
        <w:tc>
          <w:tcPr>
            <w:tcW w:w="1701" w:type="dxa"/>
            <w:noWrap w:val="0"/>
            <w:vAlign w:val="center"/>
          </w:tcPr>
          <w:p w14:paraId="4CB28849">
            <w:pPr>
              <w:pStyle w:val="81"/>
              <w:pBdr>
                <w:bottom w:val="none" w:color="auto" w:sz="0" w:space="0"/>
              </w:pBdr>
              <w:tabs>
                <w:tab w:val="clear" w:pos="4153"/>
                <w:tab w:val="clear" w:pos="8306"/>
              </w:tabs>
              <w:adjustRightInd/>
              <w:spacing w:line="440" w:lineRule="exact"/>
              <w:textAlignment w:val="auto"/>
              <w:rPr>
                <w:rFonts w:hint="default" w:ascii="宋体" w:hAnsi="宋体" w:eastAsia="宋体"/>
                <w:bCs/>
                <w:color w:val="auto"/>
                <w:kern w:val="2"/>
                <w:szCs w:val="24"/>
                <w:highlight w:val="none"/>
                <w:lang w:val="en-US" w:eastAsia="zh-CN"/>
              </w:rPr>
            </w:pPr>
            <w:r>
              <w:rPr>
                <w:rFonts w:hint="eastAsia" w:ascii="宋体" w:hAnsi="宋体"/>
                <w:bCs/>
                <w:color w:val="auto"/>
                <w:kern w:val="2"/>
                <w:szCs w:val="24"/>
                <w:highlight w:val="none"/>
                <w:lang w:val="en-US" w:eastAsia="zh-CN"/>
              </w:rPr>
              <w:t>异议及答复</w:t>
            </w:r>
          </w:p>
        </w:tc>
        <w:tc>
          <w:tcPr>
            <w:tcW w:w="7370" w:type="dxa"/>
            <w:noWrap w:val="0"/>
            <w:vAlign w:val="center"/>
          </w:tcPr>
          <w:p w14:paraId="07271B73">
            <w:pPr>
              <w:pStyle w:val="81"/>
              <w:pBdr>
                <w:bottom w:val="none" w:color="auto" w:sz="0" w:space="0"/>
              </w:pBdr>
              <w:tabs>
                <w:tab w:val="clear" w:pos="4153"/>
                <w:tab w:val="clear" w:pos="8306"/>
              </w:tabs>
              <w:adjustRightInd/>
              <w:spacing w:line="440" w:lineRule="exact"/>
              <w:jc w:val="both"/>
              <w:textAlignment w:val="auto"/>
              <w:rPr>
                <w:rFonts w:hint="eastAsia" w:ascii="宋体" w:hAnsi="宋体"/>
                <w:bCs/>
                <w:color w:val="auto"/>
                <w:kern w:val="2"/>
                <w:szCs w:val="24"/>
                <w:highlight w:val="none"/>
                <w:lang w:val="en-US" w:eastAsia="zh-CN"/>
              </w:rPr>
            </w:pPr>
            <w:r>
              <w:rPr>
                <w:rFonts w:hint="eastAsia" w:ascii="宋体" w:hAnsi="宋体"/>
                <w:bCs/>
                <w:color w:val="auto"/>
                <w:kern w:val="2"/>
                <w:szCs w:val="24"/>
                <w:highlight w:val="none"/>
                <w:lang w:val="en-US" w:eastAsia="zh-CN"/>
              </w:rPr>
              <w:t>1、按照招标投标法实施条例第22条规定，投标人提出异议的截止时间为投标截止时间10日前。招标人自收到异议之日起3日内答复。在规定的提出异议的截止时间前投标人未对招标文件提出异议的，凡在评审过程中涉及的任何评审争议均以招标人和招标代理机构解释为准。</w:t>
            </w:r>
          </w:p>
          <w:p w14:paraId="79337CEA">
            <w:pPr>
              <w:pStyle w:val="81"/>
              <w:pBdr>
                <w:bottom w:val="none" w:color="auto" w:sz="0" w:space="0"/>
              </w:pBdr>
              <w:tabs>
                <w:tab w:val="clear" w:pos="4153"/>
                <w:tab w:val="clear" w:pos="8306"/>
              </w:tabs>
              <w:adjustRightInd/>
              <w:spacing w:line="440" w:lineRule="exact"/>
              <w:jc w:val="both"/>
              <w:textAlignment w:val="auto"/>
              <w:rPr>
                <w:rFonts w:ascii="宋体" w:hAnsi="宋体"/>
                <w:bCs/>
                <w:color w:val="auto"/>
                <w:kern w:val="2"/>
                <w:szCs w:val="24"/>
                <w:highlight w:val="none"/>
              </w:rPr>
            </w:pPr>
            <w:r>
              <w:rPr>
                <w:rFonts w:hint="eastAsia" w:ascii="宋体" w:hAnsi="宋体"/>
                <w:bCs/>
                <w:color w:val="auto"/>
                <w:kern w:val="2"/>
                <w:szCs w:val="24"/>
                <w:highlight w:val="none"/>
                <w:lang w:val="en-US" w:eastAsia="zh-CN"/>
              </w:rPr>
              <w:t>2、请</w:t>
            </w:r>
            <w:r>
              <w:rPr>
                <w:rFonts w:hint="eastAsia" w:ascii="宋体" w:hAnsi="宋体"/>
                <w:bCs/>
                <w:color w:val="auto"/>
                <w:kern w:val="2"/>
                <w:szCs w:val="24"/>
                <w:highlight w:val="none"/>
              </w:rPr>
              <w:t>各潜在</w:t>
            </w:r>
            <w:r>
              <w:rPr>
                <w:rFonts w:hint="eastAsia" w:ascii="宋体" w:hAnsi="宋体"/>
                <w:bCs/>
                <w:color w:val="auto"/>
                <w:kern w:val="2"/>
                <w:szCs w:val="24"/>
                <w:highlight w:val="none"/>
                <w:lang w:val="en-US" w:eastAsia="zh-CN"/>
              </w:rPr>
              <w:t>投标人</w:t>
            </w:r>
            <w:r>
              <w:rPr>
                <w:rFonts w:hint="eastAsia" w:ascii="宋体" w:hAnsi="宋体"/>
                <w:bCs/>
                <w:color w:val="auto"/>
                <w:kern w:val="2"/>
                <w:szCs w:val="24"/>
                <w:highlight w:val="none"/>
              </w:rPr>
              <w:t>在投标截止时间前，务必登录六安市公共资源交易</w:t>
            </w:r>
            <w:r>
              <w:rPr>
                <w:rFonts w:hint="eastAsia" w:ascii="宋体" w:hAnsi="宋体"/>
                <w:bCs/>
                <w:color w:val="auto"/>
                <w:kern w:val="2"/>
                <w:szCs w:val="24"/>
                <w:highlight w:val="none"/>
                <w:lang w:val="en-US" w:eastAsia="zh-CN"/>
              </w:rPr>
              <w:t>平台</w:t>
            </w:r>
            <w:r>
              <w:rPr>
                <w:rFonts w:hint="eastAsia" w:ascii="宋体" w:hAnsi="宋体"/>
                <w:bCs/>
                <w:color w:val="auto"/>
                <w:kern w:val="2"/>
                <w:szCs w:val="24"/>
                <w:highlight w:val="none"/>
              </w:rPr>
              <w:t>（http://ggzy.luan.gov.cn）“交易信息”、“</w:t>
            </w:r>
            <w:r>
              <w:rPr>
                <w:rFonts w:hint="eastAsia" w:ascii="宋体" w:hAnsi="宋体"/>
                <w:bCs/>
                <w:color w:val="auto"/>
                <w:kern w:val="2"/>
                <w:szCs w:val="24"/>
                <w:highlight w:val="none"/>
                <w:lang w:eastAsia="zh-CN"/>
              </w:rPr>
              <w:t>其他行业</w:t>
            </w:r>
            <w:r>
              <w:rPr>
                <w:rFonts w:hint="eastAsia" w:ascii="宋体" w:hAnsi="宋体"/>
                <w:bCs/>
                <w:color w:val="auto"/>
                <w:kern w:val="2"/>
                <w:szCs w:val="24"/>
                <w:highlight w:val="none"/>
              </w:rPr>
              <w:t>”版块，查看是否发布有关项目更正公告。</w:t>
            </w:r>
            <w:r>
              <w:rPr>
                <w:rFonts w:hint="eastAsia" w:ascii="宋体" w:hAnsi="宋体"/>
                <w:bCs/>
                <w:color w:val="auto"/>
                <w:kern w:val="2"/>
                <w:szCs w:val="24"/>
                <w:highlight w:val="none"/>
                <w:lang w:val="en-US" w:eastAsia="zh-CN"/>
              </w:rPr>
              <w:t>更正</w:t>
            </w:r>
            <w:r>
              <w:rPr>
                <w:rFonts w:hint="eastAsia" w:ascii="宋体" w:hAnsi="宋体"/>
                <w:bCs/>
                <w:color w:val="auto"/>
                <w:kern w:val="2"/>
                <w:szCs w:val="24"/>
                <w:highlight w:val="none"/>
              </w:rPr>
              <w:t>公告为招标文件的有效组成部分，一经发布即为视同已通知所有潜在</w:t>
            </w:r>
            <w:r>
              <w:rPr>
                <w:rFonts w:hint="eastAsia" w:ascii="宋体" w:hAnsi="宋体"/>
                <w:bCs/>
                <w:color w:val="auto"/>
                <w:kern w:val="2"/>
                <w:szCs w:val="24"/>
                <w:highlight w:val="none"/>
                <w:lang w:val="en-US" w:eastAsia="zh-CN"/>
              </w:rPr>
              <w:t>投标人</w:t>
            </w:r>
            <w:r>
              <w:rPr>
                <w:rFonts w:hint="eastAsia" w:ascii="宋体" w:hAnsi="宋体"/>
                <w:bCs/>
                <w:color w:val="auto"/>
                <w:kern w:val="2"/>
                <w:szCs w:val="24"/>
                <w:highlight w:val="none"/>
              </w:rPr>
              <w:t>，若因未及时关注而造成的一切后果，由</w:t>
            </w:r>
            <w:r>
              <w:rPr>
                <w:rFonts w:hint="eastAsia" w:ascii="宋体" w:hAnsi="宋体"/>
                <w:bCs/>
                <w:color w:val="auto"/>
                <w:kern w:val="2"/>
                <w:szCs w:val="24"/>
                <w:highlight w:val="none"/>
                <w:lang w:val="en-US" w:eastAsia="zh-CN"/>
              </w:rPr>
              <w:t>投标人</w:t>
            </w:r>
            <w:r>
              <w:rPr>
                <w:rFonts w:hint="eastAsia" w:ascii="宋体" w:hAnsi="宋体"/>
                <w:bCs/>
                <w:color w:val="auto"/>
                <w:kern w:val="2"/>
                <w:szCs w:val="24"/>
                <w:highlight w:val="none"/>
              </w:rPr>
              <w:t>自行承担。</w:t>
            </w:r>
          </w:p>
        </w:tc>
      </w:tr>
      <w:tr w14:paraId="5C3E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737" w:type="dxa"/>
            <w:noWrap w:val="0"/>
            <w:vAlign w:val="center"/>
          </w:tcPr>
          <w:p w14:paraId="74B0D414">
            <w:pPr>
              <w:pStyle w:val="81"/>
              <w:pBdr>
                <w:bottom w:val="none" w:color="auto" w:sz="0" w:space="0"/>
              </w:pBdr>
              <w:tabs>
                <w:tab w:val="clear" w:pos="4153"/>
                <w:tab w:val="clear" w:pos="8306"/>
              </w:tabs>
              <w:adjustRightInd/>
              <w:spacing w:line="440" w:lineRule="exact"/>
              <w:textAlignment w:val="auto"/>
              <w:rPr>
                <w:rFonts w:ascii="宋体" w:hAnsi="宋体"/>
                <w:b w:val="0"/>
                <w:bCs/>
                <w:color w:val="auto"/>
                <w:kern w:val="2"/>
                <w:sz w:val="24"/>
                <w:szCs w:val="24"/>
                <w:highlight w:val="none"/>
                <w:lang w:val="en-US" w:eastAsia="zh-CN" w:bidi="ar-SA"/>
              </w:rPr>
            </w:pPr>
            <w:r>
              <w:rPr>
                <w:rFonts w:hint="eastAsia" w:ascii="宋体" w:hAnsi="宋体"/>
                <w:b w:val="0"/>
                <w:bCs/>
                <w:color w:val="auto"/>
                <w:kern w:val="2"/>
                <w:szCs w:val="24"/>
                <w:highlight w:val="none"/>
              </w:rPr>
              <w:t>14</w:t>
            </w:r>
          </w:p>
        </w:tc>
        <w:tc>
          <w:tcPr>
            <w:tcW w:w="1701" w:type="dxa"/>
            <w:noWrap w:val="0"/>
            <w:vAlign w:val="center"/>
          </w:tcPr>
          <w:p w14:paraId="6EE73011">
            <w:pPr>
              <w:pStyle w:val="81"/>
              <w:pBdr>
                <w:bottom w:val="none" w:color="auto" w:sz="0" w:space="0"/>
              </w:pBdr>
              <w:tabs>
                <w:tab w:val="clear" w:pos="4153"/>
                <w:tab w:val="clear" w:pos="8306"/>
              </w:tabs>
              <w:adjustRightInd/>
              <w:spacing w:line="440" w:lineRule="exact"/>
              <w:textAlignment w:val="auto"/>
              <w:rPr>
                <w:rFonts w:hint="eastAsia" w:ascii="宋体" w:hAnsi="宋体"/>
                <w:bCs/>
                <w:color w:val="auto"/>
                <w:kern w:val="2"/>
                <w:szCs w:val="24"/>
                <w:highlight w:val="none"/>
              </w:rPr>
            </w:pPr>
            <w:r>
              <w:rPr>
                <w:rFonts w:hint="eastAsia" w:ascii="宋体" w:hAnsi="宋体"/>
                <w:bCs/>
                <w:color w:val="auto"/>
                <w:kern w:val="2"/>
                <w:szCs w:val="24"/>
                <w:highlight w:val="none"/>
              </w:rPr>
              <w:t>投标文件份数</w:t>
            </w:r>
          </w:p>
          <w:p w14:paraId="68C3F8B4">
            <w:pPr>
              <w:pStyle w:val="81"/>
              <w:pBdr>
                <w:bottom w:val="none" w:color="auto" w:sz="0" w:space="0"/>
              </w:pBdr>
              <w:tabs>
                <w:tab w:val="clear" w:pos="4153"/>
                <w:tab w:val="clear" w:pos="8306"/>
              </w:tabs>
              <w:adjustRightInd/>
              <w:spacing w:line="440" w:lineRule="exact"/>
              <w:textAlignment w:val="auto"/>
              <w:rPr>
                <w:rFonts w:hint="eastAsia" w:ascii="宋体" w:hAnsi="宋体"/>
                <w:bCs/>
                <w:color w:val="auto"/>
                <w:kern w:val="2"/>
                <w:sz w:val="24"/>
                <w:szCs w:val="24"/>
                <w:highlight w:val="none"/>
                <w:lang w:val="en-US" w:eastAsia="zh-CN" w:bidi="ar-SA"/>
              </w:rPr>
            </w:pPr>
            <w:r>
              <w:rPr>
                <w:rFonts w:hint="eastAsia" w:ascii="宋体" w:hAnsi="宋体"/>
                <w:bCs/>
                <w:color w:val="auto"/>
                <w:kern w:val="2"/>
                <w:szCs w:val="24"/>
                <w:highlight w:val="none"/>
              </w:rPr>
              <w:t>及要求</w:t>
            </w:r>
          </w:p>
        </w:tc>
        <w:tc>
          <w:tcPr>
            <w:tcW w:w="7370" w:type="dxa"/>
            <w:noWrap w:val="0"/>
            <w:vAlign w:val="center"/>
          </w:tcPr>
          <w:p w14:paraId="5AAA8C52">
            <w:pPr>
              <w:pStyle w:val="81"/>
              <w:pBdr>
                <w:bottom w:val="none" w:color="auto" w:sz="0" w:space="0"/>
              </w:pBdr>
              <w:tabs>
                <w:tab w:val="clear" w:pos="4153"/>
                <w:tab w:val="clear" w:pos="8306"/>
              </w:tabs>
              <w:adjustRightInd/>
              <w:spacing w:line="440" w:lineRule="exact"/>
              <w:jc w:val="both"/>
              <w:textAlignment w:val="auto"/>
              <w:rPr>
                <w:rFonts w:hint="eastAsia" w:ascii="宋体" w:hAnsi="宋体"/>
                <w:b w:val="0"/>
                <w:bCs w:val="0"/>
                <w:color w:val="auto"/>
                <w:kern w:val="2"/>
                <w:szCs w:val="24"/>
                <w:highlight w:val="none"/>
                <w:lang w:val="en-US" w:eastAsia="zh-CN"/>
              </w:rPr>
            </w:pPr>
            <w:r>
              <w:rPr>
                <w:rFonts w:hint="eastAsia" w:ascii="宋体" w:hAnsi="宋体"/>
                <w:b w:val="0"/>
                <w:bCs w:val="0"/>
                <w:color w:val="auto"/>
                <w:kern w:val="2"/>
                <w:szCs w:val="24"/>
                <w:highlight w:val="none"/>
                <w:lang w:val="en-US" w:eastAsia="zh-CN"/>
              </w:rPr>
              <w:t>1、纸质版投标文件，正本与副本分册，独立胶装装订（</w:t>
            </w:r>
            <w:r>
              <w:rPr>
                <w:rFonts w:hint="eastAsia" w:ascii="宋体" w:hAnsi="宋体"/>
                <w:b w:val="0"/>
                <w:bCs w:val="0"/>
                <w:color w:val="auto"/>
                <w:kern w:val="2"/>
                <w:szCs w:val="24"/>
                <w:highlight w:val="none"/>
                <w:lang w:val="en-US"/>
              </w:rPr>
              <w:t>不得采用活页装订</w:t>
            </w:r>
            <w:r>
              <w:rPr>
                <w:rFonts w:hint="eastAsia" w:ascii="宋体" w:hAnsi="宋体"/>
                <w:b w:val="0"/>
                <w:bCs w:val="0"/>
                <w:color w:val="auto"/>
                <w:kern w:val="2"/>
                <w:szCs w:val="24"/>
                <w:highlight w:val="none"/>
                <w:lang w:val="en-US" w:eastAsia="zh-CN"/>
              </w:rPr>
              <w:t>），标识“正本”、“副本”字样，正本</w:t>
            </w:r>
            <w:r>
              <w:rPr>
                <w:rFonts w:hint="eastAsia" w:ascii="宋体" w:hAnsi="宋体"/>
                <w:b w:val="0"/>
                <w:bCs w:val="0"/>
                <w:color w:val="auto"/>
                <w:kern w:val="2"/>
                <w:szCs w:val="24"/>
                <w:highlight w:val="none"/>
                <w:u w:val="single"/>
                <w:lang w:val="en-US" w:eastAsia="zh-CN"/>
              </w:rPr>
              <w:t>壹</w:t>
            </w:r>
            <w:r>
              <w:rPr>
                <w:rFonts w:hint="eastAsia" w:ascii="宋体" w:hAnsi="宋体"/>
                <w:b w:val="0"/>
                <w:bCs w:val="0"/>
                <w:color w:val="auto"/>
                <w:kern w:val="2"/>
                <w:szCs w:val="24"/>
                <w:highlight w:val="none"/>
                <w:lang w:val="en-US" w:eastAsia="zh-CN"/>
              </w:rPr>
              <w:t>份、副本</w:t>
            </w:r>
            <w:r>
              <w:rPr>
                <w:rFonts w:hint="eastAsia" w:ascii="宋体" w:hAnsi="宋体"/>
                <w:b w:val="0"/>
                <w:bCs w:val="0"/>
                <w:color w:val="auto"/>
                <w:kern w:val="2"/>
                <w:szCs w:val="24"/>
                <w:highlight w:val="none"/>
                <w:u w:val="single"/>
                <w:lang w:val="en-US" w:eastAsia="zh-CN"/>
              </w:rPr>
              <w:t>陆</w:t>
            </w:r>
            <w:r>
              <w:rPr>
                <w:rFonts w:hint="eastAsia" w:ascii="宋体" w:hAnsi="宋体"/>
                <w:b w:val="0"/>
                <w:bCs w:val="0"/>
                <w:color w:val="auto"/>
                <w:kern w:val="2"/>
                <w:szCs w:val="24"/>
                <w:highlight w:val="none"/>
                <w:lang w:val="en-US" w:eastAsia="zh-CN"/>
              </w:rPr>
              <w:t>份。</w:t>
            </w:r>
            <w:r>
              <w:rPr>
                <w:rFonts w:hint="eastAsia" w:ascii="宋体" w:hAnsi="宋体"/>
                <w:b w:val="0"/>
                <w:bCs w:val="0"/>
                <w:color w:val="auto"/>
                <w:highlight w:val="none"/>
                <w:lang w:val="en-US" w:eastAsia="zh-CN"/>
              </w:rPr>
              <w:t>正、副本文件内容不一致时，以正本为准进行评审。</w:t>
            </w:r>
          </w:p>
          <w:p w14:paraId="2F92C523">
            <w:pPr>
              <w:pStyle w:val="81"/>
              <w:pBdr>
                <w:bottom w:val="none" w:color="auto" w:sz="0" w:space="0"/>
              </w:pBdr>
              <w:tabs>
                <w:tab w:val="clear" w:pos="4153"/>
                <w:tab w:val="clear" w:pos="8306"/>
              </w:tabs>
              <w:adjustRightInd/>
              <w:spacing w:line="440" w:lineRule="exact"/>
              <w:jc w:val="both"/>
              <w:textAlignment w:val="auto"/>
              <w:rPr>
                <w:rFonts w:hint="eastAsia" w:ascii="宋体" w:hAnsi="宋体" w:eastAsia="宋体"/>
                <w:bCs/>
                <w:color w:val="auto"/>
                <w:kern w:val="2"/>
                <w:sz w:val="24"/>
                <w:szCs w:val="24"/>
                <w:highlight w:val="none"/>
                <w:lang w:val="en-US" w:eastAsia="zh-CN" w:bidi="ar-SA"/>
              </w:rPr>
            </w:pPr>
            <w:r>
              <w:rPr>
                <w:rFonts w:hint="eastAsia" w:ascii="宋体" w:hAnsi="宋体"/>
                <w:b w:val="0"/>
                <w:bCs w:val="0"/>
                <w:color w:val="auto"/>
                <w:kern w:val="2"/>
                <w:szCs w:val="24"/>
                <w:highlight w:val="none"/>
                <w:lang w:val="en-US" w:eastAsia="zh-CN"/>
              </w:rPr>
              <w:t>2、电子版投标文件</w:t>
            </w:r>
            <w:r>
              <w:rPr>
                <w:rFonts w:hint="eastAsia" w:ascii="宋体" w:hAnsi="宋体"/>
                <w:b w:val="0"/>
                <w:bCs w:val="0"/>
                <w:color w:val="auto"/>
                <w:highlight w:val="none"/>
              </w:rPr>
              <w:t>（</w:t>
            </w:r>
            <w:r>
              <w:rPr>
                <w:rFonts w:ascii="宋体" w:hAnsi="宋体"/>
                <w:b w:val="0"/>
                <w:bCs w:val="0"/>
                <w:color w:val="auto"/>
                <w:highlight w:val="none"/>
                <w:lang w:val="en-US"/>
              </w:rPr>
              <w:t>U</w:t>
            </w:r>
            <w:r>
              <w:rPr>
                <w:rFonts w:hint="eastAsia" w:ascii="宋体" w:hAnsi="宋体"/>
                <w:b w:val="0"/>
                <w:bCs w:val="0"/>
                <w:color w:val="auto"/>
                <w:highlight w:val="none"/>
                <w:lang w:val="en-US"/>
              </w:rPr>
              <w:t>盘</w:t>
            </w:r>
            <w:r>
              <w:rPr>
                <w:rFonts w:hint="eastAsia" w:ascii="宋体" w:hAnsi="宋体"/>
                <w:b w:val="0"/>
                <w:bCs w:val="0"/>
                <w:color w:val="auto"/>
                <w:highlight w:val="none"/>
              </w:rPr>
              <w:t>）</w:t>
            </w:r>
            <w:r>
              <w:rPr>
                <w:rFonts w:hint="eastAsia" w:ascii="宋体" w:hAnsi="宋体"/>
                <w:b w:val="0"/>
                <w:bCs w:val="0"/>
                <w:color w:val="auto"/>
                <w:kern w:val="2"/>
                <w:szCs w:val="24"/>
                <w:highlight w:val="none"/>
                <w:lang w:val="en-US" w:eastAsia="zh-CN"/>
              </w:rPr>
              <w:t>壹份，</w:t>
            </w:r>
            <w:r>
              <w:rPr>
                <w:rFonts w:hint="eastAsia" w:ascii="宋体" w:hAnsi="宋体"/>
                <w:b w:val="0"/>
                <w:bCs w:val="0"/>
                <w:color w:val="auto"/>
                <w:highlight w:val="none"/>
                <w:lang w:val="en-US"/>
              </w:rPr>
              <w:t>电子版</w:t>
            </w:r>
            <w:r>
              <w:rPr>
                <w:rFonts w:hint="eastAsia" w:ascii="宋体" w:hAnsi="宋体"/>
                <w:b w:val="0"/>
                <w:bCs w:val="0"/>
                <w:color w:val="auto"/>
                <w:highlight w:val="none"/>
                <w:lang w:val="en-US" w:eastAsia="zh-CN"/>
              </w:rPr>
              <w:t>投标</w:t>
            </w:r>
            <w:r>
              <w:rPr>
                <w:rFonts w:hint="eastAsia" w:ascii="宋体" w:hAnsi="宋体"/>
                <w:b w:val="0"/>
                <w:bCs w:val="0"/>
                <w:color w:val="auto"/>
                <w:highlight w:val="none"/>
                <w:lang w:val="en-US"/>
              </w:rPr>
              <w:t>文件</w:t>
            </w:r>
            <w:r>
              <w:rPr>
                <w:rFonts w:hint="eastAsia" w:ascii="宋体" w:hAnsi="宋体"/>
                <w:b w:val="0"/>
                <w:bCs w:val="0"/>
                <w:color w:val="auto"/>
                <w:highlight w:val="none"/>
              </w:rPr>
              <w:t>（</w:t>
            </w:r>
            <w:r>
              <w:rPr>
                <w:rFonts w:ascii="宋体" w:hAnsi="宋体"/>
                <w:b w:val="0"/>
                <w:bCs w:val="0"/>
                <w:color w:val="auto"/>
                <w:highlight w:val="none"/>
                <w:lang w:val="en-US"/>
              </w:rPr>
              <w:t>U</w:t>
            </w:r>
            <w:r>
              <w:rPr>
                <w:rFonts w:hint="eastAsia" w:ascii="宋体" w:hAnsi="宋体"/>
                <w:b w:val="0"/>
                <w:bCs w:val="0"/>
                <w:color w:val="auto"/>
                <w:highlight w:val="none"/>
                <w:lang w:val="en-US"/>
              </w:rPr>
              <w:t>盘</w:t>
            </w:r>
            <w:r>
              <w:rPr>
                <w:rFonts w:hint="eastAsia" w:ascii="宋体" w:hAnsi="宋体"/>
                <w:b w:val="0"/>
                <w:bCs w:val="0"/>
                <w:color w:val="auto"/>
                <w:highlight w:val="none"/>
              </w:rPr>
              <w:t>）须与纸质版</w:t>
            </w:r>
            <w:r>
              <w:rPr>
                <w:rFonts w:hint="eastAsia" w:ascii="宋体" w:hAnsi="宋体"/>
                <w:b w:val="0"/>
                <w:bCs w:val="0"/>
                <w:color w:val="auto"/>
                <w:highlight w:val="none"/>
                <w:lang w:val="en-US" w:eastAsia="zh-CN"/>
              </w:rPr>
              <w:t>投标</w:t>
            </w:r>
            <w:r>
              <w:rPr>
                <w:rFonts w:hint="eastAsia" w:ascii="宋体" w:hAnsi="宋体"/>
                <w:b w:val="0"/>
                <w:bCs w:val="0"/>
                <w:color w:val="auto"/>
                <w:highlight w:val="none"/>
                <w:lang w:val="en-US"/>
              </w:rPr>
              <w:t>文件</w:t>
            </w:r>
            <w:r>
              <w:rPr>
                <w:rFonts w:hint="eastAsia" w:ascii="宋体" w:hAnsi="宋体"/>
                <w:b w:val="0"/>
                <w:bCs w:val="0"/>
                <w:color w:val="auto"/>
                <w:highlight w:val="none"/>
                <w:lang w:val="en-US" w:eastAsia="zh-CN"/>
              </w:rPr>
              <w:t>内容</w:t>
            </w:r>
            <w:r>
              <w:rPr>
                <w:rFonts w:hint="eastAsia" w:ascii="宋体" w:hAnsi="宋体"/>
                <w:b w:val="0"/>
                <w:bCs w:val="0"/>
                <w:color w:val="auto"/>
                <w:highlight w:val="none"/>
              </w:rPr>
              <w:t>完全一致。</w:t>
            </w:r>
            <w:r>
              <w:rPr>
                <w:rFonts w:hint="eastAsia" w:ascii="宋体" w:hAnsi="宋体"/>
                <w:b w:val="0"/>
                <w:bCs w:val="0"/>
                <w:color w:val="auto"/>
                <w:highlight w:val="none"/>
                <w:lang w:val="en-US"/>
              </w:rPr>
              <w:t>电子版</w:t>
            </w:r>
            <w:r>
              <w:rPr>
                <w:rFonts w:hint="eastAsia" w:ascii="宋体" w:hAnsi="宋体"/>
                <w:b w:val="0"/>
                <w:bCs w:val="0"/>
                <w:color w:val="auto"/>
                <w:highlight w:val="none"/>
                <w:lang w:val="en-US" w:eastAsia="zh-CN"/>
              </w:rPr>
              <w:t>投标</w:t>
            </w:r>
            <w:r>
              <w:rPr>
                <w:rFonts w:hint="eastAsia" w:ascii="宋体" w:hAnsi="宋体"/>
                <w:b w:val="0"/>
                <w:bCs w:val="0"/>
                <w:color w:val="auto"/>
                <w:highlight w:val="none"/>
                <w:lang w:val="en-US"/>
              </w:rPr>
              <w:t>文件</w:t>
            </w:r>
            <w:r>
              <w:rPr>
                <w:rFonts w:hint="eastAsia" w:ascii="宋体" w:hAnsi="宋体"/>
                <w:b w:val="0"/>
                <w:bCs w:val="0"/>
                <w:color w:val="auto"/>
                <w:highlight w:val="none"/>
              </w:rPr>
              <w:t>（</w:t>
            </w:r>
            <w:r>
              <w:rPr>
                <w:rFonts w:ascii="宋体" w:hAnsi="宋体"/>
                <w:b w:val="0"/>
                <w:bCs w:val="0"/>
                <w:color w:val="auto"/>
                <w:highlight w:val="none"/>
                <w:lang w:val="en-US"/>
              </w:rPr>
              <w:t>U</w:t>
            </w:r>
            <w:r>
              <w:rPr>
                <w:rFonts w:hint="eastAsia" w:ascii="宋体" w:hAnsi="宋体"/>
                <w:b w:val="0"/>
                <w:bCs w:val="0"/>
                <w:color w:val="auto"/>
                <w:highlight w:val="none"/>
                <w:lang w:val="en-US"/>
              </w:rPr>
              <w:t>盘</w:t>
            </w:r>
            <w:r>
              <w:rPr>
                <w:rFonts w:hint="eastAsia" w:ascii="宋体" w:hAnsi="宋体"/>
                <w:b w:val="0"/>
                <w:bCs w:val="0"/>
                <w:color w:val="auto"/>
                <w:highlight w:val="none"/>
              </w:rPr>
              <w:t>）</w:t>
            </w:r>
            <w:r>
              <w:rPr>
                <w:rFonts w:hint="eastAsia" w:ascii="宋体" w:hAnsi="宋体"/>
                <w:b w:val="0"/>
                <w:bCs w:val="0"/>
                <w:color w:val="auto"/>
                <w:highlight w:val="none"/>
                <w:lang w:val="en-US" w:eastAsia="zh-CN"/>
              </w:rPr>
              <w:t>只作为招标人存档使用，相关内容不作为评审依据。</w:t>
            </w:r>
          </w:p>
        </w:tc>
      </w:tr>
      <w:tr w14:paraId="660D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737" w:type="dxa"/>
            <w:noWrap w:val="0"/>
            <w:vAlign w:val="center"/>
          </w:tcPr>
          <w:p w14:paraId="0A056EF4">
            <w:pPr>
              <w:pStyle w:val="81"/>
              <w:pBdr>
                <w:bottom w:val="none" w:color="auto" w:sz="0" w:space="0"/>
              </w:pBdr>
              <w:tabs>
                <w:tab w:val="clear" w:pos="4153"/>
                <w:tab w:val="clear" w:pos="8306"/>
              </w:tabs>
              <w:adjustRightInd/>
              <w:spacing w:line="460" w:lineRule="exact"/>
              <w:textAlignment w:val="auto"/>
              <w:rPr>
                <w:rFonts w:ascii="宋体" w:hAnsi="宋体"/>
                <w:b w:val="0"/>
                <w:bCs/>
                <w:color w:val="auto"/>
                <w:kern w:val="2"/>
                <w:sz w:val="24"/>
                <w:szCs w:val="24"/>
                <w:highlight w:val="none"/>
                <w:lang w:val="en-US" w:eastAsia="zh-CN" w:bidi="ar-SA"/>
              </w:rPr>
            </w:pPr>
            <w:r>
              <w:rPr>
                <w:rFonts w:hint="eastAsia" w:ascii="宋体" w:hAnsi="宋体"/>
                <w:b w:val="0"/>
                <w:bCs/>
                <w:color w:val="auto"/>
                <w:kern w:val="2"/>
                <w:szCs w:val="24"/>
                <w:highlight w:val="none"/>
              </w:rPr>
              <w:t>15</w:t>
            </w:r>
          </w:p>
        </w:tc>
        <w:tc>
          <w:tcPr>
            <w:tcW w:w="1701" w:type="dxa"/>
            <w:noWrap w:val="0"/>
            <w:vAlign w:val="center"/>
          </w:tcPr>
          <w:p w14:paraId="78910D88">
            <w:pPr>
              <w:pStyle w:val="81"/>
              <w:pBdr>
                <w:bottom w:val="none" w:color="auto" w:sz="0" w:space="0"/>
              </w:pBdr>
              <w:tabs>
                <w:tab w:val="clear" w:pos="4153"/>
                <w:tab w:val="clear" w:pos="8306"/>
              </w:tabs>
              <w:adjustRightInd/>
              <w:spacing w:line="440" w:lineRule="exact"/>
              <w:textAlignment w:val="auto"/>
              <w:rPr>
                <w:rFonts w:hint="eastAsia" w:ascii="宋体" w:hAnsi="宋体"/>
                <w:bCs/>
                <w:color w:val="auto"/>
                <w:kern w:val="2"/>
                <w:szCs w:val="24"/>
                <w:highlight w:val="none"/>
              </w:rPr>
            </w:pPr>
            <w:r>
              <w:rPr>
                <w:rFonts w:hint="eastAsia" w:ascii="宋体" w:hAnsi="宋体"/>
                <w:bCs/>
                <w:color w:val="auto"/>
                <w:kern w:val="2"/>
                <w:szCs w:val="24"/>
                <w:highlight w:val="none"/>
              </w:rPr>
              <w:t>递交投标文件</w:t>
            </w:r>
          </w:p>
          <w:p w14:paraId="227B49F2">
            <w:pPr>
              <w:pStyle w:val="81"/>
              <w:pBdr>
                <w:bottom w:val="none" w:color="auto" w:sz="0" w:space="0"/>
              </w:pBdr>
              <w:tabs>
                <w:tab w:val="clear" w:pos="4153"/>
                <w:tab w:val="clear" w:pos="8306"/>
              </w:tabs>
              <w:adjustRightInd/>
              <w:spacing w:line="440" w:lineRule="exact"/>
              <w:textAlignment w:val="auto"/>
              <w:rPr>
                <w:rFonts w:hint="eastAsia" w:ascii="宋体" w:hAnsi="宋体"/>
                <w:bCs/>
                <w:color w:val="auto"/>
                <w:kern w:val="2"/>
                <w:sz w:val="24"/>
                <w:szCs w:val="24"/>
                <w:highlight w:val="none"/>
                <w:lang w:val="en-US" w:eastAsia="zh-CN" w:bidi="ar-SA"/>
              </w:rPr>
            </w:pPr>
            <w:r>
              <w:rPr>
                <w:rFonts w:hint="eastAsia" w:ascii="宋体" w:hAnsi="宋体"/>
                <w:bCs/>
                <w:color w:val="auto"/>
                <w:kern w:val="2"/>
                <w:szCs w:val="24"/>
                <w:highlight w:val="none"/>
              </w:rPr>
              <w:t>注意事项</w:t>
            </w:r>
          </w:p>
        </w:tc>
        <w:tc>
          <w:tcPr>
            <w:tcW w:w="7370" w:type="dxa"/>
            <w:noWrap w:val="0"/>
            <w:vAlign w:val="center"/>
          </w:tcPr>
          <w:p w14:paraId="1BE5AB8C">
            <w:pPr>
              <w:pStyle w:val="81"/>
              <w:pBdr>
                <w:bottom w:val="none" w:color="auto" w:sz="0" w:space="0"/>
              </w:pBdr>
              <w:tabs>
                <w:tab w:val="clear" w:pos="4153"/>
                <w:tab w:val="clear" w:pos="8306"/>
              </w:tabs>
              <w:adjustRightInd/>
              <w:spacing w:line="360" w:lineRule="auto"/>
              <w:jc w:val="both"/>
              <w:textAlignment w:val="auto"/>
              <w:rPr>
                <w:rFonts w:hint="eastAsia" w:ascii="宋体" w:hAnsi="宋体"/>
                <w:b w:val="0"/>
                <w:bCs w:val="0"/>
                <w:color w:val="auto"/>
                <w:kern w:val="2"/>
                <w:szCs w:val="24"/>
                <w:highlight w:val="none"/>
                <w:lang w:eastAsia="zh-CN"/>
              </w:rPr>
            </w:pPr>
            <w:r>
              <w:rPr>
                <w:rFonts w:hint="eastAsia" w:ascii="宋体" w:hAnsi="宋体"/>
                <w:bCs/>
                <w:color w:val="auto"/>
                <w:highlight w:val="none"/>
                <w:lang w:val="en-US" w:eastAsia="zh-CN"/>
              </w:rPr>
              <w:t>1、建议将纸质版投标文件正本和全部副本、电子版投标文件</w:t>
            </w:r>
            <w:r>
              <w:rPr>
                <w:rFonts w:hint="eastAsia" w:ascii="宋体" w:hAnsi="宋体"/>
                <w:bCs/>
                <w:color w:val="auto"/>
                <w:highlight w:val="none"/>
              </w:rPr>
              <w:t>（</w:t>
            </w:r>
            <w:r>
              <w:rPr>
                <w:rFonts w:ascii="宋体" w:hAnsi="宋体"/>
                <w:bCs/>
                <w:color w:val="auto"/>
                <w:highlight w:val="none"/>
                <w:lang w:val="en-US"/>
              </w:rPr>
              <w:t>U</w:t>
            </w:r>
            <w:r>
              <w:rPr>
                <w:rFonts w:hint="eastAsia" w:ascii="宋体" w:hAnsi="宋体"/>
                <w:bCs/>
                <w:color w:val="auto"/>
                <w:highlight w:val="none"/>
                <w:lang w:val="en-US"/>
              </w:rPr>
              <w:t>盘</w:t>
            </w:r>
            <w:r>
              <w:rPr>
                <w:rFonts w:hint="eastAsia" w:ascii="宋体" w:hAnsi="宋体"/>
                <w:bCs/>
                <w:color w:val="auto"/>
                <w:highlight w:val="none"/>
              </w:rPr>
              <w:t>）</w:t>
            </w:r>
            <w:r>
              <w:rPr>
                <w:rFonts w:hint="eastAsia" w:ascii="宋体" w:hAnsi="宋体"/>
                <w:bCs/>
                <w:color w:val="auto"/>
                <w:highlight w:val="none"/>
                <w:lang w:val="en-US" w:eastAsia="zh-CN"/>
              </w:rPr>
              <w:t>一起密封递交，</w:t>
            </w:r>
            <w:r>
              <w:rPr>
                <w:rFonts w:hint="eastAsia" w:ascii="宋体" w:hAnsi="宋体"/>
                <w:b w:val="0"/>
                <w:bCs w:val="0"/>
                <w:color w:val="auto"/>
                <w:kern w:val="2"/>
                <w:szCs w:val="24"/>
                <w:highlight w:val="none"/>
              </w:rPr>
              <w:t>并在封口处加盖</w:t>
            </w:r>
            <w:r>
              <w:rPr>
                <w:rFonts w:hint="eastAsia" w:ascii="宋体" w:hAnsi="宋体"/>
                <w:b w:val="0"/>
                <w:bCs w:val="0"/>
                <w:color w:val="auto"/>
                <w:kern w:val="2"/>
                <w:szCs w:val="24"/>
                <w:highlight w:val="none"/>
                <w:lang w:val="en-US" w:eastAsia="zh-CN"/>
              </w:rPr>
              <w:t>投标人</w:t>
            </w:r>
            <w:r>
              <w:rPr>
                <w:rFonts w:hint="eastAsia" w:ascii="宋体" w:hAnsi="宋体"/>
                <w:b w:val="0"/>
                <w:bCs w:val="0"/>
                <w:color w:val="auto"/>
                <w:kern w:val="2"/>
                <w:szCs w:val="24"/>
                <w:highlight w:val="none"/>
              </w:rPr>
              <w:t>公章</w:t>
            </w:r>
            <w:r>
              <w:rPr>
                <w:rFonts w:hint="eastAsia" w:ascii="宋体" w:hAnsi="宋体"/>
                <w:b w:val="0"/>
                <w:bCs w:val="0"/>
                <w:color w:val="auto"/>
                <w:kern w:val="2"/>
                <w:szCs w:val="24"/>
                <w:highlight w:val="none"/>
                <w:lang w:eastAsia="zh-CN"/>
              </w:rPr>
              <w:t>。没有密封的</w:t>
            </w:r>
            <w:r>
              <w:rPr>
                <w:rFonts w:hint="eastAsia" w:ascii="宋体" w:hAnsi="宋体"/>
                <w:b w:val="0"/>
                <w:bCs w:val="0"/>
                <w:color w:val="auto"/>
                <w:kern w:val="2"/>
                <w:szCs w:val="24"/>
                <w:highlight w:val="none"/>
                <w:lang w:val="en-US" w:eastAsia="zh-CN"/>
              </w:rPr>
              <w:t>投标</w:t>
            </w:r>
            <w:r>
              <w:rPr>
                <w:rFonts w:hint="eastAsia" w:ascii="宋体" w:hAnsi="宋体"/>
                <w:b w:val="0"/>
                <w:bCs w:val="0"/>
                <w:color w:val="auto"/>
                <w:kern w:val="2"/>
                <w:szCs w:val="24"/>
                <w:highlight w:val="none"/>
                <w:lang w:eastAsia="zh-CN"/>
              </w:rPr>
              <w:t>文件</w:t>
            </w:r>
            <w:r>
              <w:rPr>
                <w:rFonts w:hint="eastAsia" w:ascii="宋体" w:hAnsi="宋体"/>
                <w:b w:val="0"/>
                <w:bCs w:val="0"/>
                <w:color w:val="auto"/>
                <w:kern w:val="2"/>
                <w:szCs w:val="24"/>
                <w:highlight w:val="none"/>
                <w:lang w:val="en-US" w:eastAsia="zh-CN"/>
              </w:rPr>
              <w:t>将被</w:t>
            </w:r>
            <w:r>
              <w:rPr>
                <w:rFonts w:hint="eastAsia" w:ascii="宋体" w:hAnsi="宋体"/>
                <w:b w:val="0"/>
                <w:bCs w:val="0"/>
                <w:color w:val="auto"/>
                <w:kern w:val="2"/>
                <w:szCs w:val="24"/>
                <w:highlight w:val="none"/>
                <w:lang w:eastAsia="zh-CN"/>
              </w:rPr>
              <w:t>拒绝接</w:t>
            </w:r>
            <w:r>
              <w:rPr>
                <w:rFonts w:hint="eastAsia" w:ascii="宋体" w:hAnsi="宋体"/>
                <w:b w:val="0"/>
                <w:bCs w:val="0"/>
                <w:color w:val="auto"/>
                <w:kern w:val="2"/>
                <w:szCs w:val="24"/>
                <w:highlight w:val="none"/>
                <w:lang w:val="en-US" w:eastAsia="zh-CN"/>
              </w:rPr>
              <w:t>收</w:t>
            </w:r>
            <w:r>
              <w:rPr>
                <w:rFonts w:hint="eastAsia" w:ascii="宋体" w:hAnsi="宋体"/>
                <w:b w:val="0"/>
                <w:bCs w:val="0"/>
                <w:color w:val="auto"/>
                <w:kern w:val="2"/>
                <w:szCs w:val="24"/>
                <w:highlight w:val="none"/>
                <w:lang w:eastAsia="zh-CN"/>
              </w:rPr>
              <w:t>。</w:t>
            </w:r>
          </w:p>
          <w:p w14:paraId="3AAB55D4">
            <w:pPr>
              <w:pStyle w:val="81"/>
              <w:pBdr>
                <w:bottom w:val="none" w:color="auto" w:sz="0" w:space="0"/>
              </w:pBdr>
              <w:tabs>
                <w:tab w:val="clear" w:pos="4153"/>
                <w:tab w:val="clear" w:pos="8306"/>
              </w:tabs>
              <w:adjustRightInd/>
              <w:spacing w:line="360" w:lineRule="auto"/>
              <w:jc w:val="both"/>
              <w:textAlignment w:val="auto"/>
              <w:rPr>
                <w:rFonts w:hint="eastAsia" w:ascii="新宋体" w:hAnsi="新宋体" w:eastAsia="新宋体" w:cs="新宋体"/>
                <w:b w:val="0"/>
                <w:bCs w:val="0"/>
                <w:color w:val="auto"/>
                <w:sz w:val="24"/>
                <w:szCs w:val="24"/>
                <w:highlight w:val="none"/>
              </w:rPr>
            </w:pPr>
            <w:r>
              <w:rPr>
                <w:rFonts w:hint="eastAsia" w:ascii="宋体" w:hAnsi="宋体"/>
                <w:b w:val="0"/>
                <w:bCs w:val="0"/>
                <w:color w:val="auto"/>
                <w:kern w:val="2"/>
                <w:sz w:val="24"/>
                <w:szCs w:val="32"/>
                <w:highlight w:val="none"/>
                <w:lang w:val="en-US" w:eastAsia="zh-CN"/>
              </w:rPr>
              <w:t>2、</w:t>
            </w:r>
            <w:r>
              <w:rPr>
                <w:rFonts w:hint="eastAsia" w:ascii="新宋体" w:hAnsi="新宋体" w:eastAsia="新宋体" w:cs="新宋体"/>
                <w:b w:val="0"/>
                <w:bCs w:val="0"/>
                <w:color w:val="auto"/>
                <w:sz w:val="24"/>
                <w:szCs w:val="24"/>
                <w:highlight w:val="none"/>
              </w:rPr>
              <w:t>套封上写明</w:t>
            </w:r>
          </w:p>
          <w:p w14:paraId="51DF39B1">
            <w:pPr>
              <w:pStyle w:val="81"/>
              <w:pBdr>
                <w:bottom w:val="none" w:color="auto" w:sz="0" w:space="0"/>
              </w:pBdr>
              <w:tabs>
                <w:tab w:val="clear" w:pos="4153"/>
                <w:tab w:val="clear" w:pos="8306"/>
              </w:tabs>
              <w:adjustRightInd/>
              <w:spacing w:line="360" w:lineRule="auto"/>
              <w:jc w:val="both"/>
              <w:textAlignment w:val="auto"/>
              <w:rPr>
                <w:rFonts w:hint="default" w:ascii="新宋体" w:hAnsi="新宋体" w:eastAsia="新宋体" w:cs="新宋体"/>
                <w:color w:val="auto"/>
                <w:sz w:val="24"/>
                <w:szCs w:val="24"/>
                <w:highlight w:val="none"/>
                <w:lang w:val="en-US"/>
              </w:rPr>
            </w:pPr>
            <w:r>
              <w:rPr>
                <w:rFonts w:hint="eastAsia" w:ascii="新宋体" w:hAnsi="新宋体" w:eastAsia="新宋体" w:cs="新宋体"/>
                <w:color w:val="auto"/>
                <w:sz w:val="24"/>
                <w:szCs w:val="24"/>
                <w:highlight w:val="none"/>
                <w:lang w:val="en-US" w:eastAsia="zh-CN"/>
              </w:rPr>
              <w:t>招标人</w:t>
            </w:r>
            <w:r>
              <w:rPr>
                <w:rFonts w:hint="eastAsia" w:ascii="新宋体" w:hAnsi="新宋体" w:eastAsia="新宋体" w:cs="新宋体"/>
                <w:color w:val="auto"/>
                <w:sz w:val="24"/>
                <w:szCs w:val="24"/>
                <w:highlight w:val="none"/>
              </w:rPr>
              <w:t>名称：</w:t>
            </w:r>
            <w:r>
              <w:rPr>
                <w:rFonts w:hint="eastAsia" w:ascii="新宋体" w:hAnsi="新宋体" w:eastAsia="新宋体" w:cs="新宋体"/>
                <w:color w:val="auto"/>
                <w:sz w:val="24"/>
                <w:szCs w:val="24"/>
                <w:highlight w:val="none"/>
                <w:u w:val="single"/>
                <w:lang w:val="en-US" w:eastAsia="zh-CN"/>
              </w:rPr>
              <w:t>金寨县乡村振兴发展有限公司</w:t>
            </w:r>
          </w:p>
          <w:p w14:paraId="46234BEE">
            <w:pPr>
              <w:spacing w:line="360" w:lineRule="auto"/>
              <w:jc w:val="both"/>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项目名称：</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项目编号：</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u w:val="single"/>
              </w:rPr>
              <w:t xml:space="preserve">      </w:t>
            </w:r>
          </w:p>
          <w:p w14:paraId="55A3A0CD">
            <w:pPr>
              <w:spacing w:line="360" w:lineRule="auto"/>
              <w:jc w:val="both"/>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投标</w:t>
            </w:r>
            <w:r>
              <w:rPr>
                <w:rFonts w:hint="eastAsia" w:ascii="新宋体" w:hAnsi="新宋体" w:eastAsia="新宋体" w:cs="新宋体"/>
                <w:color w:val="auto"/>
                <w:sz w:val="24"/>
                <w:szCs w:val="24"/>
                <w:highlight w:val="none"/>
              </w:rPr>
              <w:t xml:space="preserve">文件 </w:t>
            </w:r>
          </w:p>
          <w:p w14:paraId="22477005">
            <w:pPr>
              <w:spacing w:line="360" w:lineRule="auto"/>
              <w:jc w:val="both"/>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在</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日</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时</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分前不得开启</w:t>
            </w:r>
          </w:p>
          <w:p w14:paraId="7E633D66">
            <w:pPr>
              <w:spacing w:line="360" w:lineRule="auto"/>
              <w:jc w:val="both"/>
              <w:rPr>
                <w:rFonts w:hint="default" w:ascii="新宋体" w:hAnsi="新宋体" w:eastAsia="新宋体" w:cs="新宋体"/>
                <w:color w:val="auto"/>
                <w:sz w:val="24"/>
                <w:szCs w:val="24"/>
                <w:highlight w:val="none"/>
                <w:u w:val="single"/>
                <w:lang w:val="en-US" w:eastAsia="zh-CN"/>
              </w:rPr>
            </w:pPr>
            <w:r>
              <w:rPr>
                <w:rFonts w:hint="eastAsia" w:ascii="新宋体" w:hAnsi="新宋体" w:eastAsia="新宋体" w:cs="新宋体"/>
                <w:color w:val="auto"/>
                <w:sz w:val="24"/>
                <w:szCs w:val="24"/>
                <w:highlight w:val="none"/>
                <w:lang w:val="en-US" w:eastAsia="zh-CN"/>
              </w:rPr>
              <w:t>投标人</w:t>
            </w:r>
            <w:r>
              <w:rPr>
                <w:rFonts w:hint="eastAsia" w:ascii="新宋体" w:hAnsi="新宋体" w:eastAsia="新宋体" w:cs="新宋体"/>
                <w:color w:val="auto"/>
                <w:sz w:val="24"/>
                <w:szCs w:val="24"/>
                <w:highlight w:val="none"/>
              </w:rPr>
              <w:t>名称（单位盖章）：</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u w:val="single"/>
                <w:lang w:val="en-US" w:eastAsia="zh-CN"/>
              </w:rPr>
              <w:t xml:space="preserve">        </w:t>
            </w:r>
          </w:p>
          <w:p w14:paraId="6D426405">
            <w:pPr>
              <w:spacing w:line="360" w:lineRule="auto"/>
              <w:jc w:val="both"/>
              <w:rPr>
                <w:rFonts w:ascii="宋体"/>
                <w:bCs/>
                <w:color w:val="auto"/>
                <w:kern w:val="2"/>
                <w:szCs w:val="24"/>
                <w:highlight w:val="none"/>
              </w:rPr>
            </w:pPr>
            <w:r>
              <w:rPr>
                <w:rFonts w:hint="eastAsia" w:ascii="新宋体" w:hAnsi="新宋体" w:eastAsia="新宋体" w:cs="新宋体"/>
                <w:color w:val="auto"/>
                <w:sz w:val="24"/>
                <w:szCs w:val="24"/>
                <w:highlight w:val="none"/>
                <w:lang w:val="en-US" w:eastAsia="zh-CN"/>
              </w:rPr>
              <w:t>投标人</w:t>
            </w:r>
            <w:r>
              <w:rPr>
                <w:rFonts w:hint="eastAsia" w:ascii="新宋体" w:hAnsi="新宋体" w:eastAsia="新宋体" w:cs="新宋体"/>
                <w:color w:val="auto"/>
                <w:sz w:val="24"/>
                <w:szCs w:val="24"/>
                <w:highlight w:val="none"/>
              </w:rPr>
              <w:t>地址：</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u w:val="single"/>
              </w:rPr>
              <w:t xml:space="preserve">   </w:t>
            </w:r>
          </w:p>
          <w:p w14:paraId="4EB3F13C">
            <w:pPr>
              <w:pStyle w:val="81"/>
              <w:pBdr>
                <w:bottom w:val="none" w:color="auto" w:sz="0" w:space="0"/>
              </w:pBdr>
              <w:tabs>
                <w:tab w:val="clear" w:pos="4153"/>
                <w:tab w:val="clear" w:pos="8306"/>
              </w:tabs>
              <w:adjustRightInd/>
              <w:spacing w:line="360" w:lineRule="auto"/>
              <w:jc w:val="both"/>
              <w:textAlignment w:val="auto"/>
              <w:rPr>
                <w:rFonts w:hint="eastAsia" w:ascii="宋体" w:hAnsi="宋体"/>
                <w:bCs/>
                <w:color w:val="auto"/>
                <w:kern w:val="2"/>
                <w:sz w:val="24"/>
                <w:szCs w:val="24"/>
                <w:highlight w:val="none"/>
                <w:lang w:val="en-US" w:eastAsia="zh-CN" w:bidi="ar-SA"/>
              </w:rPr>
            </w:pPr>
            <w:r>
              <w:rPr>
                <w:rFonts w:hint="eastAsia" w:ascii="宋体" w:hAnsi="宋体"/>
                <w:bCs/>
                <w:color w:val="auto"/>
                <w:kern w:val="2"/>
                <w:szCs w:val="24"/>
                <w:highlight w:val="none"/>
                <w:lang w:val="en-US" w:eastAsia="zh-CN"/>
              </w:rPr>
              <w:t>3</w:t>
            </w:r>
            <w:r>
              <w:rPr>
                <w:rFonts w:hint="eastAsia" w:ascii="宋体" w:hAnsi="宋体"/>
                <w:bCs/>
                <w:color w:val="auto"/>
                <w:kern w:val="2"/>
                <w:szCs w:val="24"/>
                <w:highlight w:val="none"/>
              </w:rPr>
              <w:t>、</w:t>
            </w:r>
            <w:r>
              <w:rPr>
                <w:rFonts w:hint="eastAsia" w:ascii="宋体" w:hAnsi="宋体"/>
                <w:bCs/>
                <w:color w:val="auto"/>
                <w:kern w:val="2"/>
                <w:szCs w:val="24"/>
                <w:highlight w:val="none"/>
                <w:lang w:eastAsia="zh-CN"/>
              </w:rPr>
              <w:t>投标人</w:t>
            </w:r>
            <w:r>
              <w:rPr>
                <w:rFonts w:hint="eastAsia" w:ascii="宋体" w:hAnsi="宋体"/>
                <w:bCs/>
                <w:color w:val="auto"/>
                <w:kern w:val="2"/>
                <w:szCs w:val="24"/>
                <w:highlight w:val="none"/>
              </w:rPr>
              <w:t>应按</w:t>
            </w:r>
            <w:r>
              <w:rPr>
                <w:rFonts w:hint="eastAsia" w:ascii="宋体" w:hAnsi="宋体"/>
                <w:bCs/>
                <w:color w:val="auto"/>
                <w:kern w:val="2"/>
                <w:szCs w:val="24"/>
                <w:highlight w:val="none"/>
                <w:lang w:val="en-US" w:eastAsia="zh-CN"/>
              </w:rPr>
              <w:t>招标</w:t>
            </w:r>
            <w:r>
              <w:rPr>
                <w:rFonts w:hint="eastAsia" w:ascii="宋体" w:hAnsi="宋体"/>
                <w:bCs/>
                <w:color w:val="auto"/>
                <w:kern w:val="2"/>
                <w:szCs w:val="24"/>
                <w:highlight w:val="none"/>
              </w:rPr>
              <w:t>公告规定的时间、地点，于</w:t>
            </w:r>
            <w:r>
              <w:rPr>
                <w:rFonts w:hint="eastAsia" w:ascii="宋体" w:hAnsi="宋体"/>
                <w:bCs/>
                <w:color w:val="auto"/>
                <w:kern w:val="2"/>
                <w:szCs w:val="24"/>
                <w:highlight w:val="none"/>
                <w:lang w:val="en-US" w:eastAsia="zh-CN"/>
              </w:rPr>
              <w:t>投标</w:t>
            </w:r>
            <w:r>
              <w:rPr>
                <w:rFonts w:hint="eastAsia" w:ascii="宋体" w:hAnsi="宋体"/>
                <w:bCs/>
                <w:color w:val="auto"/>
                <w:kern w:val="2"/>
                <w:szCs w:val="24"/>
                <w:highlight w:val="none"/>
              </w:rPr>
              <w:t>文件</w:t>
            </w:r>
            <w:r>
              <w:rPr>
                <w:rFonts w:hint="eastAsia" w:ascii="宋体" w:hAnsi="宋体"/>
                <w:bCs/>
                <w:color w:val="auto"/>
                <w:kern w:val="2"/>
                <w:szCs w:val="24"/>
                <w:highlight w:val="none"/>
                <w:lang w:val="en-US" w:eastAsia="zh-CN"/>
              </w:rPr>
              <w:t>递交</w:t>
            </w:r>
            <w:r>
              <w:rPr>
                <w:rFonts w:hint="eastAsia" w:ascii="宋体" w:hAnsi="宋体"/>
                <w:bCs/>
                <w:color w:val="auto"/>
                <w:kern w:val="2"/>
                <w:szCs w:val="24"/>
                <w:highlight w:val="none"/>
              </w:rPr>
              <w:t>截止时间前</w:t>
            </w:r>
            <w:r>
              <w:rPr>
                <w:rFonts w:hint="eastAsia" w:ascii="宋体" w:hAnsi="宋体"/>
                <w:bCs/>
                <w:color w:val="auto"/>
                <w:kern w:val="2"/>
                <w:szCs w:val="24"/>
                <w:highlight w:val="none"/>
                <w:lang w:val="en-US" w:eastAsia="zh-CN"/>
              </w:rPr>
              <w:t>在开标地点现场</w:t>
            </w:r>
            <w:r>
              <w:rPr>
                <w:rFonts w:hint="eastAsia" w:ascii="宋体" w:hAnsi="宋体"/>
                <w:bCs/>
                <w:color w:val="auto"/>
                <w:kern w:val="2"/>
                <w:szCs w:val="24"/>
                <w:highlight w:val="none"/>
              </w:rPr>
              <w:t>签到并</w:t>
            </w:r>
            <w:r>
              <w:rPr>
                <w:rFonts w:hint="eastAsia" w:ascii="宋体" w:hAnsi="宋体"/>
                <w:bCs/>
                <w:color w:val="auto"/>
                <w:kern w:val="2"/>
                <w:szCs w:val="24"/>
                <w:highlight w:val="none"/>
                <w:lang w:val="en-US" w:eastAsia="zh-CN"/>
              </w:rPr>
              <w:t>递交投标</w:t>
            </w:r>
            <w:r>
              <w:rPr>
                <w:rFonts w:hint="eastAsia" w:ascii="宋体" w:hAnsi="宋体"/>
                <w:bCs/>
                <w:color w:val="auto"/>
                <w:kern w:val="2"/>
                <w:szCs w:val="24"/>
                <w:highlight w:val="none"/>
              </w:rPr>
              <w:t>文件。</w:t>
            </w:r>
            <w:r>
              <w:rPr>
                <w:rFonts w:hint="eastAsia" w:ascii="宋体" w:hAnsi="宋体"/>
                <w:bCs/>
                <w:color w:val="auto"/>
                <w:kern w:val="2"/>
                <w:szCs w:val="24"/>
                <w:highlight w:val="none"/>
                <w:lang w:val="en-US" w:eastAsia="zh-CN"/>
              </w:rPr>
              <w:t>迟于投标</w:t>
            </w:r>
            <w:r>
              <w:rPr>
                <w:rFonts w:hint="eastAsia" w:ascii="宋体" w:hAnsi="宋体"/>
                <w:bCs/>
                <w:color w:val="auto"/>
                <w:kern w:val="2"/>
                <w:szCs w:val="24"/>
                <w:highlight w:val="none"/>
              </w:rPr>
              <w:t>文件</w:t>
            </w:r>
            <w:r>
              <w:rPr>
                <w:rFonts w:hint="eastAsia" w:ascii="宋体" w:hAnsi="宋体"/>
                <w:bCs/>
                <w:color w:val="auto"/>
                <w:kern w:val="2"/>
                <w:szCs w:val="24"/>
                <w:highlight w:val="none"/>
                <w:lang w:val="en-US" w:eastAsia="zh-CN"/>
              </w:rPr>
              <w:t>递交</w:t>
            </w:r>
            <w:r>
              <w:rPr>
                <w:rFonts w:hint="eastAsia" w:ascii="宋体" w:hAnsi="宋体"/>
                <w:bCs/>
                <w:color w:val="auto"/>
                <w:kern w:val="2"/>
                <w:szCs w:val="24"/>
                <w:highlight w:val="none"/>
              </w:rPr>
              <w:t>截止时间递交的</w:t>
            </w:r>
            <w:r>
              <w:rPr>
                <w:rFonts w:hint="eastAsia" w:ascii="宋体" w:hAnsi="宋体"/>
                <w:bCs/>
                <w:color w:val="auto"/>
                <w:kern w:val="2"/>
                <w:szCs w:val="24"/>
                <w:highlight w:val="none"/>
                <w:lang w:val="en-US" w:eastAsia="zh-CN"/>
              </w:rPr>
              <w:t>投标</w:t>
            </w:r>
            <w:r>
              <w:rPr>
                <w:rFonts w:hint="eastAsia" w:ascii="宋体" w:hAnsi="宋体"/>
                <w:bCs/>
                <w:color w:val="auto"/>
                <w:kern w:val="2"/>
                <w:szCs w:val="24"/>
                <w:highlight w:val="none"/>
              </w:rPr>
              <w:t>文件</w:t>
            </w:r>
            <w:r>
              <w:rPr>
                <w:rFonts w:hint="eastAsia" w:ascii="宋体" w:hAnsi="宋体"/>
                <w:bCs/>
                <w:color w:val="auto"/>
                <w:kern w:val="2"/>
                <w:szCs w:val="24"/>
                <w:highlight w:val="none"/>
                <w:lang w:val="en-US" w:eastAsia="zh-CN"/>
              </w:rPr>
              <w:t>一律不予接收</w:t>
            </w:r>
            <w:r>
              <w:rPr>
                <w:rFonts w:hint="eastAsia" w:ascii="宋体" w:hAnsi="宋体"/>
                <w:bCs/>
                <w:color w:val="auto"/>
                <w:kern w:val="2"/>
                <w:szCs w:val="24"/>
                <w:highlight w:val="none"/>
              </w:rPr>
              <w:t>。</w:t>
            </w:r>
          </w:p>
        </w:tc>
      </w:tr>
      <w:tr w14:paraId="2181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737" w:type="dxa"/>
            <w:noWrap w:val="0"/>
            <w:vAlign w:val="center"/>
          </w:tcPr>
          <w:p w14:paraId="00A1B22E">
            <w:pPr>
              <w:pStyle w:val="81"/>
              <w:pBdr>
                <w:bottom w:val="none" w:color="auto" w:sz="0" w:space="0"/>
              </w:pBdr>
              <w:tabs>
                <w:tab w:val="clear" w:pos="4153"/>
                <w:tab w:val="clear" w:pos="8306"/>
              </w:tabs>
              <w:adjustRightInd/>
              <w:spacing w:line="460" w:lineRule="exact"/>
              <w:textAlignment w:val="auto"/>
              <w:rPr>
                <w:rFonts w:ascii="宋体" w:hAnsi="宋体"/>
                <w:b w:val="0"/>
                <w:bCs/>
                <w:color w:val="auto"/>
                <w:kern w:val="2"/>
                <w:sz w:val="24"/>
                <w:szCs w:val="24"/>
                <w:highlight w:val="none"/>
                <w:lang w:val="en-US" w:eastAsia="zh-CN" w:bidi="ar-SA"/>
              </w:rPr>
            </w:pPr>
            <w:r>
              <w:rPr>
                <w:rFonts w:hint="eastAsia" w:ascii="宋体" w:hAnsi="宋体"/>
                <w:b w:val="0"/>
                <w:bCs/>
                <w:color w:val="auto"/>
                <w:kern w:val="2"/>
                <w:szCs w:val="24"/>
                <w:highlight w:val="none"/>
              </w:rPr>
              <w:t>16</w:t>
            </w:r>
          </w:p>
        </w:tc>
        <w:tc>
          <w:tcPr>
            <w:tcW w:w="1701" w:type="dxa"/>
            <w:noWrap w:val="0"/>
            <w:vAlign w:val="center"/>
          </w:tcPr>
          <w:p w14:paraId="2008F535">
            <w:pPr>
              <w:pStyle w:val="81"/>
              <w:pBdr>
                <w:bottom w:val="none" w:color="auto" w:sz="0" w:space="0"/>
              </w:pBdr>
              <w:tabs>
                <w:tab w:val="clear" w:pos="4153"/>
                <w:tab w:val="clear" w:pos="8306"/>
              </w:tabs>
              <w:adjustRightInd/>
              <w:spacing w:line="440" w:lineRule="exact"/>
              <w:textAlignment w:val="auto"/>
              <w:rPr>
                <w:rFonts w:hint="eastAsia" w:ascii="宋体" w:hAnsi="宋体"/>
                <w:bCs/>
                <w:color w:val="auto"/>
                <w:kern w:val="2"/>
                <w:szCs w:val="24"/>
                <w:highlight w:val="none"/>
                <w:lang w:val="en-US" w:eastAsia="zh-CN"/>
              </w:rPr>
            </w:pPr>
            <w:r>
              <w:rPr>
                <w:rFonts w:hint="eastAsia" w:ascii="宋体" w:hAnsi="宋体"/>
                <w:bCs/>
                <w:color w:val="auto"/>
                <w:kern w:val="2"/>
                <w:szCs w:val="24"/>
                <w:highlight w:val="none"/>
                <w:lang w:val="en-US" w:eastAsia="zh-CN"/>
              </w:rPr>
              <w:t>开标时间及</w:t>
            </w:r>
          </w:p>
          <w:p w14:paraId="2D86B072">
            <w:pPr>
              <w:pStyle w:val="81"/>
              <w:pBdr>
                <w:bottom w:val="none" w:color="auto" w:sz="0" w:space="0"/>
              </w:pBdr>
              <w:tabs>
                <w:tab w:val="clear" w:pos="4153"/>
                <w:tab w:val="clear" w:pos="8306"/>
              </w:tabs>
              <w:adjustRightInd/>
              <w:spacing w:line="440" w:lineRule="exact"/>
              <w:textAlignment w:val="auto"/>
              <w:rPr>
                <w:rFonts w:hint="eastAsia" w:ascii="宋体" w:hAnsi="宋体" w:eastAsia="宋体"/>
                <w:bCs/>
                <w:color w:val="auto"/>
                <w:kern w:val="2"/>
                <w:sz w:val="24"/>
                <w:szCs w:val="24"/>
                <w:highlight w:val="none"/>
                <w:lang w:val="en-US" w:eastAsia="zh-CN" w:bidi="ar-SA"/>
              </w:rPr>
            </w:pPr>
            <w:r>
              <w:rPr>
                <w:rFonts w:hint="eastAsia" w:ascii="宋体" w:hAnsi="宋体"/>
                <w:bCs/>
                <w:color w:val="auto"/>
                <w:kern w:val="2"/>
                <w:szCs w:val="24"/>
                <w:highlight w:val="none"/>
                <w:lang w:val="en-US" w:eastAsia="zh-CN"/>
              </w:rPr>
              <w:t>地点</w:t>
            </w:r>
          </w:p>
        </w:tc>
        <w:tc>
          <w:tcPr>
            <w:tcW w:w="7370" w:type="dxa"/>
            <w:noWrap w:val="0"/>
            <w:vAlign w:val="center"/>
          </w:tcPr>
          <w:p w14:paraId="0AAEE1A4">
            <w:pPr>
              <w:pStyle w:val="81"/>
              <w:pBdr>
                <w:bottom w:val="none" w:color="auto" w:sz="0" w:space="0"/>
              </w:pBdr>
              <w:tabs>
                <w:tab w:val="clear" w:pos="4153"/>
                <w:tab w:val="clear" w:pos="8306"/>
              </w:tabs>
              <w:adjustRightInd/>
              <w:spacing w:line="440" w:lineRule="exact"/>
              <w:jc w:val="left"/>
              <w:textAlignment w:val="auto"/>
              <w:rPr>
                <w:rFonts w:hint="default" w:ascii="宋体" w:hAnsi="宋体"/>
                <w:bCs/>
                <w:color w:val="auto"/>
                <w:kern w:val="2"/>
                <w:sz w:val="24"/>
                <w:szCs w:val="24"/>
                <w:highlight w:val="none"/>
                <w:lang w:val="en-US" w:eastAsia="zh-CN" w:bidi="ar-SA"/>
              </w:rPr>
            </w:pPr>
            <w:r>
              <w:rPr>
                <w:rFonts w:hint="eastAsia" w:ascii="宋体" w:hAnsi="宋体"/>
                <w:bCs/>
                <w:color w:val="auto"/>
                <w:kern w:val="2"/>
                <w:szCs w:val="24"/>
                <w:highlight w:val="none"/>
                <w:lang w:val="en-US" w:eastAsia="zh-CN"/>
              </w:rPr>
              <w:t>见招标公告</w:t>
            </w:r>
          </w:p>
        </w:tc>
      </w:tr>
      <w:tr w14:paraId="6604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737" w:type="dxa"/>
            <w:noWrap w:val="0"/>
            <w:vAlign w:val="center"/>
          </w:tcPr>
          <w:p w14:paraId="0BC07E7B">
            <w:pPr>
              <w:pStyle w:val="81"/>
              <w:pBdr>
                <w:bottom w:val="none" w:color="auto" w:sz="0" w:space="0"/>
              </w:pBdr>
              <w:tabs>
                <w:tab w:val="clear" w:pos="4153"/>
                <w:tab w:val="clear" w:pos="8306"/>
              </w:tabs>
              <w:adjustRightInd/>
              <w:spacing w:line="460" w:lineRule="exact"/>
              <w:textAlignment w:val="auto"/>
              <w:rPr>
                <w:rFonts w:ascii="宋体" w:hAnsi="宋体"/>
                <w:b w:val="0"/>
                <w:bCs/>
                <w:color w:val="auto"/>
                <w:kern w:val="2"/>
                <w:sz w:val="24"/>
                <w:szCs w:val="24"/>
                <w:highlight w:val="none"/>
                <w:lang w:val="en-US" w:eastAsia="zh-CN" w:bidi="ar-SA"/>
              </w:rPr>
            </w:pPr>
            <w:r>
              <w:rPr>
                <w:rFonts w:hint="eastAsia" w:ascii="宋体" w:hAnsi="宋体"/>
                <w:b w:val="0"/>
                <w:bCs/>
                <w:color w:val="auto"/>
                <w:kern w:val="2"/>
                <w:szCs w:val="24"/>
                <w:highlight w:val="none"/>
              </w:rPr>
              <w:t>17</w:t>
            </w:r>
          </w:p>
        </w:tc>
        <w:tc>
          <w:tcPr>
            <w:tcW w:w="1701" w:type="dxa"/>
            <w:noWrap w:val="0"/>
            <w:vAlign w:val="center"/>
          </w:tcPr>
          <w:p w14:paraId="273751F1">
            <w:pPr>
              <w:pStyle w:val="81"/>
              <w:pBdr>
                <w:bottom w:val="none" w:color="auto" w:sz="0" w:space="0"/>
              </w:pBdr>
              <w:tabs>
                <w:tab w:val="clear" w:pos="4153"/>
                <w:tab w:val="clear" w:pos="8306"/>
              </w:tabs>
              <w:adjustRightInd/>
              <w:spacing w:line="440" w:lineRule="exact"/>
              <w:textAlignment w:val="auto"/>
              <w:rPr>
                <w:rFonts w:hint="eastAsia" w:ascii="宋体" w:hAnsi="宋体"/>
                <w:bCs/>
                <w:color w:val="auto"/>
                <w:kern w:val="2"/>
                <w:sz w:val="24"/>
                <w:szCs w:val="24"/>
                <w:highlight w:val="none"/>
                <w:lang w:val="en-US" w:eastAsia="zh-CN" w:bidi="ar-SA"/>
              </w:rPr>
            </w:pPr>
            <w:r>
              <w:rPr>
                <w:rFonts w:hint="eastAsia" w:ascii="宋体" w:hAnsi="宋体"/>
                <w:bCs/>
                <w:color w:val="auto"/>
                <w:kern w:val="2"/>
                <w:szCs w:val="24"/>
                <w:highlight w:val="none"/>
              </w:rPr>
              <w:t>备注</w:t>
            </w:r>
          </w:p>
        </w:tc>
        <w:tc>
          <w:tcPr>
            <w:tcW w:w="7370" w:type="dxa"/>
            <w:noWrap w:val="0"/>
            <w:vAlign w:val="center"/>
          </w:tcPr>
          <w:p w14:paraId="2C02CC96">
            <w:pPr>
              <w:pStyle w:val="81"/>
              <w:pBdr>
                <w:bottom w:val="none" w:color="auto" w:sz="0" w:space="0"/>
              </w:pBdr>
              <w:tabs>
                <w:tab w:val="clear" w:pos="4153"/>
                <w:tab w:val="clear" w:pos="8306"/>
              </w:tabs>
              <w:adjustRightInd/>
              <w:spacing w:line="440" w:lineRule="exact"/>
              <w:jc w:val="left"/>
              <w:textAlignment w:val="auto"/>
              <w:rPr>
                <w:rFonts w:hint="eastAsia" w:ascii="宋体" w:hAnsi="宋体" w:eastAsia="宋体"/>
                <w:bCs/>
                <w:color w:val="auto"/>
                <w:kern w:val="2"/>
                <w:sz w:val="24"/>
                <w:szCs w:val="24"/>
                <w:highlight w:val="none"/>
                <w:lang w:val="en-US" w:eastAsia="zh-CN" w:bidi="ar-SA"/>
              </w:rPr>
            </w:pPr>
            <w:r>
              <w:rPr>
                <w:rFonts w:hint="eastAsia" w:ascii="宋体" w:hAnsi="宋体"/>
                <w:bCs/>
                <w:color w:val="auto"/>
                <w:kern w:val="2"/>
                <w:szCs w:val="24"/>
                <w:highlight w:val="none"/>
              </w:rPr>
              <w:t>特别提醒：</w:t>
            </w:r>
            <w:r>
              <w:rPr>
                <w:rFonts w:hint="eastAsia" w:ascii="宋体" w:hAnsi="宋体"/>
                <w:bCs/>
                <w:color w:val="auto"/>
                <w:kern w:val="2"/>
                <w:szCs w:val="24"/>
                <w:highlight w:val="none"/>
                <w:lang w:val="en-US" w:eastAsia="zh-CN"/>
              </w:rPr>
              <w:t>投标人</w:t>
            </w:r>
            <w:r>
              <w:rPr>
                <w:rFonts w:hint="eastAsia" w:ascii="宋体" w:hAnsi="宋体"/>
                <w:bCs/>
                <w:color w:val="auto"/>
                <w:kern w:val="2"/>
                <w:szCs w:val="24"/>
                <w:highlight w:val="none"/>
              </w:rPr>
              <w:t>参与</w:t>
            </w:r>
            <w:r>
              <w:rPr>
                <w:rFonts w:hint="eastAsia" w:ascii="宋体" w:hAnsi="宋体"/>
                <w:bCs/>
                <w:color w:val="auto"/>
                <w:kern w:val="2"/>
                <w:szCs w:val="24"/>
                <w:highlight w:val="none"/>
                <w:lang w:val="en-US" w:eastAsia="zh-CN"/>
              </w:rPr>
              <w:t>本次招标活动</w:t>
            </w:r>
            <w:r>
              <w:rPr>
                <w:rFonts w:hint="eastAsia" w:ascii="宋体" w:hAnsi="宋体"/>
                <w:bCs/>
                <w:color w:val="auto"/>
                <w:kern w:val="2"/>
                <w:szCs w:val="24"/>
                <w:highlight w:val="none"/>
              </w:rPr>
              <w:t>，应当诚信守法、公平竞争。如有以提供虚假材料（包括但不限于虚假技术参数响应、虚假业绩、虚假证书、虚假检测报告</w:t>
            </w:r>
            <w:r>
              <w:rPr>
                <w:rFonts w:hint="eastAsia" w:ascii="宋体" w:hAnsi="宋体"/>
                <w:bCs/>
                <w:color w:val="auto"/>
                <w:kern w:val="2"/>
                <w:szCs w:val="24"/>
                <w:highlight w:val="none"/>
                <w:lang w:eastAsia="zh-CN"/>
              </w:rPr>
              <w:t>、</w:t>
            </w:r>
            <w:r>
              <w:rPr>
                <w:rFonts w:hint="eastAsia" w:ascii="宋体" w:hAnsi="宋体"/>
                <w:bCs/>
                <w:color w:val="auto"/>
                <w:kern w:val="2"/>
                <w:szCs w:val="24"/>
                <w:highlight w:val="none"/>
                <w:lang w:val="en-US" w:eastAsia="zh-CN"/>
              </w:rPr>
              <w:t>虚假承诺</w:t>
            </w:r>
            <w:r>
              <w:rPr>
                <w:rFonts w:hint="eastAsia" w:ascii="宋体" w:hAnsi="宋体"/>
                <w:bCs/>
                <w:color w:val="auto"/>
                <w:kern w:val="2"/>
                <w:szCs w:val="24"/>
                <w:highlight w:val="none"/>
              </w:rPr>
              <w:t>等）、串通投标、隐瞒失信信息等谋取中标的行为，一经发现，</w:t>
            </w:r>
            <w:r>
              <w:rPr>
                <w:rFonts w:hint="eastAsia" w:ascii="宋体" w:hAnsi="宋体"/>
                <w:bCs/>
                <w:color w:val="auto"/>
                <w:kern w:val="2"/>
                <w:szCs w:val="24"/>
                <w:highlight w:val="none"/>
                <w:lang w:val="en-US" w:eastAsia="zh-CN"/>
              </w:rPr>
              <w:t>调查核实后取消中标资格并上</w:t>
            </w:r>
            <w:r>
              <w:rPr>
                <w:rFonts w:hint="eastAsia" w:ascii="宋体" w:hAnsi="宋体"/>
                <w:bCs/>
                <w:color w:val="auto"/>
                <w:kern w:val="2"/>
                <w:szCs w:val="24"/>
                <w:highlight w:val="none"/>
              </w:rPr>
              <w:t>报监管部门严肃</w:t>
            </w:r>
            <w:r>
              <w:rPr>
                <w:rFonts w:hint="eastAsia" w:ascii="宋体" w:hAnsi="宋体"/>
                <w:bCs/>
                <w:color w:val="auto"/>
                <w:kern w:val="2"/>
                <w:szCs w:val="24"/>
                <w:highlight w:val="none"/>
                <w:lang w:val="en-US" w:eastAsia="zh-CN"/>
              </w:rPr>
              <w:t>处理</w:t>
            </w:r>
            <w:r>
              <w:rPr>
                <w:rFonts w:hint="eastAsia" w:ascii="宋体" w:hAnsi="宋体"/>
                <w:bCs/>
                <w:color w:val="auto"/>
                <w:kern w:val="2"/>
                <w:szCs w:val="24"/>
                <w:highlight w:val="none"/>
              </w:rPr>
              <w:t>。</w:t>
            </w:r>
          </w:p>
        </w:tc>
      </w:tr>
      <w:tr w14:paraId="6971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63" w:hRule="atLeast"/>
          <w:jc w:val="center"/>
        </w:trPr>
        <w:tc>
          <w:tcPr>
            <w:tcW w:w="737" w:type="dxa"/>
            <w:noWrap w:val="0"/>
            <w:vAlign w:val="center"/>
          </w:tcPr>
          <w:p w14:paraId="0595F2B9">
            <w:pPr>
              <w:pStyle w:val="81"/>
              <w:pBdr>
                <w:bottom w:val="none" w:color="auto" w:sz="0" w:space="0"/>
              </w:pBdr>
              <w:tabs>
                <w:tab w:val="clear" w:pos="4153"/>
                <w:tab w:val="clear" w:pos="8306"/>
              </w:tabs>
              <w:adjustRightInd/>
              <w:spacing w:line="460" w:lineRule="exact"/>
              <w:textAlignment w:val="auto"/>
              <w:rPr>
                <w:rFonts w:hint="eastAsia" w:ascii="宋体" w:hAnsi="宋体"/>
                <w:b w:val="0"/>
                <w:bCs/>
                <w:color w:val="auto"/>
                <w:kern w:val="2"/>
                <w:sz w:val="24"/>
                <w:szCs w:val="24"/>
                <w:highlight w:val="none"/>
                <w:lang w:val="en-US" w:eastAsia="zh-CN" w:bidi="ar-SA"/>
              </w:rPr>
            </w:pPr>
            <w:r>
              <w:rPr>
                <w:rFonts w:hint="eastAsia" w:ascii="宋体" w:hAnsi="宋体"/>
                <w:b w:val="0"/>
                <w:bCs/>
                <w:color w:val="auto"/>
                <w:kern w:val="2"/>
                <w:szCs w:val="24"/>
                <w:highlight w:val="none"/>
              </w:rPr>
              <w:t>19</w:t>
            </w:r>
          </w:p>
        </w:tc>
        <w:tc>
          <w:tcPr>
            <w:tcW w:w="1701" w:type="dxa"/>
            <w:noWrap w:val="0"/>
            <w:vAlign w:val="center"/>
          </w:tcPr>
          <w:p w14:paraId="1778F9E2">
            <w:pPr>
              <w:pStyle w:val="81"/>
              <w:pBdr>
                <w:bottom w:val="none" w:color="auto" w:sz="0" w:space="0"/>
              </w:pBdr>
              <w:tabs>
                <w:tab w:val="clear" w:pos="4153"/>
                <w:tab w:val="clear" w:pos="8306"/>
              </w:tabs>
              <w:adjustRightInd/>
              <w:spacing w:line="440" w:lineRule="exact"/>
              <w:textAlignment w:val="auto"/>
              <w:rPr>
                <w:rFonts w:hint="eastAsia" w:ascii="宋体" w:hAnsi="宋体" w:eastAsia="宋体"/>
                <w:bCs/>
                <w:color w:val="auto"/>
                <w:kern w:val="2"/>
                <w:sz w:val="24"/>
                <w:szCs w:val="24"/>
                <w:highlight w:val="none"/>
                <w:lang w:val="en-US" w:eastAsia="zh-CN" w:bidi="ar-SA"/>
              </w:rPr>
            </w:pPr>
            <w:r>
              <w:rPr>
                <w:rFonts w:hint="eastAsia" w:ascii="宋体" w:hAnsi="宋体"/>
                <w:bCs/>
                <w:color w:val="auto"/>
                <w:kern w:val="2"/>
                <w:szCs w:val="24"/>
                <w:highlight w:val="none"/>
                <w:lang w:val="en-US" w:eastAsia="zh-CN"/>
              </w:rPr>
              <w:t>中标结果公告</w:t>
            </w:r>
          </w:p>
        </w:tc>
        <w:tc>
          <w:tcPr>
            <w:tcW w:w="7370" w:type="dxa"/>
            <w:noWrap w:val="0"/>
            <w:vAlign w:val="center"/>
          </w:tcPr>
          <w:p w14:paraId="24E54ABF">
            <w:pPr>
              <w:pStyle w:val="81"/>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 w:val="24"/>
                <w:szCs w:val="24"/>
                <w:highlight w:val="none"/>
                <w:lang w:val="en-US" w:eastAsia="zh-CN" w:bidi="ar-SA"/>
              </w:rPr>
            </w:pPr>
            <w:r>
              <w:rPr>
                <w:rFonts w:hint="eastAsia" w:ascii="宋体" w:hAnsi="宋体"/>
                <w:bCs/>
                <w:color w:val="auto"/>
                <w:kern w:val="2"/>
                <w:szCs w:val="24"/>
                <w:highlight w:val="none"/>
                <w:lang w:val="en-US" w:eastAsia="zh-CN"/>
              </w:rPr>
              <w:t>本项目中标结果公告在六安市公共资源交易平台“交易信息”、“其他行业”版块发布。同时向中标人发出书面中标通知书。</w:t>
            </w:r>
          </w:p>
        </w:tc>
      </w:tr>
      <w:tr w14:paraId="613A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53" w:hRule="atLeast"/>
          <w:jc w:val="center"/>
        </w:trPr>
        <w:tc>
          <w:tcPr>
            <w:tcW w:w="737" w:type="dxa"/>
            <w:noWrap w:val="0"/>
            <w:vAlign w:val="center"/>
          </w:tcPr>
          <w:p w14:paraId="42CFD9B8">
            <w:pPr>
              <w:pStyle w:val="81"/>
              <w:pBdr>
                <w:bottom w:val="none" w:color="auto" w:sz="0" w:space="0"/>
              </w:pBdr>
              <w:tabs>
                <w:tab w:val="clear" w:pos="4153"/>
                <w:tab w:val="clear" w:pos="8306"/>
              </w:tabs>
              <w:adjustRightInd/>
              <w:spacing w:line="240" w:lineRule="auto"/>
              <w:textAlignment w:val="auto"/>
              <w:rPr>
                <w:rFonts w:hint="default" w:ascii="宋体" w:hAnsi="宋体" w:eastAsia="宋体"/>
                <w:b w:val="0"/>
                <w:bCs/>
                <w:color w:val="auto"/>
                <w:kern w:val="2"/>
                <w:sz w:val="24"/>
                <w:szCs w:val="24"/>
                <w:highlight w:val="none"/>
                <w:lang w:val="en-US" w:eastAsia="zh-CN" w:bidi="ar-SA"/>
              </w:rPr>
            </w:pPr>
            <w:r>
              <w:rPr>
                <w:rFonts w:hint="eastAsia" w:ascii="宋体" w:hAnsi="宋体"/>
                <w:b w:val="0"/>
                <w:bCs/>
                <w:color w:val="auto"/>
                <w:kern w:val="2"/>
                <w:szCs w:val="24"/>
                <w:highlight w:val="none"/>
                <w:lang w:val="en-US" w:eastAsia="zh-CN"/>
              </w:rPr>
              <w:t>20</w:t>
            </w:r>
          </w:p>
        </w:tc>
        <w:tc>
          <w:tcPr>
            <w:tcW w:w="1701" w:type="dxa"/>
            <w:noWrap w:val="0"/>
            <w:vAlign w:val="center"/>
          </w:tcPr>
          <w:p w14:paraId="781F0883">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补充</w:t>
            </w:r>
          </w:p>
        </w:tc>
        <w:tc>
          <w:tcPr>
            <w:tcW w:w="7370" w:type="dxa"/>
            <w:noWrap w:val="0"/>
            <w:vAlign w:val="center"/>
          </w:tcPr>
          <w:p w14:paraId="54361A13">
            <w:pPr>
              <w:keepNext w:val="0"/>
              <w:keepLines w:val="0"/>
              <w:pageBreakBefore w:val="0"/>
              <w:widowControl/>
              <w:suppressLineNumbers w:val="0"/>
              <w:kinsoku/>
              <w:wordWrap/>
              <w:overflowPunct/>
              <w:topLinePunct w:val="0"/>
              <w:autoSpaceDE/>
              <w:autoSpaceDN/>
              <w:bidi w:val="0"/>
              <w:adjustRightInd/>
              <w:snapToGrid/>
              <w:spacing w:line="440" w:lineRule="exact"/>
              <w:ind w:left="42" w:leftChars="20" w:right="42" w:rightChars="2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根据《中华人民共和国招标投标法实施条例》规定，投标人如对招标文件、开标过程、评标结果有异议的，请按如下规定向招标人/招标代理机构提出。 </w:t>
            </w:r>
          </w:p>
          <w:p w14:paraId="0BAF6545">
            <w:pPr>
              <w:keepNext w:val="0"/>
              <w:keepLines w:val="0"/>
              <w:pageBreakBefore w:val="0"/>
              <w:widowControl/>
              <w:suppressLineNumbers w:val="0"/>
              <w:kinsoku/>
              <w:wordWrap/>
              <w:overflowPunct/>
              <w:topLinePunct w:val="0"/>
              <w:autoSpaceDE/>
              <w:autoSpaceDN/>
              <w:bidi w:val="0"/>
              <w:adjustRightInd/>
              <w:snapToGrid/>
              <w:spacing w:line="440" w:lineRule="exact"/>
              <w:ind w:left="42" w:leftChars="20" w:right="42" w:rightChars="2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1.对招标文件的异议： </w:t>
            </w:r>
          </w:p>
          <w:p w14:paraId="7E29ABE9">
            <w:pPr>
              <w:keepNext w:val="0"/>
              <w:keepLines w:val="0"/>
              <w:pageBreakBefore w:val="0"/>
              <w:widowControl/>
              <w:suppressLineNumbers w:val="0"/>
              <w:kinsoku/>
              <w:wordWrap/>
              <w:overflowPunct/>
              <w:topLinePunct w:val="0"/>
              <w:autoSpaceDE/>
              <w:autoSpaceDN/>
              <w:bidi w:val="0"/>
              <w:adjustRightInd/>
              <w:snapToGrid/>
              <w:spacing w:line="440" w:lineRule="exact"/>
              <w:ind w:left="42" w:leftChars="20" w:right="42" w:rightChars="2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投标人未在本招标文件规定的时间内提出澄清要求或未在投标截止时间10天前提出异议的，视为其对本招标文件无异议，且不得在本文件规定时间外再对招标文件相关内容提出异议或投诉，否则相关部门有权依法不予受理。</w:t>
            </w:r>
          </w:p>
          <w:p w14:paraId="2FF6E7E3">
            <w:pPr>
              <w:keepNext w:val="0"/>
              <w:keepLines w:val="0"/>
              <w:pageBreakBefore w:val="0"/>
              <w:widowControl/>
              <w:suppressLineNumbers w:val="0"/>
              <w:kinsoku/>
              <w:wordWrap/>
              <w:overflowPunct/>
              <w:topLinePunct w:val="0"/>
              <w:autoSpaceDE/>
              <w:autoSpaceDN/>
              <w:bidi w:val="0"/>
              <w:adjustRightInd/>
              <w:snapToGrid/>
              <w:spacing w:line="440" w:lineRule="exact"/>
              <w:ind w:left="42" w:leftChars="20" w:right="42" w:rightChars="2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2.对开标过程提出异议的，应于开标现场提出，否则开标会结束后，相关部门有权依法不予受理。</w:t>
            </w:r>
            <w:r>
              <w:rPr>
                <w:rFonts w:hint="default" w:ascii="Times New Roman" w:hAnsi="Times New Roman" w:eastAsia="宋体" w:cs="Times New Roman"/>
                <w:color w:val="auto"/>
                <w:kern w:val="0"/>
                <w:sz w:val="21"/>
                <w:szCs w:val="21"/>
                <w:highlight w:val="none"/>
                <w:lang w:val="en-US" w:eastAsia="zh-CN" w:bidi="ar"/>
              </w:rPr>
              <w:t xml:space="preserve"> </w:t>
            </w:r>
          </w:p>
          <w:p w14:paraId="40E0E975">
            <w:pPr>
              <w:keepNext w:val="0"/>
              <w:keepLines w:val="0"/>
              <w:pageBreakBefore w:val="0"/>
              <w:widowControl/>
              <w:suppressLineNumbers w:val="0"/>
              <w:kinsoku/>
              <w:wordWrap/>
              <w:overflowPunct/>
              <w:topLinePunct w:val="0"/>
              <w:autoSpaceDE/>
              <w:autoSpaceDN/>
              <w:bidi w:val="0"/>
              <w:adjustRightInd/>
              <w:snapToGrid/>
              <w:spacing w:line="440" w:lineRule="exact"/>
              <w:ind w:left="42" w:leftChars="20" w:right="42" w:rightChars="2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3.对评标结果的异议：招标投标相关各方对评标结果有异议，应在公示期内以书面形式向招标人/招标代理机构提出。 </w:t>
            </w:r>
          </w:p>
          <w:p w14:paraId="14017F20">
            <w:pPr>
              <w:keepNext w:val="0"/>
              <w:keepLines w:val="0"/>
              <w:pageBreakBefore w:val="0"/>
              <w:widowControl/>
              <w:suppressLineNumbers w:val="0"/>
              <w:kinsoku/>
              <w:wordWrap/>
              <w:overflowPunct/>
              <w:topLinePunct w:val="0"/>
              <w:autoSpaceDE/>
              <w:autoSpaceDN/>
              <w:bidi w:val="0"/>
              <w:adjustRightInd/>
              <w:snapToGrid/>
              <w:spacing w:line="440" w:lineRule="exact"/>
              <w:ind w:left="42" w:leftChars="20" w:right="42" w:rightChars="2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4.投标人或者其他利害关系人认为招标投标活动不符合法律、行政法规规定的，可在规定时间内向金寨县财政局（金寨县公共资源交易监督管理局）提出投诉，投诉书面材料递交至金寨县财政局（金寨县公共资源交易监督管理局）公共资源交易监督股。</w:t>
            </w:r>
          </w:p>
          <w:p w14:paraId="0A6F3F18">
            <w:pPr>
              <w:keepNext w:val="0"/>
              <w:keepLines w:val="0"/>
              <w:pageBreakBefore w:val="0"/>
              <w:widowControl/>
              <w:suppressLineNumbers w:val="0"/>
              <w:kinsoku/>
              <w:wordWrap/>
              <w:overflowPunct/>
              <w:topLinePunct w:val="0"/>
              <w:autoSpaceDE/>
              <w:autoSpaceDN/>
              <w:bidi w:val="0"/>
              <w:adjustRightInd/>
              <w:snapToGrid/>
              <w:spacing w:line="440" w:lineRule="exact"/>
              <w:ind w:left="42" w:leftChars="20" w:right="42" w:rightChars="2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（1）书面异议材料应当包括以下内容： </w:t>
            </w:r>
          </w:p>
          <w:p w14:paraId="1E855299">
            <w:pPr>
              <w:keepNext w:val="0"/>
              <w:keepLines w:val="0"/>
              <w:pageBreakBefore w:val="0"/>
              <w:widowControl/>
              <w:suppressLineNumbers w:val="0"/>
              <w:kinsoku/>
              <w:wordWrap/>
              <w:overflowPunct/>
              <w:topLinePunct w:val="0"/>
              <w:autoSpaceDE/>
              <w:autoSpaceDN/>
              <w:bidi w:val="0"/>
              <w:adjustRightInd/>
              <w:snapToGrid/>
              <w:spacing w:line="440" w:lineRule="exact"/>
              <w:ind w:left="42" w:leftChars="20" w:right="42" w:rightChars="2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①提出异议的投标人的名称、地址及有效联系方式； </w:t>
            </w:r>
          </w:p>
          <w:p w14:paraId="1435D235">
            <w:pPr>
              <w:keepNext w:val="0"/>
              <w:keepLines w:val="0"/>
              <w:pageBreakBefore w:val="0"/>
              <w:widowControl/>
              <w:suppressLineNumbers w:val="0"/>
              <w:kinsoku/>
              <w:wordWrap/>
              <w:overflowPunct/>
              <w:topLinePunct w:val="0"/>
              <w:autoSpaceDE/>
              <w:autoSpaceDN/>
              <w:bidi w:val="0"/>
              <w:adjustRightInd/>
              <w:snapToGrid/>
              <w:spacing w:line="440" w:lineRule="exact"/>
              <w:ind w:left="42" w:leftChars="20" w:right="42" w:rightChars="2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②异议对象的投标人的名称； </w:t>
            </w:r>
          </w:p>
          <w:p w14:paraId="3286785A">
            <w:pPr>
              <w:keepNext w:val="0"/>
              <w:keepLines w:val="0"/>
              <w:pageBreakBefore w:val="0"/>
              <w:widowControl/>
              <w:suppressLineNumbers w:val="0"/>
              <w:kinsoku/>
              <w:wordWrap/>
              <w:overflowPunct/>
              <w:topLinePunct w:val="0"/>
              <w:autoSpaceDE/>
              <w:autoSpaceDN/>
              <w:bidi w:val="0"/>
              <w:adjustRightInd/>
              <w:snapToGrid/>
              <w:spacing w:line="440" w:lineRule="exact"/>
              <w:ind w:left="42" w:leftChars="20" w:right="42" w:rightChars="2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③异议事项的基本事实； </w:t>
            </w:r>
          </w:p>
          <w:p w14:paraId="664668F7">
            <w:pPr>
              <w:keepNext w:val="0"/>
              <w:keepLines w:val="0"/>
              <w:pageBreakBefore w:val="0"/>
              <w:widowControl/>
              <w:suppressLineNumbers w:val="0"/>
              <w:kinsoku/>
              <w:wordWrap/>
              <w:overflowPunct/>
              <w:topLinePunct w:val="0"/>
              <w:autoSpaceDE/>
              <w:autoSpaceDN/>
              <w:bidi w:val="0"/>
              <w:adjustRightInd/>
              <w:snapToGrid/>
              <w:spacing w:line="440" w:lineRule="exact"/>
              <w:ind w:left="42" w:leftChars="20" w:right="42" w:rightChars="2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④相关请求和主张； </w:t>
            </w:r>
          </w:p>
          <w:p w14:paraId="3697C710">
            <w:pPr>
              <w:keepNext w:val="0"/>
              <w:keepLines w:val="0"/>
              <w:pageBreakBefore w:val="0"/>
              <w:widowControl/>
              <w:suppressLineNumbers w:val="0"/>
              <w:kinsoku/>
              <w:wordWrap/>
              <w:overflowPunct/>
              <w:topLinePunct w:val="0"/>
              <w:autoSpaceDE/>
              <w:autoSpaceDN/>
              <w:bidi w:val="0"/>
              <w:adjustRightInd/>
              <w:snapToGrid/>
              <w:spacing w:line="440" w:lineRule="exact"/>
              <w:ind w:left="42" w:leftChars="20" w:right="42" w:rightChars="2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⑤有效线索和相关证明材料； </w:t>
            </w:r>
          </w:p>
          <w:p w14:paraId="6E3BBE41">
            <w:pPr>
              <w:keepNext w:val="0"/>
              <w:keepLines w:val="0"/>
              <w:pageBreakBefore w:val="0"/>
              <w:widowControl/>
              <w:suppressLineNumbers w:val="0"/>
              <w:kinsoku/>
              <w:wordWrap/>
              <w:overflowPunct/>
              <w:topLinePunct w:val="0"/>
              <w:autoSpaceDE/>
              <w:autoSpaceDN/>
              <w:bidi w:val="0"/>
              <w:adjustRightInd/>
              <w:snapToGrid/>
              <w:spacing w:line="440" w:lineRule="exact"/>
              <w:ind w:left="42" w:leftChars="20" w:right="42" w:rightChars="2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⑥提出异议的投标人是法人的，异议材料必须由其法定代表人签字并加盖单位公章，并附法定代表人及其委托联系人的有效身份证明复印件、注明联系方式；其他组织或者自然人提出异议的，异议材料必须由其主要负责人签字（有公章的须单位加盖公章），并附主要负责人及其委托联系人的有效身份证明复印件、注明联系方式。 </w:t>
            </w:r>
          </w:p>
          <w:p w14:paraId="428C93DF">
            <w:pPr>
              <w:keepNext w:val="0"/>
              <w:keepLines w:val="0"/>
              <w:pageBreakBefore w:val="0"/>
              <w:widowControl/>
              <w:suppressLineNumbers w:val="0"/>
              <w:kinsoku/>
              <w:wordWrap/>
              <w:overflowPunct/>
              <w:topLinePunct w:val="0"/>
              <w:autoSpaceDE/>
              <w:autoSpaceDN/>
              <w:bidi w:val="0"/>
              <w:adjustRightInd/>
              <w:snapToGrid/>
              <w:spacing w:line="440" w:lineRule="exact"/>
              <w:ind w:left="42" w:leftChars="20" w:right="42" w:rightChars="2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异议有关材料是外文的，应当同时提供其中文译本。 </w:t>
            </w:r>
          </w:p>
          <w:p w14:paraId="3C10DF5A">
            <w:pPr>
              <w:keepNext w:val="0"/>
              <w:keepLines w:val="0"/>
              <w:pageBreakBefore w:val="0"/>
              <w:widowControl/>
              <w:suppressLineNumbers w:val="0"/>
              <w:kinsoku/>
              <w:wordWrap/>
              <w:overflowPunct/>
              <w:topLinePunct w:val="0"/>
              <w:autoSpaceDE/>
              <w:autoSpaceDN/>
              <w:bidi w:val="0"/>
              <w:adjustRightInd/>
              <w:snapToGrid/>
              <w:spacing w:line="440" w:lineRule="exact"/>
              <w:ind w:left="42" w:leftChars="20" w:right="42" w:rightChars="2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（2）有下列情形的异议材料，招标人/招标代理机构有权不予受理： </w:t>
            </w:r>
          </w:p>
          <w:p w14:paraId="096A5E40">
            <w:pPr>
              <w:keepNext w:val="0"/>
              <w:keepLines w:val="0"/>
              <w:pageBreakBefore w:val="0"/>
              <w:widowControl/>
              <w:suppressLineNumbers w:val="0"/>
              <w:kinsoku/>
              <w:wordWrap/>
              <w:overflowPunct/>
              <w:topLinePunct w:val="0"/>
              <w:autoSpaceDE/>
              <w:autoSpaceDN/>
              <w:bidi w:val="0"/>
              <w:adjustRightInd/>
              <w:snapToGrid/>
              <w:spacing w:line="440" w:lineRule="exact"/>
              <w:ind w:left="42" w:leftChars="20" w:right="42" w:rightChars="2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①书面异议材料不完整的； </w:t>
            </w:r>
          </w:p>
          <w:p w14:paraId="47DA9A7F">
            <w:pPr>
              <w:keepNext w:val="0"/>
              <w:keepLines w:val="0"/>
              <w:pageBreakBefore w:val="0"/>
              <w:widowControl/>
              <w:suppressLineNumbers w:val="0"/>
              <w:kinsoku/>
              <w:wordWrap/>
              <w:overflowPunct/>
              <w:topLinePunct w:val="0"/>
              <w:autoSpaceDE/>
              <w:autoSpaceDN/>
              <w:bidi w:val="0"/>
              <w:adjustRightInd/>
              <w:snapToGrid/>
              <w:spacing w:line="440" w:lineRule="exact"/>
              <w:ind w:left="42" w:leftChars="20" w:right="42" w:rightChars="2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②异议事项含有主观猜测等内容且无充分有效证据的； </w:t>
            </w:r>
          </w:p>
          <w:p w14:paraId="3B94127E">
            <w:pPr>
              <w:keepNext w:val="0"/>
              <w:keepLines w:val="0"/>
              <w:pageBreakBefore w:val="0"/>
              <w:widowControl/>
              <w:suppressLineNumbers w:val="0"/>
              <w:kinsoku/>
              <w:wordWrap/>
              <w:overflowPunct/>
              <w:topLinePunct w:val="0"/>
              <w:autoSpaceDE/>
              <w:autoSpaceDN/>
              <w:bidi w:val="0"/>
              <w:adjustRightInd/>
              <w:snapToGrid/>
              <w:spacing w:line="440" w:lineRule="exact"/>
              <w:ind w:left="42" w:leftChars="20" w:right="42" w:rightChars="2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③对其他投标人的投标文件详细内容异议，无法提供合法来源渠道的； </w:t>
            </w:r>
          </w:p>
          <w:p w14:paraId="2B26ED97">
            <w:pPr>
              <w:keepNext w:val="0"/>
              <w:keepLines w:val="0"/>
              <w:pageBreakBefore w:val="0"/>
              <w:widowControl/>
              <w:suppressLineNumbers w:val="0"/>
              <w:kinsoku/>
              <w:wordWrap/>
              <w:overflowPunct/>
              <w:topLinePunct w:val="0"/>
              <w:autoSpaceDE/>
              <w:autoSpaceDN/>
              <w:bidi w:val="0"/>
              <w:adjustRightInd/>
              <w:snapToGrid/>
              <w:spacing w:line="440" w:lineRule="exact"/>
              <w:ind w:left="42" w:leftChars="20" w:right="42" w:rightChars="2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④违反相关法律法规的。 </w:t>
            </w:r>
          </w:p>
          <w:p w14:paraId="58C1EA17">
            <w:pPr>
              <w:keepNext w:val="0"/>
              <w:keepLines w:val="0"/>
              <w:pageBreakBefore w:val="0"/>
              <w:widowControl/>
              <w:suppressLineNumbers w:val="0"/>
              <w:kinsoku/>
              <w:wordWrap/>
              <w:overflowPunct/>
              <w:topLinePunct w:val="0"/>
              <w:autoSpaceDE/>
              <w:autoSpaceDN/>
              <w:bidi w:val="0"/>
              <w:adjustRightInd/>
              <w:snapToGrid/>
              <w:spacing w:line="440" w:lineRule="exact"/>
              <w:ind w:left="42" w:leftChars="20" w:right="42" w:rightChars="2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（3）对于虚假、恶意异议：提出异议的投标人不得以异议为名进行虚假、恶意异议，干扰招标投标活动的正常进行。对于提供虚假材料，以异议为名谋取中标或恶意异议扰乱招标工作秩序的，招标人/ 招标代理机构有权将其行为上报招投标管理部门或行政监管部门进行处理。</w:t>
            </w:r>
            <w:r>
              <w:rPr>
                <w:rFonts w:hint="eastAsia" w:ascii="宋体" w:hAnsi="宋体" w:eastAsia="宋体" w:cs="宋体"/>
                <w:b/>
                <w:bCs/>
                <w:color w:val="auto"/>
                <w:kern w:val="0"/>
                <w:sz w:val="24"/>
                <w:szCs w:val="24"/>
                <w:highlight w:val="none"/>
                <w:lang w:val="en-US" w:eastAsia="zh-CN" w:bidi="ar"/>
              </w:rPr>
              <w:t xml:space="preserve"> </w:t>
            </w:r>
          </w:p>
          <w:p w14:paraId="38F780BB">
            <w:pPr>
              <w:keepNext w:val="0"/>
              <w:keepLines w:val="0"/>
              <w:pageBreakBefore w:val="0"/>
              <w:widowControl/>
              <w:suppressLineNumbers w:val="0"/>
              <w:kinsoku/>
              <w:wordWrap/>
              <w:overflowPunct/>
              <w:topLinePunct w:val="0"/>
              <w:autoSpaceDE/>
              <w:autoSpaceDN/>
              <w:bidi w:val="0"/>
              <w:adjustRightInd/>
              <w:snapToGrid/>
              <w:spacing w:line="440" w:lineRule="exact"/>
              <w:ind w:left="42" w:leftChars="20" w:right="42" w:rightChars="2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示：在准备投标活动时，请投标人认真、仔细、全面的阅读本招标文件的各项要求（如资格条款、评审条款、报价要求及合同内容等），并充分核实信息（如项目经理、企业等主要信息）及详细、充分的准备投标资料和报价。投标截止时间后，因投标人原因造成的一切不利于投标人的后果，由投标人自行承担，且不得以未充分理解招标文件要求等为理由向招标人和招标代理机构提出超过招标文件要求的请求或质疑。</w:t>
            </w:r>
            <w:r>
              <w:rPr>
                <w:rFonts w:hint="eastAsia" w:ascii="宋体" w:hAnsi="宋体" w:eastAsia="宋体" w:cs="宋体"/>
                <w:b/>
                <w:bCs/>
                <w:color w:val="auto"/>
                <w:kern w:val="0"/>
                <w:sz w:val="24"/>
                <w:szCs w:val="24"/>
                <w:highlight w:val="none"/>
                <w:lang w:val="en-US" w:eastAsia="zh-CN" w:bidi="ar"/>
              </w:rPr>
              <w:t xml:space="preserve"> </w:t>
            </w:r>
          </w:p>
        </w:tc>
      </w:tr>
      <w:tr w14:paraId="568F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53" w:hRule="atLeast"/>
          <w:jc w:val="center"/>
        </w:trPr>
        <w:tc>
          <w:tcPr>
            <w:tcW w:w="737" w:type="dxa"/>
            <w:noWrap w:val="0"/>
            <w:vAlign w:val="center"/>
          </w:tcPr>
          <w:p w14:paraId="146476FE">
            <w:pPr>
              <w:pStyle w:val="81"/>
              <w:pBdr>
                <w:bottom w:val="none" w:color="auto" w:sz="0" w:space="0"/>
              </w:pBdr>
              <w:tabs>
                <w:tab w:val="clear" w:pos="4153"/>
                <w:tab w:val="clear" w:pos="8306"/>
              </w:tabs>
              <w:adjustRightInd/>
              <w:spacing w:line="240" w:lineRule="auto"/>
              <w:textAlignment w:val="auto"/>
              <w:rPr>
                <w:rFonts w:hint="default" w:ascii="宋体" w:hAnsi="宋体" w:eastAsia="宋体"/>
                <w:b w:val="0"/>
                <w:bCs/>
                <w:color w:val="auto"/>
                <w:kern w:val="2"/>
                <w:sz w:val="24"/>
                <w:szCs w:val="24"/>
                <w:highlight w:val="none"/>
                <w:lang w:val="en-US" w:eastAsia="zh-CN" w:bidi="ar-SA"/>
              </w:rPr>
            </w:pPr>
            <w:r>
              <w:rPr>
                <w:rFonts w:hint="eastAsia" w:ascii="宋体" w:hAnsi="宋体"/>
                <w:b w:val="0"/>
                <w:bCs/>
                <w:color w:val="auto"/>
                <w:kern w:val="2"/>
                <w:szCs w:val="24"/>
                <w:highlight w:val="none"/>
                <w:lang w:val="en-US" w:eastAsia="zh-CN"/>
              </w:rPr>
              <w:t>21</w:t>
            </w:r>
          </w:p>
        </w:tc>
        <w:tc>
          <w:tcPr>
            <w:tcW w:w="1701" w:type="dxa"/>
            <w:noWrap w:val="0"/>
            <w:vAlign w:val="center"/>
          </w:tcPr>
          <w:p w14:paraId="18E749EB">
            <w:pPr>
              <w:pStyle w:val="101"/>
              <w:widowControl w:val="0"/>
              <w:spacing w:before="0" w:beforeAutospacing="0" w:after="0" w:afterAutospacing="0" w:line="300" w:lineRule="exact"/>
              <w:rPr>
                <w:rFonts w:hint="eastAsia" w:ascii="宋体" w:hAnsi="宋体" w:eastAsia="宋体" w:cs="宋体"/>
                <w:b w:val="0"/>
                <w:bCs/>
                <w:color w:val="auto"/>
                <w:kern w:val="0"/>
                <w:sz w:val="24"/>
                <w:szCs w:val="24"/>
                <w:highlight w:val="none"/>
                <w:lang w:val="en-US" w:eastAsia="zh-CN" w:bidi="ar-SA"/>
              </w:rPr>
            </w:pPr>
            <w:r>
              <w:rPr>
                <w:rStyle w:val="43"/>
                <w:rFonts w:hint="eastAsia" w:eastAsia="宋体" w:cs="宋体"/>
                <w:b w:val="0"/>
                <w:color w:val="auto"/>
                <w:szCs w:val="24"/>
                <w:highlight w:val="none"/>
              </w:rPr>
              <w:t>投标人投标保证金</w:t>
            </w:r>
          </w:p>
        </w:tc>
        <w:tc>
          <w:tcPr>
            <w:tcW w:w="7370" w:type="dxa"/>
            <w:noWrap w:val="0"/>
            <w:vAlign w:val="top"/>
          </w:tcPr>
          <w:p w14:paraId="7171778A">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投标保证金数额：人民币</w:t>
            </w:r>
            <w:r>
              <w:rPr>
                <w:rFonts w:hint="eastAsia" w:ascii="宋体" w:hAnsi="宋体" w:eastAsia="宋体" w:cs="宋体"/>
                <w:bCs/>
                <w:color w:val="auto"/>
                <w:kern w:val="0"/>
                <w:sz w:val="24"/>
                <w:szCs w:val="24"/>
                <w:highlight w:val="none"/>
                <w:lang w:val="en-US" w:eastAsia="zh-CN"/>
              </w:rPr>
              <w:t>伍拾</w:t>
            </w:r>
            <w:r>
              <w:rPr>
                <w:rFonts w:hint="eastAsia" w:ascii="宋体" w:hAnsi="宋体" w:eastAsia="宋体" w:cs="宋体"/>
                <w:bCs/>
                <w:color w:val="auto"/>
                <w:kern w:val="0"/>
                <w:sz w:val="24"/>
                <w:szCs w:val="24"/>
                <w:highlight w:val="none"/>
              </w:rPr>
              <w:t>万元整。</w:t>
            </w:r>
          </w:p>
          <w:p w14:paraId="3697EF3D">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是否要求投标人递交投标保证金：</w:t>
            </w:r>
            <w:r>
              <w:rPr>
                <w:rFonts w:hint="eastAsia" w:ascii="宋体" w:hAnsi="宋体" w:eastAsia="宋体" w:cs="宋体"/>
                <w:bCs/>
                <w:color w:val="auto"/>
                <w:kern w:val="0"/>
                <w:sz w:val="24"/>
                <w:szCs w:val="24"/>
                <w:highlight w:val="none"/>
                <w:lang w:val="en-US" w:eastAsia="zh-CN"/>
              </w:rPr>
              <w:t>要求</w:t>
            </w:r>
            <w:r>
              <w:rPr>
                <w:rFonts w:hint="eastAsia" w:ascii="宋体" w:hAnsi="宋体" w:eastAsia="宋体" w:cs="宋体"/>
                <w:bCs/>
                <w:color w:val="auto"/>
                <w:kern w:val="0"/>
                <w:sz w:val="24"/>
                <w:szCs w:val="24"/>
                <w:highlight w:val="none"/>
              </w:rPr>
              <w:t>递交</w:t>
            </w:r>
          </w:p>
          <w:p w14:paraId="062108B7">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投标保证金允许方式</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由招标人自行选择具体方式</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w:t>
            </w:r>
          </w:p>
          <w:p w14:paraId="084644BA">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第一种方式： </w:t>
            </w:r>
            <w:r>
              <w:rPr>
                <w:rFonts w:hint="eastAsia" w:ascii="宋体" w:hAnsi="宋体" w:eastAsia="宋体" w:cs="宋体"/>
                <w:bCs/>
                <w:color w:val="auto"/>
                <w:kern w:val="0"/>
                <w:sz w:val="24"/>
                <w:szCs w:val="24"/>
                <w:highlight w:val="none"/>
              </w:rPr>
              <w:sym w:font="Wingdings" w:char="F0FE"/>
            </w:r>
            <w:r>
              <w:rPr>
                <w:rFonts w:hint="eastAsia" w:ascii="宋体" w:hAnsi="宋体" w:eastAsia="宋体" w:cs="宋体"/>
                <w:bCs/>
                <w:color w:val="auto"/>
                <w:kern w:val="0"/>
                <w:sz w:val="24"/>
                <w:szCs w:val="24"/>
                <w:highlight w:val="none"/>
              </w:rPr>
              <w:t xml:space="preserve">网银支付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rPr>
              <w:sym w:font="Wingdings" w:char="F0FE"/>
            </w:r>
            <w:r>
              <w:rPr>
                <w:rFonts w:hint="eastAsia" w:ascii="宋体" w:hAnsi="宋体" w:eastAsia="宋体" w:cs="宋体"/>
                <w:bCs/>
                <w:color w:val="auto"/>
                <w:kern w:val="0"/>
                <w:sz w:val="24"/>
                <w:szCs w:val="24"/>
                <w:highlight w:val="none"/>
              </w:rPr>
              <w:t xml:space="preserve">银行转账 </w:t>
            </w:r>
          </w:p>
          <w:p w14:paraId="3D1F46F3">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第二种方式： </w:t>
            </w:r>
            <w:r>
              <w:rPr>
                <w:rFonts w:hint="eastAsia" w:ascii="宋体" w:hAnsi="宋体" w:eastAsia="宋体" w:cs="宋体"/>
                <w:bCs/>
                <w:color w:val="auto"/>
                <w:kern w:val="0"/>
                <w:sz w:val="24"/>
                <w:szCs w:val="24"/>
                <w:highlight w:val="none"/>
              </w:rPr>
              <w:sym w:font="Wingdings" w:char="F0FE"/>
            </w:r>
            <w:r>
              <w:rPr>
                <w:rFonts w:hint="eastAsia" w:ascii="宋体" w:hAnsi="宋体" w:eastAsia="宋体" w:cs="宋体"/>
                <w:bCs/>
                <w:color w:val="auto"/>
                <w:kern w:val="0"/>
                <w:sz w:val="24"/>
                <w:szCs w:val="24"/>
                <w:highlight w:val="none"/>
              </w:rPr>
              <w:t xml:space="preserve">纸质银行保函  </w:t>
            </w:r>
            <w:r>
              <w:rPr>
                <w:rFonts w:hint="eastAsia" w:ascii="宋体" w:hAnsi="宋体" w:eastAsia="宋体" w:cs="宋体"/>
                <w:bCs/>
                <w:color w:val="auto"/>
                <w:kern w:val="0"/>
                <w:sz w:val="24"/>
                <w:szCs w:val="24"/>
                <w:highlight w:val="none"/>
              </w:rPr>
              <w:sym w:font="Wingdings" w:char="F0FE"/>
            </w:r>
            <w:r>
              <w:rPr>
                <w:rFonts w:ascii="宋体" w:hAnsi="宋体" w:eastAsia="宋体" w:cs="宋体"/>
                <w:bCs/>
                <w:color w:val="auto"/>
                <w:kern w:val="0"/>
                <w:sz w:val="24"/>
                <w:szCs w:val="24"/>
                <w:highlight w:val="none"/>
              </w:rPr>
              <w:t>纸质保证</w:t>
            </w:r>
            <w:r>
              <w:rPr>
                <w:rFonts w:hint="eastAsia" w:ascii="宋体" w:hAnsi="宋体" w:eastAsia="宋体" w:cs="宋体"/>
                <w:bCs/>
                <w:color w:val="auto"/>
                <w:kern w:val="0"/>
                <w:sz w:val="24"/>
                <w:szCs w:val="24"/>
                <w:highlight w:val="none"/>
              </w:rPr>
              <w:t>保险、担保保函等</w:t>
            </w:r>
          </w:p>
          <w:p w14:paraId="3D09F911">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textAlignment w:val="baseline"/>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递交要求：</w:t>
            </w:r>
          </w:p>
          <w:p w14:paraId="3C049A21">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 xml:space="preserve">（1）如投标人采用第一种方式（即网银支付、银行转账）递交的，根据《中华人民共和国招标投标法实施条例》第二十六条规定之精神，需遵循下列规定： </w:t>
            </w:r>
          </w:p>
          <w:p w14:paraId="1292DD2C">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 xml:space="preserve">①汇出银行要求。应为投标人的基本账户开户银行。投标人的投标保证金应从投标人的银行基本账户转出，否则一律视为无效，其投标无效。 </w:t>
            </w:r>
          </w:p>
          <w:p w14:paraId="7307DC70">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②投标人有基本账户开户许可证的，应在投标文件中提供含有基本账户信息的基本账户开户许可证的原件扫描件；没有基本账户开户许可证的，应在投标文件中提供投标人基本账户开户银行出具的该投标人基本存款账户信息原件扫描件，并按所附格式承诺真实有效。投标人的投标保证金是否从银行基本账户转出，由评标委员会在评标时审查认定。未在投标文件中提供基本账户开户许可证的原件扫描件或基本账户开户银行出具的该投标人基本存款账户信息证明的原件扫描件，将视为基本账户不正确，导致投标无效。</w:t>
            </w:r>
          </w:p>
          <w:p w14:paraId="5401A802">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③网银支付、银行转账转入时限。投标截止时间前必须到下列指定的收款人账户，转入时间应满足网银支付、银行转账数据交换的时间需求。收款人名称、汇入银行及汇入账号应严格按照下列收款人名称、汇入银行及汇入账号填写，不出错,不得多字少字，否则责任自负。 </w:t>
            </w:r>
          </w:p>
          <w:p w14:paraId="6963816E">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收 款 人名称：金寨县公共资源交易监督管理局 </w:t>
            </w:r>
          </w:p>
          <w:p w14:paraId="699F6A81">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汇入银行名称：安徽金寨农村商业银行股份有限公司营业部 </w:t>
            </w:r>
          </w:p>
          <w:p w14:paraId="6AA144BB">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汇入银行账号：见本项目招标公告公布的账号 </w:t>
            </w:r>
          </w:p>
          <w:p w14:paraId="5D6642EE">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（2）如采用第二种方式（纸质银行保函、纸质保证保险、纸质担保保函等，见投标文件格式）递交，根据《中华人民共和国招标投标法实施条例》第二十六条规定之精神，需遵循下列规定： </w:t>
            </w:r>
          </w:p>
          <w:p w14:paraId="5790AF8F">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①采用纸质银行保函、纸质保证保险、纸质担保保函，该保函、保险应当是无条件见索即付的银行保函、保证保险、担保保函（具体要求：见招标文件所附的银行保函格式文本、保证保险格式文本、担保保险格式文本载明的要素与包括权利义务方面的内容要求），保函期限必须大于投标有效期，受益人应为招标人。投标人须将采用的纸质保函、保险原件扫描件编入投标文件，未编入的视为未提供投标担保，其投标无效；虽提交了纸质保函、保险原件扫描件，但其载明的要素与权利义务的要求，不符合格式文本要求，没有按照招标文件约定、投标人的承诺承担所有保证事项、或者不是无条件见索即付式的保函、保险，视为未提交保函保险，其投标无效。 </w:t>
            </w:r>
          </w:p>
          <w:p w14:paraId="264367E3">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②采用纸质银行保函、纸质保证保险、纸质担保保函，其办理保函或保证保险所需的费用，应从投标人的银行基本账户汇（支）出，并承诺真实有效。费用是否从投标人的银行基本账户汇（支）出，由投标人将本单位从基本账户汇出该项费用的原始凭证（载有基本账户信息、收取该费用的承担出具保函保险的单位名称、账户信息的原始凭证；属于基本账户银行出具保函的除外）扫描件、基本账户开户许可证（或基本账户开户银行出具的该投标人基本存款账户信息证明材料）的原件扫描件编入投标文件中，由评标委员会在评标时审查认定。未从投标人的银行基本账户汇（支）出或基本账户弄虚作假的，其投标无效。未在投标文件中提供本单位从基本账户支付该项费用的原始凭证扫描件、或未提供基本账户开户许可证的原件扫描件或基本账户开户银行出具的该投标人基本存款账户信息证明的原件扫描件的，将视为基本账户不正确，导致投标无效。</w:t>
            </w:r>
          </w:p>
          <w:p w14:paraId="4D8A910C">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③投标人提交的纸质保函保险，必须明确载明有效的查询途径（包括电话、网址链接及查询方式），否则该保函保险无效。 </w:t>
            </w:r>
          </w:p>
          <w:p w14:paraId="2E317322">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④中标候选人须在中标候选人公示期满后3个工作日内，将其开具至本项目的纸质保函保险原件提交招标人，其他非中标候选人的纸质保函保险原件留存备查，且原件须与投标文件中提供的扫描件一致。招标人及监管部门需查询查核时，投标人应当提供原件，如存在未按规定提交原件或提交内容不一致，或发现弄虚作假的，招标人将视情况给予三年以内投标资格限制，并报监管部门依法处理。</w:t>
            </w:r>
          </w:p>
          <w:p w14:paraId="2778C93A">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5.招标人对中小微企业可免交投标保证金： </w:t>
            </w:r>
          </w:p>
          <w:p w14:paraId="075A737C">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是否免交投标保证金：□是☑否，本项目免交对象是</w:t>
            </w:r>
            <w:r>
              <w:rPr>
                <w:rFonts w:hint="eastAsia" w:ascii="宋体" w:hAnsi="宋体" w:eastAsia="宋体" w:cs="宋体"/>
                <w:bCs/>
                <w:color w:val="auto"/>
                <w:kern w:val="0"/>
                <w:sz w:val="24"/>
                <w:szCs w:val="24"/>
                <w:highlight w:val="none"/>
                <w:u w:val="single"/>
                <w:lang w:val="en-US" w:eastAsia="zh-CN"/>
              </w:rPr>
              <w:t xml:space="preserve"> / </w:t>
            </w:r>
          </w:p>
          <w:p w14:paraId="3A745A8F">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6.中标候选人若采用纸质保函、纸质保险形式递交投标保证金的，其纸质保函、纸质保险将随中标侯选人公示一并公示。</w:t>
            </w:r>
          </w:p>
          <w:p w14:paraId="72DDA48C">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7.其他注意事项： </w:t>
            </w:r>
          </w:p>
          <w:p w14:paraId="7F6C5A5B">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（1）投标人提交的保函保险（纸质）不符合本招标文件所附格式保函保险第一、二、三、四、五、六、七条款内容要求的，视为未提交投标保函保险，其投标无效。 </w:t>
            </w:r>
          </w:p>
          <w:p w14:paraId="5049EE09">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2）投标人采用虚假保函、虚假保证保险方式提交投标保证金的，除依法承担弄虚作假的法律责任外，仍应根据招标文件规定承担相关民事责任，其承担方式为限时足额缴纳招标文件所列全部投标保证金，投标人在招标人发出追缴通知后的规定缴纳时间内不能足额支付投标保证金的，招标人将依法提起诉讼追缴，招标人因此发生的诉讼费、律师代理费等费用均由投标人承担。不缴纳或不足额缴纳的，将承担不良行为记录、行政处罚、投标资格限制的处理，直至移送司法机关承担弄虚作假的刑事责任。 </w:t>
            </w:r>
          </w:p>
          <w:p w14:paraId="24DEEB8B">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8.退回时限：（1）非中标候选人投标保证金的退还。中标候选人公示期满次工作日，提交除中标候选人外的其他投标人的投标保证金及银行同期存款活期利息的退还指令。（2）中标候选人投标保证金的退还。中标通知书发出后次工作日，提交除中标人外的其他中标候选人的投标保证金及银行同期存款活期利息的退还指令。（3）中标人投标保证金的退还。①及时完成合同签订与公开的。中标通知书发出之日起30日内，招标人与中标人及时完成合同签订，次工作日提交中标人的投标保证金及银行同期存款活期利息的退还指令。②未及时完成合同签订与公开的。中标通知书发出之日起30日内，招标人与中标人未及时完成合同签订，于中标通知书发出后第31日（如果当天为节假日，则顺延至下一工作日）提交中标人的投标保证金及银行同期存款活期利息的退还指令。（4）特殊情况投标保证金的退还按六交易（2023）2号文执行。 </w:t>
            </w:r>
          </w:p>
          <w:p w14:paraId="25B23EF9">
            <w:pPr>
              <w:keepNext w:val="0"/>
              <w:keepLines w:val="0"/>
              <w:pageBreakBefore w:val="0"/>
              <w:kinsoku/>
              <w:wordWrap/>
              <w:overflowPunct/>
              <w:topLinePunct w:val="0"/>
              <w:autoSpaceDE/>
              <w:autoSpaceDN/>
              <w:bidi w:val="0"/>
              <w:adjustRightInd/>
              <w:snapToGrid/>
              <w:spacing w:line="440" w:lineRule="exact"/>
              <w:ind w:left="42" w:leftChars="20" w:right="42" w:rightChars="20" w:firstLine="0" w:firstLineChars="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9.中标人应按投标须知前附表第10条的规定另行交纳履约保证金。</w:t>
            </w:r>
          </w:p>
        </w:tc>
      </w:tr>
    </w:tbl>
    <w:p w14:paraId="600C43BB">
      <w:pPr>
        <w:bidi w:val="0"/>
        <w:rPr>
          <w:rFonts w:hint="eastAsia"/>
          <w:color w:val="auto"/>
          <w:highlight w:val="none"/>
          <w:lang w:val="en-US" w:eastAsia="zh-CN"/>
        </w:rPr>
      </w:pPr>
      <w:bookmarkStart w:id="67" w:name="_Hlt509650351"/>
      <w:bookmarkEnd w:id="67"/>
      <w:bookmarkStart w:id="68" w:name="_Hlt516969057"/>
      <w:bookmarkEnd w:id="68"/>
      <w:bookmarkStart w:id="69" w:name="_Hlt204508754"/>
      <w:bookmarkEnd w:id="69"/>
      <w:bookmarkStart w:id="70" w:name="_Hlt519045778"/>
      <w:bookmarkEnd w:id="70"/>
      <w:bookmarkStart w:id="71" w:name="_Hlt509650027"/>
      <w:bookmarkEnd w:id="71"/>
      <w:bookmarkStart w:id="72" w:name="_Toc2762"/>
      <w:bookmarkStart w:id="73" w:name="_Toc15445"/>
      <w:bookmarkStart w:id="74" w:name="_Toc14395"/>
    </w:p>
    <w:p w14:paraId="49C93CD3">
      <w:pPr>
        <w:bidi w:val="0"/>
        <w:rPr>
          <w:rFonts w:hint="eastAsia"/>
          <w:color w:val="auto"/>
          <w:highlight w:val="none"/>
          <w:lang w:val="en-US" w:eastAsia="zh-CN"/>
        </w:rPr>
      </w:pPr>
    </w:p>
    <w:p w14:paraId="1D76DA82">
      <w:pPr>
        <w:bidi w:val="0"/>
        <w:rPr>
          <w:rFonts w:hint="eastAsia"/>
          <w:color w:val="auto"/>
          <w:highlight w:val="none"/>
          <w:lang w:val="en-US" w:eastAsia="zh-CN"/>
        </w:rPr>
      </w:pPr>
    </w:p>
    <w:p w14:paraId="4C121EBD">
      <w:pPr>
        <w:bidi w:val="0"/>
        <w:rPr>
          <w:rFonts w:hint="eastAsia"/>
          <w:color w:val="auto"/>
          <w:highlight w:val="none"/>
          <w:lang w:val="en-US" w:eastAsia="zh-CN"/>
        </w:rPr>
      </w:pPr>
    </w:p>
    <w:p w14:paraId="505BDADF">
      <w:pPr>
        <w:bidi w:val="0"/>
        <w:rPr>
          <w:rFonts w:hint="eastAsia"/>
          <w:color w:val="auto"/>
          <w:highlight w:val="none"/>
          <w:lang w:val="en-US" w:eastAsia="zh-CN"/>
        </w:rPr>
      </w:pPr>
    </w:p>
    <w:p w14:paraId="7AA00456">
      <w:pPr>
        <w:bidi w:val="0"/>
        <w:rPr>
          <w:rFonts w:hint="eastAsia"/>
          <w:color w:val="auto"/>
          <w:highlight w:val="none"/>
          <w:lang w:val="en-US" w:eastAsia="zh-CN"/>
        </w:rPr>
      </w:pPr>
    </w:p>
    <w:p w14:paraId="2736686A">
      <w:pPr>
        <w:bidi w:val="0"/>
        <w:rPr>
          <w:rFonts w:hint="eastAsia"/>
          <w:color w:val="auto"/>
          <w:highlight w:val="none"/>
          <w:lang w:val="en-US" w:eastAsia="zh-CN"/>
        </w:rPr>
      </w:pPr>
    </w:p>
    <w:p w14:paraId="3CB75483">
      <w:pPr>
        <w:bidi w:val="0"/>
        <w:rPr>
          <w:rFonts w:hint="eastAsia"/>
          <w:color w:val="auto"/>
          <w:highlight w:val="none"/>
          <w:lang w:val="en-US" w:eastAsia="zh-CN"/>
        </w:rPr>
      </w:pPr>
    </w:p>
    <w:p w14:paraId="0B83BFAA">
      <w:pPr>
        <w:bidi w:val="0"/>
        <w:rPr>
          <w:rFonts w:hint="eastAsia"/>
          <w:color w:val="auto"/>
          <w:highlight w:val="none"/>
          <w:lang w:val="en-US" w:eastAsia="zh-CN"/>
        </w:rPr>
      </w:pPr>
    </w:p>
    <w:p w14:paraId="64EB6951">
      <w:pPr>
        <w:bidi w:val="0"/>
        <w:rPr>
          <w:rFonts w:hint="eastAsia"/>
          <w:color w:val="auto"/>
          <w:highlight w:val="none"/>
          <w:lang w:val="en-US" w:eastAsia="zh-CN"/>
        </w:rPr>
      </w:pPr>
    </w:p>
    <w:p w14:paraId="53D6296D">
      <w:pPr>
        <w:bidi w:val="0"/>
        <w:rPr>
          <w:rFonts w:hint="eastAsia"/>
          <w:color w:val="auto"/>
          <w:highlight w:val="none"/>
          <w:lang w:val="en-US" w:eastAsia="zh-CN"/>
        </w:rPr>
      </w:pPr>
    </w:p>
    <w:p w14:paraId="25730726">
      <w:pPr>
        <w:bidi w:val="0"/>
        <w:rPr>
          <w:rFonts w:hint="eastAsia"/>
          <w:color w:val="auto"/>
          <w:highlight w:val="none"/>
          <w:lang w:val="en-US" w:eastAsia="zh-CN"/>
        </w:rPr>
      </w:pPr>
    </w:p>
    <w:p w14:paraId="5E405AF5">
      <w:pPr>
        <w:bidi w:val="0"/>
        <w:rPr>
          <w:rFonts w:hint="eastAsia"/>
          <w:color w:val="auto"/>
          <w:highlight w:val="none"/>
          <w:lang w:val="en-US" w:eastAsia="zh-CN"/>
        </w:rPr>
      </w:pPr>
    </w:p>
    <w:p w14:paraId="3CF8F164">
      <w:pPr>
        <w:bidi w:val="0"/>
        <w:rPr>
          <w:rFonts w:hint="eastAsia"/>
          <w:color w:val="auto"/>
          <w:highlight w:val="none"/>
          <w:lang w:val="en-US" w:eastAsia="zh-CN"/>
        </w:rPr>
      </w:pPr>
    </w:p>
    <w:p w14:paraId="18D33B42">
      <w:pPr>
        <w:bidi w:val="0"/>
        <w:rPr>
          <w:rFonts w:hint="eastAsia"/>
          <w:color w:val="auto"/>
          <w:highlight w:val="none"/>
          <w:lang w:val="en-US" w:eastAsia="zh-CN"/>
        </w:rPr>
      </w:pPr>
    </w:p>
    <w:p w14:paraId="2D0EF912">
      <w:pPr>
        <w:bidi w:val="0"/>
        <w:rPr>
          <w:rFonts w:hint="eastAsia"/>
          <w:color w:val="auto"/>
          <w:highlight w:val="none"/>
          <w:lang w:val="en-US" w:eastAsia="zh-CN"/>
        </w:rPr>
      </w:pPr>
    </w:p>
    <w:p w14:paraId="4F3348C3">
      <w:pPr>
        <w:bidi w:val="0"/>
        <w:rPr>
          <w:rFonts w:hint="eastAsia"/>
          <w:color w:val="auto"/>
          <w:highlight w:val="none"/>
          <w:lang w:val="en-US" w:eastAsia="zh-CN"/>
        </w:rPr>
      </w:pPr>
    </w:p>
    <w:p w14:paraId="61FDBD85">
      <w:pPr>
        <w:bidi w:val="0"/>
        <w:rPr>
          <w:rFonts w:hint="eastAsia"/>
          <w:color w:val="auto"/>
          <w:highlight w:val="none"/>
          <w:lang w:val="en-US" w:eastAsia="zh-CN"/>
        </w:rPr>
      </w:pPr>
    </w:p>
    <w:p w14:paraId="6F197659">
      <w:pPr>
        <w:bidi w:val="0"/>
        <w:rPr>
          <w:rFonts w:hint="eastAsia"/>
          <w:color w:val="auto"/>
          <w:highlight w:val="none"/>
          <w:lang w:val="en-US" w:eastAsia="zh-CN"/>
        </w:rPr>
      </w:pPr>
    </w:p>
    <w:p w14:paraId="7E0AB36A">
      <w:pPr>
        <w:bidi w:val="0"/>
        <w:rPr>
          <w:rFonts w:hint="eastAsia"/>
          <w:color w:val="auto"/>
          <w:highlight w:val="none"/>
          <w:lang w:val="en-US" w:eastAsia="zh-CN"/>
        </w:rPr>
      </w:pPr>
    </w:p>
    <w:p w14:paraId="329C798C">
      <w:pPr>
        <w:bidi w:val="0"/>
        <w:rPr>
          <w:rFonts w:hint="eastAsia"/>
          <w:color w:val="auto"/>
          <w:highlight w:val="none"/>
          <w:lang w:val="en-US" w:eastAsia="zh-CN"/>
        </w:rPr>
      </w:pPr>
    </w:p>
    <w:p w14:paraId="71EFB86E">
      <w:pPr>
        <w:bidi w:val="0"/>
        <w:rPr>
          <w:rFonts w:hint="eastAsia"/>
          <w:color w:val="auto"/>
          <w:highlight w:val="none"/>
          <w:lang w:val="en-US" w:eastAsia="zh-CN"/>
        </w:rPr>
      </w:pPr>
    </w:p>
    <w:p w14:paraId="1AB97B08">
      <w:pPr>
        <w:bidi w:val="0"/>
        <w:rPr>
          <w:rFonts w:hint="eastAsia"/>
          <w:color w:val="auto"/>
          <w:highlight w:val="none"/>
          <w:lang w:val="en-US" w:eastAsia="zh-CN"/>
        </w:rPr>
      </w:pPr>
    </w:p>
    <w:p w14:paraId="0171DDC4">
      <w:pPr>
        <w:bidi w:val="0"/>
        <w:rPr>
          <w:rFonts w:hint="eastAsia"/>
          <w:color w:val="auto"/>
          <w:highlight w:val="none"/>
          <w:lang w:val="en-US" w:eastAsia="zh-CN"/>
        </w:rPr>
      </w:pPr>
    </w:p>
    <w:p w14:paraId="0B48178F">
      <w:pPr>
        <w:bidi w:val="0"/>
        <w:rPr>
          <w:rFonts w:hint="eastAsia"/>
          <w:color w:val="auto"/>
          <w:highlight w:val="none"/>
          <w:lang w:val="en-US" w:eastAsia="zh-CN"/>
        </w:rPr>
      </w:pPr>
    </w:p>
    <w:p w14:paraId="65F4D602">
      <w:pPr>
        <w:bidi w:val="0"/>
        <w:rPr>
          <w:rFonts w:hint="eastAsia"/>
          <w:color w:val="auto"/>
          <w:highlight w:val="none"/>
          <w:lang w:val="en-US" w:eastAsia="zh-CN"/>
        </w:rPr>
      </w:pPr>
    </w:p>
    <w:p w14:paraId="65BDA88B">
      <w:pPr>
        <w:bidi w:val="0"/>
        <w:rPr>
          <w:rFonts w:hint="eastAsia"/>
          <w:color w:val="auto"/>
          <w:highlight w:val="none"/>
          <w:lang w:val="en-US" w:eastAsia="zh-CN"/>
        </w:rPr>
      </w:pPr>
    </w:p>
    <w:p w14:paraId="6AF4D73A">
      <w:pPr>
        <w:bidi w:val="0"/>
        <w:rPr>
          <w:rFonts w:hint="eastAsia"/>
          <w:color w:val="auto"/>
          <w:highlight w:val="none"/>
          <w:lang w:val="en-US" w:eastAsia="zh-CN"/>
        </w:rPr>
      </w:pPr>
    </w:p>
    <w:p w14:paraId="5E17A902">
      <w:pPr>
        <w:bidi w:val="0"/>
        <w:rPr>
          <w:rFonts w:hint="eastAsia"/>
          <w:color w:val="auto"/>
          <w:highlight w:val="none"/>
          <w:lang w:val="en-US" w:eastAsia="zh-CN"/>
        </w:rPr>
      </w:pPr>
    </w:p>
    <w:p w14:paraId="5CBDFABD">
      <w:pPr>
        <w:bidi w:val="0"/>
        <w:rPr>
          <w:rFonts w:hint="eastAsia"/>
          <w:color w:val="auto"/>
          <w:highlight w:val="none"/>
          <w:lang w:val="en-US" w:eastAsia="zh-CN"/>
        </w:rPr>
      </w:pPr>
    </w:p>
    <w:p w14:paraId="0B0DBB41">
      <w:pPr>
        <w:bidi w:val="0"/>
        <w:rPr>
          <w:rFonts w:hint="eastAsia"/>
          <w:color w:val="auto"/>
          <w:highlight w:val="none"/>
          <w:lang w:val="en-US" w:eastAsia="zh-CN"/>
        </w:rPr>
      </w:pPr>
    </w:p>
    <w:p w14:paraId="35EA4B5A">
      <w:pPr>
        <w:bidi w:val="0"/>
        <w:rPr>
          <w:rFonts w:hint="eastAsia"/>
          <w:color w:val="auto"/>
          <w:highlight w:val="none"/>
          <w:lang w:val="en-US" w:eastAsia="zh-CN"/>
        </w:rPr>
      </w:pPr>
    </w:p>
    <w:p w14:paraId="1FE9148A">
      <w:pPr>
        <w:bidi w:val="0"/>
        <w:rPr>
          <w:rFonts w:hint="eastAsia"/>
          <w:color w:val="auto"/>
          <w:highlight w:val="none"/>
          <w:lang w:val="en-US" w:eastAsia="zh-CN"/>
        </w:rPr>
      </w:pPr>
    </w:p>
    <w:p w14:paraId="180A248F">
      <w:pPr>
        <w:bidi w:val="0"/>
        <w:rPr>
          <w:rFonts w:hint="eastAsia"/>
          <w:color w:val="auto"/>
          <w:highlight w:val="none"/>
          <w:lang w:val="en-US" w:eastAsia="zh-CN"/>
        </w:rPr>
      </w:pPr>
    </w:p>
    <w:p w14:paraId="07E49CFC">
      <w:pPr>
        <w:bidi w:val="0"/>
        <w:rPr>
          <w:rFonts w:hint="eastAsia"/>
          <w:color w:val="auto"/>
          <w:highlight w:val="none"/>
          <w:lang w:val="en-US" w:eastAsia="zh-CN"/>
        </w:rPr>
      </w:pPr>
    </w:p>
    <w:p w14:paraId="17CD54E1">
      <w:pPr>
        <w:pStyle w:val="2"/>
        <w:keepNext/>
        <w:keepLines/>
        <w:pageBreakBefore w:val="0"/>
        <w:widowControl w:val="0"/>
        <w:kinsoku/>
        <w:wordWrap/>
        <w:overflowPunct/>
        <w:topLinePunct w:val="0"/>
        <w:autoSpaceDE/>
        <w:autoSpaceDN/>
        <w:bidi w:val="0"/>
        <w:adjustRightInd/>
        <w:snapToGrid/>
        <w:spacing w:before="0" w:after="157" w:afterLines="50" w:line="360" w:lineRule="auto"/>
        <w:jc w:val="center"/>
        <w:textAlignment w:val="auto"/>
        <w:rPr>
          <w:rFonts w:hint="eastAsia" w:ascii="Times New Roman" w:hAnsi="Times New Roman" w:eastAsia="宋体" w:cs="Times New Roman"/>
          <w:b/>
          <w:bCs/>
          <w:color w:val="auto"/>
          <w:kern w:val="44"/>
          <w:sz w:val="32"/>
          <w:szCs w:val="48"/>
          <w:highlight w:val="none"/>
          <w:lang w:val="en-US" w:eastAsia="zh-CN"/>
        </w:rPr>
      </w:pPr>
      <w:r>
        <w:rPr>
          <w:rFonts w:hint="eastAsia" w:ascii="Times New Roman" w:hAnsi="Times New Roman" w:eastAsia="宋体" w:cs="Times New Roman"/>
          <w:b/>
          <w:bCs/>
          <w:color w:val="auto"/>
          <w:kern w:val="44"/>
          <w:sz w:val="32"/>
          <w:szCs w:val="48"/>
          <w:highlight w:val="none"/>
          <w:lang w:val="en-US" w:eastAsia="zh-CN"/>
        </w:rPr>
        <w:t>第三章 投标人须知</w:t>
      </w:r>
      <w:bookmarkEnd w:id="72"/>
      <w:bookmarkEnd w:id="73"/>
      <w:bookmarkEnd w:id="74"/>
    </w:p>
    <w:p w14:paraId="38A485FE">
      <w:pPr>
        <w:pStyle w:val="3"/>
        <w:keepNext/>
        <w:keepLines/>
        <w:pageBreakBefore w:val="0"/>
        <w:widowControl w:val="0"/>
        <w:kinsoku/>
        <w:wordWrap/>
        <w:overflowPunct/>
        <w:topLinePunct w:val="0"/>
        <w:autoSpaceDE/>
        <w:autoSpaceDN/>
        <w:bidi w:val="0"/>
        <w:adjustRightInd/>
        <w:snapToGrid/>
        <w:spacing w:before="140" w:after="140" w:line="360" w:lineRule="auto"/>
        <w:ind w:firstLine="0"/>
        <w:textAlignment w:val="auto"/>
        <w:rPr>
          <w:rFonts w:hint="eastAsia" w:ascii="宋体" w:hAnsi="宋体" w:eastAsia="宋体" w:cs="宋体"/>
          <w:b/>
          <w:bCs/>
          <w:color w:val="auto"/>
          <w:sz w:val="24"/>
          <w:szCs w:val="24"/>
          <w:highlight w:val="none"/>
        </w:rPr>
      </w:pPr>
      <w:bookmarkStart w:id="75" w:name="_Hlt509649722"/>
      <w:bookmarkEnd w:id="75"/>
      <w:bookmarkStart w:id="76" w:name="_Hlt526418143"/>
      <w:bookmarkEnd w:id="76"/>
      <w:bookmarkStart w:id="77" w:name="_Hlt509650126"/>
      <w:bookmarkEnd w:id="77"/>
      <w:bookmarkStart w:id="78" w:name="_Hlt509650686"/>
      <w:bookmarkEnd w:id="78"/>
      <w:bookmarkStart w:id="79" w:name="_Hlt509650955"/>
      <w:bookmarkEnd w:id="79"/>
      <w:bookmarkStart w:id="80" w:name="_Hlt509649998"/>
      <w:bookmarkEnd w:id="80"/>
      <w:bookmarkStart w:id="81" w:name="_Toc17569"/>
      <w:bookmarkStart w:id="82" w:name="_Toc31168"/>
      <w:bookmarkStart w:id="83" w:name="_Toc457942808"/>
      <w:r>
        <w:rPr>
          <w:rFonts w:hint="eastAsia" w:ascii="宋体" w:hAnsi="宋体" w:eastAsia="宋体" w:cs="宋体"/>
          <w:b/>
          <w:bCs/>
          <w:color w:val="auto"/>
          <w:sz w:val="24"/>
          <w:szCs w:val="24"/>
          <w:highlight w:val="none"/>
        </w:rPr>
        <w:t>一、总则</w:t>
      </w:r>
      <w:bookmarkEnd w:id="81"/>
      <w:bookmarkEnd w:id="82"/>
      <w:bookmarkEnd w:id="83"/>
    </w:p>
    <w:p w14:paraId="7A4055A2">
      <w:pPr>
        <w:spacing w:line="360" w:lineRule="auto"/>
        <w:ind w:firstLine="472" w:firstLineChars="196"/>
        <w:rPr>
          <w:rFonts w:hint="eastAsia"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.适用范围</w:t>
      </w:r>
    </w:p>
    <w:p w14:paraId="24F895D6">
      <w:pPr>
        <w:spacing w:line="360" w:lineRule="auto"/>
        <w:ind w:firstLine="470" w:firstLineChars="196"/>
        <w:rPr>
          <w:rFonts w:hint="eastAsia"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1本招标文件仅适用于本次公开招标所述的</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项目。</w:t>
      </w:r>
    </w:p>
    <w:p w14:paraId="1C502806">
      <w:pPr>
        <w:spacing w:line="360" w:lineRule="auto"/>
        <w:ind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2.有关定义</w:t>
      </w:r>
    </w:p>
    <w:p w14:paraId="724C5538">
      <w:pPr>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2.1监督管理部门：系指</w:t>
      </w:r>
      <w:r>
        <w:rPr>
          <w:rFonts w:hint="eastAsia" w:ascii="宋体" w:hAnsi="宋体"/>
          <w:color w:val="auto"/>
          <w:sz w:val="24"/>
          <w:szCs w:val="24"/>
          <w:highlight w:val="none"/>
          <w:lang w:val="en-US" w:eastAsia="zh-CN"/>
        </w:rPr>
        <w:t>金寨县财政局（金寨县公共资源交易监督管理局）</w:t>
      </w:r>
    </w:p>
    <w:p w14:paraId="244C390E">
      <w:pPr>
        <w:spacing w:line="360" w:lineRule="auto"/>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2.2</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：系指本次</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项目的业主方</w:t>
      </w:r>
    </w:p>
    <w:p w14:paraId="0F60D0F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2.3</w:t>
      </w:r>
      <w:r>
        <w:rPr>
          <w:rFonts w:hint="eastAsia" w:ascii="宋体" w:hAnsi="宋体"/>
          <w:color w:val="auto"/>
          <w:sz w:val="24"/>
          <w:szCs w:val="24"/>
          <w:highlight w:val="none"/>
          <w:lang w:eastAsia="zh-CN"/>
        </w:rPr>
        <w:t>招标代理机构</w:t>
      </w:r>
      <w:r>
        <w:rPr>
          <w:rFonts w:hint="eastAsia" w:ascii="宋体" w:hAnsi="宋体"/>
          <w:color w:val="auto"/>
          <w:sz w:val="24"/>
          <w:szCs w:val="24"/>
          <w:highlight w:val="none"/>
        </w:rPr>
        <w:t>：系指本次</w:t>
      </w:r>
      <w:r>
        <w:rPr>
          <w:rFonts w:hint="eastAsia" w:ascii="宋体" w:hAnsi="宋体"/>
          <w:color w:val="auto"/>
          <w:sz w:val="24"/>
          <w:szCs w:val="24"/>
          <w:highlight w:val="none"/>
          <w:lang w:eastAsia="zh-CN"/>
        </w:rPr>
        <w:t>招标代理机构</w:t>
      </w:r>
    </w:p>
    <w:p w14:paraId="3BE6A151">
      <w:pPr>
        <w:spacing w:line="360" w:lineRule="auto"/>
        <w:ind w:firstLine="470" w:firstLineChars="196"/>
        <w:rPr>
          <w:rFonts w:hint="eastAsia" w:ascii="宋体" w:hAnsi="宋体"/>
          <w:color w:val="auto"/>
          <w:sz w:val="24"/>
          <w:szCs w:val="24"/>
          <w:highlight w:val="none"/>
        </w:rPr>
      </w:pPr>
      <w:r>
        <w:rPr>
          <w:rFonts w:hint="eastAsia" w:ascii="宋体" w:hAnsi="宋体"/>
          <w:color w:val="auto"/>
          <w:sz w:val="24"/>
          <w:highlight w:val="none"/>
        </w:rPr>
        <w:t>2.4</w:t>
      </w:r>
      <w:r>
        <w:rPr>
          <w:rFonts w:hint="eastAsia" w:ascii="宋体" w:hAnsi="宋体"/>
          <w:color w:val="auto"/>
          <w:sz w:val="24"/>
          <w:szCs w:val="24"/>
          <w:highlight w:val="none"/>
        </w:rPr>
        <w:t>近X年内：</w:t>
      </w:r>
      <w:r>
        <w:rPr>
          <w:rFonts w:hint="eastAsia" w:ascii="宋体" w:hAnsi="宋体"/>
          <w:bCs/>
          <w:color w:val="auto"/>
          <w:sz w:val="24"/>
          <w:szCs w:val="24"/>
          <w:highlight w:val="none"/>
        </w:rPr>
        <w:t>系指从开标之日向前追溯X年（“X”为“一”及以后的整数）起算。除非本招标文件另有规定，否则均以合同签订之日为追溯结点。</w:t>
      </w:r>
    </w:p>
    <w:p w14:paraId="1C7CF18D">
      <w:pPr>
        <w:spacing w:line="360" w:lineRule="auto"/>
        <w:ind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3.投标费用</w:t>
      </w:r>
    </w:p>
    <w:p w14:paraId="3A84B42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3.1无论投标结果如何，投标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应自行承担其编制与递交投标文件所涉及的一切费用。</w:t>
      </w:r>
    </w:p>
    <w:p w14:paraId="64323132">
      <w:pPr>
        <w:spacing w:line="360" w:lineRule="auto"/>
        <w:ind w:firstLine="472" w:firstLineChars="196"/>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rPr>
        <w:t>4.合格的投标</w:t>
      </w:r>
      <w:r>
        <w:rPr>
          <w:rFonts w:hint="eastAsia" w:ascii="宋体" w:hAnsi="宋体"/>
          <w:b/>
          <w:color w:val="auto"/>
          <w:sz w:val="24"/>
          <w:szCs w:val="24"/>
          <w:highlight w:val="none"/>
          <w:lang w:val="en-US" w:eastAsia="zh-CN"/>
        </w:rPr>
        <w:t>投标人</w:t>
      </w:r>
    </w:p>
    <w:p w14:paraId="131A0FB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4.1合格的投标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应符合招标文件载明的投标资格。</w:t>
      </w:r>
    </w:p>
    <w:p w14:paraId="7E8BCE9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4.1.1除非招标文件认可，否则母、子公司之间的业绩、资质不得互用。</w:t>
      </w:r>
    </w:p>
    <w:p w14:paraId="416646F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4.2与招标人存在利害关系可能影响招标公正性的法人、其他组织或者个人，不得参加投标。单位负责人为同一人或者存在控股、管理关系的不同单位，不得参加同一标段投标或者未划分标段的同一招标项目投标。</w:t>
      </w:r>
    </w:p>
    <w:p w14:paraId="5DD776E2">
      <w:pPr>
        <w:spacing w:line="360" w:lineRule="auto"/>
        <w:ind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5.勘察现场</w:t>
      </w:r>
    </w:p>
    <w:p w14:paraId="7F40D47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5.1投标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应自行对</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现场和周围环境进行勘察，以获取编制投标文件和签署合同所需的资料。</w:t>
      </w:r>
    </w:p>
    <w:p w14:paraId="4784FB6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5.2勘察现场所发生的费用由投标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自行承担。</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向投标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提供的有关</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现场的资料和数据，是</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现有的可供投标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利用的资料。</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对投标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由此而做出的推论、理解和结论概不负责。投标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未到</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现场实地踏勘的，中标后签订合同时和履约过程中，不得以不完全了解现场情况为由，提出任何形式的增加合同价款或索赔的要求。</w:t>
      </w:r>
    </w:p>
    <w:p w14:paraId="4305814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5.3除非有特殊要求，招标文件不单独提供</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地点的自然环境、气候条件、公用设施等情况，投标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被视为熟悉上述与履行合同有关的一切情况。</w:t>
      </w:r>
    </w:p>
    <w:p w14:paraId="16356DDF">
      <w:pPr>
        <w:spacing w:line="360" w:lineRule="auto"/>
        <w:ind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6.知识产权</w:t>
      </w:r>
    </w:p>
    <w:p w14:paraId="36329C3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6.1投标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须保证，</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在中华人民共和国境内使用投标货物、资料、技术、服务或其任何一部分时，享有不受限制的无偿使用权，不会产生因第三方提出侵犯其专利权、商标权或其它知识产权而引起的法律或经济纠纷。如投标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不拥有相应的知识产权，则在投标报价中必须包括合法获取该知识产权的一切相关费用。如因此导致</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损失的，投标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须承担全部赔偿责任。</w:t>
      </w:r>
    </w:p>
    <w:p w14:paraId="7F4B1A2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6.2投标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如欲在项目实施过程中采用自有知识成果，须在投标文件中声明，并提供相关知识产权证明文件。使用该知识成果后，投标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须提供开发接口和开发手册等技术文档。</w:t>
      </w:r>
    </w:p>
    <w:p w14:paraId="61AE2608">
      <w:pPr>
        <w:spacing w:line="360" w:lineRule="auto"/>
        <w:ind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7.纪律与保密</w:t>
      </w:r>
    </w:p>
    <w:p w14:paraId="4C640B3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7.1投标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的投标行为应遵守中国的有关法律、法规和规章。</w:t>
      </w:r>
    </w:p>
    <w:p w14:paraId="628CE1E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7.2投标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不得相互串通投标报价，不得妨碍其他投标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的公平竞争，不得损害</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或其他投标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的合法权益，投标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不得以向</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、评标委员会成员行贿或者其他不正当手段谋取中标。</w:t>
      </w:r>
    </w:p>
    <w:p w14:paraId="333B1E6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有下列情形之一的，视为投标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串通投标，其投标无效：</w:t>
      </w:r>
    </w:p>
    <w:p w14:paraId="3CFE55F3">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（1）投标人之间协商投标报价等投标文件的实质性内容；</w:t>
      </w:r>
    </w:p>
    <w:p w14:paraId="5D095473">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（2）投标人之间约定中标人；</w:t>
      </w:r>
    </w:p>
    <w:p w14:paraId="36804905">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（3）投标人之间约定部分投标人放弃投标或者中标；</w:t>
      </w:r>
    </w:p>
    <w:p w14:paraId="42BBC762">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（4）属于同一集团、协会、商会等组织成员的投标人按照该组织要求协同投标；</w:t>
      </w:r>
    </w:p>
    <w:p w14:paraId="62CC9EFD">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（5）投标人之间为谋取中标或者排斥特定投标人而采取的其他联合行动；</w:t>
      </w:r>
    </w:p>
    <w:p w14:paraId="1D52D074">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（6）不同投标人的投标文件由同一单位或者个人编制；</w:t>
      </w:r>
    </w:p>
    <w:p w14:paraId="6926E7C2">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（7）不同投标人委托同一单位或者个人办理投标事宜；</w:t>
      </w:r>
    </w:p>
    <w:p w14:paraId="5C836FFB">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（8）不同投标人的投标文件载明的项目管理成员为同一人；</w:t>
      </w:r>
    </w:p>
    <w:p w14:paraId="3BC34A03">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（9）不同投标人的投标文件异常一致或者投标报价呈规律性差异；</w:t>
      </w:r>
    </w:p>
    <w:p w14:paraId="532AA238">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（10）不同投标人的投标文件相互混装；</w:t>
      </w:r>
    </w:p>
    <w:p w14:paraId="5368CFF0">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（11）不同投标人的投标保证金从同一单位或者个人的账户转出。</w:t>
      </w:r>
    </w:p>
    <w:p w14:paraId="37AFDF1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7.3在确定中标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之前，</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不得与</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就投标价格、投标方案等实质性内容进行谈判，也不得私下接触评标委员会成员。</w:t>
      </w:r>
    </w:p>
    <w:p w14:paraId="79DB321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7.4在确定中标</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之前，</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试图在投标文件审查、澄清、比较和评价时对评标委员会、</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和</w:t>
      </w:r>
      <w:r>
        <w:rPr>
          <w:rFonts w:hint="eastAsia" w:ascii="宋体" w:hAnsi="宋体"/>
          <w:color w:val="auto"/>
          <w:sz w:val="24"/>
          <w:szCs w:val="24"/>
          <w:highlight w:val="none"/>
          <w:lang w:eastAsia="zh-CN"/>
        </w:rPr>
        <w:t>招标代理机构</w:t>
      </w:r>
      <w:r>
        <w:rPr>
          <w:rFonts w:hint="eastAsia" w:ascii="宋体" w:hAnsi="宋体"/>
          <w:color w:val="auto"/>
          <w:sz w:val="24"/>
          <w:szCs w:val="24"/>
          <w:highlight w:val="none"/>
        </w:rPr>
        <w:t>施加任何影响都可能导致其投标无效。</w:t>
      </w:r>
    </w:p>
    <w:p w14:paraId="28D5DE2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7.5由</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向</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提供的图纸、详细资料、样品、模型、模件和所有其它资料，被视为保密资料，仅被用于它所规定的用途。除非得到</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的同意，不能向任何第三方透露。开标结束后，应</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要求，</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应归还所有从</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处获得的保密资料。</w:t>
      </w:r>
    </w:p>
    <w:p w14:paraId="4B41F29A">
      <w:pPr>
        <w:spacing w:line="360" w:lineRule="auto"/>
        <w:ind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8.联合体投标</w:t>
      </w:r>
    </w:p>
    <w:p w14:paraId="05E0D143">
      <w:pPr>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本项目不接受联合体投标</w:t>
      </w:r>
    </w:p>
    <w:p w14:paraId="4171D605">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9.</w:t>
      </w:r>
      <w:r>
        <w:rPr>
          <w:rFonts w:hint="eastAsia" w:ascii="宋体" w:hAnsi="宋体"/>
          <w:b/>
          <w:bCs/>
          <w:color w:val="auto"/>
          <w:sz w:val="24"/>
          <w:highlight w:val="none"/>
          <w:lang w:val="en-US" w:eastAsia="zh-CN"/>
        </w:rPr>
        <w:t>招标</w:t>
      </w:r>
      <w:r>
        <w:rPr>
          <w:rFonts w:hint="eastAsia" w:ascii="宋体" w:hAnsi="宋体"/>
          <w:b/>
          <w:bCs/>
          <w:color w:val="auto"/>
          <w:sz w:val="24"/>
          <w:highlight w:val="none"/>
        </w:rPr>
        <w:t>信息的发布</w:t>
      </w:r>
    </w:p>
    <w:p w14:paraId="4EA2E07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.1与本次</w:t>
      </w:r>
      <w:r>
        <w:rPr>
          <w:rFonts w:hint="eastAsia" w:ascii="宋体" w:hAnsi="宋体"/>
          <w:color w:val="auto"/>
          <w:sz w:val="24"/>
          <w:highlight w:val="none"/>
          <w:lang w:val="en-US" w:eastAsia="zh-CN"/>
        </w:rPr>
        <w:t>招标</w:t>
      </w:r>
      <w:r>
        <w:rPr>
          <w:rFonts w:hint="eastAsia" w:ascii="宋体" w:hAnsi="宋体"/>
          <w:color w:val="auto"/>
          <w:sz w:val="24"/>
          <w:highlight w:val="none"/>
        </w:rPr>
        <w:t>活动相关的信息，将在六安市公共资源交易平台（http://ggzy.luan.gov.cn）发布。</w:t>
      </w:r>
    </w:p>
    <w:p w14:paraId="58652A56">
      <w:pPr>
        <w:pStyle w:val="3"/>
        <w:keepNext/>
        <w:keepLines/>
        <w:pageBreakBefore w:val="0"/>
        <w:widowControl w:val="0"/>
        <w:kinsoku/>
        <w:wordWrap/>
        <w:overflowPunct/>
        <w:topLinePunct w:val="0"/>
        <w:autoSpaceDE/>
        <w:autoSpaceDN/>
        <w:bidi w:val="0"/>
        <w:adjustRightInd/>
        <w:snapToGrid/>
        <w:spacing w:before="140" w:after="140" w:line="360" w:lineRule="auto"/>
        <w:ind w:firstLine="0"/>
        <w:textAlignment w:val="auto"/>
        <w:rPr>
          <w:rFonts w:hint="eastAsia" w:ascii="宋体" w:hAnsi="宋体" w:eastAsia="宋体" w:cs="宋体"/>
          <w:b/>
          <w:bCs/>
          <w:color w:val="auto"/>
          <w:sz w:val="24"/>
          <w:szCs w:val="24"/>
          <w:highlight w:val="none"/>
        </w:rPr>
      </w:pPr>
      <w:bookmarkStart w:id="84" w:name="_Hlt509650929"/>
      <w:bookmarkEnd w:id="84"/>
      <w:bookmarkStart w:id="85" w:name="_Hlt509650333"/>
      <w:bookmarkEnd w:id="85"/>
      <w:bookmarkStart w:id="86" w:name="_Hlt509649330"/>
      <w:bookmarkEnd w:id="86"/>
      <w:bookmarkStart w:id="87" w:name="_Hlt509650932"/>
      <w:bookmarkEnd w:id="87"/>
      <w:bookmarkStart w:id="88" w:name="_Hlt509649795"/>
      <w:bookmarkEnd w:id="88"/>
      <w:bookmarkStart w:id="89" w:name="_Hlt526418153"/>
      <w:bookmarkEnd w:id="89"/>
      <w:bookmarkStart w:id="90" w:name="_Hlt509649678"/>
      <w:bookmarkEnd w:id="90"/>
      <w:bookmarkStart w:id="91" w:name="_Hlt509650936"/>
      <w:bookmarkEnd w:id="91"/>
      <w:bookmarkStart w:id="92" w:name="_Hlt509650961"/>
      <w:bookmarkEnd w:id="92"/>
      <w:bookmarkStart w:id="93" w:name="_Hlt509650690"/>
      <w:bookmarkEnd w:id="93"/>
      <w:bookmarkStart w:id="94" w:name="_Hlt509649645"/>
      <w:bookmarkEnd w:id="94"/>
      <w:bookmarkStart w:id="95" w:name="_Hlt509649669"/>
      <w:bookmarkEnd w:id="95"/>
      <w:bookmarkStart w:id="96" w:name="_Hlt509650103"/>
      <w:bookmarkEnd w:id="96"/>
      <w:bookmarkStart w:id="97" w:name="_Hlt509650116"/>
      <w:bookmarkEnd w:id="97"/>
      <w:bookmarkStart w:id="98" w:name="_Toc457942809"/>
      <w:bookmarkStart w:id="99" w:name="_Toc31362"/>
      <w:bookmarkStart w:id="100" w:name="_Toc20885"/>
      <w:r>
        <w:rPr>
          <w:rFonts w:hint="eastAsia" w:ascii="宋体" w:hAnsi="宋体" w:eastAsia="宋体" w:cs="宋体"/>
          <w:b/>
          <w:bCs/>
          <w:color w:val="auto"/>
          <w:sz w:val="24"/>
          <w:szCs w:val="24"/>
          <w:highlight w:val="none"/>
        </w:rPr>
        <w:t>二、招标文件</w:t>
      </w:r>
      <w:bookmarkEnd w:id="98"/>
      <w:bookmarkEnd w:id="99"/>
      <w:bookmarkEnd w:id="100"/>
      <w:bookmarkStart w:id="101" w:name="_Hlt509650361"/>
      <w:bookmarkEnd w:id="101"/>
      <w:bookmarkStart w:id="102" w:name="_Hlt509649930"/>
      <w:bookmarkEnd w:id="102"/>
      <w:bookmarkStart w:id="103" w:name="_Hlt509649791"/>
      <w:bookmarkEnd w:id="103"/>
    </w:p>
    <w:p w14:paraId="0387F8B8">
      <w:pPr>
        <w:spacing w:line="360" w:lineRule="auto"/>
        <w:ind w:firstLine="472" w:firstLineChars="196"/>
        <w:rPr>
          <w:rFonts w:hint="eastAsia" w:ascii="宋体" w:hAnsi="宋体"/>
          <w:b/>
          <w:bCs/>
          <w:color w:val="auto"/>
          <w:sz w:val="24"/>
          <w:szCs w:val="24"/>
          <w:highlight w:val="none"/>
        </w:rPr>
      </w:pPr>
      <w:bookmarkStart w:id="104" w:name="_Hlt509650734"/>
      <w:bookmarkEnd w:id="104"/>
      <w:r>
        <w:rPr>
          <w:rFonts w:hint="eastAsia" w:ascii="宋体" w:hAnsi="宋体"/>
          <w:b/>
          <w:bCs/>
          <w:color w:val="auto"/>
          <w:sz w:val="24"/>
          <w:szCs w:val="24"/>
          <w:highlight w:val="none"/>
        </w:rPr>
        <w:t>11.招标文件构成</w:t>
      </w:r>
    </w:p>
    <w:p w14:paraId="5964D36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.1</w:t>
      </w:r>
      <w:r>
        <w:rPr>
          <w:rFonts w:hint="eastAsia" w:ascii="宋体" w:hAnsi="宋体"/>
          <w:color w:val="auto"/>
          <w:sz w:val="24"/>
          <w:szCs w:val="24"/>
          <w:highlight w:val="none"/>
        </w:rPr>
        <w:t>招标文件包括以下部分：</w:t>
      </w:r>
    </w:p>
    <w:p w14:paraId="01E11D0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.1</w:t>
      </w:r>
      <w:r>
        <w:rPr>
          <w:rFonts w:hint="eastAsia" w:ascii="宋体" w:hAnsi="宋体"/>
          <w:color w:val="auto"/>
          <w:sz w:val="24"/>
          <w:szCs w:val="24"/>
          <w:highlight w:val="none"/>
        </w:rPr>
        <w:t>.1第一章：</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rPr>
        <w:t>招标公告；</w:t>
      </w:r>
    </w:p>
    <w:p w14:paraId="25E9AF3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.1</w:t>
      </w:r>
      <w:r>
        <w:rPr>
          <w:rFonts w:hint="eastAsia" w:ascii="宋体" w:hAnsi="宋体"/>
          <w:color w:val="auto"/>
          <w:sz w:val="24"/>
          <w:szCs w:val="24"/>
          <w:highlight w:val="none"/>
        </w:rPr>
        <w:t>.2第二章：</w:t>
      </w:r>
      <w:bookmarkStart w:id="105" w:name="_Hlt509650925"/>
      <w:bookmarkEnd w:id="105"/>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须知前附表；</w:t>
      </w:r>
    </w:p>
    <w:p w14:paraId="0B35BC1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.1</w:t>
      </w:r>
      <w:r>
        <w:rPr>
          <w:rFonts w:hint="eastAsia" w:ascii="宋体" w:hAnsi="宋体"/>
          <w:color w:val="auto"/>
          <w:sz w:val="24"/>
          <w:szCs w:val="24"/>
          <w:highlight w:val="none"/>
        </w:rPr>
        <w:t>.3第三章：</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须知；</w:t>
      </w:r>
    </w:p>
    <w:p w14:paraId="35B1222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.1</w:t>
      </w:r>
      <w:r>
        <w:rPr>
          <w:rFonts w:hint="eastAsia" w:ascii="宋体" w:hAnsi="宋体"/>
          <w:color w:val="auto"/>
          <w:sz w:val="24"/>
          <w:szCs w:val="24"/>
          <w:highlight w:val="none"/>
        </w:rPr>
        <w:t>.4第四章：评标办法；</w:t>
      </w:r>
    </w:p>
    <w:p w14:paraId="3C1F737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.1</w:t>
      </w:r>
      <w:r>
        <w:rPr>
          <w:rFonts w:hint="eastAsia" w:ascii="宋体" w:hAnsi="宋体"/>
          <w:color w:val="auto"/>
          <w:sz w:val="24"/>
          <w:szCs w:val="24"/>
          <w:highlight w:val="none"/>
        </w:rPr>
        <w:t>.5第五章：合同</w:t>
      </w:r>
      <w:r>
        <w:rPr>
          <w:rFonts w:hint="eastAsia" w:ascii="宋体" w:hAnsi="宋体"/>
          <w:color w:val="auto"/>
          <w:sz w:val="24"/>
          <w:szCs w:val="24"/>
          <w:highlight w:val="none"/>
          <w:lang w:val="en-US" w:eastAsia="zh-CN"/>
        </w:rPr>
        <w:t>条款</w:t>
      </w:r>
      <w:r>
        <w:rPr>
          <w:rFonts w:hint="eastAsia" w:ascii="宋体" w:hAnsi="宋体"/>
          <w:color w:val="auto"/>
          <w:sz w:val="24"/>
          <w:szCs w:val="24"/>
          <w:highlight w:val="none"/>
        </w:rPr>
        <w:t>；</w:t>
      </w:r>
    </w:p>
    <w:p w14:paraId="12914D8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.1</w:t>
      </w:r>
      <w:r>
        <w:rPr>
          <w:rFonts w:hint="eastAsia" w:ascii="宋体" w:hAnsi="宋体"/>
          <w:color w:val="auto"/>
          <w:sz w:val="24"/>
          <w:szCs w:val="24"/>
          <w:highlight w:val="none"/>
        </w:rPr>
        <w:t>.6第六章：</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需求；</w:t>
      </w:r>
    </w:p>
    <w:p w14:paraId="0286B99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.1</w:t>
      </w:r>
      <w:r>
        <w:rPr>
          <w:rFonts w:hint="eastAsia" w:ascii="宋体" w:hAnsi="宋体"/>
          <w:color w:val="auto"/>
          <w:sz w:val="24"/>
          <w:szCs w:val="24"/>
          <w:highlight w:val="none"/>
        </w:rPr>
        <w:t>.7第七章：投标文件格式；</w:t>
      </w:r>
    </w:p>
    <w:p w14:paraId="78DF84B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11.1.8</w:t>
      </w:r>
      <w:r>
        <w:rPr>
          <w:rFonts w:hint="eastAsia" w:ascii="宋体" w:hAnsi="宋体"/>
          <w:color w:val="auto"/>
          <w:sz w:val="24"/>
          <w:szCs w:val="24"/>
          <w:highlight w:val="none"/>
          <w:lang w:eastAsia="zh-CN"/>
        </w:rPr>
        <w:t>招标代理机构</w:t>
      </w:r>
      <w:r>
        <w:rPr>
          <w:rFonts w:hint="eastAsia" w:ascii="宋体" w:hAnsi="宋体"/>
          <w:color w:val="auto"/>
          <w:sz w:val="24"/>
          <w:szCs w:val="24"/>
          <w:highlight w:val="none"/>
        </w:rPr>
        <w:t>发布的图纸、答疑、补遗、补充通知等。</w:t>
      </w:r>
    </w:p>
    <w:p w14:paraId="645CFF0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w:t>
      </w:r>
      <w:r>
        <w:rPr>
          <w:rFonts w:hint="eastAsia" w:ascii="宋体" w:hAnsi="宋体"/>
          <w:color w:val="auto"/>
          <w:sz w:val="24"/>
          <w:szCs w:val="24"/>
          <w:highlight w:val="none"/>
        </w:rPr>
        <w:t>2</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应认真阅读招标文件中所有的事项、格式、条件、条款和规范等要求。</w:t>
      </w:r>
    </w:p>
    <w:p w14:paraId="056B318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11.3</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应当按照招标文件的要求编制投标文件。投标文件应对招标文件提出的要求和条件作出实质性响应。</w:t>
      </w:r>
    </w:p>
    <w:p w14:paraId="559810D6">
      <w:pPr>
        <w:spacing w:line="360" w:lineRule="auto"/>
        <w:ind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12.答疑及招标文件的澄清与修改</w:t>
      </w:r>
    </w:p>
    <w:p w14:paraId="3FA680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bookmarkStart w:id="106" w:name="_Hlt509649724"/>
      <w:bookmarkEnd w:id="106"/>
      <w:bookmarkStart w:id="107" w:name="_Hlt510342861"/>
      <w:bookmarkEnd w:id="107"/>
      <w:bookmarkStart w:id="108" w:name="_Hlt509650697"/>
      <w:bookmarkEnd w:id="108"/>
      <w:bookmarkStart w:id="109" w:name="_Toc457942810"/>
      <w:r>
        <w:rPr>
          <w:rFonts w:hint="eastAsia" w:ascii="宋体" w:hAnsi="宋体"/>
          <w:color w:val="auto"/>
          <w:sz w:val="24"/>
          <w:szCs w:val="24"/>
          <w:highlight w:val="none"/>
        </w:rPr>
        <w:t>12.1</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如果对招标文件内容有相关疑问，可以向</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w:t>
      </w:r>
      <w:r>
        <w:rPr>
          <w:rFonts w:hint="eastAsia" w:ascii="宋体" w:hAnsi="宋体"/>
          <w:color w:val="auto"/>
          <w:sz w:val="24"/>
          <w:szCs w:val="24"/>
          <w:highlight w:val="none"/>
          <w:lang w:eastAsia="zh-CN"/>
        </w:rPr>
        <w:t>招标代理机构</w:t>
      </w:r>
      <w:r>
        <w:rPr>
          <w:rFonts w:hint="eastAsia" w:ascii="宋体" w:hAnsi="宋体"/>
          <w:color w:val="auto"/>
          <w:sz w:val="24"/>
          <w:szCs w:val="24"/>
          <w:highlight w:val="none"/>
        </w:rPr>
        <w:t>）提出（疑问文件以文档形式提供，如WORD文档等）。</w:t>
      </w:r>
    </w:p>
    <w:p w14:paraId="5BF764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12.2疑问的提出与答疑</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详见投标人须知前附表</w:t>
      </w:r>
      <w:r>
        <w:rPr>
          <w:rFonts w:hint="eastAsia" w:ascii="宋体" w:hAnsi="宋体"/>
          <w:color w:val="auto"/>
          <w:sz w:val="24"/>
          <w:szCs w:val="24"/>
          <w:highlight w:val="none"/>
        </w:rPr>
        <w:t>。</w:t>
      </w:r>
    </w:p>
    <w:p w14:paraId="4D2B3E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12.3</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w:t>
      </w:r>
      <w:r>
        <w:rPr>
          <w:rFonts w:hint="eastAsia" w:ascii="宋体" w:hAnsi="宋体"/>
          <w:color w:val="auto"/>
          <w:sz w:val="24"/>
          <w:szCs w:val="24"/>
          <w:highlight w:val="none"/>
          <w:lang w:eastAsia="zh-CN"/>
        </w:rPr>
        <w:t>招标代理机构</w:t>
      </w:r>
      <w:r>
        <w:rPr>
          <w:rFonts w:hint="eastAsia" w:ascii="宋体" w:hAnsi="宋体"/>
          <w:color w:val="auto"/>
          <w:sz w:val="24"/>
          <w:szCs w:val="24"/>
          <w:highlight w:val="none"/>
        </w:rPr>
        <w:t>）对招标文件进行的答疑、澄清、变更或补充，将在</w:t>
      </w:r>
      <w:r>
        <w:rPr>
          <w:rFonts w:hint="eastAsia" w:ascii="宋体" w:hAnsi="宋体"/>
          <w:color w:val="auto"/>
          <w:sz w:val="24"/>
          <w:highlight w:val="none"/>
        </w:rPr>
        <w:t>六安市公共资源交易平台（http://ggzy.luan.gov.cn）</w:t>
      </w:r>
      <w:r>
        <w:rPr>
          <w:rFonts w:hint="eastAsia" w:ascii="宋体" w:hAnsi="宋体"/>
          <w:color w:val="auto"/>
          <w:sz w:val="24"/>
          <w:szCs w:val="24"/>
          <w:highlight w:val="none"/>
        </w:rPr>
        <w:t>及时发布，该公告内容为招标文件的组成部分，对</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具有同样约束力。当招标文件、招标文件的答疑、澄清、变更或补充等在同一内容的表述上不一致时，以最后发出的书面文件为准。</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应主动上网查询。</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w:t>
      </w:r>
      <w:r>
        <w:rPr>
          <w:rFonts w:hint="eastAsia" w:ascii="宋体" w:hAnsi="宋体"/>
          <w:color w:val="auto"/>
          <w:sz w:val="24"/>
          <w:szCs w:val="24"/>
          <w:highlight w:val="none"/>
          <w:lang w:eastAsia="zh-CN"/>
        </w:rPr>
        <w:t>招标代理机构</w:t>
      </w:r>
      <w:r>
        <w:rPr>
          <w:rFonts w:hint="eastAsia" w:ascii="宋体" w:hAnsi="宋体"/>
          <w:color w:val="auto"/>
          <w:sz w:val="24"/>
          <w:szCs w:val="24"/>
          <w:highlight w:val="none"/>
        </w:rPr>
        <w:t>）不承担</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未及时关注相关信息引发的相关责任。</w:t>
      </w:r>
    </w:p>
    <w:p w14:paraId="182484B8">
      <w:pPr>
        <w:pStyle w:val="3"/>
        <w:keepNext/>
        <w:keepLines/>
        <w:pageBreakBefore w:val="0"/>
        <w:widowControl w:val="0"/>
        <w:kinsoku/>
        <w:wordWrap/>
        <w:overflowPunct/>
        <w:topLinePunct w:val="0"/>
        <w:autoSpaceDE/>
        <w:autoSpaceDN/>
        <w:bidi w:val="0"/>
        <w:adjustRightInd/>
        <w:snapToGrid/>
        <w:spacing w:before="140" w:after="140" w:line="360" w:lineRule="auto"/>
        <w:ind w:firstLine="0"/>
        <w:textAlignment w:val="auto"/>
        <w:rPr>
          <w:rFonts w:hint="eastAsia" w:ascii="宋体" w:hAnsi="宋体" w:eastAsia="宋体" w:cs="宋体"/>
          <w:b/>
          <w:bCs/>
          <w:color w:val="auto"/>
          <w:sz w:val="24"/>
          <w:szCs w:val="24"/>
          <w:highlight w:val="none"/>
        </w:rPr>
      </w:pPr>
      <w:bookmarkStart w:id="110" w:name="_Toc5063"/>
      <w:bookmarkStart w:id="111" w:name="_Toc11409"/>
      <w:r>
        <w:rPr>
          <w:rFonts w:hint="eastAsia" w:ascii="宋体" w:hAnsi="宋体" w:eastAsia="宋体" w:cs="宋体"/>
          <w:b/>
          <w:bCs/>
          <w:color w:val="auto"/>
          <w:sz w:val="24"/>
          <w:szCs w:val="24"/>
          <w:highlight w:val="none"/>
        </w:rPr>
        <w:t>三、投标文件的编制</w:t>
      </w:r>
      <w:bookmarkEnd w:id="109"/>
      <w:bookmarkEnd w:id="110"/>
      <w:bookmarkEnd w:id="111"/>
    </w:p>
    <w:p w14:paraId="3C530841">
      <w:pPr>
        <w:spacing w:line="360" w:lineRule="auto"/>
        <w:ind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13.投标文件构成与要求</w:t>
      </w:r>
    </w:p>
    <w:p w14:paraId="2DC3C360">
      <w:pPr>
        <w:spacing w:line="360" w:lineRule="auto"/>
        <w:ind w:firstLine="480" w:firstLineChars="200"/>
        <w:rPr>
          <w:rFonts w:hint="eastAsia" w:ascii="宋体" w:hAnsi="宋体"/>
          <w:color w:val="auto"/>
          <w:sz w:val="24"/>
          <w:szCs w:val="24"/>
          <w:highlight w:val="none"/>
        </w:rPr>
      </w:pPr>
      <w:bookmarkStart w:id="112" w:name="_Hlt509650345"/>
      <w:bookmarkEnd w:id="112"/>
      <w:r>
        <w:rPr>
          <w:rFonts w:hint="eastAsia" w:ascii="宋体" w:hAnsi="宋体"/>
          <w:color w:val="auto"/>
          <w:sz w:val="24"/>
          <w:szCs w:val="24"/>
          <w:highlight w:val="none"/>
        </w:rPr>
        <w:t>13.1投标文件是对招标文件的实质性响应及承诺文件。</w:t>
      </w:r>
    </w:p>
    <w:p w14:paraId="6FCFE53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13.2除非注明“</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可自行制作格式”，投标文件应使用招标文件提供的格式。</w:t>
      </w:r>
    </w:p>
    <w:p w14:paraId="5493894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13.3除专用术语外，投标文件以及</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与</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就有关投标的往来函电均应使用中文。</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提交的支持性文件和印制的文件可以用另一种语言，但相应内容应翻译成中文，对不同文字文本投标文件的解释发生异议的，以中文文本为准。</w:t>
      </w:r>
    </w:p>
    <w:p w14:paraId="6BFBD97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13.4除非招标文件另有规定，投标文件应使用中华人民共和国法定计量单位。</w:t>
      </w:r>
    </w:p>
    <w:p w14:paraId="21A1D1A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13.5除非招标文件另有规定，投标文件应使用人民币填报所有报价。允许以多种货币报价的，或涉及合同金额等计算的，均按照中国人民银行在开标日公布的汇率中间价换算成人民币。公司注册资本为外币，须折算成人民币的，按照公司成立日期当日(以营业执照注明的成立日期为准）中国人民银行公布的汇率的中间价计算（</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应提供成立日期当日中国人民银行公布的汇率的中间价作为参考）。</w:t>
      </w:r>
    </w:p>
    <w:p w14:paraId="47B48C2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13.6</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资质证书（或资格证明）处于年检、换证、升级、变更等期间，除非有法律法规或发证机构书面材料明确表明</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资质（或资格</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有效，否则一律不予认可。</w:t>
      </w:r>
    </w:p>
    <w:p w14:paraId="1BC731C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13.7电报、电话、传真形式的投标概不接受。</w:t>
      </w:r>
    </w:p>
    <w:p w14:paraId="0E71107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13.8除非招标文件另有规定，</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一律不予退还</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的投标文件。</w:t>
      </w:r>
    </w:p>
    <w:p w14:paraId="56CA14C1">
      <w:pPr>
        <w:spacing w:line="360" w:lineRule="auto"/>
        <w:ind w:firstLine="472" w:firstLineChars="196"/>
        <w:rPr>
          <w:rFonts w:hint="eastAsia" w:ascii="宋体" w:hAnsi="宋体"/>
          <w:color w:val="auto"/>
          <w:sz w:val="24"/>
          <w:szCs w:val="24"/>
          <w:highlight w:val="none"/>
        </w:rPr>
      </w:pPr>
      <w:r>
        <w:rPr>
          <w:rFonts w:hint="eastAsia" w:ascii="宋体" w:hAnsi="宋体"/>
          <w:b/>
          <w:color w:val="auto"/>
          <w:sz w:val="24"/>
          <w:szCs w:val="24"/>
          <w:highlight w:val="none"/>
        </w:rPr>
        <w:t>14.报价</w:t>
      </w:r>
    </w:p>
    <w:p w14:paraId="6FAEEEC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14.1</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应以“包”为报价的基本单位。若整个需求分为若干包，则</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可选择其中的部分或所有包报价。包内所有项目均应报价（免费赠送的除外）。</w:t>
      </w:r>
    </w:p>
    <w:p w14:paraId="6734EBF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14.2</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的报价应包含所投服务、保险、税费和交付后约定期限内免费维保服务等工作所发生的应有费用。投标报价为签订合同的依据。</w:t>
      </w:r>
    </w:p>
    <w:p w14:paraId="4744BF8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14.3报价应当低于同类服务的市场平均价格。除非招标文件另有规定或经</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同意支付的，投标报价均不得高于招标文件（公告）列明的最高限价、项目预算。</w:t>
      </w:r>
    </w:p>
    <w:p w14:paraId="6B62BFC9">
      <w:pPr>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14.4</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应按招标文件要求在投标文件中注明拟提供服务的单价明细和总价</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另有规定的除外。</w:t>
      </w:r>
    </w:p>
    <w:p w14:paraId="2441F60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14.5除非招标文件另有规定，每一包只允许有一个最终报价，任何有选择的报价或替代方案将导致投标无效。</w:t>
      </w:r>
    </w:p>
    <w:p w14:paraId="356715D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14.6</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不建议</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采用总价优惠或以总价百分比优惠的方式进行投标报价，其优惠可直接计算并体现在各项投标报价的单价中</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另有规定的除外。</w:t>
      </w:r>
    </w:p>
    <w:p w14:paraId="18B5B56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14.7除非招标文件另有规定，报价原则上精确到小数点后两位，如不足两位，按照两位计算，如超出两位，按照四舍五入方式计算至小数点后两位（报价单位按招标文件约定）。</w:t>
      </w:r>
    </w:p>
    <w:p w14:paraId="24D98F6E">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14.8除国家政策性文件规定</w:t>
      </w:r>
      <w:r>
        <w:rPr>
          <w:rFonts w:hint="eastAsia" w:ascii="宋体" w:hAnsi="宋体"/>
          <w:b/>
          <w:bCs/>
          <w:color w:val="auto"/>
          <w:sz w:val="24"/>
          <w:szCs w:val="24"/>
          <w:highlight w:val="none"/>
          <w:lang w:val="en-US" w:eastAsia="zh-CN"/>
        </w:rPr>
        <w:t>或招标文件约定</w:t>
      </w:r>
      <w:r>
        <w:rPr>
          <w:rFonts w:hint="eastAsia" w:ascii="宋体" w:hAnsi="宋体"/>
          <w:b/>
          <w:bCs/>
          <w:color w:val="auto"/>
          <w:sz w:val="24"/>
          <w:szCs w:val="24"/>
          <w:highlight w:val="none"/>
        </w:rPr>
        <w:t>以外，</w:t>
      </w:r>
      <w:r>
        <w:rPr>
          <w:rFonts w:hint="eastAsia" w:ascii="宋体" w:hAnsi="宋体"/>
          <w:b/>
          <w:bCs/>
          <w:color w:val="auto"/>
          <w:sz w:val="24"/>
          <w:szCs w:val="24"/>
          <w:highlight w:val="none"/>
          <w:lang w:eastAsia="zh-CN"/>
        </w:rPr>
        <w:t>投标人</w:t>
      </w:r>
      <w:r>
        <w:rPr>
          <w:rFonts w:hint="eastAsia" w:ascii="宋体" w:hAnsi="宋体"/>
          <w:b/>
          <w:bCs/>
          <w:color w:val="auto"/>
          <w:sz w:val="24"/>
          <w:szCs w:val="24"/>
          <w:highlight w:val="none"/>
        </w:rPr>
        <w:t>所报价格在合同实施期间不因市场变化因素而变动。</w:t>
      </w:r>
    </w:p>
    <w:p w14:paraId="03064145">
      <w:pPr>
        <w:spacing w:line="360" w:lineRule="auto"/>
        <w:ind w:firstLine="472" w:firstLineChars="196"/>
        <w:rPr>
          <w:rFonts w:hint="eastAsia" w:ascii="宋体" w:hAnsi="宋体"/>
          <w:b/>
          <w:bCs/>
          <w:color w:val="auto"/>
          <w:sz w:val="24"/>
          <w:szCs w:val="24"/>
          <w:highlight w:val="none"/>
        </w:rPr>
      </w:pPr>
      <w:r>
        <w:rPr>
          <w:rFonts w:hint="eastAsia" w:ascii="宋体" w:hAnsi="宋体"/>
          <w:b/>
          <w:bCs/>
          <w:color w:val="auto"/>
          <w:sz w:val="24"/>
          <w:szCs w:val="24"/>
          <w:highlight w:val="none"/>
        </w:rPr>
        <w:t>15.投标</w:t>
      </w:r>
      <w:r>
        <w:rPr>
          <w:rFonts w:hint="eastAsia" w:ascii="宋体" w:hAnsi="宋体"/>
          <w:b/>
          <w:color w:val="auto"/>
          <w:sz w:val="24"/>
          <w:szCs w:val="24"/>
          <w:highlight w:val="none"/>
        </w:rPr>
        <w:t>内容</w:t>
      </w:r>
      <w:r>
        <w:rPr>
          <w:rFonts w:hint="eastAsia" w:ascii="宋体" w:hAnsi="宋体"/>
          <w:b/>
          <w:bCs/>
          <w:color w:val="auto"/>
          <w:sz w:val="24"/>
          <w:szCs w:val="24"/>
          <w:highlight w:val="none"/>
        </w:rPr>
        <w:t>填写及说明</w:t>
      </w:r>
    </w:p>
    <w:p w14:paraId="700781D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15.1投标文件须对招标文件载明的投标资格、技术、资信、服务、报价等全部要求和条件做出实质性和完整的响应，如果投标文件填报的内容资料不详，或没有提供招标文件所要求的全部资料、证明及数据，将导致投标无效。</w:t>
      </w:r>
    </w:p>
    <w:p w14:paraId="378D165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15.2</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应在投标文件中提交招标文件要求的有关证明文件，作为其投标文件的一部分。</w:t>
      </w:r>
    </w:p>
    <w:p w14:paraId="04C2852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15.3</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应在投标文件中提交招标文件要求的所有服务的合格性以及符合招标文件规定的证明文件（可以是手册、图纸和资料等），并作为其投标文件的一部分。包括：服务主要内容的详细描述等。</w:t>
      </w:r>
    </w:p>
    <w:p w14:paraId="67F8E14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5</w:t>
      </w:r>
      <w:r>
        <w:rPr>
          <w:rFonts w:ascii="宋体" w:hAnsi="宋体"/>
          <w:color w:val="auto"/>
          <w:sz w:val="24"/>
          <w:szCs w:val="24"/>
          <w:highlight w:val="none"/>
        </w:rPr>
        <w:t>.</w:t>
      </w:r>
      <w:r>
        <w:rPr>
          <w:rFonts w:hint="eastAsia" w:ascii="宋体" w:hAnsi="宋体"/>
          <w:color w:val="auto"/>
          <w:sz w:val="24"/>
          <w:szCs w:val="24"/>
          <w:highlight w:val="none"/>
        </w:rPr>
        <w:t>4投标文件应字迹清楚、编排有序、内容齐全、不得涂改或增删。如有错漏处必须修改，应在修改处加盖</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公章。</w:t>
      </w:r>
    </w:p>
    <w:p w14:paraId="7DAC9790">
      <w:pPr>
        <w:spacing w:line="360" w:lineRule="auto"/>
        <w:ind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16.投标保证金</w:t>
      </w:r>
    </w:p>
    <w:p w14:paraId="4237DAB6">
      <w:pPr>
        <w:spacing w:line="360" w:lineRule="auto"/>
        <w:ind w:firstLine="470" w:firstLineChars="196"/>
        <w:rPr>
          <w:rFonts w:hint="eastAsia" w:ascii="宋体" w:hAnsi="宋体"/>
          <w:color w:val="auto"/>
          <w:sz w:val="24"/>
          <w:szCs w:val="24"/>
          <w:highlight w:val="none"/>
        </w:rPr>
      </w:pPr>
      <w:r>
        <w:rPr>
          <w:rFonts w:hint="eastAsia" w:ascii="宋体" w:hAnsi="宋体"/>
          <w:color w:val="auto"/>
          <w:sz w:val="24"/>
          <w:szCs w:val="24"/>
          <w:highlight w:val="none"/>
          <w:lang w:val="en-US" w:eastAsia="zh-CN"/>
        </w:rPr>
        <w:t>16.1投标保证金提交要求详见投标人须知前附表</w:t>
      </w:r>
      <w:r>
        <w:rPr>
          <w:rFonts w:hint="eastAsia" w:ascii="宋体" w:hAnsi="宋体"/>
          <w:color w:val="auto"/>
          <w:sz w:val="24"/>
          <w:szCs w:val="24"/>
          <w:highlight w:val="none"/>
        </w:rPr>
        <w:t>。</w:t>
      </w:r>
      <w:r>
        <w:rPr>
          <w:rFonts w:hint="eastAsia" w:ascii="宋体" w:hAnsi="宋体" w:eastAsia="宋体" w:cs="宋体"/>
          <w:color w:val="auto"/>
          <w:sz w:val="24"/>
          <w:szCs w:val="24"/>
          <w:highlight w:val="none"/>
        </w:rPr>
        <w:t>对于未能按要求提交投标保证金的投标，招标人将视其为不响应招标文件，交由评标委员会予以确认后，不进入评审。</w:t>
      </w:r>
    </w:p>
    <w:p w14:paraId="626BD439">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投标保证金的退还见投标须知前附表的规定。</w:t>
      </w:r>
    </w:p>
    <w:p w14:paraId="3C827E81">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16.3有下列情形之一的，投标保证金将不予退还：</w:t>
      </w:r>
    </w:p>
    <w:p w14:paraId="316FEC76">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（1）投标截止后投标人撤销投标文件； </w:t>
      </w:r>
    </w:p>
    <w:p w14:paraId="6E0F5FE6">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（2）中标人在收到中标通知书后，无正当理由不与招标人订立合同，在签订合同时向招标人提出附加条件，或者不按照招标文件要求提交履约保证金； </w:t>
      </w:r>
    </w:p>
    <w:p w14:paraId="2293FF4E">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（3）招投标法律法规规定的其他不予退还投标保证金情形。</w:t>
      </w:r>
    </w:p>
    <w:p w14:paraId="4957A09C">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招标文件中约定投标保证金不予退还的，均由招标人依据招标文件的约定作出不予退还决定。</w:t>
      </w:r>
    </w:p>
    <w:p w14:paraId="71A3575D">
      <w:pPr>
        <w:spacing w:line="360" w:lineRule="auto"/>
        <w:ind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17.投标有效期</w:t>
      </w:r>
    </w:p>
    <w:p w14:paraId="31CF755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17.1为</w:t>
      </w:r>
      <w:r>
        <w:rPr>
          <w:rFonts w:ascii="宋体" w:hAnsi="宋体"/>
          <w:color w:val="auto"/>
          <w:sz w:val="24"/>
          <w:szCs w:val="24"/>
          <w:highlight w:val="none"/>
        </w:rPr>
        <w:t>保证</w:t>
      </w:r>
      <w:r>
        <w:rPr>
          <w:rFonts w:hint="eastAsia" w:ascii="宋体" w:hAnsi="宋体"/>
          <w:color w:val="auto"/>
          <w:sz w:val="24"/>
          <w:szCs w:val="24"/>
          <w:highlight w:val="none"/>
          <w:lang w:eastAsia="zh-CN"/>
        </w:rPr>
        <w:t>招标人</w:t>
      </w:r>
      <w:r>
        <w:rPr>
          <w:rFonts w:ascii="宋体" w:hAnsi="宋体"/>
          <w:color w:val="auto"/>
          <w:sz w:val="24"/>
          <w:szCs w:val="24"/>
          <w:highlight w:val="none"/>
        </w:rPr>
        <w:t>有足够的时间完成评标和与</w:t>
      </w:r>
      <w:r>
        <w:rPr>
          <w:rFonts w:hint="eastAsia" w:ascii="宋体" w:hAnsi="宋体"/>
          <w:color w:val="auto"/>
          <w:sz w:val="24"/>
          <w:szCs w:val="24"/>
          <w:highlight w:val="none"/>
          <w:lang w:eastAsia="zh-CN"/>
        </w:rPr>
        <w:t>中标人</w:t>
      </w:r>
      <w:r>
        <w:rPr>
          <w:rFonts w:ascii="宋体" w:hAnsi="宋体"/>
          <w:color w:val="auto"/>
          <w:sz w:val="24"/>
          <w:szCs w:val="24"/>
          <w:highlight w:val="none"/>
        </w:rPr>
        <w:t>签订合同</w:t>
      </w:r>
      <w:r>
        <w:rPr>
          <w:rFonts w:hint="eastAsia" w:ascii="宋体" w:hAnsi="宋体"/>
          <w:color w:val="auto"/>
          <w:sz w:val="24"/>
          <w:szCs w:val="24"/>
          <w:highlight w:val="none"/>
        </w:rPr>
        <w:t>，规定投标有效期。投标有效期见</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须知前附表。</w:t>
      </w:r>
    </w:p>
    <w:p w14:paraId="4A91D7A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17.2在投标有效期内，</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的投标保持有效，</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不得要求撤销或修改其投标文件。</w:t>
      </w:r>
    </w:p>
    <w:p w14:paraId="0CA4275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17.3</w:t>
      </w:r>
      <w:r>
        <w:rPr>
          <w:rFonts w:ascii="宋体" w:hAnsi="宋体"/>
          <w:color w:val="auto"/>
          <w:sz w:val="24"/>
          <w:szCs w:val="24"/>
          <w:highlight w:val="none"/>
        </w:rPr>
        <w:t>投标有效期从投标截止日起计算。</w:t>
      </w:r>
    </w:p>
    <w:p w14:paraId="6123D69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17.4在原定投标有效期满之前，如果出现特殊情况，</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可以书面形式提出延长投标有效期的要求。</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以书面形式予以答复，</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可以拒绝这种要求。同意延长投标有效期的</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不允许修改其投标文件的实质性内容。</w:t>
      </w:r>
    </w:p>
    <w:p w14:paraId="7ED879C3">
      <w:pPr>
        <w:spacing w:line="360" w:lineRule="auto"/>
        <w:ind w:firstLine="472" w:firstLineChars="196"/>
        <w:rPr>
          <w:rFonts w:hint="eastAsia" w:ascii="宋体" w:hAnsi="宋体"/>
          <w:b/>
          <w:color w:val="auto"/>
          <w:sz w:val="24"/>
          <w:szCs w:val="24"/>
          <w:highlight w:val="none"/>
        </w:rPr>
      </w:pPr>
      <w:bookmarkStart w:id="113" w:name="_Hlt509650572"/>
      <w:bookmarkEnd w:id="113"/>
      <w:r>
        <w:rPr>
          <w:rFonts w:hint="eastAsia" w:ascii="宋体" w:hAnsi="宋体"/>
          <w:b/>
          <w:color w:val="auto"/>
          <w:sz w:val="24"/>
          <w:szCs w:val="24"/>
          <w:highlight w:val="none"/>
        </w:rPr>
        <w:t>18.投标文件份数</w:t>
      </w:r>
    </w:p>
    <w:p w14:paraId="5A9161C2">
      <w:pPr>
        <w:pStyle w:val="90"/>
        <w:snapToGrid w:val="0"/>
        <w:spacing w:line="30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18</w:t>
      </w:r>
      <w:r>
        <w:rPr>
          <w:rFonts w:ascii="宋体" w:hAnsi="宋体"/>
          <w:color w:val="auto"/>
          <w:sz w:val="24"/>
          <w:szCs w:val="24"/>
          <w:highlight w:val="none"/>
        </w:rPr>
        <w:t>.1</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应按照</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须知前附表的要求准备投标文件。</w:t>
      </w:r>
    </w:p>
    <w:p w14:paraId="1FEC6E66">
      <w:pPr>
        <w:pStyle w:val="3"/>
        <w:keepNext/>
        <w:keepLines/>
        <w:pageBreakBefore w:val="0"/>
        <w:widowControl w:val="0"/>
        <w:kinsoku/>
        <w:wordWrap/>
        <w:overflowPunct/>
        <w:topLinePunct w:val="0"/>
        <w:autoSpaceDE/>
        <w:autoSpaceDN/>
        <w:bidi w:val="0"/>
        <w:adjustRightInd/>
        <w:snapToGrid/>
        <w:spacing w:before="140" w:after="140" w:line="360" w:lineRule="auto"/>
        <w:ind w:firstLine="0"/>
        <w:textAlignment w:val="auto"/>
        <w:rPr>
          <w:rFonts w:hint="eastAsia" w:ascii="宋体" w:hAnsi="宋体" w:eastAsia="宋体" w:cs="宋体"/>
          <w:b/>
          <w:bCs/>
          <w:color w:val="auto"/>
          <w:sz w:val="24"/>
          <w:szCs w:val="24"/>
          <w:highlight w:val="none"/>
        </w:rPr>
      </w:pPr>
      <w:bookmarkStart w:id="114" w:name="_Toc16980"/>
      <w:bookmarkStart w:id="115" w:name="_Toc457942811"/>
      <w:bookmarkStart w:id="116" w:name="_Toc11390"/>
      <w:bookmarkStart w:id="117" w:name="_Toc7244"/>
      <w:bookmarkStart w:id="118" w:name="_Toc20149"/>
      <w:bookmarkStart w:id="119" w:name="_Toc457942812"/>
      <w:r>
        <w:rPr>
          <w:rFonts w:hint="eastAsia" w:ascii="宋体" w:hAnsi="宋体" w:eastAsia="宋体" w:cs="宋体"/>
          <w:b/>
          <w:bCs/>
          <w:color w:val="auto"/>
          <w:sz w:val="24"/>
          <w:szCs w:val="24"/>
          <w:highlight w:val="none"/>
        </w:rPr>
        <w:t>四、投标文件的递交</w:t>
      </w:r>
      <w:bookmarkEnd w:id="114"/>
      <w:bookmarkEnd w:id="115"/>
      <w:bookmarkEnd w:id="116"/>
      <w:bookmarkEnd w:id="117"/>
      <w:bookmarkEnd w:id="118"/>
      <w:bookmarkStart w:id="120" w:name="_Hlt509649414"/>
      <w:bookmarkEnd w:id="120"/>
    </w:p>
    <w:p w14:paraId="579478E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szCs w:val="24"/>
          <w:highlight w:val="none"/>
        </w:rPr>
      </w:pPr>
      <w:bookmarkStart w:id="121" w:name="_Hlt509649294"/>
      <w:bookmarkEnd w:id="121"/>
      <w:r>
        <w:rPr>
          <w:rFonts w:hint="eastAsia" w:ascii="宋体" w:hAnsi="宋体"/>
          <w:b/>
          <w:color w:val="auto"/>
          <w:sz w:val="24"/>
          <w:szCs w:val="24"/>
          <w:highlight w:val="none"/>
        </w:rPr>
        <w:t>19、投标文件的提交</w:t>
      </w:r>
    </w:p>
    <w:p w14:paraId="688A92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lang w:val="en-US" w:eastAsia="zh-CN"/>
        </w:rPr>
        <w:t>详见投标人须知前附表。</w:t>
      </w:r>
    </w:p>
    <w:p w14:paraId="3A926164">
      <w:pPr>
        <w:spacing w:line="360" w:lineRule="auto"/>
        <w:ind w:firstLine="482" w:firstLineChars="200"/>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rPr>
        <w:t>20、投标文件的</w:t>
      </w:r>
      <w:r>
        <w:rPr>
          <w:rFonts w:hint="eastAsia" w:ascii="宋体" w:hAnsi="宋体"/>
          <w:b/>
          <w:color w:val="auto"/>
          <w:sz w:val="24"/>
          <w:szCs w:val="24"/>
          <w:highlight w:val="none"/>
          <w:lang w:val="en-US" w:eastAsia="zh-CN"/>
        </w:rPr>
        <w:t>开启</w:t>
      </w:r>
    </w:p>
    <w:p w14:paraId="6E2722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r>
        <w:rPr>
          <w:rFonts w:hint="eastAsia" w:ascii="宋体" w:hAnsi="宋体"/>
          <w:bCs/>
          <w:color w:val="auto"/>
          <w:sz w:val="24"/>
          <w:szCs w:val="24"/>
          <w:highlight w:val="none"/>
          <w:lang w:val="en-US" w:eastAsia="zh-CN"/>
        </w:rPr>
        <w:t>招标代理机构对投标截止时间前递交的投标文件在开标地点现场开启</w:t>
      </w:r>
      <w:r>
        <w:rPr>
          <w:rFonts w:hint="eastAsia" w:ascii="宋体" w:hAnsi="宋体"/>
          <w:bCs/>
          <w:color w:val="auto"/>
          <w:sz w:val="24"/>
          <w:szCs w:val="24"/>
          <w:highlight w:val="none"/>
        </w:rPr>
        <w:t>。</w:t>
      </w:r>
    </w:p>
    <w:p w14:paraId="621680B0">
      <w:pPr>
        <w:pStyle w:val="3"/>
        <w:keepNext/>
        <w:keepLines/>
        <w:pageBreakBefore w:val="0"/>
        <w:widowControl w:val="0"/>
        <w:kinsoku/>
        <w:wordWrap/>
        <w:overflowPunct/>
        <w:topLinePunct w:val="0"/>
        <w:autoSpaceDE/>
        <w:autoSpaceDN/>
        <w:bidi w:val="0"/>
        <w:adjustRightInd/>
        <w:snapToGrid/>
        <w:spacing w:before="140" w:after="140" w:line="360" w:lineRule="auto"/>
        <w:ind w:firstLine="0"/>
        <w:textAlignment w:val="auto"/>
        <w:rPr>
          <w:rFonts w:hint="eastAsia" w:ascii="宋体" w:hAnsi="宋体" w:eastAsia="宋体" w:cs="宋体"/>
          <w:b/>
          <w:bCs/>
          <w:color w:val="auto"/>
          <w:sz w:val="24"/>
          <w:szCs w:val="24"/>
          <w:highlight w:val="none"/>
        </w:rPr>
      </w:pPr>
      <w:bookmarkStart w:id="122" w:name="_Toc8371"/>
      <w:bookmarkStart w:id="123" w:name="_Toc30430"/>
      <w:r>
        <w:rPr>
          <w:rFonts w:hint="eastAsia" w:ascii="宋体" w:hAnsi="宋体" w:eastAsia="宋体" w:cs="宋体"/>
          <w:b/>
          <w:bCs/>
          <w:color w:val="auto"/>
          <w:sz w:val="24"/>
          <w:szCs w:val="24"/>
          <w:highlight w:val="none"/>
        </w:rPr>
        <w:t>五、开标与评标</w:t>
      </w:r>
      <w:bookmarkEnd w:id="119"/>
      <w:bookmarkEnd w:id="122"/>
      <w:bookmarkEnd w:id="123"/>
    </w:p>
    <w:p w14:paraId="76628AF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color w:val="auto"/>
          <w:sz w:val="24"/>
          <w:szCs w:val="24"/>
          <w:highlight w:val="none"/>
        </w:rPr>
      </w:pPr>
      <w:r>
        <w:rPr>
          <w:rFonts w:hint="eastAsia" w:ascii="宋体" w:hAnsi="宋体"/>
          <w:b/>
          <w:color w:val="auto"/>
          <w:sz w:val="24"/>
          <w:szCs w:val="24"/>
          <w:highlight w:val="none"/>
        </w:rPr>
        <w:t>21.开标与投标文件的评审</w:t>
      </w:r>
    </w:p>
    <w:p w14:paraId="3302F707">
      <w:pPr>
        <w:pStyle w:val="9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21.1</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将在本项目招标公告规定的时间和地点组织开标。</w:t>
      </w:r>
    </w:p>
    <w:p w14:paraId="6E13CAA1">
      <w:pPr>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21.</w:t>
      </w:r>
      <w:r>
        <w:rPr>
          <w:rFonts w:hint="eastAsia" w:ascii="宋体" w:hAnsi="宋体"/>
          <w:bCs/>
          <w:color w:val="auto"/>
          <w:sz w:val="24"/>
          <w:szCs w:val="24"/>
          <w:highlight w:val="none"/>
        </w:rPr>
        <w:t>2</w:t>
      </w:r>
      <w:r>
        <w:rPr>
          <w:rFonts w:hint="eastAsia" w:ascii="宋体" w:hAnsi="宋体"/>
          <w:color w:val="auto"/>
          <w:sz w:val="24"/>
          <w:szCs w:val="24"/>
          <w:highlight w:val="none"/>
        </w:rPr>
        <w:t>开标时，</w:t>
      </w:r>
      <w:r>
        <w:rPr>
          <w:rFonts w:hint="eastAsia" w:ascii="宋体" w:hAnsi="宋体"/>
          <w:color w:val="auto"/>
          <w:sz w:val="24"/>
          <w:szCs w:val="24"/>
          <w:highlight w:val="none"/>
          <w:lang w:val="en-US" w:eastAsia="zh-CN"/>
        </w:rPr>
        <w:t>按下列程序进行：</w:t>
      </w:r>
    </w:p>
    <w:p w14:paraId="1891879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（1）宣布开标纪律；</w:t>
      </w:r>
    </w:p>
    <w:p w14:paraId="171C350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（2）公布在投标截止时间前递交投标文件的投标人名称；</w:t>
      </w:r>
    </w:p>
    <w:p w14:paraId="71EC451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（3）宣布开标人、唱标人、记录人等有关人员姓名；</w:t>
      </w:r>
    </w:p>
    <w:p w14:paraId="1846644A">
      <w:pPr>
        <w:pStyle w:val="9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olor w:val="auto"/>
          <w:sz w:val="24"/>
          <w:szCs w:val="24"/>
          <w:highlight w:val="none"/>
        </w:rPr>
        <w:t>（4）检查投标文件的密封情况，当众开标，公布招标项目名称、投标人名称、投标报价及其他内容，</w:t>
      </w:r>
      <w:r>
        <w:rPr>
          <w:rFonts w:hint="eastAsia" w:ascii="宋体" w:hAnsi="宋体"/>
          <w:color w:val="auto"/>
          <w:sz w:val="24"/>
          <w:szCs w:val="24"/>
          <w:highlight w:val="none"/>
          <w:lang w:val="en-US" w:eastAsia="zh-CN"/>
        </w:rPr>
        <w:t>抽取系数，</w:t>
      </w:r>
      <w:r>
        <w:rPr>
          <w:rFonts w:hint="eastAsia" w:ascii="宋体" w:hAnsi="宋体"/>
          <w:color w:val="auto"/>
          <w:sz w:val="24"/>
          <w:szCs w:val="24"/>
          <w:highlight w:val="none"/>
        </w:rPr>
        <w:t>并记录在案</w:t>
      </w:r>
      <w:r>
        <w:rPr>
          <w:rFonts w:ascii="宋体" w:hAnsi="宋体" w:cs="宋体"/>
          <w:color w:val="auto"/>
          <w:kern w:val="0"/>
          <w:sz w:val="24"/>
          <w:szCs w:val="24"/>
          <w:highlight w:val="none"/>
        </w:rPr>
        <w:t>。</w:t>
      </w:r>
    </w:p>
    <w:p w14:paraId="50ECDEFE">
      <w:pPr>
        <w:pStyle w:val="9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21.3评标前对投标资格进行审查，评标委员会仅对资格审查通过的投标文件进行评审。</w:t>
      </w:r>
    </w:p>
    <w:p w14:paraId="31C537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ascii="宋体" w:hAnsi="宋体" w:cs="宋体"/>
          <w:color w:val="auto"/>
          <w:kern w:val="0"/>
          <w:sz w:val="24"/>
          <w:szCs w:val="24"/>
          <w:highlight w:val="none"/>
        </w:rPr>
        <w:t xml:space="preserve"> 无论何种原因，即使</w:t>
      </w:r>
      <w:r>
        <w:rPr>
          <w:rFonts w:hint="eastAsia" w:ascii="宋体" w:hAnsi="宋体" w:cs="宋体"/>
          <w:color w:val="auto"/>
          <w:kern w:val="0"/>
          <w:sz w:val="24"/>
          <w:szCs w:val="24"/>
          <w:highlight w:val="none"/>
          <w:lang w:eastAsia="zh-CN"/>
        </w:rPr>
        <w:t>投标人</w:t>
      </w:r>
      <w:r>
        <w:rPr>
          <w:rFonts w:hint="eastAsia" w:ascii="宋体" w:hAnsi="宋体" w:cs="宋体"/>
          <w:color w:val="auto"/>
          <w:kern w:val="0"/>
          <w:sz w:val="24"/>
          <w:szCs w:val="24"/>
          <w:highlight w:val="none"/>
        </w:rPr>
        <w:t>投标</w:t>
      </w:r>
      <w:r>
        <w:rPr>
          <w:rFonts w:ascii="宋体" w:hAnsi="宋体" w:cs="宋体"/>
          <w:color w:val="auto"/>
          <w:kern w:val="0"/>
          <w:sz w:val="24"/>
          <w:szCs w:val="24"/>
          <w:highlight w:val="none"/>
        </w:rPr>
        <w:t>时携带了证书材料的原件，但</w:t>
      </w:r>
      <w:r>
        <w:rPr>
          <w:rFonts w:hint="eastAsia" w:ascii="宋体" w:hAnsi="宋体" w:cs="宋体"/>
          <w:color w:val="auto"/>
          <w:kern w:val="0"/>
          <w:sz w:val="24"/>
          <w:szCs w:val="24"/>
          <w:highlight w:val="none"/>
        </w:rPr>
        <w:t>投标</w:t>
      </w:r>
      <w:r>
        <w:rPr>
          <w:rFonts w:ascii="宋体" w:hAnsi="宋体" w:cs="宋体"/>
          <w:color w:val="auto"/>
          <w:kern w:val="0"/>
          <w:sz w:val="24"/>
          <w:szCs w:val="24"/>
          <w:highlight w:val="none"/>
        </w:rPr>
        <w:t>文件中未提供与之内容完全一致的</w:t>
      </w:r>
      <w:r>
        <w:rPr>
          <w:rFonts w:hint="eastAsia" w:ascii="宋体" w:hAnsi="宋体" w:cs="宋体"/>
          <w:color w:val="auto"/>
          <w:kern w:val="0"/>
          <w:sz w:val="24"/>
          <w:szCs w:val="24"/>
          <w:highlight w:val="none"/>
        </w:rPr>
        <w:t>扫描件</w:t>
      </w:r>
      <w:r>
        <w:rPr>
          <w:rFonts w:ascii="宋体" w:hAnsi="宋体" w:cs="宋体"/>
          <w:color w:val="auto"/>
          <w:kern w:val="0"/>
          <w:sz w:val="24"/>
          <w:szCs w:val="24"/>
          <w:highlight w:val="none"/>
        </w:rPr>
        <w:t>或</w:t>
      </w:r>
      <w:r>
        <w:rPr>
          <w:rFonts w:hint="eastAsia" w:ascii="宋体" w:hAnsi="宋体" w:cs="宋体"/>
          <w:color w:val="auto"/>
          <w:kern w:val="0"/>
          <w:sz w:val="24"/>
          <w:szCs w:val="24"/>
          <w:highlight w:val="none"/>
          <w:lang w:val="en-US" w:eastAsia="zh-CN"/>
        </w:rPr>
        <w:t>复印件</w:t>
      </w:r>
      <w:r>
        <w:rPr>
          <w:rFonts w:ascii="宋体" w:hAnsi="宋体" w:cs="宋体"/>
          <w:color w:val="auto"/>
          <w:kern w:val="0"/>
          <w:sz w:val="24"/>
          <w:szCs w:val="24"/>
          <w:highlight w:val="none"/>
        </w:rPr>
        <w:t>的，</w:t>
      </w:r>
      <w:r>
        <w:rPr>
          <w:rFonts w:hint="eastAsia" w:ascii="宋体" w:hAnsi="宋体" w:cs="宋体"/>
          <w:color w:val="auto"/>
          <w:kern w:val="0"/>
          <w:sz w:val="24"/>
          <w:szCs w:val="24"/>
          <w:highlight w:val="none"/>
        </w:rPr>
        <w:t>评标委员会</w:t>
      </w:r>
      <w:r>
        <w:rPr>
          <w:rFonts w:ascii="宋体" w:hAnsi="宋体" w:cs="宋体"/>
          <w:color w:val="auto"/>
          <w:kern w:val="0"/>
          <w:sz w:val="24"/>
          <w:szCs w:val="24"/>
          <w:highlight w:val="none"/>
        </w:rPr>
        <w:t>视同其未提供。</w:t>
      </w:r>
    </w:p>
    <w:p w14:paraId="3A3591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评标委员会</w:t>
      </w:r>
      <w:r>
        <w:rPr>
          <w:rFonts w:ascii="宋体" w:hAnsi="宋体" w:cs="宋体"/>
          <w:color w:val="auto"/>
          <w:kern w:val="0"/>
          <w:sz w:val="24"/>
          <w:szCs w:val="24"/>
          <w:highlight w:val="none"/>
        </w:rPr>
        <w:t>决定</w:t>
      </w:r>
      <w:r>
        <w:rPr>
          <w:rFonts w:hint="eastAsia" w:ascii="宋体" w:hAnsi="宋体" w:cs="宋体"/>
          <w:color w:val="auto"/>
          <w:kern w:val="0"/>
          <w:sz w:val="24"/>
          <w:szCs w:val="24"/>
          <w:highlight w:val="none"/>
        </w:rPr>
        <w:t>投标</w:t>
      </w:r>
      <w:r>
        <w:rPr>
          <w:rFonts w:ascii="宋体" w:hAnsi="宋体" w:cs="宋体"/>
          <w:color w:val="auto"/>
          <w:kern w:val="0"/>
          <w:sz w:val="24"/>
          <w:szCs w:val="24"/>
          <w:highlight w:val="none"/>
        </w:rPr>
        <w:t>文件的响应性及符合性只根据</w:t>
      </w:r>
      <w:r>
        <w:rPr>
          <w:rFonts w:hint="eastAsia" w:ascii="宋体" w:hAnsi="宋体" w:cs="宋体"/>
          <w:color w:val="auto"/>
          <w:kern w:val="0"/>
          <w:sz w:val="24"/>
          <w:szCs w:val="24"/>
          <w:highlight w:val="none"/>
        </w:rPr>
        <w:t>投标</w:t>
      </w:r>
      <w:r>
        <w:rPr>
          <w:rFonts w:ascii="宋体" w:hAnsi="宋体" w:cs="宋体"/>
          <w:color w:val="auto"/>
          <w:kern w:val="0"/>
          <w:sz w:val="24"/>
          <w:szCs w:val="24"/>
          <w:highlight w:val="none"/>
        </w:rPr>
        <w:t>文件本身的内容，而不寻求其他外部证据。</w:t>
      </w:r>
    </w:p>
    <w:p w14:paraId="3C6EFE04">
      <w:pPr>
        <w:spacing w:line="360" w:lineRule="auto"/>
        <w:ind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22.投标文件的澄清、说明或补正</w:t>
      </w:r>
    </w:p>
    <w:p w14:paraId="465B3C2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w:t>
      </w:r>
      <w:r>
        <w:rPr>
          <w:rFonts w:ascii="宋体" w:hAnsi="宋体"/>
          <w:color w:val="auto"/>
          <w:sz w:val="24"/>
          <w:szCs w:val="24"/>
          <w:highlight w:val="none"/>
        </w:rPr>
        <w:t>.</w:t>
      </w:r>
      <w:r>
        <w:rPr>
          <w:rFonts w:hint="eastAsia" w:ascii="宋体" w:hAnsi="宋体"/>
          <w:color w:val="auto"/>
          <w:sz w:val="24"/>
          <w:szCs w:val="24"/>
          <w:highlight w:val="none"/>
        </w:rPr>
        <w:t>1为有助于投标的审查、评价和比较，评标委员会可以书面方式要求</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对投标文件中含义不明确、对同类问题表述不一致或者有明显文字和计算错误的内容作必要的澄清、说明或补正。澄清、说明或补正应以书面方式进行并不得超出投标文件的范围或改变投标文件的实质性内容。</w:t>
      </w:r>
    </w:p>
    <w:p w14:paraId="3601086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22.2投标文件报价出现前后不一致的，除招标文件另有规定外，按照下列顺序修正：</w:t>
      </w:r>
    </w:p>
    <w:p w14:paraId="4746738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22.2.1开标一览表内容与投标文件相应内容不一致的，以开标一览表为准；</w:t>
      </w:r>
    </w:p>
    <w:p w14:paraId="194522E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22.2.2大写金额和小写金额不一致的，以大写金额为准；</w:t>
      </w:r>
    </w:p>
    <w:p w14:paraId="561880E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22.2.3单价金额小数点或者百分比有明显错位的，应以开标一览表的总价为准，并修改单价；</w:t>
      </w:r>
    </w:p>
    <w:p w14:paraId="68C6D7A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22.2.4总价金额与按单价汇总金额不一致的，以单价金额计算结果为准。</w:t>
      </w:r>
    </w:p>
    <w:p w14:paraId="322FC57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22.3修正后的报价经</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确认后产生约束力，</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不确认的，其投标无效。</w:t>
      </w:r>
    </w:p>
    <w:p w14:paraId="53995505">
      <w:pPr>
        <w:spacing w:line="360" w:lineRule="auto"/>
        <w:ind w:firstLine="472" w:firstLineChars="196"/>
        <w:rPr>
          <w:rFonts w:hint="eastAsia" w:ascii="宋体" w:hAnsi="宋体"/>
          <w:b/>
          <w:bCs/>
          <w:color w:val="auto"/>
          <w:sz w:val="24"/>
          <w:szCs w:val="24"/>
          <w:highlight w:val="none"/>
        </w:rPr>
      </w:pPr>
      <w:r>
        <w:rPr>
          <w:rFonts w:hint="eastAsia" w:ascii="宋体" w:hAnsi="宋体"/>
          <w:b/>
          <w:bCs/>
          <w:color w:val="auto"/>
          <w:sz w:val="24"/>
          <w:szCs w:val="24"/>
          <w:highlight w:val="none"/>
        </w:rPr>
        <w:t>23</w:t>
      </w:r>
      <w:r>
        <w:rPr>
          <w:rFonts w:hint="eastAsia" w:ascii="宋体" w:hAnsi="宋体"/>
          <w:b/>
          <w:color w:val="auto"/>
          <w:sz w:val="24"/>
          <w:szCs w:val="24"/>
          <w:highlight w:val="none"/>
        </w:rPr>
        <w:t>.</w:t>
      </w:r>
      <w:r>
        <w:rPr>
          <w:rFonts w:hint="eastAsia" w:ascii="宋体" w:hAnsi="宋体"/>
          <w:b/>
          <w:bCs/>
          <w:color w:val="auto"/>
          <w:sz w:val="24"/>
          <w:szCs w:val="24"/>
          <w:highlight w:val="none"/>
        </w:rPr>
        <w:t>废标处理及投标无效情形</w:t>
      </w:r>
    </w:p>
    <w:p w14:paraId="094176E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23.1在招标中，出现下列情形之一的，应对</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项目予以废标：</w:t>
      </w:r>
    </w:p>
    <w:p w14:paraId="6A221E0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23.1.1符合专业条件的</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或对招标文件作实质响应的</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不足规定家数的；</w:t>
      </w:r>
    </w:p>
    <w:p w14:paraId="658E9D9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23.1.2出现影响</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公正的违法、违规行为的；</w:t>
      </w:r>
    </w:p>
    <w:p w14:paraId="08DC39A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23.1.3因重大变故，</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任务取消的。</w:t>
      </w:r>
    </w:p>
    <w:p w14:paraId="4B3C9FE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废标后，</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会把废标理由通知所有</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w:t>
      </w:r>
    </w:p>
    <w:p w14:paraId="68C1ED0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23.2</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存在下列情况之一的，投标无效:</w:t>
      </w:r>
    </w:p>
    <w:p w14:paraId="0660A9D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23.2.1投标文件未按招标文件要求签署、盖章的；</w:t>
      </w:r>
    </w:p>
    <w:p w14:paraId="47D37BB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23.2.2不具备招标文件中规定的资格要求的；</w:t>
      </w:r>
    </w:p>
    <w:p w14:paraId="721AD9B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23.2.3报价超过招标文件中规定的预算金额或者最高限价的，</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可以支付的除外；</w:t>
      </w:r>
    </w:p>
    <w:p w14:paraId="6477A00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23.2.4投标文件含有</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不能接受的附加条件的；</w:t>
      </w:r>
    </w:p>
    <w:p w14:paraId="288F1BB6">
      <w:pPr>
        <w:spacing w:line="360" w:lineRule="auto"/>
        <w:ind w:firstLine="480" w:firstLineChars="200"/>
        <w:rPr>
          <w:rFonts w:hint="eastAsia" w:ascii="宋体" w:hAnsi="宋体"/>
          <w:b/>
          <w:bCs/>
          <w:color w:val="auto"/>
          <w:sz w:val="24"/>
          <w:szCs w:val="24"/>
          <w:highlight w:val="none"/>
        </w:rPr>
      </w:pPr>
      <w:r>
        <w:rPr>
          <w:rFonts w:hint="eastAsia" w:ascii="宋体" w:hAnsi="宋体"/>
          <w:color w:val="auto"/>
          <w:sz w:val="24"/>
          <w:szCs w:val="24"/>
          <w:highlight w:val="none"/>
        </w:rPr>
        <w:t>23.2.5法律、法规和招标文件规定的其他无效情形。</w:t>
      </w:r>
    </w:p>
    <w:p w14:paraId="76A091A9">
      <w:pPr>
        <w:pStyle w:val="3"/>
        <w:keepNext/>
        <w:keepLines/>
        <w:pageBreakBefore w:val="0"/>
        <w:widowControl w:val="0"/>
        <w:kinsoku/>
        <w:wordWrap/>
        <w:overflowPunct/>
        <w:topLinePunct w:val="0"/>
        <w:autoSpaceDE/>
        <w:autoSpaceDN/>
        <w:bidi w:val="0"/>
        <w:adjustRightInd/>
        <w:snapToGrid/>
        <w:spacing w:before="140" w:after="140" w:line="360" w:lineRule="auto"/>
        <w:ind w:firstLine="0"/>
        <w:textAlignment w:val="auto"/>
        <w:rPr>
          <w:rFonts w:hint="eastAsia" w:ascii="宋体" w:hAnsi="宋体" w:eastAsia="宋体" w:cs="宋体"/>
          <w:b/>
          <w:bCs/>
          <w:color w:val="auto"/>
          <w:sz w:val="24"/>
          <w:szCs w:val="24"/>
          <w:highlight w:val="none"/>
        </w:rPr>
      </w:pPr>
      <w:bookmarkStart w:id="124" w:name="_Toc516969091"/>
      <w:bookmarkStart w:id="125" w:name="_Toc457942813"/>
      <w:bookmarkStart w:id="126" w:name="_Toc11061"/>
      <w:bookmarkStart w:id="127" w:name="_Toc21495"/>
      <w:r>
        <w:rPr>
          <w:rFonts w:hint="eastAsia" w:ascii="宋体" w:hAnsi="宋体" w:eastAsia="宋体" w:cs="宋体"/>
          <w:b/>
          <w:bCs/>
          <w:color w:val="auto"/>
          <w:sz w:val="24"/>
          <w:szCs w:val="24"/>
          <w:highlight w:val="none"/>
        </w:rPr>
        <w:t>六、定标与签订合同</w:t>
      </w:r>
      <w:bookmarkEnd w:id="124"/>
      <w:bookmarkEnd w:id="125"/>
      <w:bookmarkEnd w:id="126"/>
      <w:bookmarkEnd w:id="127"/>
    </w:p>
    <w:p w14:paraId="75B84CC5">
      <w:pPr>
        <w:spacing w:line="360" w:lineRule="auto"/>
        <w:ind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24.定标</w:t>
      </w:r>
    </w:p>
    <w:p w14:paraId="56E6AF9D">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24</w:t>
      </w:r>
      <w:r>
        <w:rPr>
          <w:rFonts w:ascii="宋体" w:hAnsi="宋体"/>
          <w:color w:val="auto"/>
          <w:sz w:val="24"/>
          <w:szCs w:val="24"/>
          <w:highlight w:val="none"/>
        </w:rPr>
        <w:t>.</w:t>
      </w:r>
      <w:r>
        <w:rPr>
          <w:rFonts w:hint="eastAsia" w:ascii="宋体" w:hAnsi="宋体"/>
          <w:color w:val="auto"/>
          <w:sz w:val="24"/>
          <w:szCs w:val="24"/>
          <w:highlight w:val="none"/>
        </w:rPr>
        <w:t>1投标有效性评审后，</w:t>
      </w:r>
      <w:r>
        <w:rPr>
          <w:rFonts w:hint="eastAsia" w:ascii="宋体" w:hAnsi="宋体" w:eastAsia="宋体" w:cs="Times New Roman"/>
          <w:color w:val="auto"/>
          <w:sz w:val="24"/>
          <w:szCs w:val="24"/>
          <w:highlight w:val="none"/>
          <w:lang w:val="en-US" w:eastAsia="zh-CN"/>
        </w:rPr>
        <w:t>评标委员会依据招标文件规定的评标标准和方法，对合格投标文件分别进行评审和比较，通过评审的综合评分得分最高的投标人为第一名，即第一中标候选人；综合得分次低、第三低的投标人依次作为第二中标候选人和第三中标候选人。如出现两家或两家以上投标人得分相同时，报价低者排名在前；如报价再相同，则由评标委员会确定中标候选人排序。</w:t>
      </w:r>
    </w:p>
    <w:p w14:paraId="25E73CCE">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24.2招标人根据评标委员会提交的书面评标报告推荐的中标候选人，依据法律法规规章等规定确定中标人。招标人也可以授权评标委员会依据法律法规规章等规定直接确定中标人。</w:t>
      </w:r>
    </w:p>
    <w:p w14:paraId="20402D67">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24.3评标委员会经评审，认为所有投标都不符合招标文件要求的，应列出具体理由依法否决所有投标。所有投标被否决后，招标人应当依法重新招标。</w:t>
      </w:r>
    </w:p>
    <w:p w14:paraId="0D0CEEE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w:t>
      </w:r>
      <w:r>
        <w:rPr>
          <w:rFonts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eastAsia="宋体" w:cs="宋体"/>
          <w:color w:val="auto"/>
          <w:sz w:val="24"/>
          <w:szCs w:val="24"/>
          <w:highlight w:val="none"/>
          <w:u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E42D1A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w:t>
      </w:r>
      <w:r>
        <w:rPr>
          <w:rFonts w:hint="eastAsia" w:ascii="宋体" w:hAnsi="宋体"/>
          <w:color w:val="auto"/>
          <w:sz w:val="24"/>
          <w:szCs w:val="24"/>
          <w:highlight w:val="none"/>
          <w:lang w:val="en-US" w:eastAsia="zh-CN"/>
        </w:rPr>
        <w:t>5招标人不承诺将合同授予报价最低的投标人。招标人在发出中标通知书前，有权依据评标委员会的评标报告和法规规定拒绝不合格的投标。</w:t>
      </w:r>
    </w:p>
    <w:p w14:paraId="0E7D5F8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凡发现中标候选</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有下列行为之一的，其中标无效，并移交监督管理部门依法处理：</w:t>
      </w:r>
    </w:p>
    <w:p w14:paraId="695977C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.1以他人名义投标或提供虚假材料弄虚作假谋取中标的；</w:t>
      </w:r>
    </w:p>
    <w:p w14:paraId="0DE0E6D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.1.1以他人名义投标，是指使用通过受让或者租借等方式获取的资格、资质证书投标。</w:t>
      </w:r>
    </w:p>
    <w:p w14:paraId="03A94D9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.1.2</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有下列情形之一的，属于提供弄虚作假的行为：</w:t>
      </w:r>
    </w:p>
    <w:p w14:paraId="1D3511A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.1.2.1使用伪造、变造的许可证件；</w:t>
      </w:r>
    </w:p>
    <w:p w14:paraId="15BA836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.1.2.2提供虚假的财务状况或者业绩；</w:t>
      </w:r>
    </w:p>
    <w:p w14:paraId="34D4F5D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.1.2.3提供虚假的项目负责人或者主要技术人员简历、劳动关系证明；</w:t>
      </w:r>
    </w:p>
    <w:p w14:paraId="6DB479A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.1.2.4提供虚假的信用状况；</w:t>
      </w:r>
    </w:p>
    <w:p w14:paraId="0CD07C7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.1.2.5其他弄虚作假的行为。</w:t>
      </w:r>
    </w:p>
    <w:p w14:paraId="7D5A1E6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.2与</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、其他</w:t>
      </w:r>
      <w:r>
        <w:rPr>
          <w:rFonts w:hint="eastAsia" w:ascii="宋体" w:hAnsi="宋体"/>
          <w:color w:val="auto"/>
          <w:sz w:val="24"/>
          <w:szCs w:val="24"/>
          <w:highlight w:val="none"/>
          <w:lang w:val="en-US" w:eastAsia="zh-CN"/>
        </w:rPr>
        <w:t>投标人</w:t>
      </w:r>
      <w:r>
        <w:rPr>
          <w:rFonts w:hint="eastAsia" w:ascii="宋体" w:hAnsi="宋体"/>
          <w:color w:val="auto"/>
          <w:sz w:val="24"/>
          <w:szCs w:val="24"/>
          <w:highlight w:val="none"/>
        </w:rPr>
        <w:t>或者</w:t>
      </w:r>
      <w:r>
        <w:rPr>
          <w:rFonts w:hint="eastAsia" w:ascii="宋体" w:hAnsi="宋体"/>
          <w:color w:val="auto"/>
          <w:sz w:val="24"/>
          <w:szCs w:val="24"/>
          <w:highlight w:val="none"/>
          <w:lang w:eastAsia="zh-CN"/>
        </w:rPr>
        <w:t>招标代理机构</w:t>
      </w:r>
      <w:r>
        <w:rPr>
          <w:rFonts w:hint="eastAsia" w:ascii="宋体" w:hAnsi="宋体"/>
          <w:color w:val="auto"/>
          <w:sz w:val="24"/>
          <w:szCs w:val="24"/>
          <w:highlight w:val="none"/>
        </w:rPr>
        <w:t>工作人员恶意串通的；</w:t>
      </w:r>
    </w:p>
    <w:p w14:paraId="6248CA4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.3向</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、评审专家、</w:t>
      </w:r>
      <w:r>
        <w:rPr>
          <w:rFonts w:hint="eastAsia" w:ascii="宋体" w:hAnsi="宋体"/>
          <w:color w:val="auto"/>
          <w:sz w:val="24"/>
          <w:szCs w:val="24"/>
          <w:highlight w:val="none"/>
          <w:lang w:eastAsia="zh-CN"/>
        </w:rPr>
        <w:t>招标代理机构</w:t>
      </w:r>
      <w:r>
        <w:rPr>
          <w:rFonts w:hint="eastAsia" w:ascii="宋体" w:hAnsi="宋体"/>
          <w:color w:val="auto"/>
          <w:sz w:val="24"/>
          <w:szCs w:val="24"/>
          <w:highlight w:val="none"/>
        </w:rPr>
        <w:t>工作人员行贿或者提供其他不正当利益的；</w:t>
      </w:r>
    </w:p>
    <w:p w14:paraId="79C4114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.4有法律、法规规定的其他损害</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利益和社会公共利益情形的；</w:t>
      </w:r>
    </w:p>
    <w:p w14:paraId="0A49DC2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.5其他违反法律、法规和规章强制性规定的行为。</w:t>
      </w:r>
    </w:p>
    <w:p w14:paraId="75649301">
      <w:pPr>
        <w:spacing w:line="360" w:lineRule="auto"/>
        <w:ind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25.中标通知书</w:t>
      </w:r>
    </w:p>
    <w:p w14:paraId="5C487839">
      <w:pPr>
        <w:spacing w:line="360" w:lineRule="auto"/>
        <w:ind w:firstLine="470" w:firstLineChars="196"/>
        <w:rPr>
          <w:rFonts w:ascii="宋体" w:hAnsi="宋体"/>
          <w:color w:val="auto"/>
          <w:sz w:val="24"/>
          <w:szCs w:val="24"/>
          <w:highlight w:val="none"/>
        </w:rPr>
      </w:pPr>
      <w:r>
        <w:rPr>
          <w:rFonts w:hint="eastAsia" w:ascii="宋体" w:hAnsi="宋体"/>
          <w:color w:val="auto"/>
          <w:sz w:val="24"/>
          <w:szCs w:val="24"/>
          <w:highlight w:val="none"/>
        </w:rPr>
        <w:t>25</w:t>
      </w:r>
      <w:r>
        <w:rPr>
          <w:rFonts w:ascii="宋体" w:hAnsi="宋体"/>
          <w:color w:val="auto"/>
          <w:sz w:val="24"/>
          <w:szCs w:val="24"/>
          <w:highlight w:val="none"/>
        </w:rPr>
        <w:t>.1</w:t>
      </w:r>
      <w:r>
        <w:rPr>
          <w:rFonts w:ascii="宋体" w:hAnsi="宋体"/>
          <w:color w:val="auto"/>
          <w:sz w:val="24"/>
          <w:szCs w:val="24"/>
          <w:highlight w:val="none"/>
          <w:lang w:val="en-US" w:eastAsia="zh-CN"/>
        </w:rPr>
        <w:t>中标人确定后，招标人将在六安市公共资源交易平台</w:t>
      </w:r>
      <w:r>
        <w:rPr>
          <w:rFonts w:hint="eastAsia" w:ascii="宋体" w:hAnsi="宋体"/>
          <w:color w:val="auto"/>
          <w:sz w:val="24"/>
          <w:szCs w:val="24"/>
          <w:highlight w:val="none"/>
          <w:lang w:val="en-US" w:eastAsia="zh-CN"/>
        </w:rPr>
        <w:t>网站</w:t>
      </w:r>
      <w:r>
        <w:rPr>
          <w:rFonts w:ascii="宋体" w:hAnsi="宋体"/>
          <w:color w:val="auto"/>
          <w:sz w:val="24"/>
          <w:szCs w:val="24"/>
          <w:highlight w:val="none"/>
          <w:lang w:val="en-US" w:eastAsia="zh-CN"/>
        </w:rPr>
        <w:t>公示，公</w:t>
      </w:r>
      <w:r>
        <w:rPr>
          <w:rFonts w:hint="eastAsia" w:ascii="宋体" w:hAnsi="宋体"/>
          <w:color w:val="auto"/>
          <w:sz w:val="24"/>
          <w:szCs w:val="24"/>
          <w:highlight w:val="none"/>
          <w:lang w:val="en-US" w:eastAsia="zh-CN"/>
        </w:rPr>
        <w:t>示期为三个工作日，未发现中标人在招标投标活动中有违法行为的，招标人将向中标人按程序办理和发放中标通知书。招标人将在发出中标通知书的同时，将中标结果通知所有未中标的投标人。</w:t>
      </w:r>
    </w:p>
    <w:p w14:paraId="582A34E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25</w:t>
      </w:r>
      <w:r>
        <w:rPr>
          <w:rFonts w:ascii="宋体" w:hAnsi="宋体"/>
          <w:color w:val="auto"/>
          <w:sz w:val="24"/>
          <w:szCs w:val="24"/>
          <w:highlight w:val="none"/>
        </w:rPr>
        <w:t>.</w:t>
      </w:r>
      <w:r>
        <w:rPr>
          <w:rFonts w:hint="eastAsia" w:ascii="宋体" w:hAnsi="宋体"/>
          <w:color w:val="auto"/>
          <w:sz w:val="24"/>
          <w:szCs w:val="24"/>
          <w:highlight w:val="none"/>
        </w:rPr>
        <w:t>2</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对未中标的</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不做未中标原因的解释。</w:t>
      </w:r>
    </w:p>
    <w:p w14:paraId="5AF97C7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olor w:val="auto"/>
          <w:sz w:val="24"/>
          <w:szCs w:val="24"/>
          <w:highlight w:val="none"/>
        </w:rPr>
      </w:pPr>
      <w:r>
        <w:rPr>
          <w:rFonts w:hint="eastAsia" w:ascii="宋体" w:hAnsi="宋体"/>
          <w:b/>
          <w:color w:val="auto"/>
          <w:sz w:val="24"/>
          <w:szCs w:val="24"/>
          <w:highlight w:val="none"/>
        </w:rPr>
        <w:t xml:space="preserve">26.中标服务费 </w:t>
      </w:r>
      <w:r>
        <w:rPr>
          <w:rFonts w:hint="eastAsia" w:ascii="宋体" w:hAnsi="宋体"/>
          <w:color w:val="auto"/>
          <w:sz w:val="24"/>
          <w:szCs w:val="24"/>
          <w:highlight w:val="none"/>
        </w:rPr>
        <w:t>详见</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须知前附表</w:t>
      </w:r>
    </w:p>
    <w:p w14:paraId="551E45E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b/>
          <w:color w:val="auto"/>
          <w:sz w:val="24"/>
          <w:szCs w:val="24"/>
          <w:highlight w:val="none"/>
        </w:rPr>
      </w:pPr>
      <w:r>
        <w:rPr>
          <w:rFonts w:hint="eastAsia" w:ascii="宋体" w:hAnsi="宋体"/>
          <w:b/>
          <w:color w:val="auto"/>
          <w:sz w:val="24"/>
          <w:szCs w:val="24"/>
          <w:highlight w:val="none"/>
        </w:rPr>
        <w:t>27.履约保证金</w:t>
      </w:r>
    </w:p>
    <w:p w14:paraId="5459B71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27</w:t>
      </w:r>
      <w:r>
        <w:rPr>
          <w:rFonts w:ascii="宋体" w:hAnsi="宋体"/>
          <w:color w:val="auto"/>
          <w:sz w:val="24"/>
          <w:szCs w:val="24"/>
          <w:highlight w:val="none"/>
        </w:rPr>
        <w:t>.1</w:t>
      </w:r>
      <w:r>
        <w:rPr>
          <w:rFonts w:hint="eastAsia" w:ascii="宋体" w:hAnsi="宋体"/>
          <w:color w:val="auto"/>
          <w:sz w:val="24"/>
          <w:szCs w:val="24"/>
          <w:highlight w:val="none"/>
        </w:rPr>
        <w:t>签订合同前，</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应提交履约保证金。履约保证金金额、收受方式及收受人见</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须知前附表规定。</w:t>
      </w:r>
    </w:p>
    <w:p w14:paraId="7B76C2D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27.2</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须知前附表约定免收履约保证金的，从其规定。</w:t>
      </w:r>
    </w:p>
    <w:p w14:paraId="69475DA1">
      <w:pPr>
        <w:spacing w:line="360" w:lineRule="auto"/>
        <w:ind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28.签订合同</w:t>
      </w:r>
    </w:p>
    <w:p w14:paraId="75A3731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28.1</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应尽量缩短合同签订时间，不得晚于中标通知书发放之日起 7 个工作日。无正当理由不得拒绝或者拖延签订合同，因</w:t>
      </w:r>
      <w:r>
        <w:rPr>
          <w:rFonts w:hint="eastAsia" w:ascii="宋体" w:hAnsi="宋体"/>
          <w:color w:val="auto"/>
          <w:sz w:val="24"/>
          <w:szCs w:val="24"/>
          <w:highlight w:val="none"/>
          <w:lang w:val="en-US" w:eastAsia="zh-CN"/>
        </w:rPr>
        <w:t>投标人</w:t>
      </w:r>
      <w:r>
        <w:rPr>
          <w:rFonts w:hint="eastAsia" w:ascii="宋体" w:hAnsi="宋体"/>
          <w:color w:val="auto"/>
          <w:sz w:val="24"/>
          <w:szCs w:val="24"/>
          <w:highlight w:val="none"/>
        </w:rPr>
        <w:t>自身原因导致无法及时签订的除外。招标文件、</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的投标文件及澄清文件等，均作为合同的附件。合同签订前</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应向</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出示履约保证金缴纳证明。</w:t>
      </w:r>
    </w:p>
    <w:p w14:paraId="01F10D0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28.2 双方必须严格按照招标文件、投标文件及有关承诺签订合同，不得擅自变更。合同的标的、价款、质量、履行期限等主要条款应当与招标文件和</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的投标文件的内容一致，</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和</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不得再行订立背离合同实质性内容的其他协议。</w:t>
      </w:r>
    </w:p>
    <w:p w14:paraId="052A205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28.3因政策变化等原因不能签订合同，造成企业合法利益受损的情形，</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可以与</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充分协商，给予合理补偿。</w:t>
      </w:r>
    </w:p>
    <w:p w14:paraId="3FF3CC8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28.4</w:t>
      </w:r>
      <w:r>
        <w:rPr>
          <w:rFonts w:hint="eastAsia" w:ascii="宋体" w:hAnsi="宋体" w:eastAsia="宋体" w:cs="宋体"/>
          <w:color w:val="auto"/>
          <w:sz w:val="24"/>
          <w:highlight w:val="none"/>
        </w:rPr>
        <w:t>中标人无正当理由拒签合同的，取消其中标资格</w:t>
      </w:r>
      <w:r>
        <w:rPr>
          <w:rFonts w:hint="eastAsia" w:ascii="宋体" w:hAnsi="宋体" w:eastAsia="宋体" w:cs="宋体"/>
          <w:color w:val="auto"/>
          <w:sz w:val="24"/>
          <w:highlight w:val="none"/>
          <w:lang w:val="en-US" w:eastAsia="zh-CN"/>
        </w:rPr>
        <w:t>并按照相关法律法规规定对中标人进行处理</w:t>
      </w:r>
      <w:r>
        <w:rPr>
          <w:rFonts w:hint="eastAsia" w:ascii="宋体" w:hAnsi="宋体" w:eastAsia="宋体" w:cs="宋体"/>
          <w:color w:val="auto"/>
          <w:sz w:val="24"/>
          <w:highlight w:val="none"/>
        </w:rPr>
        <w:t>，给招标人造成损失的，中标人应当予以赔偿。</w:t>
      </w:r>
    </w:p>
    <w:p w14:paraId="7F696209">
      <w:pPr>
        <w:spacing w:line="360" w:lineRule="auto"/>
        <w:ind w:firstLine="472" w:firstLineChars="196"/>
        <w:rPr>
          <w:rFonts w:hint="eastAsia" w:ascii="宋体" w:hAnsi="宋体"/>
          <w:color w:val="auto"/>
          <w:sz w:val="24"/>
          <w:szCs w:val="24"/>
          <w:highlight w:val="none"/>
        </w:rPr>
      </w:pPr>
      <w:r>
        <w:rPr>
          <w:rFonts w:hint="eastAsia" w:ascii="宋体" w:hAnsi="宋体"/>
          <w:b/>
          <w:color w:val="auto"/>
          <w:sz w:val="24"/>
          <w:szCs w:val="24"/>
          <w:highlight w:val="none"/>
        </w:rPr>
        <w:t>29.验收与支付</w:t>
      </w:r>
    </w:p>
    <w:p w14:paraId="765CAAE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29.1</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应当在项目完成且收到</w:t>
      </w:r>
      <w:r>
        <w:rPr>
          <w:rFonts w:hint="eastAsia" w:ascii="宋体" w:hAnsi="宋体"/>
          <w:bCs/>
          <w:color w:val="auto"/>
          <w:sz w:val="24"/>
          <w:szCs w:val="24"/>
          <w:highlight w:val="none"/>
          <w:lang w:eastAsia="zh-CN"/>
        </w:rPr>
        <w:t>中标人</w:t>
      </w:r>
      <w:r>
        <w:rPr>
          <w:rFonts w:hint="eastAsia" w:ascii="宋体" w:hAnsi="宋体"/>
          <w:bCs/>
          <w:color w:val="auto"/>
          <w:sz w:val="24"/>
          <w:szCs w:val="24"/>
          <w:highlight w:val="none"/>
        </w:rPr>
        <w:t>验收申请后 5 个工作日内组织开展履约验收。</w:t>
      </w:r>
    </w:p>
    <w:p w14:paraId="02C5598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29.2</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验收时，应成立三人以上（由资产管理人、技术人员等相关人员组成）验收小组，明确责任，严格依照招标文件、中标通知书、合同及相关验收规范进行核对、验收，形成验收结论，并出具书面验收报告。</w:t>
      </w:r>
    </w:p>
    <w:p w14:paraId="20D0935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29.3涉及安全、消防、环保等其他需要由质检或行业主管部门进行验收的项目，必须邀请相关部门或相关专家参与验收。</w:t>
      </w:r>
    </w:p>
    <w:p w14:paraId="5CFCF4C5">
      <w:pPr>
        <w:spacing w:line="360" w:lineRule="auto"/>
        <w:ind w:firstLine="472" w:firstLineChars="196"/>
        <w:rPr>
          <w:rFonts w:hint="eastAsia" w:ascii="宋体" w:hAnsi="宋体"/>
          <w:color w:val="auto"/>
          <w:sz w:val="24"/>
          <w:szCs w:val="24"/>
          <w:highlight w:val="none"/>
        </w:rPr>
      </w:pPr>
      <w:r>
        <w:rPr>
          <w:rFonts w:hint="eastAsia" w:ascii="宋体" w:hAnsi="宋体"/>
          <w:b/>
          <w:color w:val="auto"/>
          <w:sz w:val="24"/>
          <w:szCs w:val="24"/>
          <w:highlight w:val="none"/>
        </w:rPr>
        <w:t xml:space="preserve">31.未尽事宜  </w:t>
      </w:r>
      <w:r>
        <w:rPr>
          <w:rFonts w:hint="eastAsia" w:ascii="宋体" w:hAnsi="宋体"/>
          <w:color w:val="auto"/>
          <w:sz w:val="24"/>
          <w:szCs w:val="24"/>
          <w:highlight w:val="none"/>
        </w:rPr>
        <w:t>按</w:t>
      </w:r>
      <w:r>
        <w:rPr>
          <w:rFonts w:hint="eastAsia" w:ascii="宋体" w:hAnsi="宋体"/>
          <w:color w:val="auto"/>
          <w:sz w:val="24"/>
          <w:szCs w:val="24"/>
          <w:highlight w:val="none"/>
          <w:lang w:val="en-US" w:eastAsia="zh-CN"/>
        </w:rPr>
        <w:t>相关</w:t>
      </w:r>
      <w:r>
        <w:rPr>
          <w:rFonts w:hint="eastAsia" w:ascii="宋体" w:hAnsi="宋体"/>
          <w:color w:val="auto"/>
          <w:sz w:val="24"/>
          <w:szCs w:val="24"/>
          <w:highlight w:val="none"/>
        </w:rPr>
        <w:t>法律法规的规定执行。</w:t>
      </w:r>
    </w:p>
    <w:p w14:paraId="0D5027FE">
      <w:pPr>
        <w:spacing w:line="360" w:lineRule="auto"/>
        <w:ind w:firstLine="472" w:firstLineChars="196"/>
        <w:rPr>
          <w:rFonts w:hint="eastAsia" w:ascii="宋体" w:hAnsi="宋体"/>
          <w:color w:val="auto"/>
          <w:sz w:val="24"/>
          <w:szCs w:val="24"/>
          <w:highlight w:val="none"/>
        </w:rPr>
      </w:pPr>
      <w:r>
        <w:rPr>
          <w:rFonts w:hint="eastAsia" w:ascii="宋体" w:hAnsi="宋体"/>
          <w:b/>
          <w:color w:val="auto"/>
          <w:sz w:val="24"/>
          <w:szCs w:val="24"/>
          <w:highlight w:val="none"/>
        </w:rPr>
        <w:t xml:space="preserve">32.解释权  </w:t>
      </w:r>
      <w:r>
        <w:rPr>
          <w:rFonts w:hint="eastAsia" w:ascii="宋体" w:hAnsi="宋体"/>
          <w:color w:val="auto"/>
          <w:sz w:val="24"/>
          <w:szCs w:val="24"/>
          <w:highlight w:val="none"/>
        </w:rPr>
        <w:t>本招标文件的解释权属于</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w:t>
      </w:r>
    </w:p>
    <w:p w14:paraId="4C4CA7D9">
      <w:pPr>
        <w:spacing w:line="360" w:lineRule="auto"/>
        <w:ind w:firstLine="470" w:firstLineChars="196"/>
        <w:rPr>
          <w:rFonts w:hint="eastAsia" w:ascii="宋体" w:hAnsi="宋体"/>
          <w:color w:val="auto"/>
          <w:sz w:val="24"/>
          <w:szCs w:val="24"/>
          <w:highlight w:val="none"/>
        </w:rPr>
      </w:pPr>
    </w:p>
    <w:p w14:paraId="47CB6696">
      <w:pPr>
        <w:spacing w:line="360" w:lineRule="auto"/>
        <w:ind w:firstLine="470" w:firstLineChars="196"/>
        <w:rPr>
          <w:rFonts w:hint="eastAsia" w:ascii="宋体" w:hAnsi="宋体"/>
          <w:color w:val="auto"/>
          <w:sz w:val="24"/>
          <w:szCs w:val="24"/>
          <w:highlight w:val="none"/>
        </w:rPr>
      </w:pPr>
    </w:p>
    <w:p w14:paraId="223430DF">
      <w:pPr>
        <w:spacing w:line="360" w:lineRule="auto"/>
        <w:ind w:firstLine="470" w:firstLineChars="196"/>
        <w:rPr>
          <w:rFonts w:hint="eastAsia" w:ascii="宋体" w:hAnsi="宋体"/>
          <w:color w:val="auto"/>
          <w:sz w:val="24"/>
          <w:szCs w:val="24"/>
          <w:highlight w:val="none"/>
        </w:rPr>
      </w:pPr>
    </w:p>
    <w:p w14:paraId="20E5FBD7">
      <w:pPr>
        <w:spacing w:line="360" w:lineRule="auto"/>
        <w:ind w:firstLine="470" w:firstLineChars="196"/>
        <w:rPr>
          <w:rFonts w:hint="eastAsia" w:ascii="宋体" w:hAnsi="宋体"/>
          <w:color w:val="auto"/>
          <w:sz w:val="24"/>
          <w:szCs w:val="24"/>
          <w:highlight w:val="none"/>
        </w:rPr>
      </w:pPr>
    </w:p>
    <w:p w14:paraId="0879DDC8">
      <w:pPr>
        <w:spacing w:line="360" w:lineRule="auto"/>
        <w:ind w:firstLine="470" w:firstLineChars="196"/>
        <w:rPr>
          <w:rFonts w:hint="eastAsia" w:ascii="宋体" w:hAnsi="宋体"/>
          <w:color w:val="auto"/>
          <w:sz w:val="24"/>
          <w:szCs w:val="24"/>
          <w:highlight w:val="none"/>
        </w:rPr>
      </w:pPr>
    </w:p>
    <w:p w14:paraId="433C400B">
      <w:pPr>
        <w:spacing w:line="360" w:lineRule="auto"/>
        <w:ind w:firstLine="470" w:firstLineChars="196"/>
        <w:rPr>
          <w:rFonts w:hint="eastAsia" w:ascii="宋体" w:hAnsi="宋体"/>
          <w:color w:val="auto"/>
          <w:sz w:val="24"/>
          <w:szCs w:val="24"/>
          <w:highlight w:val="none"/>
        </w:rPr>
      </w:pPr>
    </w:p>
    <w:p w14:paraId="692F28D1">
      <w:pPr>
        <w:spacing w:line="360" w:lineRule="auto"/>
        <w:ind w:firstLine="470" w:firstLineChars="196"/>
        <w:rPr>
          <w:rFonts w:hint="eastAsia" w:ascii="宋体" w:hAnsi="宋体"/>
          <w:color w:val="auto"/>
          <w:sz w:val="24"/>
          <w:szCs w:val="24"/>
          <w:highlight w:val="none"/>
        </w:rPr>
      </w:pPr>
    </w:p>
    <w:p w14:paraId="0EDC3B80">
      <w:pPr>
        <w:spacing w:line="360" w:lineRule="auto"/>
        <w:ind w:firstLine="470" w:firstLineChars="196"/>
        <w:rPr>
          <w:rFonts w:hint="eastAsia" w:ascii="宋体" w:hAnsi="宋体"/>
          <w:color w:val="auto"/>
          <w:sz w:val="24"/>
          <w:szCs w:val="24"/>
          <w:highlight w:val="none"/>
        </w:rPr>
      </w:pPr>
    </w:p>
    <w:p w14:paraId="5449423D">
      <w:pPr>
        <w:spacing w:line="360" w:lineRule="auto"/>
        <w:ind w:firstLine="470" w:firstLineChars="196"/>
        <w:rPr>
          <w:rFonts w:hint="eastAsia" w:ascii="宋体" w:hAnsi="宋体"/>
          <w:color w:val="auto"/>
          <w:sz w:val="24"/>
          <w:szCs w:val="24"/>
          <w:highlight w:val="none"/>
        </w:rPr>
      </w:pPr>
    </w:p>
    <w:p w14:paraId="59710302">
      <w:pPr>
        <w:spacing w:line="360" w:lineRule="auto"/>
        <w:ind w:firstLine="470" w:firstLineChars="196"/>
        <w:rPr>
          <w:rFonts w:hint="eastAsia" w:ascii="宋体" w:hAnsi="宋体"/>
          <w:color w:val="auto"/>
          <w:sz w:val="24"/>
          <w:szCs w:val="24"/>
          <w:highlight w:val="none"/>
        </w:rPr>
      </w:pPr>
    </w:p>
    <w:p w14:paraId="49112D1C">
      <w:pPr>
        <w:spacing w:line="360" w:lineRule="auto"/>
        <w:ind w:firstLine="470" w:firstLineChars="196"/>
        <w:rPr>
          <w:rFonts w:hint="eastAsia" w:ascii="宋体" w:hAnsi="宋体"/>
          <w:color w:val="auto"/>
          <w:sz w:val="24"/>
          <w:szCs w:val="24"/>
          <w:highlight w:val="none"/>
        </w:rPr>
      </w:pPr>
    </w:p>
    <w:p w14:paraId="47CB6A21">
      <w:pPr>
        <w:spacing w:line="360" w:lineRule="auto"/>
        <w:ind w:firstLine="470" w:firstLineChars="196"/>
        <w:rPr>
          <w:rFonts w:hint="eastAsia" w:ascii="宋体" w:hAnsi="宋体"/>
          <w:color w:val="auto"/>
          <w:sz w:val="24"/>
          <w:szCs w:val="24"/>
          <w:highlight w:val="none"/>
        </w:rPr>
      </w:pPr>
    </w:p>
    <w:p w14:paraId="3B79612F">
      <w:pPr>
        <w:spacing w:line="360" w:lineRule="auto"/>
        <w:ind w:firstLine="470" w:firstLineChars="196"/>
        <w:rPr>
          <w:rFonts w:hint="eastAsia" w:ascii="宋体" w:hAnsi="宋体"/>
          <w:color w:val="auto"/>
          <w:sz w:val="24"/>
          <w:szCs w:val="24"/>
          <w:highlight w:val="none"/>
        </w:rPr>
      </w:pPr>
    </w:p>
    <w:p w14:paraId="3B39AD84">
      <w:pPr>
        <w:spacing w:line="360" w:lineRule="auto"/>
        <w:ind w:firstLine="470" w:firstLineChars="196"/>
        <w:rPr>
          <w:rFonts w:hint="eastAsia" w:ascii="宋体" w:hAnsi="宋体"/>
          <w:color w:val="auto"/>
          <w:sz w:val="24"/>
          <w:szCs w:val="24"/>
          <w:highlight w:val="none"/>
        </w:rPr>
      </w:pPr>
    </w:p>
    <w:p w14:paraId="208EFA36">
      <w:pPr>
        <w:spacing w:line="360" w:lineRule="auto"/>
        <w:ind w:firstLine="470" w:firstLineChars="196"/>
        <w:rPr>
          <w:rFonts w:hint="eastAsia" w:ascii="宋体" w:hAnsi="宋体"/>
          <w:color w:val="auto"/>
          <w:sz w:val="24"/>
          <w:szCs w:val="24"/>
          <w:highlight w:val="none"/>
        </w:rPr>
      </w:pPr>
    </w:p>
    <w:p w14:paraId="0CCFC065">
      <w:pPr>
        <w:spacing w:line="360" w:lineRule="auto"/>
        <w:ind w:firstLine="470" w:firstLineChars="196"/>
        <w:rPr>
          <w:rFonts w:hint="eastAsia" w:ascii="宋体" w:hAnsi="宋体"/>
          <w:color w:val="auto"/>
          <w:sz w:val="24"/>
          <w:szCs w:val="24"/>
          <w:highlight w:val="none"/>
        </w:rPr>
      </w:pPr>
    </w:p>
    <w:p w14:paraId="1D3CD845">
      <w:pPr>
        <w:pStyle w:val="70"/>
        <w:rPr>
          <w:rFonts w:hint="eastAsia" w:ascii="宋体" w:hAnsi="宋体"/>
          <w:color w:val="auto"/>
          <w:sz w:val="24"/>
          <w:szCs w:val="24"/>
          <w:highlight w:val="none"/>
        </w:rPr>
      </w:pPr>
    </w:p>
    <w:p w14:paraId="38831373">
      <w:pPr>
        <w:pStyle w:val="70"/>
        <w:rPr>
          <w:rFonts w:hint="eastAsia" w:ascii="宋体" w:hAnsi="宋体"/>
          <w:color w:val="auto"/>
          <w:sz w:val="24"/>
          <w:szCs w:val="24"/>
          <w:highlight w:val="none"/>
        </w:rPr>
      </w:pPr>
    </w:p>
    <w:p w14:paraId="2AEADC36">
      <w:pPr>
        <w:pStyle w:val="70"/>
        <w:rPr>
          <w:rFonts w:hint="eastAsia" w:ascii="宋体" w:hAnsi="宋体"/>
          <w:color w:val="auto"/>
          <w:sz w:val="24"/>
          <w:szCs w:val="24"/>
          <w:highlight w:val="none"/>
        </w:rPr>
      </w:pPr>
    </w:p>
    <w:p w14:paraId="48607126">
      <w:pPr>
        <w:pStyle w:val="70"/>
        <w:rPr>
          <w:rFonts w:hint="eastAsia" w:ascii="宋体" w:hAnsi="宋体"/>
          <w:color w:val="auto"/>
          <w:sz w:val="24"/>
          <w:szCs w:val="24"/>
          <w:highlight w:val="none"/>
        </w:rPr>
      </w:pPr>
    </w:p>
    <w:p w14:paraId="0ED8696C">
      <w:pPr>
        <w:pStyle w:val="70"/>
        <w:rPr>
          <w:rFonts w:hint="eastAsia" w:ascii="宋体" w:hAnsi="宋体"/>
          <w:color w:val="auto"/>
          <w:sz w:val="24"/>
          <w:szCs w:val="24"/>
          <w:highlight w:val="none"/>
        </w:rPr>
      </w:pPr>
    </w:p>
    <w:p w14:paraId="3F6EF1F1">
      <w:pPr>
        <w:pStyle w:val="70"/>
        <w:rPr>
          <w:rFonts w:hint="eastAsia" w:ascii="宋体" w:hAnsi="宋体"/>
          <w:color w:val="auto"/>
          <w:sz w:val="24"/>
          <w:szCs w:val="24"/>
          <w:highlight w:val="none"/>
        </w:rPr>
      </w:pPr>
    </w:p>
    <w:p w14:paraId="25D85145">
      <w:pPr>
        <w:pStyle w:val="70"/>
        <w:rPr>
          <w:rFonts w:hint="eastAsia" w:ascii="宋体" w:hAnsi="宋体"/>
          <w:color w:val="auto"/>
          <w:sz w:val="24"/>
          <w:szCs w:val="24"/>
          <w:highlight w:val="none"/>
        </w:rPr>
      </w:pPr>
    </w:p>
    <w:p w14:paraId="35B145B4">
      <w:pPr>
        <w:pStyle w:val="70"/>
        <w:rPr>
          <w:rFonts w:hint="eastAsia" w:ascii="宋体" w:hAnsi="宋体"/>
          <w:color w:val="auto"/>
          <w:sz w:val="24"/>
          <w:szCs w:val="24"/>
          <w:highlight w:val="none"/>
        </w:rPr>
      </w:pPr>
    </w:p>
    <w:p w14:paraId="3BE49207">
      <w:pPr>
        <w:pStyle w:val="70"/>
        <w:rPr>
          <w:rFonts w:hint="eastAsia" w:ascii="宋体" w:hAnsi="宋体"/>
          <w:color w:val="auto"/>
          <w:sz w:val="24"/>
          <w:szCs w:val="24"/>
          <w:highlight w:val="none"/>
        </w:rPr>
      </w:pPr>
    </w:p>
    <w:p w14:paraId="0AFA8761">
      <w:pPr>
        <w:pStyle w:val="70"/>
        <w:rPr>
          <w:rFonts w:hint="eastAsia" w:ascii="宋体" w:hAnsi="宋体"/>
          <w:color w:val="auto"/>
          <w:sz w:val="24"/>
          <w:szCs w:val="24"/>
          <w:highlight w:val="none"/>
        </w:rPr>
      </w:pPr>
    </w:p>
    <w:p w14:paraId="18B39DEB">
      <w:pPr>
        <w:pStyle w:val="2"/>
        <w:keepNext/>
        <w:keepLines/>
        <w:pageBreakBefore w:val="0"/>
        <w:widowControl w:val="0"/>
        <w:kinsoku/>
        <w:wordWrap/>
        <w:overflowPunct/>
        <w:topLinePunct w:val="0"/>
        <w:autoSpaceDE/>
        <w:autoSpaceDN/>
        <w:bidi w:val="0"/>
        <w:adjustRightInd/>
        <w:snapToGrid/>
        <w:spacing w:before="0" w:after="157" w:afterLines="50" w:line="360" w:lineRule="auto"/>
        <w:jc w:val="center"/>
        <w:textAlignment w:val="auto"/>
        <w:rPr>
          <w:rFonts w:hint="eastAsia" w:ascii="Times New Roman" w:hAnsi="Times New Roman" w:eastAsia="宋体" w:cs="Times New Roman"/>
          <w:b/>
          <w:bCs/>
          <w:color w:val="auto"/>
          <w:kern w:val="44"/>
          <w:sz w:val="32"/>
          <w:szCs w:val="48"/>
          <w:highlight w:val="none"/>
          <w:lang w:val="en-US" w:eastAsia="zh-CN"/>
        </w:rPr>
      </w:pPr>
      <w:bookmarkStart w:id="128" w:name="_Toc30700"/>
      <w:bookmarkStart w:id="129" w:name="_Toc12222"/>
      <w:bookmarkStart w:id="130" w:name="_Toc4344"/>
      <w:r>
        <w:rPr>
          <w:rFonts w:hint="eastAsia" w:ascii="Times New Roman" w:hAnsi="Times New Roman" w:eastAsia="宋体" w:cs="Times New Roman"/>
          <w:b/>
          <w:bCs/>
          <w:color w:val="auto"/>
          <w:kern w:val="44"/>
          <w:sz w:val="32"/>
          <w:szCs w:val="48"/>
          <w:highlight w:val="none"/>
          <w:lang w:val="en-US" w:eastAsia="zh-CN"/>
        </w:rPr>
        <w:t>第</w:t>
      </w:r>
      <w:bookmarkStart w:id="131" w:name="_Hlt240110027"/>
      <w:bookmarkEnd w:id="131"/>
      <w:r>
        <w:rPr>
          <w:rFonts w:hint="eastAsia" w:ascii="Times New Roman" w:hAnsi="Times New Roman" w:eastAsia="宋体" w:cs="Times New Roman"/>
          <w:b/>
          <w:bCs/>
          <w:color w:val="auto"/>
          <w:kern w:val="44"/>
          <w:sz w:val="32"/>
          <w:szCs w:val="48"/>
          <w:highlight w:val="none"/>
          <w:lang w:val="en-US" w:eastAsia="zh-CN"/>
        </w:rPr>
        <w:t>四章 评标办法</w:t>
      </w:r>
      <w:bookmarkEnd w:id="128"/>
      <w:bookmarkEnd w:id="129"/>
      <w:bookmarkEnd w:id="130"/>
    </w:p>
    <w:p w14:paraId="548E10F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宋体" w:hAnsi="宋体"/>
          <w:b/>
          <w:color w:val="auto"/>
          <w:sz w:val="24"/>
          <w:szCs w:val="24"/>
          <w:highlight w:val="none"/>
        </w:rPr>
      </w:pPr>
      <w:bookmarkStart w:id="132" w:name="_Toc21534"/>
      <w:bookmarkStart w:id="133" w:name="_Toc19524"/>
      <w:bookmarkStart w:id="134" w:name="_Toc22832"/>
      <w:r>
        <w:rPr>
          <w:rFonts w:hint="eastAsia" w:ascii="宋体" w:hAnsi="宋体"/>
          <w:b/>
          <w:color w:val="auto"/>
          <w:sz w:val="24"/>
          <w:szCs w:val="24"/>
          <w:highlight w:val="none"/>
        </w:rPr>
        <w:t>一、总则</w:t>
      </w:r>
      <w:bookmarkEnd w:id="132"/>
      <w:bookmarkEnd w:id="133"/>
      <w:bookmarkEnd w:id="134"/>
    </w:p>
    <w:p w14:paraId="746D26ED">
      <w:pPr>
        <w:keepNext w:val="0"/>
        <w:keepLines w:val="0"/>
        <w:pageBreakBefore w:val="0"/>
        <w:widowControl w:val="0"/>
        <w:kinsoku/>
        <w:wordWrap/>
        <w:overflowPunct/>
        <w:topLinePunct w:val="0"/>
        <w:autoSpaceDE/>
        <w:autoSpaceDN/>
        <w:bidi w:val="0"/>
        <w:adjustRightInd/>
        <w:snapToGrid/>
        <w:spacing w:line="360" w:lineRule="auto"/>
        <w:ind w:right="0" w:firstLine="472" w:firstLineChars="196"/>
        <w:textAlignment w:val="auto"/>
        <w:rPr>
          <w:rFonts w:hint="eastAsia" w:ascii="宋体" w:hAnsi="宋体"/>
          <w:color w:val="auto"/>
          <w:sz w:val="24"/>
          <w:szCs w:val="24"/>
          <w:highlight w:val="none"/>
        </w:rPr>
      </w:pPr>
      <w:r>
        <w:rPr>
          <w:rFonts w:hint="eastAsia" w:ascii="宋体" w:hAnsi="宋体"/>
          <w:b/>
          <w:bCs/>
          <w:color w:val="auto"/>
          <w:sz w:val="24"/>
          <w:szCs w:val="24"/>
          <w:highlight w:val="none"/>
        </w:rPr>
        <w:t>第一条</w:t>
      </w:r>
      <w:r>
        <w:rPr>
          <w:rFonts w:hint="eastAsia" w:ascii="宋体" w:hAnsi="宋体"/>
          <w:bCs/>
          <w:color w:val="auto"/>
          <w:sz w:val="24"/>
          <w:szCs w:val="24"/>
          <w:highlight w:val="none"/>
        </w:rPr>
        <w:t xml:space="preserve"> 为了做好本项目的招标评标工作，保证项目评审工作的正常有序进行，维护</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的合法权益，依据</w:t>
      </w:r>
      <w:r>
        <w:rPr>
          <w:rFonts w:hint="eastAsia" w:ascii="宋体" w:hAnsi="宋体"/>
          <w:bCs/>
          <w:color w:val="auto"/>
          <w:sz w:val="24"/>
          <w:szCs w:val="24"/>
          <w:highlight w:val="none"/>
          <w:lang w:val="en-US" w:eastAsia="zh-CN"/>
        </w:rPr>
        <w:t>相关</w:t>
      </w:r>
      <w:r>
        <w:rPr>
          <w:rFonts w:hint="eastAsia" w:ascii="宋体" w:hAnsi="宋体"/>
          <w:bCs/>
          <w:color w:val="auto"/>
          <w:sz w:val="24"/>
          <w:szCs w:val="24"/>
          <w:highlight w:val="none"/>
        </w:rPr>
        <w:t>法律法规，本着公开、公平、公正的原则，制定本评标办法。</w:t>
      </w:r>
    </w:p>
    <w:p w14:paraId="191B23D4">
      <w:pPr>
        <w:keepNext w:val="0"/>
        <w:keepLines w:val="0"/>
        <w:pageBreakBefore w:val="0"/>
        <w:widowControl w:val="0"/>
        <w:kinsoku/>
        <w:wordWrap/>
        <w:overflowPunct/>
        <w:topLinePunct w:val="0"/>
        <w:autoSpaceDE/>
        <w:autoSpaceDN/>
        <w:bidi w:val="0"/>
        <w:adjustRightInd/>
        <w:snapToGrid/>
        <w:spacing w:line="360" w:lineRule="auto"/>
        <w:ind w:right="0" w:firstLine="472" w:firstLineChars="196"/>
        <w:textAlignment w:val="auto"/>
        <w:rPr>
          <w:rFonts w:hint="eastAsia" w:ascii="宋体" w:hAnsi="宋体"/>
          <w:color w:val="auto"/>
          <w:sz w:val="24"/>
          <w:szCs w:val="24"/>
          <w:highlight w:val="none"/>
        </w:rPr>
      </w:pPr>
      <w:r>
        <w:rPr>
          <w:rFonts w:hint="eastAsia" w:ascii="宋体" w:hAnsi="宋体"/>
          <w:b/>
          <w:bCs/>
          <w:color w:val="auto"/>
          <w:sz w:val="24"/>
          <w:szCs w:val="24"/>
          <w:highlight w:val="none"/>
        </w:rPr>
        <w:t xml:space="preserve">第二条 </w:t>
      </w:r>
      <w:r>
        <w:rPr>
          <w:rFonts w:hint="eastAsia" w:ascii="宋体" w:hAnsi="宋体"/>
          <w:bCs/>
          <w:color w:val="auto"/>
          <w:sz w:val="24"/>
          <w:szCs w:val="24"/>
          <w:highlight w:val="none"/>
        </w:rPr>
        <w:t>本次项目评标办法采用综合评分法。</w:t>
      </w:r>
    </w:p>
    <w:p w14:paraId="52E334A0">
      <w:pPr>
        <w:keepNext w:val="0"/>
        <w:keepLines w:val="0"/>
        <w:pageBreakBefore w:val="0"/>
        <w:widowControl w:val="0"/>
        <w:kinsoku/>
        <w:wordWrap/>
        <w:overflowPunct/>
        <w:topLinePunct w:val="0"/>
        <w:autoSpaceDE/>
        <w:autoSpaceDN/>
        <w:bidi w:val="0"/>
        <w:adjustRightInd/>
        <w:snapToGrid/>
        <w:spacing w:line="360" w:lineRule="auto"/>
        <w:ind w:right="0" w:firstLine="472" w:firstLineChars="196"/>
        <w:textAlignment w:val="auto"/>
        <w:rPr>
          <w:rFonts w:hint="eastAsia" w:ascii="宋体" w:hAnsi="宋体"/>
          <w:bCs/>
          <w:color w:val="auto"/>
          <w:sz w:val="24"/>
          <w:szCs w:val="24"/>
          <w:highlight w:val="none"/>
        </w:rPr>
      </w:pPr>
      <w:r>
        <w:rPr>
          <w:rFonts w:hint="eastAsia" w:ascii="宋体" w:hAnsi="宋体"/>
          <w:b/>
          <w:bCs/>
          <w:color w:val="auto"/>
          <w:sz w:val="24"/>
          <w:szCs w:val="24"/>
          <w:highlight w:val="none"/>
        </w:rPr>
        <w:t>第三条</w:t>
      </w:r>
      <w:r>
        <w:rPr>
          <w:rFonts w:hint="eastAsia" w:ascii="宋体" w:hAnsi="宋体"/>
          <w:bCs/>
          <w:color w:val="auto"/>
          <w:sz w:val="24"/>
          <w:szCs w:val="24"/>
          <w:highlight w:val="none"/>
        </w:rPr>
        <w:t xml:space="preserve"> 本项目将依法组建不少于5人组成的评标委员会，负责本项目的评标工作。</w:t>
      </w:r>
      <w:r>
        <w:rPr>
          <w:rFonts w:hint="eastAsia" w:ascii="宋体" w:hAnsi="宋体" w:eastAsia="宋体" w:cs="Times New Roman"/>
          <w:bCs/>
          <w:color w:val="auto"/>
          <w:sz w:val="24"/>
          <w:szCs w:val="24"/>
          <w:highlight w:val="none"/>
          <w:lang w:val="en-US" w:eastAsia="zh-CN"/>
        </w:rPr>
        <w:t>招标人（代理机构）确定本项目评标委员会</w:t>
      </w:r>
      <w:r>
        <w:rPr>
          <w:rFonts w:hint="eastAsia" w:ascii="宋体" w:hAnsi="宋体" w:eastAsia="宋体" w:cs="Times New Roman"/>
          <w:bCs/>
          <w:color w:val="auto"/>
          <w:sz w:val="24"/>
          <w:szCs w:val="24"/>
          <w:highlight w:val="none"/>
          <w:u w:val="none"/>
          <w:lang w:val="en-US" w:eastAsia="zh-CN"/>
        </w:rPr>
        <w:t>7</w:t>
      </w:r>
      <w:r>
        <w:rPr>
          <w:rFonts w:hint="eastAsia" w:ascii="宋体" w:hAnsi="宋体" w:eastAsia="宋体" w:cs="Times New Roman"/>
          <w:bCs/>
          <w:color w:val="auto"/>
          <w:sz w:val="24"/>
          <w:szCs w:val="24"/>
          <w:highlight w:val="none"/>
          <w:lang w:val="en-US" w:eastAsia="zh-CN"/>
        </w:rPr>
        <w:t>人，其中专家评委5人，招标人代表2人。</w:t>
      </w:r>
    </w:p>
    <w:p w14:paraId="502F2FE3">
      <w:pPr>
        <w:keepNext w:val="0"/>
        <w:keepLines w:val="0"/>
        <w:pageBreakBefore w:val="0"/>
        <w:widowControl w:val="0"/>
        <w:kinsoku/>
        <w:wordWrap/>
        <w:overflowPunct/>
        <w:topLinePunct w:val="0"/>
        <w:autoSpaceDE/>
        <w:autoSpaceDN/>
        <w:bidi w:val="0"/>
        <w:adjustRightInd/>
        <w:snapToGrid/>
        <w:spacing w:line="360" w:lineRule="auto"/>
        <w:ind w:right="0" w:firstLine="472" w:firstLineChars="196"/>
        <w:textAlignment w:val="auto"/>
        <w:rPr>
          <w:rFonts w:hint="eastAsia" w:ascii="宋体" w:hAnsi="宋体"/>
          <w:bCs/>
          <w:color w:val="auto"/>
          <w:sz w:val="24"/>
          <w:szCs w:val="24"/>
          <w:highlight w:val="none"/>
        </w:rPr>
      </w:pPr>
      <w:r>
        <w:rPr>
          <w:rFonts w:hint="eastAsia" w:ascii="宋体" w:hAnsi="宋体"/>
          <w:b/>
          <w:bCs/>
          <w:color w:val="auto"/>
          <w:sz w:val="24"/>
          <w:szCs w:val="24"/>
          <w:highlight w:val="none"/>
        </w:rPr>
        <w:t>第四条</w:t>
      </w:r>
      <w:r>
        <w:rPr>
          <w:rFonts w:hint="eastAsia" w:ascii="宋体" w:hAnsi="宋体"/>
          <w:bCs/>
          <w:color w:val="auto"/>
          <w:sz w:val="24"/>
          <w:szCs w:val="24"/>
          <w:highlight w:val="none"/>
        </w:rPr>
        <w:t xml:space="preserve"> 评标委员会按照“公平、公正、科学、择优”的原则，评价参加本次招标的</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所提供的产品价格、性能、质量、服务及对招标文件的符合性及响应性。</w:t>
      </w:r>
    </w:p>
    <w:p w14:paraId="1B7E8B82">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1"/>
        <w:rPr>
          <w:rFonts w:hint="eastAsia" w:ascii="宋体" w:hAnsi="宋体"/>
          <w:color w:val="auto"/>
          <w:sz w:val="24"/>
          <w:szCs w:val="24"/>
          <w:highlight w:val="none"/>
        </w:rPr>
      </w:pPr>
      <w:bookmarkStart w:id="135" w:name="_Toc22351"/>
      <w:bookmarkStart w:id="136" w:name="_Toc29134"/>
      <w:bookmarkStart w:id="137" w:name="_Toc11483"/>
      <w:r>
        <w:rPr>
          <w:rFonts w:hint="eastAsia" w:ascii="宋体" w:hAnsi="宋体"/>
          <w:b/>
          <w:color w:val="auto"/>
          <w:sz w:val="24"/>
          <w:szCs w:val="24"/>
          <w:highlight w:val="none"/>
        </w:rPr>
        <w:t>二、评标程序及评审细则</w:t>
      </w:r>
      <w:bookmarkEnd w:id="135"/>
      <w:bookmarkEnd w:id="136"/>
      <w:bookmarkEnd w:id="137"/>
    </w:p>
    <w:p w14:paraId="79634657">
      <w:pPr>
        <w:keepNext w:val="0"/>
        <w:keepLines w:val="0"/>
        <w:pageBreakBefore w:val="0"/>
        <w:widowControl w:val="0"/>
        <w:kinsoku/>
        <w:wordWrap/>
        <w:overflowPunct/>
        <w:topLinePunct w:val="0"/>
        <w:autoSpaceDE/>
        <w:autoSpaceDN/>
        <w:bidi w:val="0"/>
        <w:adjustRightInd/>
        <w:snapToGrid/>
        <w:spacing w:line="360" w:lineRule="auto"/>
        <w:ind w:right="0" w:firstLine="472" w:firstLineChars="196"/>
        <w:textAlignment w:val="auto"/>
        <w:rPr>
          <w:rFonts w:hint="eastAsia" w:ascii="宋体" w:hAnsi="宋体"/>
          <w:color w:val="auto"/>
          <w:sz w:val="24"/>
          <w:szCs w:val="24"/>
          <w:highlight w:val="none"/>
        </w:rPr>
      </w:pPr>
      <w:r>
        <w:rPr>
          <w:rFonts w:hint="eastAsia" w:ascii="宋体" w:hAnsi="宋体"/>
          <w:b/>
          <w:color w:val="auto"/>
          <w:sz w:val="24"/>
          <w:szCs w:val="24"/>
          <w:highlight w:val="none"/>
        </w:rPr>
        <w:t>第五条</w:t>
      </w:r>
      <w:r>
        <w:rPr>
          <w:rFonts w:hint="eastAsia" w:ascii="宋体" w:hAnsi="宋体"/>
          <w:color w:val="auto"/>
          <w:sz w:val="24"/>
          <w:szCs w:val="24"/>
          <w:highlight w:val="none"/>
        </w:rPr>
        <w:t xml:space="preserve"> 评标工作于开标后进行。评标委员会应认真研究招标文件，至少应了解和熟悉以下内容：</w:t>
      </w:r>
    </w:p>
    <w:p w14:paraId="1F41540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（一）招标的目标；</w:t>
      </w:r>
    </w:p>
    <w:p w14:paraId="708A99E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（二）招标项目的范围和性质；</w:t>
      </w:r>
    </w:p>
    <w:p w14:paraId="4B39694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（三）招标文件中规定的主要技术要求、标准和商务条款；</w:t>
      </w:r>
    </w:p>
    <w:p w14:paraId="4FB74EB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（四）招标文件规定的评标标准、评标方法和在评标过程中考虑的相关因素。</w:t>
      </w:r>
    </w:p>
    <w:p w14:paraId="5C1BA53C">
      <w:pPr>
        <w:keepNext w:val="0"/>
        <w:keepLines w:val="0"/>
        <w:pageBreakBefore w:val="0"/>
        <w:widowControl w:val="0"/>
        <w:kinsoku/>
        <w:wordWrap/>
        <w:overflowPunct/>
        <w:topLinePunct w:val="0"/>
        <w:autoSpaceDE/>
        <w:autoSpaceDN/>
        <w:bidi w:val="0"/>
        <w:adjustRightInd/>
        <w:snapToGrid/>
        <w:spacing w:line="360" w:lineRule="auto"/>
        <w:ind w:right="0" w:firstLine="472" w:firstLineChars="196"/>
        <w:textAlignment w:val="auto"/>
        <w:rPr>
          <w:rFonts w:hint="eastAsia" w:ascii="宋体" w:hAnsi="宋体"/>
          <w:color w:val="auto"/>
          <w:sz w:val="24"/>
          <w:szCs w:val="24"/>
          <w:highlight w:val="none"/>
        </w:rPr>
      </w:pPr>
      <w:r>
        <w:rPr>
          <w:rFonts w:hint="eastAsia" w:ascii="宋体" w:hAnsi="宋体"/>
          <w:b/>
          <w:color w:val="auto"/>
          <w:sz w:val="24"/>
          <w:szCs w:val="24"/>
          <w:highlight w:val="none"/>
        </w:rPr>
        <w:t>第六条</w:t>
      </w:r>
      <w:r>
        <w:rPr>
          <w:rFonts w:hint="eastAsia" w:ascii="宋体" w:hAnsi="宋体"/>
          <w:color w:val="auto"/>
          <w:sz w:val="24"/>
          <w:szCs w:val="24"/>
          <w:highlight w:val="none"/>
        </w:rPr>
        <w:t xml:space="preserve"> 有效投标应符合以下原则：</w:t>
      </w:r>
    </w:p>
    <w:p w14:paraId="0C33BB0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（一）满足招标文件的实质性要求；</w:t>
      </w:r>
    </w:p>
    <w:p w14:paraId="33EFE88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（二）无重大偏离、保留或</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不能接受的附加条件；</w:t>
      </w:r>
    </w:p>
    <w:p w14:paraId="672A465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（三）通过投标有效性评审；</w:t>
      </w:r>
    </w:p>
    <w:p w14:paraId="522CC18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（四）评标委员会依据招标文件认定的其他原则。</w:t>
      </w:r>
    </w:p>
    <w:p w14:paraId="3E8B9D84">
      <w:pPr>
        <w:keepNext w:val="0"/>
        <w:keepLines w:val="0"/>
        <w:pageBreakBefore w:val="0"/>
        <w:widowControl w:val="0"/>
        <w:kinsoku/>
        <w:wordWrap/>
        <w:overflowPunct/>
        <w:topLinePunct w:val="0"/>
        <w:autoSpaceDE/>
        <w:autoSpaceDN/>
        <w:bidi w:val="0"/>
        <w:adjustRightInd/>
        <w:snapToGrid/>
        <w:spacing w:line="360" w:lineRule="auto"/>
        <w:ind w:right="0" w:firstLine="472" w:firstLineChars="196"/>
        <w:textAlignment w:val="auto"/>
        <w:rPr>
          <w:rFonts w:hint="eastAsia" w:ascii="宋体" w:hAnsi="宋体"/>
          <w:color w:val="auto"/>
          <w:sz w:val="24"/>
          <w:szCs w:val="24"/>
          <w:highlight w:val="none"/>
        </w:rPr>
      </w:pPr>
      <w:r>
        <w:rPr>
          <w:rFonts w:hint="eastAsia" w:ascii="宋体" w:hAnsi="宋体"/>
          <w:b/>
          <w:color w:val="auto"/>
          <w:sz w:val="24"/>
          <w:szCs w:val="24"/>
          <w:highlight w:val="none"/>
        </w:rPr>
        <w:t xml:space="preserve">第七条 </w:t>
      </w:r>
      <w:r>
        <w:rPr>
          <w:rFonts w:hint="eastAsia" w:ascii="宋体" w:hAnsi="宋体"/>
          <w:color w:val="auto"/>
          <w:sz w:val="24"/>
          <w:szCs w:val="24"/>
          <w:highlight w:val="none"/>
        </w:rPr>
        <w:t>评标委员会遵循公开、公平、公正和科学诚信的原则，按照招标文件规定的评标办法对投标文件采用相同程序和标准独立进行评定。</w:t>
      </w:r>
    </w:p>
    <w:p w14:paraId="56FD37D5">
      <w:pPr>
        <w:keepNext w:val="0"/>
        <w:keepLines w:val="0"/>
        <w:pageBreakBefore w:val="0"/>
        <w:widowControl w:val="0"/>
        <w:kinsoku/>
        <w:wordWrap/>
        <w:overflowPunct/>
        <w:topLinePunct w:val="0"/>
        <w:autoSpaceDE/>
        <w:autoSpaceDN/>
        <w:bidi w:val="0"/>
        <w:adjustRightInd/>
        <w:snapToGrid/>
        <w:spacing w:line="360" w:lineRule="auto"/>
        <w:ind w:right="0" w:firstLine="472" w:firstLineChars="196"/>
        <w:textAlignment w:val="auto"/>
        <w:rPr>
          <w:rFonts w:hint="eastAsia" w:ascii="宋体" w:hAnsi="宋体"/>
          <w:color w:val="auto"/>
          <w:sz w:val="24"/>
          <w:szCs w:val="24"/>
          <w:highlight w:val="none"/>
        </w:rPr>
      </w:pPr>
      <w:r>
        <w:rPr>
          <w:rFonts w:hint="eastAsia" w:ascii="宋体" w:hAnsi="宋体"/>
          <w:b/>
          <w:color w:val="auto"/>
          <w:sz w:val="24"/>
          <w:szCs w:val="24"/>
          <w:highlight w:val="none"/>
        </w:rPr>
        <w:t xml:space="preserve">第八条 </w:t>
      </w:r>
      <w:r>
        <w:rPr>
          <w:rFonts w:hint="eastAsia" w:ascii="宋体" w:hAnsi="宋体"/>
          <w:color w:val="auto"/>
          <w:sz w:val="24"/>
          <w:szCs w:val="24"/>
          <w:highlight w:val="none"/>
        </w:rPr>
        <w:t>评审中，评标委员会发现</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的投标文件中对同类问题表述不一致、前后矛盾、有明显文字和计算错误的内容、有可能不符合招标文件规定等情况需要澄清时，评标委员会将以询标的方式告知并要求</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以书面方式进行必要的澄清、说明或补正。对于询标后判定为不符合招标文件的投标文件，评标委员会要提出充足的否定理由，并予以书面记录。最终对</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的评审结论分为通过和未通过。</w:t>
      </w:r>
    </w:p>
    <w:p w14:paraId="6CA3D1D6">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ascii="宋体" w:hAnsi="宋体"/>
          <w:b/>
          <w:bCs/>
          <w:color w:val="auto"/>
          <w:sz w:val="24"/>
          <w:szCs w:val="24"/>
          <w:highlight w:val="none"/>
        </w:rPr>
      </w:pPr>
      <w:r>
        <w:rPr>
          <w:rFonts w:hint="eastAsia" w:ascii="宋体" w:hAnsi="宋体"/>
          <w:b/>
          <w:bCs/>
          <w:color w:val="auto"/>
          <w:sz w:val="24"/>
          <w:szCs w:val="24"/>
          <w:highlight w:val="none"/>
        </w:rPr>
        <w:t>询标函格式如下：</w:t>
      </w:r>
    </w:p>
    <w:p w14:paraId="297337BC">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询标函</w:t>
      </w:r>
    </w:p>
    <w:p w14:paraId="2DC9FAE5">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p w14:paraId="6DC16C53">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项目编号：</w:t>
      </w:r>
    </w:p>
    <w:p w14:paraId="73E3F97D">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日期：                                       </w:t>
      </w:r>
    </w:p>
    <w:tbl>
      <w:tblPr>
        <w:tblStyle w:val="40"/>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233"/>
      </w:tblGrid>
      <w:tr w14:paraId="2C1C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531" w:type="dxa"/>
            <w:noWrap w:val="0"/>
            <w:vAlign w:val="center"/>
          </w:tcPr>
          <w:p w14:paraId="217B0E96">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询标内容</w:t>
            </w:r>
          </w:p>
          <w:p w14:paraId="132D50D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（由评委填写）</w:t>
            </w:r>
          </w:p>
        </w:tc>
        <w:tc>
          <w:tcPr>
            <w:tcW w:w="8233" w:type="dxa"/>
            <w:noWrap w:val="0"/>
            <w:vAlign w:val="center"/>
          </w:tcPr>
          <w:p w14:paraId="6BF99070">
            <w:pPr>
              <w:jc w:val="both"/>
              <w:rPr>
                <w:rFonts w:hint="eastAsia" w:ascii="宋体" w:hAnsi="宋体" w:cs="宋体"/>
                <w:color w:val="auto"/>
                <w:sz w:val="24"/>
                <w:szCs w:val="24"/>
                <w:highlight w:val="none"/>
              </w:rPr>
            </w:pPr>
          </w:p>
        </w:tc>
      </w:tr>
      <w:tr w14:paraId="4F55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jc w:val="center"/>
        </w:trPr>
        <w:tc>
          <w:tcPr>
            <w:tcW w:w="1531" w:type="dxa"/>
            <w:noWrap w:val="0"/>
            <w:vAlign w:val="center"/>
          </w:tcPr>
          <w:p w14:paraId="54670A42">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的意见</w:t>
            </w:r>
          </w:p>
          <w:p w14:paraId="7CF935D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（作出确认或</w:t>
            </w:r>
            <w:r>
              <w:rPr>
                <w:rFonts w:ascii="宋体" w:hAnsi="宋体"/>
                <w:color w:val="auto"/>
                <w:sz w:val="24"/>
                <w:szCs w:val="24"/>
                <w:highlight w:val="none"/>
              </w:rPr>
              <w:t>说明、纠正、补充、承诺</w:t>
            </w:r>
            <w:r>
              <w:rPr>
                <w:rFonts w:hint="eastAsia" w:ascii="宋体" w:hAnsi="宋体"/>
                <w:color w:val="auto"/>
                <w:sz w:val="24"/>
                <w:szCs w:val="24"/>
                <w:highlight w:val="none"/>
              </w:rPr>
              <w:t>等意见）</w:t>
            </w:r>
          </w:p>
        </w:tc>
        <w:tc>
          <w:tcPr>
            <w:tcW w:w="8233" w:type="dxa"/>
            <w:noWrap w:val="0"/>
            <w:vAlign w:val="center"/>
          </w:tcPr>
          <w:p w14:paraId="5AC8E07D">
            <w:pPr>
              <w:jc w:val="center"/>
              <w:rPr>
                <w:rFonts w:hint="eastAsia" w:ascii="宋体" w:hAnsi="宋体" w:cs="宋体"/>
                <w:color w:val="auto"/>
                <w:sz w:val="24"/>
                <w:szCs w:val="24"/>
                <w:highlight w:val="none"/>
              </w:rPr>
            </w:pPr>
          </w:p>
          <w:p w14:paraId="79AF634E">
            <w:pPr>
              <w:jc w:val="center"/>
              <w:rPr>
                <w:rFonts w:hint="eastAsia" w:ascii="宋体" w:hAnsi="宋体" w:cs="宋体"/>
                <w:color w:val="auto"/>
                <w:sz w:val="24"/>
                <w:szCs w:val="24"/>
                <w:highlight w:val="none"/>
              </w:rPr>
            </w:pPr>
          </w:p>
          <w:p w14:paraId="026B9A9D">
            <w:pPr>
              <w:jc w:val="center"/>
              <w:rPr>
                <w:rFonts w:hint="eastAsia" w:ascii="宋体" w:hAnsi="宋体" w:cs="宋体"/>
                <w:color w:val="auto"/>
                <w:sz w:val="24"/>
                <w:szCs w:val="24"/>
                <w:highlight w:val="none"/>
              </w:rPr>
            </w:pPr>
          </w:p>
          <w:p w14:paraId="1F66FA4E">
            <w:pPr>
              <w:jc w:val="center"/>
              <w:rPr>
                <w:rFonts w:hint="eastAsia" w:ascii="宋体" w:hAnsi="宋体" w:cs="宋体"/>
                <w:color w:val="auto"/>
                <w:sz w:val="24"/>
                <w:szCs w:val="24"/>
                <w:highlight w:val="none"/>
              </w:rPr>
            </w:pPr>
          </w:p>
          <w:p w14:paraId="57182EF6">
            <w:pPr>
              <w:jc w:val="center"/>
              <w:rPr>
                <w:rFonts w:hint="eastAsia" w:ascii="宋体" w:hAnsi="宋体" w:cs="宋体"/>
                <w:color w:val="auto"/>
                <w:sz w:val="24"/>
                <w:szCs w:val="24"/>
                <w:highlight w:val="none"/>
              </w:rPr>
            </w:pPr>
          </w:p>
          <w:p w14:paraId="71910ED9">
            <w:pP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法定代表人或其委托代理人签字：</w:t>
            </w:r>
          </w:p>
          <w:p w14:paraId="629C9CB4">
            <w:pP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法定代表人或其委托代理人身份证号：</w:t>
            </w:r>
          </w:p>
          <w:p w14:paraId="7FC35D37">
            <w:pP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签字日期：    年   月  日</w:t>
            </w:r>
          </w:p>
        </w:tc>
      </w:tr>
      <w:tr w14:paraId="71B3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531" w:type="dxa"/>
            <w:noWrap w:val="0"/>
            <w:vAlign w:val="center"/>
          </w:tcPr>
          <w:p w14:paraId="3218366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w:t>
            </w:r>
          </w:p>
          <w:p w14:paraId="3D8F668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结论意见</w:t>
            </w:r>
          </w:p>
        </w:tc>
        <w:tc>
          <w:tcPr>
            <w:tcW w:w="8233" w:type="dxa"/>
            <w:noWrap w:val="0"/>
            <w:vAlign w:val="center"/>
          </w:tcPr>
          <w:p w14:paraId="625D9EBA">
            <w:pPr>
              <w:jc w:val="center"/>
              <w:rPr>
                <w:rFonts w:hint="eastAsia" w:ascii="宋体" w:hAnsi="宋体" w:cs="宋体"/>
                <w:color w:val="auto"/>
                <w:sz w:val="24"/>
                <w:szCs w:val="24"/>
                <w:highlight w:val="none"/>
              </w:rPr>
            </w:pPr>
          </w:p>
          <w:p w14:paraId="06221577">
            <w:pPr>
              <w:rPr>
                <w:rFonts w:hint="eastAsia" w:ascii="宋体" w:hAnsi="宋体" w:cs="宋体"/>
                <w:color w:val="auto"/>
                <w:sz w:val="24"/>
                <w:szCs w:val="24"/>
                <w:highlight w:val="none"/>
              </w:rPr>
            </w:pPr>
          </w:p>
          <w:p w14:paraId="26027A75">
            <w:pPr>
              <w:rPr>
                <w:rFonts w:hint="eastAsia" w:ascii="宋体" w:hAnsi="宋体" w:cs="宋体"/>
                <w:color w:val="auto"/>
                <w:sz w:val="24"/>
                <w:szCs w:val="24"/>
                <w:highlight w:val="none"/>
              </w:rPr>
            </w:pPr>
          </w:p>
          <w:p w14:paraId="07FE2234">
            <w:pPr>
              <w:rPr>
                <w:rFonts w:hint="eastAsia" w:ascii="宋体" w:hAnsi="宋体" w:cs="宋体"/>
                <w:color w:val="auto"/>
                <w:sz w:val="24"/>
                <w:szCs w:val="24"/>
                <w:highlight w:val="none"/>
              </w:rPr>
            </w:pPr>
            <w:r>
              <w:rPr>
                <w:rFonts w:hint="eastAsia" w:ascii="宋体" w:hAnsi="宋体" w:cs="宋体"/>
                <w:color w:val="auto"/>
                <w:sz w:val="24"/>
                <w:szCs w:val="24"/>
                <w:highlight w:val="none"/>
              </w:rPr>
              <w:t>各评委签字：</w:t>
            </w:r>
          </w:p>
          <w:p w14:paraId="27BE35C7">
            <w:pP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签字日期：    年   月  日</w:t>
            </w:r>
          </w:p>
        </w:tc>
      </w:tr>
      <w:tr w14:paraId="36F7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531" w:type="dxa"/>
            <w:noWrap w:val="0"/>
            <w:vAlign w:val="center"/>
          </w:tcPr>
          <w:p w14:paraId="38C3B5D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代表</w:t>
            </w:r>
          </w:p>
          <w:p w14:paraId="34C53206">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意见</w:t>
            </w:r>
          </w:p>
        </w:tc>
        <w:tc>
          <w:tcPr>
            <w:tcW w:w="8233" w:type="dxa"/>
            <w:noWrap w:val="0"/>
            <w:vAlign w:val="center"/>
          </w:tcPr>
          <w:p w14:paraId="2B4E312B">
            <w:pPr>
              <w:jc w:val="center"/>
              <w:rPr>
                <w:rFonts w:hint="eastAsia" w:ascii="宋体" w:hAnsi="宋体" w:cs="宋体"/>
                <w:color w:val="auto"/>
                <w:sz w:val="24"/>
                <w:szCs w:val="24"/>
                <w:highlight w:val="none"/>
              </w:rPr>
            </w:pPr>
          </w:p>
          <w:p w14:paraId="6FBC23D3">
            <w:pPr>
              <w:rPr>
                <w:rFonts w:hint="eastAsia" w:ascii="宋体" w:hAnsi="宋体" w:cs="宋体"/>
                <w:color w:val="auto"/>
                <w:sz w:val="24"/>
                <w:szCs w:val="24"/>
                <w:highlight w:val="none"/>
              </w:rPr>
            </w:pPr>
          </w:p>
          <w:p w14:paraId="6AEE8CAF">
            <w:pPr>
              <w:ind w:firstLine="7920" w:firstLineChars="33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签字：</w:t>
            </w:r>
            <w:r>
              <w:rPr>
                <w:rFonts w:hint="eastAsia"/>
                <w:color w:val="auto"/>
                <w:sz w:val="24"/>
                <w:szCs w:val="24"/>
                <w:highlight w:val="none"/>
              </w:rPr>
              <w:t xml:space="preserve">                  </w:t>
            </w:r>
            <w:r>
              <w:rPr>
                <w:rFonts w:hint="eastAsia" w:ascii="宋体" w:hAnsi="宋体" w:cs="宋体"/>
                <w:color w:val="auto"/>
                <w:sz w:val="24"/>
                <w:szCs w:val="24"/>
                <w:highlight w:val="none"/>
              </w:rPr>
              <w:t xml:space="preserve">                                                  </w:t>
            </w:r>
          </w:p>
          <w:p w14:paraId="1B255CB7">
            <w:pPr>
              <w:ind w:firstLine="5040" w:firstLineChars="2100"/>
              <w:rPr>
                <w:rFonts w:hint="eastAsia"/>
                <w:color w:val="auto"/>
                <w:sz w:val="24"/>
                <w:szCs w:val="24"/>
                <w:highlight w:val="none"/>
              </w:rPr>
            </w:pPr>
            <w:r>
              <w:rPr>
                <w:rFonts w:hint="eastAsia" w:ascii="宋体" w:hAnsi="宋体" w:cs="宋体"/>
                <w:color w:val="auto"/>
                <w:sz w:val="24"/>
                <w:szCs w:val="24"/>
                <w:highlight w:val="none"/>
              </w:rPr>
              <w:t>签字日期：    年   月  日</w:t>
            </w:r>
          </w:p>
        </w:tc>
      </w:tr>
      <w:tr w14:paraId="2168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531" w:type="dxa"/>
            <w:noWrap w:val="0"/>
            <w:vAlign w:val="center"/>
          </w:tcPr>
          <w:p w14:paraId="5AFEFD90">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监督人员</w:t>
            </w:r>
          </w:p>
          <w:p w14:paraId="687E95D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意见</w:t>
            </w:r>
          </w:p>
        </w:tc>
        <w:tc>
          <w:tcPr>
            <w:tcW w:w="8233" w:type="dxa"/>
            <w:noWrap w:val="0"/>
            <w:vAlign w:val="center"/>
          </w:tcPr>
          <w:p w14:paraId="369502CE">
            <w:pPr>
              <w:jc w:val="center"/>
              <w:rPr>
                <w:rFonts w:hint="eastAsia" w:ascii="宋体" w:hAnsi="宋体" w:cs="宋体"/>
                <w:color w:val="auto"/>
                <w:sz w:val="24"/>
                <w:szCs w:val="24"/>
                <w:highlight w:val="none"/>
              </w:rPr>
            </w:pPr>
          </w:p>
          <w:p w14:paraId="0BF96A25">
            <w:pPr>
              <w:rPr>
                <w:rFonts w:hint="eastAsia" w:ascii="宋体" w:hAnsi="宋体" w:cs="宋体"/>
                <w:color w:val="auto"/>
                <w:sz w:val="24"/>
                <w:szCs w:val="24"/>
                <w:highlight w:val="none"/>
              </w:rPr>
            </w:pPr>
          </w:p>
          <w:p w14:paraId="61AA6405">
            <w:pPr>
              <w:rPr>
                <w:rFonts w:hint="eastAsia" w:ascii="宋体" w:hAnsi="宋体" w:cs="宋体"/>
                <w:color w:val="auto"/>
                <w:sz w:val="24"/>
                <w:szCs w:val="24"/>
                <w:highlight w:val="none"/>
              </w:rPr>
            </w:pPr>
          </w:p>
          <w:p w14:paraId="367D8ADF">
            <w:pPr>
              <w:rPr>
                <w:rFonts w:hint="eastAsia" w:ascii="宋体" w:hAnsi="宋体" w:cs="宋体"/>
                <w:color w:val="auto"/>
                <w:sz w:val="24"/>
                <w:szCs w:val="24"/>
                <w:highlight w:val="none"/>
              </w:rPr>
            </w:pPr>
            <w:r>
              <w:rPr>
                <w:rFonts w:hint="eastAsia" w:ascii="宋体" w:hAnsi="宋体" w:cs="宋体"/>
                <w:color w:val="auto"/>
                <w:sz w:val="24"/>
                <w:szCs w:val="24"/>
                <w:highlight w:val="none"/>
              </w:rPr>
              <w:t>各监督人员签字：</w:t>
            </w:r>
          </w:p>
          <w:p w14:paraId="2EB2EFA6">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签字日期：    年   月  日</w:t>
            </w:r>
          </w:p>
        </w:tc>
      </w:tr>
    </w:tbl>
    <w:p w14:paraId="17E3D2C8">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color w:val="auto"/>
          <w:sz w:val="24"/>
          <w:szCs w:val="24"/>
          <w:highlight w:val="none"/>
        </w:rPr>
      </w:pPr>
      <w:r>
        <w:rPr>
          <w:rFonts w:hint="eastAsia" w:ascii="宋体" w:hAnsi="宋体"/>
          <w:b/>
          <w:color w:val="auto"/>
          <w:sz w:val="24"/>
          <w:szCs w:val="24"/>
          <w:highlight w:val="none"/>
        </w:rPr>
        <w:t xml:space="preserve">第九条 </w:t>
      </w:r>
      <w:r>
        <w:rPr>
          <w:rFonts w:hint="eastAsia" w:ascii="宋体" w:hAnsi="宋体"/>
          <w:b/>
          <w:bCs/>
          <w:color w:val="auto"/>
          <w:sz w:val="24"/>
          <w:szCs w:val="24"/>
          <w:highlight w:val="none"/>
        </w:rPr>
        <w:t>综合评分法，</w:t>
      </w:r>
      <w:r>
        <w:rPr>
          <w:rFonts w:hint="eastAsia" w:ascii="宋体" w:hAnsi="宋体"/>
          <w:color w:val="auto"/>
          <w:sz w:val="24"/>
          <w:szCs w:val="24"/>
          <w:highlight w:val="none"/>
        </w:rPr>
        <w:t>是指投标文件满足招标文件全部实质性要求且按照评审因素的量化指标评审得分最高的</w:t>
      </w:r>
      <w:r>
        <w:rPr>
          <w:rFonts w:hint="eastAsia" w:ascii="宋体" w:hAnsi="宋体"/>
          <w:color w:val="auto"/>
          <w:sz w:val="24"/>
          <w:szCs w:val="24"/>
          <w:highlight w:val="none"/>
          <w:lang w:val="en-US" w:eastAsia="zh-CN"/>
        </w:rPr>
        <w:t>投标人</w:t>
      </w:r>
      <w:r>
        <w:rPr>
          <w:rFonts w:hint="eastAsia" w:ascii="宋体" w:hAnsi="宋体"/>
          <w:color w:val="auto"/>
          <w:sz w:val="24"/>
          <w:szCs w:val="24"/>
          <w:highlight w:val="none"/>
        </w:rPr>
        <w:t>为中标候选</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的评标方法。综合评分法的主要因素：投标文件中的技术、价格及相应的分值权重，满分为100分。评审程序如下：</w:t>
      </w:r>
    </w:p>
    <w:p w14:paraId="03DFC8D4">
      <w:pPr>
        <w:keepNext w:val="0"/>
        <w:keepLines w:val="0"/>
        <w:pageBreakBefore w:val="0"/>
        <w:widowControl w:val="0"/>
        <w:kinsoku/>
        <w:overflowPunct/>
        <w:topLinePunct w:val="0"/>
        <w:autoSpaceDE/>
        <w:autoSpaceDN/>
        <w:bidi w:val="0"/>
        <w:adjustRightInd/>
        <w:snapToGrid/>
        <w:spacing w:line="360" w:lineRule="auto"/>
        <w:ind w:left="0" w:right="0" w:firstLine="474" w:firstLineChars="200"/>
        <w:jc w:val="both"/>
        <w:textAlignment w:val="auto"/>
        <w:outlineLvl w:val="9"/>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pacing w:val="-2"/>
          <w:sz w:val="24"/>
          <w:szCs w:val="24"/>
          <w:highlight w:val="none"/>
          <w:u w:val="none"/>
        </w:rPr>
        <w:t>1.资格审查</w:t>
      </w:r>
    </w:p>
    <w:p w14:paraId="7940A97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i w:val="0"/>
          <w:iCs w:val="0"/>
          <w:color w:val="auto"/>
          <w:spacing w:val="0"/>
          <w:w w:val="100"/>
          <w:position w:val="0"/>
          <w:sz w:val="24"/>
          <w:szCs w:val="24"/>
          <w:highlight w:val="none"/>
          <w:u w:val="none"/>
          <w:lang w:val="en-US" w:eastAsia="zh-CN"/>
        </w:rPr>
        <w:t>招标人或代理机构对投标人的资格进行审查，审查投标文件是否响应了招标文件的资格要求。当发现投标人或其投标文件存在下列情况之一时，将判定投标人的资格不符合要求，资格审查不通过。</w:t>
      </w:r>
    </w:p>
    <w:tbl>
      <w:tblPr>
        <w:tblStyle w:val="97"/>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26"/>
        <w:gridCol w:w="1437"/>
        <w:gridCol w:w="7012"/>
      </w:tblGrid>
      <w:tr w14:paraId="5867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2363" w:type="dxa"/>
            <w:gridSpan w:val="2"/>
            <w:noWrap w:val="0"/>
            <w:vAlign w:val="center"/>
          </w:tcPr>
          <w:p w14:paraId="5998173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7012" w:type="dxa"/>
            <w:noWrap w:val="0"/>
            <w:vAlign w:val="center"/>
          </w:tcPr>
          <w:p w14:paraId="6E1FBFB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审查标准</w:t>
            </w:r>
          </w:p>
        </w:tc>
      </w:tr>
      <w:tr w14:paraId="4761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26" w:type="dxa"/>
            <w:vMerge w:val="restart"/>
            <w:noWrap w:val="0"/>
            <w:vAlign w:val="center"/>
          </w:tcPr>
          <w:p w14:paraId="73DF5C4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w:t>
            </w:r>
          </w:p>
          <w:p w14:paraId="0DB4005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w:t>
            </w:r>
          </w:p>
        </w:tc>
        <w:tc>
          <w:tcPr>
            <w:tcW w:w="1437" w:type="dxa"/>
            <w:noWrap w:val="0"/>
            <w:vAlign w:val="center"/>
          </w:tcPr>
          <w:p w14:paraId="18BB2FC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7012" w:type="dxa"/>
            <w:noWrap w:val="0"/>
            <w:vAlign w:val="center"/>
          </w:tcPr>
          <w:p w14:paraId="576891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未提供营业执照</w:t>
            </w:r>
          </w:p>
        </w:tc>
      </w:tr>
      <w:tr w14:paraId="77F0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26" w:type="dxa"/>
            <w:vMerge w:val="continue"/>
            <w:noWrap w:val="0"/>
            <w:vAlign w:val="center"/>
          </w:tcPr>
          <w:p w14:paraId="5474516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437" w:type="dxa"/>
            <w:noWrap w:val="0"/>
            <w:vAlign w:val="center"/>
          </w:tcPr>
          <w:p w14:paraId="6316B71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资格条件</w:t>
            </w:r>
          </w:p>
        </w:tc>
        <w:tc>
          <w:tcPr>
            <w:tcW w:w="7012" w:type="dxa"/>
            <w:noWrap w:val="0"/>
            <w:vAlign w:val="center"/>
          </w:tcPr>
          <w:p w14:paraId="70B5C7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不符合招标文件要求</w:t>
            </w:r>
          </w:p>
        </w:tc>
      </w:tr>
      <w:tr w14:paraId="0027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26" w:type="dxa"/>
            <w:vMerge w:val="continue"/>
            <w:noWrap w:val="0"/>
            <w:vAlign w:val="center"/>
          </w:tcPr>
          <w:p w14:paraId="26E1A34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437" w:type="dxa"/>
            <w:noWrap w:val="0"/>
            <w:vAlign w:val="center"/>
          </w:tcPr>
          <w:p w14:paraId="02D80AB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信用要求</w:t>
            </w:r>
          </w:p>
        </w:tc>
        <w:tc>
          <w:tcPr>
            <w:tcW w:w="7012" w:type="dxa"/>
            <w:noWrap w:val="0"/>
            <w:vAlign w:val="center"/>
          </w:tcPr>
          <w:p w14:paraId="6AE46B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不符合招标文件要求</w:t>
            </w:r>
          </w:p>
          <w:p w14:paraId="7CBC9D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D45CF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1.信用记录查询渠道：</w:t>
            </w:r>
          </w:p>
          <w:p w14:paraId="4927EC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被人民法院列入失信被执行人名单的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w:t>
            </w:r>
          </w:p>
          <w:p w14:paraId="28B365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www.creditchina.gov.cn查询为准</w:t>
            </w:r>
            <w:r>
              <w:rPr>
                <w:rFonts w:hint="eastAsia" w:ascii="宋体" w:hAnsi="宋体" w:eastAsia="宋体" w:cs="宋体"/>
                <w:color w:val="auto"/>
                <w:sz w:val="24"/>
                <w:szCs w:val="24"/>
                <w:highlight w:val="none"/>
                <w:lang w:eastAsia="zh-CN"/>
              </w:rPr>
              <w:t>）</w:t>
            </w:r>
          </w:p>
          <w:p w14:paraId="4291F1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被税务机关列入重大税收违法失信主体名单的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以ww w.creditchina.gov.cn查询为准</w:t>
            </w:r>
            <w:r>
              <w:rPr>
                <w:rFonts w:hint="eastAsia" w:ascii="宋体" w:hAnsi="宋体" w:eastAsia="宋体" w:cs="宋体"/>
                <w:color w:val="auto"/>
                <w:sz w:val="24"/>
                <w:szCs w:val="24"/>
                <w:highlight w:val="none"/>
                <w:lang w:eastAsia="zh-CN"/>
              </w:rPr>
              <w:t>）</w:t>
            </w:r>
          </w:p>
          <w:p w14:paraId="1A47CD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被市场监督管理部门列入严重违法失信名单的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 www.gsxt.gov.cn查询为准</w:t>
            </w:r>
            <w:r>
              <w:rPr>
                <w:rFonts w:hint="eastAsia" w:ascii="宋体" w:hAnsi="宋体" w:eastAsia="宋体" w:cs="宋体"/>
                <w:color w:val="auto"/>
                <w:sz w:val="24"/>
                <w:szCs w:val="24"/>
                <w:highlight w:val="none"/>
                <w:lang w:eastAsia="zh-CN"/>
              </w:rPr>
              <w:t>）</w:t>
            </w:r>
          </w:p>
          <w:p w14:paraId="4B79AB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在投标文件中无需提供证明材料，由</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代理机构查询</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的信用记录，信用记录以投标截止时间的记录信息为准。</w:t>
            </w:r>
          </w:p>
          <w:p w14:paraId="528195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3.信用信息记录方式：</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代理机构工作人员将查询网页截图随其他</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资料一同存档备查。</w:t>
            </w:r>
          </w:p>
          <w:p w14:paraId="77682A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4.在上述规定的查询时间之外，网站信息发生的任何变更均不作为资格审查依据。</w:t>
            </w:r>
          </w:p>
        </w:tc>
      </w:tr>
      <w:tr w14:paraId="6E4D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26" w:type="dxa"/>
            <w:vMerge w:val="continue"/>
            <w:noWrap w:val="0"/>
            <w:vAlign w:val="center"/>
          </w:tcPr>
          <w:p w14:paraId="7A4CDFA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437" w:type="dxa"/>
            <w:noWrap w:val="0"/>
            <w:vAlign w:val="center"/>
          </w:tcPr>
          <w:p w14:paraId="063E3BC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7012" w:type="dxa"/>
            <w:noWrap w:val="0"/>
            <w:vAlign w:val="center"/>
          </w:tcPr>
          <w:p w14:paraId="035D33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被行政监督部门作出禁止投标处罚且在有效期内的，或其他违反法律法规和招标文件规定的应该按无效投标处理的情形</w:t>
            </w:r>
            <w:r>
              <w:rPr>
                <w:rFonts w:hint="eastAsia" w:ascii="宋体" w:hAnsi="宋体" w:eastAsia="宋体" w:cs="宋体"/>
                <w:color w:val="auto"/>
                <w:sz w:val="24"/>
                <w:szCs w:val="24"/>
                <w:highlight w:val="none"/>
                <w:lang w:eastAsia="zh-CN"/>
              </w:rPr>
              <w:t>。</w:t>
            </w:r>
          </w:p>
        </w:tc>
      </w:tr>
    </w:tbl>
    <w:p w14:paraId="3DAE75E6">
      <w:pPr>
        <w:keepNext w:val="0"/>
        <w:keepLines w:val="0"/>
        <w:pageBreakBefore w:val="0"/>
        <w:widowControl w:val="0"/>
        <w:kinsoku/>
        <w:overflowPunct/>
        <w:topLinePunct w:val="0"/>
        <w:autoSpaceDE/>
        <w:autoSpaceDN/>
        <w:bidi w:val="0"/>
        <w:adjustRightInd/>
        <w:snapToGrid/>
        <w:spacing w:line="360" w:lineRule="auto"/>
        <w:ind w:left="0" w:right="0" w:firstLine="474" w:firstLineChars="200"/>
        <w:textAlignment w:val="auto"/>
        <w:outlineLvl w:val="9"/>
        <w:rPr>
          <w:rFonts w:hint="eastAsia" w:ascii="宋体" w:hAnsi="宋体" w:eastAsia="宋体" w:cs="宋体"/>
          <w:b/>
          <w:bCs/>
          <w:color w:val="auto"/>
          <w:spacing w:val="-2"/>
          <w:sz w:val="24"/>
          <w:szCs w:val="24"/>
          <w:highlight w:val="none"/>
          <w:u w:val="none"/>
        </w:rPr>
      </w:pPr>
      <w:r>
        <w:rPr>
          <w:rFonts w:hint="eastAsia" w:ascii="宋体" w:hAnsi="宋体" w:eastAsia="宋体" w:cs="宋体"/>
          <w:b/>
          <w:bCs/>
          <w:color w:val="auto"/>
          <w:spacing w:val="-2"/>
          <w:sz w:val="24"/>
          <w:szCs w:val="24"/>
          <w:highlight w:val="none"/>
          <w:u w:val="none"/>
        </w:rPr>
        <w:t>2.评标</w:t>
      </w:r>
    </w:p>
    <w:p w14:paraId="0FDC1E5D">
      <w:pPr>
        <w:keepNext w:val="0"/>
        <w:keepLines w:val="0"/>
        <w:pageBreakBefore w:val="0"/>
        <w:widowControl w:val="0"/>
        <w:kinsoku/>
        <w:overflowPunct/>
        <w:topLinePunct w:val="0"/>
        <w:autoSpaceDE/>
        <w:autoSpaceDN/>
        <w:bidi w:val="0"/>
        <w:adjustRightInd/>
        <w:snapToGrid/>
        <w:spacing w:line="360" w:lineRule="auto"/>
        <w:ind w:left="0" w:right="0" w:firstLine="474" w:firstLineChars="200"/>
        <w:textAlignment w:val="auto"/>
        <w:outlineLvl w:val="9"/>
        <w:rPr>
          <w:rFonts w:hint="eastAsia" w:ascii="宋体" w:hAnsi="宋体" w:eastAsia="宋体" w:cs="宋体"/>
          <w:b/>
          <w:bCs/>
          <w:color w:val="auto"/>
          <w:spacing w:val="-2"/>
          <w:sz w:val="24"/>
          <w:szCs w:val="24"/>
          <w:highlight w:val="none"/>
          <w:u w:val="none"/>
        </w:rPr>
      </w:pPr>
      <w:r>
        <w:rPr>
          <w:rFonts w:hint="eastAsia" w:ascii="宋体" w:hAnsi="宋体" w:eastAsia="宋体" w:cs="宋体"/>
          <w:b/>
          <w:bCs/>
          <w:color w:val="auto"/>
          <w:spacing w:val="-2"/>
          <w:sz w:val="24"/>
          <w:szCs w:val="24"/>
          <w:highlight w:val="none"/>
          <w:u w:val="none"/>
        </w:rPr>
        <w:t>2.1符合性审查</w:t>
      </w:r>
    </w:p>
    <w:p w14:paraId="532DB16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pacing w:val="0"/>
          <w:w w:val="100"/>
          <w:position w:val="0"/>
          <w:sz w:val="24"/>
          <w:szCs w:val="24"/>
          <w:highlight w:val="none"/>
          <w:u w:val="none"/>
          <w:lang w:val="en-US" w:eastAsia="zh-CN"/>
        </w:rPr>
        <w:t>评标委员会对通过资格审查的投标人的投标文件进行符合性审查，以确定其是否满足招标文件的实质性要求。当发现投标人或其投标文件存在下列情况之一时，将判定投标人的投标无效，投标文件符合性审查不通过。</w:t>
      </w:r>
    </w:p>
    <w:tbl>
      <w:tblPr>
        <w:tblStyle w:val="97"/>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21"/>
        <w:gridCol w:w="2150"/>
        <w:gridCol w:w="6863"/>
      </w:tblGrid>
      <w:tr w14:paraId="0299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171" w:type="dxa"/>
            <w:gridSpan w:val="2"/>
            <w:noWrap w:val="0"/>
            <w:vAlign w:val="center"/>
          </w:tcPr>
          <w:p w14:paraId="0F7ECEC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pacing w:val="-3"/>
                <w:sz w:val="24"/>
                <w:szCs w:val="24"/>
                <w:highlight w:val="none"/>
                <w:u w:val="none"/>
              </w:rPr>
              <w:t>审查内容</w:t>
            </w:r>
          </w:p>
        </w:tc>
        <w:tc>
          <w:tcPr>
            <w:tcW w:w="6863" w:type="dxa"/>
            <w:noWrap w:val="0"/>
            <w:vAlign w:val="center"/>
          </w:tcPr>
          <w:p w14:paraId="12657AB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pacing w:val="-3"/>
                <w:sz w:val="24"/>
                <w:szCs w:val="24"/>
                <w:highlight w:val="none"/>
                <w:u w:val="none"/>
              </w:rPr>
              <w:t>审查标准</w:t>
            </w:r>
          </w:p>
        </w:tc>
      </w:tr>
      <w:tr w14:paraId="5359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021" w:type="dxa"/>
            <w:vMerge w:val="restart"/>
            <w:noWrap w:val="0"/>
            <w:vAlign w:val="center"/>
          </w:tcPr>
          <w:p w14:paraId="6844FB44">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2"/>
                <w:sz w:val="24"/>
                <w:szCs w:val="24"/>
                <w:highlight w:val="none"/>
                <w:u w:val="none"/>
              </w:rPr>
              <w:t>符合性审</w:t>
            </w:r>
            <w:r>
              <w:rPr>
                <w:rFonts w:hint="eastAsia" w:ascii="宋体" w:hAnsi="宋体" w:eastAsia="宋体" w:cs="宋体"/>
                <w:color w:val="auto"/>
                <w:sz w:val="24"/>
                <w:szCs w:val="24"/>
                <w:highlight w:val="none"/>
                <w:u w:val="none"/>
              </w:rPr>
              <w:t>查</w:t>
            </w:r>
          </w:p>
        </w:tc>
        <w:tc>
          <w:tcPr>
            <w:tcW w:w="2150" w:type="dxa"/>
            <w:noWrap w:val="0"/>
            <w:vAlign w:val="center"/>
          </w:tcPr>
          <w:p w14:paraId="5F5D0E85">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4"/>
                <w:sz w:val="24"/>
                <w:szCs w:val="24"/>
                <w:highlight w:val="none"/>
                <w:u w:val="none"/>
                <w:lang w:eastAsia="zh-CN"/>
              </w:rPr>
              <w:t>投标人</w:t>
            </w:r>
            <w:r>
              <w:rPr>
                <w:rFonts w:hint="eastAsia" w:ascii="宋体" w:hAnsi="宋体" w:eastAsia="宋体" w:cs="宋体"/>
                <w:color w:val="auto"/>
                <w:spacing w:val="-4"/>
                <w:sz w:val="24"/>
                <w:szCs w:val="24"/>
                <w:highlight w:val="none"/>
                <w:u w:val="none"/>
              </w:rPr>
              <w:t>名称</w:t>
            </w:r>
          </w:p>
        </w:tc>
        <w:tc>
          <w:tcPr>
            <w:tcW w:w="6863" w:type="dxa"/>
            <w:noWrap w:val="0"/>
            <w:vAlign w:val="center"/>
          </w:tcPr>
          <w:p w14:paraId="2EE09201">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2"/>
                <w:sz w:val="24"/>
                <w:szCs w:val="24"/>
                <w:highlight w:val="none"/>
                <w:u w:val="none"/>
              </w:rPr>
              <w:t>与营业执照、资质证书等不一致</w:t>
            </w:r>
          </w:p>
        </w:tc>
      </w:tr>
      <w:tr w14:paraId="7CE3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021" w:type="dxa"/>
            <w:vMerge w:val="continue"/>
            <w:noWrap w:val="0"/>
            <w:vAlign w:val="center"/>
          </w:tcPr>
          <w:p w14:paraId="38A5DD0B">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highlight w:val="none"/>
                <w:u w:val="none"/>
              </w:rPr>
            </w:pPr>
          </w:p>
        </w:tc>
        <w:tc>
          <w:tcPr>
            <w:tcW w:w="2150" w:type="dxa"/>
            <w:noWrap w:val="0"/>
            <w:vAlign w:val="center"/>
          </w:tcPr>
          <w:p w14:paraId="67C6875E">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pacing w:val="-6"/>
                <w:sz w:val="24"/>
                <w:szCs w:val="24"/>
                <w:highlight w:val="none"/>
                <w:u w:val="none"/>
              </w:rPr>
            </w:pPr>
            <w:r>
              <w:rPr>
                <w:rFonts w:hint="eastAsia" w:ascii="宋体" w:hAnsi="宋体" w:eastAsia="宋体" w:cs="宋体"/>
                <w:color w:val="auto"/>
                <w:spacing w:val="-6"/>
                <w:sz w:val="24"/>
                <w:szCs w:val="24"/>
                <w:highlight w:val="none"/>
                <w:u w:val="none"/>
              </w:rPr>
              <w:t>法定代表人或</w:t>
            </w:r>
          </w:p>
          <w:p w14:paraId="70B8C32B">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授权委托人资格</w:t>
            </w:r>
          </w:p>
        </w:tc>
        <w:tc>
          <w:tcPr>
            <w:tcW w:w="6863" w:type="dxa"/>
            <w:noWrap w:val="0"/>
            <w:vAlign w:val="center"/>
          </w:tcPr>
          <w:p w14:paraId="69217D32">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2"/>
                <w:sz w:val="24"/>
                <w:szCs w:val="24"/>
                <w:highlight w:val="none"/>
                <w:u w:val="none"/>
              </w:rPr>
              <w:t>不符合招标文件要求</w:t>
            </w:r>
          </w:p>
        </w:tc>
      </w:tr>
      <w:tr w14:paraId="7A90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021" w:type="dxa"/>
            <w:vMerge w:val="continue"/>
            <w:noWrap w:val="0"/>
            <w:vAlign w:val="center"/>
          </w:tcPr>
          <w:p w14:paraId="534282D1">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highlight w:val="none"/>
                <w:u w:val="none"/>
              </w:rPr>
            </w:pPr>
          </w:p>
        </w:tc>
        <w:tc>
          <w:tcPr>
            <w:tcW w:w="2150" w:type="dxa"/>
            <w:noWrap w:val="0"/>
            <w:vAlign w:val="center"/>
          </w:tcPr>
          <w:p w14:paraId="2A55B80E">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default" w:ascii="宋体" w:hAnsi="宋体" w:eastAsia="宋体" w:cs="宋体"/>
                <w:color w:val="auto"/>
                <w:spacing w:val="-3"/>
                <w:sz w:val="24"/>
                <w:szCs w:val="24"/>
                <w:highlight w:val="none"/>
                <w:u w:val="none"/>
                <w:lang w:val="en-US" w:eastAsia="zh-CN"/>
              </w:rPr>
            </w:pPr>
            <w:r>
              <w:rPr>
                <w:rFonts w:hint="eastAsia" w:ascii="宋体" w:hAnsi="宋体" w:eastAsia="宋体" w:cs="宋体"/>
                <w:color w:val="auto"/>
                <w:spacing w:val="-3"/>
                <w:sz w:val="24"/>
                <w:szCs w:val="24"/>
                <w:highlight w:val="none"/>
                <w:u w:val="none"/>
                <w:lang w:val="en-US" w:eastAsia="zh-CN"/>
              </w:rPr>
              <w:t>投标保证金</w:t>
            </w:r>
          </w:p>
        </w:tc>
        <w:tc>
          <w:tcPr>
            <w:tcW w:w="6863" w:type="dxa"/>
            <w:noWrap w:val="0"/>
            <w:vAlign w:val="center"/>
          </w:tcPr>
          <w:p w14:paraId="6E965525">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宋体" w:hAnsi="宋体" w:eastAsia="宋体" w:cs="宋体"/>
                <w:color w:val="auto"/>
                <w:spacing w:val="-2"/>
                <w:sz w:val="24"/>
                <w:szCs w:val="24"/>
                <w:highlight w:val="none"/>
                <w:u w:val="none"/>
              </w:rPr>
            </w:pPr>
            <w:r>
              <w:rPr>
                <w:rFonts w:hint="eastAsia" w:ascii="宋体" w:hAnsi="宋体" w:eastAsia="宋体" w:cs="宋体"/>
                <w:color w:val="auto"/>
                <w:spacing w:val="-2"/>
                <w:sz w:val="24"/>
                <w:szCs w:val="24"/>
                <w:highlight w:val="none"/>
                <w:u w:val="none"/>
              </w:rPr>
              <w:t>不符合招标文件要求</w:t>
            </w:r>
          </w:p>
        </w:tc>
      </w:tr>
      <w:tr w14:paraId="24DA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021" w:type="dxa"/>
            <w:vMerge w:val="continue"/>
            <w:noWrap w:val="0"/>
            <w:vAlign w:val="center"/>
          </w:tcPr>
          <w:p w14:paraId="671F6916">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highlight w:val="none"/>
                <w:u w:val="none"/>
              </w:rPr>
            </w:pPr>
          </w:p>
        </w:tc>
        <w:tc>
          <w:tcPr>
            <w:tcW w:w="2150" w:type="dxa"/>
            <w:noWrap w:val="0"/>
            <w:vAlign w:val="center"/>
          </w:tcPr>
          <w:p w14:paraId="29A13361">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1"/>
                <w:sz w:val="24"/>
                <w:szCs w:val="24"/>
                <w:highlight w:val="none"/>
                <w:u w:val="none"/>
              </w:rPr>
              <w:t>投标文件盖章</w:t>
            </w:r>
          </w:p>
        </w:tc>
        <w:tc>
          <w:tcPr>
            <w:tcW w:w="6863" w:type="dxa"/>
            <w:noWrap w:val="0"/>
            <w:vAlign w:val="center"/>
          </w:tcPr>
          <w:p w14:paraId="17B2101C">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1"/>
                <w:sz w:val="24"/>
                <w:szCs w:val="24"/>
                <w:highlight w:val="none"/>
                <w:u w:val="none"/>
              </w:rPr>
              <w:t>未按招标文件要求加盖公章</w:t>
            </w:r>
          </w:p>
        </w:tc>
      </w:tr>
      <w:tr w14:paraId="1543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021" w:type="dxa"/>
            <w:vMerge w:val="continue"/>
            <w:noWrap w:val="0"/>
            <w:vAlign w:val="center"/>
          </w:tcPr>
          <w:p w14:paraId="5070C8F0">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highlight w:val="none"/>
                <w:u w:val="none"/>
              </w:rPr>
            </w:pPr>
          </w:p>
        </w:tc>
        <w:tc>
          <w:tcPr>
            <w:tcW w:w="2150" w:type="dxa"/>
            <w:noWrap w:val="0"/>
            <w:vAlign w:val="center"/>
          </w:tcPr>
          <w:p w14:paraId="079AA5C7">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2"/>
                <w:sz w:val="24"/>
                <w:szCs w:val="24"/>
                <w:highlight w:val="none"/>
                <w:u w:val="none"/>
              </w:rPr>
              <w:t>投标文件签署</w:t>
            </w:r>
          </w:p>
        </w:tc>
        <w:tc>
          <w:tcPr>
            <w:tcW w:w="6863" w:type="dxa"/>
            <w:noWrap w:val="0"/>
            <w:vAlign w:val="center"/>
          </w:tcPr>
          <w:p w14:paraId="2645948A">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2"/>
                <w:sz w:val="24"/>
                <w:szCs w:val="24"/>
                <w:highlight w:val="none"/>
                <w:u w:val="none"/>
              </w:rPr>
              <w:t>未按招标文件规定格式进行签字</w:t>
            </w:r>
            <w:r>
              <w:rPr>
                <w:rFonts w:hint="eastAsia" w:ascii="宋体" w:hAnsi="宋体" w:eastAsia="宋体" w:cs="宋体"/>
                <w:color w:val="auto"/>
                <w:spacing w:val="-2"/>
                <w:sz w:val="24"/>
                <w:szCs w:val="24"/>
                <w:highlight w:val="none"/>
                <w:u w:val="none"/>
                <w:lang w:eastAsia="zh-CN"/>
              </w:rPr>
              <w:t>（</w:t>
            </w:r>
            <w:r>
              <w:rPr>
                <w:rFonts w:hint="eastAsia" w:ascii="宋体" w:hAnsi="宋体" w:eastAsia="宋体" w:cs="宋体"/>
                <w:color w:val="auto"/>
                <w:spacing w:val="-2"/>
                <w:sz w:val="24"/>
                <w:szCs w:val="24"/>
                <w:highlight w:val="none"/>
                <w:u w:val="none"/>
                <w:lang w:val="en-US" w:eastAsia="zh-CN"/>
              </w:rPr>
              <w:t>盖章</w:t>
            </w:r>
            <w:r>
              <w:rPr>
                <w:rFonts w:hint="eastAsia" w:ascii="宋体" w:hAnsi="宋体" w:eastAsia="宋体" w:cs="宋体"/>
                <w:color w:val="auto"/>
                <w:spacing w:val="-2"/>
                <w:sz w:val="24"/>
                <w:szCs w:val="24"/>
                <w:highlight w:val="none"/>
                <w:u w:val="none"/>
                <w:lang w:eastAsia="zh-CN"/>
              </w:rPr>
              <w:t>）</w:t>
            </w:r>
          </w:p>
        </w:tc>
      </w:tr>
      <w:tr w14:paraId="2136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021" w:type="dxa"/>
            <w:vMerge w:val="continue"/>
            <w:noWrap w:val="0"/>
            <w:vAlign w:val="center"/>
          </w:tcPr>
          <w:p w14:paraId="1C563D65">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highlight w:val="none"/>
                <w:u w:val="none"/>
              </w:rPr>
            </w:pPr>
          </w:p>
        </w:tc>
        <w:tc>
          <w:tcPr>
            <w:tcW w:w="2150" w:type="dxa"/>
            <w:noWrap w:val="0"/>
            <w:vAlign w:val="center"/>
          </w:tcPr>
          <w:p w14:paraId="7E2D39BF">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4"/>
                <w:sz w:val="24"/>
                <w:szCs w:val="24"/>
                <w:highlight w:val="none"/>
                <w:u w:val="none"/>
              </w:rPr>
              <w:t>投标文件格式</w:t>
            </w:r>
          </w:p>
        </w:tc>
        <w:tc>
          <w:tcPr>
            <w:tcW w:w="6863" w:type="dxa"/>
            <w:noWrap w:val="0"/>
            <w:vAlign w:val="center"/>
          </w:tcPr>
          <w:p w14:paraId="05A89732">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未按规定格式填写，实质性内容不全或关键字迹</w:t>
            </w:r>
            <w:r>
              <w:rPr>
                <w:rFonts w:hint="eastAsia" w:ascii="宋体" w:hAnsi="宋体" w:eastAsia="宋体" w:cs="宋体"/>
                <w:color w:val="auto"/>
                <w:spacing w:val="-2"/>
                <w:sz w:val="24"/>
                <w:szCs w:val="24"/>
                <w:highlight w:val="none"/>
                <w:u w:val="none"/>
              </w:rPr>
              <w:t>模糊、无法辨认</w:t>
            </w:r>
          </w:p>
        </w:tc>
      </w:tr>
      <w:tr w14:paraId="223F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021" w:type="dxa"/>
            <w:vMerge w:val="continue"/>
            <w:noWrap w:val="0"/>
            <w:vAlign w:val="center"/>
          </w:tcPr>
          <w:p w14:paraId="701C8DEB">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highlight w:val="none"/>
                <w:u w:val="none"/>
              </w:rPr>
            </w:pPr>
          </w:p>
        </w:tc>
        <w:tc>
          <w:tcPr>
            <w:tcW w:w="2150" w:type="dxa"/>
            <w:noWrap w:val="0"/>
            <w:vAlign w:val="center"/>
          </w:tcPr>
          <w:p w14:paraId="0832E52C">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4"/>
                <w:sz w:val="24"/>
                <w:szCs w:val="24"/>
                <w:highlight w:val="none"/>
                <w:u w:val="none"/>
              </w:rPr>
              <w:t>投标方案及报价</w:t>
            </w:r>
          </w:p>
        </w:tc>
        <w:tc>
          <w:tcPr>
            <w:tcW w:w="6863" w:type="dxa"/>
            <w:noWrap w:val="0"/>
            <w:vAlign w:val="center"/>
          </w:tcPr>
          <w:p w14:paraId="7D0D5C46">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2"/>
                <w:sz w:val="24"/>
                <w:szCs w:val="24"/>
                <w:highlight w:val="none"/>
                <w:u w:val="none"/>
              </w:rPr>
              <w:t>报价超过招标文件中规定的预算金额或者最高限</w:t>
            </w:r>
            <w:r>
              <w:rPr>
                <w:rFonts w:hint="eastAsia" w:ascii="宋体" w:hAnsi="宋体" w:eastAsia="宋体" w:cs="宋体"/>
                <w:color w:val="auto"/>
                <w:sz w:val="24"/>
                <w:szCs w:val="24"/>
                <w:highlight w:val="none"/>
                <w:u w:val="none"/>
              </w:rPr>
              <w:t>价</w:t>
            </w:r>
          </w:p>
        </w:tc>
      </w:tr>
      <w:tr w14:paraId="51CC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021" w:type="dxa"/>
            <w:vMerge w:val="continue"/>
            <w:noWrap w:val="0"/>
            <w:vAlign w:val="center"/>
          </w:tcPr>
          <w:p w14:paraId="6D1B630F">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highlight w:val="none"/>
                <w:u w:val="none"/>
              </w:rPr>
            </w:pPr>
          </w:p>
        </w:tc>
        <w:tc>
          <w:tcPr>
            <w:tcW w:w="2150" w:type="dxa"/>
            <w:noWrap w:val="0"/>
            <w:vAlign w:val="center"/>
          </w:tcPr>
          <w:p w14:paraId="2E07CBDB">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2"/>
                <w:sz w:val="24"/>
                <w:szCs w:val="24"/>
                <w:highlight w:val="none"/>
                <w:u w:val="none"/>
              </w:rPr>
              <w:t>投标有效期</w:t>
            </w:r>
          </w:p>
        </w:tc>
        <w:tc>
          <w:tcPr>
            <w:tcW w:w="6863" w:type="dxa"/>
            <w:noWrap w:val="0"/>
            <w:vAlign w:val="center"/>
          </w:tcPr>
          <w:p w14:paraId="17CAC830">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不符合招标文件的要求</w:t>
            </w:r>
          </w:p>
        </w:tc>
      </w:tr>
      <w:tr w14:paraId="225B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021" w:type="dxa"/>
            <w:vMerge w:val="continue"/>
            <w:noWrap w:val="0"/>
            <w:vAlign w:val="center"/>
          </w:tcPr>
          <w:p w14:paraId="5731390C">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highlight w:val="none"/>
                <w:u w:val="none"/>
              </w:rPr>
            </w:pPr>
          </w:p>
        </w:tc>
        <w:tc>
          <w:tcPr>
            <w:tcW w:w="2150" w:type="dxa"/>
            <w:noWrap w:val="0"/>
            <w:vAlign w:val="center"/>
          </w:tcPr>
          <w:p w14:paraId="262F5280">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7"/>
                <w:sz w:val="24"/>
                <w:szCs w:val="24"/>
                <w:highlight w:val="none"/>
                <w:u w:val="none"/>
              </w:rPr>
              <w:t>服务时间、地点、</w:t>
            </w:r>
            <w:r>
              <w:rPr>
                <w:rFonts w:hint="eastAsia" w:ascii="宋体" w:hAnsi="宋体" w:eastAsia="宋体" w:cs="宋体"/>
                <w:color w:val="auto"/>
                <w:spacing w:val="-4"/>
                <w:sz w:val="24"/>
                <w:szCs w:val="24"/>
                <w:highlight w:val="none"/>
                <w:u w:val="none"/>
              </w:rPr>
              <w:t>付款方式</w:t>
            </w:r>
          </w:p>
        </w:tc>
        <w:tc>
          <w:tcPr>
            <w:tcW w:w="6863" w:type="dxa"/>
            <w:noWrap w:val="0"/>
            <w:vAlign w:val="center"/>
          </w:tcPr>
          <w:p w14:paraId="5E2140A1">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3"/>
                <w:sz w:val="24"/>
                <w:szCs w:val="24"/>
                <w:highlight w:val="none"/>
                <w:u w:val="none"/>
              </w:rPr>
              <w:t>不符合招标文件的要求</w:t>
            </w:r>
          </w:p>
        </w:tc>
      </w:tr>
      <w:tr w14:paraId="32D6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021" w:type="dxa"/>
            <w:vMerge w:val="continue"/>
            <w:noWrap w:val="0"/>
            <w:vAlign w:val="center"/>
          </w:tcPr>
          <w:p w14:paraId="58AE39B6">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highlight w:val="none"/>
                <w:u w:val="none"/>
              </w:rPr>
            </w:pPr>
          </w:p>
        </w:tc>
        <w:tc>
          <w:tcPr>
            <w:tcW w:w="2150" w:type="dxa"/>
            <w:noWrap w:val="0"/>
            <w:vAlign w:val="center"/>
          </w:tcPr>
          <w:p w14:paraId="31B86E8D">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5"/>
                <w:sz w:val="24"/>
                <w:szCs w:val="24"/>
                <w:highlight w:val="none"/>
                <w:u w:val="none"/>
              </w:rPr>
              <w:t>实质性要求</w:t>
            </w:r>
          </w:p>
        </w:tc>
        <w:tc>
          <w:tcPr>
            <w:tcW w:w="6863" w:type="dxa"/>
            <w:noWrap w:val="0"/>
            <w:vAlign w:val="center"/>
          </w:tcPr>
          <w:p w14:paraId="69D11D32">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招标文件实质性要求有负偏离或未提供实质性要</w:t>
            </w:r>
            <w:r>
              <w:rPr>
                <w:rFonts w:hint="eastAsia" w:ascii="宋体" w:hAnsi="宋体" w:eastAsia="宋体" w:cs="宋体"/>
                <w:color w:val="auto"/>
                <w:spacing w:val="-5"/>
                <w:sz w:val="24"/>
                <w:szCs w:val="24"/>
                <w:highlight w:val="none"/>
                <w:u w:val="none"/>
              </w:rPr>
              <w:t>求证明材料的。</w:t>
            </w:r>
          </w:p>
        </w:tc>
      </w:tr>
      <w:tr w14:paraId="0CE0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021" w:type="dxa"/>
            <w:vMerge w:val="continue"/>
            <w:noWrap w:val="0"/>
            <w:vAlign w:val="center"/>
          </w:tcPr>
          <w:p w14:paraId="0745D590">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highlight w:val="none"/>
                <w:u w:val="none"/>
              </w:rPr>
            </w:pPr>
          </w:p>
        </w:tc>
        <w:tc>
          <w:tcPr>
            <w:tcW w:w="2150" w:type="dxa"/>
            <w:noWrap w:val="0"/>
            <w:vAlign w:val="center"/>
          </w:tcPr>
          <w:p w14:paraId="7F5EC0C6">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8"/>
                <w:sz w:val="24"/>
                <w:szCs w:val="24"/>
                <w:highlight w:val="none"/>
                <w:u w:val="none"/>
              </w:rPr>
              <w:t>其他</w:t>
            </w:r>
          </w:p>
        </w:tc>
        <w:tc>
          <w:tcPr>
            <w:tcW w:w="6863" w:type="dxa"/>
            <w:noWrap w:val="0"/>
            <w:vAlign w:val="center"/>
          </w:tcPr>
          <w:p w14:paraId="40A92E02">
            <w:pPr>
              <w:pStyle w:val="103"/>
              <w:keepNext w:val="0"/>
              <w:keepLines w:val="0"/>
              <w:pageBreakBefore w:val="0"/>
              <w:widowControl w:val="0"/>
              <w:kinsoku/>
              <w:wordWrap/>
              <w:overflowPunct/>
              <w:topLinePunct w:val="0"/>
              <w:autoSpaceDE/>
              <w:autoSpaceDN/>
              <w:bidi w:val="0"/>
              <w:adjustRightInd/>
              <w:snapToGrid/>
              <w:spacing w:line="400" w:lineRule="exact"/>
              <w:ind w:left="0" w:right="0" w:firstLine="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pacing w:val="-1"/>
                <w:sz w:val="24"/>
                <w:szCs w:val="24"/>
                <w:highlight w:val="none"/>
                <w:u w:val="none"/>
              </w:rPr>
              <w:t>不符合法律法规和招标文件中规定的其它无效投</w:t>
            </w:r>
            <w:r>
              <w:rPr>
                <w:rFonts w:hint="eastAsia" w:ascii="宋体" w:hAnsi="宋体" w:eastAsia="宋体" w:cs="宋体"/>
                <w:color w:val="auto"/>
                <w:spacing w:val="-3"/>
                <w:sz w:val="24"/>
                <w:szCs w:val="24"/>
                <w:highlight w:val="none"/>
                <w:u w:val="none"/>
              </w:rPr>
              <w:t>标的情形</w:t>
            </w:r>
          </w:p>
        </w:tc>
      </w:tr>
    </w:tbl>
    <w:p w14:paraId="617B80A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 xml:space="preserve">.2 </w:t>
      </w:r>
      <w:r>
        <w:rPr>
          <w:rFonts w:hint="eastAsia" w:ascii="宋体" w:hAnsi="宋体" w:eastAsia="宋体" w:cs="宋体"/>
          <w:b/>
          <w:bCs/>
          <w:color w:val="auto"/>
          <w:sz w:val="24"/>
          <w:szCs w:val="24"/>
          <w:highlight w:val="none"/>
        </w:rPr>
        <w:t>详细审查</w:t>
      </w:r>
    </w:p>
    <w:p w14:paraId="2E4E86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eastAsia="宋体" w:cs="宋体"/>
          <w:color w:val="auto"/>
          <w:sz w:val="24"/>
          <w:szCs w:val="24"/>
          <w:highlight w:val="none"/>
        </w:rPr>
        <w:t>评标委员会只对通过资格审查的，实质上响应招标文件要求的投标文件按照下述指标表进行详细</w:t>
      </w:r>
      <w:r>
        <w:rPr>
          <w:rFonts w:hint="eastAsia" w:ascii="宋体" w:hAnsi="宋体"/>
          <w:color w:val="auto"/>
          <w:sz w:val="24"/>
          <w:szCs w:val="24"/>
          <w:highlight w:val="none"/>
        </w:rPr>
        <w:t>审查。</w:t>
      </w:r>
    </w:p>
    <w:p w14:paraId="517A8BDE">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本项目技术分值占总分值的权重为</w:t>
      </w:r>
      <w:r>
        <w:rPr>
          <w:rFonts w:hint="eastAsia" w:ascii="宋体" w:hAnsi="宋体" w:eastAsia="宋体"/>
          <w:b w:val="0"/>
          <w:bCs w:val="0"/>
          <w:color w:val="auto"/>
          <w:sz w:val="24"/>
          <w:szCs w:val="24"/>
          <w:highlight w:val="none"/>
          <w:u w:val="single"/>
          <w:lang w:val="en-US" w:eastAsia="zh-CN"/>
        </w:rPr>
        <w:t>70</w:t>
      </w:r>
      <w:r>
        <w:rPr>
          <w:rFonts w:hint="eastAsia" w:ascii="宋体" w:hAnsi="宋体" w:eastAsia="宋体"/>
          <w:b w:val="0"/>
          <w:bCs w:val="0"/>
          <w:color w:val="auto"/>
          <w:sz w:val="24"/>
          <w:szCs w:val="24"/>
          <w:highlight w:val="none"/>
        </w:rPr>
        <w:t>%，价格分值占总分值的权重为</w:t>
      </w:r>
      <w:r>
        <w:rPr>
          <w:rFonts w:hint="eastAsia" w:ascii="宋体" w:hAnsi="宋体" w:eastAsia="宋体"/>
          <w:b w:val="0"/>
          <w:bCs w:val="0"/>
          <w:color w:val="auto"/>
          <w:sz w:val="24"/>
          <w:szCs w:val="24"/>
          <w:highlight w:val="none"/>
          <w:u w:val="single"/>
          <w:lang w:val="en-US" w:eastAsia="zh-CN"/>
        </w:rPr>
        <w:t>30</w:t>
      </w:r>
      <w:r>
        <w:rPr>
          <w:rFonts w:hint="eastAsia" w:ascii="宋体" w:hAnsi="宋体" w:eastAsia="宋体"/>
          <w:b w:val="0"/>
          <w:bCs w:val="0"/>
          <w:color w:val="auto"/>
          <w:sz w:val="24"/>
          <w:szCs w:val="24"/>
          <w:highlight w:val="none"/>
          <w:u w:val="single"/>
        </w:rPr>
        <w:t xml:space="preserve"> </w:t>
      </w:r>
      <w:r>
        <w:rPr>
          <w:rFonts w:hint="eastAsia" w:ascii="宋体" w:hAnsi="宋体" w:eastAsia="宋体"/>
          <w:b w:val="0"/>
          <w:bCs w:val="0"/>
          <w:color w:val="auto"/>
          <w:sz w:val="24"/>
          <w:szCs w:val="24"/>
          <w:highlight w:val="none"/>
        </w:rPr>
        <w:t>%。具体评分细则如下。</w:t>
      </w:r>
    </w:p>
    <w:tbl>
      <w:tblPr>
        <w:tblStyle w:val="40"/>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928"/>
        <w:gridCol w:w="6973"/>
      </w:tblGrid>
      <w:tr w14:paraId="7E6F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91" w:type="dxa"/>
            <w:noWrap w:val="0"/>
            <w:vAlign w:val="center"/>
          </w:tcPr>
          <w:p w14:paraId="045DE5A3">
            <w:pPr>
              <w:spacing w:line="240"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类别</w:t>
            </w:r>
          </w:p>
        </w:tc>
        <w:tc>
          <w:tcPr>
            <w:tcW w:w="1928" w:type="dxa"/>
            <w:noWrap w:val="0"/>
            <w:vAlign w:val="center"/>
          </w:tcPr>
          <w:p w14:paraId="35D2A150">
            <w:pPr>
              <w:pStyle w:val="99"/>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评分因素及分值</w:t>
            </w:r>
          </w:p>
        </w:tc>
        <w:tc>
          <w:tcPr>
            <w:tcW w:w="6973" w:type="dxa"/>
            <w:noWrap w:val="0"/>
            <w:vAlign w:val="center"/>
          </w:tcPr>
          <w:p w14:paraId="683876D6">
            <w:pPr>
              <w:spacing w:line="2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评价标准</w:t>
            </w:r>
          </w:p>
        </w:tc>
      </w:tr>
      <w:tr w14:paraId="024D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restart"/>
            <w:noWrap w:val="0"/>
            <w:vAlign w:val="center"/>
          </w:tcPr>
          <w:p w14:paraId="48502C25">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技术分</w:t>
            </w:r>
          </w:p>
          <w:p w14:paraId="73CCDE36">
            <w:pPr>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（70分）</w:t>
            </w:r>
          </w:p>
        </w:tc>
        <w:tc>
          <w:tcPr>
            <w:tcW w:w="1928" w:type="dxa"/>
            <w:noWrap w:val="0"/>
            <w:vAlign w:val="center"/>
          </w:tcPr>
          <w:p w14:paraId="6B4E91DA">
            <w:pPr>
              <w:pStyle w:val="99"/>
              <w:jc w:val="center"/>
              <w:rPr>
                <w:rFonts w:hint="eastAsia" w:ascii="宋体" w:hAnsi="宋体"/>
                <w:b w:val="0"/>
                <w:bCs w:val="0"/>
                <w:color w:val="auto"/>
                <w:kern w:val="2"/>
                <w:sz w:val="24"/>
                <w:szCs w:val="24"/>
                <w:highlight w:val="none"/>
                <w:lang w:val="en-US" w:eastAsia="zh-CN" w:bidi="ar-SA"/>
              </w:rPr>
            </w:pPr>
            <w:r>
              <w:rPr>
                <w:rFonts w:hint="eastAsia" w:ascii="宋体" w:hAnsi="宋体"/>
                <w:b w:val="0"/>
                <w:bCs w:val="0"/>
                <w:color w:val="auto"/>
                <w:sz w:val="24"/>
                <w:szCs w:val="24"/>
                <w:highlight w:val="none"/>
                <w:lang w:val="en-US" w:eastAsia="zh-CN"/>
              </w:rPr>
              <w:t>企业业绩</w:t>
            </w:r>
            <w:r>
              <w:rPr>
                <w:rFonts w:hint="eastAsia" w:ascii="宋体" w:hAnsi="宋体"/>
                <w:b w:val="0"/>
                <w:bCs w:val="0"/>
                <w:color w:val="auto"/>
                <w:sz w:val="24"/>
                <w:szCs w:val="24"/>
                <w:highlight w:val="none"/>
                <w:lang w:val="en-US" w:eastAsia="zh-CN"/>
              </w:rPr>
              <w:t>（5分）</w:t>
            </w:r>
          </w:p>
        </w:tc>
        <w:tc>
          <w:tcPr>
            <w:tcW w:w="6973" w:type="dxa"/>
            <w:noWrap w:val="0"/>
            <w:vAlign w:val="center"/>
          </w:tcPr>
          <w:p w14:paraId="4B65DAB8">
            <w:pPr>
              <w:pStyle w:val="18"/>
              <w:pageBreakBefore w:val="0"/>
              <w:kinsoku/>
              <w:overflowPunct/>
              <w:topLinePunct w:val="0"/>
              <w:autoSpaceDE w:val="0"/>
              <w:autoSpaceDN w:val="0"/>
              <w:bidi w:val="0"/>
              <w:adjustRightInd w:val="0"/>
              <w:spacing w:line="360" w:lineRule="auto"/>
              <w:jc w:val="both"/>
              <w:rPr>
                <w:rFonts w:hint="eastAsia" w:ascii="宋体" w:hAnsi="宋体" w:cs="宋体"/>
                <w:b w:val="0"/>
                <w:bCs w:val="0"/>
                <w:color w:val="auto"/>
                <w:sz w:val="24"/>
                <w:szCs w:val="24"/>
                <w:highlight w:val="none"/>
                <w:lang w:val="en-US" w:eastAsia="zh-CN"/>
              </w:rPr>
            </w:pPr>
            <w:r>
              <w:rPr>
                <w:rFonts w:hint="eastAsia" w:ascii="宋体" w:hAnsi="宋体" w:cs="宋体"/>
                <w:bCs/>
                <w:color w:val="auto"/>
                <w:sz w:val="24"/>
                <w:szCs w:val="24"/>
                <w:highlight w:val="none"/>
              </w:rPr>
              <w:t>201</w:t>
            </w:r>
            <w:r>
              <w:rPr>
                <w:rFonts w:hint="eastAsia" w:ascii="宋体" w:hAnsi="宋体" w:cs="宋体"/>
                <w:bCs/>
                <w:color w:val="auto"/>
                <w:sz w:val="24"/>
                <w:szCs w:val="24"/>
                <w:highlight w:val="none"/>
                <w:lang w:val="en-US" w:eastAsia="zh-CN"/>
              </w:rPr>
              <w:t>9</w:t>
            </w:r>
            <w:r>
              <w:rPr>
                <w:rFonts w:hint="eastAsia" w:ascii="宋体" w:hAnsi="宋体" w:cs="宋体"/>
                <w:bCs/>
                <w:color w:val="auto"/>
                <w:sz w:val="24"/>
                <w:szCs w:val="24"/>
                <w:highlight w:val="none"/>
              </w:rPr>
              <w:t>年1月1日以来</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以合同签订时间为准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投标人每具有一项</w:t>
            </w:r>
            <w:r>
              <w:rPr>
                <w:rFonts w:hint="eastAsia" w:ascii="宋体" w:hAnsi="宋体" w:cs="宋体"/>
                <w:b w:val="0"/>
                <w:bCs w:val="0"/>
                <w:color w:val="auto"/>
                <w:sz w:val="24"/>
                <w:szCs w:val="24"/>
                <w:highlight w:val="none"/>
                <w:lang w:val="en-US" w:eastAsia="zh-CN"/>
              </w:rPr>
              <w:t>类似业绩得</w:t>
            </w:r>
            <w:r>
              <w:rPr>
                <w:rFonts w:hint="eastAsia" w:ascii="宋体" w:hAnsi="宋体" w:cs="宋体"/>
                <w:b w:val="0"/>
                <w:bCs w:val="0"/>
                <w:color w:val="auto"/>
                <w:sz w:val="24"/>
                <w:szCs w:val="24"/>
                <w:highlight w:val="none"/>
                <w:lang w:val="en-US" w:eastAsia="zh-CN"/>
              </w:rPr>
              <w:t>2.5分，满分5分</w:t>
            </w:r>
            <w:r>
              <w:rPr>
                <w:rFonts w:hint="eastAsia" w:ascii="宋体" w:hAnsi="宋体" w:cs="宋体"/>
                <w:b w:val="0"/>
                <w:bCs w:val="0"/>
                <w:color w:val="auto"/>
                <w:sz w:val="24"/>
                <w:szCs w:val="24"/>
                <w:highlight w:val="none"/>
                <w:lang w:val="en-US" w:eastAsia="zh-CN"/>
              </w:rPr>
              <w:t>。</w:t>
            </w:r>
          </w:p>
          <w:p w14:paraId="447F88D7">
            <w:pPr>
              <w:overflowPunct w:val="0"/>
              <w:spacing w:line="360" w:lineRule="auto"/>
              <w:rPr>
                <w:rFonts w:hint="eastAsia"/>
                <w:bCs/>
                <w:color w:val="auto"/>
                <w:kern w:val="2"/>
                <w:sz w:val="21"/>
                <w:szCs w:val="21"/>
                <w:highlight w:val="none"/>
                <w:lang w:val="en-US" w:eastAsia="zh-CN" w:bidi="ar-SA"/>
              </w:rPr>
            </w:pPr>
            <w:r>
              <w:rPr>
                <w:rFonts w:hint="eastAsia" w:ascii="宋体" w:hAnsi="宋体" w:cs="宋体"/>
                <w:b/>
                <w:bCs/>
                <w:color w:val="auto"/>
                <w:sz w:val="24"/>
                <w:szCs w:val="24"/>
                <w:highlight w:val="none"/>
                <w:lang w:val="en-US" w:eastAsia="zh-CN"/>
              </w:rPr>
              <w:t>类似业绩指石料、砂石或渣土运输服务业绩。提供业绩合同，如合同无法明确体现评审要素，另外提供合同甲方出具的书面证明材料。</w:t>
            </w:r>
          </w:p>
        </w:tc>
      </w:tr>
      <w:tr w14:paraId="514B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continue"/>
            <w:noWrap w:val="0"/>
            <w:vAlign w:val="center"/>
          </w:tcPr>
          <w:p w14:paraId="6A802FB7">
            <w:pPr>
              <w:jc w:val="center"/>
              <w:rPr>
                <w:rFonts w:hint="eastAsia" w:ascii="宋体" w:hAnsi="宋体" w:eastAsia="宋体" w:cs="宋体"/>
                <w:b/>
                <w:bCs/>
                <w:color w:val="auto"/>
                <w:sz w:val="24"/>
                <w:szCs w:val="24"/>
                <w:highlight w:val="none"/>
                <w:lang w:val="en-US" w:eastAsia="zh-CN"/>
              </w:rPr>
            </w:pPr>
          </w:p>
        </w:tc>
        <w:tc>
          <w:tcPr>
            <w:tcW w:w="1928" w:type="dxa"/>
            <w:noWrap w:val="0"/>
            <w:vAlign w:val="center"/>
          </w:tcPr>
          <w:p w14:paraId="35AFFF9F">
            <w:pPr>
              <w:widowControl/>
              <w:spacing w:line="240" w:lineRule="auto"/>
              <w:jc w:val="center"/>
              <w:rPr>
                <w:rFonts w:hint="eastAsia" w:ascii="宋体" w:hAnsi="宋体"/>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自有运输车辆、机械设备</w:t>
            </w:r>
            <w:r>
              <w:rPr>
                <w:rFonts w:hint="eastAsia" w:ascii="宋体" w:hAnsi="宋体" w:cs="宋体"/>
                <w:b w:val="0"/>
                <w:bCs w:val="0"/>
                <w:color w:val="auto"/>
                <w:sz w:val="24"/>
                <w:szCs w:val="24"/>
                <w:highlight w:val="none"/>
                <w:lang w:val="en-US" w:eastAsia="zh-CN"/>
              </w:rPr>
              <w:t>（18分）</w:t>
            </w:r>
          </w:p>
        </w:tc>
        <w:tc>
          <w:tcPr>
            <w:tcW w:w="6973" w:type="dxa"/>
            <w:noWrap w:val="0"/>
            <w:vAlign w:val="center"/>
          </w:tcPr>
          <w:p w14:paraId="5AC77B65">
            <w:pPr>
              <w:pStyle w:val="18"/>
              <w:pageBreakBefore w:val="0"/>
              <w:kinsoku/>
              <w:overflowPunct/>
              <w:topLinePunct w:val="0"/>
              <w:autoSpaceDE w:val="0"/>
              <w:autoSpaceDN w:val="0"/>
              <w:bidi w:val="0"/>
              <w:adjustRightInd w:val="0"/>
              <w:spacing w:line="360" w:lineRule="auto"/>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1、投标人在满足资格要求自有15辆年审合格的国V及以上排放标准的3轴或4轴重型自卸货车的基础上，每增加配备一辆上述标准的自有车辆，</w:t>
            </w:r>
            <w:r>
              <w:rPr>
                <w:rFonts w:hint="eastAsia" w:ascii="宋体" w:hAnsi="宋体" w:eastAsia="宋体" w:cs="宋体"/>
                <w:b w:val="0"/>
                <w:bCs w:val="0"/>
                <w:color w:val="auto"/>
                <w:sz w:val="24"/>
                <w:szCs w:val="24"/>
                <w:highlight w:val="none"/>
                <w:lang w:val="en-US" w:eastAsia="zh-CN"/>
              </w:rPr>
              <w:t>得</w:t>
            </w:r>
            <w:r>
              <w:rPr>
                <w:rFonts w:hint="eastAsia" w:ascii="宋体" w:hAnsi="宋体" w:cs="宋体"/>
                <w:b w:val="0"/>
                <w:bCs w:val="0"/>
                <w:color w:val="auto"/>
                <w:sz w:val="24"/>
                <w:szCs w:val="24"/>
                <w:highlight w:val="none"/>
                <w:lang w:val="en-US" w:eastAsia="zh-CN"/>
              </w:rPr>
              <w:t>0.7</w:t>
            </w:r>
            <w:r>
              <w:rPr>
                <w:rFonts w:hint="eastAsia" w:ascii="宋体" w:hAnsi="宋体" w:eastAsia="宋体" w:cs="宋体"/>
                <w:b w:val="0"/>
                <w:bCs w:val="0"/>
                <w:color w:val="auto"/>
                <w:sz w:val="24"/>
                <w:szCs w:val="24"/>
                <w:highlight w:val="none"/>
                <w:lang w:val="en-US" w:eastAsia="zh-CN"/>
              </w:rPr>
              <w:t>分，满分</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lang w:val="en-US" w:eastAsia="zh-CN"/>
              </w:rPr>
              <w:t>。车辆数量仅满足资格要求，本条不得分。</w:t>
            </w:r>
          </w:p>
          <w:p w14:paraId="23F71AF5">
            <w:pPr>
              <w:pStyle w:val="18"/>
              <w:pageBreakBefore w:val="0"/>
              <w:kinsoku/>
              <w:overflowPunct/>
              <w:topLinePunct w:val="0"/>
              <w:autoSpaceDE w:val="0"/>
              <w:autoSpaceDN w:val="0"/>
              <w:bidi w:val="0"/>
              <w:adjustRightInd w:val="0"/>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提供车辆行驶证、车辆登记证和车辆营运证，且相关材料须能体现车辆年审合格。自有是指车辆所有权人名称与投标人名称一致。</w:t>
            </w:r>
          </w:p>
          <w:p w14:paraId="2EE0E2E2">
            <w:pPr>
              <w:pStyle w:val="18"/>
              <w:keepNext w:val="0"/>
              <w:keepLines w:val="0"/>
              <w:pageBreakBefore w:val="0"/>
              <w:numPr>
                <w:ilvl w:val="0"/>
                <w:numId w:val="0"/>
              </w:numPr>
              <w:kinsoku/>
              <w:wordWrap/>
              <w:overflowPunct/>
              <w:topLinePunct w:val="0"/>
              <w:autoSpaceDE w:val="0"/>
              <w:autoSpaceDN w:val="0"/>
              <w:bidi w:val="0"/>
              <w:adjustRightInd w:val="0"/>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2、投标人自有平板拖车、起重车（吊车）、流动维修车的，每具有1个类型车辆得1分，满分3分。</w:t>
            </w:r>
          </w:p>
          <w:p w14:paraId="56B82814">
            <w:pPr>
              <w:pStyle w:val="18"/>
              <w:keepNext w:val="0"/>
              <w:keepLines w:val="0"/>
              <w:pageBreakBefore w:val="0"/>
              <w:numPr>
                <w:ilvl w:val="0"/>
                <w:numId w:val="0"/>
              </w:numPr>
              <w:kinsoku/>
              <w:wordWrap/>
              <w:overflowPunct/>
              <w:topLinePunct w:val="0"/>
              <w:autoSpaceDE w:val="0"/>
              <w:autoSpaceDN w:val="0"/>
              <w:bidi w:val="0"/>
              <w:adjustRightInd w:val="0"/>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提供车辆行驶证、车辆登记证，相关材料须能体现车辆年审合格；提供材料照片，车辆照片须能体现车辆类型。自有是指车辆所有权人名称与投标人名称一致。</w:t>
            </w:r>
          </w:p>
          <w:p w14:paraId="1B65CD75">
            <w:pPr>
              <w:pStyle w:val="18"/>
              <w:keepNext w:val="0"/>
              <w:keepLines w:val="0"/>
              <w:pageBreakBefore w:val="0"/>
              <w:numPr>
                <w:ilvl w:val="0"/>
                <w:numId w:val="0"/>
              </w:numPr>
              <w:kinsoku/>
              <w:wordWrap/>
              <w:overflowPunct/>
              <w:topLinePunct w:val="0"/>
              <w:autoSpaceDE w:val="0"/>
              <w:autoSpaceDN w:val="0"/>
              <w:bidi w:val="0"/>
              <w:adjustRightInd w:val="0"/>
              <w:spacing w:line="360" w:lineRule="auto"/>
              <w:ind w:leftChars="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投标人在满足资格要求自有1台300型（含）以上挖掘机的基础上，每增加配备1台挖掘机得0.5分，满分1.5分；投标人在满足资格要求自有1台50型铲车（装载机）的基础上，每增加配备1台铲车（装载机）得0.5分，满分1.5分。挖掘机、铲车数量仅满足资格要求的，本条不得分。</w:t>
            </w:r>
          </w:p>
          <w:p w14:paraId="45A49B85">
            <w:pPr>
              <w:pStyle w:val="18"/>
              <w:keepNext w:val="0"/>
              <w:keepLines w:val="0"/>
              <w:pageBreakBefore w:val="0"/>
              <w:numPr>
                <w:ilvl w:val="0"/>
                <w:numId w:val="0"/>
              </w:numPr>
              <w:kinsoku/>
              <w:wordWrap/>
              <w:overflowPunct/>
              <w:topLinePunct w:val="0"/>
              <w:autoSpaceDE w:val="0"/>
              <w:autoSpaceDN w:val="0"/>
              <w:bidi w:val="0"/>
              <w:adjustRightInd w:val="0"/>
              <w:spacing w:line="360" w:lineRule="auto"/>
              <w:ind w:left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提供机械设备清单和购进发票；自有是指发票中购买方名称与投标人名称一致。</w:t>
            </w:r>
          </w:p>
          <w:p w14:paraId="546BE3E7">
            <w:pPr>
              <w:pStyle w:val="18"/>
              <w:keepNext w:val="0"/>
              <w:keepLines w:val="0"/>
              <w:pageBreakBefore w:val="0"/>
              <w:kinsoku/>
              <w:wordWrap/>
              <w:overflowPunct/>
              <w:topLinePunct w:val="0"/>
              <w:autoSpaceDE w:val="0"/>
              <w:autoSpaceDN w:val="0"/>
              <w:bidi w:val="0"/>
              <w:adjustRightInd w:val="0"/>
              <w:spacing w:line="360" w:lineRule="auto"/>
              <w:ind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4、投标人满足资格要求和获得上述第1条评分的自有车辆，单车购买的“第三者责任险”保额在100万元及以上且处于保险有效期内的，每1辆车得0.2分，满分5分。</w:t>
            </w:r>
          </w:p>
          <w:p w14:paraId="70DAB943">
            <w:pPr>
              <w:pStyle w:val="18"/>
              <w:pageBreakBefore w:val="0"/>
              <w:kinsoku/>
              <w:overflowPunct/>
              <w:topLinePunct w:val="0"/>
              <w:autoSpaceDE w:val="0"/>
              <w:autoSpaceDN w:val="0"/>
              <w:bidi w:val="0"/>
              <w:adjustRightInd w:val="0"/>
              <w:spacing w:line="360" w:lineRule="auto"/>
              <w:jc w:val="both"/>
              <w:rPr>
                <w:rFonts w:hint="eastAsia" w:ascii="宋体" w:hAnsi="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提供车辆保险保单</w:t>
            </w:r>
          </w:p>
        </w:tc>
      </w:tr>
      <w:tr w14:paraId="2085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continue"/>
            <w:noWrap w:val="0"/>
            <w:vAlign w:val="center"/>
          </w:tcPr>
          <w:p w14:paraId="27B88846">
            <w:pPr>
              <w:jc w:val="center"/>
              <w:rPr>
                <w:rFonts w:hint="eastAsia" w:ascii="宋体" w:hAnsi="宋体" w:eastAsia="宋体" w:cs="宋体"/>
                <w:b/>
                <w:bCs/>
                <w:color w:val="auto"/>
                <w:sz w:val="24"/>
                <w:szCs w:val="24"/>
                <w:highlight w:val="none"/>
                <w:lang w:val="en-US" w:eastAsia="zh-CN"/>
              </w:rPr>
            </w:pPr>
          </w:p>
        </w:tc>
        <w:tc>
          <w:tcPr>
            <w:tcW w:w="1928" w:type="dxa"/>
            <w:noWrap w:val="0"/>
            <w:vAlign w:val="center"/>
          </w:tcPr>
          <w:p w14:paraId="4ED68685">
            <w:pPr>
              <w:widowControl/>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管理与服务人员配备</w:t>
            </w:r>
            <w:r>
              <w:rPr>
                <w:rFonts w:hint="eastAsia" w:ascii="宋体" w:hAnsi="宋体" w:cs="宋体"/>
                <w:b w:val="0"/>
                <w:bCs w:val="0"/>
                <w:color w:val="auto"/>
                <w:sz w:val="24"/>
                <w:szCs w:val="24"/>
                <w:highlight w:val="none"/>
                <w:lang w:val="en-US" w:eastAsia="zh-CN"/>
              </w:rPr>
              <w:t>（17分）</w:t>
            </w:r>
          </w:p>
        </w:tc>
        <w:tc>
          <w:tcPr>
            <w:tcW w:w="6973" w:type="dxa"/>
            <w:noWrap w:val="0"/>
            <w:vAlign w:val="center"/>
          </w:tcPr>
          <w:p w14:paraId="76DC5C35">
            <w:pPr>
              <w:pStyle w:val="18"/>
              <w:keepNext w:val="0"/>
              <w:keepLines w:val="0"/>
              <w:pageBreakBefore w:val="0"/>
              <w:kinsoku/>
              <w:wordWrap/>
              <w:overflowPunct/>
              <w:topLinePunct w:val="0"/>
              <w:autoSpaceDE w:val="0"/>
              <w:autoSpaceDN w:val="0"/>
              <w:bidi w:val="0"/>
              <w:adjustRightInd w:val="0"/>
              <w:spacing w:line="360" w:lineRule="auto"/>
              <w:ind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1、除运输车辆专职驾驶员外，投标人拟配备于本项目的管理岗位人员，包括项目负责人以及安全、调度、生产、运输等管理岗位人员，每满足1个岗位要求得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分，满</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p>
          <w:p w14:paraId="14343061">
            <w:pPr>
              <w:pStyle w:val="18"/>
              <w:keepNext w:val="0"/>
              <w:keepLines w:val="0"/>
              <w:pageBreakBefore w:val="0"/>
              <w:kinsoku/>
              <w:wordWrap/>
              <w:overflowPunct/>
              <w:topLinePunct w:val="0"/>
              <w:autoSpaceDE w:val="0"/>
              <w:autoSpaceDN w:val="0"/>
              <w:bidi w:val="0"/>
              <w:adjustRightInd w:val="0"/>
              <w:spacing w:line="360" w:lineRule="auto"/>
              <w:ind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提供项目管理岗位人员配备表，一人一岗不得兼任。</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提供投标人为人员缴纳的近6个月（从投标截止时间当月或上一月向前追溯）的连续社保证明，社保证明</w:t>
            </w:r>
            <w:r>
              <w:rPr>
                <w:rFonts w:hint="eastAsia" w:ascii="宋体" w:hAnsi="宋体" w:eastAsia="宋体" w:cs="宋体"/>
                <w:b/>
                <w:color w:val="auto"/>
                <w:sz w:val="24"/>
                <w:szCs w:val="24"/>
                <w:highlight w:val="none"/>
              </w:rPr>
              <w:t>可为下述形式之一：</w:t>
            </w:r>
            <w:r>
              <w:rPr>
                <w:rFonts w:hint="eastAsia" w:ascii="宋体" w:hAnsi="宋体" w:eastAsia="宋体" w:cs="宋体"/>
                <w:b/>
                <w:color w:val="auto"/>
                <w:sz w:val="24"/>
                <w:szCs w:val="24"/>
                <w:highlight w:val="none"/>
                <w:lang w:val="en-US" w:eastAsia="zh-CN"/>
              </w:rPr>
              <w:t>①人社部门</w:t>
            </w:r>
            <w:r>
              <w:rPr>
                <w:rFonts w:hint="eastAsia" w:ascii="宋体" w:hAnsi="宋体" w:eastAsia="宋体" w:cs="宋体"/>
                <w:b/>
                <w:color w:val="auto"/>
                <w:sz w:val="24"/>
                <w:szCs w:val="24"/>
                <w:highlight w:val="none"/>
              </w:rPr>
              <w:t>官方网站查询的人员缴费记录打印件或截图；</w:t>
            </w:r>
            <w:r>
              <w:rPr>
                <w:rFonts w:hint="eastAsia" w:ascii="宋体" w:hAnsi="宋体" w:eastAsia="宋体" w:cs="宋体"/>
                <w:b/>
                <w:color w:val="auto"/>
                <w:sz w:val="24"/>
                <w:szCs w:val="24"/>
                <w:highlight w:val="none"/>
                <w:lang w:val="en-US" w:eastAsia="zh-CN"/>
              </w:rPr>
              <w:t>②人社部门出具</w:t>
            </w:r>
            <w:r>
              <w:rPr>
                <w:rFonts w:hint="eastAsia" w:ascii="宋体" w:hAnsi="宋体" w:eastAsia="宋体" w:cs="宋体"/>
                <w:b/>
                <w:color w:val="auto"/>
                <w:sz w:val="24"/>
                <w:szCs w:val="24"/>
                <w:highlight w:val="none"/>
              </w:rPr>
              <w:t>的书面证明材料</w:t>
            </w:r>
            <w:r>
              <w:rPr>
                <w:rFonts w:hint="eastAsia" w:ascii="宋体" w:hAnsi="宋体" w:eastAsia="宋体" w:cs="宋体"/>
                <w:b/>
                <w:bCs/>
                <w:color w:val="auto"/>
                <w:kern w:val="0"/>
                <w:sz w:val="24"/>
                <w:szCs w:val="24"/>
                <w:highlight w:val="none"/>
                <w:lang w:val="en-US" w:eastAsia="zh-CN" w:bidi="ar"/>
              </w:rPr>
              <w:t>。</w:t>
            </w:r>
          </w:p>
          <w:p w14:paraId="4D6CFD86">
            <w:pPr>
              <w:pStyle w:val="18"/>
              <w:pageBreakBefore w:val="0"/>
              <w:kinsoku/>
              <w:overflowPunct/>
              <w:topLinePunct w:val="0"/>
              <w:autoSpaceDE w:val="0"/>
              <w:autoSpaceDN w:val="0"/>
              <w:bidi w:val="0"/>
              <w:adjustRightInd w:val="0"/>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2、投标人配备于本项目的运输车辆专职驾驶员，人数在满足资格要求15人的基础上每增加配备1人</w:t>
            </w:r>
            <w:r>
              <w:rPr>
                <w:rFonts w:hint="eastAsia" w:ascii="宋体" w:hAnsi="宋体" w:eastAsia="宋体" w:cs="宋体"/>
                <w:b w:val="0"/>
                <w:bCs w:val="0"/>
                <w:color w:val="auto"/>
                <w:sz w:val="24"/>
                <w:szCs w:val="24"/>
                <w:highlight w:val="none"/>
                <w:lang w:val="en-US" w:eastAsia="zh-CN"/>
              </w:rPr>
              <w:t>得0.</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分，满分</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lang w:val="en-US" w:eastAsia="zh-CN"/>
              </w:rPr>
              <w:t>。运输车辆专职驾驶员人数仅满足资格要求的，本条不得分。</w:t>
            </w:r>
          </w:p>
          <w:p w14:paraId="2E322831">
            <w:pPr>
              <w:pStyle w:val="18"/>
              <w:pageBreakBefore w:val="0"/>
              <w:kinsoku/>
              <w:overflowPunct/>
              <w:topLinePunct w:val="0"/>
              <w:autoSpaceDE w:val="0"/>
              <w:autoSpaceDN w:val="0"/>
              <w:bidi w:val="0"/>
              <w:adjustRightInd w:val="0"/>
              <w:spacing w:line="360" w:lineRule="auto"/>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3、投标人配备于本项目的运输车辆专职驾驶员中（包括满足资格的人员和增加人员），具有社会工伤保险的，每1人得0.2分，满分5分。</w:t>
            </w:r>
          </w:p>
          <w:p w14:paraId="4FA1D1EB">
            <w:pPr>
              <w:pStyle w:val="18"/>
              <w:pageBreakBefore w:val="0"/>
              <w:kinsoku/>
              <w:overflowPunct/>
              <w:topLinePunct w:val="0"/>
              <w:autoSpaceDE w:val="0"/>
              <w:autoSpaceDN w:val="0"/>
              <w:bidi w:val="0"/>
              <w:adjustRightInd w:val="0"/>
              <w:spacing w:line="360" w:lineRule="auto"/>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注：</w:t>
            </w:r>
            <w:r>
              <w:rPr>
                <w:rFonts w:hint="eastAsia" w:ascii="宋体" w:hAnsi="宋体" w:cs="宋体"/>
                <w:b/>
                <w:bCs/>
                <w:color w:val="auto"/>
                <w:sz w:val="24"/>
                <w:szCs w:val="24"/>
                <w:highlight w:val="none"/>
                <w:lang w:val="en-US" w:eastAsia="zh-CN"/>
              </w:rPr>
              <w:t>第2、3项评分，（1）</w:t>
            </w:r>
            <w:r>
              <w:rPr>
                <w:rFonts w:hint="eastAsia" w:ascii="宋体" w:hAnsi="宋体" w:eastAsia="宋体" w:cs="宋体"/>
                <w:b/>
                <w:bCs/>
                <w:color w:val="auto"/>
                <w:sz w:val="24"/>
                <w:szCs w:val="24"/>
                <w:highlight w:val="none"/>
                <w:lang w:val="en-US" w:eastAsia="zh-CN"/>
              </w:rPr>
              <w:t>提供运输车辆专职驾驶员（满足资格的人员和增加人员）清单、符合本项目机动车准驾车型的驾驶证（代号A1、A2、B2）、道路运输从业人员从业资格证、身份证。</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提供投标人为运输车辆专职驾驶员缴纳的近6个月（从投标截止时间当月或上一月向前追溯）的连续社会工伤保险证明，工伤保险证明</w:t>
            </w:r>
            <w:r>
              <w:rPr>
                <w:rFonts w:hint="eastAsia" w:ascii="宋体" w:hAnsi="宋体" w:eastAsia="宋体" w:cs="宋体"/>
                <w:b/>
                <w:color w:val="auto"/>
                <w:sz w:val="24"/>
                <w:szCs w:val="24"/>
                <w:highlight w:val="none"/>
              </w:rPr>
              <w:t>可为下述形式之一：</w:t>
            </w:r>
            <w:r>
              <w:rPr>
                <w:rFonts w:hint="eastAsia" w:ascii="宋体" w:hAnsi="宋体" w:eastAsia="宋体" w:cs="宋体"/>
                <w:b/>
                <w:color w:val="auto"/>
                <w:sz w:val="24"/>
                <w:szCs w:val="24"/>
                <w:highlight w:val="none"/>
                <w:lang w:val="en-US" w:eastAsia="zh-CN"/>
              </w:rPr>
              <w:t>①人社部门</w:t>
            </w:r>
            <w:r>
              <w:rPr>
                <w:rFonts w:hint="eastAsia" w:ascii="宋体" w:hAnsi="宋体" w:eastAsia="宋体" w:cs="宋体"/>
                <w:b/>
                <w:color w:val="auto"/>
                <w:sz w:val="24"/>
                <w:szCs w:val="24"/>
                <w:highlight w:val="none"/>
              </w:rPr>
              <w:t>官方网站查询的人员缴费记录打印件或截图；</w:t>
            </w:r>
            <w:r>
              <w:rPr>
                <w:rFonts w:hint="eastAsia" w:ascii="宋体" w:hAnsi="宋体" w:eastAsia="宋体" w:cs="宋体"/>
                <w:b/>
                <w:color w:val="auto"/>
                <w:sz w:val="24"/>
                <w:szCs w:val="24"/>
                <w:highlight w:val="none"/>
                <w:lang w:val="en-US" w:eastAsia="zh-CN"/>
              </w:rPr>
              <w:t>②人社部门出具</w:t>
            </w:r>
            <w:r>
              <w:rPr>
                <w:rFonts w:hint="eastAsia" w:ascii="宋体" w:hAnsi="宋体" w:eastAsia="宋体" w:cs="宋体"/>
                <w:b/>
                <w:color w:val="auto"/>
                <w:sz w:val="24"/>
                <w:szCs w:val="24"/>
                <w:highlight w:val="none"/>
              </w:rPr>
              <w:t>的书面证明材料</w:t>
            </w:r>
            <w:r>
              <w:rPr>
                <w:rFonts w:hint="eastAsia" w:ascii="宋体" w:hAnsi="宋体" w:eastAsia="宋体" w:cs="宋体"/>
                <w:b/>
                <w:bCs/>
                <w:color w:val="auto"/>
                <w:kern w:val="0"/>
                <w:sz w:val="24"/>
                <w:szCs w:val="24"/>
                <w:highlight w:val="none"/>
                <w:lang w:val="en-US" w:eastAsia="zh-CN" w:bidi="ar"/>
              </w:rPr>
              <w:t>。</w:t>
            </w:r>
          </w:p>
        </w:tc>
      </w:tr>
      <w:tr w14:paraId="0965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continue"/>
            <w:noWrap w:val="0"/>
            <w:vAlign w:val="center"/>
          </w:tcPr>
          <w:p w14:paraId="1340067A">
            <w:pPr>
              <w:jc w:val="center"/>
              <w:rPr>
                <w:rFonts w:hint="default" w:ascii="宋体" w:hAnsi="宋体" w:eastAsia="宋体" w:cs="宋体"/>
                <w:b/>
                <w:bCs/>
                <w:color w:val="auto"/>
                <w:sz w:val="24"/>
                <w:szCs w:val="24"/>
                <w:highlight w:val="none"/>
                <w:lang w:val="en-US" w:eastAsia="zh-CN"/>
              </w:rPr>
            </w:pPr>
          </w:p>
        </w:tc>
        <w:tc>
          <w:tcPr>
            <w:tcW w:w="1928" w:type="dxa"/>
            <w:vMerge w:val="restart"/>
            <w:noWrap w:val="0"/>
            <w:vAlign w:val="center"/>
          </w:tcPr>
          <w:p w14:paraId="261FA875">
            <w:pPr>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服务方案（30分）</w:t>
            </w:r>
          </w:p>
        </w:tc>
        <w:tc>
          <w:tcPr>
            <w:tcW w:w="6973" w:type="dxa"/>
            <w:noWrap w:val="0"/>
            <w:vAlign w:val="center"/>
          </w:tcPr>
          <w:p w14:paraId="1FA8DFDD">
            <w:pPr>
              <w:keepNext w:val="0"/>
              <w:keepLines w:val="0"/>
              <w:pageBreakBefore w:val="0"/>
              <w:kinsoku/>
              <w:wordWrap/>
              <w:topLinePunct w:val="0"/>
              <w:bidi w:val="0"/>
              <w:adjustRightInd w:val="0"/>
              <w:snapToGrid w:val="0"/>
              <w:spacing w:line="44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（一）</w:t>
            </w:r>
            <w:r>
              <w:rPr>
                <w:rFonts w:hint="eastAsia" w:ascii="宋体" w:hAnsi="宋体" w:eastAsia="宋体" w:cs="宋体"/>
                <w:b/>
                <w:bCs/>
                <w:color w:val="auto"/>
                <w:sz w:val="24"/>
                <w:szCs w:val="24"/>
                <w:highlight w:val="none"/>
                <w:lang w:val="en-US" w:eastAsia="zh-CN"/>
              </w:rPr>
              <w:t>总体方案（6分）</w:t>
            </w:r>
          </w:p>
          <w:p w14:paraId="5649E256">
            <w:pPr>
              <w:keepNext w:val="0"/>
              <w:keepLines w:val="0"/>
              <w:pageBreakBefore w:val="0"/>
              <w:kinsoku/>
              <w:wordWrap/>
              <w:topLinePunct w:val="0"/>
              <w:bidi w:val="0"/>
              <w:adjustRightInd w:val="0"/>
              <w:snapToGrid w:val="0"/>
              <w:spacing w:line="440" w:lineRule="exact"/>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投标人根据项目需求编制项目总体方案，至少包含下列内容：①项目需求分析与资源投入；②服务流程设计；③企业制度建设。</w:t>
            </w:r>
          </w:p>
          <w:p w14:paraId="37A23A69">
            <w:pPr>
              <w:keepNext w:val="0"/>
              <w:keepLines w:val="0"/>
              <w:pageBreakBefore w:val="0"/>
              <w:widowControl/>
              <w:kinsoku/>
              <w:wordWrap/>
              <w:overflowPunct w:val="0"/>
              <w:topLinePunct w:val="0"/>
              <w:autoSpaceDE w:val="0"/>
              <w:autoSpaceDN w:val="0"/>
              <w:bidi w:val="0"/>
              <w:adjustRightInd w:val="0"/>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根据方案中针对上述各小项内容的体现情况，由投标委员会进行评审：</w:t>
            </w:r>
            <w:r>
              <w:rPr>
                <w:rFonts w:hint="eastAsia" w:ascii="宋体" w:hAnsi="宋体" w:eastAsia="宋体" w:cs="宋体"/>
                <w:color w:val="auto"/>
                <w:kern w:val="2"/>
                <w:sz w:val="24"/>
                <w:szCs w:val="24"/>
                <w:highlight w:val="none"/>
                <w:lang w:val="en-US" w:eastAsia="zh-CN" w:bidi="ar-SA"/>
              </w:rPr>
              <w:t>方案优</w:t>
            </w:r>
            <w:r>
              <w:rPr>
                <w:rFonts w:hint="eastAsia" w:ascii="宋体" w:hAnsi="宋体" w:eastAsia="宋体" w:cs="宋体"/>
                <w:color w:val="auto"/>
                <w:spacing w:val="0"/>
                <w:w w:val="100"/>
                <w:position w:val="0"/>
                <w:sz w:val="24"/>
                <w:szCs w:val="24"/>
                <w:highlight w:val="none"/>
                <w:lang w:val="en-US" w:eastAsia="zh-CN"/>
              </w:rPr>
              <w:t>的得</w:t>
            </w:r>
            <w:r>
              <w:rPr>
                <w:rFonts w:hint="eastAsia" w:ascii="宋体" w:hAnsi="宋体" w:cs="宋体"/>
                <w:color w:val="auto"/>
                <w:spacing w:val="0"/>
                <w:w w:val="100"/>
                <w:position w:val="0"/>
                <w:sz w:val="24"/>
                <w:szCs w:val="24"/>
                <w:highlight w:val="none"/>
                <w:lang w:val="en-US" w:eastAsia="zh-CN"/>
              </w:rPr>
              <w:t>5.4</w:t>
            </w:r>
            <w:r>
              <w:rPr>
                <w:rFonts w:hint="eastAsia" w:ascii="宋体" w:hAnsi="宋体" w:eastAsia="宋体" w:cs="宋体"/>
                <w:color w:val="auto"/>
                <w:spacing w:val="0"/>
                <w:w w:val="100"/>
                <w:position w:val="0"/>
                <w:sz w:val="24"/>
                <w:szCs w:val="24"/>
                <w:highlight w:val="none"/>
                <w:lang w:val="en-US" w:eastAsia="zh-CN"/>
              </w:rPr>
              <w:t>0分（含）-</w:t>
            </w:r>
            <w:r>
              <w:rPr>
                <w:rFonts w:hint="eastAsia" w:ascii="宋体" w:hAnsi="宋体" w:cs="宋体"/>
                <w:color w:val="auto"/>
                <w:spacing w:val="0"/>
                <w:w w:val="100"/>
                <w:position w:val="0"/>
                <w:sz w:val="24"/>
                <w:szCs w:val="24"/>
                <w:highlight w:val="none"/>
                <w:lang w:val="en-US" w:eastAsia="zh-CN"/>
              </w:rPr>
              <w:t>6</w:t>
            </w:r>
            <w:r>
              <w:rPr>
                <w:rFonts w:hint="eastAsia" w:ascii="宋体" w:hAnsi="宋体" w:eastAsia="宋体" w:cs="宋体"/>
                <w:color w:val="auto"/>
                <w:spacing w:val="0"/>
                <w:w w:val="100"/>
                <w:position w:val="0"/>
                <w:sz w:val="24"/>
                <w:szCs w:val="24"/>
                <w:highlight w:val="none"/>
                <w:lang w:val="en-US" w:eastAsia="zh-CN"/>
              </w:rPr>
              <w:t>.00分；</w:t>
            </w:r>
            <w:r>
              <w:rPr>
                <w:rFonts w:hint="eastAsia" w:ascii="宋体" w:hAnsi="宋体" w:eastAsia="宋体" w:cs="宋体"/>
                <w:color w:val="auto"/>
                <w:kern w:val="2"/>
                <w:sz w:val="24"/>
                <w:szCs w:val="24"/>
                <w:highlight w:val="none"/>
                <w:lang w:val="en-US" w:eastAsia="zh-CN" w:bidi="ar-SA"/>
              </w:rPr>
              <w:t>方案基本合理的得</w:t>
            </w:r>
            <w:r>
              <w:rPr>
                <w:rFonts w:hint="eastAsia" w:ascii="宋体" w:hAnsi="宋体" w:cs="宋体"/>
                <w:color w:val="auto"/>
                <w:kern w:val="2"/>
                <w:sz w:val="24"/>
                <w:szCs w:val="24"/>
                <w:highlight w:val="none"/>
                <w:lang w:val="en-US" w:eastAsia="zh-CN" w:bidi="ar-SA"/>
              </w:rPr>
              <w:t>3.00</w:t>
            </w:r>
            <w:r>
              <w:rPr>
                <w:rFonts w:hint="eastAsia" w:ascii="宋体" w:hAnsi="宋体" w:eastAsia="宋体" w:cs="宋体"/>
                <w:color w:val="auto"/>
                <w:kern w:val="2"/>
                <w:sz w:val="24"/>
                <w:szCs w:val="24"/>
                <w:highlight w:val="none"/>
                <w:lang w:val="en-US" w:eastAsia="zh-CN" w:bidi="ar-SA"/>
              </w:rPr>
              <w:t>（含）-</w:t>
            </w:r>
            <w:r>
              <w:rPr>
                <w:rFonts w:hint="eastAsia" w:ascii="宋体" w:hAnsi="宋体" w:cs="宋体"/>
                <w:color w:val="auto"/>
                <w:kern w:val="2"/>
                <w:sz w:val="24"/>
                <w:szCs w:val="24"/>
                <w:highlight w:val="none"/>
                <w:lang w:val="en-US" w:eastAsia="zh-CN" w:bidi="ar-SA"/>
              </w:rPr>
              <w:t>5.4</w:t>
            </w:r>
            <w:r>
              <w:rPr>
                <w:rFonts w:hint="eastAsia" w:ascii="宋体" w:hAnsi="宋体" w:eastAsia="宋体" w:cs="宋体"/>
                <w:color w:val="auto"/>
                <w:kern w:val="2"/>
                <w:sz w:val="24"/>
                <w:szCs w:val="24"/>
                <w:highlight w:val="none"/>
                <w:lang w:val="en-US" w:eastAsia="zh-CN" w:bidi="ar-SA"/>
              </w:rPr>
              <w:t>0分（不含）；方案表现一般的得0-</w:t>
            </w:r>
            <w:r>
              <w:rPr>
                <w:rFonts w:hint="eastAsia" w:ascii="宋体" w:hAnsi="宋体" w:cs="宋体"/>
                <w:color w:val="auto"/>
                <w:kern w:val="2"/>
                <w:sz w:val="24"/>
                <w:szCs w:val="24"/>
                <w:highlight w:val="none"/>
                <w:lang w:val="en-US" w:eastAsia="zh-CN" w:bidi="ar-SA"/>
              </w:rPr>
              <w:t>3.00</w:t>
            </w:r>
            <w:r>
              <w:rPr>
                <w:rFonts w:hint="eastAsia" w:ascii="宋体" w:hAnsi="宋体" w:eastAsia="宋体" w:cs="宋体"/>
                <w:color w:val="auto"/>
                <w:kern w:val="2"/>
                <w:sz w:val="24"/>
                <w:szCs w:val="24"/>
                <w:highlight w:val="none"/>
                <w:lang w:val="en-US" w:eastAsia="zh-CN" w:bidi="ar-SA"/>
              </w:rPr>
              <w:t>分（不含）。</w:t>
            </w:r>
          </w:p>
        </w:tc>
      </w:tr>
      <w:tr w14:paraId="5A3F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continue"/>
            <w:noWrap w:val="0"/>
            <w:vAlign w:val="center"/>
          </w:tcPr>
          <w:p w14:paraId="5E049328">
            <w:pPr>
              <w:jc w:val="center"/>
              <w:rPr>
                <w:rFonts w:hint="eastAsia" w:ascii="宋体" w:hAnsi="宋体" w:eastAsia="宋体" w:cs="宋体"/>
                <w:b/>
                <w:bCs/>
                <w:color w:val="auto"/>
                <w:sz w:val="24"/>
                <w:szCs w:val="24"/>
                <w:highlight w:val="none"/>
                <w:lang w:val="en-US" w:eastAsia="zh-CN"/>
              </w:rPr>
            </w:pPr>
          </w:p>
        </w:tc>
        <w:tc>
          <w:tcPr>
            <w:tcW w:w="1928" w:type="dxa"/>
            <w:vMerge w:val="continue"/>
            <w:noWrap w:val="0"/>
            <w:vAlign w:val="center"/>
          </w:tcPr>
          <w:p w14:paraId="235AF5E4">
            <w:pPr>
              <w:spacing w:line="240" w:lineRule="auto"/>
              <w:jc w:val="center"/>
              <w:rPr>
                <w:rFonts w:hint="default" w:ascii="宋体" w:hAnsi="宋体" w:eastAsia="宋体" w:cs="宋体"/>
                <w:b w:val="0"/>
                <w:bCs w:val="0"/>
                <w:color w:val="auto"/>
                <w:sz w:val="24"/>
                <w:szCs w:val="24"/>
                <w:highlight w:val="none"/>
                <w:lang w:val="en-US" w:eastAsia="zh-CN"/>
              </w:rPr>
            </w:pPr>
          </w:p>
        </w:tc>
        <w:tc>
          <w:tcPr>
            <w:tcW w:w="6973" w:type="dxa"/>
            <w:noWrap w:val="0"/>
            <w:vAlign w:val="center"/>
          </w:tcPr>
          <w:p w14:paraId="0A03496C">
            <w:pPr>
              <w:spacing w:line="360" w:lineRule="auto"/>
              <w:rPr>
                <w:rFonts w:hint="eastAsia" w:ascii="宋体" w:hAnsi="宋体" w:eastAsia="宋体" w:cs="宋体"/>
                <w:b/>
                <w:bCs/>
                <w:color w:val="auto"/>
                <w:w w:val="100"/>
                <w:sz w:val="24"/>
                <w:highlight w:val="none"/>
                <w:lang w:val="en-US" w:eastAsia="zh-CN"/>
              </w:rPr>
            </w:pPr>
            <w:r>
              <w:rPr>
                <w:rFonts w:hint="eastAsia" w:ascii="宋体" w:hAnsi="宋体" w:eastAsia="宋体" w:cs="宋体"/>
                <w:b/>
                <w:bCs/>
                <w:color w:val="auto"/>
                <w:w w:val="100"/>
                <w:sz w:val="24"/>
                <w:highlight w:val="none"/>
                <w:lang w:val="en-US" w:eastAsia="zh-CN"/>
              </w:rPr>
              <w:t>（二）质控方案（6分）</w:t>
            </w:r>
          </w:p>
          <w:p w14:paraId="7785E494">
            <w:pPr>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w w:val="100"/>
                <w:sz w:val="24"/>
                <w:highlight w:val="none"/>
                <w:lang w:val="en-US" w:eastAsia="zh-CN"/>
              </w:rPr>
              <w:t>投标人根据项目需求编制项目质控方案，至少包含下列内容：①运输服务过程中对石料原料的质量把控点；②运输服务过程中对石料原料含泥量及废弃土料含量控制措施与方法；③不符合质量要求的费用扣除承诺等。根据方案中针对上述各小项内容的体现情况，由投标委员会进行评审：方案优的得5.40分（含）-6.00分；方案基本合理的得3.00（含）-5.40分（不含）；方案表现一般的得0-3.00分（不含）。</w:t>
            </w:r>
          </w:p>
        </w:tc>
      </w:tr>
      <w:tr w14:paraId="7D7F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continue"/>
            <w:noWrap w:val="0"/>
            <w:vAlign w:val="center"/>
          </w:tcPr>
          <w:p w14:paraId="715B8E66">
            <w:pPr>
              <w:jc w:val="center"/>
              <w:rPr>
                <w:rFonts w:hint="eastAsia" w:ascii="宋体" w:hAnsi="宋体" w:eastAsia="宋体" w:cs="宋体"/>
                <w:b/>
                <w:bCs/>
                <w:color w:val="auto"/>
                <w:sz w:val="24"/>
                <w:szCs w:val="24"/>
                <w:highlight w:val="none"/>
                <w:lang w:val="en-US" w:eastAsia="zh-CN"/>
              </w:rPr>
            </w:pPr>
          </w:p>
        </w:tc>
        <w:tc>
          <w:tcPr>
            <w:tcW w:w="1928" w:type="dxa"/>
            <w:vMerge w:val="continue"/>
            <w:noWrap w:val="0"/>
            <w:vAlign w:val="center"/>
          </w:tcPr>
          <w:p w14:paraId="16F56940">
            <w:pPr>
              <w:spacing w:line="240" w:lineRule="auto"/>
              <w:jc w:val="center"/>
              <w:rPr>
                <w:rFonts w:hint="default" w:ascii="宋体" w:hAnsi="宋体" w:eastAsia="宋体" w:cs="宋体"/>
                <w:b w:val="0"/>
                <w:bCs w:val="0"/>
                <w:color w:val="auto"/>
                <w:sz w:val="24"/>
                <w:szCs w:val="24"/>
                <w:highlight w:val="none"/>
                <w:lang w:val="en-US" w:eastAsia="zh-CN"/>
              </w:rPr>
            </w:pPr>
          </w:p>
        </w:tc>
        <w:tc>
          <w:tcPr>
            <w:tcW w:w="6973" w:type="dxa"/>
            <w:noWrap w:val="0"/>
            <w:vAlign w:val="center"/>
          </w:tcPr>
          <w:p w14:paraId="127186C2">
            <w:pPr>
              <w:spacing w:line="360" w:lineRule="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（三）重点、难点分析（6分）</w:t>
            </w:r>
          </w:p>
          <w:p w14:paraId="6AD0071A">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rPr>
              <w:t>根据项目需求对项目重</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难点进行分析，至少包含下列内容：①重点、难点阐述；②</w:t>
            </w:r>
            <w:r>
              <w:rPr>
                <w:rFonts w:hint="eastAsia" w:ascii="宋体" w:hAnsi="宋体" w:cs="宋体"/>
                <w:color w:val="auto"/>
                <w:sz w:val="24"/>
                <w:szCs w:val="24"/>
                <w:highlight w:val="none"/>
                <w:lang w:val="en-US" w:eastAsia="zh-CN"/>
              </w:rPr>
              <w:t>应对措施与</w:t>
            </w:r>
            <w:r>
              <w:rPr>
                <w:rFonts w:hint="eastAsia" w:ascii="宋体" w:hAnsi="宋体" w:cs="宋体"/>
                <w:color w:val="auto"/>
                <w:sz w:val="24"/>
                <w:szCs w:val="24"/>
                <w:highlight w:val="none"/>
              </w:rPr>
              <w:t>解决方案；③合理化建议</w:t>
            </w:r>
            <w:r>
              <w:rPr>
                <w:rFonts w:hint="default" w:ascii="宋体" w:hAnsi="宋体" w:eastAsia="宋体" w:cs="宋体"/>
                <w:color w:val="auto"/>
                <w:sz w:val="24"/>
                <w:szCs w:val="24"/>
                <w:highlight w:val="none"/>
                <w:lang w:val="en-US" w:eastAsia="zh-CN"/>
              </w:rPr>
              <w:t>。根据方案中针对上述各小项内容的体现情况，由投标委员会进行评审：方案优的得5.40分（含）-6.00分；方案基本合理的得3.00（含）-5.40分（不含）；方案表现一般的得0-3.00分（不含）。</w:t>
            </w:r>
          </w:p>
        </w:tc>
      </w:tr>
      <w:tr w14:paraId="3D9A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continue"/>
            <w:noWrap w:val="0"/>
            <w:vAlign w:val="center"/>
          </w:tcPr>
          <w:p w14:paraId="1C0F482F">
            <w:pPr>
              <w:jc w:val="center"/>
              <w:rPr>
                <w:rFonts w:hint="eastAsia" w:ascii="宋体" w:hAnsi="宋体" w:eastAsia="宋体" w:cs="宋体"/>
                <w:b/>
                <w:bCs/>
                <w:color w:val="auto"/>
                <w:sz w:val="24"/>
                <w:szCs w:val="24"/>
                <w:highlight w:val="none"/>
                <w:lang w:val="en-US" w:eastAsia="zh-CN"/>
              </w:rPr>
            </w:pPr>
          </w:p>
        </w:tc>
        <w:tc>
          <w:tcPr>
            <w:tcW w:w="1928" w:type="dxa"/>
            <w:vMerge w:val="continue"/>
            <w:noWrap w:val="0"/>
            <w:vAlign w:val="center"/>
          </w:tcPr>
          <w:p w14:paraId="0F7439A6">
            <w:pPr>
              <w:spacing w:line="240" w:lineRule="auto"/>
              <w:jc w:val="center"/>
              <w:rPr>
                <w:rFonts w:hint="default" w:ascii="宋体" w:hAnsi="宋体" w:eastAsia="宋体" w:cs="宋体"/>
                <w:b w:val="0"/>
                <w:bCs w:val="0"/>
                <w:color w:val="auto"/>
                <w:sz w:val="24"/>
                <w:szCs w:val="24"/>
                <w:highlight w:val="none"/>
                <w:lang w:val="en-US" w:eastAsia="zh-CN"/>
              </w:rPr>
            </w:pPr>
          </w:p>
        </w:tc>
        <w:tc>
          <w:tcPr>
            <w:tcW w:w="6973" w:type="dxa"/>
            <w:noWrap w:val="0"/>
            <w:vAlign w:val="center"/>
          </w:tcPr>
          <w:p w14:paraId="06B688AA">
            <w:pPr>
              <w:spacing w:line="360" w:lineRule="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（四）服务保障（6分）</w:t>
            </w:r>
          </w:p>
          <w:p w14:paraId="55FB0856">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投标人根据项目需求编制项目服务保障方案，至少包含下列内容：</w:t>
            </w:r>
            <w:r>
              <w:rPr>
                <w:rFonts w:hint="eastAsia" w:ascii="宋体" w:hAnsi="宋体" w:cs="宋体"/>
                <w:color w:val="auto"/>
                <w:sz w:val="24"/>
                <w:szCs w:val="24"/>
                <w:highlight w:val="none"/>
              </w:rPr>
              <w:t>①</w:t>
            </w:r>
            <w:r>
              <w:rPr>
                <w:rFonts w:hint="eastAsia" w:ascii="宋体" w:hAnsi="宋体" w:cs="宋体"/>
                <w:color w:val="auto"/>
                <w:sz w:val="24"/>
                <w:szCs w:val="24"/>
                <w:highlight w:val="none"/>
                <w:lang w:val="en-US" w:eastAsia="zh-CN"/>
              </w:rPr>
              <w:t>服务管理团队、服务目标与理念；②运输服务与石料厂生产加工的协调机制；</w:t>
            </w:r>
            <w:r>
              <w:rPr>
                <w:rFonts w:hint="eastAsia" w:ascii="宋体" w:hAnsi="宋体" w:cs="宋体"/>
                <w:color w:val="auto"/>
                <w:sz w:val="24"/>
                <w:szCs w:val="24"/>
                <w:highlight w:val="none"/>
              </w:rPr>
              <w:t>③</w:t>
            </w:r>
            <w:r>
              <w:rPr>
                <w:rFonts w:hint="eastAsia" w:ascii="宋体" w:hAnsi="宋体" w:cs="宋体"/>
                <w:color w:val="auto"/>
                <w:sz w:val="24"/>
                <w:szCs w:val="24"/>
                <w:highlight w:val="none"/>
                <w:lang w:val="en-US" w:eastAsia="zh-CN"/>
              </w:rPr>
              <w:t>安全生产以及应急处理预案</w:t>
            </w:r>
            <w:r>
              <w:rPr>
                <w:rFonts w:hint="eastAsia" w:ascii="宋体" w:hAnsi="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根据方案中针对上述各小项内容的体现情况，由投标委员会进行评审：方案优的得5.40分（含）-6.00分；方案基本合理的得3.00（含）-5.40分（不含）；方案表现一般的得0-3.00分（不含）。</w:t>
            </w:r>
          </w:p>
        </w:tc>
      </w:tr>
      <w:tr w14:paraId="7E27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continue"/>
            <w:noWrap w:val="0"/>
            <w:vAlign w:val="center"/>
          </w:tcPr>
          <w:p w14:paraId="4E6FE525">
            <w:pPr>
              <w:jc w:val="center"/>
              <w:rPr>
                <w:rFonts w:hint="eastAsia" w:ascii="宋体" w:hAnsi="宋体" w:eastAsia="宋体" w:cs="宋体"/>
                <w:b/>
                <w:bCs/>
                <w:color w:val="auto"/>
                <w:sz w:val="24"/>
                <w:szCs w:val="24"/>
                <w:highlight w:val="none"/>
                <w:lang w:val="en-US" w:eastAsia="zh-CN"/>
              </w:rPr>
            </w:pPr>
          </w:p>
        </w:tc>
        <w:tc>
          <w:tcPr>
            <w:tcW w:w="1928" w:type="dxa"/>
            <w:vMerge w:val="continue"/>
            <w:noWrap w:val="0"/>
            <w:vAlign w:val="center"/>
          </w:tcPr>
          <w:p w14:paraId="705B68CF">
            <w:pPr>
              <w:spacing w:line="240" w:lineRule="auto"/>
              <w:jc w:val="center"/>
              <w:rPr>
                <w:rFonts w:hint="eastAsia" w:ascii="宋体" w:hAnsi="宋体" w:eastAsia="宋体" w:cs="宋体"/>
                <w:b w:val="0"/>
                <w:bCs w:val="0"/>
                <w:color w:val="auto"/>
                <w:kern w:val="2"/>
                <w:sz w:val="24"/>
                <w:szCs w:val="24"/>
                <w:highlight w:val="none"/>
                <w:lang w:val="en-US" w:eastAsia="zh-CN" w:bidi="ar-SA"/>
              </w:rPr>
            </w:pPr>
          </w:p>
        </w:tc>
        <w:tc>
          <w:tcPr>
            <w:tcW w:w="6973" w:type="dxa"/>
            <w:noWrap w:val="0"/>
            <w:vAlign w:val="center"/>
          </w:tcPr>
          <w:p w14:paraId="2E279BD1">
            <w:pPr>
              <w:spacing w:line="360" w:lineRule="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（五）服务承诺（6分）</w:t>
            </w:r>
          </w:p>
          <w:p w14:paraId="61687B6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根据项目需求作出服务承诺，至少包含下列内容：①服务范围；②服务理念及服务质量目标；③服务承诺以及违反承诺的处置。根据方案中针对上述各小项内容的体现情况，由投标委员会进行评审：方案优的得5.40分（含）-6.00分；方案基本合理的得3.00（含）-5.40分（不含）；方案表现一般的得0-3.00分（不含）。</w:t>
            </w:r>
          </w:p>
        </w:tc>
      </w:tr>
      <w:tr w14:paraId="0EF2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noWrap w:val="0"/>
            <w:vAlign w:val="center"/>
          </w:tcPr>
          <w:p w14:paraId="2A479192">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价格分（30分）</w:t>
            </w:r>
          </w:p>
        </w:tc>
        <w:tc>
          <w:tcPr>
            <w:tcW w:w="1928" w:type="dxa"/>
            <w:noWrap w:val="0"/>
            <w:vAlign w:val="center"/>
          </w:tcPr>
          <w:p w14:paraId="3BC3569D">
            <w:pPr>
              <w:spacing w:line="240" w:lineRule="auto"/>
              <w:jc w:val="center"/>
              <w:rPr>
                <w:rFonts w:hint="eastAsia" w:ascii="宋体" w:hAnsi="宋体"/>
                <w:b w:val="0"/>
                <w:bCs w:val="0"/>
                <w:color w:val="auto"/>
                <w:kern w:val="2"/>
                <w:sz w:val="24"/>
                <w:szCs w:val="24"/>
                <w:highlight w:val="none"/>
                <w:lang w:val="en-US" w:eastAsia="zh-CN" w:bidi="ar-SA"/>
              </w:rPr>
            </w:pPr>
            <w:r>
              <w:rPr>
                <w:rFonts w:hint="eastAsia" w:ascii="宋体" w:hAnsi="宋体"/>
                <w:b w:val="0"/>
                <w:bCs w:val="0"/>
                <w:color w:val="auto"/>
                <w:sz w:val="24"/>
                <w:szCs w:val="24"/>
                <w:highlight w:val="none"/>
              </w:rPr>
              <w:t>价格分（</w:t>
            </w:r>
            <w:r>
              <w:rPr>
                <w:rFonts w:hint="eastAsia" w:ascii="宋体" w:hAnsi="宋体"/>
                <w:b w:val="0"/>
                <w:bCs w:val="0"/>
                <w:color w:val="auto"/>
                <w:sz w:val="24"/>
                <w:szCs w:val="24"/>
                <w:highlight w:val="none"/>
                <w:lang w:val="en-US" w:eastAsia="zh-CN"/>
              </w:rPr>
              <w:t>3</w:t>
            </w:r>
            <w:r>
              <w:rPr>
                <w:rFonts w:hint="eastAsia" w:ascii="宋体" w:hAnsi="宋体"/>
                <w:b w:val="0"/>
                <w:bCs w:val="0"/>
                <w:color w:val="auto"/>
                <w:sz w:val="24"/>
                <w:szCs w:val="24"/>
                <w:highlight w:val="none"/>
              </w:rPr>
              <w:t>0分）</w:t>
            </w:r>
          </w:p>
        </w:tc>
        <w:tc>
          <w:tcPr>
            <w:tcW w:w="6973" w:type="dxa"/>
            <w:noWrap w:val="0"/>
            <w:vAlign w:val="center"/>
          </w:tcPr>
          <w:p w14:paraId="609A9418">
            <w:pPr>
              <w:pStyle w:val="3"/>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both"/>
              <w:textAlignment w:val="auto"/>
              <w:rPr>
                <w:rFonts w:hint="eastAsia" w:ascii="宋体" w:hAnsi="宋体" w:eastAsia="宋体" w:cs="宋体"/>
                <w:color w:val="auto"/>
                <w:sz w:val="24"/>
                <w:szCs w:val="24"/>
                <w:highlight w:val="none"/>
                <w:lang w:eastAsia="zh-CN"/>
              </w:rPr>
            </w:pPr>
            <w:bookmarkStart w:id="138" w:name="_Toc2710"/>
            <w:bookmarkStart w:id="139" w:name="_Toc16177"/>
            <w:r>
              <w:rPr>
                <w:rFonts w:hint="eastAsia" w:ascii="宋体" w:hAnsi="宋体" w:eastAsia="宋体" w:cs="宋体"/>
                <w:color w:val="auto"/>
                <w:sz w:val="24"/>
                <w:szCs w:val="24"/>
                <w:highlight w:val="none"/>
                <w:lang w:eastAsia="zh-CN"/>
              </w:rPr>
              <w:t>分值计算方法</w:t>
            </w:r>
            <w:bookmarkEnd w:id="138"/>
            <w:bookmarkEnd w:id="139"/>
            <w:r>
              <w:rPr>
                <w:rFonts w:hint="eastAsia" w:ascii="宋体" w:hAnsi="宋体" w:eastAsia="宋体" w:cs="宋体"/>
                <w:color w:val="auto"/>
                <w:sz w:val="24"/>
                <w:szCs w:val="24"/>
                <w:highlight w:val="none"/>
                <w:lang w:eastAsia="zh-CN"/>
              </w:rPr>
              <w:t>：</w:t>
            </w:r>
          </w:p>
          <w:p w14:paraId="5203C8DE">
            <w:pPr>
              <w:keepNext w:val="0"/>
              <w:keepLines w:val="0"/>
              <w:pageBreakBefore w:val="0"/>
              <w:widowControl/>
              <w:kinsoku/>
              <w:wordWrap/>
              <w:overflowPunct w:val="0"/>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bCs/>
                <w:snapToGrid w:val="0"/>
                <w:color w:val="auto"/>
                <w:kern w:val="0"/>
                <w:sz w:val="24"/>
                <w:szCs w:val="24"/>
                <w:highlight w:val="none"/>
                <w:lang w:val="en-US" w:eastAsia="zh-CN"/>
              </w:rPr>
              <w:t>通过资格审查、符合性审查且通过投标报价评审的投标报价（开标一览表报价）为有效报价，参与评标基准价和平均值计算。投标报价评审：</w:t>
            </w:r>
          </w:p>
          <w:p w14:paraId="736C1512">
            <w:pPr>
              <w:keepNext w:val="0"/>
              <w:keepLines w:val="0"/>
              <w:pageBreakBefore w:val="0"/>
              <w:widowControl/>
              <w:kinsoku/>
              <w:wordWrap/>
              <w:overflowPunct w:val="0"/>
              <w:topLinePunct w:val="0"/>
              <w:autoSpaceDE/>
              <w:autoSpaceDN/>
              <w:bidi w:val="0"/>
              <w:adjustRightInd/>
              <w:snapToGrid/>
              <w:spacing w:line="360" w:lineRule="auto"/>
              <w:ind w:left="0" w:leftChars="0" w:right="0" w:rightChars="0" w:firstLine="480" w:firstLineChars="200"/>
              <w:jc w:val="both"/>
              <w:textAlignment w:val="auto"/>
              <w:rPr>
                <w:rFonts w:hint="default" w:ascii="宋体" w:hAnsi="宋体" w:eastAsia="宋体" w:cs="宋体"/>
                <w:b w:val="0"/>
                <w:bCs w:val="0"/>
                <w:color w:val="auto"/>
                <w:spacing w:val="-2"/>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
              </w:rPr>
              <w:t>（1）投标报价保留小数点后两位（如a.aa%），投标报价不得高于本项目最高限价，否则按无效投标处理</w:t>
            </w:r>
            <w:r>
              <w:rPr>
                <w:rFonts w:hint="default" w:ascii="宋体" w:hAnsi="宋体" w:eastAsia="宋体" w:cs="宋体"/>
                <w:b w:val="0"/>
                <w:bCs w:val="0"/>
                <w:color w:val="auto"/>
                <w:spacing w:val="-2"/>
                <w:sz w:val="24"/>
                <w:szCs w:val="24"/>
                <w:highlight w:val="none"/>
                <w:lang w:val="en-US" w:eastAsia="zh-CN"/>
              </w:rPr>
              <w:t>。</w:t>
            </w:r>
            <w:r>
              <w:rPr>
                <w:rFonts w:hint="eastAsia" w:ascii="宋体" w:hAnsi="宋体" w:eastAsia="宋体" w:cs="宋体"/>
                <w:b w:val="0"/>
                <w:bCs w:val="0"/>
                <w:color w:val="auto"/>
                <w:spacing w:val="-2"/>
                <w:sz w:val="24"/>
                <w:szCs w:val="24"/>
                <w:highlight w:val="none"/>
                <w:lang w:val="en-US" w:eastAsia="zh-CN"/>
              </w:rPr>
              <w:t>本项目最高限价为百分比，即100%。</w:t>
            </w:r>
          </w:p>
          <w:p w14:paraId="0C367AD7">
            <w:pPr>
              <w:keepNext w:val="0"/>
              <w:keepLines w:val="0"/>
              <w:pageBreakBefore w:val="0"/>
              <w:widowControl/>
              <w:kinsoku/>
              <w:wordWrap/>
              <w:overflowPunct w:val="0"/>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（2）依据国家及安徽省现行有关规定、办法、市场价格水平，项目需求、行业发展和市场竞争</w:t>
            </w:r>
            <w:r>
              <w:rPr>
                <w:rFonts w:hint="eastAsia" w:ascii="宋体" w:hAnsi="宋体" w:eastAsia="宋体" w:cs="宋体"/>
                <w:color w:val="auto"/>
                <w:sz w:val="24"/>
                <w:szCs w:val="24"/>
                <w:highlight w:val="none"/>
                <w:lang w:val="en-US" w:eastAsia="zh-CN"/>
              </w:rPr>
              <w:t>以及与其他投标人的报价比较情况</w:t>
            </w:r>
            <w:r>
              <w:rPr>
                <w:rFonts w:hint="eastAsia" w:ascii="宋体" w:hAnsi="宋体" w:eastAsia="宋体" w:cs="宋体"/>
                <w:bCs/>
                <w:snapToGrid w:val="0"/>
                <w:color w:val="auto"/>
                <w:kern w:val="0"/>
                <w:sz w:val="24"/>
                <w:szCs w:val="24"/>
                <w:highlight w:val="none"/>
                <w:lang w:val="en-US" w:eastAsia="zh-CN"/>
              </w:rPr>
              <w:t>等，对投标人报价进行合理性、规范性和有效性审查。评标委员会认为投标人报价（包括总价和单价）与</w:t>
            </w:r>
            <w:r>
              <w:rPr>
                <w:rFonts w:hint="eastAsia" w:ascii="宋体" w:hAnsi="宋体" w:eastAsia="宋体" w:cs="宋体"/>
                <w:color w:val="auto"/>
                <w:sz w:val="24"/>
                <w:szCs w:val="24"/>
                <w:highlight w:val="none"/>
                <w:lang w:val="en-US" w:eastAsia="zh-CN"/>
              </w:rPr>
              <w:t>其他通过符合性审查的投标人报价相比，存在</w:t>
            </w:r>
            <w:r>
              <w:rPr>
                <w:rFonts w:hint="eastAsia" w:ascii="宋体" w:hAnsi="宋体" w:eastAsia="宋体" w:cs="宋体"/>
                <w:bCs/>
                <w:snapToGrid w:val="0"/>
                <w:color w:val="auto"/>
                <w:kern w:val="0"/>
                <w:sz w:val="24"/>
                <w:szCs w:val="24"/>
                <w:highlight w:val="none"/>
                <w:lang w:val="en-US" w:eastAsia="zh-CN"/>
              </w:rPr>
              <w:t>过高、畸高，明显缺乏竞争性的，或投标报价（包括总价和单价）过低、畸低，可能影响项目质量或诚信履约的，应当要求投标人在</w:t>
            </w:r>
            <w:r>
              <w:rPr>
                <w:rFonts w:hint="eastAsia" w:ascii="宋体" w:hAnsi="宋体"/>
                <w:color w:val="auto"/>
                <w:sz w:val="24"/>
                <w:szCs w:val="24"/>
                <w:highlight w:val="none"/>
              </w:rPr>
              <w:t>现场合理的时间内</w:t>
            </w:r>
            <w:r>
              <w:rPr>
                <w:rFonts w:hint="eastAsia" w:ascii="宋体" w:hAnsi="宋体" w:eastAsia="宋体" w:cs="宋体"/>
                <w:bCs/>
                <w:snapToGrid w:val="0"/>
                <w:color w:val="auto"/>
                <w:kern w:val="0"/>
                <w:sz w:val="24"/>
                <w:szCs w:val="24"/>
                <w:highlight w:val="none"/>
                <w:lang w:val="en-US" w:eastAsia="zh-CN"/>
              </w:rPr>
              <w:t>提供具有针对性的书面澄清说明，</w:t>
            </w:r>
            <w:r>
              <w:rPr>
                <w:rFonts w:hint="eastAsia" w:ascii="宋体" w:hAnsi="宋体"/>
                <w:color w:val="auto"/>
                <w:sz w:val="24"/>
                <w:szCs w:val="24"/>
                <w:highlight w:val="none"/>
              </w:rPr>
              <w:t>必要时提交相关证明材料</w:t>
            </w:r>
            <w:r>
              <w:rPr>
                <w:rFonts w:hint="eastAsia" w:ascii="宋体" w:hAnsi="宋体" w:eastAsia="宋体" w:cs="宋体"/>
                <w:bCs/>
                <w:snapToGrid w:val="0"/>
                <w:color w:val="auto"/>
                <w:kern w:val="0"/>
                <w:sz w:val="24"/>
                <w:szCs w:val="24"/>
                <w:highlight w:val="none"/>
                <w:lang w:val="en-US" w:eastAsia="zh-CN"/>
              </w:rPr>
              <w:t>。投标人不能有效澄清说明的，评标委员会将不接受其投标，按无效投标处理。</w:t>
            </w:r>
          </w:p>
          <w:p w14:paraId="72EA1FCB">
            <w:pPr>
              <w:keepNext w:val="0"/>
              <w:keepLines w:val="0"/>
              <w:pageBreakBefore w:val="0"/>
              <w:widowControl/>
              <w:kinsoku/>
              <w:wordWrap/>
              <w:overflowPunct w:val="0"/>
              <w:topLinePunct w:val="0"/>
              <w:autoSpaceDE/>
              <w:autoSpaceDN/>
              <w:bidi w:val="0"/>
              <w:adjustRightInd/>
              <w:snapToGrid/>
              <w:spacing w:line="360" w:lineRule="auto"/>
              <w:ind w:left="0" w:leftChars="0" w:right="0" w:rightChars="0" w:firstLine="47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eastAsia="zh-CN"/>
              </w:rPr>
              <w:t>（</w:t>
            </w:r>
            <w:r>
              <w:rPr>
                <w:rFonts w:hint="eastAsia" w:ascii="宋体" w:hAnsi="宋体" w:eastAsia="宋体" w:cs="宋体"/>
                <w:b/>
                <w:bCs/>
                <w:color w:val="auto"/>
                <w:spacing w:val="-2"/>
                <w:sz w:val="24"/>
                <w:szCs w:val="24"/>
                <w:highlight w:val="none"/>
                <w:lang w:val="en-US" w:eastAsia="zh-CN"/>
              </w:rPr>
              <w:t>3</w:t>
            </w:r>
            <w:r>
              <w:rPr>
                <w:rFonts w:hint="eastAsia" w:ascii="宋体" w:hAnsi="宋体" w:eastAsia="宋体" w:cs="宋体"/>
                <w:b/>
                <w:bCs/>
                <w:color w:val="auto"/>
                <w:spacing w:val="-2"/>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投标人</w:t>
            </w:r>
            <w:r>
              <w:rPr>
                <w:rFonts w:hint="eastAsia" w:ascii="宋体" w:hAnsi="宋体" w:eastAsia="宋体" w:cs="宋体"/>
                <w:b/>
                <w:bCs/>
                <w:color w:val="auto"/>
                <w:spacing w:val="-2"/>
                <w:sz w:val="24"/>
                <w:szCs w:val="24"/>
                <w:highlight w:val="none"/>
                <w:lang w:val="en-US" w:eastAsia="zh-CN"/>
              </w:rPr>
              <w:t>投标报价</w:t>
            </w:r>
            <w:r>
              <w:rPr>
                <w:rFonts w:hint="eastAsia" w:ascii="宋体" w:hAnsi="宋体" w:eastAsia="宋体" w:cs="宋体"/>
                <w:b/>
                <w:bCs/>
                <w:color w:val="auto"/>
                <w:spacing w:val="-2"/>
                <w:sz w:val="24"/>
                <w:szCs w:val="24"/>
                <w:highlight w:val="none"/>
              </w:rPr>
              <w:t>降幅</w:t>
            </w:r>
            <w:r>
              <w:rPr>
                <w:rFonts w:hint="eastAsia" w:ascii="宋体" w:hAnsi="宋体" w:eastAsia="宋体" w:cs="宋体"/>
                <w:b/>
                <w:bCs/>
                <w:color w:val="auto"/>
                <w:spacing w:val="-2"/>
                <w:sz w:val="24"/>
                <w:szCs w:val="24"/>
                <w:highlight w:val="none"/>
                <w:lang w:eastAsia="zh-CN"/>
              </w:rPr>
              <w:t>（</w:t>
            </w:r>
            <w:r>
              <w:rPr>
                <w:rFonts w:hint="eastAsia" w:ascii="宋体" w:hAnsi="宋体" w:eastAsia="宋体" w:cs="宋体"/>
                <w:b/>
                <w:bCs/>
                <w:color w:val="auto"/>
                <w:spacing w:val="-2"/>
                <w:sz w:val="24"/>
                <w:szCs w:val="24"/>
                <w:highlight w:val="none"/>
                <w:lang w:val="en-US" w:eastAsia="zh-CN"/>
              </w:rPr>
              <w:t>即，1-</w:t>
            </w:r>
            <w:r>
              <w:rPr>
                <w:rFonts w:hint="eastAsia" w:ascii="宋体" w:hAnsi="宋体" w:eastAsia="宋体" w:cs="宋体"/>
                <w:b/>
                <w:bCs/>
                <w:color w:val="auto"/>
                <w:kern w:val="0"/>
                <w:sz w:val="24"/>
                <w:szCs w:val="24"/>
                <w:highlight w:val="none"/>
                <w:lang w:val="en-US" w:eastAsia="zh-CN" w:bidi="ar"/>
              </w:rPr>
              <w:t>投标报价/</w:t>
            </w:r>
            <w:r>
              <w:rPr>
                <w:rFonts w:hint="eastAsia" w:ascii="宋体" w:hAnsi="宋体" w:eastAsia="宋体" w:cs="宋体"/>
                <w:b/>
                <w:bCs/>
                <w:snapToGrid w:val="0"/>
                <w:color w:val="auto"/>
                <w:kern w:val="0"/>
                <w:sz w:val="24"/>
                <w:szCs w:val="24"/>
                <w:highlight w:val="none"/>
              </w:rPr>
              <w:t>最高限价</w:t>
            </w:r>
            <w:r>
              <w:rPr>
                <w:rFonts w:hint="eastAsia" w:ascii="宋体" w:hAnsi="宋体" w:eastAsia="宋体" w:cs="宋体"/>
                <w:b/>
                <w:bCs/>
                <w:color w:val="auto"/>
                <w:spacing w:val="-2"/>
                <w:sz w:val="24"/>
                <w:szCs w:val="24"/>
                <w:highlight w:val="none"/>
                <w:lang w:eastAsia="zh-CN"/>
              </w:rPr>
              <w:t>）</w:t>
            </w:r>
            <w:r>
              <w:rPr>
                <w:rFonts w:hint="eastAsia" w:ascii="宋体" w:hAnsi="宋体" w:eastAsia="宋体" w:cs="宋体"/>
                <w:b/>
                <w:bCs/>
                <w:color w:val="auto"/>
                <w:spacing w:val="-2"/>
                <w:sz w:val="24"/>
                <w:szCs w:val="24"/>
                <w:highlight w:val="none"/>
                <w:lang w:val="en-US" w:eastAsia="zh-CN"/>
              </w:rPr>
              <w:t>必须＞</w:t>
            </w:r>
            <w:r>
              <w:rPr>
                <w:rFonts w:hint="eastAsia" w:ascii="宋体" w:hAnsi="宋体" w:cs="宋体"/>
                <w:b/>
                <w:bCs/>
                <w:color w:val="auto"/>
                <w:spacing w:val="-2"/>
                <w:sz w:val="24"/>
                <w:szCs w:val="24"/>
                <w:highlight w:val="none"/>
                <w:lang w:val="en-US" w:eastAsia="zh-CN"/>
              </w:rPr>
              <w:t>20</w:t>
            </w:r>
            <w:r>
              <w:rPr>
                <w:rFonts w:hint="eastAsia" w:ascii="宋体" w:hAnsi="宋体" w:eastAsia="宋体" w:cs="宋体"/>
                <w:b/>
                <w:bCs/>
                <w:color w:val="auto"/>
                <w:spacing w:val="-2"/>
                <w:sz w:val="24"/>
                <w:szCs w:val="24"/>
                <w:highlight w:val="none"/>
                <w:lang w:val="en-US" w:eastAsia="zh-CN"/>
              </w:rPr>
              <w:t>%</w:t>
            </w:r>
            <w:r>
              <w:rPr>
                <w:rFonts w:hint="eastAsia" w:ascii="宋体" w:hAnsi="宋体" w:eastAsia="宋体" w:cs="宋体"/>
                <w:b/>
                <w:bCs/>
                <w:snapToGrid w:val="0"/>
                <w:color w:val="auto"/>
                <w:kern w:val="0"/>
                <w:sz w:val="24"/>
                <w:szCs w:val="24"/>
                <w:highlight w:val="none"/>
                <w:lang w:val="en-US" w:eastAsia="zh-CN"/>
              </w:rPr>
              <w:t>，否则该投标人投标报价不得参与评标基准价和平均值的计算，且该投标人投标报价按0分计。</w:t>
            </w:r>
            <w:r>
              <w:rPr>
                <w:rFonts w:hint="eastAsia" w:ascii="宋体" w:hAnsi="宋体" w:eastAsia="宋体" w:cs="宋体"/>
                <w:color w:val="auto"/>
                <w:spacing w:val="-2"/>
                <w:sz w:val="24"/>
                <w:szCs w:val="24"/>
                <w:highlight w:val="none"/>
                <w:lang w:val="en-US" w:eastAsia="zh-CN"/>
              </w:rPr>
              <w:t>计算投标报价降幅时，</w:t>
            </w:r>
            <w:r>
              <w:rPr>
                <w:rFonts w:hint="eastAsia" w:ascii="宋体" w:hAnsi="宋体" w:eastAsia="宋体" w:cs="宋体"/>
                <w:color w:val="auto"/>
                <w:sz w:val="24"/>
                <w:szCs w:val="24"/>
                <w:highlight w:val="none"/>
              </w:rPr>
              <w:t>计算结果保留小数点后两位，小数点后第三位四舍五入，即为*.**%。</w:t>
            </w:r>
          </w:p>
          <w:p w14:paraId="022F9742">
            <w:pPr>
              <w:keepNext w:val="0"/>
              <w:keepLines w:val="0"/>
              <w:pageBreakBefore w:val="0"/>
              <w:widowControl/>
              <w:kinsoku/>
              <w:wordWrap/>
              <w:overflowPunct w:val="0"/>
              <w:topLinePunct w:val="0"/>
              <w:autoSpaceDE/>
              <w:autoSpaceDN/>
              <w:bidi w:val="0"/>
              <w:adjustRightInd/>
              <w:snapToGrid/>
              <w:spacing w:line="360" w:lineRule="auto"/>
              <w:ind w:left="0" w:leftChars="0" w:right="0" w:rightChars="0" w:firstLine="472" w:firstLineChars="200"/>
              <w:jc w:val="both"/>
              <w:textAlignment w:val="auto"/>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经投标报价评审，没有符合参与评标基准价和平均值计算的投标人时，则宣布项目流标。</w:t>
            </w:r>
          </w:p>
          <w:p w14:paraId="6F7CFD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2、确定评标基准价</w:t>
            </w:r>
          </w:p>
          <w:p w14:paraId="433CD8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开标现场，</w:t>
            </w:r>
            <w:r>
              <w:rPr>
                <w:rFonts w:hint="eastAsia" w:ascii="宋体" w:hAnsi="宋体" w:eastAsia="宋体" w:cs="宋体"/>
                <w:color w:val="auto"/>
                <w:sz w:val="24"/>
                <w:szCs w:val="24"/>
                <w:highlight w:val="none"/>
                <w:lang w:val="en-US" w:eastAsia="zh-CN"/>
              </w:rPr>
              <w:t>在监督人员的监督下由招标人代表现场抽取K值，按以下规则计算评标基准价</w:t>
            </w:r>
            <w:r>
              <w:rPr>
                <w:rFonts w:hint="eastAsia" w:ascii="宋体" w:hAnsi="宋体" w:eastAsia="宋体" w:cs="宋体"/>
                <w:color w:val="auto"/>
                <w:sz w:val="24"/>
                <w:szCs w:val="24"/>
                <w:highlight w:val="none"/>
              </w:rPr>
              <w:t>并宣布评标基准价。</w:t>
            </w:r>
          </w:p>
          <w:p w14:paraId="50696B7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P=</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A*K+B*（1-K）</w:t>
            </w:r>
            <w:r>
              <w:rPr>
                <w:rFonts w:hint="eastAsia" w:ascii="宋体" w:hAnsi="宋体" w:cs="宋体"/>
                <w:color w:val="auto"/>
                <w:sz w:val="24"/>
                <w:szCs w:val="24"/>
                <w:highlight w:val="none"/>
                <w:lang w:val="en-US" w:eastAsia="zh-CN"/>
              </w:rPr>
              <w:t>]*80%</w:t>
            </w:r>
          </w:p>
          <w:p w14:paraId="5EBC3CE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P=评标基准价；A=最高限价；K=最高限价下浮系数，由招标人从</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0%共计三个数中任意抽取一个；B=参与评标基准价计算的有效投标报价的算术平均值。</w:t>
            </w:r>
          </w:p>
          <w:p w14:paraId="0CD9EE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（1）当</w:t>
            </w:r>
            <w:r>
              <w:rPr>
                <w:rFonts w:hint="eastAsia" w:ascii="宋体" w:hAnsi="宋体" w:eastAsia="宋体" w:cs="宋体"/>
                <w:color w:val="auto"/>
                <w:sz w:val="24"/>
                <w:szCs w:val="24"/>
                <w:highlight w:val="none"/>
              </w:rPr>
              <w:t>参与</w:t>
            </w:r>
            <w:r>
              <w:rPr>
                <w:rFonts w:hint="eastAsia" w:ascii="宋体" w:hAnsi="宋体" w:eastAsia="宋体" w:cs="宋体"/>
                <w:color w:val="auto"/>
                <w:spacing w:val="-2"/>
                <w:sz w:val="24"/>
                <w:szCs w:val="24"/>
                <w:highlight w:val="none"/>
                <w:u w:val="none"/>
                <w:lang w:val="en-US" w:eastAsia="zh-CN"/>
              </w:rPr>
              <w:t>评标基准价计算</w:t>
            </w:r>
            <w:r>
              <w:rPr>
                <w:rFonts w:hint="eastAsia" w:ascii="宋体" w:hAnsi="宋体" w:eastAsia="宋体" w:cs="宋体"/>
                <w:color w:val="auto"/>
                <w:sz w:val="24"/>
                <w:szCs w:val="24"/>
                <w:highlight w:val="none"/>
              </w:rPr>
              <w:t>的有效投标人家数≤</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家时，所有</w:t>
            </w:r>
            <w:r>
              <w:rPr>
                <w:rFonts w:hint="eastAsia" w:ascii="宋体" w:hAnsi="宋体" w:eastAsia="宋体" w:cs="宋体"/>
                <w:color w:val="auto"/>
                <w:sz w:val="24"/>
                <w:szCs w:val="24"/>
                <w:highlight w:val="none"/>
                <w:lang w:val="en-US" w:eastAsia="zh-CN"/>
              </w:rPr>
              <w:t>有效投标报价</w:t>
            </w:r>
            <w:r>
              <w:rPr>
                <w:rFonts w:hint="eastAsia" w:ascii="宋体" w:hAnsi="宋体" w:eastAsia="宋体" w:cs="宋体"/>
                <w:color w:val="auto"/>
                <w:sz w:val="24"/>
                <w:szCs w:val="24"/>
                <w:highlight w:val="none"/>
              </w:rPr>
              <w:t>的算术平均值即为</w:t>
            </w:r>
            <w:r>
              <w:rPr>
                <w:rFonts w:hint="eastAsia" w:ascii="宋体" w:hAnsi="宋体" w:eastAsia="宋体" w:cs="宋体"/>
                <w:color w:val="auto"/>
                <w:sz w:val="24"/>
                <w:szCs w:val="24"/>
                <w:highlight w:val="none"/>
                <w:lang w:val="en-US" w:eastAsia="zh-CN"/>
              </w:rPr>
              <w:t>B值</w:t>
            </w:r>
            <w:r>
              <w:rPr>
                <w:rFonts w:hint="eastAsia" w:ascii="宋体" w:hAnsi="宋体" w:eastAsia="宋体" w:cs="宋体"/>
                <w:color w:val="auto"/>
                <w:sz w:val="24"/>
                <w:szCs w:val="24"/>
                <w:highlight w:val="none"/>
              </w:rPr>
              <w:t>；</w:t>
            </w:r>
          </w:p>
          <w:p w14:paraId="148EA5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（2）当</w:t>
            </w:r>
            <w:r>
              <w:rPr>
                <w:rFonts w:hint="eastAsia" w:ascii="宋体" w:hAnsi="宋体" w:eastAsia="宋体" w:cs="宋体"/>
                <w:color w:val="auto"/>
                <w:sz w:val="24"/>
                <w:szCs w:val="24"/>
                <w:highlight w:val="none"/>
              </w:rPr>
              <w:t>参与</w:t>
            </w:r>
            <w:r>
              <w:rPr>
                <w:rFonts w:hint="eastAsia" w:ascii="宋体" w:hAnsi="宋体" w:eastAsia="宋体" w:cs="宋体"/>
                <w:color w:val="auto"/>
                <w:spacing w:val="-2"/>
                <w:sz w:val="24"/>
                <w:szCs w:val="24"/>
                <w:highlight w:val="none"/>
                <w:u w:val="none"/>
                <w:lang w:val="en-US" w:eastAsia="zh-CN"/>
              </w:rPr>
              <w:t>评标基准价计算</w:t>
            </w:r>
            <w:r>
              <w:rPr>
                <w:rFonts w:hint="eastAsia" w:ascii="宋体" w:hAnsi="宋体" w:eastAsia="宋体" w:cs="宋体"/>
                <w:color w:val="auto"/>
                <w:sz w:val="24"/>
                <w:szCs w:val="24"/>
                <w:highlight w:val="none"/>
              </w:rPr>
              <w:t>的有效投标人，</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家数≤15家时，去掉1个最高值和1个最低值，余下</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有效投标报价</w:t>
            </w:r>
            <w:r>
              <w:rPr>
                <w:rFonts w:hint="eastAsia" w:ascii="宋体" w:hAnsi="宋体" w:eastAsia="宋体" w:cs="宋体"/>
                <w:color w:val="auto"/>
                <w:sz w:val="24"/>
                <w:szCs w:val="24"/>
                <w:highlight w:val="none"/>
              </w:rPr>
              <w:t>的算术平均值即为</w:t>
            </w:r>
            <w:r>
              <w:rPr>
                <w:rFonts w:hint="eastAsia" w:ascii="宋体" w:hAnsi="宋体" w:eastAsia="宋体" w:cs="宋体"/>
                <w:color w:val="auto"/>
                <w:sz w:val="24"/>
                <w:szCs w:val="24"/>
                <w:highlight w:val="none"/>
                <w:lang w:val="en-US" w:eastAsia="zh-CN"/>
              </w:rPr>
              <w:t>B值</w:t>
            </w:r>
            <w:r>
              <w:rPr>
                <w:rFonts w:hint="eastAsia" w:ascii="宋体" w:hAnsi="宋体" w:eastAsia="宋体" w:cs="宋体"/>
                <w:color w:val="auto"/>
                <w:sz w:val="24"/>
                <w:szCs w:val="24"/>
                <w:highlight w:val="none"/>
              </w:rPr>
              <w:t>；</w:t>
            </w:r>
          </w:p>
          <w:p w14:paraId="25D745A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（3）当</w:t>
            </w:r>
            <w:r>
              <w:rPr>
                <w:rFonts w:hint="eastAsia" w:ascii="宋体" w:hAnsi="宋体" w:eastAsia="宋体" w:cs="宋体"/>
                <w:color w:val="auto"/>
                <w:sz w:val="24"/>
                <w:szCs w:val="24"/>
                <w:highlight w:val="none"/>
              </w:rPr>
              <w:t>参与</w:t>
            </w:r>
            <w:r>
              <w:rPr>
                <w:rFonts w:hint="eastAsia" w:ascii="宋体" w:hAnsi="宋体" w:eastAsia="宋体" w:cs="宋体"/>
                <w:color w:val="auto"/>
                <w:spacing w:val="-2"/>
                <w:sz w:val="24"/>
                <w:szCs w:val="24"/>
                <w:highlight w:val="none"/>
                <w:u w:val="none"/>
                <w:lang w:val="en-US" w:eastAsia="zh-CN"/>
              </w:rPr>
              <w:t>评标基准价计算</w:t>
            </w:r>
            <w:r>
              <w:rPr>
                <w:rFonts w:hint="eastAsia" w:ascii="宋体" w:hAnsi="宋体" w:eastAsia="宋体" w:cs="宋体"/>
                <w:color w:val="auto"/>
                <w:sz w:val="24"/>
                <w:szCs w:val="24"/>
                <w:highlight w:val="none"/>
              </w:rPr>
              <w:t>的有效投标人家数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15家时，去掉2个最高值和2个最低值，余下</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有效投标报价</w:t>
            </w:r>
            <w:r>
              <w:rPr>
                <w:rFonts w:hint="eastAsia" w:ascii="宋体" w:hAnsi="宋体" w:eastAsia="宋体" w:cs="宋体"/>
                <w:color w:val="auto"/>
                <w:sz w:val="24"/>
                <w:szCs w:val="24"/>
                <w:highlight w:val="none"/>
              </w:rPr>
              <w:t>的算术平均值即为</w:t>
            </w:r>
            <w:r>
              <w:rPr>
                <w:rFonts w:hint="eastAsia" w:ascii="宋体" w:hAnsi="宋体" w:eastAsia="宋体" w:cs="宋体"/>
                <w:color w:val="auto"/>
                <w:sz w:val="24"/>
                <w:szCs w:val="24"/>
                <w:highlight w:val="none"/>
                <w:lang w:val="en-US" w:eastAsia="zh-CN"/>
              </w:rPr>
              <w:t>B值</w:t>
            </w:r>
            <w:r>
              <w:rPr>
                <w:rFonts w:hint="eastAsia" w:ascii="宋体" w:hAnsi="宋体" w:eastAsia="宋体" w:cs="宋体"/>
                <w:color w:val="auto"/>
                <w:sz w:val="24"/>
                <w:szCs w:val="24"/>
                <w:highlight w:val="none"/>
              </w:rPr>
              <w:t>。</w:t>
            </w:r>
          </w:p>
          <w:p w14:paraId="5D07F71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计算平均值、评标基准价时，计算结果保留小数点后两位，小数点后第三位四舍五入，即为*.**。</w:t>
            </w:r>
          </w:p>
          <w:p w14:paraId="362FB7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报价偏差率</w:t>
            </w:r>
          </w:p>
          <w:p w14:paraId="6742A8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报价偏差率=[（投标报价－评标基准价）/评标基准价]×100%，计算结果保留小数点后两位，小数点后第三位四舍五入，即为*.**%。</w:t>
            </w:r>
          </w:p>
          <w:p w14:paraId="2B7CFB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5、得分计算</w:t>
            </w:r>
          </w:p>
          <w:p w14:paraId="577CE3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报价偏差率为0%时投标报价得满分；报价偏差率为0％以上的，</w:t>
            </w:r>
            <w:r>
              <w:rPr>
                <w:rFonts w:hint="eastAsia" w:ascii="宋体" w:hAnsi="宋体" w:eastAsia="宋体" w:cs="宋体"/>
                <w:color w:val="auto"/>
                <w:sz w:val="24"/>
                <w:szCs w:val="24"/>
                <w:highlight w:val="none"/>
              </w:rPr>
              <w:t>每上升一个百分点扣</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分，扣完为止（不得负分）；报价偏差率为0％以下的，每下降一个百分点扣</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t>扣完为止（不得负分）。得分采取內插法，</w:t>
            </w:r>
            <w:r>
              <w:rPr>
                <w:rFonts w:hint="eastAsia" w:ascii="宋体" w:hAnsi="宋体" w:eastAsia="宋体" w:cs="宋体"/>
                <w:color w:val="auto"/>
                <w:sz w:val="24"/>
                <w:szCs w:val="24"/>
                <w:highlight w:val="none"/>
                <w:lang w:val="en-US" w:eastAsia="zh-CN"/>
              </w:rPr>
              <w:t>计算结果</w:t>
            </w:r>
            <w:r>
              <w:rPr>
                <w:rFonts w:hint="eastAsia" w:ascii="宋体" w:hAnsi="宋体" w:eastAsia="宋体" w:cs="宋体"/>
                <w:color w:val="auto"/>
                <w:sz w:val="24"/>
                <w:szCs w:val="24"/>
                <w:highlight w:val="none"/>
              </w:rPr>
              <w:t>保留小数点后二位数字，小数点后第三位四舍五入</w:t>
            </w:r>
            <w:r>
              <w:rPr>
                <w:rFonts w:hint="eastAsia" w:ascii="宋体" w:hAnsi="宋体" w:eastAsia="宋体" w:cs="宋体"/>
                <w:color w:val="auto"/>
                <w:sz w:val="24"/>
                <w:szCs w:val="24"/>
                <w:highlight w:val="none"/>
                <w:lang w:val="en-US" w:eastAsia="zh-CN"/>
              </w:rPr>
              <w:t>，即为*.**</w:t>
            </w:r>
            <w:r>
              <w:rPr>
                <w:rFonts w:hint="eastAsia" w:ascii="宋体" w:hAnsi="宋体" w:eastAsia="宋体" w:cs="宋体"/>
                <w:color w:val="auto"/>
                <w:sz w:val="24"/>
                <w:szCs w:val="24"/>
                <w:highlight w:val="none"/>
                <w:lang w:eastAsia="zh-CN"/>
              </w:rPr>
              <w:t>。</w:t>
            </w:r>
          </w:p>
          <w:p w14:paraId="287A06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2" w:firstLineChars="200"/>
              <w:textAlignment w:val="auto"/>
              <w:rPr>
                <w:rFonts w:hint="eastAsia" w:ascii="宋体" w:hAnsi="宋体"/>
                <w:b/>
                <w:bCs/>
                <w:color w:val="auto"/>
                <w:kern w:val="2"/>
                <w:sz w:val="24"/>
                <w:szCs w:val="24"/>
                <w:highlight w:val="none"/>
                <w:lang w:val="en-US" w:eastAsia="zh-CN" w:bidi="ar-SA"/>
              </w:rPr>
            </w:pPr>
            <w:r>
              <w:rPr>
                <w:rFonts w:hint="eastAsia" w:ascii="宋体" w:hAnsi="宋体" w:eastAsia="宋体" w:cs="宋体"/>
                <w:color w:val="auto"/>
                <w:spacing w:val="-2"/>
                <w:sz w:val="24"/>
                <w:szCs w:val="24"/>
                <w:highlight w:val="none"/>
              </w:rPr>
              <w:t>注：评标基准价除存在计算错误之外，不随任何因素发生变化。</w:t>
            </w:r>
          </w:p>
        </w:tc>
      </w:tr>
      <w:tr w14:paraId="545D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92" w:type="dxa"/>
            <w:gridSpan w:val="3"/>
            <w:noWrap w:val="0"/>
            <w:vAlign w:val="center"/>
          </w:tcPr>
          <w:p w14:paraId="2FA224A6">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jc w:val="both"/>
              <w:textAlignment w:val="auto"/>
              <w:rPr>
                <w:rFonts w:ascii="宋体" w:hAnsi="宋体" w:eastAsia="宋体" w:cs="宋体"/>
                <w:color w:val="auto"/>
                <w:sz w:val="24"/>
                <w:highlight w:val="none"/>
              </w:rPr>
            </w:pPr>
            <w:r>
              <w:rPr>
                <w:rFonts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lang w:val="en-US" w:eastAsia="zh-CN"/>
              </w:rPr>
              <w:t>服务方案</w:t>
            </w:r>
            <w:r>
              <w:rPr>
                <w:rFonts w:hint="eastAsia" w:ascii="宋体" w:hAnsi="宋体" w:eastAsia="宋体" w:cs="宋体"/>
                <w:color w:val="auto"/>
                <w:sz w:val="24"/>
                <w:highlight w:val="none"/>
              </w:rPr>
              <w:t>的评审，由评委各自对每一个投标人</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lang w:eastAsia="zh-CN"/>
              </w:rPr>
              <w:t>方案</w:t>
            </w:r>
            <w:r>
              <w:rPr>
                <w:rFonts w:hint="eastAsia" w:ascii="宋体" w:hAnsi="宋体" w:eastAsia="宋体" w:cs="宋体"/>
                <w:color w:val="auto"/>
                <w:sz w:val="24"/>
                <w:highlight w:val="none"/>
              </w:rPr>
              <w:t>独立评分，严禁采取分人主评后由其他评委抄袭分数或一人主评其他附和签名的方式评分。出现违反前述规定评标的，一律由现场监督人员对评委记不良行为记录一次。</w:t>
            </w:r>
          </w:p>
          <w:p w14:paraId="2F46D82F">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jc w:val="both"/>
              <w:textAlignment w:val="auto"/>
              <w:rPr>
                <w:rFonts w:ascii="宋体" w:hAnsi="宋体" w:eastAsia="宋体" w:cs="宋体"/>
                <w:color w:val="auto"/>
                <w:sz w:val="24"/>
                <w:highlight w:val="none"/>
              </w:rPr>
            </w:pPr>
            <w:r>
              <w:rPr>
                <w:rFonts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highlight w:val="none"/>
              </w:rPr>
              <w:t>某投标人的</w:t>
            </w:r>
            <w:r>
              <w:rPr>
                <w:rFonts w:hint="eastAsia" w:ascii="宋体" w:hAnsi="宋体" w:eastAsia="宋体" w:cs="宋体"/>
                <w:color w:val="auto"/>
                <w:sz w:val="24"/>
                <w:highlight w:val="none"/>
                <w:lang w:val="en-US" w:eastAsia="zh-CN"/>
              </w:rPr>
              <w:t>服务方案</w:t>
            </w:r>
            <w:r>
              <w:rPr>
                <w:rFonts w:hint="eastAsia" w:ascii="宋体" w:hAnsi="宋体" w:eastAsia="宋体" w:cs="宋体"/>
                <w:color w:val="auto"/>
                <w:sz w:val="24"/>
                <w:highlight w:val="none"/>
              </w:rPr>
              <w:t>得分规则为从各评委对该投标人的</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lang w:eastAsia="zh-CN"/>
              </w:rPr>
              <w:t>方案</w:t>
            </w:r>
            <w:r>
              <w:rPr>
                <w:rFonts w:hint="eastAsia" w:ascii="宋体" w:hAnsi="宋体" w:eastAsia="宋体" w:cs="宋体"/>
                <w:color w:val="auto"/>
                <w:sz w:val="24"/>
                <w:highlight w:val="none"/>
              </w:rPr>
              <w:t>所作的评分中去掉一个最高分和一个最低分，然后进行算术平均所得的平均值，即为该投标人</w:t>
            </w:r>
            <w:r>
              <w:rPr>
                <w:rFonts w:hint="eastAsia" w:ascii="宋体" w:hAnsi="宋体" w:eastAsia="宋体" w:cs="宋体"/>
                <w:color w:val="auto"/>
                <w:sz w:val="24"/>
                <w:highlight w:val="none"/>
                <w:lang w:val="en-US" w:eastAsia="zh-CN"/>
              </w:rPr>
              <w:t>服务方案</w:t>
            </w:r>
            <w:r>
              <w:rPr>
                <w:rFonts w:hint="eastAsia" w:ascii="宋体" w:hAnsi="宋体" w:eastAsia="宋体" w:cs="宋体"/>
                <w:color w:val="auto"/>
                <w:sz w:val="24"/>
                <w:highlight w:val="none"/>
              </w:rPr>
              <w:t>的得分。</w:t>
            </w:r>
          </w:p>
          <w:p w14:paraId="489165DB">
            <w:pPr>
              <w:keepNext w:val="0"/>
              <w:keepLines w:val="0"/>
              <w:pageBreakBefore w:val="0"/>
              <w:widowControl w:val="0"/>
              <w:kinsoku/>
              <w:wordWrap/>
              <w:overflowPunct w:val="0"/>
              <w:topLinePunct w:val="0"/>
              <w:autoSpaceDE/>
              <w:autoSpaceDN/>
              <w:bidi w:val="0"/>
              <w:adjustRightInd/>
              <w:snapToGrid/>
              <w:spacing w:line="360" w:lineRule="auto"/>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z w:val="24"/>
                <w:highlight w:val="none"/>
              </w:rPr>
              <w:t>3、某评委对某一投标人的</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lang w:eastAsia="zh-CN"/>
              </w:rPr>
              <w:t>方案</w:t>
            </w:r>
            <w:r>
              <w:rPr>
                <w:rFonts w:hint="eastAsia" w:ascii="宋体" w:hAnsi="宋体" w:eastAsia="宋体" w:cs="宋体"/>
                <w:color w:val="auto"/>
                <w:sz w:val="24"/>
                <w:highlight w:val="none"/>
              </w:rPr>
              <w:t>综合评审得分低于</w:t>
            </w:r>
            <w:r>
              <w:rPr>
                <w:rFonts w:hint="eastAsia" w:ascii="宋体" w:hAnsi="宋体" w:eastAsia="宋体" w:cs="宋体"/>
                <w:color w:val="auto"/>
                <w:sz w:val="24"/>
                <w:highlight w:val="none"/>
                <w:lang w:val="en-US" w:eastAsia="zh-CN"/>
              </w:rPr>
              <w:t>对应分值权重的50%</w:t>
            </w:r>
            <w:r>
              <w:rPr>
                <w:rFonts w:hint="eastAsia" w:ascii="宋体" w:hAnsi="宋体" w:eastAsia="宋体" w:cs="宋体"/>
                <w:color w:val="auto"/>
                <w:sz w:val="24"/>
                <w:highlight w:val="none"/>
              </w:rPr>
              <w:t>的或者高于</w:t>
            </w:r>
            <w:r>
              <w:rPr>
                <w:rFonts w:hint="eastAsia" w:ascii="宋体" w:hAnsi="宋体" w:eastAsia="宋体" w:cs="宋体"/>
                <w:color w:val="auto"/>
                <w:sz w:val="24"/>
                <w:highlight w:val="none"/>
                <w:lang w:val="en-US" w:eastAsia="zh-CN"/>
              </w:rPr>
              <w:t>对应分值权重的90%</w:t>
            </w:r>
            <w:r>
              <w:rPr>
                <w:rFonts w:hint="eastAsia" w:ascii="宋体" w:hAnsi="宋体" w:eastAsia="宋体" w:cs="宋体"/>
                <w:color w:val="auto"/>
                <w:sz w:val="24"/>
                <w:highlight w:val="none"/>
              </w:rPr>
              <w:t>的，该评委应在评分时用文字列出得分低或得分高的具体理由；没有列出文字理由的，由评标委员会主任督促该评委列出文字理由。经督促仍未作列出文字理由的，则该评委对该投标人</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lang w:eastAsia="zh-CN"/>
              </w:rPr>
              <w:t>方案</w:t>
            </w:r>
            <w:r>
              <w:rPr>
                <w:rFonts w:hint="eastAsia" w:ascii="宋体" w:hAnsi="宋体" w:eastAsia="宋体" w:cs="宋体"/>
                <w:color w:val="auto"/>
                <w:sz w:val="24"/>
                <w:highlight w:val="none"/>
              </w:rPr>
              <w:t>的评分无效，由评标委员会对该投标人的评分按照有效评分人的评分运用前述算术平均规则重新计算该投标人</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lang w:eastAsia="zh-CN"/>
              </w:rPr>
              <w:t>方案</w:t>
            </w:r>
            <w:r>
              <w:rPr>
                <w:rFonts w:hint="eastAsia" w:ascii="宋体" w:hAnsi="宋体" w:eastAsia="宋体" w:cs="宋体"/>
                <w:color w:val="auto"/>
                <w:sz w:val="24"/>
                <w:highlight w:val="none"/>
              </w:rPr>
              <w:t>的得分，同时由现场监督人员将该评委的行为记入评委考核档案。</w:t>
            </w:r>
          </w:p>
        </w:tc>
      </w:tr>
    </w:tbl>
    <w:p w14:paraId="4EF210E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3、技术标分的汇总方法为：对某一</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的技术标的每一个指标项得分，取各位评委评分之平均值，四舍五入保留至小数点后两位数，得到该</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该指标项的得分。再将</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每个技术标的指标项得分进行汇总，得到该</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的技术标分之和。</w:t>
      </w:r>
    </w:p>
    <w:p w14:paraId="67DA0492">
      <w:pPr>
        <w:pStyle w:val="17"/>
        <w:spacing w:line="360" w:lineRule="auto"/>
        <w:ind w:right="-11" w:firstLine="49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4、得分汇总</w:t>
      </w:r>
    </w:p>
    <w:p w14:paraId="5BD8D765">
      <w:pPr>
        <w:pStyle w:val="17"/>
        <w:spacing w:line="360" w:lineRule="auto"/>
        <w:ind w:right="-11"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（1）将每个有效</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的技术标分之和加上根据上述标准计算出的价格分，即为该</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的综合总得分。</w:t>
      </w:r>
    </w:p>
    <w:p w14:paraId="1E04E5DE">
      <w:pPr>
        <w:pStyle w:val="17"/>
        <w:spacing w:line="360" w:lineRule="auto"/>
        <w:ind w:right="-11"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（2）按照有效</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综合总得分由高到低依次排出中标候选</w:t>
      </w:r>
      <w:r>
        <w:rPr>
          <w:rFonts w:hint="eastAsia" w:ascii="宋体" w:hAnsi="宋体" w:eastAsia="宋体"/>
          <w:color w:val="auto"/>
          <w:sz w:val="24"/>
          <w:szCs w:val="24"/>
          <w:highlight w:val="none"/>
          <w:lang w:eastAsia="zh-CN"/>
        </w:rPr>
        <w:t>人</w:t>
      </w:r>
      <w:r>
        <w:rPr>
          <w:rFonts w:hint="eastAsia" w:ascii="宋体" w:hAnsi="宋体" w:eastAsia="宋体"/>
          <w:color w:val="auto"/>
          <w:sz w:val="24"/>
          <w:szCs w:val="24"/>
          <w:highlight w:val="none"/>
        </w:rPr>
        <w:t>。</w:t>
      </w:r>
    </w:p>
    <w:p w14:paraId="610C5BDC">
      <w:pPr>
        <w:adjustRightInd w:val="0"/>
        <w:snapToGrid w:val="0"/>
        <w:spacing w:line="360" w:lineRule="auto"/>
        <w:ind w:right="-1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 xml:space="preserve">第十条 </w:t>
      </w:r>
      <w:r>
        <w:rPr>
          <w:rFonts w:hint="eastAsia" w:ascii="宋体" w:hAnsi="宋体"/>
          <w:color w:val="auto"/>
          <w:sz w:val="24"/>
          <w:szCs w:val="24"/>
          <w:highlight w:val="none"/>
        </w:rPr>
        <w:t>各</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的综合总得分分值一经得出，并核对无误后，任何人不得更改。</w:t>
      </w:r>
    </w:p>
    <w:p w14:paraId="1568DAC4">
      <w:pPr>
        <w:pStyle w:val="17"/>
        <w:spacing w:line="360" w:lineRule="auto"/>
        <w:ind w:right="-11" w:firstLine="495"/>
        <w:rPr>
          <w:rFonts w:ascii="宋体" w:hAnsi="宋体" w:eastAsia="宋体"/>
          <w:color w:val="auto"/>
          <w:sz w:val="24"/>
          <w:szCs w:val="24"/>
          <w:highlight w:val="none"/>
        </w:rPr>
      </w:pPr>
      <w:r>
        <w:rPr>
          <w:rFonts w:hint="eastAsia" w:ascii="宋体" w:hAnsi="宋体" w:eastAsia="宋体"/>
          <w:b/>
          <w:color w:val="auto"/>
          <w:sz w:val="24"/>
          <w:szCs w:val="24"/>
          <w:highlight w:val="none"/>
        </w:rPr>
        <w:t xml:space="preserve">第十一条 </w:t>
      </w:r>
      <w:r>
        <w:rPr>
          <w:rFonts w:hint="eastAsia" w:ascii="宋体" w:hAnsi="宋体" w:eastAsia="宋体"/>
          <w:color w:val="auto"/>
          <w:sz w:val="24"/>
          <w:szCs w:val="24"/>
          <w:highlight w:val="none"/>
        </w:rPr>
        <w:t>评标委员会将有效</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按评审后综合得分由高到低顺序推荐中标候选</w:t>
      </w:r>
      <w:r>
        <w:rPr>
          <w:rFonts w:hint="eastAsia" w:ascii="宋体" w:hAnsi="宋体" w:eastAsia="宋体"/>
          <w:color w:val="auto"/>
          <w:sz w:val="24"/>
          <w:szCs w:val="24"/>
          <w:highlight w:val="none"/>
          <w:lang w:eastAsia="zh-CN"/>
        </w:rPr>
        <w:t>人</w:t>
      </w:r>
      <w:r>
        <w:rPr>
          <w:rFonts w:hint="eastAsia" w:ascii="宋体" w:hAnsi="宋体" w:eastAsia="宋体"/>
          <w:color w:val="auto"/>
          <w:sz w:val="24"/>
          <w:szCs w:val="24"/>
          <w:highlight w:val="none"/>
        </w:rPr>
        <w:t>。得分相同的，按投标报价由低到高顺序排列。得分且投标报价相同的，采取随机抽取的方式确定中标候选</w:t>
      </w:r>
      <w:r>
        <w:rPr>
          <w:rFonts w:hint="eastAsia" w:ascii="宋体" w:hAnsi="宋体" w:eastAsia="宋体"/>
          <w:color w:val="auto"/>
          <w:sz w:val="24"/>
          <w:szCs w:val="24"/>
          <w:highlight w:val="none"/>
          <w:lang w:eastAsia="zh-CN"/>
        </w:rPr>
        <w:t>人</w:t>
      </w:r>
      <w:r>
        <w:rPr>
          <w:rFonts w:hint="eastAsia" w:ascii="宋体" w:hAnsi="宋体" w:eastAsia="宋体"/>
          <w:color w:val="auto"/>
          <w:sz w:val="24"/>
          <w:szCs w:val="24"/>
          <w:highlight w:val="none"/>
        </w:rPr>
        <w:t>的排列顺序。</w:t>
      </w:r>
    </w:p>
    <w:p w14:paraId="7B4E21F6">
      <w:pPr>
        <w:adjustRightInd w:val="0"/>
        <w:snapToGrid w:val="0"/>
        <w:spacing w:line="360" w:lineRule="auto"/>
        <w:ind w:right="-11" w:firstLine="482" w:firstLineChars="200"/>
        <w:rPr>
          <w:rFonts w:ascii="宋体" w:hAnsi="宋体"/>
          <w:b/>
          <w:color w:val="auto"/>
          <w:sz w:val="24"/>
          <w:szCs w:val="24"/>
          <w:highlight w:val="none"/>
        </w:rPr>
      </w:pPr>
      <w:r>
        <w:rPr>
          <w:rFonts w:hint="eastAsia" w:ascii="宋体" w:hAnsi="宋体"/>
          <w:b/>
          <w:color w:val="auto"/>
          <w:sz w:val="24"/>
          <w:szCs w:val="24"/>
          <w:highlight w:val="none"/>
        </w:rPr>
        <w:t>第</w:t>
      </w:r>
      <w:r>
        <w:rPr>
          <w:rFonts w:hint="eastAsia" w:ascii="宋体" w:hAnsi="宋体"/>
          <w:b/>
          <w:bCs/>
          <w:color w:val="auto"/>
          <w:sz w:val="24"/>
          <w:szCs w:val="24"/>
          <w:highlight w:val="none"/>
        </w:rPr>
        <w:t>十二</w:t>
      </w:r>
      <w:r>
        <w:rPr>
          <w:rFonts w:hint="eastAsia" w:ascii="宋体" w:hAnsi="宋体"/>
          <w:b/>
          <w:color w:val="auto"/>
          <w:sz w:val="24"/>
          <w:szCs w:val="24"/>
          <w:highlight w:val="none"/>
        </w:rPr>
        <w:t xml:space="preserve">条 </w:t>
      </w:r>
      <w:r>
        <w:rPr>
          <w:rFonts w:hint="eastAsia" w:ascii="宋体" w:hAnsi="宋体"/>
          <w:color w:val="auto"/>
          <w:sz w:val="24"/>
          <w:szCs w:val="24"/>
          <w:highlight w:val="none"/>
        </w:rPr>
        <w:t>评标委员会在评标过程中发现的问题，应当区别情形及时作出处理或者向</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提出处理建议，并作书面记录。</w:t>
      </w:r>
    </w:p>
    <w:p w14:paraId="24BF5F8C">
      <w:pPr>
        <w:adjustRightInd w:val="0"/>
        <w:snapToGrid w:val="0"/>
        <w:spacing w:line="360" w:lineRule="auto"/>
        <w:ind w:right="-11"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第</w:t>
      </w:r>
      <w:r>
        <w:rPr>
          <w:rFonts w:hint="eastAsia" w:ascii="宋体" w:hAnsi="宋体"/>
          <w:b/>
          <w:bCs/>
          <w:color w:val="auto"/>
          <w:sz w:val="24"/>
          <w:szCs w:val="24"/>
          <w:highlight w:val="none"/>
        </w:rPr>
        <w:t>十</w:t>
      </w:r>
      <w:r>
        <w:rPr>
          <w:rFonts w:hint="eastAsia" w:ascii="宋体" w:hAnsi="宋体"/>
          <w:b/>
          <w:color w:val="auto"/>
          <w:sz w:val="24"/>
          <w:szCs w:val="24"/>
          <w:highlight w:val="none"/>
        </w:rPr>
        <w:t xml:space="preserve">三条 </w:t>
      </w:r>
      <w:r>
        <w:rPr>
          <w:rFonts w:hint="eastAsia" w:ascii="宋体" w:hAnsi="宋体"/>
          <w:color w:val="auto"/>
          <w:sz w:val="24"/>
          <w:szCs w:val="24"/>
          <w:highlight w:val="none"/>
        </w:rPr>
        <w:t>评标委员会认为</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的报价明显低于其他通过符合性审查</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的报价</w:t>
      </w:r>
      <w:r>
        <w:rPr>
          <w:rFonts w:hint="eastAsia" w:ascii="宋体" w:hAnsi="宋体" w:eastAsia="宋体" w:cs="宋体"/>
          <w:color w:val="auto"/>
          <w:sz w:val="24"/>
          <w:szCs w:val="24"/>
          <w:highlight w:val="none"/>
          <w:lang w:val="en-US" w:eastAsia="zh-CN"/>
        </w:rPr>
        <w:t>（包括总价和单价）</w:t>
      </w:r>
      <w:r>
        <w:rPr>
          <w:rFonts w:hint="eastAsia" w:ascii="宋体" w:hAnsi="宋体"/>
          <w:color w:val="auto"/>
          <w:sz w:val="24"/>
          <w:szCs w:val="24"/>
          <w:highlight w:val="none"/>
        </w:rPr>
        <w:t>，有可能影响产品质量或者不能诚信履约的，应当要求其在评标现场合理的时间内提供书面说明，必要时提交相关证明材料；</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不能证明其报价合理性的，评标委员会应当将其作为无效投标处理。</w:t>
      </w:r>
    </w:p>
    <w:p w14:paraId="1456DE3B">
      <w:pPr>
        <w:adjustRightInd w:val="0"/>
        <w:snapToGrid w:val="0"/>
        <w:spacing w:line="360" w:lineRule="auto"/>
        <w:ind w:right="-11"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 xml:space="preserve">第十四条 </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有串通投标、弄虚作假、行贿等违法行为，评标委员会有权否决其投标。</w:t>
      </w:r>
    </w:p>
    <w:p w14:paraId="745A97EF">
      <w:pPr>
        <w:adjustRightInd w:val="0"/>
        <w:snapToGrid w:val="0"/>
        <w:spacing w:line="360" w:lineRule="auto"/>
        <w:ind w:right="-10"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 xml:space="preserve">第十五条 </w:t>
      </w:r>
      <w:r>
        <w:rPr>
          <w:rFonts w:hint="eastAsia" w:ascii="宋体" w:hAnsi="宋体"/>
          <w:color w:val="auto"/>
          <w:sz w:val="24"/>
          <w:szCs w:val="24"/>
          <w:highlight w:val="none"/>
        </w:rPr>
        <w:t>评标后，评标委员会应编写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14:paraId="6E7987A9">
      <w:pPr>
        <w:adjustRightInd w:val="0"/>
        <w:snapToGrid w:val="0"/>
        <w:spacing w:line="360" w:lineRule="auto"/>
        <w:ind w:right="-11" w:firstLine="482" w:firstLineChars="200"/>
        <w:rPr>
          <w:rFonts w:ascii="宋体" w:hAnsi="宋体"/>
          <w:color w:val="auto"/>
          <w:sz w:val="24"/>
          <w:szCs w:val="24"/>
          <w:highlight w:val="none"/>
        </w:rPr>
      </w:pPr>
      <w:r>
        <w:rPr>
          <w:rFonts w:hint="eastAsia" w:ascii="宋体" w:hAnsi="宋体"/>
          <w:b/>
          <w:color w:val="auto"/>
          <w:sz w:val="24"/>
          <w:szCs w:val="24"/>
          <w:highlight w:val="none"/>
        </w:rPr>
        <w:t>第十六条</w:t>
      </w:r>
      <w:r>
        <w:rPr>
          <w:rFonts w:hint="eastAsia" w:ascii="宋体" w:hAnsi="宋体"/>
          <w:color w:val="auto"/>
          <w:sz w:val="24"/>
          <w:szCs w:val="24"/>
          <w:highlight w:val="none"/>
        </w:rPr>
        <w:t xml:space="preserve"> 评标委员会成员应当在评标报告上签字，对自己的评审意见承担法律责任。对评标报告有异议的，应当在评标报告上签署不同意见，并说明理由，否则视为同意评标报告。</w:t>
      </w:r>
    </w:p>
    <w:p w14:paraId="05D3AF51">
      <w:pPr>
        <w:pStyle w:val="3"/>
        <w:keepNext/>
        <w:keepLines/>
        <w:pageBreakBefore w:val="0"/>
        <w:widowControl w:val="0"/>
        <w:kinsoku/>
        <w:wordWrap/>
        <w:overflowPunct/>
        <w:topLinePunct w:val="0"/>
        <w:autoSpaceDE/>
        <w:autoSpaceDN/>
        <w:bidi w:val="0"/>
        <w:adjustRightInd/>
        <w:snapToGrid/>
        <w:spacing w:before="140" w:after="140" w:line="360" w:lineRule="auto"/>
        <w:ind w:firstLine="0"/>
        <w:textAlignment w:val="auto"/>
        <w:rPr>
          <w:rFonts w:hint="eastAsia" w:ascii="宋体" w:hAnsi="宋体" w:eastAsia="宋体" w:cs="宋体"/>
          <w:b/>
          <w:bCs/>
          <w:color w:val="auto"/>
          <w:sz w:val="24"/>
          <w:szCs w:val="24"/>
          <w:highlight w:val="none"/>
        </w:rPr>
      </w:pPr>
      <w:bookmarkStart w:id="140" w:name="_Toc31577"/>
      <w:bookmarkStart w:id="141" w:name="_Toc10073"/>
      <w:r>
        <w:rPr>
          <w:rFonts w:hint="eastAsia" w:ascii="宋体" w:hAnsi="宋体" w:eastAsia="宋体" w:cs="宋体"/>
          <w:b/>
          <w:bCs/>
          <w:color w:val="auto"/>
          <w:sz w:val="24"/>
          <w:szCs w:val="24"/>
          <w:highlight w:val="none"/>
        </w:rPr>
        <w:t>三、评标纪律</w:t>
      </w:r>
      <w:bookmarkEnd w:id="140"/>
      <w:bookmarkEnd w:id="141"/>
    </w:p>
    <w:p w14:paraId="377AC6CE">
      <w:pPr>
        <w:adjustRightInd w:val="0"/>
        <w:snapToGrid w:val="0"/>
        <w:spacing w:line="360" w:lineRule="auto"/>
        <w:ind w:right="-10"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 xml:space="preserve">第十七条 </w:t>
      </w:r>
      <w:r>
        <w:rPr>
          <w:rFonts w:hint="eastAsia" w:ascii="宋体" w:hAnsi="宋体"/>
          <w:bCs/>
          <w:color w:val="auto"/>
          <w:sz w:val="24"/>
          <w:szCs w:val="24"/>
          <w:highlight w:val="none"/>
        </w:rPr>
        <w:t>评标委员会和评标工作人员应严格遵守国家的法律、法规和规章制度；严格按照本次招标文件进行评标；公正廉洁、不徇私情，不得损害国家利益；保护</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的合法权益。</w:t>
      </w:r>
    </w:p>
    <w:p w14:paraId="31266086">
      <w:pPr>
        <w:adjustRightInd w:val="0"/>
        <w:snapToGrid w:val="0"/>
        <w:spacing w:line="360" w:lineRule="auto"/>
        <w:ind w:right="-10" w:firstLine="482" w:firstLineChars="200"/>
        <w:rPr>
          <w:rFonts w:hint="eastAsia" w:ascii="宋体" w:hAnsi="宋体"/>
          <w:bCs/>
          <w:color w:val="auto"/>
          <w:sz w:val="24"/>
          <w:szCs w:val="24"/>
          <w:highlight w:val="none"/>
        </w:rPr>
      </w:pPr>
      <w:r>
        <w:rPr>
          <w:rFonts w:hint="eastAsia" w:ascii="宋体" w:hAnsi="宋体"/>
          <w:b/>
          <w:bCs/>
          <w:color w:val="auto"/>
          <w:sz w:val="24"/>
          <w:szCs w:val="24"/>
          <w:highlight w:val="none"/>
        </w:rPr>
        <w:t xml:space="preserve">第十八条 </w:t>
      </w:r>
      <w:r>
        <w:rPr>
          <w:rFonts w:hint="eastAsia" w:ascii="宋体" w:hAnsi="宋体"/>
          <w:bCs/>
          <w:color w:val="auto"/>
          <w:sz w:val="24"/>
          <w:szCs w:val="24"/>
          <w:highlight w:val="none"/>
        </w:rPr>
        <w:t>在评标过程中，评委及其他评标工作人员必须对评标情况严格保密，任何人不得将评标情况透露给与</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有关的单位和个人。如有违反评标纪律的情况发生，将依据</w:t>
      </w:r>
      <w:r>
        <w:rPr>
          <w:rFonts w:hint="eastAsia" w:ascii="宋体" w:hAnsi="宋体"/>
          <w:bCs/>
          <w:color w:val="auto"/>
          <w:sz w:val="24"/>
          <w:szCs w:val="24"/>
          <w:highlight w:val="none"/>
          <w:lang w:val="en-US" w:eastAsia="zh-CN"/>
        </w:rPr>
        <w:t>相关</w:t>
      </w:r>
      <w:r>
        <w:rPr>
          <w:rFonts w:hint="eastAsia" w:ascii="宋体" w:hAnsi="宋体"/>
          <w:bCs/>
          <w:color w:val="auto"/>
          <w:sz w:val="24"/>
          <w:szCs w:val="24"/>
          <w:highlight w:val="none"/>
        </w:rPr>
        <w:t>法律法规的规定，追究有关当事人的责任。</w:t>
      </w:r>
    </w:p>
    <w:p w14:paraId="6E8B12D6">
      <w:pPr>
        <w:adjustRightInd w:val="0"/>
        <w:snapToGrid w:val="0"/>
        <w:spacing w:line="360" w:lineRule="auto"/>
        <w:ind w:right="-10" w:firstLine="480" w:firstLineChars="200"/>
        <w:rPr>
          <w:rFonts w:hint="eastAsia" w:ascii="宋体" w:hAnsi="宋体"/>
          <w:bCs/>
          <w:color w:val="auto"/>
          <w:sz w:val="24"/>
          <w:szCs w:val="24"/>
          <w:highlight w:val="none"/>
        </w:rPr>
      </w:pPr>
    </w:p>
    <w:p w14:paraId="0865142A">
      <w:pPr>
        <w:pStyle w:val="2"/>
        <w:keepNext/>
        <w:keepLines/>
        <w:pageBreakBefore w:val="0"/>
        <w:widowControl w:val="0"/>
        <w:kinsoku/>
        <w:wordWrap/>
        <w:overflowPunct/>
        <w:topLinePunct w:val="0"/>
        <w:autoSpaceDE/>
        <w:autoSpaceDN/>
        <w:bidi w:val="0"/>
        <w:adjustRightInd/>
        <w:snapToGrid/>
        <w:spacing w:before="0" w:after="157" w:afterLines="50" w:line="360" w:lineRule="auto"/>
        <w:jc w:val="center"/>
        <w:textAlignment w:val="auto"/>
        <w:rPr>
          <w:rFonts w:hint="default" w:ascii="Times New Roman" w:hAnsi="Times New Roman" w:eastAsia="宋体" w:cs="Times New Roman"/>
          <w:b/>
          <w:bCs/>
          <w:color w:val="auto"/>
          <w:kern w:val="44"/>
          <w:sz w:val="32"/>
          <w:szCs w:val="48"/>
          <w:highlight w:val="none"/>
          <w:lang w:val="en-US" w:eastAsia="zh-CN"/>
        </w:rPr>
      </w:pPr>
      <w:bookmarkStart w:id="142" w:name="_Toc19609"/>
      <w:bookmarkStart w:id="143" w:name="_Toc12351"/>
      <w:bookmarkStart w:id="144" w:name="_Toc15579"/>
      <w:bookmarkStart w:id="145" w:name="_Toc220232390"/>
      <w:r>
        <w:rPr>
          <w:rFonts w:hint="eastAsia" w:ascii="Times New Roman" w:hAnsi="Times New Roman" w:eastAsia="宋体" w:cs="Times New Roman"/>
          <w:b/>
          <w:bCs/>
          <w:color w:val="auto"/>
          <w:kern w:val="44"/>
          <w:sz w:val="32"/>
          <w:szCs w:val="48"/>
          <w:highlight w:val="none"/>
          <w:lang w:val="en-US" w:eastAsia="zh-CN"/>
        </w:rPr>
        <w:t>第五章 合同</w:t>
      </w:r>
      <w:bookmarkEnd w:id="142"/>
      <w:bookmarkEnd w:id="143"/>
      <w:bookmarkEnd w:id="144"/>
      <w:r>
        <w:rPr>
          <w:rFonts w:hint="eastAsia" w:ascii="Times New Roman" w:hAnsi="Times New Roman" w:eastAsia="宋体" w:cs="Times New Roman"/>
          <w:b/>
          <w:bCs/>
          <w:color w:val="auto"/>
          <w:kern w:val="44"/>
          <w:sz w:val="32"/>
          <w:szCs w:val="48"/>
          <w:highlight w:val="none"/>
          <w:lang w:val="en-US" w:eastAsia="zh-CN"/>
        </w:rPr>
        <w:t>条款</w:t>
      </w:r>
    </w:p>
    <w:p w14:paraId="649ED83F">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第一部分 合同书</w:t>
      </w:r>
    </w:p>
    <w:p w14:paraId="77EE1192">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p w14:paraId="676E5E6F">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left"/>
        <w:textAlignment w:val="auto"/>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项目编号：</w:t>
      </w:r>
    </w:p>
    <w:p w14:paraId="42F25C71">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left"/>
        <w:textAlignment w:val="auto"/>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甲方</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招标人</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w:t>
      </w:r>
    </w:p>
    <w:p w14:paraId="0EA5AE8A">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乙方</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中标人</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w:t>
      </w:r>
    </w:p>
    <w:p w14:paraId="3912256F">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签</w:t>
      </w:r>
      <w:r>
        <w:rPr>
          <w:rFonts w:hint="eastAsia" w:ascii="宋体" w:hAnsi="宋体" w:eastAsia="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rPr>
        <w:t>订</w:t>
      </w:r>
      <w:r>
        <w:rPr>
          <w:rFonts w:hint="eastAsia" w:ascii="宋体" w:hAnsi="宋体" w:eastAsia="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rPr>
        <w:t>地：</w:t>
      </w:r>
    </w:p>
    <w:p w14:paraId="1968F0EE">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签订日期：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日</w:t>
      </w:r>
    </w:p>
    <w:p w14:paraId="3DD04A43">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lang w:eastAsia="zh-CN"/>
        </w:rPr>
        <w:t>（</w:t>
      </w:r>
      <w:r>
        <w:rPr>
          <w:rFonts w:ascii="宋体" w:hAnsi="宋体" w:cs="宋体"/>
          <w:color w:val="auto"/>
          <w:spacing w:val="0"/>
          <w:position w:val="0"/>
          <w:sz w:val="24"/>
          <w:szCs w:val="24"/>
          <w:highlight w:val="none"/>
        </w:rPr>
        <w:t>以下简称：甲方</w:t>
      </w:r>
      <w:r>
        <w:rPr>
          <w:rFonts w:hint="eastAsia" w:ascii="宋体" w:hAnsi="宋体" w:cs="宋体"/>
          <w:color w:val="auto"/>
          <w:spacing w:val="0"/>
          <w:position w:val="0"/>
          <w:sz w:val="24"/>
          <w:szCs w:val="24"/>
          <w:highlight w:val="none"/>
          <w:lang w:eastAsia="zh-CN"/>
        </w:rPr>
        <w:t>）</w:t>
      </w:r>
      <w:r>
        <w:rPr>
          <w:rFonts w:ascii="宋体" w:hAnsi="宋体" w:cs="宋体"/>
          <w:color w:val="auto"/>
          <w:spacing w:val="0"/>
          <w:position w:val="0"/>
          <w:sz w:val="24"/>
          <w:szCs w:val="24"/>
          <w:highlight w:val="none"/>
        </w:rPr>
        <w:t>通过</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组织的</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lang w:val="en-US" w:eastAsia="zh-CN"/>
        </w:rPr>
        <w:t>公开招标</w:t>
      </w:r>
      <w:r>
        <w:rPr>
          <w:rFonts w:ascii="宋体" w:hAnsi="宋体" w:cs="宋体"/>
          <w:color w:val="auto"/>
          <w:spacing w:val="0"/>
          <w:position w:val="0"/>
          <w:sz w:val="24"/>
          <w:szCs w:val="24"/>
          <w:highlight w:val="none"/>
        </w:rPr>
        <w:t>活动，经</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评定，</w:t>
      </w:r>
      <w:r>
        <w:rPr>
          <w:rFonts w:hint="eastAsia" w:ascii="宋体" w:hAnsi="宋体" w:cs="宋体"/>
          <w:color w:val="auto"/>
          <w:spacing w:val="0"/>
          <w:position w:val="0"/>
          <w:sz w:val="24"/>
          <w:szCs w:val="24"/>
          <w:highlight w:val="none"/>
          <w:u w:val="single"/>
          <w:lang w:eastAsia="zh-CN"/>
        </w:rPr>
        <w:t>（</w:t>
      </w:r>
      <w:r>
        <w:rPr>
          <w:rFonts w:hint="eastAsia" w:ascii="宋体" w:hAnsi="宋体" w:cs="宋体"/>
          <w:color w:val="auto"/>
          <w:spacing w:val="0"/>
          <w:position w:val="0"/>
          <w:sz w:val="24"/>
          <w:szCs w:val="24"/>
          <w:highlight w:val="none"/>
          <w:u w:val="single"/>
          <w:lang w:val="en-US" w:eastAsia="zh-CN"/>
        </w:rPr>
        <w:t>中标人名称</w:t>
      </w:r>
      <w:r>
        <w:rPr>
          <w:rFonts w:hint="eastAsia" w:ascii="宋体" w:hAnsi="宋体" w:cs="宋体"/>
          <w:color w:val="auto"/>
          <w:spacing w:val="0"/>
          <w:position w:val="0"/>
          <w:sz w:val="24"/>
          <w:szCs w:val="24"/>
          <w:highlight w:val="none"/>
          <w:u w:val="single"/>
          <w:lang w:eastAsia="zh-CN"/>
        </w:rPr>
        <w:t>）</w:t>
      </w:r>
      <w:r>
        <w:rPr>
          <w:rFonts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lang w:eastAsia="zh-CN"/>
        </w:rPr>
        <w:t>（</w:t>
      </w:r>
      <w:r>
        <w:rPr>
          <w:rFonts w:ascii="宋体" w:hAnsi="宋体" w:cs="宋体"/>
          <w:color w:val="auto"/>
          <w:spacing w:val="0"/>
          <w:position w:val="0"/>
          <w:sz w:val="24"/>
          <w:szCs w:val="24"/>
          <w:highlight w:val="none"/>
        </w:rPr>
        <w:t>以下简称</w:t>
      </w:r>
      <w:r>
        <w:rPr>
          <w:rFonts w:hint="eastAsia" w:ascii="宋体" w:hAnsi="宋体" w:cs="宋体"/>
          <w:color w:val="auto"/>
          <w:spacing w:val="0"/>
          <w:position w:val="0"/>
          <w:sz w:val="24"/>
          <w:szCs w:val="24"/>
          <w:highlight w:val="none"/>
          <w:lang w:eastAsia="zh-CN"/>
        </w:rPr>
        <w:t>：</w:t>
      </w:r>
      <w:r>
        <w:rPr>
          <w:rFonts w:ascii="宋体" w:hAnsi="宋体" w:cs="宋体"/>
          <w:color w:val="auto"/>
          <w:spacing w:val="0"/>
          <w:position w:val="0"/>
          <w:sz w:val="24"/>
          <w:szCs w:val="24"/>
          <w:highlight w:val="none"/>
        </w:rPr>
        <w:t>乙方</w:t>
      </w:r>
      <w:r>
        <w:rPr>
          <w:rFonts w:hint="eastAsia" w:ascii="宋体" w:hAnsi="宋体" w:cs="宋体"/>
          <w:color w:val="auto"/>
          <w:spacing w:val="0"/>
          <w:position w:val="0"/>
          <w:sz w:val="24"/>
          <w:szCs w:val="24"/>
          <w:highlight w:val="none"/>
          <w:lang w:eastAsia="zh-CN"/>
        </w:rPr>
        <w:t>）</w:t>
      </w:r>
      <w:r>
        <w:rPr>
          <w:rFonts w:ascii="宋体" w:hAnsi="宋体" w:cs="宋体"/>
          <w:color w:val="auto"/>
          <w:spacing w:val="0"/>
          <w:position w:val="0"/>
          <w:sz w:val="24"/>
          <w:szCs w:val="24"/>
          <w:highlight w:val="none"/>
        </w:rPr>
        <w:t>为本项目</w:t>
      </w:r>
      <w:r>
        <w:rPr>
          <w:rFonts w:hint="eastAsia" w:ascii="宋体" w:hAnsi="宋体" w:cs="宋体"/>
          <w:color w:val="auto"/>
          <w:spacing w:val="0"/>
          <w:position w:val="0"/>
          <w:sz w:val="24"/>
          <w:szCs w:val="24"/>
          <w:highlight w:val="none"/>
          <w:lang w:eastAsia="zh-CN"/>
        </w:rPr>
        <w:t>中标人</w:t>
      </w:r>
      <w:r>
        <w:rPr>
          <w:rFonts w:ascii="宋体" w:hAnsi="宋体" w:cs="宋体"/>
          <w:color w:val="auto"/>
          <w:spacing w:val="0"/>
          <w:position w:val="0"/>
          <w:sz w:val="24"/>
          <w:szCs w:val="24"/>
          <w:highlight w:val="none"/>
        </w:rPr>
        <w:t>，现按照</w:t>
      </w:r>
      <w:r>
        <w:rPr>
          <w:rFonts w:hint="eastAsia" w:ascii="宋体" w:hAnsi="宋体" w:cs="宋体"/>
          <w:color w:val="auto"/>
          <w:spacing w:val="0"/>
          <w:position w:val="0"/>
          <w:sz w:val="24"/>
          <w:szCs w:val="24"/>
          <w:highlight w:val="none"/>
          <w:lang w:eastAsia="zh-CN"/>
        </w:rPr>
        <w:t>招标文件</w:t>
      </w:r>
      <w:r>
        <w:rPr>
          <w:rFonts w:ascii="宋体" w:hAnsi="宋体" w:cs="宋体"/>
          <w:color w:val="auto"/>
          <w:spacing w:val="0"/>
          <w:position w:val="0"/>
          <w:sz w:val="24"/>
          <w:szCs w:val="24"/>
          <w:highlight w:val="none"/>
        </w:rPr>
        <w:t>确定的事项签订本合同。</w:t>
      </w:r>
    </w:p>
    <w:p w14:paraId="292949E3">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根据《中华人民共和国民法典》、《中华人民共和国</w:t>
      </w:r>
      <w:r>
        <w:rPr>
          <w:rFonts w:hint="eastAsia" w:ascii="宋体" w:hAnsi="宋体" w:cs="宋体"/>
          <w:color w:val="auto"/>
          <w:spacing w:val="0"/>
          <w:position w:val="0"/>
          <w:sz w:val="24"/>
          <w:szCs w:val="24"/>
          <w:highlight w:val="none"/>
          <w:lang w:val="en-US" w:eastAsia="zh-CN"/>
        </w:rPr>
        <w:t>招标投标</w:t>
      </w:r>
      <w:r>
        <w:rPr>
          <w:rFonts w:ascii="宋体" w:hAnsi="宋体" w:cs="宋体"/>
          <w:color w:val="auto"/>
          <w:spacing w:val="0"/>
          <w:position w:val="0"/>
          <w:sz w:val="24"/>
          <w:szCs w:val="24"/>
          <w:highlight w:val="none"/>
        </w:rPr>
        <w:t>法》等相关法律法规之规定，按照平等、自愿、公平和诚实信用的原则，经甲方和乙方协商一致，约定以下合同条款，以兹共同遵守、全面履行。</w:t>
      </w:r>
    </w:p>
    <w:p w14:paraId="5E605C8A">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1.1 合同组成部分</w:t>
      </w:r>
    </w:p>
    <w:p w14:paraId="008A05BE">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pacing w:val="0"/>
          <w:position w:val="0"/>
          <w:sz w:val="24"/>
          <w:szCs w:val="24"/>
          <w:highlight w:val="none"/>
          <w:lang w:eastAsia="zh-CN"/>
        </w:rPr>
        <w:t>招标文件</w:t>
      </w:r>
      <w:r>
        <w:rPr>
          <w:rFonts w:ascii="宋体" w:hAnsi="宋体" w:cs="宋体"/>
          <w:color w:val="auto"/>
          <w:spacing w:val="0"/>
          <w:position w:val="0"/>
          <w:sz w:val="24"/>
          <w:szCs w:val="24"/>
          <w:highlight w:val="none"/>
        </w:rPr>
        <w:t>确定的事项前提下，组成本合同的多个文件的优先适用顺序如下：</w:t>
      </w:r>
    </w:p>
    <w:p w14:paraId="2FE036D3">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1.1.1 本合同及其补充合同、变更协议；</w:t>
      </w:r>
    </w:p>
    <w:p w14:paraId="146193DD">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 xml:space="preserve">1.1.2 </w:t>
      </w:r>
      <w:r>
        <w:rPr>
          <w:rFonts w:hint="eastAsia" w:ascii="宋体" w:hAnsi="宋体" w:cs="宋体"/>
          <w:color w:val="auto"/>
          <w:spacing w:val="0"/>
          <w:position w:val="0"/>
          <w:sz w:val="24"/>
          <w:szCs w:val="24"/>
          <w:highlight w:val="none"/>
          <w:lang w:eastAsia="zh-CN"/>
        </w:rPr>
        <w:t>中标</w:t>
      </w:r>
      <w:r>
        <w:rPr>
          <w:rFonts w:ascii="宋体" w:hAnsi="宋体" w:cs="宋体"/>
          <w:color w:val="auto"/>
          <w:spacing w:val="0"/>
          <w:position w:val="0"/>
          <w:sz w:val="24"/>
          <w:szCs w:val="24"/>
          <w:highlight w:val="none"/>
        </w:rPr>
        <w:t>通知书；</w:t>
      </w:r>
    </w:p>
    <w:p w14:paraId="27CF4810">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1.1.3 响应文件(含澄清或者说明文件)；</w:t>
      </w:r>
    </w:p>
    <w:p w14:paraId="718744BC">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 xml:space="preserve">1.1.4 </w:t>
      </w:r>
      <w:r>
        <w:rPr>
          <w:rFonts w:hint="eastAsia" w:ascii="宋体" w:hAnsi="宋体" w:cs="宋体"/>
          <w:color w:val="auto"/>
          <w:spacing w:val="0"/>
          <w:position w:val="0"/>
          <w:sz w:val="24"/>
          <w:szCs w:val="24"/>
          <w:highlight w:val="none"/>
          <w:lang w:eastAsia="zh-CN"/>
        </w:rPr>
        <w:t>招标文件</w:t>
      </w:r>
      <w:r>
        <w:rPr>
          <w:rFonts w:ascii="宋体" w:hAnsi="宋体" w:cs="宋体"/>
          <w:color w:val="auto"/>
          <w:spacing w:val="0"/>
          <w:position w:val="0"/>
          <w:sz w:val="24"/>
          <w:szCs w:val="24"/>
          <w:highlight w:val="none"/>
        </w:rPr>
        <w:t>(含澄清或者修改文件)；</w:t>
      </w:r>
    </w:p>
    <w:p w14:paraId="2B0ACD5D">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1.1.5 其他相关文件。</w:t>
      </w:r>
    </w:p>
    <w:p w14:paraId="48F822EE">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1.2 服务</w:t>
      </w:r>
    </w:p>
    <w:p w14:paraId="20A3266C">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1.2.1 服务名称：；</w:t>
      </w:r>
    </w:p>
    <w:p w14:paraId="290335F4">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1.2.2 服务内容：；</w:t>
      </w:r>
    </w:p>
    <w:p w14:paraId="21578784">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1.2.3 服务质量：。</w:t>
      </w:r>
    </w:p>
    <w:p w14:paraId="720FB757">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1.3 价款</w:t>
      </w:r>
    </w:p>
    <w:p w14:paraId="1B3A201C">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本合同总价为：</w:t>
      </w:r>
      <w:r>
        <w:rPr>
          <w:rFonts w:hint="eastAsia" w:ascii="宋体" w:hAnsi="宋体" w:eastAsia="宋体" w:cs="宋体"/>
          <w:color w:val="auto"/>
          <w:spacing w:val="0"/>
          <w:position w:val="0"/>
          <w:sz w:val="24"/>
          <w:szCs w:val="24"/>
          <w:highlight w:val="none"/>
        </w:rPr>
        <w:t>本合同总价为：￥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元 (大写：人民币</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元)</w:t>
      </w:r>
      <w:r>
        <w:rPr>
          <w:rFonts w:ascii="宋体" w:hAnsi="宋体" w:cs="宋体"/>
          <w:color w:val="auto"/>
          <w:spacing w:val="0"/>
          <w:position w:val="0"/>
          <w:sz w:val="24"/>
          <w:szCs w:val="24"/>
          <w:highlight w:val="none"/>
        </w:rPr>
        <w:t>。</w:t>
      </w:r>
    </w:p>
    <w:p w14:paraId="3E0969BC">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分项价格：</w:t>
      </w:r>
    </w:p>
    <w:tbl>
      <w:tblPr>
        <w:tblStyle w:val="97"/>
        <w:tblW w:w="82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28" w:type="dxa"/>
          <w:bottom w:w="28" w:type="dxa"/>
          <w:right w:w="28" w:type="dxa"/>
        </w:tblCellMar>
      </w:tblPr>
      <w:tblGrid>
        <w:gridCol w:w="959"/>
        <w:gridCol w:w="4282"/>
        <w:gridCol w:w="3047"/>
      </w:tblGrid>
      <w:tr w14:paraId="21D09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9" w:hRule="atLeast"/>
          <w:jc w:val="center"/>
        </w:trPr>
        <w:tc>
          <w:tcPr>
            <w:tcW w:w="959" w:type="dxa"/>
            <w:noWrap w:val="0"/>
            <w:vAlign w:val="center"/>
          </w:tcPr>
          <w:p w14:paraId="12E8BB5B">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序号</w:t>
            </w:r>
          </w:p>
        </w:tc>
        <w:tc>
          <w:tcPr>
            <w:tcW w:w="4282" w:type="dxa"/>
            <w:noWrap w:val="0"/>
            <w:vAlign w:val="center"/>
          </w:tcPr>
          <w:p w14:paraId="4CE47532">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分项名称</w:t>
            </w:r>
          </w:p>
        </w:tc>
        <w:tc>
          <w:tcPr>
            <w:tcW w:w="3047" w:type="dxa"/>
            <w:noWrap w:val="0"/>
            <w:vAlign w:val="center"/>
          </w:tcPr>
          <w:p w14:paraId="66AF9C4A">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分项价格</w:t>
            </w:r>
          </w:p>
        </w:tc>
      </w:tr>
      <w:tr w14:paraId="5E900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3" w:hRule="atLeast"/>
          <w:jc w:val="center"/>
        </w:trPr>
        <w:tc>
          <w:tcPr>
            <w:tcW w:w="959" w:type="dxa"/>
            <w:noWrap w:val="0"/>
            <w:vAlign w:val="center"/>
          </w:tcPr>
          <w:p w14:paraId="4AD6CCF5">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w:t>
            </w:r>
          </w:p>
        </w:tc>
        <w:tc>
          <w:tcPr>
            <w:tcW w:w="4282" w:type="dxa"/>
            <w:noWrap w:val="0"/>
            <w:vAlign w:val="center"/>
          </w:tcPr>
          <w:p w14:paraId="4C73E386">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center"/>
              <w:textAlignment w:val="auto"/>
              <w:rPr>
                <w:rFonts w:ascii="Arial" w:hAnsi="Arial" w:cs="Arial"/>
                <w:color w:val="auto"/>
                <w:spacing w:val="0"/>
                <w:position w:val="0"/>
                <w:sz w:val="24"/>
                <w:szCs w:val="24"/>
                <w:highlight w:val="none"/>
              </w:rPr>
            </w:pPr>
          </w:p>
        </w:tc>
        <w:tc>
          <w:tcPr>
            <w:tcW w:w="3047" w:type="dxa"/>
            <w:noWrap w:val="0"/>
            <w:vAlign w:val="center"/>
          </w:tcPr>
          <w:p w14:paraId="28E008EC">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center"/>
              <w:textAlignment w:val="auto"/>
              <w:rPr>
                <w:rFonts w:ascii="Arial" w:hAnsi="Arial" w:cs="Arial"/>
                <w:color w:val="auto"/>
                <w:spacing w:val="0"/>
                <w:position w:val="0"/>
                <w:sz w:val="24"/>
                <w:szCs w:val="24"/>
                <w:highlight w:val="none"/>
              </w:rPr>
            </w:pPr>
          </w:p>
        </w:tc>
      </w:tr>
      <w:tr w14:paraId="21A34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3" w:hRule="atLeast"/>
          <w:jc w:val="center"/>
        </w:trPr>
        <w:tc>
          <w:tcPr>
            <w:tcW w:w="959" w:type="dxa"/>
            <w:noWrap w:val="0"/>
            <w:vAlign w:val="center"/>
          </w:tcPr>
          <w:p w14:paraId="284302AE">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2</w:t>
            </w:r>
          </w:p>
        </w:tc>
        <w:tc>
          <w:tcPr>
            <w:tcW w:w="4282" w:type="dxa"/>
            <w:noWrap w:val="0"/>
            <w:vAlign w:val="center"/>
          </w:tcPr>
          <w:p w14:paraId="5AE28159">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center"/>
              <w:textAlignment w:val="auto"/>
              <w:rPr>
                <w:rFonts w:ascii="Arial" w:hAnsi="Arial" w:cs="Arial"/>
                <w:color w:val="auto"/>
                <w:spacing w:val="0"/>
                <w:position w:val="0"/>
                <w:sz w:val="24"/>
                <w:szCs w:val="24"/>
                <w:highlight w:val="none"/>
              </w:rPr>
            </w:pPr>
          </w:p>
        </w:tc>
        <w:tc>
          <w:tcPr>
            <w:tcW w:w="3047" w:type="dxa"/>
            <w:noWrap w:val="0"/>
            <w:vAlign w:val="center"/>
          </w:tcPr>
          <w:p w14:paraId="5F88A2C8">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center"/>
              <w:textAlignment w:val="auto"/>
              <w:rPr>
                <w:rFonts w:ascii="Arial" w:hAnsi="Arial" w:cs="Arial"/>
                <w:color w:val="auto"/>
                <w:spacing w:val="0"/>
                <w:position w:val="0"/>
                <w:sz w:val="24"/>
                <w:szCs w:val="24"/>
                <w:highlight w:val="none"/>
              </w:rPr>
            </w:pPr>
          </w:p>
        </w:tc>
      </w:tr>
      <w:tr w14:paraId="350CE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3" w:hRule="atLeast"/>
          <w:jc w:val="center"/>
        </w:trPr>
        <w:tc>
          <w:tcPr>
            <w:tcW w:w="959" w:type="dxa"/>
            <w:noWrap w:val="0"/>
            <w:vAlign w:val="center"/>
          </w:tcPr>
          <w:p w14:paraId="4030FF2A">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3</w:t>
            </w:r>
          </w:p>
        </w:tc>
        <w:tc>
          <w:tcPr>
            <w:tcW w:w="4282" w:type="dxa"/>
            <w:noWrap w:val="0"/>
            <w:vAlign w:val="center"/>
          </w:tcPr>
          <w:p w14:paraId="582C5AD3">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center"/>
              <w:textAlignment w:val="auto"/>
              <w:rPr>
                <w:rFonts w:ascii="Arial" w:hAnsi="Arial" w:cs="Arial"/>
                <w:color w:val="auto"/>
                <w:spacing w:val="0"/>
                <w:position w:val="0"/>
                <w:sz w:val="24"/>
                <w:szCs w:val="24"/>
                <w:highlight w:val="none"/>
              </w:rPr>
            </w:pPr>
          </w:p>
        </w:tc>
        <w:tc>
          <w:tcPr>
            <w:tcW w:w="3047" w:type="dxa"/>
            <w:noWrap w:val="0"/>
            <w:vAlign w:val="center"/>
          </w:tcPr>
          <w:p w14:paraId="09E17763">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center"/>
              <w:textAlignment w:val="auto"/>
              <w:rPr>
                <w:rFonts w:ascii="Arial" w:hAnsi="Arial" w:cs="Arial"/>
                <w:color w:val="auto"/>
                <w:spacing w:val="0"/>
                <w:position w:val="0"/>
                <w:sz w:val="24"/>
                <w:szCs w:val="24"/>
                <w:highlight w:val="none"/>
              </w:rPr>
            </w:pPr>
          </w:p>
        </w:tc>
      </w:tr>
      <w:tr w14:paraId="1CBF8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4" w:hRule="atLeast"/>
          <w:jc w:val="center"/>
        </w:trPr>
        <w:tc>
          <w:tcPr>
            <w:tcW w:w="959" w:type="dxa"/>
            <w:noWrap w:val="0"/>
            <w:vAlign w:val="center"/>
          </w:tcPr>
          <w:p w14:paraId="0D71111F">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w:t>
            </w:r>
          </w:p>
        </w:tc>
        <w:tc>
          <w:tcPr>
            <w:tcW w:w="4282" w:type="dxa"/>
            <w:noWrap w:val="0"/>
            <w:vAlign w:val="center"/>
          </w:tcPr>
          <w:p w14:paraId="318E4774">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center"/>
              <w:textAlignment w:val="auto"/>
              <w:rPr>
                <w:rFonts w:ascii="Arial" w:hAnsi="Arial" w:cs="Arial"/>
                <w:color w:val="auto"/>
                <w:spacing w:val="0"/>
                <w:position w:val="0"/>
                <w:sz w:val="24"/>
                <w:szCs w:val="24"/>
                <w:highlight w:val="none"/>
              </w:rPr>
            </w:pPr>
          </w:p>
        </w:tc>
        <w:tc>
          <w:tcPr>
            <w:tcW w:w="3047" w:type="dxa"/>
            <w:noWrap w:val="0"/>
            <w:vAlign w:val="center"/>
          </w:tcPr>
          <w:p w14:paraId="07A380E8">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center"/>
              <w:textAlignment w:val="auto"/>
              <w:rPr>
                <w:rFonts w:ascii="Arial" w:hAnsi="Arial" w:cs="Arial"/>
                <w:color w:val="auto"/>
                <w:spacing w:val="0"/>
                <w:position w:val="0"/>
                <w:sz w:val="24"/>
                <w:szCs w:val="24"/>
                <w:highlight w:val="none"/>
              </w:rPr>
            </w:pPr>
          </w:p>
        </w:tc>
      </w:tr>
      <w:tr w14:paraId="74C6D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4" w:hRule="atLeast"/>
          <w:jc w:val="center"/>
        </w:trPr>
        <w:tc>
          <w:tcPr>
            <w:tcW w:w="5241" w:type="dxa"/>
            <w:gridSpan w:val="2"/>
            <w:noWrap w:val="0"/>
            <w:vAlign w:val="center"/>
          </w:tcPr>
          <w:p w14:paraId="0428B82E">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center"/>
              <w:textAlignment w:val="auto"/>
              <w:rPr>
                <w:rFonts w:hint="default" w:ascii="Arial" w:hAnsi="Arial" w:eastAsia="宋体" w:cs="Arial"/>
                <w:color w:val="auto"/>
                <w:spacing w:val="0"/>
                <w:position w:val="0"/>
                <w:sz w:val="24"/>
                <w:szCs w:val="24"/>
                <w:highlight w:val="none"/>
                <w:lang w:val="en-US" w:eastAsia="zh-CN"/>
              </w:rPr>
            </w:pPr>
            <w:r>
              <w:rPr>
                <w:rFonts w:hint="eastAsia" w:ascii="Arial" w:hAnsi="Arial" w:cs="Arial"/>
                <w:color w:val="auto"/>
                <w:spacing w:val="0"/>
                <w:position w:val="0"/>
                <w:sz w:val="24"/>
                <w:szCs w:val="24"/>
                <w:highlight w:val="none"/>
                <w:lang w:val="en-US" w:eastAsia="zh-CN"/>
              </w:rPr>
              <w:t>总 价</w:t>
            </w:r>
          </w:p>
        </w:tc>
        <w:tc>
          <w:tcPr>
            <w:tcW w:w="3047" w:type="dxa"/>
            <w:noWrap w:val="0"/>
            <w:vAlign w:val="center"/>
          </w:tcPr>
          <w:p w14:paraId="308A5C2A">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jc w:val="center"/>
              <w:textAlignment w:val="auto"/>
              <w:rPr>
                <w:rFonts w:ascii="Arial" w:hAnsi="Arial" w:cs="Arial"/>
                <w:color w:val="auto"/>
                <w:spacing w:val="0"/>
                <w:position w:val="0"/>
                <w:sz w:val="24"/>
                <w:szCs w:val="24"/>
                <w:highlight w:val="none"/>
              </w:rPr>
            </w:pPr>
          </w:p>
        </w:tc>
      </w:tr>
    </w:tbl>
    <w:p w14:paraId="4D3D79EE">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1.4 付款方式和发票开具方式</w:t>
      </w:r>
    </w:p>
    <w:p w14:paraId="41CF3D04">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color w:val="auto"/>
          <w:spacing w:val="0"/>
          <w:position w:val="0"/>
          <w:sz w:val="24"/>
          <w:szCs w:val="24"/>
          <w:highlight w:val="none"/>
        </w:rPr>
      </w:pPr>
      <w:r>
        <w:rPr>
          <w:rFonts w:ascii="宋体" w:hAnsi="宋体" w:cs="宋体"/>
          <w:color w:val="auto"/>
          <w:spacing w:val="0"/>
          <w:position w:val="0"/>
          <w:sz w:val="24"/>
          <w:szCs w:val="24"/>
          <w:highlight w:val="none"/>
        </w:rPr>
        <w:t>1.4.1 付款方式：</w:t>
      </w:r>
      <w:r>
        <w:rPr>
          <w:rFonts w:hint="eastAsia" w:ascii="宋体" w:hAnsi="宋体" w:cs="宋体"/>
          <w:color w:val="auto"/>
          <w:spacing w:val="0"/>
          <w:position w:val="0"/>
          <w:sz w:val="24"/>
          <w:szCs w:val="24"/>
          <w:highlight w:val="none"/>
          <w:lang w:val="en-US" w:eastAsia="zh-CN"/>
        </w:rPr>
        <w:t xml:space="preserve">    </w:t>
      </w:r>
    </w:p>
    <w:p w14:paraId="6D930A6D">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 xml:space="preserve">1.4.2 发票开具方式： </w:t>
      </w:r>
    </w:p>
    <w:p w14:paraId="228EF70D">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1.5 服务期限、地点和方式</w:t>
      </w:r>
    </w:p>
    <w:p w14:paraId="7D7EDBEA">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1.5.1 服务期限：</w:t>
      </w:r>
    </w:p>
    <w:p w14:paraId="6F6A223A">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1.5.2 服务地点：</w:t>
      </w:r>
    </w:p>
    <w:p w14:paraId="5B755A65">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1.5.3 服务方式：</w:t>
      </w:r>
    </w:p>
    <w:p w14:paraId="113F334F">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1.6 违约责任</w:t>
      </w:r>
    </w:p>
    <w:p w14:paraId="27811780">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%计算，最高限额为本合同总价的</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%；迟延履行的违约金计算数额达到前述最高限额之日起，甲方有权在要求乙方支付违约金的同时，书面通知乙方解除本合同；</w:t>
      </w:r>
    </w:p>
    <w:p w14:paraId="13415155">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%计算，最高限额为本合同总价的</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%；迟延付款的违约金计算数额达到前述最高限额之日起，乙方有权在要求甲方支付违约金的同时，书面通知甲方解除本合同；</w:t>
      </w:r>
    </w:p>
    <w:p w14:paraId="11F4457C">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4FFD289">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96FCCB5">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color w:val="auto"/>
          <w:spacing w:val="0"/>
          <w:position w:val="0"/>
          <w:sz w:val="24"/>
          <w:szCs w:val="24"/>
          <w:highlight w:val="none"/>
        </w:rPr>
      </w:pPr>
      <w:r>
        <w:rPr>
          <w:rFonts w:ascii="宋体" w:hAnsi="宋体" w:cs="宋体"/>
          <w:color w:val="auto"/>
          <w:spacing w:val="0"/>
          <w:position w:val="0"/>
          <w:sz w:val="24"/>
          <w:szCs w:val="24"/>
          <w:highlight w:val="none"/>
        </w:rPr>
        <w:t>1.6.5 除前述约定外，除不可抗力外</w:t>
      </w:r>
      <w:r>
        <w:rPr>
          <w:rFonts w:hint="eastAsia" w:ascii="宋体" w:hAnsi="宋体" w:cs="宋体"/>
          <w:color w:val="auto"/>
          <w:spacing w:val="0"/>
          <w:position w:val="0"/>
          <w:sz w:val="24"/>
          <w:szCs w:val="24"/>
          <w:highlight w:val="none"/>
        </w:rPr>
        <w:t>，</w:t>
      </w:r>
      <w:r>
        <w:rPr>
          <w:rFonts w:ascii="宋体" w:hAnsi="宋体" w:cs="宋体"/>
          <w:color w:val="auto"/>
          <w:spacing w:val="0"/>
          <w:position w:val="0"/>
          <w:sz w:val="24"/>
          <w:szCs w:val="24"/>
          <w:highlight w:val="none"/>
        </w:rPr>
        <w:t>任何一方未能履行本合同约定的义务，对方当事人均有权要求继续履行、采取补救措施或者赔偿损失等，且对方当事人行使的任何权利救济方式均不视为其放弃了其他法定或者约定的权利救济方式；</w:t>
      </w:r>
    </w:p>
    <w:p w14:paraId="24BBF850">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1.6.6 如果出现监督管理部门在处理投诉事项期间，书面通知甲方暂停</w:t>
      </w:r>
      <w:r>
        <w:rPr>
          <w:rFonts w:hint="eastAsia" w:ascii="宋体" w:hAnsi="宋体" w:cs="宋体"/>
          <w:color w:val="auto"/>
          <w:spacing w:val="0"/>
          <w:position w:val="0"/>
          <w:sz w:val="24"/>
          <w:szCs w:val="24"/>
          <w:highlight w:val="none"/>
          <w:lang w:val="en-US" w:eastAsia="zh-CN"/>
        </w:rPr>
        <w:t>招标</w:t>
      </w:r>
      <w:r>
        <w:rPr>
          <w:rFonts w:ascii="宋体" w:hAnsi="宋体" w:cs="宋体"/>
          <w:color w:val="auto"/>
          <w:spacing w:val="0"/>
          <w:position w:val="0"/>
          <w:sz w:val="24"/>
          <w:szCs w:val="24"/>
          <w:highlight w:val="none"/>
        </w:rPr>
        <w:t>活动的情形，或者询问或质疑事项可能影响</w:t>
      </w:r>
      <w:r>
        <w:rPr>
          <w:rFonts w:hint="eastAsia" w:ascii="宋体" w:hAnsi="宋体" w:cs="宋体"/>
          <w:color w:val="auto"/>
          <w:spacing w:val="0"/>
          <w:position w:val="0"/>
          <w:sz w:val="24"/>
          <w:szCs w:val="24"/>
          <w:highlight w:val="none"/>
          <w:lang w:eastAsia="zh-CN"/>
        </w:rPr>
        <w:t>中标</w:t>
      </w:r>
      <w:r>
        <w:rPr>
          <w:rFonts w:ascii="宋体" w:hAnsi="宋体" w:cs="宋体"/>
          <w:color w:val="auto"/>
          <w:spacing w:val="0"/>
          <w:position w:val="0"/>
          <w:sz w:val="24"/>
          <w:szCs w:val="24"/>
          <w:highlight w:val="none"/>
        </w:rPr>
        <w:t>结果的，导致甲方中止履行合同的情形，均不视为甲方违约。</w:t>
      </w:r>
    </w:p>
    <w:p w14:paraId="741A3E98">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1.7 合同争议的解决</w:t>
      </w:r>
    </w:p>
    <w:p w14:paraId="0ED147B2">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本合同履行过程中发生的任何争议，双方当事人均可通过和解或者调解解决； 不愿和解、调解或者和解、调解不成的，可以选择下列</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1.7.2</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种方式解决：</w:t>
      </w:r>
    </w:p>
    <w:p w14:paraId="6AFA3807">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1.7.1 将争议提交</w:t>
      </w:r>
      <w:r>
        <w:rPr>
          <w:rFonts w:hint="eastAsia" w:ascii="宋体" w:hAnsi="宋体" w:cs="宋体"/>
          <w:color w:val="auto"/>
          <w:spacing w:val="0"/>
          <w:position w:val="0"/>
          <w:sz w:val="24"/>
          <w:szCs w:val="24"/>
          <w:highlight w:val="none"/>
          <w:u w:val="single"/>
          <w:lang w:val="en-US" w:eastAsia="zh-CN"/>
        </w:rPr>
        <w:t xml:space="preserve">  六安  </w:t>
      </w:r>
      <w:r>
        <w:rPr>
          <w:rFonts w:ascii="宋体" w:hAnsi="宋体" w:cs="宋体"/>
          <w:color w:val="auto"/>
          <w:spacing w:val="0"/>
          <w:position w:val="0"/>
          <w:sz w:val="24"/>
          <w:szCs w:val="24"/>
          <w:highlight w:val="none"/>
        </w:rPr>
        <w:t>仲裁委员会依申请仲裁时其现行有效的仲裁规则裁决；</w:t>
      </w:r>
    </w:p>
    <w:p w14:paraId="377DF657">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1.7.2 向</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金寨县</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人民法院起诉。</w:t>
      </w:r>
    </w:p>
    <w:p w14:paraId="3BACB035">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1.8 合同生效</w:t>
      </w:r>
    </w:p>
    <w:p w14:paraId="63311FFB">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本合同自双方当事人盖章时生效。</w:t>
      </w:r>
    </w:p>
    <w:p w14:paraId="2DD5C986">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pacing w:val="0"/>
          <w:position w:val="0"/>
          <w:sz w:val="24"/>
          <w:szCs w:val="24"/>
          <w:highlight w:val="none"/>
        </w:rPr>
      </w:pPr>
    </w:p>
    <w:p w14:paraId="6726BD49">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pacing w:val="0"/>
          <w:position w:val="0"/>
          <w:sz w:val="24"/>
          <w:szCs w:val="24"/>
          <w:highlight w:val="none"/>
        </w:rPr>
      </w:pPr>
    </w:p>
    <w:p w14:paraId="56CBBECB">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pacing w:val="0"/>
          <w:position w:val="0"/>
          <w:sz w:val="24"/>
          <w:szCs w:val="24"/>
          <w:highlight w:val="none"/>
        </w:rPr>
      </w:pPr>
    </w:p>
    <w:p w14:paraId="08EF612C">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pacing w:val="0"/>
          <w:position w:val="0"/>
          <w:sz w:val="24"/>
          <w:szCs w:val="24"/>
          <w:highlight w:val="none"/>
        </w:rPr>
      </w:pPr>
    </w:p>
    <w:p w14:paraId="3A061ECC">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pacing w:val="0"/>
          <w:position w:val="0"/>
          <w:sz w:val="24"/>
          <w:szCs w:val="24"/>
          <w:highlight w:val="none"/>
        </w:rPr>
      </w:pPr>
    </w:p>
    <w:p w14:paraId="7895F5E0">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pacing w:val="0"/>
          <w:position w:val="0"/>
          <w:sz w:val="24"/>
          <w:szCs w:val="24"/>
          <w:highlight w:val="none"/>
        </w:rPr>
      </w:pPr>
    </w:p>
    <w:p w14:paraId="57FB773F">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pacing w:val="0"/>
          <w:position w:val="0"/>
          <w:sz w:val="24"/>
          <w:szCs w:val="24"/>
          <w:highlight w:val="none"/>
        </w:rPr>
      </w:pPr>
    </w:p>
    <w:p w14:paraId="60C50776">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pacing w:val="0"/>
          <w:position w:val="0"/>
          <w:sz w:val="24"/>
          <w:szCs w:val="24"/>
          <w:highlight w:val="none"/>
        </w:rPr>
      </w:pPr>
    </w:p>
    <w:p w14:paraId="6D814B45">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pacing w:val="0"/>
          <w:position w:val="0"/>
          <w:sz w:val="24"/>
          <w:szCs w:val="24"/>
          <w:highlight w:val="none"/>
        </w:rPr>
      </w:pPr>
    </w:p>
    <w:p w14:paraId="5E8FE3E5">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pacing w:val="0"/>
          <w:position w:val="0"/>
          <w:sz w:val="24"/>
          <w:szCs w:val="24"/>
          <w:highlight w:val="none"/>
        </w:rPr>
      </w:pPr>
    </w:p>
    <w:p w14:paraId="2EC3977F">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pacing w:val="0"/>
          <w:position w:val="0"/>
          <w:sz w:val="24"/>
          <w:szCs w:val="24"/>
          <w:highlight w:val="none"/>
        </w:rPr>
      </w:pPr>
    </w:p>
    <w:p w14:paraId="5F328668">
      <w:pPr>
        <w:spacing w:line="272" w:lineRule="auto"/>
        <w:rPr>
          <w:color w:val="auto"/>
          <w:spacing w:val="0"/>
          <w:position w:val="0"/>
          <w:highlight w:val="none"/>
        </w:rPr>
      </w:pPr>
    </w:p>
    <w:p w14:paraId="25DA3A9F">
      <w:pPr>
        <w:rPr>
          <w:color w:val="auto"/>
          <w:spacing w:val="0"/>
          <w:position w:val="0"/>
          <w:highlight w:val="none"/>
        </w:rPr>
      </w:pPr>
    </w:p>
    <w:p w14:paraId="7A374EB2">
      <w:pPr>
        <w:pStyle w:val="38"/>
        <w:ind w:left="0" w:leftChars="0" w:firstLine="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（签字盖章页）</w:t>
      </w:r>
    </w:p>
    <w:p w14:paraId="1E05347A">
      <w:pPr>
        <w:pStyle w:val="38"/>
        <w:ind w:left="0" w:leftChars="0" w:firstLine="0" w:firstLineChars="0"/>
        <w:rPr>
          <w:rFonts w:hint="eastAsia" w:ascii="宋体" w:hAnsi="宋体" w:eastAsia="宋体" w:cs="宋体"/>
          <w:b w:val="0"/>
          <w:bCs w:val="0"/>
          <w:color w:val="auto"/>
          <w:highlight w:val="none"/>
          <w:lang w:eastAsia="zh-CN"/>
        </w:rPr>
      </w:pPr>
    </w:p>
    <w:tbl>
      <w:tblPr>
        <w:tblStyle w:val="40"/>
        <w:tblW w:w="8388" w:type="dxa"/>
        <w:jc w:val="center"/>
        <w:tblLayout w:type="fixed"/>
        <w:tblCellMar>
          <w:top w:w="0" w:type="dxa"/>
          <w:left w:w="108" w:type="dxa"/>
          <w:bottom w:w="0" w:type="dxa"/>
          <w:right w:w="108" w:type="dxa"/>
        </w:tblCellMar>
      </w:tblPr>
      <w:tblGrid>
        <w:gridCol w:w="8388"/>
      </w:tblGrid>
      <w:tr w14:paraId="5D1A2B62">
        <w:trPr>
          <w:trHeight w:val="608" w:hRule="atLeast"/>
          <w:jc w:val="center"/>
        </w:trPr>
        <w:tc>
          <w:tcPr>
            <w:tcW w:w="8388" w:type="dxa"/>
            <w:noWrap w:val="0"/>
            <w:vAlign w:val="center"/>
          </w:tcPr>
          <w:p w14:paraId="10F4C2F1">
            <w:pPr>
              <w:spacing w:before="156" w:beforeAutospacing="0" w:after="93" w:afterAutospacing="0" w:line="440" w:lineRule="exact"/>
              <w:rPr>
                <w:rFonts w:hint="default" w:ascii="宋体" w:hAnsi="宋体" w:eastAsia="黑体" w:cs="宋体"/>
                <w:color w:val="auto"/>
                <w:sz w:val="24"/>
                <w:szCs w:val="24"/>
                <w:highlight w:val="none"/>
                <w:u w:val="single"/>
                <w:lang w:val="en-US" w:eastAsia="zh-CN"/>
              </w:rPr>
            </w:pPr>
            <w:r>
              <w:rPr>
                <w:rFonts w:hint="eastAsia" w:ascii="黑体" w:hAnsi="黑体" w:eastAsia="黑体" w:cs="黑体"/>
                <w:color w:val="auto"/>
                <w:sz w:val="24"/>
                <w:szCs w:val="24"/>
                <w:highlight w:val="none"/>
              </w:rPr>
              <w:t>甲方</w:t>
            </w:r>
            <w:r>
              <w:rPr>
                <w:rFonts w:hint="eastAsia" w:ascii="黑体" w:hAnsi="黑体" w:eastAsia="黑体" w:cs="黑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u w:val="single"/>
                <w:lang w:val="en-US" w:eastAsia="zh-CN"/>
              </w:rPr>
              <w:t xml:space="preserve">             </w:t>
            </w:r>
          </w:p>
        </w:tc>
      </w:tr>
      <w:tr w14:paraId="2C632190">
        <w:tblPrEx>
          <w:tblCellMar>
            <w:top w:w="0" w:type="dxa"/>
            <w:left w:w="108" w:type="dxa"/>
            <w:bottom w:w="0" w:type="dxa"/>
            <w:right w:w="108" w:type="dxa"/>
          </w:tblCellMar>
        </w:tblPrEx>
        <w:trPr>
          <w:jc w:val="center"/>
        </w:trPr>
        <w:tc>
          <w:tcPr>
            <w:tcW w:w="8388" w:type="dxa"/>
            <w:noWrap w:val="0"/>
            <w:vAlign w:val="center"/>
          </w:tcPr>
          <w:p w14:paraId="2D728DB2">
            <w:pPr>
              <w:spacing w:before="156" w:beforeAutospacing="0" w:after="93" w:afterAutospacing="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w:t>
            </w:r>
          </w:p>
          <w:p w14:paraId="386D971E">
            <w:pPr>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授权代表签字：</w:t>
            </w:r>
          </w:p>
        </w:tc>
      </w:tr>
      <w:tr w14:paraId="7076AAC3">
        <w:tblPrEx>
          <w:tblCellMar>
            <w:top w:w="0" w:type="dxa"/>
            <w:left w:w="108" w:type="dxa"/>
            <w:bottom w:w="0" w:type="dxa"/>
            <w:right w:w="108" w:type="dxa"/>
          </w:tblCellMar>
        </w:tblPrEx>
        <w:trPr>
          <w:trHeight w:val="636" w:hRule="atLeast"/>
          <w:jc w:val="center"/>
        </w:trPr>
        <w:tc>
          <w:tcPr>
            <w:tcW w:w="8388" w:type="dxa"/>
            <w:noWrap w:val="0"/>
            <w:vAlign w:val="center"/>
          </w:tcPr>
          <w:p w14:paraId="36B7218C">
            <w:pPr>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r>
      <w:tr w14:paraId="4B1FC5C7">
        <w:tblPrEx>
          <w:tblCellMar>
            <w:top w:w="0" w:type="dxa"/>
            <w:left w:w="108" w:type="dxa"/>
            <w:bottom w:w="0" w:type="dxa"/>
            <w:right w:w="108" w:type="dxa"/>
          </w:tblCellMar>
        </w:tblPrEx>
        <w:trPr>
          <w:trHeight w:val="636" w:hRule="atLeast"/>
          <w:jc w:val="center"/>
        </w:trPr>
        <w:tc>
          <w:tcPr>
            <w:tcW w:w="8388" w:type="dxa"/>
            <w:noWrap w:val="0"/>
            <w:vAlign w:val="center"/>
          </w:tcPr>
          <w:p w14:paraId="757BC439">
            <w:pPr>
              <w:spacing w:before="156" w:beforeAutospacing="0" w:after="93" w:afterAutospacing="0" w:line="440" w:lineRule="exact"/>
              <w:rPr>
                <w:rFonts w:hint="eastAsia" w:ascii="宋体" w:hAnsi="宋体" w:eastAsia="宋体" w:cs="宋体"/>
                <w:color w:val="auto"/>
                <w:sz w:val="24"/>
                <w:szCs w:val="24"/>
                <w:highlight w:val="none"/>
              </w:rPr>
            </w:pPr>
          </w:p>
        </w:tc>
      </w:tr>
      <w:tr w14:paraId="4C9BAA21">
        <w:tblPrEx>
          <w:tblCellMar>
            <w:top w:w="0" w:type="dxa"/>
            <w:left w:w="108" w:type="dxa"/>
            <w:bottom w:w="0" w:type="dxa"/>
            <w:right w:w="108" w:type="dxa"/>
          </w:tblCellMar>
        </w:tblPrEx>
        <w:trPr>
          <w:trHeight w:val="636" w:hRule="atLeast"/>
          <w:jc w:val="center"/>
        </w:trPr>
        <w:tc>
          <w:tcPr>
            <w:tcW w:w="8388" w:type="dxa"/>
            <w:noWrap w:val="0"/>
            <w:vAlign w:val="center"/>
          </w:tcPr>
          <w:p w14:paraId="0748D1CE">
            <w:pPr>
              <w:spacing w:before="156" w:beforeAutospacing="0" w:after="93" w:afterAutospacing="0" w:line="4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乙方</w:t>
            </w:r>
            <w:r>
              <w:rPr>
                <w:rFonts w:hint="eastAsia" w:ascii="黑体" w:hAnsi="黑体" w:eastAsia="黑体" w:cs="黑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rPr>
              <w:t xml:space="preserve">   </w:t>
            </w:r>
          </w:p>
        </w:tc>
      </w:tr>
      <w:tr w14:paraId="6D4A6485">
        <w:tblPrEx>
          <w:tblCellMar>
            <w:top w:w="0" w:type="dxa"/>
            <w:left w:w="108" w:type="dxa"/>
            <w:bottom w:w="0" w:type="dxa"/>
            <w:right w:w="108" w:type="dxa"/>
          </w:tblCellMar>
        </w:tblPrEx>
        <w:trPr>
          <w:trHeight w:val="636" w:hRule="atLeast"/>
          <w:jc w:val="center"/>
        </w:trPr>
        <w:tc>
          <w:tcPr>
            <w:tcW w:w="8388" w:type="dxa"/>
            <w:noWrap w:val="0"/>
            <w:vAlign w:val="center"/>
          </w:tcPr>
          <w:p w14:paraId="1195DF6D">
            <w:pPr>
              <w:spacing w:before="156" w:beforeAutospacing="0" w:after="93" w:afterAutospacing="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w:t>
            </w:r>
          </w:p>
          <w:p w14:paraId="523BB506">
            <w:pPr>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授权代表签字：</w:t>
            </w:r>
          </w:p>
        </w:tc>
      </w:tr>
      <w:tr w14:paraId="705EAEB8">
        <w:tblPrEx>
          <w:tblCellMar>
            <w:top w:w="0" w:type="dxa"/>
            <w:left w:w="108" w:type="dxa"/>
            <w:bottom w:w="0" w:type="dxa"/>
            <w:right w:w="108" w:type="dxa"/>
          </w:tblCellMar>
        </w:tblPrEx>
        <w:trPr>
          <w:trHeight w:val="636" w:hRule="atLeast"/>
          <w:jc w:val="center"/>
        </w:trPr>
        <w:tc>
          <w:tcPr>
            <w:tcW w:w="8388" w:type="dxa"/>
            <w:noWrap w:val="0"/>
            <w:vAlign w:val="center"/>
          </w:tcPr>
          <w:p w14:paraId="50269880">
            <w:pPr>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r>
      <w:tr w14:paraId="412DC578">
        <w:tblPrEx>
          <w:tblCellMar>
            <w:top w:w="0" w:type="dxa"/>
            <w:left w:w="108" w:type="dxa"/>
            <w:bottom w:w="0" w:type="dxa"/>
            <w:right w:w="108" w:type="dxa"/>
          </w:tblCellMar>
        </w:tblPrEx>
        <w:trPr>
          <w:trHeight w:val="636" w:hRule="atLeast"/>
          <w:jc w:val="center"/>
        </w:trPr>
        <w:tc>
          <w:tcPr>
            <w:tcW w:w="8388" w:type="dxa"/>
            <w:noWrap w:val="0"/>
            <w:vAlign w:val="center"/>
          </w:tcPr>
          <w:p w14:paraId="27E8A5A2">
            <w:pPr>
              <w:spacing w:before="156" w:beforeAutospacing="0" w:after="93" w:afterAutospacing="0" w:line="440" w:lineRule="exact"/>
              <w:rPr>
                <w:rFonts w:hint="eastAsia" w:ascii="宋体" w:hAnsi="宋体" w:eastAsia="宋体" w:cs="宋体"/>
                <w:color w:val="auto"/>
                <w:sz w:val="24"/>
                <w:szCs w:val="24"/>
                <w:highlight w:val="none"/>
              </w:rPr>
            </w:pPr>
          </w:p>
        </w:tc>
      </w:tr>
    </w:tbl>
    <w:p w14:paraId="6FA2B59A">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ascii="宋体" w:hAnsi="宋体" w:cs="宋体"/>
          <w:b/>
          <w:bCs/>
          <w:color w:val="auto"/>
          <w:spacing w:val="0"/>
          <w:position w:val="0"/>
          <w:sz w:val="24"/>
          <w:szCs w:val="24"/>
          <w:highlight w:val="none"/>
        </w:rPr>
      </w:pPr>
      <w:r>
        <w:rPr>
          <w:rFonts w:ascii="宋体" w:hAnsi="宋体" w:cs="宋体"/>
          <w:color w:val="auto"/>
          <w:spacing w:val="0"/>
          <w:position w:val="0"/>
          <w:sz w:val="24"/>
          <w:szCs w:val="24"/>
          <w:highlight w:val="none"/>
        </w:rPr>
        <w:br w:type="page"/>
      </w:r>
      <w:r>
        <w:rPr>
          <w:rFonts w:ascii="宋体" w:hAnsi="宋体" w:cs="宋体"/>
          <w:b/>
          <w:bCs/>
          <w:color w:val="auto"/>
          <w:spacing w:val="0"/>
          <w:position w:val="0"/>
          <w:sz w:val="24"/>
          <w:szCs w:val="24"/>
          <w:highlight w:val="none"/>
        </w:rPr>
        <w:t>第二部分</w:t>
      </w:r>
      <w:r>
        <w:rPr>
          <w:rFonts w:hint="eastAsia" w:ascii="宋体" w:hAnsi="宋体" w:cs="宋体"/>
          <w:b/>
          <w:bCs/>
          <w:color w:val="auto"/>
          <w:spacing w:val="0"/>
          <w:position w:val="0"/>
          <w:sz w:val="24"/>
          <w:szCs w:val="24"/>
          <w:highlight w:val="none"/>
          <w:lang w:val="en-US" w:eastAsia="zh-CN"/>
        </w:rPr>
        <w:t xml:space="preserve"> </w:t>
      </w:r>
      <w:r>
        <w:rPr>
          <w:rFonts w:ascii="宋体" w:hAnsi="宋体" w:cs="宋体"/>
          <w:b/>
          <w:bCs/>
          <w:color w:val="auto"/>
          <w:spacing w:val="0"/>
          <w:position w:val="0"/>
          <w:sz w:val="24"/>
          <w:szCs w:val="24"/>
          <w:highlight w:val="none"/>
        </w:rPr>
        <w:t>合同一般条款</w:t>
      </w:r>
    </w:p>
    <w:p w14:paraId="5B121D48">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 定义</w:t>
      </w:r>
    </w:p>
    <w:p w14:paraId="504DEC68">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本合同中的下列词语应按以下内容进行解释：</w:t>
      </w:r>
    </w:p>
    <w:p w14:paraId="1D1DF1D5">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2.1.1</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“合同”系指</w:t>
      </w:r>
      <w:r>
        <w:rPr>
          <w:rFonts w:hint="eastAsia" w:ascii="宋体" w:hAnsi="宋体" w:eastAsia="宋体" w:cs="宋体"/>
          <w:color w:val="auto"/>
          <w:spacing w:val="0"/>
          <w:kern w:val="0"/>
          <w:position w:val="0"/>
          <w:sz w:val="24"/>
          <w:szCs w:val="24"/>
          <w:highlight w:val="none"/>
          <w:lang w:eastAsia="zh-CN"/>
        </w:rPr>
        <w:t>招标人</w:t>
      </w:r>
      <w:r>
        <w:rPr>
          <w:rFonts w:hint="eastAsia" w:ascii="宋体" w:hAnsi="宋体" w:eastAsia="宋体" w:cs="宋体"/>
          <w:color w:val="auto"/>
          <w:spacing w:val="0"/>
          <w:kern w:val="0"/>
          <w:position w:val="0"/>
          <w:sz w:val="24"/>
          <w:szCs w:val="24"/>
          <w:highlight w:val="none"/>
        </w:rPr>
        <w:t>和</w:t>
      </w:r>
      <w:r>
        <w:rPr>
          <w:rFonts w:hint="eastAsia" w:ascii="宋体" w:hAnsi="宋体" w:eastAsia="宋体" w:cs="宋体"/>
          <w:color w:val="auto"/>
          <w:spacing w:val="0"/>
          <w:kern w:val="0"/>
          <w:position w:val="0"/>
          <w:sz w:val="24"/>
          <w:szCs w:val="24"/>
          <w:highlight w:val="none"/>
          <w:lang w:eastAsia="zh-CN"/>
        </w:rPr>
        <w:t>中标人</w:t>
      </w:r>
      <w:r>
        <w:rPr>
          <w:rFonts w:hint="eastAsia" w:ascii="宋体" w:hAnsi="宋体" w:eastAsia="宋体" w:cs="宋体"/>
          <w:color w:val="auto"/>
          <w:spacing w:val="0"/>
          <w:kern w:val="0"/>
          <w:position w:val="0"/>
          <w:sz w:val="24"/>
          <w:szCs w:val="24"/>
          <w:highlight w:val="none"/>
        </w:rPr>
        <w:t>签订的载明双方当事人所达成的协议，并包括所有的附件、附录和构成合同的其他文件。</w:t>
      </w:r>
    </w:p>
    <w:p w14:paraId="1E029503">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2.1.2</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“合同价”系指根据合同约定，</w:t>
      </w:r>
      <w:r>
        <w:rPr>
          <w:rFonts w:hint="eastAsia" w:ascii="宋体" w:hAnsi="宋体" w:eastAsia="宋体" w:cs="宋体"/>
          <w:color w:val="auto"/>
          <w:spacing w:val="0"/>
          <w:kern w:val="0"/>
          <w:position w:val="0"/>
          <w:sz w:val="24"/>
          <w:szCs w:val="24"/>
          <w:highlight w:val="none"/>
          <w:lang w:eastAsia="zh-CN"/>
        </w:rPr>
        <w:t>中标人</w:t>
      </w:r>
      <w:r>
        <w:rPr>
          <w:rFonts w:hint="eastAsia" w:ascii="宋体" w:hAnsi="宋体" w:eastAsia="宋体" w:cs="宋体"/>
          <w:color w:val="auto"/>
          <w:spacing w:val="0"/>
          <w:kern w:val="0"/>
          <w:position w:val="0"/>
          <w:sz w:val="24"/>
          <w:szCs w:val="24"/>
          <w:highlight w:val="none"/>
        </w:rPr>
        <w:t>在完全履行合同义务后，</w:t>
      </w:r>
      <w:r>
        <w:rPr>
          <w:rFonts w:hint="eastAsia" w:ascii="宋体" w:hAnsi="宋体" w:eastAsia="宋体" w:cs="宋体"/>
          <w:color w:val="auto"/>
          <w:spacing w:val="0"/>
          <w:kern w:val="0"/>
          <w:position w:val="0"/>
          <w:sz w:val="24"/>
          <w:szCs w:val="24"/>
          <w:highlight w:val="none"/>
          <w:lang w:eastAsia="zh-CN"/>
        </w:rPr>
        <w:t>招标人</w:t>
      </w:r>
      <w:r>
        <w:rPr>
          <w:rFonts w:hint="eastAsia" w:ascii="宋体" w:hAnsi="宋体" w:eastAsia="宋体" w:cs="宋体"/>
          <w:color w:val="auto"/>
          <w:spacing w:val="0"/>
          <w:kern w:val="0"/>
          <w:position w:val="0"/>
          <w:sz w:val="24"/>
          <w:szCs w:val="24"/>
          <w:highlight w:val="none"/>
        </w:rPr>
        <w:t>应支付给</w:t>
      </w:r>
      <w:r>
        <w:rPr>
          <w:rFonts w:hint="eastAsia" w:ascii="宋体" w:hAnsi="宋体" w:eastAsia="宋体" w:cs="宋体"/>
          <w:color w:val="auto"/>
          <w:spacing w:val="0"/>
          <w:kern w:val="0"/>
          <w:position w:val="0"/>
          <w:sz w:val="24"/>
          <w:szCs w:val="24"/>
          <w:highlight w:val="none"/>
          <w:lang w:eastAsia="zh-CN"/>
        </w:rPr>
        <w:t>中标人</w:t>
      </w:r>
      <w:r>
        <w:rPr>
          <w:rFonts w:hint="eastAsia" w:ascii="宋体" w:hAnsi="宋体" w:eastAsia="宋体" w:cs="宋体"/>
          <w:color w:val="auto"/>
          <w:spacing w:val="0"/>
          <w:kern w:val="0"/>
          <w:position w:val="0"/>
          <w:sz w:val="24"/>
          <w:szCs w:val="24"/>
          <w:highlight w:val="none"/>
        </w:rPr>
        <w:t>的价格。</w:t>
      </w:r>
    </w:p>
    <w:p w14:paraId="576A4471">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2.1.3</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“服务”系指</w:t>
      </w:r>
      <w:r>
        <w:rPr>
          <w:rFonts w:hint="eastAsia" w:ascii="宋体" w:hAnsi="宋体" w:eastAsia="宋体" w:cs="宋体"/>
          <w:color w:val="auto"/>
          <w:spacing w:val="0"/>
          <w:kern w:val="0"/>
          <w:position w:val="0"/>
          <w:sz w:val="24"/>
          <w:szCs w:val="24"/>
          <w:highlight w:val="none"/>
          <w:lang w:eastAsia="zh-CN"/>
        </w:rPr>
        <w:t>中标人</w:t>
      </w:r>
      <w:r>
        <w:rPr>
          <w:rFonts w:hint="eastAsia" w:ascii="宋体" w:hAnsi="宋体" w:eastAsia="宋体" w:cs="宋体"/>
          <w:color w:val="auto"/>
          <w:spacing w:val="0"/>
          <w:kern w:val="0"/>
          <w:position w:val="0"/>
          <w:sz w:val="24"/>
          <w:szCs w:val="24"/>
          <w:highlight w:val="none"/>
        </w:rPr>
        <w:t>根据合同约定应向</w:t>
      </w:r>
      <w:r>
        <w:rPr>
          <w:rFonts w:hint="eastAsia" w:ascii="宋体" w:hAnsi="宋体" w:eastAsia="宋体" w:cs="宋体"/>
          <w:color w:val="auto"/>
          <w:spacing w:val="0"/>
          <w:kern w:val="0"/>
          <w:position w:val="0"/>
          <w:sz w:val="24"/>
          <w:szCs w:val="24"/>
          <w:highlight w:val="none"/>
          <w:lang w:eastAsia="zh-CN"/>
        </w:rPr>
        <w:t>招标人</w:t>
      </w:r>
      <w:r>
        <w:rPr>
          <w:rFonts w:hint="eastAsia" w:ascii="宋体" w:hAnsi="宋体" w:eastAsia="宋体" w:cs="宋体"/>
          <w:color w:val="auto"/>
          <w:spacing w:val="0"/>
          <w:kern w:val="0"/>
          <w:position w:val="0"/>
          <w:sz w:val="24"/>
          <w:szCs w:val="24"/>
          <w:highlight w:val="none"/>
        </w:rPr>
        <w:t>履行的除货物和工程以外的</w:t>
      </w:r>
      <w:r>
        <w:rPr>
          <w:rFonts w:hint="eastAsia" w:ascii="宋体" w:hAnsi="宋体" w:eastAsia="宋体" w:cs="宋体"/>
          <w:color w:val="auto"/>
          <w:spacing w:val="0"/>
          <w:kern w:val="0"/>
          <w:position w:val="0"/>
          <w:sz w:val="24"/>
          <w:szCs w:val="24"/>
          <w:highlight w:val="none"/>
          <w:lang w:val="en-US" w:eastAsia="zh-CN"/>
        </w:rPr>
        <w:t>服务</w:t>
      </w:r>
      <w:r>
        <w:rPr>
          <w:rFonts w:hint="eastAsia" w:ascii="宋体" w:hAnsi="宋体" w:eastAsia="宋体" w:cs="宋体"/>
          <w:color w:val="auto"/>
          <w:spacing w:val="0"/>
          <w:kern w:val="0"/>
          <w:position w:val="0"/>
          <w:sz w:val="24"/>
          <w:szCs w:val="24"/>
          <w:highlight w:val="none"/>
        </w:rPr>
        <w:t>， 包括</w:t>
      </w:r>
      <w:r>
        <w:rPr>
          <w:rFonts w:hint="eastAsia" w:ascii="宋体" w:hAnsi="宋体" w:eastAsia="宋体" w:cs="宋体"/>
          <w:color w:val="auto"/>
          <w:spacing w:val="0"/>
          <w:kern w:val="0"/>
          <w:position w:val="0"/>
          <w:sz w:val="24"/>
          <w:szCs w:val="24"/>
          <w:highlight w:val="none"/>
          <w:lang w:eastAsia="zh-CN"/>
        </w:rPr>
        <w:t>招标人</w:t>
      </w:r>
      <w:r>
        <w:rPr>
          <w:rFonts w:hint="eastAsia" w:ascii="宋体" w:hAnsi="宋体" w:eastAsia="宋体" w:cs="宋体"/>
          <w:color w:val="auto"/>
          <w:spacing w:val="0"/>
          <w:kern w:val="0"/>
          <w:position w:val="0"/>
          <w:sz w:val="24"/>
          <w:szCs w:val="24"/>
          <w:highlight w:val="none"/>
        </w:rPr>
        <w:t>自身需要的服务和向社会公众提供的公共服务。</w:t>
      </w:r>
    </w:p>
    <w:p w14:paraId="516B691E">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2.1.4</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“甲方”系指与</w:t>
      </w:r>
      <w:r>
        <w:rPr>
          <w:rFonts w:hint="eastAsia" w:ascii="宋体" w:hAnsi="宋体" w:eastAsia="宋体" w:cs="宋体"/>
          <w:color w:val="auto"/>
          <w:spacing w:val="0"/>
          <w:kern w:val="0"/>
          <w:position w:val="0"/>
          <w:sz w:val="24"/>
          <w:szCs w:val="24"/>
          <w:highlight w:val="none"/>
          <w:lang w:eastAsia="zh-CN"/>
        </w:rPr>
        <w:t>中标人</w:t>
      </w:r>
      <w:r>
        <w:rPr>
          <w:rFonts w:hint="eastAsia" w:ascii="宋体" w:hAnsi="宋体" w:eastAsia="宋体" w:cs="宋体"/>
          <w:color w:val="auto"/>
          <w:spacing w:val="0"/>
          <w:kern w:val="0"/>
          <w:position w:val="0"/>
          <w:sz w:val="24"/>
          <w:szCs w:val="24"/>
          <w:highlight w:val="none"/>
        </w:rPr>
        <w:t>签署合同的</w:t>
      </w:r>
      <w:r>
        <w:rPr>
          <w:rFonts w:hint="eastAsia" w:ascii="宋体" w:hAnsi="宋体" w:eastAsia="宋体" w:cs="宋体"/>
          <w:color w:val="auto"/>
          <w:spacing w:val="0"/>
          <w:kern w:val="0"/>
          <w:position w:val="0"/>
          <w:sz w:val="24"/>
          <w:szCs w:val="24"/>
          <w:highlight w:val="none"/>
          <w:lang w:eastAsia="zh-CN"/>
        </w:rPr>
        <w:t>招标人</w:t>
      </w:r>
      <w:r>
        <w:rPr>
          <w:rFonts w:hint="eastAsia" w:ascii="宋体" w:hAnsi="宋体" w:eastAsia="宋体" w:cs="宋体"/>
          <w:color w:val="auto"/>
          <w:spacing w:val="0"/>
          <w:kern w:val="0"/>
          <w:position w:val="0"/>
          <w:sz w:val="24"/>
          <w:szCs w:val="24"/>
          <w:highlight w:val="none"/>
        </w:rPr>
        <w:t>；</w:t>
      </w:r>
      <w:r>
        <w:rPr>
          <w:rFonts w:hint="eastAsia" w:ascii="宋体" w:hAnsi="宋体" w:eastAsia="宋体" w:cs="宋体"/>
          <w:color w:val="auto"/>
          <w:spacing w:val="0"/>
          <w:kern w:val="0"/>
          <w:position w:val="0"/>
          <w:sz w:val="24"/>
          <w:szCs w:val="24"/>
          <w:highlight w:val="none"/>
          <w:lang w:eastAsia="zh-CN"/>
        </w:rPr>
        <w:t>招标人</w:t>
      </w:r>
      <w:r>
        <w:rPr>
          <w:rFonts w:hint="eastAsia" w:ascii="宋体" w:hAnsi="宋体" w:eastAsia="宋体" w:cs="宋体"/>
          <w:color w:val="auto"/>
          <w:spacing w:val="0"/>
          <w:kern w:val="0"/>
          <w:position w:val="0"/>
          <w:sz w:val="24"/>
          <w:szCs w:val="24"/>
          <w:highlight w:val="none"/>
        </w:rPr>
        <w:t>委托</w:t>
      </w:r>
      <w:r>
        <w:rPr>
          <w:rFonts w:hint="eastAsia" w:ascii="宋体" w:hAnsi="宋体" w:eastAsia="宋体" w:cs="宋体"/>
          <w:color w:val="auto"/>
          <w:spacing w:val="0"/>
          <w:kern w:val="0"/>
          <w:position w:val="0"/>
          <w:sz w:val="24"/>
          <w:szCs w:val="24"/>
          <w:highlight w:val="none"/>
          <w:lang w:val="en-US" w:eastAsia="zh-CN"/>
        </w:rPr>
        <w:t>招标</w:t>
      </w:r>
      <w:r>
        <w:rPr>
          <w:rFonts w:hint="eastAsia" w:ascii="宋体" w:hAnsi="宋体" w:eastAsia="宋体" w:cs="宋体"/>
          <w:color w:val="auto"/>
          <w:spacing w:val="0"/>
          <w:kern w:val="0"/>
          <w:position w:val="0"/>
          <w:sz w:val="24"/>
          <w:szCs w:val="24"/>
          <w:highlight w:val="none"/>
        </w:rPr>
        <w:t>代理机构代表其与乙方签订合同的，</w:t>
      </w:r>
      <w:r>
        <w:rPr>
          <w:rFonts w:hint="eastAsia" w:ascii="宋体" w:hAnsi="宋体" w:eastAsia="宋体" w:cs="宋体"/>
          <w:color w:val="auto"/>
          <w:spacing w:val="0"/>
          <w:kern w:val="0"/>
          <w:position w:val="0"/>
          <w:sz w:val="24"/>
          <w:szCs w:val="24"/>
          <w:highlight w:val="none"/>
          <w:lang w:eastAsia="zh-CN"/>
        </w:rPr>
        <w:t>招标人</w:t>
      </w:r>
      <w:r>
        <w:rPr>
          <w:rFonts w:hint="eastAsia" w:ascii="宋体" w:hAnsi="宋体" w:eastAsia="宋体" w:cs="宋体"/>
          <w:color w:val="auto"/>
          <w:spacing w:val="0"/>
          <w:kern w:val="0"/>
          <w:position w:val="0"/>
          <w:sz w:val="24"/>
          <w:szCs w:val="24"/>
          <w:highlight w:val="none"/>
        </w:rPr>
        <w:t>的授权委托书作为合同附件。</w:t>
      </w:r>
    </w:p>
    <w:p w14:paraId="7E47238A">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2.1.5</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“乙方”系指根据合同约定提供服务的</w:t>
      </w:r>
      <w:r>
        <w:rPr>
          <w:rFonts w:hint="eastAsia" w:ascii="宋体" w:hAnsi="宋体" w:eastAsia="宋体" w:cs="宋体"/>
          <w:color w:val="auto"/>
          <w:spacing w:val="0"/>
          <w:kern w:val="0"/>
          <w:position w:val="0"/>
          <w:sz w:val="24"/>
          <w:szCs w:val="24"/>
          <w:highlight w:val="none"/>
          <w:lang w:eastAsia="zh-CN"/>
        </w:rPr>
        <w:t>中标人</w:t>
      </w:r>
      <w:r>
        <w:rPr>
          <w:rFonts w:hint="eastAsia" w:ascii="宋体" w:hAnsi="宋体" w:eastAsia="宋体" w:cs="宋体"/>
          <w:color w:val="auto"/>
          <w:spacing w:val="0"/>
          <w:kern w:val="0"/>
          <w:position w:val="0"/>
          <w:sz w:val="24"/>
          <w:szCs w:val="24"/>
          <w:highlight w:val="none"/>
        </w:rPr>
        <w:t>；两个以上的自然人、法人或者其他组织组成一个联合体，以一个</w:t>
      </w:r>
      <w:r>
        <w:rPr>
          <w:rFonts w:hint="eastAsia" w:ascii="宋体" w:hAnsi="宋体" w:eastAsia="宋体" w:cs="宋体"/>
          <w:color w:val="auto"/>
          <w:spacing w:val="0"/>
          <w:kern w:val="0"/>
          <w:position w:val="0"/>
          <w:sz w:val="24"/>
          <w:szCs w:val="24"/>
          <w:highlight w:val="none"/>
          <w:lang w:val="en-US" w:eastAsia="zh-CN"/>
        </w:rPr>
        <w:t>投标人</w:t>
      </w:r>
      <w:r>
        <w:rPr>
          <w:rFonts w:hint="eastAsia" w:ascii="宋体" w:hAnsi="宋体" w:eastAsia="宋体" w:cs="宋体"/>
          <w:color w:val="auto"/>
          <w:spacing w:val="0"/>
          <w:kern w:val="0"/>
          <w:position w:val="0"/>
          <w:sz w:val="24"/>
          <w:szCs w:val="24"/>
          <w:highlight w:val="none"/>
        </w:rPr>
        <w:t>的身份共同参加</w:t>
      </w:r>
      <w:r>
        <w:rPr>
          <w:rFonts w:hint="eastAsia" w:ascii="宋体" w:hAnsi="宋体" w:eastAsia="宋体" w:cs="宋体"/>
          <w:color w:val="auto"/>
          <w:spacing w:val="0"/>
          <w:kern w:val="0"/>
          <w:position w:val="0"/>
          <w:sz w:val="24"/>
          <w:szCs w:val="24"/>
          <w:highlight w:val="none"/>
          <w:lang w:val="en-US" w:eastAsia="zh-CN"/>
        </w:rPr>
        <w:t>投标</w:t>
      </w:r>
      <w:r>
        <w:rPr>
          <w:rFonts w:hint="eastAsia" w:ascii="宋体" w:hAnsi="宋体" w:eastAsia="宋体" w:cs="宋体"/>
          <w:color w:val="auto"/>
          <w:spacing w:val="0"/>
          <w:kern w:val="0"/>
          <w:position w:val="0"/>
          <w:sz w:val="24"/>
          <w:szCs w:val="24"/>
          <w:highlight w:val="none"/>
        </w:rPr>
        <w:t>的，联合体各方均应为乙方或者与乙方相同地位</w:t>
      </w:r>
      <w:r>
        <w:rPr>
          <w:rFonts w:hint="eastAsia" w:ascii="宋体" w:hAnsi="宋体" w:eastAsia="宋体" w:cs="宋体"/>
          <w:color w:val="auto"/>
          <w:spacing w:val="0"/>
          <w:position w:val="0"/>
          <w:sz w:val="24"/>
          <w:szCs w:val="24"/>
          <w:highlight w:val="none"/>
        </w:rPr>
        <w:t>的合同当事人，并就合同约定的事项对甲方承担连带责任。</w:t>
      </w:r>
    </w:p>
    <w:p w14:paraId="66CE4B64">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2.1.6</w:t>
      </w:r>
      <w:r>
        <w:rPr>
          <w:rFonts w:hint="eastAsia" w:ascii="宋体" w:hAnsi="宋体" w:eastAsia="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rPr>
        <w:t>“现场”系指合同约定提供服务的地点。</w:t>
      </w:r>
    </w:p>
    <w:p w14:paraId="652321CA">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 技术规范</w:t>
      </w:r>
    </w:p>
    <w:p w14:paraId="2AD60A4F">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服务</w:t>
      </w:r>
      <w:r>
        <w:rPr>
          <w:rFonts w:hint="eastAsia" w:ascii="宋体" w:hAnsi="宋体" w:eastAsia="宋体" w:cs="宋体"/>
          <w:color w:val="auto"/>
          <w:spacing w:val="0"/>
          <w:position w:val="0"/>
          <w:sz w:val="24"/>
          <w:szCs w:val="24"/>
          <w:highlight w:val="none"/>
        </w:rPr>
        <w:t>所应遵守的技术规范应与</w:t>
      </w:r>
      <w:r>
        <w:rPr>
          <w:rFonts w:hint="eastAsia" w:ascii="宋体" w:hAnsi="宋体" w:eastAsia="宋体" w:cs="宋体"/>
          <w:color w:val="auto"/>
          <w:spacing w:val="0"/>
          <w:position w:val="0"/>
          <w:sz w:val="24"/>
          <w:szCs w:val="24"/>
          <w:highlight w:val="none"/>
          <w:lang w:eastAsia="zh-CN"/>
        </w:rPr>
        <w:t>招标文件</w:t>
      </w:r>
      <w:r>
        <w:rPr>
          <w:rFonts w:hint="eastAsia" w:ascii="宋体" w:hAnsi="宋体" w:eastAsia="宋体" w:cs="宋体"/>
          <w:color w:val="auto"/>
          <w:spacing w:val="0"/>
          <w:position w:val="0"/>
          <w:sz w:val="24"/>
          <w:szCs w:val="24"/>
          <w:highlight w:val="none"/>
        </w:rPr>
        <w:t>规定的技术规范和技术规范附件(如果有的话)及其技术规范偏差表(如果被甲方接受的话)相一致；如果</w:t>
      </w:r>
      <w:r>
        <w:rPr>
          <w:rFonts w:hint="eastAsia" w:ascii="宋体" w:hAnsi="宋体" w:eastAsia="宋体" w:cs="宋体"/>
          <w:color w:val="auto"/>
          <w:spacing w:val="0"/>
          <w:position w:val="0"/>
          <w:sz w:val="24"/>
          <w:szCs w:val="24"/>
          <w:highlight w:val="none"/>
          <w:lang w:eastAsia="zh-CN"/>
        </w:rPr>
        <w:t>招标文件</w:t>
      </w:r>
      <w:r>
        <w:rPr>
          <w:rFonts w:hint="eastAsia" w:ascii="宋体" w:hAnsi="宋体" w:eastAsia="宋体" w:cs="宋体"/>
          <w:color w:val="auto"/>
          <w:spacing w:val="0"/>
          <w:position w:val="0"/>
          <w:sz w:val="24"/>
          <w:szCs w:val="24"/>
          <w:highlight w:val="none"/>
        </w:rPr>
        <w:t>中没有技术规范的相应说明，那么应以国家有关部门最新颁布的相应标准和规范为准。</w:t>
      </w:r>
    </w:p>
    <w:p w14:paraId="0E8D4894">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 知识产权</w:t>
      </w:r>
    </w:p>
    <w:p w14:paraId="6588E65F">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1CDC43F3">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 履约检查和问题反馈</w:t>
      </w:r>
    </w:p>
    <w:p w14:paraId="490AD514">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2.4.1 甲方有权在其认为必要时，对乙方是否能够按照合同约定提供服务进行履约检查，以确保乙方所提供的服务能够依约满足甲方项目需求，但不得因履约检查妨碍乙方的正常工作，乙方应予积极配合；</w:t>
      </w:r>
    </w:p>
    <w:p w14:paraId="1D023636">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2.4.2 合同履行期间，甲方有权将履行过程中出现的问题反馈给乙方，双方当事人应以书面形式约定需要完善和改进的内容。</w:t>
      </w:r>
    </w:p>
    <w:p w14:paraId="492EBBE7">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2.5 结算方式和付款条件详见</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w:t>
      </w:r>
    </w:p>
    <w:p w14:paraId="07867FF2">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 技术资料和保密义务</w:t>
      </w:r>
    </w:p>
    <w:p w14:paraId="431C9EE6">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2.6.1 乙方有权依据合同约定和项目需要，向甲方了解有关情况，调阅有关资料等，甲方应予积极配合；</w:t>
      </w:r>
    </w:p>
    <w:p w14:paraId="29003D5D">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2.6.2 乙方有义务妥善保管和保护由甲方提供的前款信息和资料等；</w:t>
      </w:r>
    </w:p>
    <w:p w14:paraId="6CDD9163">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762B5A1">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 质量保证</w:t>
      </w:r>
    </w:p>
    <w:p w14:paraId="12A2DA3D">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2.7.1 乙方应建立和完善履行合同的内部质量保证体系，并提供相关内部规章制度给甲方，以便甲方进行监督检查；</w:t>
      </w:r>
    </w:p>
    <w:p w14:paraId="67164BF3">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2.7.2 乙方应保证履行合同的人员数量和素质、软件和硬件设备的配置、场地、环境和设施等满足全面履行合同的要求，并应接受甲方的监督检查。</w:t>
      </w:r>
    </w:p>
    <w:p w14:paraId="071DACD0">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2.8 延迟履行</w:t>
      </w:r>
    </w:p>
    <w:p w14:paraId="436683DC">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86326F7">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2.9 合同变更</w:t>
      </w:r>
    </w:p>
    <w:p w14:paraId="03284FAD">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2.9.1 双方当事人协商一致，可以签订书面补充合同的形式变更合同，但不得违背</w:t>
      </w:r>
      <w:r>
        <w:rPr>
          <w:rFonts w:hint="eastAsia" w:ascii="宋体" w:hAnsi="宋体" w:eastAsia="宋体" w:cs="宋体"/>
          <w:color w:val="auto"/>
          <w:spacing w:val="0"/>
          <w:position w:val="0"/>
          <w:sz w:val="24"/>
          <w:szCs w:val="24"/>
          <w:highlight w:val="none"/>
          <w:lang w:eastAsia="zh-CN"/>
        </w:rPr>
        <w:t>招标文件</w:t>
      </w:r>
      <w:r>
        <w:rPr>
          <w:rFonts w:hint="eastAsia" w:ascii="宋体" w:hAnsi="宋体" w:eastAsia="宋体" w:cs="宋体"/>
          <w:color w:val="auto"/>
          <w:spacing w:val="0"/>
          <w:position w:val="0"/>
          <w:sz w:val="24"/>
          <w:szCs w:val="24"/>
          <w:highlight w:val="none"/>
        </w:rPr>
        <w:t>确定的事项</w:t>
      </w:r>
      <w:r>
        <w:rPr>
          <w:rFonts w:hint="eastAsia" w:ascii="宋体" w:hAnsi="宋体" w:eastAsia="宋体" w:cs="宋体"/>
          <w:color w:val="auto"/>
          <w:spacing w:val="0"/>
          <w:position w:val="0"/>
          <w:sz w:val="24"/>
          <w:szCs w:val="24"/>
          <w:highlight w:val="none"/>
          <w:lang w:eastAsia="zh-CN"/>
        </w:rPr>
        <w:t>；</w:t>
      </w:r>
    </w:p>
    <w:p w14:paraId="31A1D753">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2.9.2 合同继续履行将损害国家利益和社会公共利益的，双方当事人应当以书面形式变更合同。有过错的一方应当承担赔偿责任，双方当事人都有过错的，各自承担相应的责任。</w:t>
      </w:r>
    </w:p>
    <w:p w14:paraId="3F4A23A7">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2.10 合同转让和分包</w:t>
      </w:r>
    </w:p>
    <w:p w14:paraId="0A0AAB3F">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eastAsia="宋体" w:cs="宋体"/>
          <w:color w:val="auto"/>
          <w:spacing w:val="0"/>
          <w:position w:val="0"/>
          <w:sz w:val="24"/>
          <w:szCs w:val="24"/>
          <w:highlight w:val="none"/>
          <w:lang w:eastAsia="zh-CN"/>
        </w:rPr>
        <w:t>人</w:t>
      </w:r>
      <w:r>
        <w:rPr>
          <w:rFonts w:hint="eastAsia" w:ascii="宋体" w:hAnsi="宋体" w:eastAsia="宋体" w:cs="宋体"/>
          <w:color w:val="auto"/>
          <w:spacing w:val="0"/>
          <w:position w:val="0"/>
          <w:sz w:val="24"/>
          <w:szCs w:val="24"/>
          <w:highlight w:val="none"/>
        </w:rPr>
        <w:t>就分包项目向甲方承担连带责任。</w:t>
      </w:r>
    </w:p>
    <w:p w14:paraId="79E78F37">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 不可抗力</w:t>
      </w:r>
    </w:p>
    <w:p w14:paraId="4D6A0CBC">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2.11.1 如果任何一方遭遇法律规定的不可抗力，致使合同履行受阻时，履行合同的期限应予延长，延长的期限应相当于不可抗力所影响的时间；</w:t>
      </w:r>
    </w:p>
    <w:p w14:paraId="026F6B81">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2.11.2 因不可抗力致使不能实现合同目的的，当事人可以解除合同；</w:t>
      </w:r>
    </w:p>
    <w:p w14:paraId="3F87C9A4">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2.11.3 因不可抗力致使合同有变更必要的，双方当事人应在</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约定时间内以书面形式变更合同；</w:t>
      </w:r>
    </w:p>
    <w:p w14:paraId="0A7F4837">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2.11.4 受不可抗力影响的一方在不可抗力发生后，应在</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约定时间内以书面形式通知对方当事人，并在</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约定时间内，将有关部门出具的证明文件送达对方当事人。</w:t>
      </w:r>
    </w:p>
    <w:p w14:paraId="0A69983E">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2.12 税费</w:t>
      </w:r>
    </w:p>
    <w:p w14:paraId="77B10B97">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与合同有关的一切税费，均按照中华人民共和国法律的相关规定缴纳。</w:t>
      </w:r>
    </w:p>
    <w:p w14:paraId="0062D70E">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2.13 乙方破产</w:t>
      </w:r>
    </w:p>
    <w:p w14:paraId="10851DE4">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C845D99">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2.14 合同中止、终止</w:t>
      </w:r>
    </w:p>
    <w:p w14:paraId="55FC3EB1">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2.14.1 双方当事人不得擅自中止或者终止合同；</w:t>
      </w:r>
    </w:p>
    <w:p w14:paraId="0478D8FB">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2.14.2 合同继续履行将损害国家利益和社会公共利益的，双方当事人应当中止或者终止合同。有过错的一方应当承担赔偿责任，双方当事人都有过错的，各自承担相应的责任。</w:t>
      </w:r>
    </w:p>
    <w:p w14:paraId="08B3DCB8">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 检验和验收</w:t>
      </w:r>
    </w:p>
    <w:p w14:paraId="69BA3C91">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2.15.1 乙方按照</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的约定，定期提交服务报告，甲方按照</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的约定进行定期验收；</w:t>
      </w:r>
    </w:p>
    <w:p w14:paraId="74186B0C">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2.15.2 合同期满或者履行完毕后，甲方有权组织(包括依法邀请国家认可的质量检测机构参加) 对乙方履约的验收，即：按照合同约定的标准，组织对乙方履约情况的验收，并出具验收书；向社会公众提供的公共服务项目，验收时应当邀请服务对象参与并出具意见，验收结果应当向社会公告；</w:t>
      </w:r>
    </w:p>
    <w:p w14:paraId="794C85A1">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2.15.3 检验和验收标准、程序等具体内容以及前述验收书的效力详见</w:t>
      </w:r>
      <w:r>
        <w:rPr>
          <w:rFonts w:hint="eastAsia" w:ascii="宋体" w:hAnsi="宋体" w:eastAsia="宋体" w:cs="宋体"/>
          <w:color w:val="auto"/>
          <w:spacing w:val="0"/>
          <w:position w:val="0"/>
          <w:sz w:val="24"/>
          <w:szCs w:val="24"/>
          <w:highlight w:val="none"/>
          <w:u w:val="single"/>
        </w:rPr>
        <w:t>合同专用条款。</w:t>
      </w:r>
    </w:p>
    <w:p w14:paraId="20725CD6">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2.16 合同使用的文字和适用的法律</w:t>
      </w:r>
    </w:p>
    <w:p w14:paraId="4AE38980">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2.16.1 合同使用汉语书就、变更和解释；</w:t>
      </w:r>
    </w:p>
    <w:p w14:paraId="540E4FCA">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2.16.2 合同适用中华人民共和国法律。</w:t>
      </w:r>
    </w:p>
    <w:p w14:paraId="7F8D5479">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2.17 履约保证金</w:t>
      </w:r>
    </w:p>
    <w:p w14:paraId="2973E8D4">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2.17.1 </w:t>
      </w:r>
      <w:r>
        <w:rPr>
          <w:rFonts w:hint="eastAsia" w:ascii="宋体" w:hAnsi="宋体" w:eastAsia="宋体" w:cs="宋体"/>
          <w:color w:val="auto"/>
          <w:spacing w:val="0"/>
          <w:position w:val="0"/>
          <w:sz w:val="24"/>
          <w:szCs w:val="24"/>
          <w:highlight w:val="none"/>
          <w:lang w:eastAsia="zh-CN"/>
        </w:rPr>
        <w:t>招标文件</w:t>
      </w:r>
      <w:r>
        <w:rPr>
          <w:rFonts w:hint="eastAsia" w:ascii="宋体" w:hAnsi="宋体" w:eastAsia="宋体" w:cs="宋体"/>
          <w:color w:val="auto"/>
          <w:spacing w:val="0"/>
          <w:position w:val="0"/>
          <w:sz w:val="24"/>
          <w:szCs w:val="24"/>
          <w:highlight w:val="none"/>
        </w:rPr>
        <w:t>要求乙方提交履约保证金的，乙方应按</w:t>
      </w:r>
      <w:r>
        <w:rPr>
          <w:rFonts w:hint="eastAsia" w:ascii="宋体" w:hAnsi="宋体" w:eastAsia="宋体" w:cs="宋体"/>
          <w:color w:val="auto"/>
          <w:spacing w:val="0"/>
          <w:position w:val="0"/>
          <w:sz w:val="24"/>
          <w:szCs w:val="24"/>
          <w:highlight w:val="none"/>
          <w:u w:val="single"/>
          <w:lang w:val="en-US" w:eastAsia="zh-CN"/>
        </w:rPr>
        <w:t>投标人</w:t>
      </w:r>
      <w:r>
        <w:rPr>
          <w:rFonts w:hint="eastAsia" w:ascii="宋体" w:hAnsi="宋体" w:eastAsia="宋体" w:cs="宋体"/>
          <w:color w:val="auto"/>
          <w:spacing w:val="0"/>
          <w:position w:val="0"/>
          <w:sz w:val="24"/>
          <w:szCs w:val="24"/>
          <w:highlight w:val="none"/>
          <w:u w:val="single"/>
        </w:rPr>
        <w:t>须知前附表的</w:t>
      </w:r>
      <w:r>
        <w:rPr>
          <w:rFonts w:hint="eastAsia" w:ascii="宋体" w:hAnsi="宋体" w:eastAsia="宋体" w:cs="宋体"/>
          <w:color w:val="auto"/>
          <w:spacing w:val="0"/>
          <w:position w:val="0"/>
          <w:sz w:val="24"/>
          <w:szCs w:val="24"/>
          <w:highlight w:val="none"/>
        </w:rPr>
        <w:t>约定提交不超过合同价2.5%的履约保证金；</w:t>
      </w:r>
    </w:p>
    <w:p w14:paraId="0FF7938D">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2.17.</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 xml:space="preserve">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E3050AD">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2.18 合同份数</w:t>
      </w:r>
    </w:p>
    <w:p w14:paraId="2C96FCE3">
      <w:pPr>
        <w:keepNext w:val="0"/>
        <w:keepLines w:val="0"/>
        <w:pageBreakBefore w:val="0"/>
        <w:widowControl w:val="0"/>
        <w:kinsoku/>
        <w:wordWrap/>
        <w:overflowPunct w:val="0"/>
        <w:topLinePunct w:val="0"/>
        <w:autoSpaceDE/>
        <w:autoSpaceDN/>
        <w:bidi w:val="0"/>
        <w:adjustRightInd/>
        <w:snapToGrid/>
        <w:spacing w:line="360" w:lineRule="auto"/>
        <w:ind w:left="0" w:right="0" w:firstLine="480" w:firstLineChars="200"/>
        <w:jc w:val="both"/>
        <w:textAlignment w:val="auto"/>
        <w:rPr>
          <w:color w:val="auto"/>
          <w:spacing w:val="0"/>
          <w:position w:val="0"/>
          <w:highlight w:val="none"/>
        </w:rPr>
        <w:sectPr>
          <w:headerReference r:id="rId3" w:type="default"/>
          <w:footerReference r:id="rId4" w:type="default"/>
          <w:pgSz w:w="11905" w:h="16838"/>
          <w:pgMar w:top="1474" w:right="1361" w:bottom="1361" w:left="1474" w:header="964" w:footer="964" w:gutter="0"/>
          <w:pgNumType w:fmt="decimal"/>
          <w:cols w:space="720" w:num="1"/>
          <w:rtlGutter w:val="0"/>
          <w:docGrid w:linePitch="0" w:charSpace="0"/>
        </w:sectPr>
      </w:pPr>
      <w:r>
        <w:rPr>
          <w:rFonts w:hint="eastAsia" w:ascii="宋体" w:hAnsi="宋体" w:eastAsia="宋体" w:cs="宋体"/>
          <w:color w:val="auto"/>
          <w:spacing w:val="0"/>
          <w:position w:val="0"/>
          <w:sz w:val="24"/>
          <w:szCs w:val="24"/>
          <w:highlight w:val="none"/>
        </w:rPr>
        <w:t>合同份数按</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规定，每份均具有同等法律效力。</w:t>
      </w:r>
    </w:p>
    <w:p w14:paraId="42FDD41D">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第三部分 合同专用条款</w:t>
      </w:r>
    </w:p>
    <w:p w14:paraId="68A5CC1F">
      <w:pPr>
        <w:keepNext w:val="0"/>
        <w:keepLines w:val="0"/>
        <w:pageBreakBefore w:val="0"/>
        <w:widowControl w:val="0"/>
        <w:kinsoku/>
        <w:wordWrap/>
        <w:overflowPunct w:val="0"/>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419565AD">
      <w:pPr>
        <w:spacing w:line="69" w:lineRule="exact"/>
        <w:rPr>
          <w:rFonts w:hint="eastAsia" w:ascii="宋体" w:hAnsi="宋体" w:eastAsia="宋体" w:cs="宋体"/>
          <w:color w:val="auto"/>
          <w:spacing w:val="0"/>
          <w:position w:val="0"/>
          <w:sz w:val="24"/>
          <w:szCs w:val="24"/>
          <w:highlight w:val="none"/>
        </w:rPr>
      </w:pPr>
    </w:p>
    <w:tbl>
      <w:tblPr>
        <w:tblStyle w:val="97"/>
        <w:tblW w:w="83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57" w:type="dxa"/>
          <w:bottom w:w="28" w:type="dxa"/>
          <w:right w:w="57" w:type="dxa"/>
        </w:tblCellMar>
      </w:tblPr>
      <w:tblGrid>
        <w:gridCol w:w="1356"/>
        <w:gridCol w:w="7014"/>
      </w:tblGrid>
      <w:tr w14:paraId="57BB6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495" w:hRule="atLeast"/>
          <w:jc w:val="center"/>
        </w:trPr>
        <w:tc>
          <w:tcPr>
            <w:tcW w:w="1356" w:type="dxa"/>
            <w:tcBorders>
              <w:right w:val="single" w:color="000000" w:sz="4" w:space="0"/>
            </w:tcBorders>
            <w:noWrap w:val="0"/>
            <w:vAlign w:val="center"/>
          </w:tcPr>
          <w:p w14:paraId="682CE879">
            <w:pPr>
              <w:spacing w:before="83" w:line="220" w:lineRule="auto"/>
              <w:ind w:left="47"/>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条款号</w:t>
            </w:r>
          </w:p>
        </w:tc>
        <w:tc>
          <w:tcPr>
            <w:tcW w:w="7014" w:type="dxa"/>
            <w:tcBorders>
              <w:left w:val="single" w:color="000000" w:sz="4" w:space="0"/>
              <w:right w:val="single" w:color="000000" w:sz="4" w:space="0"/>
            </w:tcBorders>
            <w:noWrap w:val="0"/>
            <w:vAlign w:val="center"/>
          </w:tcPr>
          <w:p w14:paraId="7294F2AA">
            <w:pPr>
              <w:spacing w:before="83" w:line="220" w:lineRule="auto"/>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约定内容</w:t>
            </w:r>
          </w:p>
        </w:tc>
      </w:tr>
      <w:tr w14:paraId="37F76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noWrap w:val="0"/>
            <w:vAlign w:val="center"/>
          </w:tcPr>
          <w:p w14:paraId="7EBBD9F4">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685D8A1A">
            <w:pPr>
              <w:rPr>
                <w:rFonts w:hint="eastAsia" w:ascii="宋体" w:hAnsi="宋体" w:eastAsia="宋体" w:cs="宋体"/>
                <w:color w:val="auto"/>
                <w:spacing w:val="0"/>
                <w:position w:val="0"/>
                <w:sz w:val="24"/>
                <w:szCs w:val="24"/>
                <w:highlight w:val="none"/>
              </w:rPr>
            </w:pPr>
          </w:p>
        </w:tc>
      </w:tr>
      <w:tr w14:paraId="5C7CF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jc w:val="center"/>
        </w:trPr>
        <w:tc>
          <w:tcPr>
            <w:tcW w:w="1356" w:type="dxa"/>
            <w:tcBorders>
              <w:right w:val="single" w:color="000000" w:sz="4" w:space="0"/>
            </w:tcBorders>
            <w:noWrap w:val="0"/>
            <w:vAlign w:val="center"/>
          </w:tcPr>
          <w:p w14:paraId="34B32394">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7EEFB498">
            <w:pPr>
              <w:rPr>
                <w:rFonts w:hint="eastAsia" w:ascii="宋体" w:hAnsi="宋体" w:eastAsia="宋体" w:cs="宋体"/>
                <w:color w:val="auto"/>
                <w:spacing w:val="0"/>
                <w:position w:val="0"/>
                <w:sz w:val="24"/>
                <w:szCs w:val="24"/>
                <w:highlight w:val="none"/>
              </w:rPr>
            </w:pPr>
          </w:p>
        </w:tc>
      </w:tr>
      <w:tr w14:paraId="14E52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7617D77A">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798E6507">
            <w:pPr>
              <w:rPr>
                <w:rFonts w:hint="eastAsia" w:ascii="宋体" w:hAnsi="宋体" w:eastAsia="宋体" w:cs="宋体"/>
                <w:color w:val="auto"/>
                <w:spacing w:val="0"/>
                <w:position w:val="0"/>
                <w:sz w:val="24"/>
                <w:szCs w:val="24"/>
                <w:highlight w:val="none"/>
              </w:rPr>
            </w:pPr>
          </w:p>
        </w:tc>
      </w:tr>
      <w:tr w14:paraId="1A4DE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7D81CCAA">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272B9F9C">
            <w:pPr>
              <w:rPr>
                <w:rFonts w:hint="eastAsia" w:ascii="宋体" w:hAnsi="宋体" w:eastAsia="宋体" w:cs="宋体"/>
                <w:color w:val="auto"/>
                <w:spacing w:val="0"/>
                <w:position w:val="0"/>
                <w:sz w:val="24"/>
                <w:szCs w:val="24"/>
                <w:highlight w:val="none"/>
              </w:rPr>
            </w:pPr>
          </w:p>
        </w:tc>
      </w:tr>
      <w:tr w14:paraId="37046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noWrap w:val="0"/>
            <w:vAlign w:val="center"/>
          </w:tcPr>
          <w:p w14:paraId="2DA927EB">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696DD914">
            <w:pPr>
              <w:rPr>
                <w:rFonts w:hint="eastAsia" w:ascii="宋体" w:hAnsi="宋体" w:eastAsia="宋体" w:cs="宋体"/>
                <w:color w:val="auto"/>
                <w:spacing w:val="0"/>
                <w:position w:val="0"/>
                <w:sz w:val="24"/>
                <w:szCs w:val="24"/>
                <w:highlight w:val="none"/>
              </w:rPr>
            </w:pPr>
          </w:p>
        </w:tc>
      </w:tr>
      <w:tr w14:paraId="1C4B6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jc w:val="center"/>
        </w:trPr>
        <w:tc>
          <w:tcPr>
            <w:tcW w:w="1356" w:type="dxa"/>
            <w:tcBorders>
              <w:right w:val="single" w:color="000000" w:sz="4" w:space="0"/>
            </w:tcBorders>
            <w:noWrap w:val="0"/>
            <w:vAlign w:val="center"/>
          </w:tcPr>
          <w:p w14:paraId="42CB0313">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73E56D87">
            <w:pPr>
              <w:rPr>
                <w:rFonts w:hint="eastAsia" w:ascii="宋体" w:hAnsi="宋体" w:eastAsia="宋体" w:cs="宋体"/>
                <w:color w:val="auto"/>
                <w:spacing w:val="0"/>
                <w:position w:val="0"/>
                <w:sz w:val="24"/>
                <w:szCs w:val="24"/>
                <w:highlight w:val="none"/>
              </w:rPr>
            </w:pPr>
          </w:p>
        </w:tc>
      </w:tr>
      <w:tr w14:paraId="3DD90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43C55ACB">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00FC8CC4">
            <w:pPr>
              <w:rPr>
                <w:rFonts w:hint="eastAsia" w:ascii="宋体" w:hAnsi="宋体" w:eastAsia="宋体" w:cs="宋体"/>
                <w:color w:val="auto"/>
                <w:spacing w:val="0"/>
                <w:position w:val="0"/>
                <w:sz w:val="24"/>
                <w:szCs w:val="24"/>
                <w:highlight w:val="none"/>
              </w:rPr>
            </w:pPr>
          </w:p>
        </w:tc>
      </w:tr>
      <w:tr w14:paraId="2C180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31C59832">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396F18C9">
            <w:pPr>
              <w:rPr>
                <w:rFonts w:hint="eastAsia" w:ascii="宋体" w:hAnsi="宋体" w:eastAsia="宋体" w:cs="宋体"/>
                <w:color w:val="auto"/>
                <w:spacing w:val="0"/>
                <w:position w:val="0"/>
                <w:sz w:val="24"/>
                <w:szCs w:val="24"/>
                <w:highlight w:val="none"/>
              </w:rPr>
            </w:pPr>
          </w:p>
        </w:tc>
      </w:tr>
      <w:tr w14:paraId="46A0B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9" w:hRule="atLeast"/>
          <w:jc w:val="center"/>
        </w:trPr>
        <w:tc>
          <w:tcPr>
            <w:tcW w:w="1356" w:type="dxa"/>
            <w:tcBorders>
              <w:right w:val="single" w:color="000000" w:sz="4" w:space="0"/>
            </w:tcBorders>
            <w:noWrap w:val="0"/>
            <w:vAlign w:val="center"/>
          </w:tcPr>
          <w:p w14:paraId="3F44D611">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0E83751C">
            <w:pPr>
              <w:rPr>
                <w:rFonts w:hint="eastAsia" w:ascii="宋体" w:hAnsi="宋体" w:eastAsia="宋体" w:cs="宋体"/>
                <w:color w:val="auto"/>
                <w:spacing w:val="0"/>
                <w:position w:val="0"/>
                <w:sz w:val="24"/>
                <w:szCs w:val="24"/>
                <w:highlight w:val="none"/>
              </w:rPr>
            </w:pPr>
          </w:p>
        </w:tc>
      </w:tr>
    </w:tbl>
    <w:p w14:paraId="292DEE5C">
      <w:pPr>
        <w:bidi w:val="0"/>
        <w:rPr>
          <w:rFonts w:hint="eastAsia"/>
          <w:color w:val="auto"/>
          <w:highlight w:val="none"/>
          <w:lang w:val="en-US" w:eastAsia="zh-CN"/>
        </w:rPr>
      </w:pPr>
    </w:p>
    <w:p w14:paraId="054EA4E2">
      <w:pPr>
        <w:bidi w:val="0"/>
        <w:rPr>
          <w:rFonts w:hint="eastAsia"/>
          <w:color w:val="auto"/>
          <w:highlight w:val="none"/>
          <w:lang w:val="en-US" w:eastAsia="zh-CN"/>
        </w:rPr>
      </w:pPr>
    </w:p>
    <w:p w14:paraId="515432D5">
      <w:pPr>
        <w:bidi w:val="0"/>
        <w:rPr>
          <w:rFonts w:hint="eastAsia"/>
          <w:color w:val="auto"/>
          <w:highlight w:val="none"/>
          <w:lang w:val="en-US" w:eastAsia="zh-CN"/>
        </w:rPr>
      </w:pPr>
    </w:p>
    <w:p w14:paraId="784F5D9A">
      <w:pPr>
        <w:bidi w:val="0"/>
        <w:rPr>
          <w:rFonts w:hint="eastAsia"/>
          <w:color w:val="auto"/>
          <w:highlight w:val="none"/>
          <w:lang w:val="en-US" w:eastAsia="zh-CN"/>
        </w:rPr>
      </w:pPr>
    </w:p>
    <w:p w14:paraId="50C969EB">
      <w:pPr>
        <w:bidi w:val="0"/>
        <w:rPr>
          <w:rFonts w:hint="eastAsia"/>
          <w:color w:val="auto"/>
          <w:highlight w:val="none"/>
          <w:lang w:val="en-US" w:eastAsia="zh-CN"/>
        </w:rPr>
      </w:pPr>
    </w:p>
    <w:p w14:paraId="0FB8E6D5">
      <w:pPr>
        <w:bidi w:val="0"/>
        <w:rPr>
          <w:rFonts w:hint="eastAsia"/>
          <w:color w:val="auto"/>
          <w:highlight w:val="none"/>
          <w:lang w:val="en-US" w:eastAsia="zh-CN"/>
        </w:rPr>
      </w:pPr>
    </w:p>
    <w:p w14:paraId="72490825">
      <w:pPr>
        <w:bidi w:val="0"/>
        <w:rPr>
          <w:rFonts w:hint="eastAsia"/>
          <w:color w:val="auto"/>
          <w:highlight w:val="none"/>
          <w:lang w:val="en-US" w:eastAsia="zh-CN"/>
        </w:rPr>
      </w:pPr>
    </w:p>
    <w:p w14:paraId="38ED27A0">
      <w:pPr>
        <w:bidi w:val="0"/>
        <w:rPr>
          <w:rFonts w:hint="eastAsia"/>
          <w:color w:val="auto"/>
          <w:highlight w:val="none"/>
          <w:lang w:val="en-US" w:eastAsia="zh-CN"/>
        </w:rPr>
      </w:pPr>
    </w:p>
    <w:p w14:paraId="4579E1D8">
      <w:pPr>
        <w:bidi w:val="0"/>
        <w:rPr>
          <w:rFonts w:hint="eastAsia"/>
          <w:color w:val="auto"/>
          <w:highlight w:val="none"/>
          <w:lang w:val="en-US" w:eastAsia="zh-CN"/>
        </w:rPr>
      </w:pPr>
    </w:p>
    <w:p w14:paraId="1225D921">
      <w:pPr>
        <w:bidi w:val="0"/>
        <w:rPr>
          <w:rFonts w:hint="eastAsia"/>
          <w:color w:val="auto"/>
          <w:highlight w:val="none"/>
          <w:lang w:val="en-US" w:eastAsia="zh-CN"/>
        </w:rPr>
      </w:pPr>
    </w:p>
    <w:p w14:paraId="42C88E4D">
      <w:pPr>
        <w:bidi w:val="0"/>
        <w:rPr>
          <w:rFonts w:hint="eastAsia"/>
          <w:color w:val="auto"/>
          <w:highlight w:val="none"/>
          <w:lang w:val="en-US" w:eastAsia="zh-CN"/>
        </w:rPr>
      </w:pPr>
    </w:p>
    <w:p w14:paraId="1363827F">
      <w:pPr>
        <w:bidi w:val="0"/>
        <w:rPr>
          <w:rFonts w:hint="eastAsia"/>
          <w:color w:val="auto"/>
          <w:highlight w:val="none"/>
          <w:lang w:val="en-US" w:eastAsia="zh-CN"/>
        </w:rPr>
      </w:pPr>
    </w:p>
    <w:p w14:paraId="3735F2E5">
      <w:pPr>
        <w:bidi w:val="0"/>
        <w:rPr>
          <w:rFonts w:hint="eastAsia"/>
          <w:color w:val="auto"/>
          <w:highlight w:val="none"/>
          <w:lang w:val="en-US" w:eastAsia="zh-CN"/>
        </w:rPr>
      </w:pPr>
    </w:p>
    <w:p w14:paraId="6F622679">
      <w:pPr>
        <w:bidi w:val="0"/>
        <w:rPr>
          <w:rFonts w:hint="eastAsia"/>
          <w:color w:val="auto"/>
          <w:highlight w:val="none"/>
          <w:lang w:val="en-US" w:eastAsia="zh-CN"/>
        </w:rPr>
      </w:pPr>
    </w:p>
    <w:p w14:paraId="628C0D8A">
      <w:pPr>
        <w:bidi w:val="0"/>
        <w:rPr>
          <w:rFonts w:hint="eastAsia"/>
          <w:color w:val="auto"/>
          <w:highlight w:val="none"/>
          <w:lang w:val="en-US" w:eastAsia="zh-CN"/>
        </w:rPr>
      </w:pPr>
    </w:p>
    <w:p w14:paraId="072E8438">
      <w:pPr>
        <w:bidi w:val="0"/>
        <w:rPr>
          <w:rFonts w:hint="eastAsia"/>
          <w:color w:val="auto"/>
          <w:highlight w:val="none"/>
          <w:lang w:val="en-US" w:eastAsia="zh-CN"/>
        </w:rPr>
      </w:pPr>
    </w:p>
    <w:p w14:paraId="07EC52F6">
      <w:pPr>
        <w:bidi w:val="0"/>
        <w:rPr>
          <w:rFonts w:hint="eastAsia"/>
          <w:color w:val="auto"/>
          <w:highlight w:val="none"/>
          <w:lang w:val="en-US" w:eastAsia="zh-CN"/>
        </w:rPr>
      </w:pPr>
    </w:p>
    <w:p w14:paraId="04FD8587">
      <w:pPr>
        <w:bidi w:val="0"/>
        <w:rPr>
          <w:rFonts w:hint="eastAsia"/>
          <w:color w:val="auto"/>
          <w:highlight w:val="none"/>
          <w:lang w:val="en-US" w:eastAsia="zh-CN"/>
        </w:rPr>
      </w:pPr>
    </w:p>
    <w:p w14:paraId="41B75DA7">
      <w:pPr>
        <w:bidi w:val="0"/>
        <w:rPr>
          <w:rFonts w:hint="eastAsia"/>
          <w:color w:val="auto"/>
          <w:highlight w:val="none"/>
          <w:lang w:val="en-US" w:eastAsia="zh-CN"/>
        </w:rPr>
      </w:pPr>
    </w:p>
    <w:p w14:paraId="45AD80CB">
      <w:pPr>
        <w:bidi w:val="0"/>
        <w:rPr>
          <w:rFonts w:hint="eastAsia"/>
          <w:color w:val="auto"/>
          <w:highlight w:val="none"/>
          <w:lang w:val="en-US" w:eastAsia="zh-CN"/>
        </w:rPr>
      </w:pPr>
    </w:p>
    <w:p w14:paraId="6FE813D1">
      <w:pPr>
        <w:bidi w:val="0"/>
        <w:rPr>
          <w:rFonts w:hint="eastAsia"/>
          <w:color w:val="auto"/>
          <w:highlight w:val="none"/>
          <w:lang w:val="en-US" w:eastAsia="zh-CN"/>
        </w:rPr>
      </w:pPr>
    </w:p>
    <w:p w14:paraId="63B8A54F">
      <w:pPr>
        <w:bidi w:val="0"/>
        <w:rPr>
          <w:rFonts w:hint="eastAsia"/>
          <w:color w:val="auto"/>
          <w:highlight w:val="none"/>
          <w:lang w:val="en-US" w:eastAsia="zh-CN"/>
        </w:rPr>
      </w:pPr>
    </w:p>
    <w:p w14:paraId="627767B8">
      <w:pPr>
        <w:bidi w:val="0"/>
        <w:rPr>
          <w:rFonts w:hint="eastAsia"/>
          <w:color w:val="auto"/>
          <w:highlight w:val="none"/>
          <w:lang w:val="en-US" w:eastAsia="zh-CN"/>
        </w:rPr>
      </w:pPr>
    </w:p>
    <w:p w14:paraId="2DCEDAB4">
      <w:pPr>
        <w:bidi w:val="0"/>
        <w:rPr>
          <w:rFonts w:hint="eastAsia"/>
          <w:color w:val="auto"/>
          <w:highlight w:val="none"/>
          <w:lang w:val="en-US" w:eastAsia="zh-CN"/>
        </w:rPr>
      </w:pPr>
    </w:p>
    <w:p w14:paraId="2369CF45">
      <w:pPr>
        <w:pStyle w:val="2"/>
        <w:keepNext/>
        <w:keepLines/>
        <w:pageBreakBefore w:val="0"/>
        <w:widowControl w:val="0"/>
        <w:kinsoku/>
        <w:wordWrap/>
        <w:overflowPunct/>
        <w:topLinePunct w:val="0"/>
        <w:autoSpaceDE/>
        <w:autoSpaceDN/>
        <w:bidi w:val="0"/>
        <w:adjustRightInd/>
        <w:snapToGrid/>
        <w:spacing w:before="0" w:after="157" w:afterLines="50" w:line="360" w:lineRule="auto"/>
        <w:jc w:val="center"/>
        <w:textAlignment w:val="auto"/>
        <w:rPr>
          <w:rFonts w:hint="eastAsia" w:ascii="Times New Roman" w:hAnsi="Times New Roman" w:eastAsia="宋体" w:cs="Times New Roman"/>
          <w:b/>
          <w:bCs/>
          <w:color w:val="auto"/>
          <w:kern w:val="44"/>
          <w:sz w:val="32"/>
          <w:szCs w:val="48"/>
          <w:highlight w:val="none"/>
          <w:lang w:val="en-US" w:eastAsia="zh-CN"/>
        </w:rPr>
      </w:pPr>
      <w:bookmarkStart w:id="146" w:name="_Toc21790"/>
      <w:bookmarkStart w:id="147" w:name="_Toc21850"/>
      <w:bookmarkStart w:id="148" w:name="_Toc32763"/>
      <w:r>
        <w:rPr>
          <w:rFonts w:hint="eastAsia" w:ascii="Times New Roman" w:hAnsi="Times New Roman" w:eastAsia="宋体" w:cs="Times New Roman"/>
          <w:b/>
          <w:bCs/>
          <w:color w:val="auto"/>
          <w:kern w:val="44"/>
          <w:sz w:val="32"/>
          <w:szCs w:val="48"/>
          <w:highlight w:val="none"/>
          <w:lang w:val="en-US" w:eastAsia="zh-CN"/>
        </w:rPr>
        <w:t xml:space="preserve">第六章 </w:t>
      </w:r>
      <w:bookmarkEnd w:id="145"/>
      <w:r>
        <w:rPr>
          <w:rFonts w:hint="eastAsia" w:ascii="Times New Roman" w:hAnsi="Times New Roman" w:eastAsia="宋体" w:cs="Times New Roman"/>
          <w:b/>
          <w:bCs/>
          <w:color w:val="auto"/>
          <w:kern w:val="44"/>
          <w:sz w:val="32"/>
          <w:szCs w:val="48"/>
          <w:highlight w:val="none"/>
          <w:lang w:val="en-US" w:eastAsia="zh-CN"/>
        </w:rPr>
        <w:t>招标需求</w:t>
      </w:r>
      <w:bookmarkEnd w:id="146"/>
      <w:bookmarkEnd w:id="147"/>
      <w:bookmarkEnd w:id="148"/>
    </w:p>
    <w:p w14:paraId="57950C6C">
      <w:pPr>
        <w:spacing w:line="360" w:lineRule="auto"/>
        <w:jc w:val="both"/>
        <w:rPr>
          <w:rFonts w:hint="eastAsia" w:ascii="宋体" w:hAnsi="宋体" w:eastAsia="宋体" w:cs="Times New Roman"/>
          <w:bCs/>
          <w:color w:val="auto"/>
          <w:sz w:val="24"/>
          <w:highlight w:val="none"/>
          <w:lang w:val="en-US" w:eastAsia="zh-CN"/>
        </w:rPr>
      </w:pPr>
      <w:bookmarkStart w:id="149" w:name="_Hlt509716920"/>
      <w:bookmarkEnd w:id="149"/>
      <w:bookmarkStart w:id="150" w:name="_Toc26897"/>
      <w:r>
        <w:rPr>
          <w:rFonts w:hint="eastAsia" w:ascii="宋体" w:hAnsi="宋体" w:eastAsia="宋体" w:cs="Times New Roman"/>
          <w:bCs/>
          <w:color w:val="auto"/>
          <w:sz w:val="24"/>
          <w:highlight w:val="none"/>
          <w:lang w:val="en-US" w:eastAsia="zh-CN"/>
        </w:rPr>
        <w:t>前注：本项目招标需求由招标人提供并负责解释</w:t>
      </w:r>
    </w:p>
    <w:p w14:paraId="2EC8EA21">
      <w:pPr>
        <w:spacing w:line="360" w:lineRule="auto"/>
        <w:ind w:firstLine="480" w:firstLineChars="200"/>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1、本招标需求中提出的服务要求或技术方案仅为参考，如无明确限制，投标人可以进行优化，提供满足招标人实际需要的更优（或者实质上不低于的）服务或技术方案，且须经</w:t>
      </w:r>
      <w:r>
        <w:rPr>
          <w:rFonts w:hint="eastAsia" w:ascii="宋体" w:hAnsi="宋体" w:cs="Times New Roman"/>
          <w:bCs/>
          <w:color w:val="auto"/>
          <w:sz w:val="24"/>
          <w:highlight w:val="none"/>
          <w:lang w:val="en-US" w:eastAsia="zh-CN"/>
        </w:rPr>
        <w:t>评标委员会</w:t>
      </w:r>
      <w:r>
        <w:rPr>
          <w:rFonts w:hint="eastAsia" w:ascii="宋体" w:hAnsi="宋体" w:eastAsia="宋体" w:cs="Times New Roman"/>
          <w:bCs/>
          <w:color w:val="auto"/>
          <w:sz w:val="24"/>
          <w:highlight w:val="none"/>
          <w:lang w:val="en-US" w:eastAsia="zh-CN"/>
        </w:rPr>
        <w:t>评审认可；</w:t>
      </w:r>
    </w:p>
    <w:p w14:paraId="65C2807D">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投标人</w:t>
      </w:r>
      <w:r>
        <w:rPr>
          <w:rFonts w:hint="eastAsia" w:ascii="宋体" w:hAnsi="宋体" w:eastAsia="宋体" w:cs="宋体"/>
          <w:color w:val="auto"/>
          <w:sz w:val="24"/>
          <w:szCs w:val="22"/>
          <w:highlight w:val="none"/>
        </w:rPr>
        <w:t>应当在</w:t>
      </w:r>
      <w:r>
        <w:rPr>
          <w:rFonts w:hint="eastAsia" w:ascii="宋体" w:hAnsi="宋体" w:cs="宋体"/>
          <w:color w:val="auto"/>
          <w:sz w:val="24"/>
          <w:szCs w:val="22"/>
          <w:highlight w:val="none"/>
          <w:lang w:val="en-US" w:eastAsia="zh-CN"/>
        </w:rPr>
        <w:t>投标</w:t>
      </w:r>
      <w:r>
        <w:rPr>
          <w:rFonts w:hint="eastAsia" w:ascii="宋体" w:hAnsi="宋体" w:eastAsia="宋体" w:cs="宋体"/>
          <w:color w:val="auto"/>
          <w:sz w:val="24"/>
          <w:szCs w:val="22"/>
          <w:highlight w:val="none"/>
        </w:rPr>
        <w:t>文件中列出完成本项目</w:t>
      </w:r>
      <w:r>
        <w:rPr>
          <w:rFonts w:hint="eastAsia" w:ascii="宋体" w:hAnsi="宋体" w:eastAsia="宋体" w:cs="宋体"/>
          <w:color w:val="auto"/>
          <w:sz w:val="24"/>
          <w:szCs w:val="22"/>
          <w:highlight w:val="none"/>
          <w:lang w:val="en-US" w:eastAsia="zh-CN"/>
        </w:rPr>
        <w:t>工作内容并通过验收所需的</w:t>
      </w:r>
      <w:r>
        <w:rPr>
          <w:rFonts w:hint="eastAsia" w:ascii="宋体" w:hAnsi="宋体" w:eastAsia="宋体" w:cs="宋体"/>
          <w:color w:val="auto"/>
          <w:sz w:val="24"/>
          <w:szCs w:val="22"/>
          <w:highlight w:val="none"/>
        </w:rPr>
        <w:t>全部费用。</w:t>
      </w:r>
      <w:r>
        <w:rPr>
          <w:rFonts w:hint="eastAsia" w:ascii="宋体" w:hAnsi="宋体" w:eastAsia="宋体" w:cs="宋体"/>
          <w:color w:val="auto"/>
          <w:sz w:val="24"/>
          <w:szCs w:val="22"/>
          <w:highlight w:val="none"/>
          <w:lang w:val="en-US" w:eastAsia="zh-CN"/>
        </w:rPr>
        <w:t>投标人</w:t>
      </w:r>
      <w:r>
        <w:rPr>
          <w:rFonts w:hint="eastAsia" w:ascii="宋体" w:hAnsi="宋体" w:eastAsia="宋体" w:cs="宋体"/>
          <w:color w:val="auto"/>
          <w:sz w:val="24"/>
          <w:szCs w:val="22"/>
          <w:highlight w:val="none"/>
        </w:rPr>
        <w:t>应自行踏查项目现场，如因</w:t>
      </w:r>
      <w:r>
        <w:rPr>
          <w:rFonts w:hint="eastAsia" w:ascii="宋体" w:hAnsi="宋体" w:eastAsia="宋体" w:cs="宋体"/>
          <w:color w:val="auto"/>
          <w:sz w:val="24"/>
          <w:szCs w:val="22"/>
          <w:highlight w:val="none"/>
          <w:lang w:val="en-US" w:eastAsia="zh-CN"/>
        </w:rPr>
        <w:t>投标人</w:t>
      </w:r>
      <w:r>
        <w:rPr>
          <w:rFonts w:hint="eastAsia" w:ascii="宋体" w:hAnsi="宋体" w:eastAsia="宋体" w:cs="宋体"/>
          <w:color w:val="auto"/>
          <w:sz w:val="24"/>
          <w:szCs w:val="22"/>
          <w:highlight w:val="none"/>
        </w:rPr>
        <w:t>未及时踏查现场而导致的报价缺项</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漏项</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废标、或</w:t>
      </w:r>
      <w:r>
        <w:rPr>
          <w:rFonts w:hint="eastAsia" w:ascii="宋体" w:hAnsi="宋体" w:cs="宋体"/>
          <w:color w:val="auto"/>
          <w:sz w:val="24"/>
          <w:szCs w:val="22"/>
          <w:highlight w:val="none"/>
          <w:lang w:val="en-US" w:eastAsia="zh-CN"/>
        </w:rPr>
        <w:t>中标</w:t>
      </w:r>
      <w:r>
        <w:rPr>
          <w:rFonts w:hint="eastAsia" w:ascii="宋体" w:hAnsi="宋体" w:eastAsia="宋体" w:cs="宋体"/>
          <w:color w:val="auto"/>
          <w:sz w:val="24"/>
          <w:szCs w:val="22"/>
          <w:highlight w:val="none"/>
        </w:rPr>
        <w:t>后无法完工，</w:t>
      </w:r>
      <w:r>
        <w:rPr>
          <w:rFonts w:hint="eastAsia" w:ascii="宋体" w:hAnsi="宋体" w:eastAsia="宋体" w:cs="宋体"/>
          <w:color w:val="auto"/>
          <w:sz w:val="24"/>
          <w:szCs w:val="22"/>
          <w:highlight w:val="none"/>
          <w:lang w:val="en-US" w:eastAsia="zh-CN"/>
        </w:rPr>
        <w:t>投标人</w:t>
      </w:r>
      <w:r>
        <w:rPr>
          <w:rFonts w:hint="eastAsia" w:ascii="宋体" w:hAnsi="宋体" w:eastAsia="宋体" w:cs="宋体"/>
          <w:color w:val="auto"/>
          <w:sz w:val="24"/>
          <w:szCs w:val="22"/>
          <w:highlight w:val="none"/>
        </w:rPr>
        <w:t>自行承担一切后果</w:t>
      </w:r>
      <w:r>
        <w:rPr>
          <w:rFonts w:hint="eastAsia" w:ascii="宋体" w:hAnsi="宋体" w:eastAsia="宋体" w:cs="宋体"/>
          <w:color w:val="auto"/>
          <w:sz w:val="24"/>
          <w:szCs w:val="22"/>
          <w:highlight w:val="none"/>
          <w:lang w:eastAsia="zh-CN"/>
        </w:rPr>
        <w:t>。</w:t>
      </w:r>
    </w:p>
    <w:p w14:paraId="06997D57">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lang w:eastAsia="zh-CN"/>
        </w:rPr>
        <w:t>如果</w:t>
      </w:r>
      <w:r>
        <w:rPr>
          <w:rFonts w:hint="eastAsia" w:ascii="宋体" w:hAnsi="宋体" w:eastAsia="宋体" w:cs="宋体"/>
          <w:color w:val="auto"/>
          <w:sz w:val="24"/>
          <w:szCs w:val="22"/>
          <w:highlight w:val="none"/>
          <w:lang w:val="en-US" w:eastAsia="zh-CN"/>
        </w:rPr>
        <w:t>本</w:t>
      </w:r>
      <w:r>
        <w:rPr>
          <w:rFonts w:hint="eastAsia" w:ascii="宋体" w:hAnsi="宋体" w:eastAsia="宋体" w:cs="宋体"/>
          <w:color w:val="auto"/>
          <w:sz w:val="24"/>
          <w:szCs w:val="22"/>
          <w:highlight w:val="none"/>
          <w:lang w:eastAsia="zh-CN"/>
        </w:rPr>
        <w:t>项目实施过程中国家或安徽省有关政策</w:t>
      </w:r>
      <w:r>
        <w:rPr>
          <w:rFonts w:hint="eastAsia" w:ascii="宋体" w:hAnsi="宋体" w:eastAsia="宋体" w:cs="宋体"/>
          <w:color w:val="auto"/>
          <w:sz w:val="24"/>
          <w:szCs w:val="22"/>
          <w:highlight w:val="none"/>
          <w:lang w:val="en-US" w:eastAsia="zh-CN"/>
        </w:rPr>
        <w:t>发生</w:t>
      </w:r>
      <w:r>
        <w:rPr>
          <w:rFonts w:hint="eastAsia" w:ascii="宋体" w:hAnsi="宋体" w:eastAsia="宋体" w:cs="宋体"/>
          <w:color w:val="auto"/>
          <w:sz w:val="24"/>
          <w:szCs w:val="22"/>
          <w:highlight w:val="none"/>
          <w:lang w:eastAsia="zh-CN"/>
        </w:rPr>
        <w:t>变化，</w:t>
      </w:r>
      <w:r>
        <w:rPr>
          <w:rFonts w:hint="eastAsia" w:ascii="宋体" w:hAnsi="宋体" w:eastAsia="宋体" w:cs="宋体"/>
          <w:color w:val="auto"/>
          <w:sz w:val="24"/>
          <w:szCs w:val="22"/>
          <w:highlight w:val="none"/>
          <w:lang w:val="en-US" w:eastAsia="zh-CN"/>
        </w:rPr>
        <w:t>招标人须</w:t>
      </w:r>
      <w:r>
        <w:rPr>
          <w:rFonts w:hint="eastAsia" w:ascii="宋体" w:hAnsi="宋体" w:eastAsia="宋体" w:cs="宋体"/>
          <w:color w:val="auto"/>
          <w:sz w:val="24"/>
          <w:szCs w:val="22"/>
          <w:highlight w:val="none"/>
          <w:lang w:eastAsia="zh-CN"/>
        </w:rPr>
        <w:t>调整</w:t>
      </w:r>
      <w:r>
        <w:rPr>
          <w:rFonts w:hint="eastAsia" w:ascii="宋体" w:hAnsi="宋体" w:eastAsia="宋体" w:cs="宋体"/>
          <w:color w:val="auto"/>
          <w:sz w:val="24"/>
          <w:szCs w:val="22"/>
          <w:highlight w:val="none"/>
          <w:lang w:val="en-US" w:eastAsia="zh-CN"/>
        </w:rPr>
        <w:t>招标</w:t>
      </w:r>
      <w:r>
        <w:rPr>
          <w:rFonts w:hint="eastAsia" w:ascii="宋体" w:hAnsi="宋体" w:eastAsia="宋体" w:cs="宋体"/>
          <w:color w:val="auto"/>
          <w:sz w:val="24"/>
          <w:szCs w:val="22"/>
          <w:highlight w:val="none"/>
          <w:lang w:eastAsia="zh-CN"/>
        </w:rPr>
        <w:t>需求的，</w:t>
      </w:r>
      <w:r>
        <w:rPr>
          <w:rFonts w:hint="eastAsia" w:ascii="宋体" w:hAnsi="宋体" w:eastAsia="宋体" w:cs="宋体"/>
          <w:color w:val="auto"/>
          <w:sz w:val="24"/>
          <w:szCs w:val="22"/>
          <w:highlight w:val="none"/>
          <w:lang w:val="en-US" w:eastAsia="zh-CN"/>
        </w:rPr>
        <w:t>投标人</w:t>
      </w:r>
      <w:r>
        <w:rPr>
          <w:rFonts w:hint="eastAsia" w:ascii="宋体" w:hAnsi="宋体" w:eastAsia="宋体" w:cs="宋体"/>
          <w:color w:val="auto"/>
          <w:sz w:val="24"/>
          <w:szCs w:val="22"/>
          <w:highlight w:val="none"/>
          <w:lang w:eastAsia="zh-CN"/>
        </w:rPr>
        <w:t>必须无条件响应有关调整，并按调整后的</w:t>
      </w:r>
      <w:r>
        <w:rPr>
          <w:rFonts w:hint="eastAsia" w:ascii="宋体" w:hAnsi="宋体" w:eastAsia="宋体" w:cs="宋体"/>
          <w:color w:val="auto"/>
          <w:sz w:val="24"/>
          <w:szCs w:val="22"/>
          <w:highlight w:val="none"/>
          <w:lang w:val="en-US" w:eastAsia="zh-CN"/>
        </w:rPr>
        <w:t>招标</w:t>
      </w:r>
      <w:r>
        <w:rPr>
          <w:rFonts w:hint="eastAsia" w:ascii="宋体" w:hAnsi="宋体" w:eastAsia="宋体" w:cs="宋体"/>
          <w:color w:val="auto"/>
          <w:sz w:val="24"/>
          <w:szCs w:val="22"/>
          <w:highlight w:val="none"/>
          <w:lang w:eastAsia="zh-CN"/>
        </w:rPr>
        <w:t>需求实施。</w:t>
      </w:r>
    </w:p>
    <w:bookmarkEnd w:id="150"/>
    <w:p w14:paraId="620D6439">
      <w:pPr>
        <w:pStyle w:val="3"/>
        <w:wordWrap w:val="0"/>
        <w:adjustRightInd/>
        <w:spacing w:before="156" w:beforeLines="50" w:after="156" w:afterLines="50" w:line="360" w:lineRule="auto"/>
        <w:ind w:firstLine="482" w:firstLineChars="200"/>
        <w:jc w:val="both"/>
        <w:textAlignment w:val="auto"/>
        <w:rPr>
          <w:rFonts w:hint="eastAsia" w:ascii="宋体" w:hAnsi="宋体" w:eastAsia="宋体" w:cs="宋体"/>
          <w:bCs/>
          <w:color w:val="auto"/>
          <w:sz w:val="24"/>
          <w:szCs w:val="24"/>
          <w:highlight w:val="none"/>
        </w:rPr>
      </w:pPr>
      <w:bookmarkStart w:id="151" w:name="_Toc10091"/>
      <w:bookmarkStart w:id="152" w:name="_Toc3355"/>
      <w:bookmarkStart w:id="153" w:name="_Toc26651"/>
      <w:bookmarkStart w:id="154" w:name="_Toc3998"/>
      <w:bookmarkStart w:id="155" w:name="_Toc31278"/>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rPr>
        <w:t>项目概况</w:t>
      </w:r>
      <w:bookmarkEnd w:id="151"/>
      <w:bookmarkEnd w:id="152"/>
      <w:bookmarkEnd w:id="153"/>
      <w:bookmarkEnd w:id="154"/>
      <w:bookmarkEnd w:id="155"/>
    </w:p>
    <w:p w14:paraId="483B99D1">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val="en-US" w:eastAsia="zh-CN"/>
        </w:rPr>
        <w:t>为保障城区废石料加工厂生产原料供应，选择一家运输企业承担相关清运工作，包括石料原料分拣装车、运输、打堆等服务。</w:t>
      </w:r>
    </w:p>
    <w:p w14:paraId="56E4E22F">
      <w:pPr>
        <w:pStyle w:val="3"/>
        <w:wordWrap w:val="0"/>
        <w:adjustRightInd/>
        <w:spacing w:before="156" w:beforeLines="50" w:after="156" w:afterLines="50" w:line="360" w:lineRule="auto"/>
        <w:ind w:firstLine="482" w:firstLineChars="200"/>
        <w:jc w:val="both"/>
        <w:textAlignment w:val="auto"/>
        <w:rPr>
          <w:rFonts w:hint="eastAsia" w:ascii="宋体" w:hAnsi="宋体" w:eastAsia="宋体" w:cs="宋体"/>
          <w:b/>
          <w:bCs/>
          <w:color w:val="auto"/>
          <w:sz w:val="24"/>
          <w:szCs w:val="24"/>
          <w:highlight w:val="none"/>
          <w:lang w:eastAsia="zh-CN"/>
        </w:rPr>
      </w:pPr>
      <w:bookmarkStart w:id="156" w:name="_Toc16946"/>
      <w:r>
        <w:rPr>
          <w:rFonts w:hint="eastAsia" w:ascii="宋体" w:hAnsi="宋体" w:eastAsia="宋体" w:cs="宋体"/>
          <w:b/>
          <w:bCs/>
          <w:color w:val="auto"/>
          <w:sz w:val="24"/>
          <w:szCs w:val="24"/>
          <w:highlight w:val="none"/>
          <w:lang w:eastAsia="zh-CN"/>
        </w:rPr>
        <w:t>二、工作内容</w:t>
      </w:r>
      <w:bookmarkEnd w:id="156"/>
    </w:p>
    <w:p w14:paraId="76939686">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1、石料原料分拣装车、运输、打堆等服务；</w:t>
      </w:r>
    </w:p>
    <w:p w14:paraId="142CDEC3">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2、成品</w:t>
      </w:r>
      <w:r>
        <w:rPr>
          <w:rFonts w:hint="eastAsia" w:ascii="宋体" w:hAnsi="宋体" w:cs="宋体"/>
          <w:color w:val="auto"/>
          <w:sz w:val="24"/>
          <w:szCs w:val="22"/>
          <w:highlight w:val="none"/>
          <w:lang w:val="en-US" w:eastAsia="zh-CN"/>
        </w:rPr>
        <w:t>石料转运</w:t>
      </w:r>
      <w:r>
        <w:rPr>
          <w:rFonts w:hint="eastAsia" w:ascii="宋体" w:hAnsi="宋体" w:eastAsia="宋体" w:cs="宋体"/>
          <w:color w:val="auto"/>
          <w:sz w:val="24"/>
          <w:szCs w:val="22"/>
          <w:highlight w:val="none"/>
          <w:lang w:val="en-US" w:eastAsia="zh-CN"/>
        </w:rPr>
        <w:t>服务；</w:t>
      </w:r>
    </w:p>
    <w:p w14:paraId="3518FAD4">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3、零星、应急项目等机械台班服务。</w:t>
      </w:r>
    </w:p>
    <w:p w14:paraId="2403C743">
      <w:pPr>
        <w:pStyle w:val="3"/>
        <w:wordWrap w:val="0"/>
        <w:adjustRightInd/>
        <w:spacing w:before="156" w:beforeLines="50" w:after="156" w:afterLines="50" w:line="360" w:lineRule="auto"/>
        <w:ind w:firstLine="482" w:firstLineChars="200"/>
        <w:jc w:val="both"/>
        <w:textAlignment w:val="auto"/>
        <w:rPr>
          <w:rFonts w:hint="eastAsia" w:ascii="宋体" w:hAnsi="宋体" w:eastAsia="宋体" w:cs="宋体"/>
          <w:b/>
          <w:bCs/>
          <w:color w:val="auto"/>
          <w:sz w:val="24"/>
          <w:szCs w:val="24"/>
          <w:highlight w:val="none"/>
          <w:lang w:eastAsia="zh-CN"/>
        </w:rPr>
      </w:pPr>
      <w:bookmarkStart w:id="157" w:name="_Toc3784"/>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lang w:eastAsia="zh-CN"/>
        </w:rPr>
        <w:t>要求</w:t>
      </w:r>
      <w:bookmarkEnd w:id="157"/>
    </w:p>
    <w:p w14:paraId="3FDFE5D2">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rFonts w:hint="default" w:ascii="宋体" w:hAnsi="Calibri" w:eastAsia="宋体" w:cs="Times New Roman"/>
          <w:b/>
          <w:bCs/>
          <w:color w:val="auto"/>
          <w:sz w:val="24"/>
          <w:szCs w:val="24"/>
          <w:highlight w:val="none"/>
          <w:lang w:val="en-US" w:eastAsia="zh-CN"/>
        </w:rPr>
      </w:pPr>
      <w:r>
        <w:rPr>
          <w:rFonts w:hint="eastAsia" w:ascii="宋体" w:hAnsi="Calibri" w:eastAsia="宋体" w:cs="Times New Roman"/>
          <w:b/>
          <w:bCs/>
          <w:color w:val="auto"/>
          <w:sz w:val="24"/>
          <w:szCs w:val="24"/>
          <w:highlight w:val="none"/>
          <w:lang w:val="en-US" w:eastAsia="zh-CN"/>
        </w:rPr>
        <w:t>1、车辆、机械配备</w:t>
      </w:r>
    </w:p>
    <w:p w14:paraId="013B8760">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（1）投标人须自有不少于15辆年审合格的国V及以上排放标准的3轴或4轴重型自卸货车（每辆车至少配备1名专职驾驶员）、1台洒水车、1台50型铲车及1台300型（含）以上挖掘机。</w:t>
      </w:r>
    </w:p>
    <w:p w14:paraId="4E40DC5D">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注：①自卸货车需提供车辆行驶证、车辆登记证、车辆营运证，且相关材料须能体现车辆年审合格；②洒水车需提供车辆行驶证、车辆登记证，且相关材料须能体现车辆年审合格；③铲车、挖掘机需提供机械设备清单和购进发票；④自有是指车辆所有权人名称与投标人名称一致，机械设备购进发票中的购买方名称与投标人名称一致。⑤提供运输车辆专职驾驶员符合本项目机动车准驾车型的驾驶证（代号A1、A2、B2）、道路运输从业人员从业资格证、身份证。</w:t>
      </w:r>
    </w:p>
    <w:p w14:paraId="1937A362">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lang w:val="en-US" w:eastAsia="zh-CN"/>
        </w:rPr>
        <w:t>所有车辆须</w:t>
      </w:r>
      <w:r>
        <w:rPr>
          <w:rFonts w:hint="eastAsia" w:ascii="宋体" w:hAnsi="宋体" w:eastAsia="宋体" w:cs="宋体"/>
          <w:color w:val="auto"/>
          <w:sz w:val="24"/>
          <w:szCs w:val="24"/>
          <w:highlight w:val="none"/>
          <w:lang w:eastAsia="zh-CN"/>
        </w:rPr>
        <w:t>外观整洁，按规定</w:t>
      </w:r>
      <w:r>
        <w:rPr>
          <w:rFonts w:hint="eastAsia" w:ascii="宋体" w:hAnsi="宋体" w:eastAsia="宋体" w:cs="宋体"/>
          <w:color w:val="auto"/>
          <w:sz w:val="24"/>
          <w:szCs w:val="24"/>
          <w:highlight w:val="none"/>
          <w:lang w:val="en-US" w:eastAsia="zh-CN"/>
        </w:rPr>
        <w:t>统一</w:t>
      </w:r>
      <w:r>
        <w:rPr>
          <w:rFonts w:hint="eastAsia" w:ascii="宋体" w:hAnsi="宋体" w:eastAsia="宋体" w:cs="宋体"/>
          <w:color w:val="auto"/>
          <w:sz w:val="24"/>
          <w:szCs w:val="24"/>
          <w:highlight w:val="none"/>
          <w:lang w:eastAsia="zh-CN"/>
        </w:rPr>
        <w:t>喷涂</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企业名称及编号并安装顶灯标志，车身颜色统一，车身两侧粘贴反光标识，车后喷涂放大号牌；</w:t>
      </w:r>
      <w:r>
        <w:rPr>
          <w:rFonts w:hint="eastAsia" w:ascii="宋体" w:hAnsi="宋体" w:eastAsia="宋体" w:cs="宋体"/>
          <w:color w:val="auto"/>
          <w:sz w:val="24"/>
          <w:szCs w:val="24"/>
          <w:highlight w:val="none"/>
          <w:lang w:val="en-US" w:eastAsia="zh-CN"/>
        </w:rPr>
        <w:t>同时，具备</w:t>
      </w:r>
      <w:r>
        <w:rPr>
          <w:rFonts w:hint="eastAsia" w:ascii="宋体" w:hAnsi="宋体" w:eastAsia="宋体" w:cs="宋体"/>
          <w:color w:val="auto"/>
          <w:sz w:val="24"/>
          <w:szCs w:val="24"/>
          <w:highlight w:val="none"/>
        </w:rPr>
        <w:t>防</w:t>
      </w:r>
      <w:r>
        <w:rPr>
          <w:rFonts w:hint="eastAsia" w:ascii="宋体" w:hAnsi="宋体" w:eastAsia="宋体" w:cs="宋体"/>
          <w:color w:val="auto"/>
          <w:sz w:val="24"/>
          <w:szCs w:val="24"/>
          <w:highlight w:val="none"/>
          <w:lang w:val="en-US" w:eastAsia="zh-CN"/>
        </w:rPr>
        <w:t>抛洒</w:t>
      </w:r>
      <w:r>
        <w:rPr>
          <w:rFonts w:hint="eastAsia" w:ascii="宋体" w:hAnsi="宋体" w:eastAsia="宋体" w:cs="宋体"/>
          <w:color w:val="auto"/>
          <w:sz w:val="24"/>
          <w:szCs w:val="24"/>
          <w:highlight w:val="none"/>
        </w:rPr>
        <w:t>滴落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覆盖装置，符合相关管理部门要求</w:t>
      </w:r>
      <w:r>
        <w:rPr>
          <w:rFonts w:hint="eastAsia" w:ascii="宋体" w:hAnsi="宋体" w:eastAsia="宋体" w:cs="宋体"/>
          <w:color w:val="auto"/>
          <w:sz w:val="24"/>
          <w:szCs w:val="22"/>
          <w:highlight w:val="none"/>
          <w:lang w:val="en-US" w:eastAsia="zh-CN"/>
        </w:rPr>
        <w:t>。</w:t>
      </w:r>
    </w:p>
    <w:p w14:paraId="59F89505">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所有车辆均需按要求安装车辆卫星定位装置等终端设备，能有效接入县砂石信息化管理系统（如投标人车辆终端设备不能与县砂石信息化管理系统兼容，则须自行自费更新或更换，以满足接入要求），接受统一的监督和管理。</w:t>
      </w:r>
    </w:p>
    <w:p w14:paraId="10FDAA26">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rFonts w:hint="eastAsia" w:ascii="宋体" w:hAnsi="Calibri" w:eastAsia="宋体" w:cs="Times New Roman"/>
          <w:b/>
          <w:bCs/>
          <w:color w:val="auto"/>
          <w:sz w:val="24"/>
          <w:szCs w:val="24"/>
          <w:highlight w:val="none"/>
          <w:lang w:val="en-US" w:eastAsia="zh-CN"/>
        </w:rPr>
      </w:pPr>
      <w:r>
        <w:rPr>
          <w:rFonts w:hint="eastAsia" w:ascii="宋体" w:hAnsi="Calibri" w:eastAsia="宋体" w:cs="Times New Roman"/>
          <w:b/>
          <w:bCs/>
          <w:color w:val="auto"/>
          <w:sz w:val="24"/>
          <w:szCs w:val="24"/>
          <w:highlight w:val="none"/>
          <w:lang w:val="en-US" w:eastAsia="zh-CN"/>
        </w:rPr>
        <w:t>2、驾驶员配备</w:t>
      </w:r>
    </w:p>
    <w:p w14:paraId="246EE4C4">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驾驶员数量须满足项目需求，具备合法有效的驾驶证并符合驾驶证准驾车型管理规定，取得《道路运输人员从业资格证》。</w:t>
      </w:r>
    </w:p>
    <w:p w14:paraId="77936EA4">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3、运输服务管理</w:t>
      </w:r>
    </w:p>
    <w:p w14:paraId="42017D56">
      <w:pPr>
        <w:widowControl w:val="0"/>
        <w:numPr>
          <w:ilvl w:val="0"/>
          <w:numId w:val="0"/>
        </w:numPr>
        <w:spacing w:line="360" w:lineRule="auto"/>
        <w:ind w:firstLine="480" w:firstLineChars="200"/>
        <w:jc w:val="both"/>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（1）中标人须服从招标人的日常管理、工作调度和运输任务安排，满足招标人用车需求，不得以运力不足、调度困难等理由拒绝服务或消极服务。</w:t>
      </w:r>
      <w:r>
        <w:rPr>
          <w:rFonts w:hint="eastAsia" w:ascii="宋体" w:hAnsi="宋体" w:cs="宋体"/>
          <w:color w:val="auto"/>
          <w:sz w:val="24"/>
          <w:szCs w:val="24"/>
          <w:highlight w:val="none"/>
          <w:lang w:val="en-US" w:eastAsia="zh-CN"/>
        </w:rPr>
        <w:t>如因中标人车辆手续不完备等影响招标人正常运输任务或造成损失的，由投中标人承担全部责任。</w:t>
      </w:r>
      <w:r>
        <w:rPr>
          <w:rFonts w:hint="eastAsia" w:ascii="宋体" w:hAnsi="宋体" w:eastAsia="宋体" w:cs="宋体"/>
          <w:color w:val="auto"/>
          <w:sz w:val="24"/>
          <w:szCs w:val="22"/>
          <w:highlight w:val="none"/>
          <w:lang w:val="en-US" w:eastAsia="zh-CN"/>
        </w:rPr>
        <w:t>中标人须指定专职项目负责人，并配备专业管理人员，确保运输车辆和驾驶员人员充足。</w:t>
      </w:r>
    </w:p>
    <w:p w14:paraId="5F2D9381">
      <w:pPr>
        <w:pStyle w:val="10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运输</w:t>
      </w:r>
      <w:r>
        <w:rPr>
          <w:rFonts w:hint="eastAsia" w:ascii="宋体" w:hAnsi="宋体" w:cs="宋体"/>
          <w:color w:val="auto"/>
          <w:sz w:val="24"/>
          <w:szCs w:val="24"/>
          <w:highlight w:val="none"/>
        </w:rPr>
        <w:t>过程中所发生的</w:t>
      </w:r>
      <w:r>
        <w:rPr>
          <w:rFonts w:hint="eastAsia" w:ascii="宋体" w:hAnsi="宋体" w:cs="宋体"/>
          <w:color w:val="auto"/>
          <w:sz w:val="24"/>
          <w:szCs w:val="24"/>
          <w:highlight w:val="none"/>
          <w:lang w:val="en-US" w:eastAsia="zh-CN"/>
        </w:rPr>
        <w:t>货物</w:t>
      </w:r>
      <w:r>
        <w:rPr>
          <w:rFonts w:hint="eastAsia" w:ascii="宋体" w:hAnsi="宋体" w:cs="宋体"/>
          <w:color w:val="auto"/>
          <w:sz w:val="24"/>
          <w:szCs w:val="24"/>
          <w:highlight w:val="none"/>
        </w:rPr>
        <w:t>短少、被盗、交通事故等造成的损失，由</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负责赔偿。尤其在承运过程中，若被</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发现或他人举报</w:t>
      </w:r>
      <w:r>
        <w:rPr>
          <w:rFonts w:hint="eastAsia" w:ascii="宋体" w:hAnsi="宋体" w:cs="宋体"/>
          <w:color w:val="auto"/>
          <w:sz w:val="24"/>
          <w:szCs w:val="24"/>
          <w:highlight w:val="none"/>
          <w:lang w:val="en-US" w:eastAsia="zh-CN"/>
        </w:rPr>
        <w:t>中标人</w:t>
      </w:r>
      <w:r>
        <w:rPr>
          <w:rFonts w:hint="eastAsia" w:ascii="宋体" w:hAnsi="宋体" w:cs="宋体"/>
          <w:color w:val="auto"/>
          <w:sz w:val="24"/>
          <w:szCs w:val="24"/>
          <w:highlight w:val="none"/>
        </w:rPr>
        <w:t>存在偷运私卖</w:t>
      </w:r>
      <w:r>
        <w:rPr>
          <w:rFonts w:hint="eastAsia" w:ascii="宋体" w:hAnsi="宋体" w:cs="宋体"/>
          <w:color w:val="auto"/>
          <w:sz w:val="24"/>
          <w:szCs w:val="24"/>
          <w:highlight w:val="none"/>
          <w:lang w:val="en-US" w:eastAsia="zh-CN"/>
        </w:rPr>
        <w:t>等情形</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有权</w:t>
      </w:r>
      <w:r>
        <w:rPr>
          <w:rFonts w:hint="eastAsia" w:ascii="宋体" w:hAnsi="宋体" w:cs="宋体"/>
          <w:color w:val="auto"/>
          <w:sz w:val="24"/>
          <w:szCs w:val="24"/>
          <w:highlight w:val="none"/>
          <w:lang w:val="en-US" w:eastAsia="zh-CN"/>
        </w:rPr>
        <w:t>终止合同</w:t>
      </w:r>
      <w:r>
        <w:rPr>
          <w:rFonts w:hint="eastAsia" w:ascii="宋体" w:hAnsi="宋体" w:cs="宋体"/>
          <w:color w:val="auto"/>
          <w:sz w:val="24"/>
          <w:szCs w:val="24"/>
          <w:highlight w:val="none"/>
        </w:rPr>
        <w:t>，性质严重的移交</w:t>
      </w:r>
      <w:r>
        <w:rPr>
          <w:rFonts w:hint="eastAsia" w:ascii="宋体" w:hAnsi="宋体" w:cs="宋体"/>
          <w:color w:val="auto"/>
          <w:sz w:val="24"/>
          <w:szCs w:val="24"/>
          <w:highlight w:val="none"/>
          <w:lang w:val="en-US" w:eastAsia="zh-CN"/>
        </w:rPr>
        <w:t>公安</w:t>
      </w:r>
      <w:r>
        <w:rPr>
          <w:rFonts w:hint="eastAsia" w:ascii="宋体" w:hAnsi="宋体" w:cs="宋体"/>
          <w:color w:val="auto"/>
          <w:sz w:val="24"/>
          <w:szCs w:val="24"/>
          <w:highlight w:val="none"/>
        </w:rPr>
        <w:t>机关处理。</w:t>
      </w:r>
    </w:p>
    <w:p w14:paraId="5079AB6B">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（3）中标人应当按照批准路线和招标人要求的时限，及时、准确的执行运输任务。装载标准、超载超限、禁区通行、停车场所等相关管理要求，根据县城管局、县“四治”办、县交管及相关管理部门规定执行。</w:t>
      </w:r>
    </w:p>
    <w:p w14:paraId="3E6A3FFE">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（4）服务期内运输通道、堆场内洒水除尘工作由中标人负责并承担费用，相关工作达到招标人及管理部门要求；中标人应在接到招标人通知后，</w:t>
      </w: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lang w:val="en-US" w:eastAsia="zh-CN"/>
        </w:rPr>
        <w:t>小时内调配车辆机械执行任务，未能按照招标人要求开展工作的，招标人有权安排其他机械车辆开展相关工作，产生费用由中标人支付。</w:t>
      </w:r>
    </w:p>
    <w:p w14:paraId="7E0E26D6">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w:t>
      </w:r>
      <w:r>
        <w:rPr>
          <w:rFonts w:hint="eastAsia" w:ascii="宋体" w:hAnsi="宋体" w:cs="宋体"/>
          <w:color w:val="auto"/>
          <w:sz w:val="24"/>
          <w:szCs w:val="22"/>
          <w:highlight w:val="none"/>
          <w:lang w:val="en-US" w:eastAsia="zh-CN"/>
        </w:rPr>
        <w:t>5</w:t>
      </w:r>
      <w:r>
        <w:rPr>
          <w:rFonts w:hint="eastAsia" w:ascii="宋体" w:hAnsi="宋体" w:eastAsia="宋体" w:cs="宋体"/>
          <w:color w:val="auto"/>
          <w:sz w:val="24"/>
          <w:szCs w:val="22"/>
          <w:highlight w:val="none"/>
          <w:lang w:val="en-US" w:eastAsia="zh-CN"/>
        </w:rPr>
        <w:t>）服务期内遇零星、应急等项目处置，中标人须服从招标人相关工作安排，如有超出本项目服务内容外的相关材料、措施费等，按</w:t>
      </w:r>
      <w:r>
        <w:rPr>
          <w:rFonts w:hint="eastAsia" w:ascii="宋体" w:hAnsi="宋体" w:cs="宋体"/>
          <w:color w:val="auto"/>
          <w:sz w:val="24"/>
          <w:szCs w:val="22"/>
          <w:highlight w:val="none"/>
          <w:lang w:val="en-US" w:eastAsia="zh-CN"/>
        </w:rPr>
        <w:t>招标人</w:t>
      </w:r>
      <w:r>
        <w:rPr>
          <w:rFonts w:hint="eastAsia" w:ascii="宋体" w:hAnsi="宋体" w:eastAsia="宋体" w:cs="宋体"/>
          <w:color w:val="auto"/>
          <w:sz w:val="24"/>
          <w:szCs w:val="22"/>
          <w:highlight w:val="none"/>
          <w:lang w:val="en-US" w:eastAsia="zh-CN"/>
        </w:rPr>
        <w:t>要求履行相关审批程序后进行结算。</w:t>
      </w:r>
    </w:p>
    <w:p w14:paraId="48561607">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w:t>
      </w:r>
      <w:r>
        <w:rPr>
          <w:rFonts w:hint="eastAsia" w:ascii="宋体" w:hAnsi="宋体" w:cs="宋体"/>
          <w:color w:val="auto"/>
          <w:sz w:val="24"/>
          <w:szCs w:val="22"/>
          <w:highlight w:val="none"/>
          <w:lang w:val="en-US" w:eastAsia="zh-CN"/>
        </w:rPr>
        <w:t>6</w:t>
      </w:r>
      <w:r>
        <w:rPr>
          <w:rFonts w:hint="eastAsia" w:ascii="宋体" w:hAnsi="宋体" w:eastAsia="宋体" w:cs="宋体"/>
          <w:color w:val="auto"/>
          <w:sz w:val="24"/>
          <w:szCs w:val="22"/>
          <w:highlight w:val="none"/>
          <w:lang w:val="en-US" w:eastAsia="zh-CN"/>
        </w:rPr>
        <w:t>）中标人须严格遵守安全生产、道路交通安全和运输管理等有关法律、法规、规章和标准，强化安全意识，落实安全生产责任，服从招标人和其他安全管理部门的监管，若发生安全生产事故、交通安全事故等均由中标人负责处置并承担一切损失和责任。</w:t>
      </w:r>
    </w:p>
    <w:p w14:paraId="29CD13F4">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lang w:val="en-US" w:eastAsia="zh-CN"/>
        </w:rPr>
        <w:t>）如因中标人原因在各级、各部门的环保等检查中被要求整改，其整改导致的一切损失由中标人自行承担，如被责令取缔，除一切损失由中标人自行承担责外，造成招标人损失的由中标人负责赔偿，同时，招标人有权中止或终止合同。</w:t>
      </w:r>
    </w:p>
    <w:p w14:paraId="2080B3FB">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w:t>
      </w:r>
      <w:r>
        <w:rPr>
          <w:rFonts w:hint="eastAsia" w:ascii="宋体" w:hAnsi="宋体" w:cs="宋体"/>
          <w:color w:val="auto"/>
          <w:sz w:val="24"/>
          <w:szCs w:val="22"/>
          <w:highlight w:val="none"/>
          <w:lang w:val="en-US" w:eastAsia="zh-CN"/>
        </w:rPr>
        <w:t>8</w:t>
      </w:r>
      <w:r>
        <w:rPr>
          <w:rFonts w:hint="eastAsia" w:ascii="宋体" w:hAnsi="宋体" w:eastAsia="宋体" w:cs="宋体"/>
          <w:color w:val="auto"/>
          <w:sz w:val="24"/>
          <w:szCs w:val="22"/>
          <w:highlight w:val="none"/>
          <w:lang w:val="en-US" w:eastAsia="zh-CN"/>
        </w:rPr>
        <w:t>）项目场地、运输通道、堆场及运输任务影响区域的洒水除尘、安全和环保工作由中标人负责并承担费用；运输通道、堆场维护及相关标识标牌由中标人进行日常管理维护，对应产生的费用由中标人承担。</w:t>
      </w:r>
    </w:p>
    <w:p w14:paraId="039BB0C6">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（9）运输车辆不得损坏项目点设备设施（地磅、磅房及附属设备等）及市政公共设施（草坪、绿化等）。若发生损坏等均由中标人负责处置并承担一切损失和责任，招标人记录考核。</w:t>
      </w:r>
    </w:p>
    <w:p w14:paraId="3C996067">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w:t>
      </w:r>
      <w:r>
        <w:rPr>
          <w:rFonts w:hint="eastAsia" w:ascii="宋体" w:hAnsi="宋体" w:cs="宋体"/>
          <w:color w:val="auto"/>
          <w:sz w:val="24"/>
          <w:szCs w:val="22"/>
          <w:highlight w:val="none"/>
          <w:lang w:val="en-US" w:eastAsia="zh-CN"/>
        </w:rPr>
        <w:t>0</w:t>
      </w:r>
      <w:r>
        <w:rPr>
          <w:rFonts w:hint="eastAsia" w:ascii="宋体" w:hAnsi="宋体" w:eastAsia="宋体" w:cs="宋体"/>
          <w:color w:val="auto"/>
          <w:sz w:val="24"/>
          <w:szCs w:val="22"/>
          <w:highlight w:val="none"/>
          <w:lang w:val="en-US" w:eastAsia="zh-CN"/>
        </w:rPr>
        <w:t>）中标人应严格服从政府主管部门或各项应急、突发处置等特殊工作要求（如：汛期抢险配送等）。</w:t>
      </w:r>
    </w:p>
    <w:p w14:paraId="1FD697B0">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w:t>
      </w:r>
      <w:r>
        <w:rPr>
          <w:rFonts w:hint="eastAsia" w:ascii="宋体" w:hAnsi="宋体" w:cs="宋体"/>
          <w:color w:val="auto"/>
          <w:sz w:val="24"/>
          <w:szCs w:val="22"/>
          <w:highlight w:val="none"/>
          <w:lang w:val="en-US" w:eastAsia="zh-CN"/>
        </w:rPr>
        <w:t>1</w:t>
      </w:r>
      <w:r>
        <w:rPr>
          <w:rFonts w:hint="eastAsia" w:ascii="宋体" w:hAnsi="宋体" w:eastAsia="宋体" w:cs="宋体"/>
          <w:color w:val="auto"/>
          <w:sz w:val="24"/>
          <w:szCs w:val="22"/>
          <w:highlight w:val="none"/>
          <w:lang w:val="en-US" w:eastAsia="zh-CN"/>
        </w:rPr>
        <w:t>）中标人不得拖欠农民工工资，产生农民工上访或其他影响恶劣事件。若发生相关事件等均由中标人负责处置并承担一切损失和责任，招标人记录考核。</w:t>
      </w:r>
    </w:p>
    <w:p w14:paraId="2CC4F99B">
      <w:pPr>
        <w:widowControl w:val="0"/>
        <w:numPr>
          <w:ilvl w:val="0"/>
          <w:numId w:val="0"/>
        </w:numPr>
        <w:spacing w:line="360" w:lineRule="auto"/>
        <w:ind w:firstLine="480" w:firstLineChars="200"/>
        <w:jc w:val="both"/>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w:t>
      </w: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lang w:val="en-US" w:eastAsia="zh-CN"/>
        </w:rPr>
        <w:t>）服务期内招标人根据服务情况确定的其他管理要求。</w:t>
      </w:r>
    </w:p>
    <w:p w14:paraId="5F7EFDBD">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rFonts w:hint="eastAsia" w:ascii="宋体" w:hAnsi="Times New Roman" w:eastAsia="宋体" w:cs="Times New Roman"/>
          <w:b/>
          <w:bCs/>
          <w:color w:val="auto"/>
          <w:sz w:val="24"/>
          <w:szCs w:val="24"/>
          <w:highlight w:val="none"/>
          <w:lang w:val="en-US" w:eastAsia="zh-CN"/>
        </w:rPr>
      </w:pPr>
      <w:r>
        <w:rPr>
          <w:rFonts w:hint="eastAsia" w:ascii="宋体" w:hAnsi="Times New Roman" w:eastAsia="宋体" w:cs="Times New Roman"/>
          <w:b/>
          <w:bCs/>
          <w:color w:val="auto"/>
          <w:sz w:val="24"/>
          <w:szCs w:val="24"/>
          <w:highlight w:val="none"/>
          <w:lang w:val="en-US" w:eastAsia="zh-CN"/>
        </w:rPr>
        <w:t>4、服务质量要求</w:t>
      </w:r>
    </w:p>
    <w:p w14:paraId="3783D9A7">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（1）</w:t>
      </w:r>
      <w:r>
        <w:rPr>
          <w:rFonts w:hint="eastAsia" w:ascii="宋体" w:hAnsi="宋体" w:eastAsia="宋体" w:cs="宋体"/>
          <w:color w:val="auto"/>
          <w:sz w:val="24"/>
          <w:szCs w:val="22"/>
          <w:highlight w:val="none"/>
          <w:lang w:val="en-US" w:eastAsia="zh-CN"/>
        </w:rPr>
        <w:t>中标人须严格按照招标文件和招标人要求开展石料原料分拣装车、运输、打堆等服务，确保服务质量。</w:t>
      </w:r>
    </w:p>
    <w:p w14:paraId="63191F39">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lang w:val="en-US" w:eastAsia="zh-CN"/>
        </w:rPr>
        <w:t>中标人在服务过程中须服从招标人质量管理，在石料挖、装、运输和打堆的质量把控方面（例如含泥量及废弃土料含量控制等）服从招标人质量把控要求，服务过程中须服从招标人运输管理规定，保证石料生产加工有序、高效进行，否则招标人有权不予结算、支付相应的费用。</w:t>
      </w:r>
    </w:p>
    <w:p w14:paraId="353E02CA">
      <w:pPr>
        <w:widowControl w:val="0"/>
        <w:numPr>
          <w:ilvl w:val="0"/>
          <w:numId w:val="0"/>
        </w:numPr>
        <w:spacing w:line="360" w:lineRule="auto"/>
        <w:ind w:firstLine="480" w:firstLineChars="200"/>
        <w:jc w:val="both"/>
        <w:rPr>
          <w:rFonts w:hint="eastAsia"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服务期内，中标人有义务和责任从源头对其承运的石料原料质量（指含泥量和废弃土料含量，下同）进行把关，无论原料由招标人指定单位装车或由中标人自行装车，中标人均应自觉、积极、主动控制原料中的含泥量和废弃土料含量，以提高工作效率和原料利用率，降低招标人运输成本。</w:t>
      </w:r>
    </w:p>
    <w:p w14:paraId="56CA0BE1">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 xml:space="preserve">招标人将视情况不定期抽检中标人承运的石料原料质量，若招标人发现含泥量或废弃土料含量过高，根据招标人要求，由中标人无条件对招标人指定料堆进行重新分拣（中标人自行承担分拣成本包括机械、车辆倒运费用），分拣后过磅（测绘）认定含泥量及废弃土料含量，若占抽检量的5%（含）以内不予扣除相应费用；含泥量及废弃土料占抽检量的5%（不含）-20%（含），扣除相应比例废弃泥土含量的相应费用；含泥量及废弃土料占抽检批次运输量的20%（不含）以上，不予支付抽检批次整体运输等费用。 </w:t>
      </w:r>
    </w:p>
    <w:p w14:paraId="0FE7DA28">
      <w:pPr>
        <w:pStyle w:val="3"/>
        <w:wordWrap w:val="0"/>
        <w:adjustRightInd/>
        <w:spacing w:before="156" w:beforeLines="50" w:after="156" w:afterLines="50" w:line="360" w:lineRule="auto"/>
        <w:ind w:firstLine="482" w:firstLineChars="200"/>
        <w:jc w:val="both"/>
        <w:textAlignment w:val="auto"/>
        <w:rPr>
          <w:rFonts w:hint="eastAsia" w:ascii="宋体" w:hAnsi="宋体" w:eastAsia="宋体" w:cs="宋体"/>
          <w:b/>
          <w:bCs/>
          <w:color w:val="auto"/>
          <w:sz w:val="24"/>
          <w:szCs w:val="24"/>
          <w:highlight w:val="none"/>
          <w:lang w:eastAsia="zh-CN"/>
        </w:rPr>
      </w:pPr>
      <w:bookmarkStart w:id="158" w:name="_Toc17171"/>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、最高限价</w:t>
      </w:r>
      <w:bookmarkEnd w:id="158"/>
    </w:p>
    <w:p w14:paraId="7C475EFA">
      <w:pPr>
        <w:widowControl w:val="0"/>
        <w:numPr>
          <w:ilvl w:val="0"/>
          <w:numId w:val="0"/>
        </w:numPr>
        <w:spacing w:line="360" w:lineRule="auto"/>
        <w:ind w:firstLine="480" w:firstLineChars="200"/>
        <w:jc w:val="both"/>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投标人对石料运输服务单价、机械台班服务单价表中所有服务项目报统一的折扣（百分比），最高限价为100%。</w:t>
      </w:r>
    </w:p>
    <w:p w14:paraId="73323594">
      <w:pPr>
        <w:pStyle w:val="39"/>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1、石料运输服务单价最高限价（不含税）</w:t>
      </w:r>
    </w:p>
    <w:tbl>
      <w:tblPr>
        <w:tblStyle w:val="40"/>
        <w:tblW w:w="9241" w:type="dxa"/>
        <w:jc w:val="center"/>
        <w:tblLayout w:type="fixed"/>
        <w:tblCellMar>
          <w:top w:w="0" w:type="dxa"/>
          <w:left w:w="0" w:type="dxa"/>
          <w:bottom w:w="0" w:type="dxa"/>
          <w:right w:w="0" w:type="dxa"/>
        </w:tblCellMar>
      </w:tblPr>
      <w:tblGrid>
        <w:gridCol w:w="1020"/>
        <w:gridCol w:w="2268"/>
        <w:gridCol w:w="1871"/>
        <w:gridCol w:w="4082"/>
      </w:tblGrid>
      <w:tr w14:paraId="6443C99D">
        <w:tblPrEx>
          <w:tblCellMar>
            <w:top w:w="0" w:type="dxa"/>
            <w:left w:w="0" w:type="dxa"/>
            <w:bottom w:w="0" w:type="dxa"/>
            <w:right w:w="0" w:type="dxa"/>
          </w:tblCellMar>
        </w:tblPrEx>
        <w:trPr>
          <w:trHeight w:val="454" w:hRule="atLeast"/>
          <w:jc w:val="center"/>
        </w:trPr>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404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服务项目</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F8B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运输里程</w:t>
            </w:r>
          </w:p>
        </w:tc>
        <w:tc>
          <w:tcPr>
            <w:tcW w:w="1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C2B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运输内容</w:t>
            </w:r>
          </w:p>
        </w:tc>
        <w:tc>
          <w:tcPr>
            <w:tcW w:w="4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E7E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单价最高限价</w:t>
            </w:r>
            <w:r>
              <w:rPr>
                <w:rFonts w:hint="eastAsia" w:ascii="宋体" w:hAnsi="宋体" w:cs="宋体"/>
                <w:color w:val="auto"/>
                <w:highlight w:val="none"/>
              </w:rPr>
              <w:t>（元/吨</w:t>
            </w:r>
            <w:r>
              <w:rPr>
                <w:rFonts w:hint="eastAsia" w:ascii="宋体" w:hAnsi="宋体" w:cs="宋体"/>
                <w:color w:val="auto"/>
                <w:highlight w:val="none"/>
                <w:lang w:val="en-US" w:eastAsia="zh-CN"/>
              </w:rPr>
              <w:t>·</w:t>
            </w:r>
            <w:r>
              <w:rPr>
                <w:rFonts w:hint="eastAsia" w:ascii="宋体" w:hAnsi="宋体" w:eastAsia="宋体" w:cs="宋体"/>
                <w:i w:val="0"/>
                <w:color w:val="auto"/>
                <w:kern w:val="0"/>
                <w:sz w:val="21"/>
                <w:szCs w:val="21"/>
                <w:highlight w:val="none"/>
                <w:u w:val="none"/>
                <w:lang w:val="en-US" w:eastAsia="zh-CN" w:bidi="ar"/>
              </w:rPr>
              <w:t>KM</w:t>
            </w:r>
            <w:r>
              <w:rPr>
                <w:rFonts w:hint="eastAsia" w:ascii="宋体" w:hAnsi="宋体" w:cs="宋体"/>
                <w:color w:val="auto"/>
                <w:highlight w:val="none"/>
              </w:rPr>
              <w:t>）</w:t>
            </w:r>
          </w:p>
        </w:tc>
      </w:tr>
      <w:tr w14:paraId="18DA4315">
        <w:tblPrEx>
          <w:tblCellMar>
            <w:top w:w="0" w:type="dxa"/>
            <w:left w:w="0" w:type="dxa"/>
            <w:bottom w:w="0" w:type="dxa"/>
            <w:right w:w="0" w:type="dxa"/>
          </w:tblCellMar>
        </w:tblPrEx>
        <w:trPr>
          <w:trHeight w:val="454" w:hRule="atLeast"/>
          <w:jc w:val="center"/>
        </w:trPr>
        <w:tc>
          <w:tcPr>
            <w:tcW w:w="10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FF7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运输</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177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≤3公里</w:t>
            </w:r>
          </w:p>
        </w:tc>
        <w:tc>
          <w:tcPr>
            <w:tcW w:w="1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085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石料</w:t>
            </w:r>
          </w:p>
        </w:tc>
        <w:tc>
          <w:tcPr>
            <w:tcW w:w="4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B71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5.66元/吨.KM</w:t>
            </w:r>
          </w:p>
        </w:tc>
      </w:tr>
      <w:tr w14:paraId="0BD964BC">
        <w:tblPrEx>
          <w:tblCellMar>
            <w:top w:w="0" w:type="dxa"/>
            <w:left w:w="0" w:type="dxa"/>
            <w:bottom w:w="0" w:type="dxa"/>
            <w:right w:w="0" w:type="dxa"/>
          </w:tblCellMar>
        </w:tblPrEx>
        <w:trPr>
          <w:trHeight w:val="454"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CE20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1"/>
                <w:szCs w:val="21"/>
                <w:highlight w:val="none"/>
                <w:u w:val="none"/>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566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3公里＜运距≤5公里</w:t>
            </w:r>
          </w:p>
        </w:tc>
        <w:tc>
          <w:tcPr>
            <w:tcW w:w="1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AB5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石料</w:t>
            </w:r>
          </w:p>
        </w:tc>
        <w:tc>
          <w:tcPr>
            <w:tcW w:w="4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FC5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6.40元/吨.KM</w:t>
            </w:r>
          </w:p>
        </w:tc>
      </w:tr>
      <w:tr w14:paraId="349C662C">
        <w:tblPrEx>
          <w:tblCellMar>
            <w:top w:w="0" w:type="dxa"/>
            <w:left w:w="0" w:type="dxa"/>
            <w:bottom w:w="0" w:type="dxa"/>
            <w:right w:w="0" w:type="dxa"/>
          </w:tblCellMar>
        </w:tblPrEx>
        <w:trPr>
          <w:trHeight w:val="454"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0882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1"/>
                <w:szCs w:val="21"/>
                <w:highlight w:val="none"/>
                <w:u w:val="none"/>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33A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5公里＜运距≤7公里</w:t>
            </w:r>
          </w:p>
        </w:tc>
        <w:tc>
          <w:tcPr>
            <w:tcW w:w="1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0C7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石料</w:t>
            </w:r>
          </w:p>
        </w:tc>
        <w:tc>
          <w:tcPr>
            <w:tcW w:w="4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E6E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7.14元/吨.KM</w:t>
            </w:r>
          </w:p>
        </w:tc>
      </w:tr>
      <w:tr w14:paraId="20D0283C">
        <w:tblPrEx>
          <w:tblCellMar>
            <w:top w:w="0" w:type="dxa"/>
            <w:left w:w="0" w:type="dxa"/>
            <w:bottom w:w="0" w:type="dxa"/>
            <w:right w:w="0" w:type="dxa"/>
          </w:tblCellMar>
        </w:tblPrEx>
        <w:trPr>
          <w:trHeight w:val="454"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D77F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1"/>
                <w:szCs w:val="21"/>
                <w:highlight w:val="none"/>
                <w:u w:val="none"/>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4F7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7公里＜运距≤10公里</w:t>
            </w:r>
          </w:p>
        </w:tc>
        <w:tc>
          <w:tcPr>
            <w:tcW w:w="1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8A2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石料</w:t>
            </w:r>
          </w:p>
        </w:tc>
        <w:tc>
          <w:tcPr>
            <w:tcW w:w="4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8AF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7.87元/吨.KM</w:t>
            </w:r>
          </w:p>
        </w:tc>
      </w:tr>
      <w:tr w14:paraId="5A805A8C">
        <w:tblPrEx>
          <w:tblCellMar>
            <w:top w:w="0" w:type="dxa"/>
            <w:left w:w="0" w:type="dxa"/>
            <w:bottom w:w="0" w:type="dxa"/>
            <w:right w:w="0" w:type="dxa"/>
          </w:tblCellMar>
        </w:tblPrEx>
        <w:trPr>
          <w:trHeight w:val="454"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0679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1"/>
                <w:szCs w:val="21"/>
                <w:highlight w:val="none"/>
                <w:u w:val="none"/>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531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运距＞10公里</w:t>
            </w:r>
          </w:p>
        </w:tc>
        <w:tc>
          <w:tcPr>
            <w:tcW w:w="1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F93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石料</w:t>
            </w:r>
          </w:p>
        </w:tc>
        <w:tc>
          <w:tcPr>
            <w:tcW w:w="40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CFD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7.87+（运距KM-10KM）</w:t>
            </w:r>
            <w:r>
              <w:rPr>
                <w:rFonts w:ascii="Arial" w:hAnsi="Arial" w:eastAsia="宋体" w:cs="Arial"/>
                <w:i w:val="0"/>
                <w:color w:val="auto"/>
                <w:kern w:val="0"/>
                <w:sz w:val="21"/>
                <w:szCs w:val="21"/>
                <w:highlight w:val="none"/>
                <w:u w:val="none"/>
                <w:lang w:val="en-US" w:eastAsia="zh-CN" w:bidi="ar"/>
              </w:rPr>
              <w:t>×</w:t>
            </w:r>
            <w:r>
              <w:rPr>
                <w:rStyle w:val="106"/>
                <w:color w:val="auto"/>
                <w:highlight w:val="none"/>
                <w:lang w:val="en-US" w:eastAsia="zh-CN" w:bidi="ar"/>
              </w:rPr>
              <w:t>0.79（元/吨.KM）</w:t>
            </w:r>
          </w:p>
        </w:tc>
      </w:tr>
      <w:tr w14:paraId="6258B735">
        <w:tblPrEx>
          <w:tblCellMar>
            <w:top w:w="0" w:type="dxa"/>
            <w:left w:w="0" w:type="dxa"/>
            <w:bottom w:w="0" w:type="dxa"/>
            <w:right w:w="0" w:type="dxa"/>
          </w:tblCellMar>
        </w:tblPrEx>
        <w:trPr>
          <w:trHeight w:val="454" w:hRule="atLeast"/>
          <w:jc w:val="center"/>
        </w:trPr>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425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打堆</w:t>
            </w:r>
          </w:p>
        </w:tc>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955D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21"/>
                <w:szCs w:val="21"/>
                <w:highlight w:val="none"/>
                <w:u w:val="none"/>
              </w:rPr>
            </w:pPr>
          </w:p>
        </w:tc>
        <w:tc>
          <w:tcPr>
            <w:tcW w:w="1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A345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原材料和成品石料</w:t>
            </w:r>
          </w:p>
        </w:tc>
        <w:tc>
          <w:tcPr>
            <w:tcW w:w="4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A19D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2.00元/吨</w:t>
            </w:r>
          </w:p>
        </w:tc>
      </w:tr>
      <w:tr w14:paraId="56AA1D70">
        <w:tblPrEx>
          <w:tblCellMar>
            <w:top w:w="0" w:type="dxa"/>
            <w:left w:w="0" w:type="dxa"/>
            <w:bottom w:w="0" w:type="dxa"/>
            <w:right w:w="0" w:type="dxa"/>
          </w:tblCellMar>
        </w:tblPrEx>
        <w:trPr>
          <w:trHeight w:val="454" w:hRule="atLeast"/>
          <w:jc w:val="center"/>
        </w:trPr>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A55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装车</w:t>
            </w:r>
          </w:p>
        </w:tc>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D75D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21"/>
                <w:szCs w:val="21"/>
                <w:highlight w:val="none"/>
                <w:u w:val="none"/>
              </w:rPr>
            </w:pPr>
          </w:p>
        </w:tc>
        <w:tc>
          <w:tcPr>
            <w:tcW w:w="1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9DC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原材料和成品石料</w:t>
            </w:r>
          </w:p>
        </w:tc>
        <w:tc>
          <w:tcPr>
            <w:tcW w:w="4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2854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1.76元/吨</w:t>
            </w:r>
          </w:p>
        </w:tc>
      </w:tr>
      <w:tr w14:paraId="5326A4C2">
        <w:tblPrEx>
          <w:tblCellMar>
            <w:top w:w="0" w:type="dxa"/>
            <w:left w:w="0" w:type="dxa"/>
            <w:bottom w:w="0" w:type="dxa"/>
            <w:right w:w="0" w:type="dxa"/>
          </w:tblCellMar>
        </w:tblPrEx>
        <w:trPr>
          <w:trHeight w:val="454" w:hRule="atLeast"/>
          <w:jc w:val="center"/>
        </w:trPr>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60A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转运</w:t>
            </w:r>
          </w:p>
        </w:tc>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BD3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1公里以内</w:t>
            </w:r>
          </w:p>
        </w:tc>
        <w:tc>
          <w:tcPr>
            <w:tcW w:w="18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4578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原材料和成品石料</w:t>
            </w:r>
          </w:p>
        </w:tc>
        <w:tc>
          <w:tcPr>
            <w:tcW w:w="4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A55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1.95元/吨</w:t>
            </w:r>
          </w:p>
        </w:tc>
      </w:tr>
    </w:tbl>
    <w:p w14:paraId="2F32C3D4">
      <w:pPr>
        <w:pStyle w:val="39"/>
        <w:keepNext w:val="0"/>
        <w:keepLines w:val="0"/>
        <w:pageBreakBefore w:val="0"/>
        <w:widowControl w:val="0"/>
        <w:kinsoku/>
        <w:wordWrap/>
        <w:overflowPunct/>
        <w:topLinePunct w:val="0"/>
        <w:autoSpaceDE/>
        <w:autoSpaceDN/>
        <w:bidi w:val="0"/>
        <w:adjustRightInd/>
        <w:snapToGrid/>
        <w:spacing w:before="153" w:beforeLines="50" w:line="360" w:lineRule="auto"/>
        <w:textAlignment w:val="auto"/>
        <w:outlineLvl w:val="2"/>
        <w:rPr>
          <w:rFonts w:hint="default"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2、机械台班服务单价最高限价（不含税）</w:t>
      </w:r>
    </w:p>
    <w:tbl>
      <w:tblPr>
        <w:tblStyle w:val="40"/>
        <w:tblW w:w="9271" w:type="dxa"/>
        <w:jc w:val="center"/>
        <w:tblLayout w:type="fixed"/>
        <w:tblCellMar>
          <w:top w:w="0" w:type="dxa"/>
          <w:left w:w="0" w:type="dxa"/>
          <w:bottom w:w="0" w:type="dxa"/>
          <w:right w:w="0" w:type="dxa"/>
        </w:tblCellMar>
      </w:tblPr>
      <w:tblGrid>
        <w:gridCol w:w="3825"/>
        <w:gridCol w:w="2608"/>
        <w:gridCol w:w="2838"/>
      </w:tblGrid>
      <w:tr w14:paraId="4B5D14D3">
        <w:tblPrEx>
          <w:tblCellMar>
            <w:top w:w="0" w:type="dxa"/>
            <w:left w:w="0" w:type="dxa"/>
            <w:bottom w:w="0" w:type="dxa"/>
            <w:right w:w="0" w:type="dxa"/>
          </w:tblCellMar>
        </w:tblPrEx>
        <w:trPr>
          <w:trHeight w:val="454" w:hRule="atLeast"/>
          <w:jc w:val="center"/>
        </w:trPr>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A7EF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服务项目/机械种类</w:t>
            </w: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7A4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设备型号</w:t>
            </w:r>
          </w:p>
        </w:tc>
        <w:tc>
          <w:tcPr>
            <w:tcW w:w="2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CE1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单价最高限价（元/小时）</w:t>
            </w:r>
          </w:p>
        </w:tc>
      </w:tr>
      <w:tr w14:paraId="7F996A71">
        <w:tblPrEx>
          <w:tblCellMar>
            <w:top w:w="0" w:type="dxa"/>
            <w:left w:w="0" w:type="dxa"/>
            <w:bottom w:w="0" w:type="dxa"/>
            <w:right w:w="0" w:type="dxa"/>
          </w:tblCellMar>
        </w:tblPrEx>
        <w:trPr>
          <w:trHeight w:val="454" w:hRule="atLeast"/>
          <w:jc w:val="center"/>
        </w:trPr>
        <w:tc>
          <w:tcPr>
            <w:tcW w:w="38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94E5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反铲挖掘机</w:t>
            </w: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629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100型以下</w:t>
            </w:r>
          </w:p>
        </w:tc>
        <w:tc>
          <w:tcPr>
            <w:tcW w:w="2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C74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143 </w:t>
            </w:r>
          </w:p>
        </w:tc>
      </w:tr>
      <w:tr w14:paraId="35E5998F">
        <w:tblPrEx>
          <w:tblCellMar>
            <w:top w:w="0" w:type="dxa"/>
            <w:left w:w="0" w:type="dxa"/>
            <w:bottom w:w="0" w:type="dxa"/>
            <w:right w:w="0" w:type="dxa"/>
          </w:tblCellMar>
        </w:tblPrEx>
        <w:trPr>
          <w:trHeight w:val="454" w:hRule="atLeast"/>
          <w:jc w:val="center"/>
        </w:trPr>
        <w:tc>
          <w:tcPr>
            <w:tcW w:w="3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2F5CD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1"/>
                <w:szCs w:val="21"/>
                <w:highlight w:val="none"/>
                <w:u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307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200型以下</w:t>
            </w:r>
          </w:p>
        </w:tc>
        <w:tc>
          <w:tcPr>
            <w:tcW w:w="2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9BA9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200 </w:t>
            </w:r>
          </w:p>
        </w:tc>
      </w:tr>
      <w:tr w14:paraId="7D87CED1">
        <w:tblPrEx>
          <w:tblCellMar>
            <w:top w:w="0" w:type="dxa"/>
            <w:left w:w="0" w:type="dxa"/>
            <w:bottom w:w="0" w:type="dxa"/>
            <w:right w:w="0" w:type="dxa"/>
          </w:tblCellMar>
        </w:tblPrEx>
        <w:trPr>
          <w:trHeight w:val="454" w:hRule="atLeast"/>
          <w:jc w:val="center"/>
        </w:trPr>
        <w:tc>
          <w:tcPr>
            <w:tcW w:w="3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000D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1"/>
                <w:szCs w:val="21"/>
                <w:highlight w:val="none"/>
                <w:u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3195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300型以下</w:t>
            </w:r>
          </w:p>
        </w:tc>
        <w:tc>
          <w:tcPr>
            <w:tcW w:w="2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28CF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267 </w:t>
            </w:r>
          </w:p>
        </w:tc>
      </w:tr>
      <w:tr w14:paraId="7BCCFEC2">
        <w:tblPrEx>
          <w:tblCellMar>
            <w:top w:w="0" w:type="dxa"/>
            <w:left w:w="0" w:type="dxa"/>
            <w:bottom w:w="0" w:type="dxa"/>
            <w:right w:w="0" w:type="dxa"/>
          </w:tblCellMar>
        </w:tblPrEx>
        <w:trPr>
          <w:trHeight w:val="454" w:hRule="atLeast"/>
          <w:jc w:val="center"/>
        </w:trPr>
        <w:tc>
          <w:tcPr>
            <w:tcW w:w="3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23F2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1"/>
                <w:szCs w:val="21"/>
                <w:highlight w:val="none"/>
                <w:u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2860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400型以下</w:t>
            </w:r>
          </w:p>
        </w:tc>
        <w:tc>
          <w:tcPr>
            <w:tcW w:w="2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6626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375 </w:t>
            </w:r>
          </w:p>
        </w:tc>
      </w:tr>
      <w:tr w14:paraId="6F723662">
        <w:tblPrEx>
          <w:tblCellMar>
            <w:top w:w="0" w:type="dxa"/>
            <w:left w:w="0" w:type="dxa"/>
            <w:bottom w:w="0" w:type="dxa"/>
            <w:right w:w="0" w:type="dxa"/>
          </w:tblCellMar>
        </w:tblPrEx>
        <w:trPr>
          <w:trHeight w:val="454" w:hRule="atLeast"/>
          <w:jc w:val="center"/>
        </w:trPr>
        <w:tc>
          <w:tcPr>
            <w:tcW w:w="38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979CD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1"/>
                <w:szCs w:val="21"/>
                <w:highlight w:val="none"/>
                <w:u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2604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500型以下</w:t>
            </w:r>
          </w:p>
        </w:tc>
        <w:tc>
          <w:tcPr>
            <w:tcW w:w="2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4321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455 </w:t>
            </w:r>
          </w:p>
        </w:tc>
      </w:tr>
      <w:tr w14:paraId="7B030A51">
        <w:tblPrEx>
          <w:tblCellMar>
            <w:top w:w="0" w:type="dxa"/>
            <w:left w:w="0" w:type="dxa"/>
            <w:bottom w:w="0" w:type="dxa"/>
            <w:right w:w="0" w:type="dxa"/>
          </w:tblCellMar>
        </w:tblPrEx>
        <w:trPr>
          <w:trHeight w:val="454" w:hRule="atLeast"/>
          <w:jc w:val="center"/>
        </w:trPr>
        <w:tc>
          <w:tcPr>
            <w:tcW w:w="3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D8D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推土机</w:t>
            </w: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6DA8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160</w:t>
            </w:r>
          </w:p>
        </w:tc>
        <w:tc>
          <w:tcPr>
            <w:tcW w:w="2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B6BE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262 </w:t>
            </w:r>
          </w:p>
        </w:tc>
      </w:tr>
    </w:tbl>
    <w:p w14:paraId="1B107351">
      <w:pPr>
        <w:pStyle w:val="39"/>
        <w:keepNext w:val="0"/>
        <w:keepLines w:val="0"/>
        <w:pageBreakBefore w:val="0"/>
        <w:widowControl w:val="0"/>
        <w:kinsoku/>
        <w:wordWrap/>
        <w:overflowPunct/>
        <w:topLinePunct w:val="0"/>
        <w:autoSpaceDE/>
        <w:autoSpaceDN/>
        <w:bidi w:val="0"/>
        <w:adjustRightInd/>
        <w:snapToGrid/>
        <w:spacing w:before="153" w:beforeLines="50" w:line="360" w:lineRule="auto"/>
        <w:textAlignment w:val="auto"/>
        <w:rPr>
          <w:rFonts w:hint="default"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注：打堆、装车、转运工作实施前须经招标人同意，具体按招标人要求执行。</w:t>
      </w:r>
    </w:p>
    <w:p w14:paraId="5A815586">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rFonts w:hint="default" w:ascii="宋体" w:hAnsi="Calibri" w:eastAsia="宋体" w:cs="Times New Roman"/>
          <w:b/>
          <w:bCs/>
          <w:color w:val="auto"/>
          <w:sz w:val="24"/>
          <w:szCs w:val="24"/>
          <w:highlight w:val="none"/>
          <w:lang w:val="en-US" w:eastAsia="zh-CN"/>
        </w:rPr>
      </w:pPr>
      <w:r>
        <w:rPr>
          <w:rFonts w:hint="eastAsia" w:ascii="宋体" w:hAnsi="Calibri" w:eastAsia="宋体" w:cs="Times New Roman"/>
          <w:b/>
          <w:bCs/>
          <w:color w:val="auto"/>
          <w:sz w:val="24"/>
          <w:szCs w:val="24"/>
          <w:highlight w:val="none"/>
          <w:lang w:val="en-US" w:eastAsia="zh-CN"/>
        </w:rPr>
        <w:t>3、报价说明</w:t>
      </w:r>
    </w:p>
    <w:p w14:paraId="463A9449">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投标人报价必须是唯一报价，任何有选择性的报价或出现多个报价的情况将导致投标无效。投标人应当充分了解项目情况，根据项目服务需求，结合工作量、市场和政策变化因素、潜在风险以及自身实力等方面，理性、审慎报价。</w:t>
      </w:r>
    </w:p>
    <w:p w14:paraId="5F35208E">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报价时，例如：对应的最高限价为100元，投标人拟以90元承接服务，则报价折扣（百分比）为90.00%；投标人拟以75元承接服务，则报价折扣（百分比）为75.00%；以此类推。90.00%相对于75.00%，75.00%为低报价、90.00%为高报价，折扣（百分比）报价最多保留小数点后两位。所举示例以及使用的数据仅为帮助投标人理解，不具有任何价格引导性。</w:t>
      </w:r>
    </w:p>
    <w:p w14:paraId="158B9E55">
      <w:pPr>
        <w:widowControl w:val="0"/>
        <w:numPr>
          <w:ilvl w:val="0"/>
          <w:numId w:val="0"/>
        </w:numPr>
        <w:spacing w:line="360" w:lineRule="auto"/>
        <w:ind w:firstLine="480" w:firstLineChars="200"/>
        <w:jc w:val="both"/>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按照投标人统一折扣（百分比）报价与石料运输服务、机械台班服务单价最高限价的乘积结果，确定每项服务的合同单价，该单价包含完成本项目单项服务工作所需的一切费用，包括但不限于人员成本、车辆和机械设备成本（含折旧）、维保成本、燃料及零星材料、高速通行、交通违法处理、交通事故处理、保险成本、环保、运输通道维护、员工教育培训、安全生产管理，以及企业自身的管理费用、税费、利润、责任和风险成本等一切费用。</w:t>
      </w:r>
    </w:p>
    <w:p w14:paraId="01D63B20">
      <w:pPr>
        <w:pStyle w:val="3"/>
        <w:wordWrap w:val="0"/>
        <w:adjustRightInd/>
        <w:spacing w:before="156" w:beforeLines="50" w:after="156" w:afterLines="50" w:line="360" w:lineRule="auto"/>
        <w:ind w:firstLine="482" w:firstLineChars="200"/>
        <w:jc w:val="both"/>
        <w:textAlignment w:val="auto"/>
        <w:rPr>
          <w:rFonts w:hint="default" w:ascii="宋体" w:hAnsi="宋体" w:eastAsia="宋体" w:cs="宋体"/>
          <w:b/>
          <w:bCs/>
          <w:color w:val="auto"/>
          <w:sz w:val="24"/>
          <w:szCs w:val="24"/>
          <w:highlight w:val="none"/>
          <w:lang w:val="en-US" w:eastAsia="zh-CN"/>
        </w:rPr>
      </w:pPr>
      <w:bookmarkStart w:id="159" w:name="_Toc528"/>
      <w:r>
        <w:rPr>
          <w:rFonts w:hint="eastAsia" w:ascii="宋体" w:hAnsi="宋体" w:eastAsia="宋体" w:cs="宋体"/>
          <w:b/>
          <w:bCs/>
          <w:color w:val="auto"/>
          <w:sz w:val="24"/>
          <w:szCs w:val="24"/>
          <w:highlight w:val="none"/>
          <w:lang w:val="en-US" w:eastAsia="zh-CN"/>
        </w:rPr>
        <w:t>六、结算与付款</w:t>
      </w:r>
      <w:bookmarkEnd w:id="159"/>
    </w:p>
    <w:p w14:paraId="4B7B46AD">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按照投标人统一折扣（百分比）报价与石料运输服务、机械台班服务单价最高限价的乘积结果，确定每项服务的合同单价，根据合同单价和经招标人认可的中标人完成的工作量计算服务费用，每3个月为一个结算、支付周期（其中，</w:t>
      </w:r>
      <w:r>
        <w:rPr>
          <w:rFonts w:hint="eastAsia" w:ascii="宋体" w:hAnsi="宋体" w:cs="宋体"/>
          <w:color w:val="auto"/>
          <w:sz w:val="24"/>
          <w:szCs w:val="22"/>
          <w:highlight w:val="none"/>
          <w:lang w:val="en-US" w:eastAsia="zh-CN"/>
        </w:rPr>
        <w:t>成品石料转运</w:t>
      </w:r>
      <w:r>
        <w:rPr>
          <w:rFonts w:hint="eastAsia" w:ascii="宋体" w:hAnsi="宋体" w:eastAsia="宋体" w:cs="宋体"/>
          <w:color w:val="auto"/>
          <w:sz w:val="24"/>
          <w:szCs w:val="22"/>
          <w:highlight w:val="none"/>
          <w:lang w:val="en-US" w:eastAsia="zh-CN"/>
        </w:rPr>
        <w:t>服务的</w:t>
      </w:r>
      <w:r>
        <w:rPr>
          <w:rFonts w:hint="eastAsia" w:ascii="宋体" w:hAnsi="宋体" w:cs="宋体"/>
          <w:color w:val="auto"/>
          <w:sz w:val="24"/>
          <w:szCs w:val="22"/>
          <w:highlight w:val="none"/>
          <w:lang w:val="en-US" w:eastAsia="zh-CN"/>
        </w:rPr>
        <w:t>相关</w:t>
      </w:r>
      <w:r>
        <w:rPr>
          <w:rFonts w:hint="eastAsia" w:ascii="宋体" w:hAnsi="宋体" w:eastAsia="宋体" w:cs="宋体"/>
          <w:color w:val="auto"/>
          <w:sz w:val="24"/>
          <w:szCs w:val="22"/>
          <w:highlight w:val="none"/>
          <w:lang w:val="en-US" w:eastAsia="zh-CN"/>
        </w:rPr>
        <w:t>费用须根据实际销售量结算、支付，结算周期同上）。涉及根据考核对中标人进行扣款、收取违约金的，在结算服务费用时扣除。</w:t>
      </w:r>
    </w:p>
    <w:p w14:paraId="5E6337A9">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2、一个结算周期内的结算价款确定后，中标人开具招标人认可的增值税发票（金</w:t>
      </w:r>
      <w:r>
        <w:rPr>
          <w:rFonts w:hint="eastAsia" w:ascii="宋体" w:hAnsi="宋体" w:eastAsia="宋体" w:cs="宋体"/>
          <w:b w:val="0"/>
          <w:bCs w:val="0"/>
          <w:color w:val="auto"/>
          <w:sz w:val="24"/>
          <w:szCs w:val="22"/>
          <w:highlight w:val="none"/>
          <w:lang w:val="en-US" w:eastAsia="zh-CN"/>
        </w:rPr>
        <w:t>额为结算价款+票面增值税），招标人于收到发票后</w:t>
      </w:r>
      <w:r>
        <w:rPr>
          <w:rFonts w:hint="eastAsia" w:ascii="宋体" w:hAnsi="宋体" w:cs="宋体"/>
          <w:b w:val="0"/>
          <w:bCs w:val="0"/>
          <w:color w:val="auto"/>
          <w:sz w:val="24"/>
          <w:szCs w:val="22"/>
          <w:highlight w:val="none"/>
          <w:lang w:val="en-US" w:eastAsia="zh-CN"/>
        </w:rPr>
        <w:t>15个工作日</w:t>
      </w:r>
      <w:r>
        <w:rPr>
          <w:rFonts w:hint="eastAsia" w:ascii="宋体" w:hAnsi="宋体" w:eastAsia="宋体" w:cs="宋体"/>
          <w:b w:val="0"/>
          <w:bCs w:val="0"/>
          <w:color w:val="auto"/>
          <w:sz w:val="24"/>
          <w:szCs w:val="22"/>
          <w:highlight w:val="none"/>
          <w:lang w:val="en-US" w:eastAsia="zh-CN"/>
        </w:rPr>
        <w:t>内支付发票金额的70%，</w:t>
      </w:r>
      <w:r>
        <w:rPr>
          <w:rFonts w:hint="eastAsia" w:ascii="宋体" w:hAnsi="宋体" w:eastAsia="宋体" w:cs="宋体"/>
          <w:color w:val="auto"/>
          <w:sz w:val="24"/>
          <w:szCs w:val="22"/>
          <w:highlight w:val="none"/>
          <w:lang w:val="en-US" w:eastAsia="zh-CN"/>
        </w:rPr>
        <w:t>余款30%在年度考核后依据考核结果支付。</w:t>
      </w:r>
    </w:p>
    <w:p w14:paraId="6BBB77D0">
      <w:pPr>
        <w:widowControl w:val="0"/>
        <w:numPr>
          <w:ilvl w:val="0"/>
          <w:numId w:val="0"/>
        </w:numPr>
        <w:spacing w:line="360" w:lineRule="auto"/>
        <w:ind w:firstLine="482" w:firstLineChars="200"/>
        <w:jc w:val="both"/>
        <w:rPr>
          <w:rFonts w:hint="default" w:ascii="宋体" w:hAnsi="宋体" w:eastAsia="宋体" w:cs="宋体"/>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本项目</w:t>
      </w:r>
      <w:r>
        <w:rPr>
          <w:rFonts w:hint="eastAsia" w:ascii="宋体" w:hAnsi="宋体" w:cs="宋体"/>
          <w:b/>
          <w:bCs/>
          <w:color w:val="auto"/>
          <w:sz w:val="24"/>
          <w:szCs w:val="22"/>
          <w:highlight w:val="none"/>
          <w:lang w:val="en-US" w:eastAsia="zh-CN"/>
        </w:rPr>
        <w:t>服务费用</w:t>
      </w:r>
      <w:r>
        <w:rPr>
          <w:rFonts w:hint="eastAsia" w:ascii="宋体" w:hAnsi="宋体" w:eastAsia="宋体" w:cs="宋体"/>
          <w:b/>
          <w:bCs/>
          <w:color w:val="auto"/>
          <w:sz w:val="24"/>
          <w:szCs w:val="22"/>
          <w:highlight w:val="none"/>
          <w:lang w:val="en-US" w:eastAsia="zh-CN"/>
        </w:rPr>
        <w:t>据实结算，</w:t>
      </w:r>
      <w:r>
        <w:rPr>
          <w:rFonts w:hint="eastAsia" w:ascii="宋体" w:hAnsi="宋体" w:eastAsia="宋体" w:cs="宋体"/>
          <w:color w:val="auto"/>
          <w:sz w:val="24"/>
          <w:szCs w:val="24"/>
          <w:highlight w:val="none"/>
          <w:lang w:val="en-US" w:eastAsia="zh-CN"/>
        </w:rPr>
        <w:t>招标人不保证服务期内中标人的最低工作量和最低结算金额。</w:t>
      </w:r>
      <w:r>
        <w:rPr>
          <w:rFonts w:hint="eastAsia" w:ascii="宋体" w:hAnsi="宋体" w:cs="宋体"/>
          <w:color w:val="auto"/>
          <w:sz w:val="24"/>
          <w:szCs w:val="24"/>
          <w:highlight w:val="none"/>
          <w:lang w:val="en-US" w:eastAsia="zh-CN"/>
        </w:rPr>
        <w:t>服务期内招标人结算支付金额以本项目预算金额为限，服务期满或达到支付金额上限，则本项目终止。</w:t>
      </w:r>
    </w:p>
    <w:p w14:paraId="130C0973">
      <w:pPr>
        <w:pStyle w:val="3"/>
        <w:wordWrap w:val="0"/>
        <w:adjustRightInd/>
        <w:spacing w:before="156" w:beforeLines="50" w:after="156" w:afterLines="50"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bookmarkStart w:id="160" w:name="_Toc14936"/>
      <w:r>
        <w:rPr>
          <w:rFonts w:hint="eastAsia" w:ascii="宋体" w:hAnsi="宋体" w:eastAsia="宋体" w:cs="宋体"/>
          <w:b/>
          <w:bCs/>
          <w:color w:val="auto"/>
          <w:sz w:val="24"/>
          <w:szCs w:val="24"/>
          <w:highlight w:val="none"/>
          <w:lang w:val="en-US" w:eastAsia="zh-CN"/>
        </w:rPr>
        <w:t>七、考核管理</w:t>
      </w:r>
      <w:bookmarkEnd w:id="160"/>
    </w:p>
    <w:p w14:paraId="57F0DCC0">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为加强对中标人管理，高效完成运输等服务工作，本项目对运输企业履约情况实施考核管理。日常考核频次为每季度（3个月）一次，年度考核为每年一次。</w:t>
      </w:r>
    </w:p>
    <w:p w14:paraId="676D9006">
      <w:pPr>
        <w:widowControl w:val="0"/>
        <w:numPr>
          <w:ilvl w:val="0"/>
          <w:numId w:val="0"/>
        </w:numPr>
        <w:spacing w:line="360" w:lineRule="auto"/>
        <w:ind w:firstLine="480" w:firstLineChars="200"/>
        <w:jc w:val="both"/>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1、考核内容主要包括人员管理、车辆管理、服务质量和其他管理等。</w:t>
      </w:r>
    </w:p>
    <w:p w14:paraId="46B3DC17">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2、考核结果分为优秀、良好、合格和不合格四个等次，考核结果将运用于服务费用结算和合同管理等方面。考核不合格的将进行相应的违约处罚和处理。合同履约过程中，季度或年度考核不合格的，招标人有权中止或终止合同。</w:t>
      </w:r>
    </w:p>
    <w:p w14:paraId="772AE94A">
      <w:pPr>
        <w:pStyle w:val="3"/>
        <w:wordWrap w:val="0"/>
        <w:adjustRightInd/>
        <w:spacing w:before="156" w:beforeLines="50" w:after="156" w:afterLines="50" w:line="360" w:lineRule="auto"/>
        <w:ind w:firstLine="482" w:firstLineChars="200"/>
        <w:jc w:val="both"/>
        <w:textAlignment w:val="auto"/>
        <w:rPr>
          <w:rFonts w:hint="default" w:ascii="宋体" w:hAnsi="宋体" w:eastAsia="宋体" w:cs="宋体"/>
          <w:b/>
          <w:bCs/>
          <w:color w:val="auto"/>
          <w:sz w:val="24"/>
          <w:szCs w:val="24"/>
          <w:highlight w:val="none"/>
          <w:lang w:val="en-US" w:eastAsia="zh-CN"/>
        </w:rPr>
      </w:pPr>
      <w:bookmarkStart w:id="161" w:name="_Toc23334"/>
      <w:r>
        <w:rPr>
          <w:rFonts w:hint="eastAsia" w:ascii="宋体" w:hAnsi="宋体" w:eastAsia="宋体" w:cs="宋体"/>
          <w:b/>
          <w:bCs/>
          <w:color w:val="auto"/>
          <w:sz w:val="24"/>
          <w:szCs w:val="24"/>
          <w:highlight w:val="none"/>
          <w:lang w:val="en-US" w:eastAsia="zh-CN"/>
        </w:rPr>
        <w:t>八、管理要求</w:t>
      </w:r>
      <w:bookmarkEnd w:id="161"/>
    </w:p>
    <w:p w14:paraId="2E15D3F8">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1、本项目禁止分包、转包。如发现分包、转包的，经调查核实后招标人有权终止合同。</w:t>
      </w:r>
    </w:p>
    <w:p w14:paraId="2B84AD08">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2、合同履约期间，中标人所发生的任何交通事故、意外事件或其他经济与法律纠纷等均由中标人自行负责处理解决，给招标人造成损失的由中标人无条件赔偿。</w:t>
      </w:r>
    </w:p>
    <w:p w14:paraId="26C834A8">
      <w:pPr>
        <w:widowControl w:val="0"/>
        <w:numPr>
          <w:ilvl w:val="0"/>
          <w:numId w:val="0"/>
        </w:numPr>
        <w:spacing w:line="360" w:lineRule="auto"/>
        <w:ind w:firstLine="480" w:firstLineChars="200"/>
        <w:jc w:val="both"/>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中标人存在违约行为，招标人可以从中标人履约保证金中扣除应予支付的违约金；如无违法、违规、违约行为，服务期满后，履约保证金无息退还。因中标人违约，招标人从履约保证金中收取违约金的，中标人须在扣除之日起5个工作日内补齐履约保证金，否则招标人有权解除合同。招标人追究中标人各项违约责任的处置并不免除按法律、法规规定应当由中标人承担的责任等。</w:t>
      </w:r>
    </w:p>
    <w:p w14:paraId="19238259">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4、中标人为安全生产责任人，应当严格执行安全生产规章制度，落实各项保障措施，服务过程中应当设立标识牌及警示标志和必要的安全防范设施。加强对其项目人员进行安全教育；对其人员所发生的安全责任事故自行承担，对其人员及第三人的赔偿责任均不涉及</w:t>
      </w:r>
      <w:r>
        <w:rPr>
          <w:rFonts w:hint="eastAsia" w:ascii="宋体" w:hAnsi="宋体" w:cs="宋体"/>
          <w:color w:val="auto"/>
          <w:sz w:val="24"/>
          <w:szCs w:val="22"/>
          <w:highlight w:val="none"/>
          <w:lang w:val="en-US" w:eastAsia="zh-CN"/>
        </w:rPr>
        <w:t>招标人</w:t>
      </w:r>
      <w:r>
        <w:rPr>
          <w:rFonts w:hint="eastAsia" w:ascii="宋体" w:hAnsi="宋体" w:eastAsia="宋体" w:cs="宋体"/>
          <w:color w:val="auto"/>
          <w:sz w:val="24"/>
          <w:szCs w:val="22"/>
          <w:highlight w:val="none"/>
          <w:lang w:val="en-US" w:eastAsia="zh-CN"/>
        </w:rPr>
        <w:t>及资源所有权方。</w:t>
      </w:r>
    </w:p>
    <w:p w14:paraId="7893AB3C">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5</w:t>
      </w:r>
      <w:r>
        <w:rPr>
          <w:rFonts w:hint="eastAsia" w:ascii="宋体" w:hAnsi="宋体" w:eastAsia="宋体" w:cs="宋体"/>
          <w:color w:val="auto"/>
          <w:sz w:val="24"/>
          <w:szCs w:val="22"/>
          <w:highlight w:val="none"/>
          <w:lang w:val="en-US" w:eastAsia="zh-CN"/>
        </w:rPr>
        <w:t>、合同履约期间，如政策调整、不可抗力或招标人生产经营等因素导致运输任务提前结束，招标人无法继续履约的，招标人有权与中标人解除合同而不承担任何违约责任，因解除合同而给中标人带来的损失完全由中标人自行承担，招标人不作任何赔偿或补偿。</w:t>
      </w:r>
    </w:p>
    <w:p w14:paraId="0855E041">
      <w:pPr>
        <w:pStyle w:val="3"/>
        <w:adjustRightInd w:val="0"/>
        <w:spacing w:before="72" w:beforeLines="30" w:after="72" w:afterLines="30" w:line="360" w:lineRule="auto"/>
        <w:ind w:firstLine="482" w:firstLineChars="200"/>
        <w:jc w:val="both"/>
        <w:textAlignment w:val="baseline"/>
        <w:rPr>
          <w:rFonts w:hint="eastAsia" w:ascii="宋体" w:hAnsi="宋体" w:eastAsia="宋体" w:cs="宋体"/>
          <w:b/>
          <w:bCs/>
          <w:color w:val="auto"/>
          <w:sz w:val="24"/>
          <w:szCs w:val="24"/>
          <w:highlight w:val="none"/>
          <w:lang w:val="en-US" w:eastAsia="zh-CN"/>
        </w:rPr>
      </w:pPr>
      <w:bookmarkStart w:id="162" w:name="_Toc21246"/>
      <w:r>
        <w:rPr>
          <w:rFonts w:hint="eastAsia" w:ascii="宋体" w:hAnsi="宋体" w:eastAsia="宋体" w:cs="宋体"/>
          <w:b/>
          <w:bCs/>
          <w:color w:val="auto"/>
          <w:sz w:val="24"/>
          <w:szCs w:val="24"/>
          <w:highlight w:val="none"/>
          <w:lang w:val="en-US" w:eastAsia="zh-CN"/>
        </w:rPr>
        <w:t>九、风险提示</w:t>
      </w:r>
      <w:bookmarkEnd w:id="162"/>
    </w:p>
    <w:p w14:paraId="411836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2"/>
          <w:highlight w:val="none"/>
          <w:lang w:val="en-US" w:eastAsia="zh-CN"/>
        </w:rPr>
        <w:t>1、</w:t>
      </w:r>
      <w:r>
        <w:rPr>
          <w:rFonts w:hint="eastAsia" w:ascii="宋体" w:hAnsi="宋体" w:eastAsia="宋体" w:cs="宋体"/>
          <w:color w:val="auto"/>
          <w:sz w:val="24"/>
          <w:szCs w:val="24"/>
          <w:highlight w:val="none"/>
          <w:lang w:val="en-US" w:eastAsia="zh-CN"/>
        </w:rPr>
        <w:t>中标人无正当理由不与招标人订立合同，应当承担相应的法律责任。参加本项目投标的投标人，应当认真阅读招标文件的有关规定和要求，充分理解项目招标需求，同时进行必要的现场踏勘、积极做好市场调研等投标前的各项准备工作，如对招标文件相关内容存在任何疑问，可按照投标人须知前附表的规定等合法途径提出。投标人一旦中标，不得以对招标文件存在误解、人员无法履职、车辆和机械设备</w:t>
      </w:r>
      <w:r>
        <w:rPr>
          <w:rFonts w:hint="eastAsia" w:ascii="宋体" w:hAnsi="宋体" w:cs="宋体"/>
          <w:color w:val="auto"/>
          <w:sz w:val="24"/>
          <w:szCs w:val="24"/>
          <w:highlight w:val="none"/>
          <w:lang w:val="en-US" w:eastAsia="zh-CN"/>
        </w:rPr>
        <w:t>等资源不足或</w:t>
      </w:r>
      <w:r>
        <w:rPr>
          <w:rFonts w:hint="eastAsia" w:ascii="宋体" w:hAnsi="宋体" w:eastAsia="宋体" w:cs="宋体"/>
          <w:color w:val="auto"/>
          <w:sz w:val="24"/>
          <w:szCs w:val="24"/>
          <w:highlight w:val="none"/>
          <w:lang w:val="en-US" w:eastAsia="zh-CN"/>
        </w:rPr>
        <w:t>无法调配、企业资金困难、投标价格低、投标报价失误等类似理由放弃中标资格或拒绝签订合同。</w:t>
      </w:r>
    </w:p>
    <w:p w14:paraId="7F71A73E">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lang w:val="en-US" w:eastAsia="zh-CN"/>
        </w:rPr>
        <w:t>、本项目要求中标人具备稳定的自有运输车辆和驾驶员，随时待命开展运输服务工作。招标人安排运输工作任务时，经招标人登记认可的中标人自有运输车辆及机械设备须在</w:t>
      </w: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lang w:val="en-US" w:eastAsia="zh-CN"/>
        </w:rPr>
        <w:t>小时内到达指定运输地点并开展工作，如遇紧急工作任务或须进行应急处置时，经招标人登记认可的中标人自有运输车辆及机械设备须在1小时内到达指定地点并开展工作。中标人未能达到招标人要求的时限开展工作、完成工作任务的，累计3次（含）以上的，招标人有权解除合同。</w:t>
      </w:r>
    </w:p>
    <w:p w14:paraId="0192BA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2"/>
          <w:highlight w:val="none"/>
          <w:lang w:val="en-US" w:eastAsia="zh-CN"/>
        </w:rPr>
        <w:t>3</w:t>
      </w:r>
      <w:r>
        <w:rPr>
          <w:rFonts w:hint="eastAsia" w:ascii="宋体" w:hAnsi="宋体" w:eastAsia="宋体" w:cs="宋体"/>
          <w:b w:val="0"/>
          <w:bCs w:val="0"/>
          <w:color w:val="auto"/>
          <w:sz w:val="24"/>
          <w:szCs w:val="22"/>
          <w:highlight w:val="none"/>
          <w:lang w:val="en-US" w:eastAsia="zh-CN"/>
        </w:rPr>
        <w:t>、</w:t>
      </w:r>
      <w:r>
        <w:rPr>
          <w:rFonts w:hint="eastAsia" w:ascii="宋体" w:hAnsi="宋体" w:eastAsia="宋体" w:cs="宋体"/>
          <w:color w:val="auto"/>
          <w:sz w:val="24"/>
          <w:szCs w:val="22"/>
          <w:highlight w:val="none"/>
          <w:lang w:val="en-US" w:eastAsia="zh-CN"/>
        </w:rPr>
        <w:t>金寨县位于大别山区，</w:t>
      </w:r>
      <w:r>
        <w:rPr>
          <w:rFonts w:hint="eastAsia" w:ascii="宋体" w:hAnsi="宋体" w:eastAsia="宋体" w:cs="宋体"/>
          <w:color w:val="auto"/>
          <w:sz w:val="24"/>
          <w:szCs w:val="24"/>
          <w:highlight w:val="none"/>
          <w:lang w:val="en-US" w:eastAsia="zh-CN"/>
        </w:rPr>
        <w:t>投标人应充分考虑山区地形及道路状况、</w:t>
      </w:r>
      <w:r>
        <w:rPr>
          <w:rFonts w:hint="eastAsia" w:ascii="宋体" w:hAnsi="宋体" w:eastAsia="宋体" w:cs="宋体"/>
          <w:color w:val="auto"/>
          <w:sz w:val="24"/>
          <w:szCs w:val="22"/>
          <w:highlight w:val="none"/>
          <w:lang w:val="en-US" w:eastAsia="zh-CN"/>
        </w:rPr>
        <w:t>气候条件等因素</w:t>
      </w:r>
      <w:r>
        <w:rPr>
          <w:rFonts w:hint="eastAsia" w:ascii="宋体" w:hAnsi="宋体" w:eastAsia="宋体" w:cs="宋体"/>
          <w:color w:val="auto"/>
          <w:sz w:val="24"/>
          <w:szCs w:val="24"/>
          <w:highlight w:val="none"/>
          <w:lang w:val="en-US" w:eastAsia="zh-CN"/>
        </w:rPr>
        <w:t>，配置车辆状况良好且具有山区道路驾驶经验的驾驶人员，避免中标后无法完成工作任务。</w:t>
      </w:r>
    </w:p>
    <w:p w14:paraId="56A39DB9">
      <w:pPr>
        <w:pStyle w:val="3"/>
        <w:adjustRightInd w:val="0"/>
        <w:spacing w:before="72" w:beforeLines="30" w:after="72" w:afterLines="30" w:line="360" w:lineRule="auto"/>
        <w:ind w:firstLine="482" w:firstLineChars="200"/>
        <w:jc w:val="both"/>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十、违约责任</w:t>
      </w:r>
    </w:p>
    <w:p w14:paraId="35F90925">
      <w:pPr>
        <w:keepNext w:val="0"/>
        <w:keepLines w:val="0"/>
        <w:pageBreakBefore w:val="0"/>
        <w:widowControl w:val="0"/>
        <w:tabs>
          <w:tab w:val="left" w:pos="1512"/>
        </w:tabs>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0"/>
          <w:sz w:val="24"/>
          <w:szCs w:val="24"/>
          <w:highlight w:val="none"/>
          <w:lang w:val="en-US" w:eastAsia="zh-CN"/>
        </w:rPr>
        <w:t>中标人在投标时配备的车辆、机械和设备以及项目管理人员，在综合评分中享受了加分待遇的，在</w:t>
      </w:r>
      <w:r>
        <w:rPr>
          <w:rFonts w:hint="eastAsia" w:ascii="宋体" w:hAnsi="宋体" w:cs="宋体"/>
          <w:color w:val="auto"/>
          <w:kern w:val="0"/>
          <w:sz w:val="24"/>
          <w:szCs w:val="24"/>
          <w:highlight w:val="none"/>
          <w:lang w:val="zh-CN"/>
        </w:rPr>
        <w:t>项目实施过程中不得擅自更换，确需更换的，需向</w:t>
      </w:r>
      <w:r>
        <w:rPr>
          <w:rFonts w:hint="eastAsia" w:ascii="宋体" w:hAnsi="宋体" w:cs="宋体"/>
          <w:color w:val="auto"/>
          <w:kern w:val="0"/>
          <w:sz w:val="24"/>
          <w:szCs w:val="24"/>
          <w:highlight w:val="none"/>
          <w:lang w:val="en-US" w:eastAsia="zh-CN"/>
        </w:rPr>
        <w:t>招标人</w:t>
      </w:r>
      <w:r>
        <w:rPr>
          <w:rFonts w:hint="eastAsia" w:ascii="宋体" w:hAnsi="宋体" w:cs="宋体"/>
          <w:color w:val="auto"/>
          <w:kern w:val="0"/>
          <w:sz w:val="24"/>
          <w:szCs w:val="24"/>
          <w:highlight w:val="none"/>
          <w:lang w:val="zh-CN"/>
        </w:rPr>
        <w:t>提出申请，经</w:t>
      </w:r>
      <w:r>
        <w:rPr>
          <w:rFonts w:hint="eastAsia" w:ascii="宋体" w:hAnsi="宋体" w:cs="宋体"/>
          <w:color w:val="auto"/>
          <w:kern w:val="0"/>
          <w:sz w:val="24"/>
          <w:szCs w:val="24"/>
          <w:highlight w:val="none"/>
          <w:lang w:val="en-US" w:eastAsia="zh-CN"/>
        </w:rPr>
        <w:t>中标人</w:t>
      </w:r>
      <w:r>
        <w:rPr>
          <w:rFonts w:hint="eastAsia" w:ascii="宋体" w:hAnsi="宋体" w:cs="宋体"/>
          <w:color w:val="auto"/>
          <w:kern w:val="0"/>
          <w:sz w:val="24"/>
          <w:szCs w:val="24"/>
          <w:highlight w:val="none"/>
          <w:lang w:val="zh-CN"/>
        </w:rPr>
        <w:t>同意方可</w:t>
      </w:r>
      <w:r>
        <w:rPr>
          <w:rFonts w:hint="eastAsia" w:ascii="宋体" w:hAnsi="宋体" w:cs="宋体"/>
          <w:color w:val="auto"/>
          <w:kern w:val="0"/>
          <w:sz w:val="24"/>
          <w:szCs w:val="24"/>
          <w:highlight w:val="none"/>
        </w:rPr>
        <w:t>调整</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更换</w:t>
      </w:r>
      <w:r>
        <w:rPr>
          <w:rFonts w:hint="eastAsia" w:ascii="宋体" w:hAnsi="宋体" w:cs="宋体"/>
          <w:color w:val="auto"/>
          <w:kern w:val="0"/>
          <w:sz w:val="24"/>
          <w:szCs w:val="24"/>
          <w:highlight w:val="none"/>
          <w:lang w:val="zh-CN"/>
        </w:rPr>
        <w:t>。</w:t>
      </w:r>
      <w:r>
        <w:rPr>
          <w:rFonts w:hint="eastAsia" w:ascii="宋体" w:hAnsi="宋体" w:eastAsia="宋体" w:cs="宋体"/>
          <w:color w:val="auto"/>
          <w:sz w:val="24"/>
          <w:szCs w:val="24"/>
          <w:highlight w:val="none"/>
          <w:lang w:val="en-US" w:eastAsia="zh-CN"/>
        </w:rPr>
        <w:t>同时，调整、更换后招标人仍按违约对中标人</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en-US" w:eastAsia="zh-CN"/>
        </w:rPr>
        <w:t>处理，第一次按1000元向中标人收取违约金，第二次按2000元向中标人收取违约金，以此类推，违约金</w:t>
      </w:r>
      <w:r>
        <w:rPr>
          <w:rFonts w:hint="eastAsia" w:ascii="宋体" w:hAnsi="宋体" w:eastAsia="宋体" w:cs="宋体"/>
          <w:color w:val="auto"/>
          <w:sz w:val="24"/>
          <w:szCs w:val="24"/>
          <w:highlight w:val="none"/>
        </w:rPr>
        <w:t>从</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的履约保证金中</w:t>
      </w:r>
      <w:r>
        <w:rPr>
          <w:rFonts w:hint="eastAsia" w:ascii="宋体" w:hAnsi="宋体" w:eastAsia="宋体" w:cs="宋体"/>
          <w:color w:val="auto"/>
          <w:sz w:val="24"/>
          <w:szCs w:val="24"/>
          <w:highlight w:val="none"/>
          <w:lang w:val="en-US" w:eastAsia="zh-CN"/>
        </w:rPr>
        <w:t>收取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累计发生达三次以上（不含三次），招标人有权按民法典等法律法规解除合同</w:t>
      </w:r>
      <w:r>
        <w:rPr>
          <w:rFonts w:hint="eastAsia" w:ascii="宋体" w:hAnsi="宋体" w:cs="宋体"/>
          <w:color w:val="auto"/>
          <w:sz w:val="24"/>
          <w:szCs w:val="24"/>
          <w:highlight w:val="none"/>
          <w:lang w:val="en-US" w:eastAsia="zh-CN"/>
        </w:rPr>
        <w:t>，履约保证金不予退还</w:t>
      </w:r>
      <w:r>
        <w:rPr>
          <w:rFonts w:hint="eastAsia" w:ascii="宋体" w:hAnsi="宋体" w:eastAsia="宋体" w:cs="宋体"/>
          <w:color w:val="auto"/>
          <w:sz w:val="24"/>
          <w:szCs w:val="24"/>
          <w:highlight w:val="none"/>
          <w:lang w:val="en-US" w:eastAsia="zh-CN"/>
        </w:rPr>
        <w:t>。</w:t>
      </w:r>
    </w:p>
    <w:p w14:paraId="277729AB">
      <w:pPr>
        <w:keepNext w:val="0"/>
        <w:keepLines w:val="0"/>
        <w:pageBreakBefore w:val="0"/>
        <w:widowControl w:val="0"/>
        <w:tabs>
          <w:tab w:val="left" w:pos="1512"/>
        </w:tabs>
        <w:kinsoku/>
        <w:wordWrap/>
        <w:overflowPunct w:val="0"/>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2、招标人</w:t>
      </w:r>
      <w:r>
        <w:rPr>
          <w:rFonts w:hint="eastAsia" w:ascii="宋体" w:hAnsi="宋体" w:eastAsia="宋体" w:cs="宋体"/>
          <w:color w:val="auto"/>
          <w:sz w:val="24"/>
          <w:szCs w:val="24"/>
          <w:highlight w:val="none"/>
        </w:rPr>
        <w:t>发出</w:t>
      </w:r>
      <w:r>
        <w:rPr>
          <w:rFonts w:hint="eastAsia" w:ascii="宋体" w:hAnsi="宋体" w:eastAsia="宋体" w:cs="宋体"/>
          <w:color w:val="auto"/>
          <w:sz w:val="24"/>
          <w:szCs w:val="24"/>
          <w:highlight w:val="none"/>
          <w:lang w:val="en-US" w:eastAsia="zh-CN"/>
        </w:rPr>
        <w:t>运输</w:t>
      </w:r>
      <w:r>
        <w:rPr>
          <w:rFonts w:hint="eastAsia" w:ascii="宋体" w:hAnsi="宋体" w:eastAsia="宋体" w:cs="宋体"/>
          <w:color w:val="auto"/>
          <w:sz w:val="24"/>
          <w:szCs w:val="24"/>
          <w:highlight w:val="none"/>
        </w:rPr>
        <w:t>指令后，</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在约定的时限内</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rPr>
        <w:t>响应或者</w:t>
      </w:r>
      <w:r>
        <w:rPr>
          <w:rFonts w:hint="eastAsia" w:ascii="宋体" w:hAnsi="宋体" w:eastAsia="宋体" w:cs="宋体"/>
          <w:color w:val="auto"/>
          <w:sz w:val="24"/>
          <w:szCs w:val="24"/>
          <w:highlight w:val="none"/>
          <w:lang w:val="en-US" w:eastAsia="zh-CN"/>
        </w:rPr>
        <w:t>延</w:t>
      </w:r>
      <w:r>
        <w:rPr>
          <w:rFonts w:hint="eastAsia" w:ascii="宋体" w:hAnsi="宋体" w:eastAsia="宋体" w:cs="宋体"/>
          <w:color w:val="auto"/>
          <w:sz w:val="24"/>
          <w:szCs w:val="24"/>
          <w:highlight w:val="none"/>
        </w:rPr>
        <w:t>迟响应</w:t>
      </w:r>
      <w:r>
        <w:rPr>
          <w:rFonts w:hint="eastAsia" w:ascii="宋体" w:hAnsi="宋体" w:eastAsia="宋体" w:cs="宋体"/>
          <w:color w:val="auto"/>
          <w:sz w:val="24"/>
          <w:szCs w:val="24"/>
          <w:highlight w:val="none"/>
          <w:lang w:val="en-US" w:eastAsia="zh-CN"/>
        </w:rPr>
        <w:t>或消极服务</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有权调派其他车辆进行服务，所产生的费用及损失</w:t>
      </w:r>
      <w:r>
        <w:rPr>
          <w:rFonts w:hint="eastAsia" w:ascii="宋体" w:hAnsi="宋体" w:eastAsia="宋体" w:cs="宋体"/>
          <w:color w:val="auto"/>
          <w:sz w:val="24"/>
          <w:szCs w:val="24"/>
          <w:highlight w:val="none"/>
          <w:lang w:val="en-US" w:eastAsia="zh-CN"/>
        </w:rPr>
        <w:t>等由中标人承担，相关费用在结算时全额扣除。同时，招标人按违约对中标人</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en-US" w:eastAsia="zh-CN"/>
        </w:rPr>
        <w:t>处理，按1000元向中标人收取违约金，违约金</w:t>
      </w:r>
      <w:r>
        <w:rPr>
          <w:rFonts w:hint="eastAsia" w:ascii="宋体" w:hAnsi="宋体" w:eastAsia="宋体" w:cs="宋体"/>
          <w:color w:val="auto"/>
          <w:sz w:val="24"/>
          <w:szCs w:val="24"/>
          <w:highlight w:val="none"/>
        </w:rPr>
        <w:t>从</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的履约保证金中</w:t>
      </w:r>
      <w:r>
        <w:rPr>
          <w:rFonts w:hint="eastAsia" w:ascii="宋体" w:hAnsi="宋体" w:eastAsia="宋体" w:cs="宋体"/>
          <w:color w:val="auto"/>
          <w:sz w:val="24"/>
          <w:szCs w:val="24"/>
          <w:highlight w:val="none"/>
          <w:lang w:val="en-US" w:eastAsia="zh-CN"/>
        </w:rPr>
        <w:t>收取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累计发生达三次以上（不含三次），招标人有权按民法典等法律法规解除合同</w:t>
      </w:r>
      <w:r>
        <w:rPr>
          <w:rFonts w:hint="eastAsia" w:ascii="宋体" w:hAnsi="宋体" w:cs="宋体"/>
          <w:color w:val="auto"/>
          <w:sz w:val="24"/>
          <w:szCs w:val="24"/>
          <w:highlight w:val="none"/>
          <w:lang w:val="en-US" w:eastAsia="zh-CN"/>
        </w:rPr>
        <w:t>，履约保证金不予退还</w:t>
      </w:r>
      <w:r>
        <w:rPr>
          <w:rFonts w:hint="eastAsia" w:ascii="宋体" w:hAnsi="宋体" w:eastAsia="宋体" w:cs="宋体"/>
          <w:color w:val="auto"/>
          <w:sz w:val="24"/>
          <w:szCs w:val="24"/>
          <w:highlight w:val="none"/>
          <w:lang w:val="en-US" w:eastAsia="zh-CN"/>
        </w:rPr>
        <w:t>。</w:t>
      </w:r>
    </w:p>
    <w:p w14:paraId="269B4F8F">
      <w:pPr>
        <w:widowControl/>
        <w:numPr>
          <w:ilvl w:val="0"/>
          <w:numId w:val="0"/>
        </w:numPr>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3、中标人服务过程中被有关单位或个人投诉，</w:t>
      </w:r>
      <w:r>
        <w:rPr>
          <w:rFonts w:hint="eastAsia" w:ascii="宋体" w:hAnsi="宋体" w:eastAsia="宋体" w:cs="宋体"/>
          <w:color w:val="auto"/>
          <w:sz w:val="24"/>
          <w:szCs w:val="24"/>
          <w:highlight w:val="none"/>
        </w:rPr>
        <w:t>经核查属</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原因，</w:t>
      </w:r>
      <w:r>
        <w:rPr>
          <w:rFonts w:hint="eastAsia" w:ascii="宋体" w:hAnsi="宋体" w:eastAsia="宋体" w:cs="宋体"/>
          <w:color w:val="auto"/>
          <w:sz w:val="24"/>
          <w:szCs w:val="24"/>
          <w:highlight w:val="none"/>
          <w:lang w:val="en-US" w:eastAsia="zh-CN"/>
        </w:rPr>
        <w:t>并被相关行政管理单位进行处罚的，</w:t>
      </w:r>
      <w:r>
        <w:rPr>
          <w:rFonts w:hint="eastAsia" w:ascii="宋体" w:hAnsi="宋体" w:eastAsia="宋体" w:cs="宋体"/>
          <w:color w:val="auto"/>
          <w:sz w:val="24"/>
          <w:szCs w:val="24"/>
          <w:highlight w:val="none"/>
        </w:rPr>
        <w:t>扣减当次全部</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同时，招标人按违约对中标人</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en-US" w:eastAsia="zh-CN"/>
        </w:rPr>
        <w:t>处理，第一次按1000元向中标人收取违约金，第二次按2000元向中标人收取违约金，违约金</w:t>
      </w:r>
      <w:r>
        <w:rPr>
          <w:rFonts w:hint="eastAsia" w:ascii="宋体" w:hAnsi="宋体" w:eastAsia="宋体" w:cs="宋体"/>
          <w:color w:val="auto"/>
          <w:sz w:val="24"/>
          <w:szCs w:val="24"/>
          <w:highlight w:val="none"/>
        </w:rPr>
        <w:t>从</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的履约保证金中</w:t>
      </w:r>
      <w:r>
        <w:rPr>
          <w:rFonts w:hint="eastAsia" w:ascii="宋体" w:hAnsi="宋体" w:eastAsia="宋体" w:cs="宋体"/>
          <w:color w:val="auto"/>
          <w:sz w:val="24"/>
          <w:szCs w:val="24"/>
          <w:highlight w:val="none"/>
          <w:lang w:val="en-US" w:eastAsia="zh-CN"/>
        </w:rPr>
        <w:t>收取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累计发生达两次以上（不含两次），招标人有权按民法典等法律法规解除合同</w:t>
      </w:r>
      <w:r>
        <w:rPr>
          <w:rFonts w:hint="eastAsia" w:ascii="宋体" w:hAnsi="宋体" w:cs="宋体"/>
          <w:color w:val="auto"/>
          <w:sz w:val="24"/>
          <w:szCs w:val="24"/>
          <w:highlight w:val="none"/>
          <w:lang w:val="en-US" w:eastAsia="zh-CN"/>
        </w:rPr>
        <w:t>，履约保证金不予退还</w:t>
      </w:r>
      <w:r>
        <w:rPr>
          <w:rFonts w:hint="eastAsia" w:ascii="宋体" w:hAnsi="宋体" w:eastAsia="宋体" w:cs="宋体"/>
          <w:color w:val="auto"/>
          <w:sz w:val="24"/>
          <w:szCs w:val="24"/>
          <w:highlight w:val="none"/>
          <w:lang w:val="en-US" w:eastAsia="zh-CN"/>
        </w:rPr>
        <w:t>。</w:t>
      </w:r>
    </w:p>
    <w:p w14:paraId="16A0AB4D">
      <w:pPr>
        <w:widowControl/>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4、中标人车辆未</w:t>
      </w:r>
      <w:r>
        <w:rPr>
          <w:rFonts w:hint="eastAsia" w:ascii="宋体" w:hAnsi="宋体" w:eastAsia="宋体" w:cs="宋体"/>
          <w:color w:val="auto"/>
          <w:sz w:val="24"/>
          <w:szCs w:val="24"/>
          <w:highlight w:val="none"/>
          <w:lang w:eastAsia="zh-CN"/>
        </w:rPr>
        <w:t>按规定</w:t>
      </w:r>
      <w:r>
        <w:rPr>
          <w:rFonts w:hint="eastAsia" w:ascii="宋体" w:hAnsi="宋体" w:eastAsia="宋体" w:cs="宋体"/>
          <w:color w:val="auto"/>
          <w:sz w:val="24"/>
          <w:szCs w:val="24"/>
          <w:highlight w:val="none"/>
          <w:lang w:val="en-US" w:eastAsia="zh-CN"/>
        </w:rPr>
        <w:t>统一</w:t>
      </w:r>
      <w:r>
        <w:rPr>
          <w:rFonts w:hint="eastAsia" w:ascii="宋体" w:hAnsi="宋体" w:eastAsia="宋体" w:cs="宋体"/>
          <w:color w:val="auto"/>
          <w:sz w:val="24"/>
          <w:szCs w:val="24"/>
          <w:highlight w:val="none"/>
          <w:lang w:eastAsia="zh-CN"/>
        </w:rPr>
        <w:t>喷涂</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企业名称及编号、</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lang w:eastAsia="zh-CN"/>
        </w:rPr>
        <w:t>安装顶灯标志、车身颜色</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lang w:eastAsia="zh-CN"/>
        </w:rPr>
        <w:t>统一、</w:t>
      </w:r>
      <w:r>
        <w:rPr>
          <w:rFonts w:hint="eastAsia" w:ascii="宋体" w:hAnsi="宋体" w:eastAsia="宋体" w:cs="宋体"/>
          <w:color w:val="auto"/>
          <w:sz w:val="24"/>
          <w:szCs w:val="24"/>
          <w:highlight w:val="none"/>
          <w:lang w:val="en-US" w:eastAsia="zh-CN"/>
        </w:rPr>
        <w:t>未设置</w:t>
      </w:r>
      <w:r>
        <w:rPr>
          <w:rFonts w:hint="eastAsia" w:ascii="宋体" w:hAnsi="宋体" w:eastAsia="宋体" w:cs="宋体"/>
          <w:color w:val="auto"/>
          <w:sz w:val="24"/>
          <w:szCs w:val="24"/>
          <w:highlight w:val="none"/>
          <w:lang w:eastAsia="zh-CN"/>
        </w:rPr>
        <w:t>反光标识、</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lang w:eastAsia="zh-CN"/>
        </w:rPr>
        <w:t>喷涂放大号牌</w:t>
      </w:r>
      <w:r>
        <w:rPr>
          <w:rFonts w:hint="eastAsia" w:ascii="宋体" w:hAnsi="宋体" w:eastAsia="宋体" w:cs="宋体"/>
          <w:color w:val="auto"/>
          <w:sz w:val="24"/>
          <w:szCs w:val="24"/>
          <w:highlight w:val="none"/>
          <w:lang w:val="en-US" w:eastAsia="zh-CN"/>
        </w:rPr>
        <w:t>或不具备</w:t>
      </w:r>
      <w:r>
        <w:rPr>
          <w:rFonts w:hint="eastAsia" w:ascii="宋体" w:hAnsi="宋体" w:eastAsia="宋体" w:cs="宋体"/>
          <w:color w:val="auto"/>
          <w:sz w:val="24"/>
          <w:szCs w:val="24"/>
          <w:highlight w:val="none"/>
        </w:rPr>
        <w:t>防</w:t>
      </w:r>
      <w:r>
        <w:rPr>
          <w:rFonts w:hint="eastAsia" w:ascii="宋体" w:hAnsi="宋体" w:eastAsia="宋体" w:cs="宋体"/>
          <w:color w:val="auto"/>
          <w:sz w:val="24"/>
          <w:szCs w:val="24"/>
          <w:highlight w:val="none"/>
          <w:lang w:val="en-US" w:eastAsia="zh-CN"/>
        </w:rPr>
        <w:t>抛洒</w:t>
      </w:r>
      <w:r>
        <w:rPr>
          <w:rFonts w:hint="eastAsia" w:ascii="宋体" w:hAnsi="宋体" w:eastAsia="宋体" w:cs="宋体"/>
          <w:color w:val="auto"/>
          <w:sz w:val="24"/>
          <w:szCs w:val="24"/>
          <w:highlight w:val="none"/>
        </w:rPr>
        <w:t>滴落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覆盖装置的，招标人按违约对中标人</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en-US" w:eastAsia="zh-CN"/>
        </w:rPr>
        <w:t>处理，每查实一次按200元向中标人收取违约金，上不封顶，违约金</w:t>
      </w:r>
      <w:r>
        <w:rPr>
          <w:rFonts w:hint="eastAsia" w:ascii="宋体" w:hAnsi="宋体" w:eastAsia="宋体" w:cs="宋体"/>
          <w:color w:val="auto"/>
          <w:sz w:val="24"/>
          <w:szCs w:val="24"/>
          <w:highlight w:val="none"/>
        </w:rPr>
        <w:t>从</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的履约保证金中</w:t>
      </w:r>
      <w:r>
        <w:rPr>
          <w:rFonts w:hint="eastAsia" w:ascii="宋体" w:hAnsi="宋体" w:eastAsia="宋体" w:cs="宋体"/>
          <w:color w:val="auto"/>
          <w:sz w:val="24"/>
          <w:szCs w:val="24"/>
          <w:highlight w:val="none"/>
          <w:lang w:val="en-US" w:eastAsia="zh-CN"/>
        </w:rPr>
        <w:t>收取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被有关部门查处的，对当事车辆计入我公司黑名单</w:t>
      </w:r>
      <w:r>
        <w:rPr>
          <w:rFonts w:hint="eastAsia" w:ascii="仿宋_GB2312" w:hAnsi="仿宋_GB2312" w:eastAsia="仿宋_GB2312" w:cs="仿宋_GB2312"/>
          <w:color w:val="auto"/>
          <w:sz w:val="32"/>
          <w:szCs w:val="32"/>
          <w:highlight w:val="none"/>
        </w:rPr>
        <w:t>。</w:t>
      </w:r>
      <w:r>
        <w:rPr>
          <w:rFonts w:hint="eastAsia" w:ascii="宋体" w:hAnsi="宋体" w:eastAsia="宋体" w:cs="宋体"/>
          <w:color w:val="auto"/>
          <w:sz w:val="24"/>
          <w:szCs w:val="24"/>
          <w:highlight w:val="none"/>
          <w:lang w:val="en-US" w:eastAsia="zh-CN"/>
        </w:rPr>
        <w:t>情节严重的，招标人有权按民法典等法律法规解除合同</w:t>
      </w:r>
      <w:r>
        <w:rPr>
          <w:rFonts w:hint="eastAsia" w:ascii="宋体" w:hAnsi="宋体" w:cs="宋体"/>
          <w:color w:val="auto"/>
          <w:sz w:val="24"/>
          <w:szCs w:val="24"/>
          <w:highlight w:val="none"/>
          <w:lang w:val="en-US" w:eastAsia="zh-CN"/>
        </w:rPr>
        <w:t>，履约保证金不予退还</w:t>
      </w:r>
      <w:r>
        <w:rPr>
          <w:rFonts w:hint="eastAsia" w:ascii="宋体" w:hAnsi="宋体" w:eastAsia="宋体" w:cs="宋体"/>
          <w:color w:val="auto"/>
          <w:sz w:val="24"/>
          <w:szCs w:val="24"/>
          <w:highlight w:val="none"/>
          <w:lang w:val="en-US" w:eastAsia="zh-CN"/>
        </w:rPr>
        <w:t>。</w:t>
      </w:r>
    </w:p>
    <w:p w14:paraId="3CDA4891">
      <w:pPr>
        <w:widowControl/>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5、中标人</w:t>
      </w:r>
      <w:r>
        <w:rPr>
          <w:rFonts w:hint="eastAsia" w:ascii="宋体" w:hAnsi="宋体" w:eastAsia="宋体" w:cs="宋体"/>
          <w:color w:val="auto"/>
          <w:sz w:val="24"/>
          <w:szCs w:val="22"/>
          <w:highlight w:val="none"/>
          <w:lang w:val="en-US" w:eastAsia="zh-CN"/>
        </w:rPr>
        <w:t>车辆未按要求安装车辆卫星定位装置等终端设备，不能有效接入县砂石信息化管理系统试图规避监督和管理的，</w:t>
      </w:r>
      <w:r>
        <w:rPr>
          <w:rFonts w:hint="eastAsia" w:ascii="宋体" w:hAnsi="宋体" w:eastAsia="宋体" w:cs="宋体"/>
          <w:color w:val="auto"/>
          <w:sz w:val="24"/>
          <w:szCs w:val="24"/>
          <w:highlight w:val="none"/>
          <w:lang w:val="en-US" w:eastAsia="zh-CN"/>
        </w:rPr>
        <w:t>招标人按违约对中标人</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en-US" w:eastAsia="zh-CN"/>
        </w:rPr>
        <w:t>处理，每查实一次按500元向中标人收取违约金，上不封顶，违约金</w:t>
      </w:r>
      <w:r>
        <w:rPr>
          <w:rFonts w:hint="eastAsia" w:ascii="宋体" w:hAnsi="宋体" w:eastAsia="宋体" w:cs="宋体"/>
          <w:color w:val="auto"/>
          <w:sz w:val="24"/>
          <w:szCs w:val="24"/>
          <w:highlight w:val="none"/>
        </w:rPr>
        <w:t>从</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的履约保证金中</w:t>
      </w:r>
      <w:r>
        <w:rPr>
          <w:rFonts w:hint="eastAsia" w:ascii="宋体" w:hAnsi="宋体" w:eastAsia="宋体" w:cs="宋体"/>
          <w:color w:val="auto"/>
          <w:sz w:val="24"/>
          <w:szCs w:val="24"/>
          <w:highlight w:val="none"/>
          <w:lang w:val="en-US" w:eastAsia="zh-CN"/>
        </w:rPr>
        <w:t>收取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情节严重的，招标人有权按民法典等法律法规解除合同</w:t>
      </w:r>
      <w:r>
        <w:rPr>
          <w:rFonts w:hint="eastAsia" w:ascii="宋体" w:hAnsi="宋体" w:cs="宋体"/>
          <w:color w:val="auto"/>
          <w:sz w:val="24"/>
          <w:szCs w:val="24"/>
          <w:highlight w:val="none"/>
          <w:lang w:val="en-US" w:eastAsia="zh-CN"/>
        </w:rPr>
        <w:t>，履约保证金不予退还</w:t>
      </w:r>
      <w:r>
        <w:rPr>
          <w:rFonts w:hint="eastAsia" w:ascii="宋体" w:hAnsi="宋体" w:eastAsia="宋体" w:cs="宋体"/>
          <w:color w:val="auto"/>
          <w:sz w:val="24"/>
          <w:szCs w:val="24"/>
          <w:highlight w:val="none"/>
          <w:lang w:val="en-US" w:eastAsia="zh-CN"/>
        </w:rPr>
        <w:t>。</w:t>
      </w:r>
    </w:p>
    <w:p w14:paraId="664F4755">
      <w:pPr>
        <w:pStyle w:val="105"/>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中标人在运输</w:t>
      </w:r>
      <w:r>
        <w:rPr>
          <w:rFonts w:hint="eastAsia" w:ascii="宋体" w:hAnsi="宋体" w:cs="宋体"/>
          <w:color w:val="auto"/>
          <w:sz w:val="24"/>
          <w:szCs w:val="24"/>
          <w:highlight w:val="none"/>
        </w:rPr>
        <w:t>过程中存在偷运私卖</w:t>
      </w:r>
      <w:r>
        <w:rPr>
          <w:rFonts w:hint="eastAsia" w:ascii="宋体" w:hAnsi="宋体" w:cs="宋体"/>
          <w:color w:val="auto"/>
          <w:sz w:val="24"/>
          <w:szCs w:val="24"/>
          <w:highlight w:val="none"/>
          <w:lang w:val="en-US" w:eastAsia="zh-CN"/>
        </w:rPr>
        <w:t>等情形</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经查收，</w:t>
      </w:r>
      <w:r>
        <w:rPr>
          <w:rFonts w:hint="eastAsia" w:ascii="宋体" w:hAnsi="宋体" w:eastAsia="宋体" w:cs="宋体"/>
          <w:color w:val="auto"/>
          <w:sz w:val="24"/>
          <w:szCs w:val="24"/>
          <w:highlight w:val="none"/>
          <w:lang w:val="en-US" w:eastAsia="zh-CN"/>
        </w:rPr>
        <w:t>招标人按50000元/车向中标人收取违约金，上不封顶，违约金</w:t>
      </w:r>
      <w:r>
        <w:rPr>
          <w:rFonts w:hint="eastAsia" w:ascii="宋体" w:hAnsi="宋体" w:eastAsia="宋体" w:cs="宋体"/>
          <w:color w:val="auto"/>
          <w:sz w:val="24"/>
          <w:szCs w:val="24"/>
          <w:highlight w:val="none"/>
        </w:rPr>
        <w:t>从</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的履约保证金中</w:t>
      </w:r>
      <w:r>
        <w:rPr>
          <w:rFonts w:hint="eastAsia" w:ascii="宋体" w:hAnsi="宋体" w:eastAsia="宋体" w:cs="宋体"/>
          <w:color w:val="auto"/>
          <w:sz w:val="24"/>
          <w:szCs w:val="24"/>
          <w:highlight w:val="none"/>
          <w:lang w:val="en-US" w:eastAsia="zh-CN"/>
        </w:rPr>
        <w:t>收取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情节严重的，招标人有权按民法典等法律法规解除合同</w:t>
      </w:r>
      <w:r>
        <w:rPr>
          <w:rFonts w:hint="eastAsia" w:ascii="宋体" w:hAnsi="宋体" w:cs="宋体"/>
          <w:color w:val="auto"/>
          <w:sz w:val="24"/>
          <w:szCs w:val="24"/>
          <w:highlight w:val="none"/>
          <w:lang w:val="en-US" w:eastAsia="zh-CN"/>
        </w:rPr>
        <w:t>，履约保证金不予退还</w:t>
      </w:r>
      <w:r>
        <w:rPr>
          <w:rFonts w:hint="eastAsia" w:ascii="宋体" w:hAnsi="宋体" w:eastAsia="宋体" w:cs="宋体"/>
          <w:color w:val="auto"/>
          <w:sz w:val="24"/>
          <w:szCs w:val="24"/>
          <w:highlight w:val="none"/>
          <w:lang w:val="en-US" w:eastAsia="zh-CN"/>
        </w:rPr>
        <w:t>，同时</w:t>
      </w:r>
      <w:r>
        <w:rPr>
          <w:rFonts w:hint="eastAsia" w:ascii="宋体" w:hAnsi="宋体" w:cs="宋体"/>
          <w:color w:val="auto"/>
          <w:sz w:val="24"/>
          <w:szCs w:val="24"/>
          <w:highlight w:val="none"/>
        </w:rPr>
        <w:t>移交</w:t>
      </w:r>
      <w:r>
        <w:rPr>
          <w:rFonts w:hint="eastAsia" w:ascii="宋体" w:hAnsi="宋体" w:cs="宋体"/>
          <w:color w:val="auto"/>
          <w:sz w:val="24"/>
          <w:szCs w:val="24"/>
          <w:highlight w:val="none"/>
          <w:lang w:val="en-US" w:eastAsia="zh-CN"/>
        </w:rPr>
        <w:t>公安</w:t>
      </w:r>
      <w:r>
        <w:rPr>
          <w:rFonts w:hint="eastAsia" w:ascii="宋体" w:hAnsi="宋体" w:cs="宋体"/>
          <w:color w:val="auto"/>
          <w:sz w:val="24"/>
          <w:szCs w:val="24"/>
          <w:highlight w:val="none"/>
        </w:rPr>
        <w:t>机关处理。</w:t>
      </w:r>
    </w:p>
    <w:p w14:paraId="6CF488F7">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7、中标人未按照招标人要求的时限及时、准确完成运输任务的，</w:t>
      </w:r>
      <w:r>
        <w:rPr>
          <w:rFonts w:hint="eastAsia" w:ascii="宋体" w:hAnsi="宋体" w:eastAsia="宋体" w:cs="宋体"/>
          <w:color w:val="auto"/>
          <w:sz w:val="24"/>
          <w:szCs w:val="24"/>
          <w:highlight w:val="none"/>
          <w:lang w:val="en-US" w:eastAsia="zh-CN"/>
        </w:rPr>
        <w:t>招标人按违约对中标人</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en-US" w:eastAsia="zh-CN"/>
        </w:rPr>
        <w:t>处理，按1000元向中标人收取违约金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累计发生达两次以上（不含两次），招标人有权按民法典等法律法规解除合同</w:t>
      </w:r>
      <w:r>
        <w:rPr>
          <w:rFonts w:hint="eastAsia" w:ascii="宋体" w:hAnsi="宋体" w:cs="宋体"/>
          <w:color w:val="auto"/>
          <w:sz w:val="24"/>
          <w:szCs w:val="24"/>
          <w:highlight w:val="none"/>
          <w:lang w:val="en-US" w:eastAsia="zh-CN"/>
        </w:rPr>
        <w:t>，履约保证金不予退还</w:t>
      </w:r>
      <w:r>
        <w:rPr>
          <w:rFonts w:hint="eastAsia" w:ascii="宋体" w:hAnsi="宋体" w:eastAsia="宋体" w:cs="宋体"/>
          <w:color w:val="auto"/>
          <w:sz w:val="24"/>
          <w:szCs w:val="24"/>
          <w:highlight w:val="none"/>
          <w:lang w:val="en-US" w:eastAsia="zh-CN"/>
        </w:rPr>
        <w:t>。</w:t>
      </w:r>
    </w:p>
    <w:p w14:paraId="55713CC9">
      <w:pPr>
        <w:widowControl w:val="0"/>
        <w:numPr>
          <w:ilvl w:val="0"/>
          <w:numId w:val="0"/>
        </w:numPr>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2"/>
          <w:highlight w:val="none"/>
          <w:lang w:val="en-US" w:eastAsia="zh-CN"/>
        </w:rPr>
        <w:t>8、中标人未落实运输通道、堆场内洒水除尘工作</w:t>
      </w:r>
      <w:r>
        <w:rPr>
          <w:rFonts w:hint="eastAsia" w:ascii="宋体" w:hAnsi="宋体" w:cs="宋体"/>
          <w:color w:val="auto"/>
          <w:sz w:val="24"/>
          <w:szCs w:val="22"/>
          <w:highlight w:val="none"/>
          <w:lang w:val="en-US" w:eastAsia="zh-CN"/>
        </w:rPr>
        <w:t>的</w:t>
      </w:r>
      <w:r>
        <w:rPr>
          <w:rFonts w:hint="eastAsia" w:ascii="宋体" w:hAnsi="宋体" w:eastAsia="宋体" w:cs="宋体"/>
          <w:color w:val="auto"/>
          <w:sz w:val="24"/>
          <w:szCs w:val="22"/>
          <w:highlight w:val="none"/>
          <w:lang w:val="en-US" w:eastAsia="zh-CN"/>
        </w:rPr>
        <w:t>，</w:t>
      </w:r>
      <w:r>
        <w:rPr>
          <w:rFonts w:hint="eastAsia" w:ascii="宋体" w:hAnsi="宋体" w:eastAsia="宋体" w:cs="宋体"/>
          <w:color w:val="auto"/>
          <w:sz w:val="24"/>
          <w:szCs w:val="24"/>
          <w:highlight w:val="none"/>
          <w:lang w:val="en-US" w:eastAsia="zh-CN"/>
        </w:rPr>
        <w:t>招标人按违约对中标人</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en-US" w:eastAsia="zh-CN"/>
        </w:rPr>
        <w:t>处理，按</w:t>
      </w:r>
      <w:r>
        <w:rPr>
          <w:rFonts w:hint="eastAsia" w:ascii="宋体" w:hAnsi="宋体" w:cs="宋体"/>
          <w:color w:val="auto"/>
          <w:sz w:val="24"/>
          <w:szCs w:val="24"/>
          <w:highlight w:val="none"/>
          <w:lang w:val="en-US" w:eastAsia="zh-CN"/>
        </w:rPr>
        <w:t>2000</w:t>
      </w:r>
      <w:r>
        <w:rPr>
          <w:rFonts w:hint="eastAsia" w:ascii="宋体" w:hAnsi="宋体" w:eastAsia="宋体" w:cs="宋体"/>
          <w:color w:val="auto"/>
          <w:sz w:val="24"/>
          <w:szCs w:val="24"/>
          <w:highlight w:val="none"/>
          <w:lang w:val="en-US" w:eastAsia="zh-CN"/>
        </w:rPr>
        <w:t>元向中标人收取违约金，违约金</w:t>
      </w:r>
      <w:r>
        <w:rPr>
          <w:rFonts w:hint="eastAsia" w:ascii="宋体" w:hAnsi="宋体" w:eastAsia="宋体" w:cs="宋体"/>
          <w:color w:val="auto"/>
          <w:sz w:val="24"/>
          <w:szCs w:val="24"/>
          <w:highlight w:val="none"/>
        </w:rPr>
        <w:t>从</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的履约保证金中</w:t>
      </w:r>
      <w:r>
        <w:rPr>
          <w:rFonts w:hint="eastAsia" w:ascii="宋体" w:hAnsi="宋体" w:eastAsia="宋体" w:cs="宋体"/>
          <w:color w:val="auto"/>
          <w:sz w:val="24"/>
          <w:szCs w:val="24"/>
          <w:highlight w:val="none"/>
          <w:lang w:val="en-US" w:eastAsia="zh-CN"/>
        </w:rPr>
        <w:t>收取。</w:t>
      </w:r>
    </w:p>
    <w:p w14:paraId="320EE695">
      <w:pPr>
        <w:widowControl w:val="0"/>
        <w:numPr>
          <w:ilvl w:val="0"/>
          <w:numId w:val="0"/>
        </w:numPr>
        <w:spacing w:line="360" w:lineRule="auto"/>
        <w:ind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2"/>
          <w:highlight w:val="none"/>
          <w:lang w:val="en-US" w:eastAsia="zh-CN"/>
        </w:rPr>
        <w:t>未落实运输通道、堆场维护及相关标识标牌管理维护的，</w:t>
      </w:r>
      <w:r>
        <w:rPr>
          <w:rFonts w:hint="eastAsia" w:ascii="宋体" w:hAnsi="宋体" w:eastAsia="宋体" w:cs="宋体"/>
          <w:color w:val="auto"/>
          <w:sz w:val="24"/>
          <w:szCs w:val="24"/>
          <w:highlight w:val="none"/>
          <w:lang w:val="en-US" w:eastAsia="zh-CN"/>
        </w:rPr>
        <w:t>招标人按违约对中标人</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en-US" w:eastAsia="zh-CN"/>
        </w:rPr>
        <w:t>处理，按</w:t>
      </w:r>
      <w:r>
        <w:rPr>
          <w:rFonts w:hint="eastAsia" w:ascii="宋体" w:hAnsi="宋体" w:cs="宋体"/>
          <w:color w:val="auto"/>
          <w:sz w:val="24"/>
          <w:szCs w:val="24"/>
          <w:highlight w:val="none"/>
          <w:lang w:val="en-US" w:eastAsia="zh-CN"/>
        </w:rPr>
        <w:t>1000</w:t>
      </w:r>
      <w:r>
        <w:rPr>
          <w:rFonts w:hint="eastAsia" w:ascii="宋体" w:hAnsi="宋体" w:eastAsia="宋体" w:cs="宋体"/>
          <w:color w:val="auto"/>
          <w:sz w:val="24"/>
          <w:szCs w:val="24"/>
          <w:highlight w:val="none"/>
          <w:lang w:val="en-US" w:eastAsia="zh-CN"/>
        </w:rPr>
        <w:t>元向中标人收取违约金，违约金</w:t>
      </w:r>
      <w:r>
        <w:rPr>
          <w:rFonts w:hint="eastAsia" w:ascii="宋体" w:hAnsi="宋体" w:eastAsia="宋体" w:cs="宋体"/>
          <w:color w:val="auto"/>
          <w:sz w:val="24"/>
          <w:szCs w:val="24"/>
          <w:highlight w:val="none"/>
        </w:rPr>
        <w:t>从</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的履约保证金中</w:t>
      </w:r>
      <w:r>
        <w:rPr>
          <w:rFonts w:hint="eastAsia" w:ascii="宋体" w:hAnsi="宋体" w:eastAsia="宋体" w:cs="宋体"/>
          <w:color w:val="auto"/>
          <w:sz w:val="24"/>
          <w:szCs w:val="24"/>
          <w:highlight w:val="none"/>
          <w:lang w:val="en-US" w:eastAsia="zh-CN"/>
        </w:rPr>
        <w:t>收取。</w:t>
      </w:r>
    </w:p>
    <w:p w14:paraId="611C5518">
      <w:pPr>
        <w:widowControl w:val="0"/>
        <w:numPr>
          <w:ilvl w:val="0"/>
          <w:numId w:val="0"/>
        </w:numPr>
        <w:spacing w:line="360" w:lineRule="auto"/>
        <w:ind w:firstLine="480" w:firstLineChars="200"/>
        <w:jc w:val="both"/>
        <w:rPr>
          <w:rFonts w:hint="eastAsia"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10</w:t>
      </w:r>
      <w:r>
        <w:rPr>
          <w:rFonts w:hint="eastAsia" w:ascii="宋体" w:hAnsi="宋体" w:eastAsia="宋体" w:cs="宋体"/>
          <w:color w:val="auto"/>
          <w:sz w:val="24"/>
          <w:szCs w:val="22"/>
          <w:highlight w:val="none"/>
          <w:lang w:val="en-US" w:eastAsia="zh-CN"/>
        </w:rPr>
        <w:t>、服务期内遇零星、应急、突发事件等处置项目，中标人不服从招标人或政府主管部门相关工作安排的，</w:t>
      </w:r>
      <w:r>
        <w:rPr>
          <w:rFonts w:hint="eastAsia" w:ascii="宋体" w:hAnsi="宋体" w:eastAsia="宋体" w:cs="宋体"/>
          <w:color w:val="auto"/>
          <w:sz w:val="24"/>
          <w:szCs w:val="24"/>
          <w:highlight w:val="none"/>
          <w:lang w:val="en-US" w:eastAsia="zh-CN"/>
        </w:rPr>
        <w:t>招标人按违约对中标人</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en-US" w:eastAsia="zh-CN"/>
        </w:rPr>
        <w:t>处理，按1000元向中标人收取违约金；累计发生达两次以上（不含两次），招标人有权按民法典等法律法规解除合同</w:t>
      </w:r>
      <w:r>
        <w:rPr>
          <w:rFonts w:hint="eastAsia" w:ascii="宋体" w:hAnsi="宋体" w:cs="宋体"/>
          <w:color w:val="auto"/>
          <w:sz w:val="24"/>
          <w:szCs w:val="24"/>
          <w:highlight w:val="none"/>
          <w:lang w:val="en-US" w:eastAsia="zh-CN"/>
        </w:rPr>
        <w:t>，履约保证金不予退还</w:t>
      </w:r>
      <w:r>
        <w:rPr>
          <w:rFonts w:hint="eastAsia" w:ascii="宋体" w:hAnsi="宋体" w:eastAsia="宋体" w:cs="宋体"/>
          <w:color w:val="auto"/>
          <w:sz w:val="24"/>
          <w:szCs w:val="24"/>
          <w:highlight w:val="none"/>
          <w:lang w:val="en-US" w:eastAsia="zh-CN"/>
        </w:rPr>
        <w:t>。</w:t>
      </w:r>
    </w:p>
    <w:p w14:paraId="7EDCBD7A">
      <w:pPr>
        <w:widowControl w:val="0"/>
        <w:numPr>
          <w:ilvl w:val="0"/>
          <w:numId w:val="0"/>
        </w:num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2"/>
          <w:highlight w:val="none"/>
          <w:lang w:val="en-US" w:eastAsia="zh-CN"/>
        </w:rPr>
        <w:t>1</w:t>
      </w:r>
      <w:r>
        <w:rPr>
          <w:rFonts w:hint="eastAsia" w:ascii="宋体" w:hAnsi="宋体" w:cs="宋体"/>
          <w:color w:val="auto"/>
          <w:sz w:val="24"/>
          <w:szCs w:val="22"/>
          <w:highlight w:val="none"/>
          <w:lang w:val="en-US" w:eastAsia="zh-CN"/>
        </w:rPr>
        <w:t>1</w:t>
      </w:r>
      <w:r>
        <w:rPr>
          <w:rFonts w:hint="eastAsia" w:ascii="宋体" w:hAnsi="宋体" w:eastAsia="宋体" w:cs="宋体"/>
          <w:color w:val="auto"/>
          <w:sz w:val="24"/>
          <w:szCs w:val="22"/>
          <w:highlight w:val="none"/>
          <w:lang w:val="en-US" w:eastAsia="zh-CN"/>
        </w:rPr>
        <w:t>、</w:t>
      </w:r>
      <w:r>
        <w:rPr>
          <w:rFonts w:hint="eastAsia" w:ascii="宋体" w:hAnsi="宋体" w:eastAsia="宋体" w:cs="宋体"/>
          <w:color w:val="auto"/>
          <w:sz w:val="24"/>
          <w:szCs w:val="24"/>
          <w:highlight w:val="none"/>
        </w:rPr>
        <w:t>合同履约期间发生的交通事故等一切损失及责任与</w:t>
      </w:r>
      <w:r>
        <w:rPr>
          <w:rFonts w:hint="eastAsia" w:ascii="宋体" w:hAnsi="宋体" w:eastAsia="宋体" w:cs="宋体"/>
          <w:color w:val="auto"/>
          <w:sz w:val="24"/>
          <w:szCs w:val="24"/>
          <w:highlight w:val="none"/>
          <w:lang w:val="en-US" w:eastAsia="zh-CN"/>
        </w:rPr>
        <w:t>招标人和资源方</w:t>
      </w:r>
      <w:r>
        <w:rPr>
          <w:rFonts w:hint="eastAsia" w:ascii="宋体" w:hAnsi="宋体" w:eastAsia="宋体" w:cs="宋体"/>
          <w:color w:val="auto"/>
          <w:sz w:val="24"/>
          <w:szCs w:val="24"/>
          <w:highlight w:val="none"/>
        </w:rPr>
        <w:t>无关，由</w:t>
      </w:r>
      <w:r>
        <w:rPr>
          <w:rFonts w:hint="eastAsia" w:ascii="宋体" w:hAnsi="宋体" w:cs="宋体"/>
          <w:color w:val="auto"/>
          <w:sz w:val="24"/>
          <w:szCs w:val="24"/>
          <w:highlight w:val="none"/>
          <w:lang w:val="en-US" w:eastAsia="zh-CN"/>
        </w:rPr>
        <w:t>中标人承担全部的经济和法律责任</w:t>
      </w:r>
      <w:r>
        <w:rPr>
          <w:rFonts w:hint="eastAsia" w:ascii="宋体" w:hAnsi="宋体" w:eastAsia="宋体" w:cs="宋体"/>
          <w:color w:val="auto"/>
          <w:sz w:val="24"/>
          <w:szCs w:val="24"/>
          <w:highlight w:val="none"/>
        </w:rPr>
        <w:t>；若发生重大交通事故</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经</w:t>
      </w:r>
      <w:r>
        <w:rPr>
          <w:rFonts w:hint="eastAsia" w:ascii="宋体" w:hAnsi="宋体" w:cs="宋体"/>
          <w:color w:val="auto"/>
          <w:sz w:val="24"/>
          <w:szCs w:val="24"/>
          <w:highlight w:val="none"/>
          <w:lang w:val="en-US" w:eastAsia="zh-CN"/>
        </w:rPr>
        <w:t>相关</w:t>
      </w:r>
      <w:r>
        <w:rPr>
          <w:rFonts w:hint="eastAsia" w:ascii="宋体" w:hAnsi="宋体" w:eastAsia="宋体" w:cs="宋体"/>
          <w:color w:val="auto"/>
          <w:sz w:val="24"/>
          <w:szCs w:val="24"/>
          <w:highlight w:val="none"/>
        </w:rPr>
        <w:t>机关认定</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承担主要责任的，</w:t>
      </w:r>
      <w:r>
        <w:rPr>
          <w:rFonts w:hint="eastAsia" w:ascii="宋体" w:hAnsi="宋体" w:eastAsia="宋体" w:cs="宋体"/>
          <w:color w:val="auto"/>
          <w:sz w:val="24"/>
          <w:szCs w:val="24"/>
          <w:highlight w:val="none"/>
          <w:lang w:val="en-US" w:eastAsia="zh-CN"/>
        </w:rPr>
        <w:t>招标人</w:t>
      </w:r>
      <w:r>
        <w:rPr>
          <w:rFonts w:hint="eastAsia" w:ascii="宋体" w:hAnsi="宋体" w:cs="宋体"/>
          <w:color w:val="auto"/>
          <w:sz w:val="24"/>
          <w:szCs w:val="24"/>
          <w:highlight w:val="none"/>
          <w:lang w:val="en-US" w:eastAsia="zh-CN"/>
        </w:rPr>
        <w:t>有权依据《中华人民共和国民法典》</w:t>
      </w:r>
      <w:r>
        <w:rPr>
          <w:rFonts w:hint="eastAsia" w:ascii="宋体" w:hAnsi="宋体" w:eastAsia="宋体" w:cs="宋体"/>
          <w:color w:val="auto"/>
          <w:sz w:val="24"/>
          <w:szCs w:val="24"/>
          <w:highlight w:val="none"/>
          <w:lang w:val="en-US" w:eastAsia="zh-CN"/>
        </w:rPr>
        <w:t>等法律法规</w:t>
      </w:r>
      <w:r>
        <w:rPr>
          <w:rFonts w:hint="eastAsia" w:ascii="宋体" w:hAnsi="宋体" w:eastAsia="宋体" w:cs="宋体"/>
          <w:color w:val="auto"/>
          <w:sz w:val="24"/>
          <w:szCs w:val="24"/>
          <w:highlight w:val="none"/>
        </w:rPr>
        <w:t>解除合同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履约保证金不予退还</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val="en-US" w:eastAsia="zh-CN"/>
        </w:rPr>
        <w:t>招标人</w:t>
      </w:r>
      <w:r>
        <w:rPr>
          <w:rFonts w:hint="eastAsia" w:ascii="宋体" w:hAnsi="宋体" w:cs="宋体"/>
          <w:color w:val="auto"/>
          <w:sz w:val="24"/>
          <w:szCs w:val="24"/>
          <w:highlight w:val="none"/>
          <w:lang w:val="en-US" w:eastAsia="zh-CN"/>
        </w:rPr>
        <w:t>和第三人</w:t>
      </w:r>
      <w:r>
        <w:rPr>
          <w:rFonts w:hint="eastAsia" w:ascii="宋体" w:hAnsi="宋体" w:eastAsia="宋体" w:cs="宋体"/>
          <w:color w:val="auto"/>
          <w:sz w:val="24"/>
          <w:szCs w:val="24"/>
          <w:highlight w:val="none"/>
        </w:rPr>
        <w:t>造成损失的由</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无条件赔偿。</w:t>
      </w:r>
    </w:p>
    <w:p w14:paraId="7E9431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F32CD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7306C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DF89E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BDF9D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FE7C0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4156FD8F">
      <w:pPr>
        <w:pStyle w:val="2"/>
        <w:keepNext/>
        <w:keepLines/>
        <w:pageBreakBefore w:val="0"/>
        <w:widowControl w:val="0"/>
        <w:kinsoku/>
        <w:wordWrap/>
        <w:overflowPunct/>
        <w:topLinePunct w:val="0"/>
        <w:autoSpaceDE/>
        <w:autoSpaceDN/>
        <w:bidi w:val="0"/>
        <w:adjustRightInd/>
        <w:snapToGrid/>
        <w:spacing w:before="0" w:after="157" w:afterLines="50" w:line="360" w:lineRule="auto"/>
        <w:jc w:val="center"/>
        <w:textAlignment w:val="auto"/>
        <w:rPr>
          <w:rFonts w:hint="eastAsia" w:ascii="Times New Roman" w:hAnsi="Times New Roman" w:eastAsia="宋体" w:cs="Times New Roman"/>
          <w:b/>
          <w:bCs/>
          <w:color w:val="auto"/>
          <w:kern w:val="44"/>
          <w:sz w:val="32"/>
          <w:szCs w:val="48"/>
          <w:highlight w:val="none"/>
          <w:lang w:val="en-US" w:eastAsia="zh-CN"/>
        </w:rPr>
      </w:pPr>
      <w:bookmarkStart w:id="163" w:name="_Toc26199"/>
      <w:bookmarkStart w:id="164" w:name="_Toc29441"/>
      <w:bookmarkStart w:id="165" w:name="_Toc457942816"/>
      <w:bookmarkStart w:id="166" w:name="_Toc28876"/>
      <w:r>
        <w:rPr>
          <w:rFonts w:hint="eastAsia" w:ascii="Times New Roman" w:hAnsi="Times New Roman" w:eastAsia="宋体" w:cs="Times New Roman"/>
          <w:b/>
          <w:bCs/>
          <w:color w:val="auto"/>
          <w:kern w:val="44"/>
          <w:sz w:val="32"/>
          <w:szCs w:val="48"/>
          <w:highlight w:val="none"/>
          <w:lang w:val="en-US" w:eastAsia="zh-CN"/>
        </w:rPr>
        <w:t>第七章 投标文件格式</w:t>
      </w:r>
      <w:bookmarkEnd w:id="163"/>
      <w:bookmarkEnd w:id="164"/>
      <w:bookmarkEnd w:id="165"/>
      <w:bookmarkEnd w:id="166"/>
    </w:p>
    <w:p w14:paraId="1CA58CC2">
      <w:pPr>
        <w:rPr>
          <w:rFonts w:hint="eastAsia" w:ascii="Times New Roman" w:hAnsi="Times New Roman" w:eastAsia="宋体" w:cs="Times New Roman"/>
          <w:b/>
          <w:bCs/>
          <w:color w:val="auto"/>
          <w:kern w:val="44"/>
          <w:sz w:val="32"/>
          <w:szCs w:val="48"/>
          <w:highlight w:val="none"/>
          <w:lang w:val="en-US" w:eastAsia="zh-CN"/>
        </w:rPr>
      </w:pPr>
    </w:p>
    <w:p w14:paraId="28FE10DB">
      <w:pPr>
        <w:pStyle w:val="70"/>
        <w:rPr>
          <w:rFonts w:hint="eastAsia" w:ascii="Times New Roman" w:hAnsi="Times New Roman" w:eastAsia="宋体" w:cs="Times New Roman"/>
          <w:b/>
          <w:bCs/>
          <w:color w:val="auto"/>
          <w:kern w:val="44"/>
          <w:sz w:val="32"/>
          <w:szCs w:val="48"/>
          <w:highlight w:val="none"/>
          <w:lang w:val="en-US" w:eastAsia="zh-CN"/>
        </w:rPr>
      </w:pPr>
    </w:p>
    <w:p w14:paraId="0AEF5A70">
      <w:pPr>
        <w:pStyle w:val="70"/>
        <w:rPr>
          <w:rFonts w:hint="eastAsia" w:ascii="Times New Roman" w:hAnsi="Times New Roman" w:eastAsia="宋体" w:cs="Times New Roman"/>
          <w:b/>
          <w:bCs/>
          <w:color w:val="auto"/>
          <w:kern w:val="44"/>
          <w:sz w:val="32"/>
          <w:szCs w:val="48"/>
          <w:highlight w:val="none"/>
          <w:lang w:val="en-US" w:eastAsia="zh-CN"/>
        </w:rPr>
      </w:pPr>
    </w:p>
    <w:p w14:paraId="3420722A">
      <w:pPr>
        <w:pStyle w:val="70"/>
        <w:rPr>
          <w:rFonts w:hint="eastAsia" w:ascii="Times New Roman" w:hAnsi="Times New Roman" w:eastAsia="宋体" w:cs="Times New Roman"/>
          <w:b/>
          <w:bCs/>
          <w:color w:val="auto"/>
          <w:kern w:val="44"/>
          <w:sz w:val="32"/>
          <w:szCs w:val="48"/>
          <w:highlight w:val="none"/>
          <w:lang w:val="en-US" w:eastAsia="zh-CN"/>
        </w:rPr>
      </w:pPr>
    </w:p>
    <w:p w14:paraId="19A653D1">
      <w:pPr>
        <w:pStyle w:val="70"/>
        <w:rPr>
          <w:rFonts w:hint="eastAsia" w:ascii="Times New Roman" w:hAnsi="Times New Roman" w:eastAsia="宋体" w:cs="Times New Roman"/>
          <w:b/>
          <w:bCs/>
          <w:color w:val="auto"/>
          <w:kern w:val="44"/>
          <w:sz w:val="32"/>
          <w:szCs w:val="48"/>
          <w:highlight w:val="none"/>
          <w:lang w:val="en-US" w:eastAsia="zh-CN"/>
        </w:rPr>
      </w:pPr>
    </w:p>
    <w:p w14:paraId="68955292">
      <w:pPr>
        <w:pStyle w:val="70"/>
        <w:rPr>
          <w:rFonts w:hint="eastAsia" w:ascii="Times New Roman" w:hAnsi="Times New Roman" w:eastAsia="宋体" w:cs="Times New Roman"/>
          <w:b/>
          <w:bCs/>
          <w:color w:val="auto"/>
          <w:kern w:val="44"/>
          <w:sz w:val="32"/>
          <w:szCs w:val="32"/>
          <w:highlight w:val="none"/>
          <w:lang w:val="en-US" w:eastAsia="zh-CN"/>
        </w:rPr>
      </w:pPr>
    </w:p>
    <w:p w14:paraId="0A8C99EC">
      <w:pPr>
        <w:spacing w:line="500" w:lineRule="exact"/>
        <w:jc w:val="center"/>
        <w:rPr>
          <w:rFonts w:ascii="宋体" w:hAnsi="宋体"/>
          <w:b/>
          <w:color w:val="auto"/>
          <w:sz w:val="32"/>
          <w:szCs w:val="32"/>
          <w:highlight w:val="none"/>
        </w:rPr>
      </w:pPr>
      <w:bookmarkStart w:id="167" w:name="_Hlt519045470"/>
      <w:bookmarkEnd w:id="167"/>
      <w:bookmarkStart w:id="168" w:name="_Hlt50174722"/>
      <w:bookmarkEnd w:id="168"/>
      <w:bookmarkStart w:id="169" w:name="_Hlt519068595"/>
      <w:bookmarkEnd w:id="169"/>
      <w:bookmarkStart w:id="170" w:name="_Hlt50174972"/>
      <w:bookmarkEnd w:id="170"/>
      <w:bookmarkStart w:id="171" w:name="_Hlt533408877"/>
      <w:bookmarkEnd w:id="171"/>
      <w:bookmarkStart w:id="172" w:name="_Hlt50174708"/>
      <w:bookmarkEnd w:id="172"/>
      <w:bookmarkStart w:id="173" w:name="_Hlt519045391"/>
      <w:bookmarkStart w:id="174" w:name="_Hlt509738509"/>
      <w:bookmarkStart w:id="175" w:name="_Hlt509738521"/>
      <w:r>
        <w:rPr>
          <w:rFonts w:hint="eastAsia" w:ascii="宋体" w:hAnsi="宋体"/>
          <w:b/>
          <w:color w:val="auto"/>
          <w:sz w:val="32"/>
          <w:szCs w:val="32"/>
          <w:highlight w:val="none"/>
        </w:rPr>
        <w:t xml:space="preserve"> </w:t>
      </w:r>
      <w:r>
        <w:rPr>
          <w:rFonts w:hint="eastAsia" w:ascii="宋体" w:hAnsi="宋体"/>
          <w:b/>
          <w:color w:val="auto"/>
          <w:sz w:val="32"/>
          <w:szCs w:val="32"/>
          <w:highlight w:val="none"/>
          <w:u w:val="single"/>
        </w:rPr>
        <w:t xml:space="preserve">       </w:t>
      </w:r>
      <w:r>
        <w:rPr>
          <w:rFonts w:ascii="宋体" w:hAnsi="宋体"/>
          <w:b/>
          <w:color w:val="auto"/>
          <w:sz w:val="32"/>
          <w:szCs w:val="32"/>
          <w:highlight w:val="none"/>
        </w:rPr>
        <w:t>项目</w:t>
      </w:r>
    </w:p>
    <w:p w14:paraId="0242B731">
      <w:pPr>
        <w:bidi w:val="0"/>
        <w:rPr>
          <w:color w:val="auto"/>
          <w:highlight w:val="none"/>
        </w:rPr>
      </w:pPr>
    </w:p>
    <w:p w14:paraId="688D2F6C">
      <w:pPr>
        <w:spacing w:line="900" w:lineRule="exact"/>
        <w:jc w:val="center"/>
        <w:rPr>
          <w:rFonts w:ascii="宋体" w:hAnsi="宋体"/>
          <w:b/>
          <w:color w:val="auto"/>
          <w:sz w:val="32"/>
          <w:szCs w:val="32"/>
          <w:highlight w:val="none"/>
        </w:rPr>
      </w:pPr>
      <w:r>
        <w:rPr>
          <w:rFonts w:hint="eastAsia" w:ascii="宋体" w:hAnsi="宋体"/>
          <w:b/>
          <w:color w:val="auto"/>
          <w:sz w:val="32"/>
          <w:szCs w:val="32"/>
          <w:highlight w:val="none"/>
        </w:rPr>
        <w:t>投标文件</w:t>
      </w:r>
    </w:p>
    <w:p w14:paraId="05FA946F">
      <w:pPr>
        <w:spacing w:after="120" w:afterLines="50"/>
        <w:jc w:val="center"/>
        <w:rPr>
          <w:rFonts w:ascii="宋体" w:hAnsi="宋体"/>
          <w:b/>
          <w:color w:val="auto"/>
          <w:sz w:val="32"/>
          <w:szCs w:val="32"/>
          <w:highlight w:val="none"/>
        </w:rPr>
      </w:pPr>
    </w:p>
    <w:p w14:paraId="19A109D6">
      <w:pPr>
        <w:spacing w:after="120" w:afterLines="50" w:line="5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第</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包</w:t>
      </w:r>
    </w:p>
    <w:p w14:paraId="78A53E1A">
      <w:pPr>
        <w:spacing w:after="120" w:afterLines="50" w:line="500" w:lineRule="exact"/>
        <w:jc w:val="center"/>
        <w:rPr>
          <w:rFonts w:ascii="宋体" w:hAnsi="宋体"/>
          <w:b/>
          <w:color w:val="auto"/>
          <w:sz w:val="32"/>
          <w:szCs w:val="32"/>
          <w:highlight w:val="none"/>
        </w:rPr>
      </w:pPr>
    </w:p>
    <w:p w14:paraId="09BEA470">
      <w:pPr>
        <w:spacing w:after="120" w:afterLines="50" w:line="500" w:lineRule="exact"/>
        <w:rPr>
          <w:rFonts w:hint="eastAsia" w:ascii="宋体" w:hAnsi="宋体"/>
          <w:b/>
          <w:color w:val="auto"/>
          <w:sz w:val="32"/>
          <w:szCs w:val="32"/>
          <w:highlight w:val="none"/>
        </w:rPr>
      </w:pPr>
    </w:p>
    <w:p w14:paraId="1A455B53">
      <w:pPr>
        <w:spacing w:after="120" w:afterLines="50" w:line="500" w:lineRule="exact"/>
        <w:ind w:firstLine="2891" w:firstLineChars="900"/>
        <w:rPr>
          <w:rFonts w:ascii="宋体" w:hAnsi="宋体"/>
          <w:b/>
          <w:color w:val="auto"/>
          <w:sz w:val="32"/>
          <w:szCs w:val="32"/>
          <w:highlight w:val="none"/>
          <w:u w:val="single"/>
        </w:rPr>
      </w:pPr>
      <w:r>
        <w:rPr>
          <w:rFonts w:hint="eastAsia" w:ascii="宋体" w:hAnsi="宋体"/>
          <w:b/>
          <w:color w:val="auto"/>
          <w:sz w:val="32"/>
          <w:szCs w:val="32"/>
          <w:highlight w:val="none"/>
          <w:lang w:eastAsia="zh-CN"/>
        </w:rPr>
        <w:t>投标人</w:t>
      </w:r>
      <w:r>
        <w:rPr>
          <w:rFonts w:hint="eastAsia" w:ascii="宋体" w:hAnsi="宋体"/>
          <w:b/>
          <w:color w:val="auto"/>
          <w:sz w:val="32"/>
          <w:szCs w:val="32"/>
          <w:highlight w:val="none"/>
        </w:rPr>
        <w:t>：</w:t>
      </w:r>
      <w:r>
        <w:rPr>
          <w:rFonts w:hint="eastAsia" w:ascii="宋体" w:hAnsi="宋体"/>
          <w:b/>
          <w:color w:val="auto"/>
          <w:sz w:val="32"/>
          <w:szCs w:val="32"/>
          <w:highlight w:val="none"/>
          <w:u w:val="single"/>
        </w:rPr>
        <w:t xml:space="preserve">           </w:t>
      </w:r>
    </w:p>
    <w:p w14:paraId="7D8F41ED">
      <w:pPr>
        <w:spacing w:after="120" w:afterLines="50" w:line="500" w:lineRule="exact"/>
        <w:ind w:firstLine="3534" w:firstLineChars="1100"/>
        <w:rPr>
          <w:rFonts w:ascii="宋体" w:hAnsi="宋体"/>
          <w:b/>
          <w:color w:val="auto"/>
          <w:sz w:val="32"/>
          <w:szCs w:val="32"/>
          <w:highlight w:val="none"/>
        </w:rPr>
      </w:pP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年</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月</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日</w:t>
      </w:r>
    </w:p>
    <w:p w14:paraId="27396C78">
      <w:pPr>
        <w:jc w:val="center"/>
        <w:rPr>
          <w:rFonts w:ascii="宋体" w:hAnsi="宋体"/>
          <w:color w:val="auto"/>
          <w:sz w:val="24"/>
          <w:szCs w:val="24"/>
          <w:highlight w:val="none"/>
        </w:rPr>
      </w:pPr>
    </w:p>
    <w:p w14:paraId="0234A90A">
      <w:pPr>
        <w:jc w:val="center"/>
        <w:rPr>
          <w:rFonts w:ascii="宋体" w:hAnsi="宋体"/>
          <w:color w:val="auto"/>
          <w:sz w:val="24"/>
          <w:szCs w:val="24"/>
          <w:highlight w:val="none"/>
        </w:rPr>
      </w:pPr>
    </w:p>
    <w:p w14:paraId="4720F173">
      <w:pPr>
        <w:jc w:val="center"/>
        <w:rPr>
          <w:rFonts w:hint="eastAsia" w:ascii="宋体" w:hAnsi="宋体"/>
          <w:color w:val="auto"/>
          <w:sz w:val="24"/>
          <w:szCs w:val="24"/>
          <w:highlight w:val="none"/>
        </w:rPr>
      </w:pPr>
    </w:p>
    <w:p w14:paraId="5AA3C099">
      <w:pPr>
        <w:jc w:val="center"/>
        <w:rPr>
          <w:rFonts w:hint="eastAsia" w:ascii="宋体" w:hAnsi="宋体"/>
          <w:color w:val="auto"/>
          <w:sz w:val="24"/>
          <w:szCs w:val="24"/>
          <w:highlight w:val="none"/>
        </w:rPr>
      </w:pPr>
    </w:p>
    <w:p w14:paraId="1C62BFE3">
      <w:pPr>
        <w:pStyle w:val="70"/>
        <w:rPr>
          <w:rFonts w:hint="eastAsia" w:ascii="宋体" w:hAnsi="宋体"/>
          <w:color w:val="auto"/>
          <w:sz w:val="24"/>
          <w:szCs w:val="24"/>
          <w:highlight w:val="none"/>
        </w:rPr>
      </w:pPr>
    </w:p>
    <w:p w14:paraId="331F724E">
      <w:pPr>
        <w:pStyle w:val="70"/>
        <w:rPr>
          <w:rFonts w:hint="eastAsia" w:ascii="宋体" w:hAnsi="宋体"/>
          <w:color w:val="auto"/>
          <w:sz w:val="24"/>
          <w:szCs w:val="24"/>
          <w:highlight w:val="none"/>
        </w:rPr>
      </w:pPr>
    </w:p>
    <w:p w14:paraId="46B24403">
      <w:pPr>
        <w:pStyle w:val="70"/>
        <w:rPr>
          <w:rFonts w:hint="eastAsia" w:ascii="宋体" w:hAnsi="宋体"/>
          <w:color w:val="auto"/>
          <w:sz w:val="24"/>
          <w:szCs w:val="24"/>
          <w:highlight w:val="none"/>
        </w:rPr>
      </w:pPr>
    </w:p>
    <w:p w14:paraId="55028120">
      <w:pPr>
        <w:pStyle w:val="70"/>
        <w:rPr>
          <w:rFonts w:hint="eastAsia" w:ascii="宋体" w:hAnsi="宋体"/>
          <w:color w:val="auto"/>
          <w:sz w:val="24"/>
          <w:szCs w:val="24"/>
          <w:highlight w:val="none"/>
        </w:rPr>
      </w:pPr>
    </w:p>
    <w:p w14:paraId="43CFB5A2">
      <w:pPr>
        <w:pStyle w:val="70"/>
        <w:rPr>
          <w:rFonts w:hint="eastAsia" w:ascii="宋体" w:hAnsi="宋体"/>
          <w:color w:val="auto"/>
          <w:sz w:val="24"/>
          <w:szCs w:val="24"/>
          <w:highlight w:val="none"/>
        </w:rPr>
      </w:pPr>
    </w:p>
    <w:p w14:paraId="2633661F">
      <w:pPr>
        <w:pStyle w:val="70"/>
        <w:rPr>
          <w:rFonts w:hint="eastAsia" w:ascii="宋体" w:hAnsi="宋体"/>
          <w:color w:val="auto"/>
          <w:sz w:val="24"/>
          <w:szCs w:val="24"/>
          <w:highlight w:val="none"/>
        </w:rPr>
      </w:pPr>
    </w:p>
    <w:p w14:paraId="692038A0">
      <w:pPr>
        <w:pStyle w:val="70"/>
        <w:rPr>
          <w:rFonts w:hint="eastAsia" w:ascii="宋体" w:hAnsi="宋体"/>
          <w:color w:val="auto"/>
          <w:sz w:val="24"/>
          <w:szCs w:val="24"/>
          <w:highlight w:val="none"/>
        </w:rPr>
      </w:pPr>
    </w:p>
    <w:p w14:paraId="0DFDB548">
      <w:pPr>
        <w:pStyle w:val="70"/>
        <w:rPr>
          <w:rFonts w:hint="eastAsia" w:ascii="宋体" w:hAnsi="宋体"/>
          <w:color w:val="auto"/>
          <w:sz w:val="24"/>
          <w:szCs w:val="24"/>
          <w:highlight w:val="none"/>
        </w:rPr>
      </w:pPr>
    </w:p>
    <w:p w14:paraId="6C7A3118">
      <w:pPr>
        <w:pStyle w:val="70"/>
        <w:rPr>
          <w:rFonts w:hint="eastAsia" w:ascii="宋体" w:hAnsi="宋体"/>
          <w:color w:val="auto"/>
          <w:sz w:val="24"/>
          <w:szCs w:val="24"/>
          <w:highlight w:val="none"/>
        </w:rPr>
      </w:pPr>
    </w:p>
    <w:p w14:paraId="56D2A54A">
      <w:pPr>
        <w:pStyle w:val="70"/>
        <w:rPr>
          <w:rFonts w:hint="eastAsia" w:ascii="宋体" w:hAnsi="宋体"/>
          <w:color w:val="auto"/>
          <w:sz w:val="24"/>
          <w:szCs w:val="24"/>
          <w:highlight w:val="none"/>
        </w:rPr>
      </w:pPr>
    </w:p>
    <w:p w14:paraId="0FD0BDCD">
      <w:pPr>
        <w:jc w:val="center"/>
        <w:rPr>
          <w:rFonts w:ascii="宋体" w:hAnsi="宋体"/>
          <w:color w:val="auto"/>
          <w:sz w:val="24"/>
          <w:szCs w:val="24"/>
          <w:highlight w:val="none"/>
        </w:rPr>
      </w:pPr>
    </w:p>
    <w:p w14:paraId="3412DD2B">
      <w:pPr>
        <w:jc w:val="center"/>
        <w:rPr>
          <w:rFonts w:ascii="宋体" w:hAnsi="宋体"/>
          <w:color w:val="auto"/>
          <w:sz w:val="24"/>
          <w:szCs w:val="24"/>
          <w:highlight w:val="none"/>
        </w:rPr>
      </w:pPr>
    </w:p>
    <w:p w14:paraId="1BDD90E3">
      <w:pPr>
        <w:jc w:val="center"/>
        <w:rPr>
          <w:rFonts w:ascii="宋体" w:hAnsi="宋体"/>
          <w:color w:val="auto"/>
          <w:sz w:val="24"/>
          <w:szCs w:val="24"/>
          <w:highlight w:val="none"/>
        </w:rPr>
      </w:pPr>
    </w:p>
    <w:p w14:paraId="2B134E92">
      <w:pPr>
        <w:jc w:val="center"/>
        <w:rPr>
          <w:rFonts w:ascii="宋体" w:hAnsi="宋体"/>
          <w:color w:val="auto"/>
          <w:sz w:val="24"/>
          <w:szCs w:val="24"/>
          <w:highlight w:val="none"/>
        </w:rPr>
      </w:pPr>
    </w:p>
    <w:p w14:paraId="61D4BC18">
      <w:pPr>
        <w:pStyle w:val="36"/>
        <w:spacing w:before="240" w:beforeLines="100" w:after="240" w:afterLine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投标文件资料清单</w:t>
      </w:r>
    </w:p>
    <w:tbl>
      <w:tblPr>
        <w:tblStyle w:val="40"/>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111"/>
        <w:gridCol w:w="1360"/>
      </w:tblGrid>
      <w:tr w14:paraId="23E9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58" w:type="dxa"/>
            <w:noWrap w:val="0"/>
            <w:vAlign w:val="center"/>
          </w:tcPr>
          <w:p w14:paraId="5A6A4AF2">
            <w:pPr>
              <w:spacing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7111" w:type="dxa"/>
            <w:noWrap w:val="0"/>
            <w:vAlign w:val="center"/>
          </w:tcPr>
          <w:p w14:paraId="231956C7">
            <w:pPr>
              <w:spacing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资料名称</w:t>
            </w:r>
          </w:p>
        </w:tc>
        <w:tc>
          <w:tcPr>
            <w:tcW w:w="1360" w:type="dxa"/>
            <w:noWrap w:val="0"/>
            <w:vAlign w:val="center"/>
          </w:tcPr>
          <w:p w14:paraId="66BC517E">
            <w:pPr>
              <w:spacing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备注</w:t>
            </w:r>
          </w:p>
        </w:tc>
      </w:tr>
      <w:tr w14:paraId="367E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58" w:type="dxa"/>
            <w:noWrap w:val="0"/>
            <w:vAlign w:val="center"/>
          </w:tcPr>
          <w:p w14:paraId="0479AA72">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一</w:t>
            </w:r>
          </w:p>
        </w:tc>
        <w:tc>
          <w:tcPr>
            <w:tcW w:w="7111" w:type="dxa"/>
            <w:noWrap w:val="0"/>
            <w:vAlign w:val="center"/>
          </w:tcPr>
          <w:p w14:paraId="0B6893A8">
            <w:pPr>
              <w:rPr>
                <w:rFonts w:hint="eastAsia" w:ascii="宋体" w:hAnsi="宋体" w:cs="宋体"/>
                <w:color w:val="auto"/>
                <w:sz w:val="24"/>
                <w:szCs w:val="24"/>
                <w:highlight w:val="none"/>
              </w:rPr>
            </w:pPr>
            <w:r>
              <w:rPr>
                <w:rFonts w:hint="eastAsia" w:ascii="宋体" w:hAnsi="宋体" w:cs="宋体"/>
                <w:color w:val="auto"/>
                <w:sz w:val="24"/>
                <w:szCs w:val="24"/>
                <w:highlight w:val="none"/>
              </w:rPr>
              <w:t>营业执照</w:t>
            </w:r>
          </w:p>
        </w:tc>
        <w:tc>
          <w:tcPr>
            <w:tcW w:w="1360" w:type="dxa"/>
            <w:noWrap w:val="0"/>
            <w:vAlign w:val="center"/>
          </w:tcPr>
          <w:p w14:paraId="441817BE">
            <w:pPr>
              <w:spacing w:line="360" w:lineRule="auto"/>
              <w:jc w:val="center"/>
              <w:rPr>
                <w:rFonts w:hint="eastAsia" w:ascii="宋体" w:hAnsi="宋体" w:cs="宋体"/>
                <w:b/>
                <w:color w:val="auto"/>
                <w:sz w:val="24"/>
                <w:szCs w:val="24"/>
                <w:highlight w:val="none"/>
              </w:rPr>
            </w:pPr>
          </w:p>
        </w:tc>
      </w:tr>
      <w:tr w14:paraId="1210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58" w:type="dxa"/>
            <w:noWrap w:val="0"/>
            <w:vAlign w:val="center"/>
          </w:tcPr>
          <w:p w14:paraId="11D89487">
            <w:pPr>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二</w:t>
            </w:r>
          </w:p>
        </w:tc>
        <w:tc>
          <w:tcPr>
            <w:tcW w:w="7111" w:type="dxa"/>
            <w:noWrap w:val="0"/>
            <w:vAlign w:val="center"/>
          </w:tcPr>
          <w:p w14:paraId="5507CA0D">
            <w:pP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无重大违法记录声明函、无不良信用记录声明函</w:t>
            </w:r>
          </w:p>
        </w:tc>
        <w:tc>
          <w:tcPr>
            <w:tcW w:w="1360" w:type="dxa"/>
            <w:noWrap w:val="0"/>
            <w:vAlign w:val="center"/>
          </w:tcPr>
          <w:p w14:paraId="3C74C016">
            <w:pPr>
              <w:spacing w:line="360" w:lineRule="auto"/>
              <w:jc w:val="center"/>
              <w:rPr>
                <w:rFonts w:hint="eastAsia" w:ascii="宋体" w:hAnsi="宋体" w:cs="宋体"/>
                <w:b/>
                <w:color w:val="auto"/>
                <w:sz w:val="24"/>
                <w:szCs w:val="24"/>
                <w:highlight w:val="none"/>
              </w:rPr>
            </w:pPr>
          </w:p>
        </w:tc>
      </w:tr>
      <w:tr w14:paraId="5EBD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58" w:type="dxa"/>
            <w:noWrap w:val="0"/>
            <w:vAlign w:val="center"/>
          </w:tcPr>
          <w:p w14:paraId="4237D412">
            <w:pPr>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三</w:t>
            </w:r>
          </w:p>
        </w:tc>
        <w:tc>
          <w:tcPr>
            <w:tcW w:w="7111" w:type="dxa"/>
            <w:noWrap w:val="0"/>
            <w:vAlign w:val="center"/>
          </w:tcPr>
          <w:p w14:paraId="1EF822D2">
            <w:pP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eastAsia="zh-CN"/>
              </w:rPr>
              <w:t>投标人</w:t>
            </w:r>
            <w:r>
              <w:rPr>
                <w:rFonts w:hint="eastAsia" w:ascii="宋体" w:hAnsi="宋体" w:cs="宋体"/>
                <w:color w:val="auto"/>
                <w:kern w:val="0"/>
                <w:sz w:val="24"/>
                <w:szCs w:val="24"/>
                <w:highlight w:val="none"/>
              </w:rPr>
              <w:t>其他资格要求</w:t>
            </w:r>
          </w:p>
        </w:tc>
        <w:tc>
          <w:tcPr>
            <w:tcW w:w="1360" w:type="dxa"/>
            <w:noWrap w:val="0"/>
            <w:vAlign w:val="center"/>
          </w:tcPr>
          <w:p w14:paraId="33284D51">
            <w:pPr>
              <w:spacing w:line="360" w:lineRule="auto"/>
              <w:jc w:val="center"/>
              <w:rPr>
                <w:rFonts w:hint="eastAsia" w:ascii="宋体" w:hAnsi="宋体" w:cs="宋体"/>
                <w:b/>
                <w:color w:val="auto"/>
                <w:sz w:val="24"/>
                <w:szCs w:val="24"/>
                <w:highlight w:val="none"/>
              </w:rPr>
            </w:pPr>
          </w:p>
        </w:tc>
      </w:tr>
      <w:tr w14:paraId="749B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58" w:type="dxa"/>
            <w:noWrap w:val="0"/>
            <w:vAlign w:val="center"/>
          </w:tcPr>
          <w:p w14:paraId="49BFB589">
            <w:pPr>
              <w:jc w:val="center"/>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四</w:t>
            </w:r>
          </w:p>
        </w:tc>
        <w:tc>
          <w:tcPr>
            <w:tcW w:w="7111" w:type="dxa"/>
            <w:noWrap w:val="0"/>
            <w:vAlign w:val="center"/>
          </w:tcPr>
          <w:p w14:paraId="16BEEC73">
            <w:pPr>
              <w:rPr>
                <w:rFonts w:hint="eastAsia" w:ascii="宋体" w:hAnsi="宋体" w:cs="宋体"/>
                <w:color w:val="auto"/>
                <w:sz w:val="24"/>
                <w:szCs w:val="24"/>
                <w:highlight w:val="none"/>
              </w:rPr>
            </w:pPr>
            <w:r>
              <w:rPr>
                <w:rFonts w:hint="eastAsia" w:ascii="宋体" w:hAnsi="宋体" w:cs="宋体"/>
                <w:color w:val="auto"/>
                <w:sz w:val="24"/>
                <w:szCs w:val="24"/>
                <w:highlight w:val="none"/>
              </w:rPr>
              <w:t>投标授权书</w:t>
            </w:r>
          </w:p>
        </w:tc>
        <w:tc>
          <w:tcPr>
            <w:tcW w:w="1360" w:type="dxa"/>
            <w:noWrap w:val="0"/>
            <w:vAlign w:val="center"/>
          </w:tcPr>
          <w:p w14:paraId="05433586">
            <w:pPr>
              <w:spacing w:line="360" w:lineRule="auto"/>
              <w:jc w:val="center"/>
              <w:rPr>
                <w:rFonts w:hint="eastAsia" w:ascii="宋体" w:hAnsi="宋体" w:cs="宋体"/>
                <w:b/>
                <w:color w:val="auto"/>
                <w:sz w:val="24"/>
                <w:szCs w:val="24"/>
                <w:highlight w:val="none"/>
              </w:rPr>
            </w:pPr>
          </w:p>
        </w:tc>
      </w:tr>
      <w:tr w14:paraId="685B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58" w:type="dxa"/>
            <w:noWrap w:val="0"/>
            <w:vAlign w:val="center"/>
          </w:tcPr>
          <w:p w14:paraId="27B356D3">
            <w:pPr>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五</w:t>
            </w:r>
          </w:p>
        </w:tc>
        <w:tc>
          <w:tcPr>
            <w:tcW w:w="7111" w:type="dxa"/>
            <w:noWrap w:val="0"/>
            <w:vAlign w:val="center"/>
          </w:tcPr>
          <w:p w14:paraId="427176FC">
            <w:pPr>
              <w:rPr>
                <w:rFonts w:hint="eastAsia" w:ascii="宋体" w:hAnsi="宋体" w:cs="宋体"/>
                <w:bCs/>
                <w:color w:val="auto"/>
                <w:sz w:val="24"/>
                <w:szCs w:val="24"/>
                <w:highlight w:val="none"/>
              </w:rPr>
            </w:pPr>
            <w:r>
              <w:rPr>
                <w:rFonts w:hint="eastAsia" w:ascii="宋体" w:hAnsi="宋体" w:cs="宋体"/>
                <w:color w:val="auto"/>
                <w:sz w:val="24"/>
                <w:szCs w:val="24"/>
                <w:highlight w:val="none"/>
              </w:rPr>
              <w:t xml:space="preserve">标书响应情况 </w:t>
            </w:r>
          </w:p>
        </w:tc>
        <w:tc>
          <w:tcPr>
            <w:tcW w:w="1360" w:type="dxa"/>
            <w:noWrap w:val="0"/>
            <w:vAlign w:val="center"/>
          </w:tcPr>
          <w:p w14:paraId="7DDE8F52">
            <w:pPr>
              <w:spacing w:line="360" w:lineRule="auto"/>
              <w:jc w:val="center"/>
              <w:rPr>
                <w:rFonts w:hint="eastAsia" w:ascii="宋体" w:hAnsi="宋体" w:cs="宋体"/>
                <w:b/>
                <w:color w:val="auto"/>
                <w:sz w:val="24"/>
                <w:szCs w:val="24"/>
                <w:highlight w:val="none"/>
              </w:rPr>
            </w:pPr>
          </w:p>
        </w:tc>
      </w:tr>
      <w:tr w14:paraId="0A1B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58" w:type="dxa"/>
            <w:noWrap w:val="0"/>
            <w:vAlign w:val="center"/>
          </w:tcPr>
          <w:p w14:paraId="73E83C50">
            <w:pPr>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六</w:t>
            </w:r>
          </w:p>
        </w:tc>
        <w:tc>
          <w:tcPr>
            <w:tcW w:w="7111" w:type="dxa"/>
            <w:noWrap w:val="0"/>
            <w:vAlign w:val="center"/>
          </w:tcPr>
          <w:p w14:paraId="39A26264">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技术标部分</w:t>
            </w:r>
          </w:p>
        </w:tc>
        <w:tc>
          <w:tcPr>
            <w:tcW w:w="1360" w:type="dxa"/>
            <w:noWrap w:val="0"/>
            <w:vAlign w:val="center"/>
          </w:tcPr>
          <w:p w14:paraId="04C6532A">
            <w:pPr>
              <w:spacing w:line="360" w:lineRule="auto"/>
              <w:jc w:val="center"/>
              <w:rPr>
                <w:rFonts w:hint="eastAsia" w:ascii="宋体" w:hAnsi="宋体" w:cs="宋体"/>
                <w:b/>
                <w:color w:val="auto"/>
                <w:sz w:val="24"/>
                <w:szCs w:val="24"/>
                <w:highlight w:val="none"/>
              </w:rPr>
            </w:pPr>
          </w:p>
        </w:tc>
      </w:tr>
      <w:tr w14:paraId="46D9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58" w:type="dxa"/>
            <w:noWrap w:val="0"/>
            <w:vAlign w:val="center"/>
          </w:tcPr>
          <w:p w14:paraId="7E4BB8E3">
            <w:pPr>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七</w:t>
            </w:r>
          </w:p>
        </w:tc>
        <w:tc>
          <w:tcPr>
            <w:tcW w:w="7111" w:type="dxa"/>
            <w:noWrap w:val="0"/>
            <w:vAlign w:val="center"/>
          </w:tcPr>
          <w:p w14:paraId="6827654D">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投标函</w:t>
            </w:r>
          </w:p>
        </w:tc>
        <w:tc>
          <w:tcPr>
            <w:tcW w:w="1360" w:type="dxa"/>
            <w:noWrap w:val="0"/>
            <w:vAlign w:val="center"/>
          </w:tcPr>
          <w:p w14:paraId="6930C090">
            <w:pPr>
              <w:spacing w:line="360" w:lineRule="auto"/>
              <w:jc w:val="center"/>
              <w:rPr>
                <w:rFonts w:hint="eastAsia" w:ascii="宋体" w:hAnsi="宋体" w:cs="宋体"/>
                <w:b/>
                <w:color w:val="auto"/>
                <w:sz w:val="24"/>
                <w:szCs w:val="24"/>
                <w:highlight w:val="none"/>
              </w:rPr>
            </w:pPr>
          </w:p>
        </w:tc>
      </w:tr>
      <w:tr w14:paraId="1FC9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58" w:type="dxa"/>
            <w:noWrap w:val="0"/>
            <w:vAlign w:val="center"/>
          </w:tcPr>
          <w:p w14:paraId="0188E37F">
            <w:pPr>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八</w:t>
            </w:r>
          </w:p>
        </w:tc>
        <w:tc>
          <w:tcPr>
            <w:tcW w:w="7111" w:type="dxa"/>
            <w:noWrap w:val="0"/>
            <w:vAlign w:val="center"/>
          </w:tcPr>
          <w:p w14:paraId="637A9531">
            <w:pPr>
              <w:rPr>
                <w:rFonts w:hint="eastAsia" w:ascii="宋体" w:hAnsi="宋体" w:cs="宋体"/>
                <w:color w:val="auto"/>
                <w:sz w:val="24"/>
                <w:szCs w:val="24"/>
                <w:highlight w:val="none"/>
              </w:rPr>
            </w:pPr>
            <w:r>
              <w:rPr>
                <w:rFonts w:hint="eastAsia" w:ascii="宋体" w:hAnsi="宋体" w:cs="宋体"/>
                <w:color w:val="auto"/>
                <w:sz w:val="24"/>
                <w:szCs w:val="24"/>
                <w:highlight w:val="none"/>
              </w:rPr>
              <w:t>开标一览表</w:t>
            </w:r>
          </w:p>
        </w:tc>
        <w:tc>
          <w:tcPr>
            <w:tcW w:w="1360" w:type="dxa"/>
            <w:noWrap w:val="0"/>
            <w:vAlign w:val="center"/>
          </w:tcPr>
          <w:p w14:paraId="35ADEA47">
            <w:pPr>
              <w:jc w:val="center"/>
              <w:rPr>
                <w:rFonts w:hint="eastAsia" w:ascii="宋体" w:hAnsi="宋体" w:cs="宋体"/>
                <w:color w:val="auto"/>
                <w:sz w:val="24"/>
                <w:szCs w:val="24"/>
                <w:highlight w:val="none"/>
              </w:rPr>
            </w:pPr>
          </w:p>
        </w:tc>
      </w:tr>
      <w:tr w14:paraId="2260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8" w:type="dxa"/>
            <w:noWrap w:val="0"/>
            <w:vAlign w:val="center"/>
          </w:tcPr>
          <w:p w14:paraId="547E267C">
            <w:pPr>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九</w:t>
            </w:r>
          </w:p>
        </w:tc>
        <w:tc>
          <w:tcPr>
            <w:tcW w:w="7111" w:type="dxa"/>
            <w:noWrap w:val="0"/>
            <w:vAlign w:val="center"/>
          </w:tcPr>
          <w:p w14:paraId="58E66C51">
            <w:pPr>
              <w:rPr>
                <w:rFonts w:hint="eastAsia" w:ascii="宋体" w:hAnsi="宋体" w:cs="宋体"/>
                <w:color w:val="auto"/>
                <w:sz w:val="24"/>
                <w:szCs w:val="24"/>
                <w:highlight w:val="none"/>
              </w:rPr>
            </w:pPr>
            <w:r>
              <w:rPr>
                <w:rFonts w:hint="eastAsia" w:ascii="宋体" w:hAnsi="宋体" w:cs="宋体"/>
                <w:bCs/>
                <w:color w:val="auto"/>
                <w:sz w:val="24"/>
                <w:szCs w:val="24"/>
                <w:highlight w:val="none"/>
              </w:rPr>
              <w:t>投标分项报价表</w:t>
            </w:r>
          </w:p>
        </w:tc>
        <w:tc>
          <w:tcPr>
            <w:tcW w:w="1360" w:type="dxa"/>
            <w:noWrap w:val="0"/>
            <w:vAlign w:val="center"/>
          </w:tcPr>
          <w:p w14:paraId="51699902">
            <w:pPr>
              <w:jc w:val="center"/>
              <w:rPr>
                <w:rFonts w:hint="eastAsia" w:ascii="宋体" w:hAnsi="宋体" w:cs="宋体"/>
                <w:color w:val="auto"/>
                <w:sz w:val="24"/>
                <w:szCs w:val="24"/>
                <w:highlight w:val="none"/>
              </w:rPr>
            </w:pPr>
          </w:p>
        </w:tc>
      </w:tr>
      <w:tr w14:paraId="0307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58" w:type="dxa"/>
            <w:noWrap w:val="0"/>
            <w:vAlign w:val="center"/>
          </w:tcPr>
          <w:p w14:paraId="4AA3A304">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十</w:t>
            </w:r>
          </w:p>
        </w:tc>
        <w:tc>
          <w:tcPr>
            <w:tcW w:w="7111" w:type="dxa"/>
            <w:noWrap w:val="0"/>
            <w:vAlign w:val="center"/>
          </w:tcPr>
          <w:p w14:paraId="7856F855">
            <w:pPr>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其他材料</w:t>
            </w:r>
          </w:p>
        </w:tc>
        <w:tc>
          <w:tcPr>
            <w:tcW w:w="1360" w:type="dxa"/>
            <w:noWrap w:val="0"/>
            <w:vAlign w:val="center"/>
          </w:tcPr>
          <w:p w14:paraId="4F172B4D">
            <w:pPr>
              <w:spacing w:line="500" w:lineRule="exact"/>
              <w:jc w:val="center"/>
              <w:rPr>
                <w:rFonts w:hint="eastAsia" w:ascii="宋体" w:hAnsi="宋体" w:cs="宋体"/>
                <w:b/>
                <w:color w:val="auto"/>
                <w:sz w:val="24"/>
                <w:szCs w:val="24"/>
                <w:highlight w:val="none"/>
              </w:rPr>
            </w:pPr>
          </w:p>
        </w:tc>
      </w:tr>
    </w:tbl>
    <w:p w14:paraId="6C037CF1">
      <w:pPr>
        <w:spacing w:line="360" w:lineRule="auto"/>
        <w:rPr>
          <w:rFonts w:hint="eastAsia"/>
          <w:color w:val="auto"/>
          <w:sz w:val="24"/>
          <w:szCs w:val="24"/>
          <w:highlight w:val="none"/>
        </w:rPr>
      </w:pPr>
      <w:bookmarkStart w:id="176" w:name="_Hlt519045798"/>
      <w:bookmarkEnd w:id="176"/>
      <w:bookmarkStart w:id="177" w:name="_Hlt509716873"/>
      <w:bookmarkEnd w:id="177"/>
      <w:bookmarkStart w:id="178" w:name="_Hlt533408916"/>
      <w:bookmarkEnd w:id="178"/>
      <w:bookmarkStart w:id="179" w:name="_Hlt533408409"/>
      <w:bookmarkEnd w:id="179"/>
      <w:bookmarkStart w:id="180" w:name="_Hlt533409360"/>
      <w:bookmarkEnd w:id="180"/>
      <w:bookmarkStart w:id="181" w:name="_Toc444076918"/>
      <w:bookmarkStart w:id="182" w:name="_Toc438649045"/>
      <w:bookmarkStart w:id="183" w:name="_Toc457942817"/>
      <w:bookmarkStart w:id="184" w:name="_Toc516969097"/>
      <w:bookmarkStart w:id="185" w:name="_Toc197934563"/>
    </w:p>
    <w:p w14:paraId="4D9B8BD6">
      <w:pPr>
        <w:pStyle w:val="3"/>
        <w:keepNext/>
        <w:keepLines/>
        <w:pageBreakBefore w:val="0"/>
        <w:widowControl w:val="0"/>
        <w:numPr>
          <w:ilvl w:val="0"/>
          <w:numId w:val="0"/>
        </w:numPr>
        <w:kinsoku/>
        <w:wordWrap/>
        <w:overflowPunct/>
        <w:topLinePunct w:val="0"/>
        <w:autoSpaceDE/>
        <w:autoSpaceDN/>
        <w:bidi w:val="0"/>
        <w:adjustRightInd/>
        <w:snapToGrid/>
        <w:spacing w:before="0" w:after="120" w:afterLines="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86" w:name="_Toc25158"/>
      <w:bookmarkStart w:id="187" w:name="_Toc26800"/>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营业执照</w:t>
      </w:r>
      <w:bookmarkEnd w:id="186"/>
      <w:bookmarkEnd w:id="187"/>
    </w:p>
    <w:p w14:paraId="006EAB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具有有效的营业执照、税务登记证和组织机构代码证（或三证合一）</w:t>
      </w:r>
    </w:p>
    <w:p w14:paraId="4E7D9E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06C53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39BC57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765F8C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586C54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2D8A7D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79740B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0B7DA5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63761D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6D298C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59A0DC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1C7C66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7D3B91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1D6887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6DBF8B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09FA56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0CE4CF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073D7A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0C4FA9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52B78C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431C6A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4F50DA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203368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327D28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6F91EE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2F0DC1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46D1BB28">
      <w:pPr>
        <w:pStyle w:val="3"/>
        <w:keepNext/>
        <w:keepLines/>
        <w:pageBreakBefore w:val="0"/>
        <w:widowControl w:val="0"/>
        <w:kinsoku/>
        <w:wordWrap/>
        <w:overflowPunct/>
        <w:topLinePunct w:val="0"/>
        <w:autoSpaceDE/>
        <w:autoSpaceDN/>
        <w:bidi w:val="0"/>
        <w:adjustRightInd/>
        <w:snapToGrid/>
        <w:spacing w:before="140" w:after="140" w:line="360" w:lineRule="auto"/>
        <w:ind w:firstLine="0"/>
        <w:textAlignment w:val="auto"/>
        <w:rPr>
          <w:rFonts w:hint="eastAsia" w:ascii="宋体" w:hAnsi="宋体" w:eastAsia="宋体" w:cs="宋体"/>
          <w:b/>
          <w:bCs/>
          <w:color w:val="auto"/>
          <w:sz w:val="24"/>
          <w:szCs w:val="24"/>
          <w:highlight w:val="none"/>
          <w:lang w:val="en-US" w:eastAsia="zh-CN"/>
        </w:rPr>
      </w:pPr>
      <w:bookmarkStart w:id="188" w:name="_Toc6598"/>
      <w:bookmarkStart w:id="189" w:name="_Toc22276"/>
      <w:r>
        <w:rPr>
          <w:rFonts w:hint="eastAsia" w:ascii="宋体" w:hAnsi="宋体" w:eastAsia="宋体" w:cs="宋体"/>
          <w:b/>
          <w:bCs/>
          <w:color w:val="auto"/>
          <w:sz w:val="24"/>
          <w:szCs w:val="24"/>
          <w:highlight w:val="none"/>
          <w:lang w:val="en-US" w:eastAsia="zh-CN"/>
        </w:rPr>
        <w:t>二、无重大违法记录声明函、无不良信用记录声明函</w:t>
      </w:r>
      <w:bookmarkEnd w:id="188"/>
      <w:bookmarkEnd w:id="189"/>
    </w:p>
    <w:p w14:paraId="01BE61B5">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无重大违法记录声明函</w:t>
      </w:r>
    </w:p>
    <w:p w14:paraId="39EE617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color w:val="auto"/>
          <w:sz w:val="24"/>
          <w:szCs w:val="24"/>
          <w:highlight w:val="none"/>
        </w:rPr>
      </w:pPr>
      <w:r>
        <w:rPr>
          <w:rFonts w:hint="eastAsia"/>
          <w:color w:val="auto"/>
          <w:sz w:val="24"/>
          <w:szCs w:val="24"/>
          <w:highlight w:val="none"/>
        </w:rPr>
        <w:t>本公司郑重声明，</w:t>
      </w:r>
      <w:r>
        <w:rPr>
          <w:rFonts w:hint="eastAsia"/>
          <w:color w:val="auto"/>
          <w:sz w:val="24"/>
          <w:szCs w:val="24"/>
          <w:highlight w:val="none"/>
          <w:lang w:val="en-US" w:eastAsia="zh-CN"/>
        </w:rPr>
        <w:t>在</w:t>
      </w:r>
      <w:r>
        <w:rPr>
          <w:rFonts w:hint="eastAsia"/>
          <w:color w:val="auto"/>
          <w:sz w:val="24"/>
          <w:szCs w:val="24"/>
          <w:highlight w:val="none"/>
        </w:rPr>
        <w:t>参加本</w:t>
      </w:r>
      <w:r>
        <w:rPr>
          <w:rFonts w:hint="eastAsia"/>
          <w:color w:val="auto"/>
          <w:sz w:val="24"/>
          <w:szCs w:val="24"/>
          <w:highlight w:val="none"/>
          <w:lang w:val="en-US" w:eastAsia="zh-CN"/>
        </w:rPr>
        <w:t>投标活</w:t>
      </w:r>
      <w:r>
        <w:rPr>
          <w:rFonts w:hint="eastAsia"/>
          <w:color w:val="auto"/>
          <w:sz w:val="24"/>
          <w:szCs w:val="24"/>
          <w:highlight w:val="none"/>
        </w:rPr>
        <w:t>动前三年内，本公司在经营活动中没有重大违法记录即没有因违法经营受到刑事处罚或者责令停产停业、吊销许可证或者执照、较大数额罚款等行政处罚。</w:t>
      </w:r>
    </w:p>
    <w:p w14:paraId="43D89D2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color w:val="auto"/>
          <w:sz w:val="24"/>
          <w:szCs w:val="24"/>
          <w:highlight w:val="none"/>
        </w:rPr>
      </w:pPr>
      <w:r>
        <w:rPr>
          <w:rFonts w:hint="eastAsia"/>
          <w:color w:val="auto"/>
          <w:sz w:val="24"/>
          <w:szCs w:val="24"/>
          <w:highlight w:val="none"/>
        </w:rPr>
        <w:t>本公司对上述声明的真实性负责。如有虚假，将依法承担相应责任。</w:t>
      </w:r>
    </w:p>
    <w:p w14:paraId="28591CBD">
      <w:pPr>
        <w:keepNext w:val="0"/>
        <w:keepLines w:val="0"/>
        <w:pageBreakBefore w:val="0"/>
        <w:widowControl w:val="0"/>
        <w:kinsoku/>
        <w:wordWrap/>
        <w:overflowPunct/>
        <w:topLinePunct w:val="0"/>
        <w:autoSpaceDE/>
        <w:autoSpaceDN/>
        <w:bidi w:val="0"/>
        <w:adjustRightInd/>
        <w:snapToGrid/>
        <w:spacing w:line="360" w:lineRule="auto"/>
        <w:ind w:right="0"/>
        <w:textAlignment w:val="auto"/>
        <w:rPr>
          <w:color w:val="auto"/>
          <w:sz w:val="24"/>
          <w:szCs w:val="24"/>
          <w:highlight w:val="none"/>
        </w:rPr>
      </w:pPr>
    </w:p>
    <w:p w14:paraId="738EB9C7">
      <w:pPr>
        <w:keepNext w:val="0"/>
        <w:keepLines w:val="0"/>
        <w:pageBreakBefore w:val="0"/>
        <w:widowControl w:val="0"/>
        <w:kinsoku/>
        <w:wordWrap/>
        <w:overflowPunct/>
        <w:topLinePunct w:val="0"/>
        <w:autoSpaceDE/>
        <w:autoSpaceDN/>
        <w:bidi w:val="0"/>
        <w:adjustRightInd/>
        <w:snapToGrid/>
        <w:spacing w:line="360" w:lineRule="auto"/>
        <w:ind w:right="0" w:firstLine="6480" w:firstLineChars="2700"/>
        <w:textAlignment w:val="auto"/>
        <w:rPr>
          <w:rFonts w:hint="eastAsia"/>
          <w:bCs/>
          <w:color w:val="auto"/>
          <w:sz w:val="24"/>
          <w:szCs w:val="24"/>
          <w:highlight w:val="none"/>
        </w:rPr>
      </w:pPr>
    </w:p>
    <w:p w14:paraId="01518FF3">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r>
        <w:rPr>
          <w:rFonts w:hint="eastAsia"/>
          <w:bCs/>
          <w:color w:val="auto"/>
          <w:sz w:val="24"/>
          <w:szCs w:val="24"/>
          <w:highlight w:val="none"/>
          <w:lang w:eastAsia="zh-CN"/>
        </w:rPr>
        <w:t>投标人名称（</w:t>
      </w:r>
      <w:r>
        <w:rPr>
          <w:rFonts w:hint="eastAsia"/>
          <w:bCs/>
          <w:color w:val="auto"/>
          <w:sz w:val="24"/>
          <w:szCs w:val="24"/>
          <w:highlight w:val="none"/>
          <w:lang w:val="en-US" w:eastAsia="zh-CN"/>
        </w:rPr>
        <w:t>盖章</w:t>
      </w:r>
      <w:r>
        <w:rPr>
          <w:rFonts w:hint="eastAsia"/>
          <w:bCs/>
          <w:color w:val="auto"/>
          <w:sz w:val="24"/>
          <w:szCs w:val="24"/>
          <w:highlight w:val="none"/>
          <w:lang w:eastAsia="zh-CN"/>
        </w:rPr>
        <w:t>）</w:t>
      </w:r>
      <w:r>
        <w:rPr>
          <w:rFonts w:hint="eastAsia"/>
          <w:bCs/>
          <w:color w:val="auto"/>
          <w:sz w:val="24"/>
          <w:szCs w:val="24"/>
          <w:highlight w:val="none"/>
        </w:rPr>
        <w:t>：</w:t>
      </w:r>
    </w:p>
    <w:p w14:paraId="4192FF94">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法定代表人或委托代理人（签字或盖章）：</w:t>
      </w:r>
    </w:p>
    <w:p w14:paraId="40C7B4CE">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r>
        <w:rPr>
          <w:rFonts w:hint="eastAsia"/>
          <w:bCs/>
          <w:color w:val="auto"/>
          <w:sz w:val="24"/>
          <w:szCs w:val="24"/>
          <w:highlight w:val="none"/>
        </w:rPr>
        <w:t>日期：</w:t>
      </w:r>
    </w:p>
    <w:p w14:paraId="479D26E1">
      <w:pPr>
        <w:rPr>
          <w:color w:val="auto"/>
          <w:sz w:val="24"/>
          <w:szCs w:val="24"/>
          <w:highlight w:val="none"/>
        </w:rPr>
      </w:pPr>
    </w:p>
    <w:p w14:paraId="05F30FA0">
      <w:pPr>
        <w:rPr>
          <w:b/>
          <w:bCs/>
          <w:color w:val="auto"/>
          <w:sz w:val="24"/>
          <w:szCs w:val="24"/>
          <w:highlight w:val="none"/>
        </w:rPr>
      </w:pPr>
    </w:p>
    <w:p w14:paraId="0036A5E1">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b/>
          <w:bCs/>
          <w:color w:val="auto"/>
          <w:sz w:val="24"/>
          <w:szCs w:val="24"/>
          <w:highlight w:val="none"/>
        </w:rPr>
      </w:pPr>
    </w:p>
    <w:p w14:paraId="76776AF7">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b/>
          <w:bCs/>
          <w:color w:val="auto"/>
          <w:sz w:val="24"/>
          <w:szCs w:val="24"/>
          <w:highlight w:val="none"/>
        </w:rPr>
      </w:pPr>
      <w:r>
        <w:rPr>
          <w:rFonts w:hint="eastAsia"/>
          <w:b/>
          <w:bCs/>
          <w:color w:val="auto"/>
          <w:sz w:val="24"/>
          <w:szCs w:val="24"/>
          <w:highlight w:val="none"/>
        </w:rPr>
        <w:t>无不良信用记录承诺函</w:t>
      </w:r>
    </w:p>
    <w:p w14:paraId="0AD09DF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本公司郑重承诺，我公司无以下不良信用记录情形：</w:t>
      </w:r>
    </w:p>
    <w:p w14:paraId="4D76033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w:t>
      </w:r>
      <w:r>
        <w:rPr>
          <w:rFonts w:hint="eastAsia" w:ascii="宋体" w:hAnsi="宋体" w:eastAsia="宋体" w:cs="宋体"/>
          <w:color w:val="auto"/>
          <w:sz w:val="24"/>
          <w:szCs w:val="24"/>
          <w:highlight w:val="none"/>
          <w:lang w:val="en-US" w:eastAsia="zh-CN"/>
        </w:rPr>
        <w:t>被</w:t>
      </w:r>
      <w:r>
        <w:rPr>
          <w:rFonts w:hint="eastAsia" w:ascii="宋体" w:hAnsi="宋体" w:eastAsia="宋体" w:cs="宋体"/>
          <w:color w:val="auto"/>
          <w:sz w:val="24"/>
          <w:szCs w:val="24"/>
          <w:highlight w:val="none"/>
        </w:rPr>
        <w:t>人民法院列入失信被执行人名单</w:t>
      </w:r>
      <w:r>
        <w:rPr>
          <w:rFonts w:hint="eastAsia" w:ascii="宋体" w:hAnsi="宋体" w:eastAsia="宋体" w:cs="宋体"/>
          <w:color w:val="auto"/>
          <w:sz w:val="24"/>
          <w:szCs w:val="24"/>
          <w:highlight w:val="none"/>
        </w:rPr>
        <w:t>；</w:t>
      </w:r>
    </w:p>
    <w:p w14:paraId="6734D74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2、公司被</w:t>
      </w:r>
      <w:r>
        <w:rPr>
          <w:rFonts w:hint="eastAsia" w:ascii="宋体" w:hAnsi="宋体" w:eastAsia="宋体" w:cs="宋体"/>
          <w:color w:val="auto"/>
          <w:sz w:val="24"/>
          <w:szCs w:val="24"/>
          <w:highlight w:val="none"/>
        </w:rPr>
        <w:t>市场监督管理部门列入严重违法失信名单</w:t>
      </w:r>
      <w:r>
        <w:rPr>
          <w:rFonts w:hint="eastAsia" w:ascii="宋体" w:hAnsi="宋体" w:eastAsia="宋体" w:cs="宋体"/>
          <w:color w:val="auto"/>
          <w:sz w:val="24"/>
          <w:szCs w:val="24"/>
          <w:highlight w:val="none"/>
        </w:rPr>
        <w:t>；</w:t>
      </w:r>
    </w:p>
    <w:p w14:paraId="2740B95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3、公司被</w:t>
      </w:r>
      <w:r>
        <w:rPr>
          <w:rFonts w:hint="eastAsia" w:ascii="宋体" w:hAnsi="宋体" w:eastAsia="宋体" w:cs="宋体"/>
          <w:color w:val="auto"/>
          <w:sz w:val="24"/>
          <w:szCs w:val="24"/>
          <w:highlight w:val="none"/>
        </w:rPr>
        <w:t>税务机关列入重大税收违法失信主体名单</w:t>
      </w:r>
      <w:r>
        <w:rPr>
          <w:rFonts w:hint="eastAsia" w:ascii="宋体" w:hAnsi="宋体" w:eastAsia="宋体" w:cs="宋体"/>
          <w:color w:val="auto"/>
          <w:sz w:val="24"/>
          <w:szCs w:val="24"/>
          <w:highlight w:val="none"/>
        </w:rPr>
        <w:t>；</w:t>
      </w:r>
    </w:p>
    <w:p w14:paraId="384DAEE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本公司对上述声明的真实性负责。如有虚假，将依法承担相应责任。</w:t>
      </w:r>
    </w:p>
    <w:p w14:paraId="03C64DD7">
      <w:pPr>
        <w:keepNext w:val="0"/>
        <w:keepLines w:val="0"/>
        <w:pageBreakBefore w:val="0"/>
        <w:widowControl w:val="0"/>
        <w:kinsoku/>
        <w:wordWrap/>
        <w:overflowPunct/>
        <w:topLinePunct w:val="0"/>
        <w:autoSpaceDE/>
        <w:autoSpaceDN/>
        <w:bidi w:val="0"/>
        <w:adjustRightInd/>
        <w:snapToGrid/>
        <w:spacing w:line="360" w:lineRule="auto"/>
        <w:ind w:right="0"/>
        <w:textAlignment w:val="auto"/>
        <w:rPr>
          <w:color w:val="auto"/>
          <w:sz w:val="24"/>
          <w:szCs w:val="24"/>
          <w:highlight w:val="none"/>
        </w:rPr>
      </w:pPr>
    </w:p>
    <w:p w14:paraId="1B11E652">
      <w:pPr>
        <w:keepNext w:val="0"/>
        <w:keepLines w:val="0"/>
        <w:pageBreakBefore w:val="0"/>
        <w:widowControl w:val="0"/>
        <w:kinsoku/>
        <w:wordWrap/>
        <w:overflowPunct/>
        <w:topLinePunct w:val="0"/>
        <w:autoSpaceDE/>
        <w:autoSpaceDN/>
        <w:bidi w:val="0"/>
        <w:adjustRightInd/>
        <w:snapToGrid/>
        <w:spacing w:line="360" w:lineRule="auto"/>
        <w:ind w:right="0" w:firstLine="6480" w:firstLineChars="2700"/>
        <w:textAlignment w:val="auto"/>
        <w:rPr>
          <w:rFonts w:hint="eastAsia"/>
          <w:bCs/>
          <w:color w:val="auto"/>
          <w:sz w:val="24"/>
          <w:szCs w:val="24"/>
          <w:highlight w:val="none"/>
        </w:rPr>
      </w:pPr>
    </w:p>
    <w:p w14:paraId="718A75BB">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r>
        <w:rPr>
          <w:rFonts w:hint="eastAsia"/>
          <w:bCs/>
          <w:color w:val="auto"/>
          <w:sz w:val="24"/>
          <w:szCs w:val="24"/>
          <w:highlight w:val="none"/>
          <w:lang w:eastAsia="zh-CN"/>
        </w:rPr>
        <w:t>投标人名称（</w:t>
      </w:r>
      <w:r>
        <w:rPr>
          <w:rFonts w:hint="eastAsia"/>
          <w:bCs/>
          <w:color w:val="auto"/>
          <w:sz w:val="24"/>
          <w:szCs w:val="24"/>
          <w:highlight w:val="none"/>
          <w:lang w:val="en-US" w:eastAsia="zh-CN"/>
        </w:rPr>
        <w:t>盖章</w:t>
      </w:r>
      <w:r>
        <w:rPr>
          <w:rFonts w:hint="eastAsia"/>
          <w:bCs/>
          <w:color w:val="auto"/>
          <w:sz w:val="24"/>
          <w:szCs w:val="24"/>
          <w:highlight w:val="none"/>
          <w:lang w:eastAsia="zh-CN"/>
        </w:rPr>
        <w:t>）</w:t>
      </w:r>
      <w:r>
        <w:rPr>
          <w:rFonts w:hint="eastAsia"/>
          <w:bCs/>
          <w:color w:val="auto"/>
          <w:sz w:val="24"/>
          <w:szCs w:val="24"/>
          <w:highlight w:val="none"/>
        </w:rPr>
        <w:t>：</w:t>
      </w:r>
    </w:p>
    <w:p w14:paraId="22BB134C">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法定代表人或委托代理人（签字或盖章）：</w:t>
      </w:r>
    </w:p>
    <w:p w14:paraId="28A64915">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r>
        <w:rPr>
          <w:rFonts w:hint="eastAsia"/>
          <w:bCs/>
          <w:color w:val="auto"/>
          <w:sz w:val="24"/>
          <w:szCs w:val="24"/>
          <w:highlight w:val="none"/>
        </w:rPr>
        <w:t>日期：</w:t>
      </w:r>
    </w:p>
    <w:p w14:paraId="62ECA3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p>
    <w:p w14:paraId="2ACCFCE1">
      <w:pPr>
        <w:pStyle w:val="70"/>
        <w:rPr>
          <w:rFonts w:hint="eastAsia" w:ascii="宋体" w:hAnsi="宋体" w:eastAsia="宋体" w:cs="Times New Roman"/>
          <w:color w:val="auto"/>
          <w:sz w:val="24"/>
          <w:szCs w:val="24"/>
          <w:highlight w:val="none"/>
        </w:rPr>
      </w:pPr>
    </w:p>
    <w:p w14:paraId="352B1F1F">
      <w:pPr>
        <w:pStyle w:val="70"/>
        <w:rPr>
          <w:rFonts w:hint="eastAsia" w:ascii="宋体" w:hAnsi="宋体" w:eastAsia="宋体" w:cs="Times New Roman"/>
          <w:color w:val="auto"/>
          <w:sz w:val="24"/>
          <w:szCs w:val="24"/>
          <w:highlight w:val="none"/>
        </w:rPr>
      </w:pPr>
    </w:p>
    <w:p w14:paraId="11E86AEF">
      <w:pPr>
        <w:pStyle w:val="70"/>
        <w:rPr>
          <w:rFonts w:hint="eastAsia" w:ascii="宋体" w:hAnsi="宋体" w:eastAsia="宋体" w:cs="Times New Roman"/>
          <w:color w:val="auto"/>
          <w:sz w:val="24"/>
          <w:szCs w:val="24"/>
          <w:highlight w:val="none"/>
        </w:rPr>
      </w:pPr>
    </w:p>
    <w:p w14:paraId="159EBD73">
      <w:pPr>
        <w:pStyle w:val="70"/>
        <w:rPr>
          <w:rFonts w:hint="eastAsia" w:ascii="宋体" w:hAnsi="宋体" w:eastAsia="宋体" w:cs="Times New Roman"/>
          <w:color w:val="auto"/>
          <w:sz w:val="24"/>
          <w:szCs w:val="24"/>
          <w:highlight w:val="none"/>
        </w:rPr>
      </w:pPr>
    </w:p>
    <w:p w14:paraId="1E8EEAF9">
      <w:pPr>
        <w:pStyle w:val="70"/>
        <w:rPr>
          <w:rFonts w:hint="eastAsia" w:ascii="宋体" w:hAnsi="宋体" w:eastAsia="宋体" w:cs="Times New Roman"/>
          <w:color w:val="auto"/>
          <w:sz w:val="24"/>
          <w:szCs w:val="24"/>
          <w:highlight w:val="none"/>
        </w:rPr>
      </w:pPr>
    </w:p>
    <w:p w14:paraId="4080850A">
      <w:pPr>
        <w:pStyle w:val="70"/>
        <w:rPr>
          <w:rFonts w:hint="eastAsia" w:ascii="宋体" w:hAnsi="宋体" w:eastAsia="宋体" w:cs="Times New Roman"/>
          <w:color w:val="auto"/>
          <w:sz w:val="24"/>
          <w:szCs w:val="24"/>
          <w:highlight w:val="none"/>
        </w:rPr>
      </w:pPr>
    </w:p>
    <w:p w14:paraId="05E5B24C">
      <w:pPr>
        <w:pStyle w:val="70"/>
        <w:rPr>
          <w:rFonts w:hint="eastAsia" w:ascii="宋体" w:hAnsi="宋体" w:eastAsia="宋体" w:cs="Times New Roman"/>
          <w:color w:val="auto"/>
          <w:sz w:val="24"/>
          <w:szCs w:val="24"/>
          <w:highlight w:val="none"/>
        </w:rPr>
      </w:pPr>
    </w:p>
    <w:p w14:paraId="5625BEBD">
      <w:pPr>
        <w:pStyle w:val="3"/>
        <w:keepNext/>
        <w:keepLines/>
        <w:pageBreakBefore w:val="0"/>
        <w:widowControl w:val="0"/>
        <w:numPr>
          <w:ilvl w:val="0"/>
          <w:numId w:val="0"/>
        </w:numPr>
        <w:kinsoku/>
        <w:wordWrap/>
        <w:overflowPunct/>
        <w:topLinePunct w:val="0"/>
        <w:autoSpaceDE/>
        <w:autoSpaceDN/>
        <w:bidi w:val="0"/>
        <w:adjustRightInd/>
        <w:snapToGrid/>
        <w:spacing w:before="0" w:after="120" w:afterLines="50" w:line="360" w:lineRule="auto"/>
        <w:jc w:val="center"/>
        <w:textAlignment w:val="auto"/>
        <w:rPr>
          <w:rFonts w:hint="eastAsia" w:ascii="宋体" w:hAnsi="宋体" w:eastAsia="宋体" w:cs="宋体"/>
          <w:b/>
          <w:bCs/>
          <w:color w:val="auto"/>
          <w:sz w:val="24"/>
          <w:szCs w:val="24"/>
          <w:highlight w:val="none"/>
          <w:lang w:val="en-US" w:eastAsia="zh-CN"/>
        </w:rPr>
      </w:pPr>
      <w:bookmarkStart w:id="190" w:name="_Toc15021"/>
      <w:bookmarkStart w:id="191" w:name="_Toc15790"/>
      <w:r>
        <w:rPr>
          <w:rFonts w:hint="eastAsia" w:ascii="宋体" w:hAnsi="宋体" w:eastAsia="宋体" w:cs="宋体"/>
          <w:b/>
          <w:bCs/>
          <w:color w:val="auto"/>
          <w:sz w:val="24"/>
          <w:szCs w:val="24"/>
          <w:highlight w:val="none"/>
          <w:lang w:val="en-US" w:eastAsia="zh-CN"/>
        </w:rPr>
        <w:t>三、投标人其他资格要求</w:t>
      </w:r>
      <w:bookmarkEnd w:id="190"/>
      <w:bookmarkEnd w:id="191"/>
    </w:p>
    <w:p w14:paraId="464C4DD2">
      <w:pPr>
        <w:pStyle w:val="21"/>
        <w:snapToGrid w:val="0"/>
        <w:spacing w:line="360" w:lineRule="auto"/>
        <w:jc w:val="center"/>
        <w:rPr>
          <w:rFonts w:hint="eastAsia" w:ascii="宋体" w:hAnsi="宋体" w:eastAsia="宋体" w:cs="Times New Roman"/>
          <w:color w:val="auto"/>
          <w:sz w:val="24"/>
          <w:szCs w:val="24"/>
          <w:highlight w:val="none"/>
        </w:rPr>
      </w:pPr>
      <w:bookmarkStart w:id="192" w:name="_Toc31282"/>
      <w:bookmarkStart w:id="193" w:name="_Toc9925"/>
      <w:bookmarkStart w:id="194" w:name="_Toc15076"/>
      <w:r>
        <w:rPr>
          <w:rFonts w:hint="eastAsia" w:ascii="宋体" w:hAnsi="宋体" w:eastAsia="宋体" w:cs="Times New Roman"/>
          <w:color w:val="auto"/>
          <w:sz w:val="24"/>
          <w:szCs w:val="24"/>
          <w:highlight w:val="none"/>
        </w:rPr>
        <w:t>（按招标文件要求内容提供）</w:t>
      </w:r>
      <w:bookmarkEnd w:id="192"/>
      <w:bookmarkEnd w:id="193"/>
      <w:bookmarkEnd w:id="194"/>
    </w:p>
    <w:p w14:paraId="66B0477D">
      <w:pPr>
        <w:pStyle w:val="21"/>
        <w:snapToGrid w:val="0"/>
        <w:spacing w:line="360" w:lineRule="auto"/>
        <w:jc w:val="center"/>
        <w:rPr>
          <w:rFonts w:hint="eastAsia" w:ascii="宋体" w:hAnsi="宋体" w:eastAsia="宋体" w:cs="Times New Roman"/>
          <w:color w:val="auto"/>
          <w:sz w:val="24"/>
          <w:szCs w:val="24"/>
          <w:highlight w:val="none"/>
        </w:rPr>
      </w:pPr>
    </w:p>
    <w:p w14:paraId="46AC6EDC">
      <w:pPr>
        <w:pStyle w:val="21"/>
        <w:snapToGrid w:val="0"/>
        <w:spacing w:line="360" w:lineRule="auto"/>
        <w:jc w:val="center"/>
        <w:rPr>
          <w:rFonts w:hint="eastAsia" w:ascii="宋体" w:hAnsi="宋体" w:eastAsia="宋体" w:cs="Times New Roman"/>
          <w:color w:val="auto"/>
          <w:sz w:val="24"/>
          <w:szCs w:val="24"/>
          <w:highlight w:val="none"/>
        </w:rPr>
      </w:pPr>
    </w:p>
    <w:p w14:paraId="38FB2D1D">
      <w:pPr>
        <w:pStyle w:val="21"/>
        <w:snapToGrid w:val="0"/>
        <w:spacing w:line="360" w:lineRule="auto"/>
        <w:jc w:val="center"/>
        <w:rPr>
          <w:rFonts w:hint="eastAsia" w:ascii="宋体" w:hAnsi="宋体" w:eastAsia="宋体" w:cs="Times New Roman"/>
          <w:color w:val="auto"/>
          <w:sz w:val="24"/>
          <w:szCs w:val="24"/>
          <w:highlight w:val="none"/>
        </w:rPr>
      </w:pPr>
    </w:p>
    <w:p w14:paraId="1A38F9EB">
      <w:pPr>
        <w:pStyle w:val="21"/>
        <w:snapToGrid w:val="0"/>
        <w:spacing w:line="360" w:lineRule="auto"/>
        <w:jc w:val="center"/>
        <w:rPr>
          <w:rFonts w:hint="eastAsia" w:ascii="宋体" w:hAnsi="宋体" w:eastAsia="宋体" w:cs="Times New Roman"/>
          <w:color w:val="auto"/>
          <w:sz w:val="24"/>
          <w:szCs w:val="24"/>
          <w:highlight w:val="none"/>
        </w:rPr>
      </w:pPr>
    </w:p>
    <w:p w14:paraId="2FAF3C29">
      <w:pPr>
        <w:keepNext w:val="0"/>
        <w:keepLines w:val="0"/>
        <w:pageBreakBefore w:val="0"/>
        <w:widowControl w:val="0"/>
        <w:kinsoku/>
        <w:wordWrap/>
        <w:overflowPunct/>
        <w:topLinePunct w:val="0"/>
        <w:autoSpaceDE/>
        <w:autoSpaceDN/>
        <w:bidi w:val="0"/>
        <w:adjustRightInd/>
        <w:snapToGrid/>
        <w:spacing w:line="360" w:lineRule="auto"/>
        <w:ind w:left="1890" w:leftChars="900" w:right="0" w:firstLine="2400" w:firstLineChars="1000"/>
        <w:textAlignment w:val="auto"/>
        <w:rPr>
          <w:rFonts w:hint="eastAsia"/>
          <w:bCs/>
          <w:color w:val="auto"/>
          <w:sz w:val="24"/>
          <w:szCs w:val="24"/>
          <w:highlight w:val="none"/>
        </w:rPr>
      </w:pPr>
    </w:p>
    <w:p w14:paraId="13E5EF3A">
      <w:pPr>
        <w:pStyle w:val="21"/>
        <w:snapToGrid w:val="0"/>
        <w:spacing w:line="360" w:lineRule="auto"/>
        <w:jc w:val="center"/>
        <w:rPr>
          <w:rFonts w:hint="eastAsia" w:ascii="宋体" w:hAnsi="宋体" w:eastAsia="宋体" w:cs="Times New Roman"/>
          <w:color w:val="auto"/>
          <w:sz w:val="24"/>
          <w:szCs w:val="24"/>
          <w:highlight w:val="none"/>
        </w:rPr>
      </w:pPr>
    </w:p>
    <w:p w14:paraId="67C9033C">
      <w:pPr>
        <w:spacing w:before="193" w:line="360" w:lineRule="auto"/>
        <w:jc w:val="center"/>
        <w:textAlignment w:val="baseline"/>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基本账户开户许可证（或基本账户开户银行的基本存款账户信息）</w:t>
      </w:r>
    </w:p>
    <w:p w14:paraId="1B3C184D">
      <w:pPr>
        <w:spacing w:before="193" w:line="360" w:lineRule="auto"/>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承诺函</w:t>
      </w:r>
    </w:p>
    <w:p w14:paraId="5CB48E43">
      <w:pPr>
        <w:spacing w:line="360" w:lineRule="auto"/>
        <w:textAlignment w:val="baseline"/>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致：</w:t>
      </w:r>
      <w:r>
        <w:rPr>
          <w:rFonts w:hint="eastAsia" w:ascii="新宋体" w:hAnsi="新宋体" w:eastAsia="新宋体" w:cs="新宋体"/>
          <w:color w:val="auto"/>
          <w:sz w:val="24"/>
          <w:szCs w:val="24"/>
          <w:highlight w:val="none"/>
          <w:u w:val="single"/>
        </w:rPr>
        <w:t>（</w:t>
      </w:r>
      <w:r>
        <w:rPr>
          <w:rFonts w:hint="eastAsia" w:ascii="新宋体" w:hAnsi="新宋体" w:eastAsia="新宋体" w:cs="新宋体"/>
          <w:color w:val="auto"/>
          <w:sz w:val="24"/>
          <w:szCs w:val="24"/>
          <w:highlight w:val="none"/>
          <w:u w:val="single"/>
          <w:lang w:eastAsia="zh-CN"/>
        </w:rPr>
        <w:t>招标人</w:t>
      </w:r>
      <w:r>
        <w:rPr>
          <w:rFonts w:hint="eastAsia" w:ascii="新宋体" w:hAnsi="新宋体" w:eastAsia="新宋体" w:cs="新宋体"/>
          <w:color w:val="auto"/>
          <w:sz w:val="24"/>
          <w:szCs w:val="24"/>
          <w:highlight w:val="none"/>
          <w:u w:val="single"/>
        </w:rPr>
        <w:t>名称）</w:t>
      </w:r>
    </w:p>
    <w:p w14:paraId="7B31D27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我单位向贵单位承诺：以下所附我单位基本账户开户许可证（或基本账户开户银行的基本存款账户信息</w:t>
      </w:r>
      <w:r>
        <w:rPr>
          <w:rFonts w:hint="eastAsia" w:ascii="新宋体" w:hAnsi="新宋体" w:eastAsia="新宋体" w:cs="新宋体"/>
          <w:color w:val="auto"/>
          <w:spacing w:val="-15"/>
          <w:sz w:val="24"/>
          <w:szCs w:val="24"/>
          <w:highlight w:val="none"/>
        </w:rPr>
        <w:t>）</w:t>
      </w:r>
      <w:r>
        <w:rPr>
          <w:rFonts w:hint="eastAsia" w:ascii="新宋体" w:hAnsi="新宋体" w:eastAsia="新宋体" w:cs="新宋体"/>
          <w:color w:val="auto"/>
          <w:spacing w:val="-4"/>
          <w:sz w:val="24"/>
          <w:szCs w:val="24"/>
          <w:highlight w:val="none"/>
        </w:rPr>
        <w:t>原件扫描件真实有效。如</w:t>
      </w:r>
      <w:r>
        <w:rPr>
          <w:rFonts w:hint="eastAsia" w:ascii="新宋体" w:hAnsi="新宋体" w:eastAsia="新宋体" w:cs="新宋体"/>
          <w:color w:val="auto"/>
          <w:sz w:val="24"/>
          <w:szCs w:val="24"/>
          <w:highlight w:val="none"/>
        </w:rPr>
        <w:t>属于弄虚作假的，其投标无效。</w:t>
      </w:r>
    </w:p>
    <w:p w14:paraId="31D8D3D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rPr>
          <w:rFonts w:hint="eastAsia" w:ascii="新宋体" w:hAnsi="新宋体" w:eastAsia="新宋体" w:cs="新宋体"/>
          <w:b/>
          <w:bCs/>
          <w:color w:val="auto"/>
          <w:kern w:val="0"/>
          <w:sz w:val="24"/>
          <w:szCs w:val="24"/>
          <w:highlight w:val="none"/>
        </w:rPr>
      </w:pPr>
      <w:r>
        <w:rPr>
          <w:rFonts w:hint="eastAsia" w:ascii="新宋体" w:hAnsi="新宋体" w:eastAsia="新宋体" w:cs="新宋体"/>
          <w:color w:val="auto"/>
          <w:kern w:val="0"/>
          <w:sz w:val="24"/>
          <w:szCs w:val="24"/>
          <w:highlight w:val="none"/>
        </w:rPr>
        <w:t>我单位承诺</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rPr>
        <w:t>若</w:t>
      </w:r>
      <w:r>
        <w:rPr>
          <w:rFonts w:hint="eastAsia" w:ascii="新宋体" w:hAnsi="新宋体" w:eastAsia="新宋体" w:cs="新宋体"/>
          <w:bCs/>
          <w:color w:val="auto"/>
          <w:kern w:val="0"/>
          <w:sz w:val="24"/>
          <w:szCs w:val="24"/>
          <w:highlight w:val="none"/>
        </w:rPr>
        <w:t>提供虚假保函、虚假保证保险，除依法承担弄虚作假的法律责任外，</w:t>
      </w:r>
      <w:r>
        <w:rPr>
          <w:rFonts w:hint="eastAsia" w:ascii="新宋体" w:hAnsi="新宋体" w:eastAsia="新宋体" w:cs="新宋体"/>
          <w:bCs/>
          <w:strike w:val="0"/>
          <w:dstrike w:val="0"/>
          <w:color w:val="auto"/>
          <w:kern w:val="0"/>
          <w:sz w:val="24"/>
          <w:szCs w:val="24"/>
          <w:highlight w:val="none"/>
        </w:rPr>
        <w:t>我单位自愿承担根据招标文件规定投标保证金不予退还的民事责任，承担方式为限时足额缴纳招标文件所列全部投标保证金，在</w:t>
      </w:r>
      <w:r>
        <w:rPr>
          <w:rFonts w:hint="eastAsia" w:ascii="新宋体" w:hAnsi="新宋体" w:eastAsia="新宋体" w:cs="新宋体"/>
          <w:bCs/>
          <w:strike w:val="0"/>
          <w:dstrike w:val="0"/>
          <w:color w:val="auto"/>
          <w:kern w:val="0"/>
          <w:sz w:val="24"/>
          <w:szCs w:val="24"/>
          <w:highlight w:val="none"/>
          <w:lang w:eastAsia="zh-CN"/>
        </w:rPr>
        <w:t>招标人</w:t>
      </w:r>
      <w:r>
        <w:rPr>
          <w:rFonts w:hint="eastAsia" w:ascii="新宋体" w:hAnsi="新宋体" w:eastAsia="新宋体" w:cs="新宋体"/>
          <w:bCs/>
          <w:strike w:val="0"/>
          <w:dstrike w:val="0"/>
          <w:color w:val="auto"/>
          <w:kern w:val="0"/>
          <w:sz w:val="24"/>
          <w:szCs w:val="24"/>
          <w:highlight w:val="none"/>
        </w:rPr>
        <w:t>发出追缴通知后的规定缴纳时间内不能足额支付投标保证金的，</w:t>
      </w:r>
      <w:r>
        <w:rPr>
          <w:rFonts w:hint="eastAsia" w:ascii="新宋体" w:hAnsi="新宋体" w:eastAsia="新宋体" w:cs="新宋体"/>
          <w:bCs/>
          <w:color w:val="auto"/>
          <w:kern w:val="0"/>
          <w:sz w:val="24"/>
          <w:szCs w:val="24"/>
          <w:highlight w:val="none"/>
          <w:lang w:eastAsia="zh-CN"/>
        </w:rPr>
        <w:t>招标人</w:t>
      </w:r>
      <w:r>
        <w:rPr>
          <w:rFonts w:hint="eastAsia" w:ascii="新宋体" w:hAnsi="新宋体" w:eastAsia="新宋体" w:cs="新宋体"/>
          <w:bCs/>
          <w:color w:val="auto"/>
          <w:kern w:val="0"/>
          <w:sz w:val="24"/>
          <w:szCs w:val="24"/>
          <w:highlight w:val="none"/>
        </w:rPr>
        <w:t>可以依法提起诉讼追缴，</w:t>
      </w:r>
      <w:r>
        <w:rPr>
          <w:rFonts w:hint="eastAsia" w:ascii="新宋体" w:hAnsi="新宋体" w:eastAsia="新宋体" w:cs="新宋体"/>
          <w:bCs/>
          <w:color w:val="auto"/>
          <w:kern w:val="0"/>
          <w:sz w:val="24"/>
          <w:szCs w:val="24"/>
          <w:highlight w:val="none"/>
          <w:lang w:eastAsia="zh-CN"/>
        </w:rPr>
        <w:t>招标人</w:t>
      </w:r>
      <w:r>
        <w:rPr>
          <w:rFonts w:hint="eastAsia" w:ascii="新宋体" w:hAnsi="新宋体" w:eastAsia="新宋体" w:cs="新宋体"/>
          <w:bCs/>
          <w:color w:val="auto"/>
          <w:kern w:val="0"/>
          <w:sz w:val="24"/>
          <w:szCs w:val="24"/>
          <w:highlight w:val="none"/>
        </w:rPr>
        <w:t>因此发生的诉讼费、律师代理费等费用均由我单位承担。不缴纳或不足额缴纳的，将承担不良行为记录、行政处罚、投标资格限制的处理，直至承担弄虚作假的刑事责任。</w:t>
      </w:r>
    </w:p>
    <w:p w14:paraId="1B7F6E99">
      <w:pPr>
        <w:keepNext w:val="0"/>
        <w:keepLines w:val="0"/>
        <w:pageBreakBefore w:val="0"/>
        <w:widowControl w:val="0"/>
        <w:kinsoku/>
        <w:wordWrap/>
        <w:overflowPunct/>
        <w:topLinePunct w:val="0"/>
        <w:autoSpaceDE/>
        <w:autoSpaceDN/>
        <w:bidi w:val="0"/>
        <w:adjustRightInd/>
        <w:snapToGrid/>
        <w:spacing w:line="360" w:lineRule="auto"/>
        <w:ind w:right="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附：账户开户许可证（或基本账户开户银行的基本存款账户信息）</w:t>
      </w:r>
    </w:p>
    <w:p w14:paraId="5B363455">
      <w:pPr>
        <w:spacing w:after="120" w:line="360" w:lineRule="auto"/>
        <w:ind w:right="96"/>
        <w:rPr>
          <w:rFonts w:hint="eastAsia" w:ascii="新宋体" w:hAnsi="新宋体" w:eastAsia="新宋体" w:cs="新宋体"/>
          <w:color w:val="auto"/>
          <w:sz w:val="24"/>
          <w:szCs w:val="24"/>
          <w:highlight w:val="none"/>
        </w:rPr>
      </w:pPr>
    </w:p>
    <w:p w14:paraId="2FC17D26">
      <w:pPr>
        <w:pStyle w:val="68"/>
        <w:rPr>
          <w:rFonts w:hint="eastAsia" w:ascii="新宋体" w:hAnsi="新宋体" w:eastAsia="新宋体" w:cs="新宋体"/>
          <w:color w:val="auto"/>
          <w:sz w:val="24"/>
          <w:szCs w:val="24"/>
          <w:highlight w:val="none"/>
        </w:rPr>
      </w:pPr>
    </w:p>
    <w:p w14:paraId="31580338">
      <w:pPr>
        <w:pStyle w:val="68"/>
        <w:rPr>
          <w:rFonts w:hint="eastAsia" w:ascii="新宋体" w:hAnsi="新宋体" w:eastAsia="新宋体" w:cs="新宋体"/>
          <w:color w:val="auto"/>
          <w:sz w:val="24"/>
          <w:szCs w:val="24"/>
          <w:highlight w:val="none"/>
        </w:rPr>
      </w:pPr>
    </w:p>
    <w:p w14:paraId="6FD4823D">
      <w:pPr>
        <w:tabs>
          <w:tab w:val="left" w:pos="7867"/>
        </w:tabs>
        <w:spacing w:before="100" w:beforeAutospacing="1" w:line="360" w:lineRule="auto"/>
        <w:jc w:val="left"/>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投标人</w:t>
      </w:r>
      <w:r>
        <w:rPr>
          <w:rFonts w:hint="eastAsia" w:ascii="新宋体" w:hAnsi="新宋体" w:eastAsia="新宋体" w:cs="新宋体"/>
          <w:color w:val="auto"/>
          <w:sz w:val="24"/>
          <w:szCs w:val="24"/>
          <w:highlight w:val="none"/>
          <w:lang w:val="en-US" w:eastAsia="zh-CN"/>
        </w:rPr>
        <w:t>名称</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rPr>
        <w:t>（盖单位公章）</w:t>
      </w:r>
    </w:p>
    <w:p w14:paraId="6A41278D">
      <w:pPr>
        <w:tabs>
          <w:tab w:val="left" w:pos="7867"/>
        </w:tabs>
        <w:spacing w:before="100" w:beforeAutospacing="1" w:line="360" w:lineRule="auto"/>
        <w:jc w:val="left"/>
        <w:textAlignment w:val="baseline"/>
        <w:rPr>
          <w:rFonts w:hint="eastAsia" w:ascii="新宋体" w:hAnsi="新宋体" w:eastAsia="新宋体" w:cs="新宋体"/>
          <w:color w:val="auto"/>
          <w:sz w:val="24"/>
          <w:szCs w:val="24"/>
          <w:highlight w:val="none"/>
        </w:rPr>
      </w:pPr>
    </w:p>
    <w:p w14:paraId="3EFE8851">
      <w:pPr>
        <w:tabs>
          <w:tab w:val="left" w:pos="7867"/>
        </w:tabs>
        <w:spacing w:before="100" w:beforeAutospacing="1" w:line="360" w:lineRule="auto"/>
        <w:jc w:val="left"/>
        <w:textAlignment w:val="baseline"/>
        <w:rPr>
          <w:rFonts w:hint="eastAsia" w:ascii="新宋体" w:hAnsi="新宋体" w:eastAsia="新宋体" w:cs="新宋体"/>
          <w:color w:val="auto"/>
          <w:sz w:val="24"/>
          <w:szCs w:val="24"/>
          <w:highlight w:val="none"/>
        </w:rPr>
      </w:pPr>
    </w:p>
    <w:p w14:paraId="6C39C410">
      <w:pPr>
        <w:pStyle w:val="38"/>
        <w:rPr>
          <w:rFonts w:hint="eastAsia" w:ascii="新宋体" w:hAnsi="新宋体" w:eastAsia="新宋体" w:cs="新宋体"/>
          <w:color w:val="auto"/>
          <w:sz w:val="24"/>
          <w:szCs w:val="24"/>
          <w:highlight w:val="none"/>
        </w:rPr>
      </w:pPr>
    </w:p>
    <w:p w14:paraId="199C619B">
      <w:pPr>
        <w:bidi w:val="0"/>
        <w:rPr>
          <w:rFonts w:hint="eastAsia"/>
          <w:color w:val="auto"/>
          <w:highlight w:val="none"/>
        </w:rPr>
      </w:pPr>
    </w:p>
    <w:p w14:paraId="46D0879C">
      <w:pPr>
        <w:widowControl/>
        <w:spacing w:line="360" w:lineRule="auto"/>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银行（纸质）保函格式</w:t>
      </w:r>
    </w:p>
    <w:p w14:paraId="4233BBA1">
      <w:pPr>
        <w:keepNext w:val="0"/>
        <w:keepLines w:val="0"/>
        <w:pageBreakBefore w:val="0"/>
        <w:widowControl w:val="0"/>
        <w:kinsoku/>
        <w:wordWrap/>
        <w:overflowPunct w:val="0"/>
        <w:topLinePunct w:val="0"/>
        <w:autoSpaceDE/>
        <w:autoSpaceDN/>
        <w:bidi w:val="0"/>
        <w:adjustRightInd/>
        <w:snapToGrid/>
        <w:spacing w:line="360" w:lineRule="auto"/>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投标人（即“申请人”）：</w:t>
      </w:r>
    </w:p>
    <w:p w14:paraId="78744205">
      <w:pPr>
        <w:keepNext w:val="0"/>
        <w:keepLines w:val="0"/>
        <w:pageBreakBefore w:val="0"/>
        <w:widowControl w:val="0"/>
        <w:tabs>
          <w:tab w:val="left" w:pos="3541"/>
        </w:tabs>
        <w:kinsoku/>
        <w:wordWrap/>
        <w:overflowPunct w:val="0"/>
        <w:topLinePunct w:val="0"/>
        <w:autoSpaceDE/>
        <w:autoSpaceDN/>
        <w:bidi w:val="0"/>
        <w:adjustRightInd/>
        <w:snapToGrid/>
        <w:spacing w:line="360" w:lineRule="auto"/>
        <w:textAlignment w:val="baseline"/>
        <w:rPr>
          <w:rFonts w:hint="default" w:ascii="新宋体" w:hAnsi="新宋体" w:eastAsia="新宋体" w:cs="新宋体"/>
          <w:color w:val="auto"/>
          <w:spacing w:val="0"/>
          <w:sz w:val="24"/>
          <w:szCs w:val="24"/>
          <w:highlight w:val="none"/>
          <w:u w:val="single"/>
          <w:lang w:val="en-US" w:eastAsia="zh-CN"/>
        </w:rPr>
      </w:pPr>
      <w:r>
        <w:rPr>
          <w:rFonts w:hint="eastAsia" w:ascii="新宋体" w:hAnsi="新宋体" w:eastAsia="新宋体" w:cs="新宋体"/>
          <w:color w:val="auto"/>
          <w:spacing w:val="0"/>
          <w:sz w:val="24"/>
          <w:szCs w:val="24"/>
          <w:highlight w:val="none"/>
        </w:rPr>
        <w:t>地址：</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u w:val="single" w:color="000000"/>
        </w:rPr>
        <w:tab/>
      </w:r>
      <w:r>
        <w:rPr>
          <w:rFonts w:hint="eastAsia" w:ascii="新宋体" w:hAnsi="新宋体" w:eastAsia="新宋体" w:cs="新宋体"/>
          <w:color w:val="auto"/>
          <w:spacing w:val="0"/>
          <w:sz w:val="24"/>
          <w:szCs w:val="24"/>
          <w:highlight w:val="none"/>
          <w:u w:val="single" w:color="000000"/>
          <w:lang w:val="en-US" w:eastAsia="zh-CN"/>
        </w:rPr>
        <w:t xml:space="preserve">  </w:t>
      </w:r>
    </w:p>
    <w:p w14:paraId="628AD214">
      <w:pPr>
        <w:keepNext w:val="0"/>
        <w:keepLines w:val="0"/>
        <w:pageBreakBefore w:val="0"/>
        <w:widowControl w:val="0"/>
        <w:tabs>
          <w:tab w:val="left" w:pos="3541"/>
        </w:tabs>
        <w:kinsoku/>
        <w:wordWrap/>
        <w:overflowPunct w:val="0"/>
        <w:topLinePunct w:val="0"/>
        <w:autoSpaceDE/>
        <w:autoSpaceDN/>
        <w:bidi w:val="0"/>
        <w:adjustRightInd/>
        <w:snapToGrid/>
        <w:spacing w:line="360" w:lineRule="auto"/>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lang w:eastAsia="zh-CN"/>
        </w:rPr>
        <w:t>招标人</w:t>
      </w:r>
      <w:r>
        <w:rPr>
          <w:rFonts w:hint="eastAsia" w:ascii="新宋体" w:hAnsi="新宋体" w:eastAsia="新宋体" w:cs="新宋体"/>
          <w:color w:val="auto"/>
          <w:spacing w:val="0"/>
          <w:sz w:val="24"/>
          <w:szCs w:val="24"/>
          <w:highlight w:val="none"/>
        </w:rPr>
        <w:t>（即“受益人”）：</w:t>
      </w:r>
    </w:p>
    <w:p w14:paraId="34B61CC1">
      <w:pPr>
        <w:keepNext w:val="0"/>
        <w:keepLines w:val="0"/>
        <w:pageBreakBefore w:val="0"/>
        <w:widowControl w:val="0"/>
        <w:tabs>
          <w:tab w:val="left" w:pos="3657"/>
        </w:tabs>
        <w:kinsoku/>
        <w:wordWrap/>
        <w:overflowPunct w:val="0"/>
        <w:topLinePunct w:val="0"/>
        <w:autoSpaceDE/>
        <w:autoSpaceDN/>
        <w:bidi w:val="0"/>
        <w:adjustRightInd/>
        <w:snapToGrid/>
        <w:spacing w:line="360" w:lineRule="auto"/>
        <w:textAlignment w:val="baseline"/>
        <w:rPr>
          <w:rFonts w:hint="eastAsia" w:ascii="新宋体" w:hAnsi="新宋体" w:eastAsia="新宋体" w:cs="新宋体"/>
          <w:color w:val="auto"/>
          <w:spacing w:val="0"/>
          <w:sz w:val="24"/>
          <w:szCs w:val="24"/>
          <w:highlight w:val="none"/>
          <w:lang w:val="en-US" w:eastAsia="zh-CN"/>
        </w:rPr>
      </w:pPr>
      <w:r>
        <w:rPr>
          <w:rFonts w:hint="eastAsia" w:ascii="新宋体" w:hAnsi="新宋体" w:eastAsia="新宋体" w:cs="新宋体"/>
          <w:color w:val="auto"/>
          <w:spacing w:val="0"/>
          <w:sz w:val="24"/>
          <w:szCs w:val="24"/>
          <w:highlight w:val="none"/>
        </w:rPr>
        <w:t>地址：</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u w:val="single" w:color="000000"/>
        </w:rPr>
        <w:tab/>
      </w:r>
      <w:r>
        <w:rPr>
          <w:rFonts w:hint="eastAsia" w:ascii="新宋体" w:hAnsi="新宋体" w:eastAsia="新宋体" w:cs="新宋体"/>
          <w:color w:val="auto"/>
          <w:spacing w:val="0"/>
          <w:sz w:val="24"/>
          <w:szCs w:val="24"/>
          <w:highlight w:val="none"/>
          <w:u w:val="single" w:color="000000"/>
          <w:lang w:val="en-US" w:eastAsia="zh-CN"/>
        </w:rPr>
        <w:t xml:space="preserve"> </w:t>
      </w:r>
    </w:p>
    <w:p w14:paraId="3610C4B4">
      <w:pPr>
        <w:keepNext w:val="0"/>
        <w:keepLines w:val="0"/>
        <w:pageBreakBefore w:val="0"/>
        <w:widowControl w:val="0"/>
        <w:tabs>
          <w:tab w:val="left" w:pos="4137"/>
          <w:tab w:val="left" w:pos="4861"/>
        </w:tabs>
        <w:kinsoku/>
        <w:wordWrap/>
        <w:overflowPunct w:val="0"/>
        <w:topLinePunct w:val="0"/>
        <w:autoSpaceDE/>
        <w:autoSpaceDN/>
        <w:bidi w:val="0"/>
        <w:adjustRightInd/>
        <w:snapToGrid/>
        <w:spacing w:line="360" w:lineRule="auto"/>
        <w:textAlignment w:val="baseline"/>
        <w:rPr>
          <w:rFonts w:hint="default" w:ascii="新宋体" w:hAnsi="新宋体" w:eastAsia="新宋体" w:cs="新宋体"/>
          <w:color w:val="auto"/>
          <w:spacing w:val="0"/>
          <w:sz w:val="24"/>
          <w:szCs w:val="24"/>
          <w:highlight w:val="none"/>
          <w:u w:val="single"/>
          <w:lang w:val="en-US" w:eastAsia="zh-CN"/>
        </w:rPr>
      </w:pPr>
      <w:r>
        <w:rPr>
          <w:rFonts w:hint="eastAsia" w:ascii="新宋体" w:hAnsi="新宋体" w:eastAsia="新宋体" w:cs="新宋体"/>
          <w:color w:val="auto"/>
          <w:spacing w:val="0"/>
          <w:sz w:val="24"/>
          <w:szCs w:val="24"/>
          <w:highlight w:val="none"/>
        </w:rPr>
        <w:t>开立人（出函银行）：</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u w:val="single" w:color="000000"/>
          <w:lang w:val="en-US" w:eastAsia="zh-CN"/>
        </w:rPr>
        <w:t xml:space="preserve">           </w:t>
      </w:r>
    </w:p>
    <w:p w14:paraId="232195B2">
      <w:pPr>
        <w:keepNext w:val="0"/>
        <w:keepLines w:val="0"/>
        <w:pageBreakBefore w:val="0"/>
        <w:widowControl w:val="0"/>
        <w:tabs>
          <w:tab w:val="left" w:pos="4137"/>
          <w:tab w:val="left" w:pos="5339"/>
        </w:tabs>
        <w:kinsoku/>
        <w:wordWrap/>
        <w:overflowPunct w:val="0"/>
        <w:topLinePunct w:val="0"/>
        <w:autoSpaceDE/>
        <w:autoSpaceDN/>
        <w:bidi w:val="0"/>
        <w:adjustRightInd/>
        <w:snapToGrid/>
        <w:spacing w:line="360" w:lineRule="auto"/>
        <w:textAlignment w:val="baseline"/>
        <w:rPr>
          <w:rFonts w:hint="default" w:ascii="新宋体" w:hAnsi="新宋体" w:eastAsia="新宋体" w:cs="新宋体"/>
          <w:color w:val="auto"/>
          <w:spacing w:val="0"/>
          <w:sz w:val="24"/>
          <w:szCs w:val="24"/>
          <w:highlight w:val="none"/>
          <w:u w:val="single"/>
          <w:lang w:val="en-US" w:eastAsia="zh-CN"/>
        </w:rPr>
      </w:pPr>
      <w:r>
        <w:rPr>
          <w:rFonts w:hint="eastAsia" w:ascii="新宋体" w:hAnsi="新宋体" w:eastAsia="新宋体" w:cs="新宋体"/>
          <w:color w:val="auto"/>
          <w:spacing w:val="0"/>
          <w:sz w:val="24"/>
          <w:szCs w:val="24"/>
          <w:highlight w:val="none"/>
        </w:rPr>
        <w:t>地址：</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u w:val="single" w:color="000000"/>
          <w:lang w:val="en-US" w:eastAsia="zh-CN"/>
        </w:rPr>
        <w:t xml:space="preserve">                         </w:t>
      </w:r>
    </w:p>
    <w:p w14:paraId="1D3FE5DB">
      <w:pPr>
        <w:keepNext w:val="0"/>
        <w:keepLines w:val="0"/>
        <w:pageBreakBefore w:val="0"/>
        <w:widowControl w:val="0"/>
        <w:kinsoku/>
        <w:wordWrap/>
        <w:overflowPunct w:val="0"/>
        <w:topLinePunct w:val="0"/>
        <w:autoSpaceDE/>
        <w:autoSpaceDN/>
        <w:bidi w:val="0"/>
        <w:adjustRightInd/>
        <w:snapToGrid/>
        <w:spacing w:line="360" w:lineRule="auto"/>
        <w:textAlignment w:val="baseline"/>
        <w:rPr>
          <w:rFonts w:hint="eastAsia" w:ascii="新宋体" w:hAnsi="新宋体" w:eastAsia="新宋体" w:cs="新宋体"/>
          <w:color w:val="auto"/>
          <w:spacing w:val="0"/>
          <w:sz w:val="24"/>
          <w:szCs w:val="24"/>
          <w:highlight w:val="none"/>
          <w:u w:val="single"/>
        </w:rPr>
      </w:pPr>
      <w:r>
        <w:rPr>
          <w:rFonts w:hint="eastAsia" w:ascii="新宋体" w:hAnsi="新宋体" w:eastAsia="新宋体" w:cs="新宋体"/>
          <w:color w:val="auto"/>
          <w:spacing w:val="0"/>
          <w:sz w:val="24"/>
          <w:szCs w:val="24"/>
          <w:highlight w:val="none"/>
        </w:rPr>
        <w:t>致：</w:t>
      </w:r>
      <w:r>
        <w:rPr>
          <w:rFonts w:hint="eastAsia" w:ascii="新宋体" w:hAnsi="新宋体" w:eastAsia="新宋体" w:cs="新宋体"/>
          <w:color w:val="auto"/>
          <w:spacing w:val="0"/>
          <w:sz w:val="24"/>
          <w:szCs w:val="24"/>
          <w:highlight w:val="none"/>
          <w:u w:val="single"/>
        </w:rPr>
        <w:t>（</w:t>
      </w:r>
      <w:r>
        <w:rPr>
          <w:rFonts w:hint="eastAsia" w:ascii="新宋体" w:hAnsi="新宋体" w:eastAsia="新宋体" w:cs="新宋体"/>
          <w:color w:val="auto"/>
          <w:spacing w:val="0"/>
          <w:sz w:val="24"/>
          <w:szCs w:val="24"/>
          <w:highlight w:val="none"/>
          <w:u w:val="single"/>
          <w:lang w:eastAsia="zh-CN"/>
        </w:rPr>
        <w:t>招标人</w:t>
      </w:r>
      <w:r>
        <w:rPr>
          <w:rFonts w:hint="eastAsia" w:ascii="新宋体" w:hAnsi="新宋体" w:eastAsia="新宋体" w:cs="新宋体"/>
          <w:color w:val="auto"/>
          <w:spacing w:val="0"/>
          <w:sz w:val="24"/>
          <w:szCs w:val="24"/>
          <w:highlight w:val="none"/>
          <w:u w:val="single"/>
        </w:rPr>
        <w:t>名称）</w:t>
      </w:r>
    </w:p>
    <w:p w14:paraId="2C45B678">
      <w:pPr>
        <w:keepNext w:val="0"/>
        <w:keepLines w:val="0"/>
        <w:pageBreakBefore w:val="0"/>
        <w:widowControl w:val="0"/>
        <w:kinsoku/>
        <w:wordWrap/>
        <w:overflowPunct w:val="0"/>
        <w:topLinePunct w:val="0"/>
        <w:autoSpaceDE/>
        <w:autoSpaceDN/>
        <w:bidi w:val="0"/>
        <w:adjustRightInd/>
        <w:snapToGrid/>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我方（</w:t>
      </w: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rPr>
        <w:t>即“开立人”</w:t>
      </w: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rPr>
        <w:t>）已获得通知，本保函申请人（</w:t>
      </w: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rPr>
        <w:t>即“投标人”）已响应贵方于</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日就</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（以下简称“本项目”）发出的招标文件，并已向</w:t>
      </w:r>
      <w:r>
        <w:rPr>
          <w:rFonts w:hint="eastAsia" w:ascii="新宋体" w:hAnsi="新宋体" w:eastAsia="新宋体" w:cs="新宋体"/>
          <w:color w:val="auto"/>
          <w:sz w:val="24"/>
          <w:szCs w:val="24"/>
          <w:highlight w:val="none"/>
          <w:lang w:eastAsia="zh-CN"/>
        </w:rPr>
        <w:t>招标人</w:t>
      </w:r>
      <w:r>
        <w:rPr>
          <w:rFonts w:hint="eastAsia" w:ascii="新宋体" w:hAnsi="新宋体" w:eastAsia="新宋体" w:cs="新宋体"/>
          <w:color w:val="auto"/>
          <w:sz w:val="24"/>
          <w:szCs w:val="24"/>
          <w:highlight w:val="none"/>
        </w:rPr>
        <w:t>（即“受益人”）提交了投标文件（即“基础交易”）。</w:t>
      </w:r>
    </w:p>
    <w:p w14:paraId="5A43889A">
      <w:pPr>
        <w:keepNext w:val="0"/>
        <w:keepLines w:val="0"/>
        <w:pageBreakBefore w:val="0"/>
        <w:widowControl w:val="0"/>
        <w:tabs>
          <w:tab w:val="left" w:pos="1918"/>
        </w:tabs>
        <w:kinsoku/>
        <w:wordWrap/>
        <w:overflowPunct w:val="0"/>
        <w:topLinePunct w:val="0"/>
        <w:autoSpaceDE/>
        <w:autoSpaceDN/>
        <w:bidi w:val="0"/>
        <w:adjustRightInd/>
        <w:snapToGrid/>
        <w:spacing w:line="360" w:lineRule="auto"/>
        <w:ind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一、我方理解根据招标条件，投标人必须提交一份投标保函</w:t>
      </w:r>
      <w:r>
        <w:rPr>
          <w:rFonts w:hint="eastAsia" w:ascii="新宋体" w:hAnsi="新宋体" w:eastAsia="新宋体" w:cs="新宋体"/>
          <w:b/>
          <w:color w:val="auto"/>
          <w:spacing w:val="0"/>
          <w:sz w:val="24"/>
          <w:szCs w:val="24"/>
          <w:highlight w:val="none"/>
        </w:rPr>
        <w:t>（ 以下简称“本保函”）</w:t>
      </w:r>
      <w:r>
        <w:rPr>
          <w:rFonts w:hint="eastAsia" w:ascii="新宋体" w:hAnsi="新宋体" w:eastAsia="新宋体" w:cs="新宋体"/>
          <w:color w:val="auto"/>
          <w:spacing w:val="0"/>
          <w:sz w:val="24"/>
          <w:szCs w:val="24"/>
          <w:highlight w:val="none"/>
          <w:lang w:eastAsia="zh-CN"/>
        </w:rPr>
        <w:t>，</w:t>
      </w:r>
      <w:r>
        <w:rPr>
          <w:rFonts w:hint="eastAsia" w:ascii="新宋体" w:hAnsi="新宋体" w:eastAsia="新宋体" w:cs="新宋体"/>
          <w:color w:val="auto"/>
          <w:spacing w:val="0"/>
          <w:sz w:val="24"/>
          <w:szCs w:val="24"/>
          <w:highlight w:val="none"/>
        </w:rPr>
        <w:t>以担保投标人诚信履行其在</w:t>
      </w:r>
      <w:r>
        <w:rPr>
          <w:rFonts w:hint="eastAsia" w:ascii="新宋体" w:hAnsi="新宋体" w:eastAsia="新宋体" w:cs="新宋体"/>
          <w:b/>
          <w:color w:val="auto"/>
          <w:spacing w:val="0"/>
          <w:sz w:val="24"/>
          <w:szCs w:val="24"/>
          <w:highlight w:val="none"/>
        </w:rPr>
        <w:t>上述基础交易</w:t>
      </w:r>
      <w:r>
        <w:rPr>
          <w:rFonts w:hint="eastAsia" w:ascii="新宋体" w:hAnsi="新宋体" w:eastAsia="新宋体" w:cs="新宋体"/>
          <w:color w:val="auto"/>
          <w:spacing w:val="0"/>
          <w:sz w:val="24"/>
          <w:szCs w:val="24"/>
          <w:highlight w:val="none"/>
        </w:rPr>
        <w:t>中承担的投标人义务。鉴此，应投标人要求， 我方在此同意向贵方出具此投标保函，本保函担保金额最高不超过人民币（大写）</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u w:val="single" w:color="000000"/>
          <w:lang w:val="en-US" w:eastAsia="zh-CN"/>
        </w:rPr>
        <w:t xml:space="preserve"> </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rPr>
        <w:t>元（¥</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u w:val="single" w:color="000000"/>
        </w:rPr>
        <w:tab/>
      </w:r>
      <w:r>
        <w:rPr>
          <w:rFonts w:hint="eastAsia" w:ascii="新宋体" w:hAnsi="新宋体" w:eastAsia="新宋体" w:cs="新宋体"/>
          <w:color w:val="auto"/>
          <w:spacing w:val="0"/>
          <w:sz w:val="24"/>
          <w:szCs w:val="24"/>
          <w:highlight w:val="none"/>
        </w:rPr>
        <w:t>）。</w:t>
      </w:r>
    </w:p>
    <w:p w14:paraId="29759052">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二、我方在投标人发生以下情形时承担保证担保责任：</w:t>
      </w:r>
    </w:p>
    <w:p w14:paraId="0B7BD60B">
      <w:pPr>
        <w:keepNext w:val="0"/>
        <w:keepLines w:val="0"/>
        <w:pageBreakBefore w:val="0"/>
        <w:widowControl w:val="0"/>
        <w:tabs>
          <w:tab w:val="left" w:pos="1560"/>
        </w:tabs>
        <w:kinsoku/>
        <w:wordWrap/>
        <w:overflowPunct w:val="0"/>
        <w:topLinePunct w:val="0"/>
        <w:autoSpaceDE/>
        <w:autoSpaceDN/>
        <w:bidi w:val="0"/>
        <w:adjustRightInd/>
        <w:snapToGrid/>
        <w:spacing w:line="360" w:lineRule="auto"/>
        <w:ind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（1）投标人在开标后和投标有效期满之前撤销投标的；</w:t>
      </w:r>
    </w:p>
    <w:p w14:paraId="7D3F7584">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baseline"/>
        <w:rPr>
          <w:rFonts w:hint="eastAsia" w:ascii="新宋体" w:hAnsi="新宋体" w:eastAsia="新宋体" w:cs="新宋体"/>
          <w:color w:val="auto"/>
          <w:spacing w:val="0"/>
          <w:kern w:val="0"/>
          <w:sz w:val="24"/>
          <w:szCs w:val="24"/>
          <w:highlight w:val="none"/>
        </w:rPr>
      </w:pPr>
      <w:r>
        <w:rPr>
          <w:rFonts w:hint="eastAsia" w:ascii="新宋体" w:hAnsi="新宋体" w:eastAsia="新宋体" w:cs="新宋体"/>
          <w:color w:val="auto"/>
          <w:spacing w:val="0"/>
          <w:sz w:val="24"/>
          <w:szCs w:val="24"/>
          <w:highlight w:val="none"/>
        </w:rPr>
        <w:t>（2）</w:t>
      </w:r>
      <w:r>
        <w:rPr>
          <w:rFonts w:hint="eastAsia" w:ascii="新宋体" w:hAnsi="新宋体" w:eastAsia="新宋体" w:cs="新宋体"/>
          <w:color w:val="auto"/>
          <w:spacing w:val="0"/>
          <w:kern w:val="0"/>
          <w:sz w:val="24"/>
          <w:szCs w:val="24"/>
          <w:highlight w:val="none"/>
        </w:rPr>
        <w:t>投标人在中标后无正当理由不与</w:t>
      </w:r>
      <w:r>
        <w:rPr>
          <w:rFonts w:hint="eastAsia" w:ascii="新宋体" w:hAnsi="新宋体" w:eastAsia="新宋体" w:cs="新宋体"/>
          <w:color w:val="auto"/>
          <w:spacing w:val="0"/>
          <w:kern w:val="0"/>
          <w:sz w:val="24"/>
          <w:szCs w:val="24"/>
          <w:highlight w:val="none"/>
          <w:lang w:eastAsia="zh-CN"/>
        </w:rPr>
        <w:t>招标人</w:t>
      </w:r>
      <w:r>
        <w:rPr>
          <w:rFonts w:hint="eastAsia" w:ascii="新宋体" w:hAnsi="新宋体" w:eastAsia="新宋体" w:cs="新宋体"/>
          <w:color w:val="auto"/>
          <w:spacing w:val="0"/>
          <w:kern w:val="0"/>
          <w:sz w:val="24"/>
          <w:szCs w:val="24"/>
          <w:highlight w:val="none"/>
        </w:rPr>
        <w:t>订立合同或者签订合同时向</w:t>
      </w:r>
      <w:r>
        <w:rPr>
          <w:rFonts w:hint="eastAsia" w:ascii="新宋体" w:hAnsi="新宋体" w:eastAsia="新宋体" w:cs="新宋体"/>
          <w:color w:val="auto"/>
          <w:spacing w:val="0"/>
          <w:kern w:val="0"/>
          <w:sz w:val="24"/>
          <w:szCs w:val="24"/>
          <w:highlight w:val="none"/>
          <w:lang w:eastAsia="zh-CN"/>
        </w:rPr>
        <w:t>招标人</w:t>
      </w:r>
      <w:r>
        <w:rPr>
          <w:rFonts w:hint="eastAsia" w:ascii="新宋体" w:hAnsi="新宋体" w:eastAsia="新宋体" w:cs="新宋体"/>
          <w:color w:val="auto"/>
          <w:spacing w:val="0"/>
          <w:kern w:val="0"/>
          <w:sz w:val="24"/>
          <w:szCs w:val="24"/>
          <w:highlight w:val="none"/>
        </w:rPr>
        <w:t>提出附加条件的；</w:t>
      </w:r>
    </w:p>
    <w:p w14:paraId="3A7FD0B2">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baseline"/>
        <w:rPr>
          <w:rFonts w:hint="eastAsia" w:ascii="新宋体" w:hAnsi="新宋体" w:eastAsia="新宋体" w:cs="新宋体"/>
          <w:color w:val="auto"/>
          <w:spacing w:val="0"/>
          <w:kern w:val="0"/>
          <w:sz w:val="24"/>
          <w:szCs w:val="24"/>
          <w:highlight w:val="none"/>
        </w:rPr>
      </w:pPr>
      <w:r>
        <w:rPr>
          <w:rFonts w:hint="eastAsia" w:ascii="新宋体" w:hAnsi="新宋体" w:eastAsia="新宋体" w:cs="新宋体"/>
          <w:color w:val="auto"/>
          <w:spacing w:val="0"/>
          <w:kern w:val="0"/>
          <w:sz w:val="24"/>
          <w:szCs w:val="24"/>
          <w:highlight w:val="none"/>
        </w:rPr>
        <w:t>（3）投标人在中标后不按照招标文件要求提交履约保证金或履约担保的；</w:t>
      </w:r>
    </w:p>
    <w:p w14:paraId="3936F0CF">
      <w:pPr>
        <w:keepNext w:val="0"/>
        <w:keepLines w:val="0"/>
        <w:pageBreakBefore w:val="0"/>
        <w:widowControl w:val="0"/>
        <w:tabs>
          <w:tab w:val="left" w:pos="1560"/>
        </w:tabs>
        <w:kinsoku/>
        <w:wordWrap/>
        <w:overflowPunct w:val="0"/>
        <w:topLinePunct w:val="0"/>
        <w:autoSpaceDE/>
        <w:autoSpaceDN/>
        <w:bidi w:val="0"/>
        <w:adjustRightInd/>
        <w:snapToGrid/>
        <w:spacing w:line="360" w:lineRule="auto"/>
        <w:ind w:firstLine="480" w:firstLineChars="200"/>
        <w:textAlignment w:val="baseline"/>
        <w:rPr>
          <w:rFonts w:hint="eastAsia" w:ascii="新宋体" w:hAnsi="新宋体" w:eastAsia="新宋体" w:cs="新宋体"/>
          <w:color w:val="auto"/>
          <w:spacing w:val="0"/>
          <w:kern w:val="0"/>
          <w:sz w:val="24"/>
          <w:szCs w:val="24"/>
          <w:highlight w:val="none"/>
        </w:rPr>
      </w:pPr>
      <w:r>
        <w:rPr>
          <w:rFonts w:hint="eastAsia" w:ascii="新宋体" w:hAnsi="新宋体" w:eastAsia="新宋体" w:cs="新宋体"/>
          <w:color w:val="auto"/>
          <w:spacing w:val="0"/>
          <w:kern w:val="0"/>
          <w:sz w:val="24"/>
          <w:szCs w:val="24"/>
          <w:highlight w:val="none"/>
        </w:rPr>
        <w:t>（4）投标人违反招标文件规定，依照招标文件的约定属于投标保证金不予退还的；</w:t>
      </w:r>
    </w:p>
    <w:p w14:paraId="711AF0FA">
      <w:pPr>
        <w:keepNext w:val="0"/>
        <w:keepLines w:val="0"/>
        <w:pageBreakBefore w:val="0"/>
        <w:widowControl w:val="0"/>
        <w:tabs>
          <w:tab w:val="left" w:pos="1560"/>
        </w:tabs>
        <w:kinsoku/>
        <w:wordWrap/>
        <w:overflowPunct w:val="0"/>
        <w:topLinePunct w:val="0"/>
        <w:autoSpaceDE/>
        <w:autoSpaceDN/>
        <w:bidi w:val="0"/>
        <w:adjustRightInd/>
        <w:snapToGrid/>
        <w:spacing w:line="360" w:lineRule="auto"/>
        <w:ind w:firstLine="480" w:firstLineChars="200"/>
        <w:textAlignment w:val="baseline"/>
        <w:rPr>
          <w:rFonts w:hint="eastAsia" w:ascii="新宋体" w:hAnsi="新宋体" w:eastAsia="新宋体" w:cs="新宋体"/>
          <w:color w:val="auto"/>
          <w:spacing w:val="0"/>
          <w:kern w:val="0"/>
          <w:sz w:val="24"/>
          <w:szCs w:val="24"/>
          <w:highlight w:val="none"/>
        </w:rPr>
      </w:pPr>
      <w:r>
        <w:rPr>
          <w:rFonts w:hint="eastAsia" w:ascii="新宋体" w:hAnsi="新宋体" w:eastAsia="新宋体" w:cs="新宋体"/>
          <w:color w:val="auto"/>
          <w:spacing w:val="0"/>
          <w:kern w:val="0"/>
          <w:sz w:val="24"/>
          <w:szCs w:val="24"/>
          <w:highlight w:val="none"/>
        </w:rPr>
        <w:t>（5）投标人违反投标承诺，依照招标文件的约定和投标文件承诺，属于投标保证金不予退还的；</w:t>
      </w:r>
    </w:p>
    <w:p w14:paraId="70F9289F">
      <w:pPr>
        <w:keepNext w:val="0"/>
        <w:keepLines w:val="0"/>
        <w:pageBreakBefore w:val="0"/>
        <w:widowControl w:val="0"/>
        <w:tabs>
          <w:tab w:val="left" w:pos="1560"/>
        </w:tabs>
        <w:kinsoku/>
        <w:wordWrap/>
        <w:overflowPunct w:val="0"/>
        <w:topLinePunct w:val="0"/>
        <w:autoSpaceDE/>
        <w:autoSpaceDN/>
        <w:bidi w:val="0"/>
        <w:adjustRightInd/>
        <w:snapToGrid/>
        <w:spacing w:line="360" w:lineRule="auto"/>
        <w:ind w:firstLine="480" w:firstLineChars="200"/>
        <w:textAlignment w:val="baseline"/>
        <w:rPr>
          <w:rFonts w:hint="eastAsia" w:ascii="新宋体" w:hAnsi="新宋体" w:eastAsia="新宋体" w:cs="新宋体"/>
          <w:color w:val="auto"/>
          <w:spacing w:val="0"/>
          <w:kern w:val="0"/>
          <w:sz w:val="24"/>
          <w:szCs w:val="24"/>
          <w:highlight w:val="none"/>
        </w:rPr>
      </w:pPr>
      <w:r>
        <w:rPr>
          <w:rFonts w:hint="eastAsia" w:ascii="新宋体" w:hAnsi="新宋体" w:eastAsia="新宋体" w:cs="新宋体"/>
          <w:color w:val="auto"/>
          <w:spacing w:val="0"/>
          <w:kern w:val="0"/>
          <w:sz w:val="24"/>
          <w:szCs w:val="24"/>
          <w:highlight w:val="none"/>
        </w:rPr>
        <w:t>（6）投标人违反招标文件约定的其他情形。</w:t>
      </w:r>
    </w:p>
    <w:p w14:paraId="6A7EC04C">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三、本保函为不可撤销、不可转让的见索即付独立保函。本保函有效期自开立之日起至投标有效期届满之日后的</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u w:val="single" w:color="000000"/>
          <w:lang w:val="en-US" w:eastAsia="zh-CN"/>
        </w:rPr>
        <w:t xml:space="preserve">  </w:t>
      </w:r>
      <w:r>
        <w:rPr>
          <w:rFonts w:hint="eastAsia" w:ascii="新宋体" w:hAnsi="新宋体" w:eastAsia="新宋体" w:cs="新宋体"/>
          <w:color w:val="auto"/>
          <w:spacing w:val="0"/>
          <w:sz w:val="24"/>
          <w:szCs w:val="24"/>
          <w:highlight w:val="none"/>
        </w:rPr>
        <w:t>日。投标有效期延长的，本保函有效期相应顺延，最迟不超过</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u w:val="single" w:color="000000"/>
          <w:lang w:val="en-US" w:eastAsia="zh-CN"/>
        </w:rPr>
        <w:t xml:space="preserve">   </w:t>
      </w:r>
      <w:r>
        <w:rPr>
          <w:rFonts w:hint="eastAsia" w:ascii="新宋体" w:hAnsi="新宋体" w:eastAsia="新宋体" w:cs="新宋体"/>
          <w:color w:val="auto"/>
          <w:spacing w:val="0"/>
          <w:sz w:val="24"/>
          <w:szCs w:val="24"/>
          <w:highlight w:val="none"/>
        </w:rPr>
        <w:t>年</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rPr>
        <w:t>月</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rPr>
        <w:t>日。</w:t>
      </w:r>
    </w:p>
    <w:p w14:paraId="30DD5A5D">
      <w:pPr>
        <w:keepNext w:val="0"/>
        <w:keepLines w:val="0"/>
        <w:pageBreakBefore w:val="0"/>
        <w:widowControl w:val="0"/>
        <w:tabs>
          <w:tab w:val="left" w:pos="7164"/>
        </w:tabs>
        <w:kinsoku/>
        <w:wordWrap/>
        <w:overflowPunct w:val="0"/>
        <w:topLinePunct w:val="0"/>
        <w:autoSpaceDE/>
        <w:autoSpaceDN/>
        <w:bidi w:val="0"/>
        <w:adjustRightInd/>
        <w:snapToGrid/>
        <w:spacing w:line="360" w:lineRule="auto"/>
        <w:ind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四、我方承诺，在收到</w:t>
      </w:r>
      <w:r>
        <w:rPr>
          <w:rFonts w:hint="eastAsia" w:ascii="新宋体" w:hAnsi="新宋体" w:eastAsia="新宋体" w:cs="新宋体"/>
          <w:color w:val="auto"/>
          <w:spacing w:val="0"/>
          <w:sz w:val="24"/>
          <w:szCs w:val="24"/>
          <w:highlight w:val="none"/>
          <w:lang w:eastAsia="zh-CN"/>
        </w:rPr>
        <w:t>招标人</w:t>
      </w:r>
      <w:r>
        <w:rPr>
          <w:rFonts w:hint="eastAsia" w:ascii="新宋体" w:hAnsi="新宋体" w:eastAsia="新宋体" w:cs="新宋体"/>
          <w:color w:val="auto"/>
          <w:spacing w:val="0"/>
          <w:sz w:val="24"/>
          <w:szCs w:val="24"/>
          <w:highlight w:val="none"/>
        </w:rPr>
        <w:t>发来的书面付款通知后的</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u w:val="single" w:color="000000"/>
        </w:rPr>
        <w:tab/>
      </w:r>
      <w:r>
        <w:rPr>
          <w:rFonts w:hint="eastAsia" w:ascii="新宋体" w:hAnsi="新宋体" w:eastAsia="新宋体" w:cs="新宋体"/>
          <w:color w:val="auto"/>
          <w:spacing w:val="0"/>
          <w:sz w:val="24"/>
          <w:szCs w:val="24"/>
          <w:highlight w:val="none"/>
        </w:rPr>
        <w:t>日内无条件支付，前述书面付款通知即为付款要求之单据，且应满足以下要求：</w:t>
      </w:r>
    </w:p>
    <w:p w14:paraId="09B2315B">
      <w:pPr>
        <w:keepNext w:val="0"/>
        <w:keepLines w:val="0"/>
        <w:pageBreakBefore w:val="0"/>
        <w:widowControl w:val="0"/>
        <w:tabs>
          <w:tab w:val="left" w:pos="1560"/>
        </w:tabs>
        <w:kinsoku/>
        <w:wordWrap/>
        <w:overflowPunct w:val="0"/>
        <w:topLinePunct w:val="0"/>
        <w:autoSpaceDE/>
        <w:autoSpaceDN/>
        <w:bidi w:val="0"/>
        <w:adjustRightInd/>
        <w:snapToGrid/>
        <w:spacing w:line="360" w:lineRule="auto"/>
        <w:ind w:firstLine="480" w:firstLineChars="200"/>
        <w:textAlignment w:val="baseline"/>
        <w:rPr>
          <w:rFonts w:hint="eastAsia" w:ascii="新宋体" w:hAnsi="新宋体" w:eastAsia="新宋体" w:cs="新宋体"/>
          <w:color w:val="auto"/>
          <w:spacing w:val="0"/>
          <w:kern w:val="0"/>
          <w:sz w:val="24"/>
          <w:szCs w:val="24"/>
          <w:highlight w:val="none"/>
        </w:rPr>
      </w:pPr>
      <w:r>
        <w:rPr>
          <w:rFonts w:hint="eastAsia" w:ascii="新宋体" w:hAnsi="新宋体" w:eastAsia="新宋体" w:cs="新宋体"/>
          <w:color w:val="auto"/>
          <w:spacing w:val="0"/>
          <w:kern w:val="0"/>
          <w:sz w:val="24"/>
          <w:szCs w:val="24"/>
          <w:highlight w:val="none"/>
        </w:rPr>
        <w:t>（1）付款通知到达的日期在本保函的有效期内；</w:t>
      </w:r>
    </w:p>
    <w:p w14:paraId="5E04A5C5">
      <w:pPr>
        <w:keepNext w:val="0"/>
        <w:keepLines w:val="0"/>
        <w:pageBreakBefore w:val="0"/>
        <w:widowControl w:val="0"/>
        <w:tabs>
          <w:tab w:val="left" w:pos="1560"/>
        </w:tabs>
        <w:kinsoku/>
        <w:wordWrap/>
        <w:overflowPunct w:val="0"/>
        <w:topLinePunct w:val="0"/>
        <w:autoSpaceDE/>
        <w:autoSpaceDN/>
        <w:bidi w:val="0"/>
        <w:adjustRightInd/>
        <w:snapToGrid/>
        <w:spacing w:line="360" w:lineRule="auto"/>
        <w:ind w:firstLine="480" w:firstLineChars="200"/>
        <w:textAlignment w:val="baseline"/>
        <w:rPr>
          <w:rFonts w:hint="eastAsia" w:ascii="新宋体" w:hAnsi="新宋体" w:eastAsia="新宋体" w:cs="新宋体"/>
          <w:color w:val="auto"/>
          <w:spacing w:val="0"/>
          <w:kern w:val="0"/>
          <w:sz w:val="24"/>
          <w:szCs w:val="24"/>
          <w:highlight w:val="none"/>
        </w:rPr>
      </w:pPr>
      <w:r>
        <w:rPr>
          <w:rFonts w:hint="eastAsia" w:ascii="新宋体" w:hAnsi="新宋体" w:eastAsia="新宋体" w:cs="新宋体"/>
          <w:color w:val="auto"/>
          <w:spacing w:val="0"/>
          <w:kern w:val="0"/>
          <w:sz w:val="24"/>
          <w:szCs w:val="24"/>
          <w:highlight w:val="none"/>
        </w:rPr>
        <w:t>（2）载明要求支付的金额；</w:t>
      </w:r>
    </w:p>
    <w:p w14:paraId="78864363">
      <w:pPr>
        <w:keepNext w:val="0"/>
        <w:keepLines w:val="0"/>
        <w:pageBreakBefore w:val="0"/>
        <w:widowControl w:val="0"/>
        <w:tabs>
          <w:tab w:val="left" w:pos="1560"/>
        </w:tabs>
        <w:kinsoku/>
        <w:wordWrap/>
        <w:overflowPunct w:val="0"/>
        <w:topLinePunct w:val="0"/>
        <w:autoSpaceDE/>
        <w:autoSpaceDN/>
        <w:bidi w:val="0"/>
        <w:adjustRightInd/>
        <w:snapToGrid/>
        <w:spacing w:line="360" w:lineRule="auto"/>
        <w:ind w:firstLine="480" w:firstLineChars="200"/>
        <w:textAlignment w:val="baseline"/>
        <w:rPr>
          <w:rFonts w:hint="eastAsia" w:ascii="新宋体" w:hAnsi="新宋体" w:eastAsia="新宋体" w:cs="新宋体"/>
          <w:b/>
          <w:color w:val="auto"/>
          <w:spacing w:val="0"/>
          <w:kern w:val="0"/>
          <w:sz w:val="24"/>
          <w:szCs w:val="24"/>
          <w:highlight w:val="none"/>
        </w:rPr>
      </w:pPr>
      <w:r>
        <w:rPr>
          <w:rFonts w:hint="eastAsia" w:ascii="新宋体" w:hAnsi="新宋体" w:eastAsia="新宋体" w:cs="新宋体"/>
          <w:color w:val="auto"/>
          <w:spacing w:val="0"/>
          <w:kern w:val="0"/>
          <w:sz w:val="24"/>
          <w:szCs w:val="24"/>
          <w:highlight w:val="none"/>
        </w:rPr>
        <w:t>（3）</w:t>
      </w:r>
      <w:r>
        <w:rPr>
          <w:rFonts w:hint="eastAsia" w:ascii="新宋体" w:hAnsi="新宋体" w:eastAsia="新宋体" w:cs="新宋体"/>
          <w:b/>
          <w:color w:val="auto"/>
          <w:spacing w:val="0"/>
          <w:kern w:val="0"/>
          <w:sz w:val="24"/>
          <w:szCs w:val="24"/>
          <w:highlight w:val="none"/>
        </w:rPr>
        <w:t>载明申请人（即投标人）违反法律法规或者招标文件约定或者投标文件承诺的义务内容和具体条款；</w:t>
      </w:r>
    </w:p>
    <w:p w14:paraId="5DBE75EE">
      <w:pPr>
        <w:keepNext w:val="0"/>
        <w:keepLines w:val="0"/>
        <w:pageBreakBefore w:val="0"/>
        <w:widowControl w:val="0"/>
        <w:tabs>
          <w:tab w:val="left" w:pos="1560"/>
          <w:tab w:val="left" w:pos="8158"/>
        </w:tabs>
        <w:kinsoku/>
        <w:wordWrap/>
        <w:overflowPunct w:val="0"/>
        <w:topLinePunct w:val="0"/>
        <w:autoSpaceDE/>
        <w:autoSpaceDN/>
        <w:bidi w:val="0"/>
        <w:adjustRightInd/>
        <w:snapToGrid/>
        <w:spacing w:line="360" w:lineRule="auto"/>
        <w:ind w:firstLine="480" w:firstLineChars="200"/>
        <w:textAlignment w:val="baseline"/>
        <w:rPr>
          <w:rFonts w:hint="eastAsia" w:ascii="新宋体" w:hAnsi="新宋体" w:eastAsia="新宋体" w:cs="新宋体"/>
          <w:color w:val="auto"/>
          <w:spacing w:val="0"/>
          <w:kern w:val="0"/>
          <w:sz w:val="24"/>
          <w:szCs w:val="24"/>
          <w:highlight w:val="none"/>
        </w:rPr>
      </w:pPr>
      <w:r>
        <w:rPr>
          <w:rFonts w:hint="eastAsia" w:ascii="新宋体" w:hAnsi="新宋体" w:eastAsia="新宋体" w:cs="新宋体"/>
          <w:color w:val="auto"/>
          <w:spacing w:val="0"/>
          <w:kern w:val="0"/>
          <w:sz w:val="24"/>
          <w:szCs w:val="24"/>
          <w:highlight w:val="none"/>
        </w:rPr>
        <w:t>（4）书面付款通知应在本保函有效期内到达的地址是：</w:t>
      </w:r>
      <w:r>
        <w:rPr>
          <w:rFonts w:hint="eastAsia" w:ascii="新宋体" w:hAnsi="新宋体" w:eastAsia="新宋体" w:cs="新宋体"/>
          <w:color w:val="auto"/>
          <w:spacing w:val="0"/>
          <w:kern w:val="0"/>
          <w:sz w:val="24"/>
          <w:szCs w:val="24"/>
          <w:highlight w:val="none"/>
          <w:u w:val="single" w:color="000000"/>
        </w:rPr>
        <w:t xml:space="preserve"> </w:t>
      </w:r>
      <w:r>
        <w:rPr>
          <w:rFonts w:hint="eastAsia" w:ascii="新宋体" w:hAnsi="新宋体" w:eastAsia="新宋体" w:cs="新宋体"/>
          <w:color w:val="auto"/>
          <w:spacing w:val="0"/>
          <w:kern w:val="0"/>
          <w:sz w:val="24"/>
          <w:szCs w:val="24"/>
          <w:highlight w:val="none"/>
          <w:u w:val="single" w:color="000000"/>
        </w:rPr>
        <w:tab/>
      </w:r>
      <w:r>
        <w:rPr>
          <w:rFonts w:hint="eastAsia" w:ascii="新宋体" w:hAnsi="新宋体" w:eastAsia="新宋体" w:cs="新宋体"/>
          <w:color w:val="auto"/>
          <w:spacing w:val="0"/>
          <w:kern w:val="0"/>
          <w:sz w:val="24"/>
          <w:szCs w:val="24"/>
          <w:highlight w:val="none"/>
        </w:rPr>
        <w:t>。</w:t>
      </w:r>
    </w:p>
    <w:p w14:paraId="13CF7FAC">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lang w:eastAsia="zh-CN"/>
        </w:rPr>
        <w:t>招标人</w:t>
      </w:r>
      <w:r>
        <w:rPr>
          <w:rFonts w:hint="eastAsia" w:ascii="新宋体" w:hAnsi="新宋体" w:eastAsia="新宋体" w:cs="新宋体"/>
          <w:color w:val="auto"/>
          <w:spacing w:val="0"/>
          <w:sz w:val="24"/>
          <w:szCs w:val="24"/>
          <w:highlight w:val="none"/>
        </w:rPr>
        <w:t>发出的书面付款通知应由其为鉴明</w:t>
      </w:r>
      <w:r>
        <w:rPr>
          <w:rFonts w:hint="eastAsia" w:ascii="新宋体" w:hAnsi="新宋体" w:eastAsia="新宋体" w:cs="新宋体"/>
          <w:color w:val="auto"/>
          <w:spacing w:val="0"/>
          <w:sz w:val="24"/>
          <w:szCs w:val="24"/>
          <w:highlight w:val="none"/>
          <w:lang w:eastAsia="zh-CN"/>
        </w:rPr>
        <w:t>招标人</w:t>
      </w:r>
      <w:r>
        <w:rPr>
          <w:rFonts w:hint="eastAsia" w:ascii="新宋体" w:hAnsi="新宋体" w:eastAsia="新宋体" w:cs="新宋体"/>
          <w:color w:val="auto"/>
          <w:spacing w:val="0"/>
          <w:sz w:val="24"/>
          <w:szCs w:val="24"/>
          <w:highlight w:val="none"/>
        </w:rPr>
        <w:t>法定代表人（负责人）或授权代理人签字并加盖公章。</w:t>
      </w:r>
    </w:p>
    <w:p w14:paraId="5D7F740F">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五、本保函项下的权利不得转让，不得设定担保。贵方未经我方书面同意转让本保函或其项下任何权利，对我方不发生法律效力。</w:t>
      </w:r>
    </w:p>
    <w:p w14:paraId="2465DAE2">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六、本保函项下的</w:t>
      </w:r>
      <w:r>
        <w:rPr>
          <w:rFonts w:hint="eastAsia" w:ascii="新宋体" w:hAnsi="新宋体" w:eastAsia="新宋体" w:cs="新宋体"/>
          <w:b/>
          <w:color w:val="auto"/>
          <w:spacing w:val="0"/>
          <w:sz w:val="24"/>
          <w:szCs w:val="24"/>
          <w:highlight w:val="none"/>
        </w:rPr>
        <w:t>基础交易</w:t>
      </w:r>
      <w:r>
        <w:rPr>
          <w:rFonts w:hint="eastAsia" w:ascii="新宋体" w:hAnsi="新宋体" w:eastAsia="新宋体" w:cs="新宋体"/>
          <w:color w:val="auto"/>
          <w:spacing w:val="0"/>
          <w:sz w:val="24"/>
          <w:szCs w:val="24"/>
          <w:highlight w:val="none"/>
        </w:rPr>
        <w:t>不成立、不生效、无效、被撤销、被解除，不影响本保函的独立有效，不影响开立人履行见索即付义务的责任。</w:t>
      </w:r>
    </w:p>
    <w:p w14:paraId="573F0E39">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七、</w:t>
      </w:r>
      <w:r>
        <w:rPr>
          <w:rFonts w:hint="eastAsia" w:ascii="新宋体" w:hAnsi="新宋体" w:eastAsia="新宋体" w:cs="新宋体"/>
          <w:color w:val="auto"/>
          <w:spacing w:val="0"/>
          <w:sz w:val="24"/>
          <w:szCs w:val="24"/>
          <w:highlight w:val="none"/>
          <w:lang w:eastAsia="zh-CN"/>
        </w:rPr>
        <w:t>招标人</w:t>
      </w:r>
      <w:r>
        <w:rPr>
          <w:rFonts w:hint="eastAsia" w:ascii="新宋体" w:hAnsi="新宋体" w:eastAsia="新宋体" w:cs="新宋体"/>
          <w:color w:val="auto"/>
          <w:spacing w:val="0"/>
          <w:sz w:val="24"/>
          <w:szCs w:val="24"/>
          <w:highlight w:val="none"/>
        </w:rPr>
        <w:t>应在本保函到期后的七日内将本保函正本退回我方注销，但是不论</w:t>
      </w:r>
      <w:r>
        <w:rPr>
          <w:rFonts w:hint="eastAsia" w:ascii="新宋体" w:hAnsi="新宋体" w:eastAsia="新宋体" w:cs="新宋体"/>
          <w:color w:val="auto"/>
          <w:spacing w:val="0"/>
          <w:sz w:val="24"/>
          <w:szCs w:val="24"/>
          <w:highlight w:val="none"/>
          <w:lang w:eastAsia="zh-CN"/>
        </w:rPr>
        <w:t>招标人</w:t>
      </w:r>
      <w:r>
        <w:rPr>
          <w:rFonts w:hint="eastAsia" w:ascii="新宋体" w:hAnsi="新宋体" w:eastAsia="新宋体" w:cs="新宋体"/>
          <w:color w:val="auto"/>
          <w:spacing w:val="0"/>
          <w:sz w:val="24"/>
          <w:szCs w:val="24"/>
          <w:highlight w:val="none"/>
        </w:rPr>
        <w:t>是否按此要求将本保函正本退回我方，我方在本保函项下的义务和责任均在保函有效期到期后自动消灭，但因异议、投诉、立案处理的，本保函有效期将顺延到案件处理完毕之日后再顺延七日。</w:t>
      </w:r>
    </w:p>
    <w:p w14:paraId="6EBAFE67">
      <w:pPr>
        <w:keepNext w:val="0"/>
        <w:keepLines w:val="0"/>
        <w:pageBreakBefore w:val="0"/>
        <w:widowControl w:val="0"/>
        <w:tabs>
          <w:tab w:val="left" w:pos="1318"/>
        </w:tabs>
        <w:kinsoku/>
        <w:wordWrap/>
        <w:overflowPunct w:val="0"/>
        <w:topLinePunct w:val="0"/>
        <w:autoSpaceDE/>
        <w:autoSpaceDN/>
        <w:bidi w:val="0"/>
        <w:adjustRightInd/>
        <w:snapToGrid/>
        <w:spacing w:line="360" w:lineRule="auto"/>
        <w:ind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八、本保函适用的法律为中华人民共和国法律，争议裁判管辖地为中华人民共和国</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u w:val="single" w:color="000000"/>
        </w:rPr>
        <w:tab/>
      </w:r>
      <w:r>
        <w:rPr>
          <w:rFonts w:hint="eastAsia" w:ascii="新宋体" w:hAnsi="新宋体" w:eastAsia="新宋体" w:cs="新宋体"/>
          <w:color w:val="auto"/>
          <w:spacing w:val="0"/>
          <w:sz w:val="24"/>
          <w:szCs w:val="24"/>
          <w:highlight w:val="none"/>
        </w:rPr>
        <w:t>。</w:t>
      </w:r>
    </w:p>
    <w:p w14:paraId="33267D9C">
      <w:pPr>
        <w:keepNext w:val="0"/>
        <w:keepLines w:val="0"/>
        <w:pageBreakBefore w:val="0"/>
        <w:widowControl w:val="0"/>
        <w:tabs>
          <w:tab w:val="left" w:pos="7438"/>
        </w:tabs>
        <w:kinsoku/>
        <w:wordWrap/>
        <w:overflowPunct w:val="0"/>
        <w:topLinePunct w:val="0"/>
        <w:autoSpaceDE/>
        <w:autoSpaceDN/>
        <w:bidi w:val="0"/>
        <w:adjustRightInd/>
        <w:snapToGrid/>
        <w:spacing w:line="360" w:lineRule="auto"/>
        <w:ind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九、本保函自我方法定代表人或授权代表签字并加盖公章之日起生效。</w:t>
      </w:r>
    </w:p>
    <w:p w14:paraId="2D606EF7">
      <w:pPr>
        <w:pStyle w:val="68"/>
        <w:rPr>
          <w:rFonts w:hint="eastAsia"/>
          <w:color w:val="auto"/>
          <w:highlight w:val="none"/>
        </w:rPr>
      </w:pPr>
    </w:p>
    <w:p w14:paraId="2846C0D9">
      <w:pPr>
        <w:tabs>
          <w:tab w:val="left" w:pos="7438"/>
        </w:tabs>
        <w:spacing w:line="360" w:lineRule="auto"/>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开</w:t>
      </w:r>
      <w:r>
        <w:rPr>
          <w:rFonts w:hint="eastAsia" w:ascii="新宋体" w:hAnsi="新宋体" w:eastAsia="新宋体" w:cs="新宋体"/>
          <w:color w:val="auto"/>
          <w:spacing w:val="-1"/>
          <w:sz w:val="24"/>
          <w:szCs w:val="24"/>
          <w:highlight w:val="none"/>
        </w:rPr>
        <w:t xml:space="preserve"> </w:t>
      </w:r>
      <w:r>
        <w:rPr>
          <w:rFonts w:hint="eastAsia" w:ascii="新宋体" w:hAnsi="新宋体" w:eastAsia="新宋体" w:cs="新宋体"/>
          <w:color w:val="auto"/>
          <w:sz w:val="24"/>
          <w:szCs w:val="24"/>
          <w:highlight w:val="none"/>
        </w:rPr>
        <w:t>立 人（出函银行）：</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rPr>
        <w:t>（公章</w:t>
      </w:r>
      <w:r>
        <w:rPr>
          <w:rFonts w:hint="eastAsia" w:ascii="新宋体" w:hAnsi="新宋体" w:eastAsia="新宋体" w:cs="新宋体"/>
          <w:color w:val="auto"/>
          <w:spacing w:val="-17"/>
          <w:sz w:val="24"/>
          <w:szCs w:val="24"/>
          <w:highlight w:val="none"/>
        </w:rPr>
        <w:t>）</w:t>
      </w:r>
    </w:p>
    <w:p w14:paraId="1928707D">
      <w:pPr>
        <w:tabs>
          <w:tab w:val="left" w:pos="1678"/>
          <w:tab w:val="left" w:pos="5697"/>
          <w:tab w:val="left" w:pos="7438"/>
        </w:tabs>
        <w:spacing w:line="360" w:lineRule="auto"/>
        <w:textAlignment w:val="baseline"/>
        <w:rPr>
          <w:rFonts w:hint="eastAsia" w:ascii="新宋体" w:hAnsi="新宋体" w:eastAsia="新宋体" w:cs="新宋体"/>
          <w:color w:val="auto"/>
          <w:spacing w:val="-17"/>
          <w:sz w:val="24"/>
          <w:szCs w:val="24"/>
          <w:highlight w:val="none"/>
        </w:rPr>
      </w:pPr>
      <w:r>
        <w:rPr>
          <w:rFonts w:hint="eastAsia" w:ascii="新宋体" w:hAnsi="新宋体" w:eastAsia="新宋体" w:cs="新宋体"/>
          <w:color w:val="auto"/>
          <w:sz w:val="24"/>
          <w:szCs w:val="24"/>
          <w:highlight w:val="none"/>
        </w:rPr>
        <w:t>法定代表人（或授权代表）（出函银行）</w:t>
      </w:r>
      <w:r>
        <w:rPr>
          <w:rFonts w:hint="eastAsia" w:ascii="新宋体" w:hAnsi="新宋体" w:eastAsia="新宋体" w:cs="新宋体"/>
          <w:color w:val="auto"/>
          <w:spacing w:val="-1"/>
          <w:sz w:val="24"/>
          <w:szCs w:val="24"/>
          <w:highlight w:val="none"/>
        </w:rPr>
        <w:t xml:space="preserve"> </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u w:val="single" w:color="000000"/>
        </w:rPr>
        <w:tab/>
      </w:r>
      <w:r>
        <w:rPr>
          <w:rFonts w:hint="eastAsia" w:ascii="新宋体" w:hAnsi="新宋体" w:eastAsia="新宋体" w:cs="新宋体"/>
          <w:color w:val="auto"/>
          <w:sz w:val="24"/>
          <w:szCs w:val="24"/>
          <w:highlight w:val="none"/>
        </w:rPr>
        <w:t>（签字或签章</w:t>
      </w:r>
      <w:r>
        <w:rPr>
          <w:rFonts w:hint="eastAsia" w:ascii="新宋体" w:hAnsi="新宋体" w:eastAsia="新宋体" w:cs="新宋体"/>
          <w:color w:val="auto"/>
          <w:spacing w:val="-17"/>
          <w:sz w:val="24"/>
          <w:szCs w:val="24"/>
          <w:highlight w:val="none"/>
        </w:rPr>
        <w:t xml:space="preserve">） </w:t>
      </w:r>
    </w:p>
    <w:p w14:paraId="71D25AE7">
      <w:pPr>
        <w:tabs>
          <w:tab w:val="left" w:pos="1200"/>
          <w:tab w:val="left" w:pos="5697"/>
          <w:tab w:val="left" w:pos="7438"/>
        </w:tabs>
        <w:spacing w:line="360" w:lineRule="auto"/>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地</w:t>
      </w: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pacing w:val="-1"/>
          <w:sz w:val="24"/>
          <w:szCs w:val="24"/>
          <w:highlight w:val="none"/>
        </w:rPr>
        <w:t>址</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u w:val="single" w:color="000000"/>
          <w:lang w:val="en-US" w:eastAsia="zh-CN"/>
        </w:rPr>
        <w:t xml:space="preserve">  </w:t>
      </w:r>
      <w:r>
        <w:rPr>
          <w:rFonts w:hint="eastAsia" w:ascii="新宋体" w:hAnsi="新宋体" w:eastAsia="新宋体" w:cs="新宋体"/>
          <w:color w:val="auto"/>
          <w:sz w:val="24"/>
          <w:szCs w:val="24"/>
          <w:highlight w:val="none"/>
          <w:u w:val="single" w:color="000000"/>
        </w:rPr>
        <w:t xml:space="preserve"> </w:t>
      </w:r>
    </w:p>
    <w:p w14:paraId="4EFEB4FE">
      <w:pPr>
        <w:tabs>
          <w:tab w:val="left" w:pos="4141"/>
        </w:tabs>
        <w:spacing w:line="360" w:lineRule="auto"/>
        <w:textAlignment w:val="baseline"/>
        <w:rPr>
          <w:rFonts w:hint="default" w:ascii="新宋体" w:hAnsi="新宋体" w:eastAsia="新宋体" w:cs="新宋体"/>
          <w:color w:val="auto"/>
          <w:sz w:val="24"/>
          <w:szCs w:val="24"/>
          <w:highlight w:val="none"/>
          <w:u w:val="single"/>
          <w:lang w:val="en-US" w:eastAsia="zh-CN"/>
        </w:rPr>
      </w:pPr>
      <w:r>
        <w:rPr>
          <w:rFonts w:hint="eastAsia" w:ascii="新宋体" w:hAnsi="新宋体" w:eastAsia="新宋体" w:cs="新宋体"/>
          <w:color w:val="auto"/>
          <w:spacing w:val="-1"/>
          <w:sz w:val="24"/>
          <w:szCs w:val="24"/>
          <w:highlight w:val="none"/>
        </w:rPr>
        <w:t>邮</w:t>
      </w:r>
      <w:r>
        <w:rPr>
          <w:rFonts w:hint="eastAsia" w:ascii="新宋体" w:hAnsi="新宋体" w:eastAsia="新宋体" w:cs="新宋体"/>
          <w:color w:val="auto"/>
          <w:sz w:val="24"/>
          <w:szCs w:val="24"/>
          <w:highlight w:val="none"/>
        </w:rPr>
        <w:t>政编码：</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u w:val="single" w:color="000000"/>
        </w:rPr>
        <w:tab/>
      </w:r>
      <w:r>
        <w:rPr>
          <w:rFonts w:hint="eastAsia" w:ascii="新宋体" w:hAnsi="新宋体" w:eastAsia="新宋体" w:cs="新宋体"/>
          <w:color w:val="auto"/>
          <w:sz w:val="24"/>
          <w:szCs w:val="24"/>
          <w:highlight w:val="none"/>
          <w:u w:val="single" w:color="000000"/>
          <w:lang w:val="en-US" w:eastAsia="zh-CN"/>
        </w:rPr>
        <w:t xml:space="preserve">  </w:t>
      </w:r>
    </w:p>
    <w:p w14:paraId="7D085CF8">
      <w:pPr>
        <w:tabs>
          <w:tab w:val="left" w:pos="1200"/>
          <w:tab w:val="left" w:pos="4257"/>
        </w:tabs>
        <w:spacing w:line="360" w:lineRule="auto"/>
        <w:textAlignment w:val="baseline"/>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电</w:t>
      </w: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pacing w:val="-1"/>
          <w:sz w:val="24"/>
          <w:szCs w:val="24"/>
          <w:highlight w:val="none"/>
        </w:rPr>
        <w:t>话</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u w:val="single" w:color="000000"/>
        </w:rPr>
        <w:tab/>
      </w:r>
      <w:r>
        <w:rPr>
          <w:rFonts w:hint="eastAsia" w:ascii="新宋体" w:hAnsi="新宋体" w:eastAsia="新宋体" w:cs="新宋体"/>
          <w:color w:val="auto"/>
          <w:sz w:val="24"/>
          <w:szCs w:val="24"/>
          <w:highlight w:val="none"/>
          <w:u w:val="single" w:color="000000"/>
        </w:rPr>
        <w:t xml:space="preserve"> </w:t>
      </w:r>
    </w:p>
    <w:p w14:paraId="624FB4EE">
      <w:pPr>
        <w:tabs>
          <w:tab w:val="left" w:pos="1200"/>
          <w:tab w:val="left" w:pos="4257"/>
        </w:tabs>
        <w:spacing w:line="360" w:lineRule="auto"/>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传</w:t>
      </w: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pacing w:val="-1"/>
          <w:sz w:val="24"/>
          <w:szCs w:val="24"/>
          <w:highlight w:val="none"/>
        </w:rPr>
        <w:t>真</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u w:val="single" w:color="000000"/>
        </w:rPr>
        <w:tab/>
      </w:r>
      <w:r>
        <w:rPr>
          <w:rFonts w:hint="eastAsia" w:ascii="新宋体" w:hAnsi="新宋体" w:eastAsia="新宋体" w:cs="新宋体"/>
          <w:color w:val="auto"/>
          <w:sz w:val="24"/>
          <w:szCs w:val="24"/>
          <w:highlight w:val="none"/>
          <w:u w:val="single" w:color="000000"/>
        </w:rPr>
        <w:t xml:space="preserve"> </w:t>
      </w:r>
    </w:p>
    <w:p w14:paraId="050B03EC">
      <w:pPr>
        <w:tabs>
          <w:tab w:val="left" w:pos="4141"/>
        </w:tabs>
        <w:spacing w:line="360" w:lineRule="auto"/>
        <w:textAlignment w:val="baseline"/>
        <w:rPr>
          <w:rFonts w:hint="eastAsia" w:ascii="新宋体" w:hAnsi="新宋体" w:eastAsia="新宋体" w:cs="新宋体"/>
          <w:color w:val="auto"/>
          <w:sz w:val="24"/>
          <w:szCs w:val="24"/>
          <w:highlight w:val="none"/>
          <w:u w:val="none" w:color="auto"/>
          <w:lang w:val="en-US" w:eastAsia="zh-CN"/>
        </w:rPr>
      </w:pPr>
      <w:r>
        <w:rPr>
          <w:rFonts w:hint="eastAsia" w:ascii="新宋体" w:hAnsi="新宋体" w:eastAsia="新宋体" w:cs="新宋体"/>
          <w:color w:val="auto"/>
          <w:sz w:val="24"/>
          <w:szCs w:val="24"/>
          <w:highlight w:val="none"/>
        </w:rPr>
        <w:t>开立时间：</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u w:val="none" w:color="auto"/>
          <w:lang w:val="en-US" w:eastAsia="zh-CN"/>
        </w:rPr>
        <w:t>日</w:t>
      </w:r>
    </w:p>
    <w:p w14:paraId="69A65E79">
      <w:pPr>
        <w:pStyle w:val="68"/>
        <w:rPr>
          <w:rFonts w:hint="eastAsia" w:ascii="新宋体" w:hAnsi="新宋体" w:eastAsia="新宋体" w:cs="新宋体"/>
          <w:color w:val="auto"/>
          <w:sz w:val="24"/>
          <w:szCs w:val="24"/>
          <w:highlight w:val="none"/>
          <w:u w:val="none" w:color="auto"/>
          <w:lang w:val="en-US" w:eastAsia="zh-CN"/>
        </w:rPr>
      </w:pPr>
    </w:p>
    <w:p w14:paraId="11C62831">
      <w:pPr>
        <w:pStyle w:val="68"/>
        <w:rPr>
          <w:rFonts w:hint="eastAsia" w:ascii="新宋体" w:hAnsi="新宋体" w:eastAsia="新宋体" w:cs="新宋体"/>
          <w:color w:val="auto"/>
          <w:sz w:val="24"/>
          <w:szCs w:val="24"/>
          <w:highlight w:val="none"/>
          <w:u w:val="none" w:color="auto"/>
          <w:lang w:val="en-US" w:eastAsia="zh-CN"/>
        </w:rPr>
      </w:pPr>
    </w:p>
    <w:p w14:paraId="5FE56367">
      <w:pPr>
        <w:spacing w:line="360" w:lineRule="auto"/>
        <w:jc w:val="left"/>
        <w:rPr>
          <w:rFonts w:hint="eastAsia" w:ascii="新宋体" w:hAnsi="新宋体" w:eastAsia="新宋体" w:cs="新宋体"/>
          <w:color w:val="auto"/>
          <w:spacing w:val="-8"/>
          <w:sz w:val="24"/>
          <w:szCs w:val="24"/>
          <w:highlight w:val="none"/>
        </w:rPr>
      </w:pPr>
      <w:r>
        <w:rPr>
          <w:rFonts w:hint="eastAsia" w:ascii="新宋体" w:hAnsi="新宋体" w:eastAsia="新宋体" w:cs="新宋体"/>
          <w:color w:val="auto"/>
          <w:spacing w:val="-8"/>
          <w:sz w:val="24"/>
          <w:szCs w:val="24"/>
          <w:highlight w:val="none"/>
        </w:rPr>
        <w:t>注：保函期限必须大于投标有效期。投标人须将采用的纸质保函原件扫描件编入投标文件，未编入的视为未提供投标担保，其投标无效；虽提交了纸质保函原件扫描件，但其载明的要素与权利义务的要求，不符合格式文本要求，没有按照招标文件约定、投标人的承诺承担所有保证事项、或者不是无条件见索即付式的保函，视为未提交保函，其投标无效。</w:t>
      </w:r>
    </w:p>
    <w:p w14:paraId="5E651029">
      <w:pPr>
        <w:spacing w:line="360" w:lineRule="auto"/>
        <w:ind w:right="1"/>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担保（纸质）保函格式</w:t>
      </w:r>
    </w:p>
    <w:p w14:paraId="59DB5A6B">
      <w:pPr>
        <w:spacing w:line="360" w:lineRule="auto"/>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投标人（即“申请人”）：</w:t>
      </w:r>
    </w:p>
    <w:p w14:paraId="08BCA746">
      <w:pPr>
        <w:tabs>
          <w:tab w:val="left" w:pos="3541"/>
        </w:tabs>
        <w:spacing w:line="360" w:lineRule="auto"/>
        <w:textAlignment w:val="baseline"/>
        <w:rPr>
          <w:rFonts w:hint="default" w:ascii="新宋体" w:hAnsi="新宋体" w:eastAsia="新宋体" w:cs="新宋体"/>
          <w:color w:val="auto"/>
          <w:spacing w:val="0"/>
          <w:sz w:val="24"/>
          <w:szCs w:val="24"/>
          <w:highlight w:val="none"/>
          <w:u w:val="single"/>
          <w:lang w:val="en-US" w:eastAsia="zh-CN"/>
        </w:rPr>
      </w:pPr>
      <w:r>
        <w:rPr>
          <w:rFonts w:hint="eastAsia" w:ascii="新宋体" w:hAnsi="新宋体" w:eastAsia="新宋体" w:cs="新宋体"/>
          <w:color w:val="auto"/>
          <w:spacing w:val="0"/>
          <w:sz w:val="24"/>
          <w:szCs w:val="24"/>
          <w:highlight w:val="none"/>
        </w:rPr>
        <w:t>地址：</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u w:val="single" w:color="000000"/>
        </w:rPr>
        <w:tab/>
      </w:r>
      <w:r>
        <w:rPr>
          <w:rFonts w:hint="eastAsia" w:ascii="新宋体" w:hAnsi="新宋体" w:eastAsia="新宋体" w:cs="新宋体"/>
          <w:color w:val="auto"/>
          <w:spacing w:val="0"/>
          <w:sz w:val="24"/>
          <w:szCs w:val="24"/>
          <w:highlight w:val="none"/>
          <w:u w:val="single" w:color="000000"/>
          <w:lang w:val="en-US" w:eastAsia="zh-CN"/>
        </w:rPr>
        <w:t xml:space="preserve">           </w:t>
      </w:r>
    </w:p>
    <w:p w14:paraId="01B0E8FD">
      <w:pPr>
        <w:tabs>
          <w:tab w:val="left" w:pos="3541"/>
        </w:tabs>
        <w:spacing w:line="360" w:lineRule="auto"/>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lang w:eastAsia="zh-CN"/>
        </w:rPr>
        <w:t>招标人</w:t>
      </w:r>
      <w:r>
        <w:rPr>
          <w:rFonts w:hint="eastAsia" w:ascii="新宋体" w:hAnsi="新宋体" w:eastAsia="新宋体" w:cs="新宋体"/>
          <w:color w:val="auto"/>
          <w:spacing w:val="0"/>
          <w:sz w:val="24"/>
          <w:szCs w:val="24"/>
          <w:highlight w:val="none"/>
        </w:rPr>
        <w:t>（即“受益人”）：</w:t>
      </w:r>
    </w:p>
    <w:p w14:paraId="71C77D3C">
      <w:pPr>
        <w:tabs>
          <w:tab w:val="left" w:pos="3657"/>
        </w:tabs>
        <w:spacing w:line="360" w:lineRule="auto"/>
        <w:textAlignment w:val="baseline"/>
        <w:rPr>
          <w:rFonts w:hint="default" w:ascii="新宋体" w:hAnsi="新宋体" w:eastAsia="新宋体" w:cs="新宋体"/>
          <w:color w:val="auto"/>
          <w:spacing w:val="0"/>
          <w:sz w:val="24"/>
          <w:szCs w:val="24"/>
          <w:highlight w:val="none"/>
          <w:lang w:val="en-US" w:eastAsia="zh-CN"/>
        </w:rPr>
      </w:pPr>
      <w:r>
        <w:rPr>
          <w:rFonts w:hint="eastAsia" w:ascii="新宋体" w:hAnsi="新宋体" w:eastAsia="新宋体" w:cs="新宋体"/>
          <w:color w:val="auto"/>
          <w:spacing w:val="0"/>
          <w:sz w:val="24"/>
          <w:szCs w:val="24"/>
          <w:highlight w:val="none"/>
        </w:rPr>
        <w:t>地址：</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u w:val="single" w:color="000000"/>
        </w:rPr>
        <w:tab/>
      </w:r>
      <w:r>
        <w:rPr>
          <w:rFonts w:hint="eastAsia" w:ascii="新宋体" w:hAnsi="新宋体" w:eastAsia="新宋体" w:cs="新宋体"/>
          <w:color w:val="auto"/>
          <w:spacing w:val="0"/>
          <w:sz w:val="24"/>
          <w:szCs w:val="24"/>
          <w:highlight w:val="none"/>
          <w:u w:val="single" w:color="000000"/>
          <w:lang w:val="en-US" w:eastAsia="zh-CN"/>
        </w:rPr>
        <w:t xml:space="preserve">          </w:t>
      </w:r>
    </w:p>
    <w:p w14:paraId="6D142E99">
      <w:pPr>
        <w:tabs>
          <w:tab w:val="left" w:pos="4137"/>
          <w:tab w:val="left" w:pos="4861"/>
        </w:tabs>
        <w:spacing w:line="360" w:lineRule="auto"/>
        <w:textAlignment w:val="baseline"/>
        <w:rPr>
          <w:rFonts w:hint="eastAsia" w:ascii="新宋体" w:hAnsi="新宋体" w:eastAsia="新宋体" w:cs="新宋体"/>
          <w:color w:val="auto"/>
          <w:spacing w:val="0"/>
          <w:sz w:val="24"/>
          <w:szCs w:val="24"/>
          <w:highlight w:val="none"/>
          <w:u w:val="single"/>
        </w:rPr>
      </w:pPr>
      <w:r>
        <w:rPr>
          <w:rFonts w:hint="eastAsia" w:ascii="新宋体" w:hAnsi="新宋体" w:eastAsia="新宋体" w:cs="新宋体"/>
          <w:color w:val="auto"/>
          <w:spacing w:val="0"/>
          <w:sz w:val="24"/>
          <w:szCs w:val="24"/>
          <w:highlight w:val="none"/>
        </w:rPr>
        <w:t>开立人（出函担保机构）：</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u w:val="single" w:color="000000"/>
        </w:rPr>
        <w:tab/>
      </w:r>
      <w:r>
        <w:rPr>
          <w:rFonts w:hint="eastAsia" w:ascii="新宋体" w:hAnsi="新宋体" w:eastAsia="新宋体" w:cs="新宋体"/>
          <w:color w:val="auto"/>
          <w:spacing w:val="0"/>
          <w:sz w:val="24"/>
          <w:szCs w:val="24"/>
          <w:highlight w:val="none"/>
          <w:u w:val="single" w:color="000000"/>
        </w:rPr>
        <w:tab/>
      </w:r>
    </w:p>
    <w:p w14:paraId="559804BB">
      <w:pPr>
        <w:tabs>
          <w:tab w:val="left" w:pos="4137"/>
          <w:tab w:val="left" w:pos="5339"/>
        </w:tabs>
        <w:spacing w:line="360" w:lineRule="auto"/>
        <w:textAlignment w:val="baseline"/>
        <w:rPr>
          <w:rFonts w:hint="eastAsia" w:ascii="新宋体" w:hAnsi="新宋体" w:eastAsia="新宋体" w:cs="新宋体"/>
          <w:color w:val="auto"/>
          <w:spacing w:val="0"/>
          <w:sz w:val="24"/>
          <w:szCs w:val="24"/>
          <w:highlight w:val="none"/>
          <w:u w:val="single"/>
        </w:rPr>
      </w:pPr>
      <w:r>
        <w:rPr>
          <w:rFonts w:hint="eastAsia" w:ascii="新宋体" w:hAnsi="新宋体" w:eastAsia="新宋体" w:cs="新宋体"/>
          <w:color w:val="auto"/>
          <w:spacing w:val="0"/>
          <w:sz w:val="24"/>
          <w:szCs w:val="24"/>
          <w:highlight w:val="none"/>
        </w:rPr>
        <w:t>地址：</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u w:val="single" w:color="000000"/>
        </w:rPr>
        <w:tab/>
      </w:r>
      <w:r>
        <w:rPr>
          <w:rFonts w:hint="eastAsia" w:ascii="新宋体" w:hAnsi="新宋体" w:eastAsia="新宋体" w:cs="新宋体"/>
          <w:color w:val="auto"/>
          <w:spacing w:val="0"/>
          <w:sz w:val="24"/>
          <w:szCs w:val="24"/>
          <w:highlight w:val="none"/>
          <w:u w:val="single" w:color="000000"/>
        </w:rPr>
        <w:t xml:space="preserve">      </w:t>
      </w:r>
    </w:p>
    <w:p w14:paraId="619628E9">
      <w:pPr>
        <w:spacing w:line="360" w:lineRule="auto"/>
        <w:textAlignment w:val="baseline"/>
        <w:rPr>
          <w:rFonts w:hint="eastAsia" w:ascii="新宋体" w:hAnsi="新宋体" w:eastAsia="新宋体" w:cs="新宋体"/>
          <w:color w:val="auto"/>
          <w:spacing w:val="0"/>
          <w:sz w:val="24"/>
          <w:szCs w:val="24"/>
          <w:highlight w:val="none"/>
          <w:u w:val="single"/>
        </w:rPr>
      </w:pPr>
      <w:r>
        <w:rPr>
          <w:rFonts w:hint="eastAsia" w:ascii="新宋体" w:hAnsi="新宋体" w:eastAsia="新宋体" w:cs="新宋体"/>
          <w:color w:val="auto"/>
          <w:spacing w:val="0"/>
          <w:sz w:val="24"/>
          <w:szCs w:val="24"/>
          <w:highlight w:val="none"/>
        </w:rPr>
        <w:t>致：</w:t>
      </w:r>
      <w:r>
        <w:rPr>
          <w:rFonts w:hint="eastAsia" w:ascii="新宋体" w:hAnsi="新宋体" w:eastAsia="新宋体" w:cs="新宋体"/>
          <w:color w:val="auto"/>
          <w:spacing w:val="0"/>
          <w:sz w:val="24"/>
          <w:szCs w:val="24"/>
          <w:highlight w:val="none"/>
          <w:u w:val="single"/>
        </w:rPr>
        <w:t>（</w:t>
      </w:r>
      <w:r>
        <w:rPr>
          <w:rFonts w:hint="eastAsia" w:ascii="新宋体" w:hAnsi="新宋体" w:eastAsia="新宋体" w:cs="新宋体"/>
          <w:color w:val="auto"/>
          <w:spacing w:val="0"/>
          <w:sz w:val="24"/>
          <w:szCs w:val="24"/>
          <w:highlight w:val="none"/>
          <w:u w:val="single"/>
          <w:lang w:eastAsia="zh-CN"/>
        </w:rPr>
        <w:t>招标人</w:t>
      </w:r>
      <w:r>
        <w:rPr>
          <w:rFonts w:hint="eastAsia" w:ascii="新宋体" w:hAnsi="新宋体" w:eastAsia="新宋体" w:cs="新宋体"/>
          <w:color w:val="auto"/>
          <w:spacing w:val="0"/>
          <w:sz w:val="24"/>
          <w:szCs w:val="24"/>
          <w:highlight w:val="none"/>
          <w:u w:val="single"/>
        </w:rPr>
        <w:t>名称）</w:t>
      </w:r>
    </w:p>
    <w:p w14:paraId="633D9F0A">
      <w:pPr>
        <w:keepNext w:val="0"/>
        <w:keepLines w:val="0"/>
        <w:pageBreakBefore w:val="0"/>
        <w:widowControl w:val="0"/>
        <w:kinsoku/>
        <w:wordWrap/>
        <w:overflowPunct w:val="0"/>
        <w:topLinePunct w:val="0"/>
        <w:autoSpaceDE/>
        <w:autoSpaceDN/>
        <w:bidi w:val="0"/>
        <w:adjustRightInd/>
        <w:snapToGrid/>
        <w:spacing w:line="360" w:lineRule="auto"/>
        <w:ind w:right="0" w:firstLine="480" w:firstLineChars="200"/>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我方（</w:t>
      </w:r>
      <w:r>
        <w:rPr>
          <w:rFonts w:hint="eastAsia" w:ascii="新宋体" w:hAnsi="新宋体" w:eastAsia="新宋体" w:cs="新宋体"/>
          <w:color w:val="auto"/>
          <w:spacing w:val="0"/>
          <w:sz w:val="24"/>
          <w:szCs w:val="24"/>
          <w:highlight w:val="none"/>
          <w:lang w:val="en-US" w:eastAsia="zh-CN"/>
        </w:rPr>
        <w:t xml:space="preserve"> </w:t>
      </w:r>
      <w:r>
        <w:rPr>
          <w:rFonts w:hint="eastAsia" w:ascii="新宋体" w:hAnsi="新宋体" w:eastAsia="新宋体" w:cs="新宋体"/>
          <w:color w:val="auto"/>
          <w:spacing w:val="0"/>
          <w:sz w:val="24"/>
          <w:szCs w:val="24"/>
          <w:highlight w:val="none"/>
        </w:rPr>
        <w:t>即“开立人”）已获得通知，本保函申请人（即“投标人”）已响应贵方于</w:t>
      </w:r>
      <w:r>
        <w:rPr>
          <w:rFonts w:hint="eastAsia" w:ascii="新宋体" w:hAnsi="新宋体" w:eastAsia="新宋体" w:cs="新宋体"/>
          <w:color w:val="auto"/>
          <w:spacing w:val="0"/>
          <w:sz w:val="24"/>
          <w:szCs w:val="24"/>
          <w:highlight w:val="none"/>
          <w:u w:val="single"/>
        </w:rPr>
        <w:t xml:space="preserve">     </w:t>
      </w:r>
      <w:r>
        <w:rPr>
          <w:rFonts w:hint="eastAsia" w:ascii="新宋体" w:hAnsi="新宋体" w:eastAsia="新宋体" w:cs="新宋体"/>
          <w:color w:val="auto"/>
          <w:spacing w:val="0"/>
          <w:sz w:val="24"/>
          <w:szCs w:val="24"/>
          <w:highlight w:val="none"/>
        </w:rPr>
        <w:t>年</w:t>
      </w:r>
      <w:r>
        <w:rPr>
          <w:rFonts w:hint="eastAsia" w:ascii="新宋体" w:hAnsi="新宋体" w:eastAsia="新宋体" w:cs="新宋体"/>
          <w:color w:val="auto"/>
          <w:spacing w:val="0"/>
          <w:sz w:val="24"/>
          <w:szCs w:val="24"/>
          <w:highlight w:val="none"/>
          <w:u w:val="single"/>
        </w:rPr>
        <w:t xml:space="preserve">   </w:t>
      </w:r>
      <w:r>
        <w:rPr>
          <w:rFonts w:hint="eastAsia" w:ascii="新宋体" w:hAnsi="新宋体" w:eastAsia="新宋体" w:cs="新宋体"/>
          <w:color w:val="auto"/>
          <w:spacing w:val="0"/>
          <w:sz w:val="24"/>
          <w:szCs w:val="24"/>
          <w:highlight w:val="none"/>
        </w:rPr>
        <w:t>月</w:t>
      </w:r>
      <w:r>
        <w:rPr>
          <w:rFonts w:hint="eastAsia" w:ascii="新宋体" w:hAnsi="新宋体" w:eastAsia="新宋体" w:cs="新宋体"/>
          <w:color w:val="auto"/>
          <w:spacing w:val="0"/>
          <w:sz w:val="24"/>
          <w:szCs w:val="24"/>
          <w:highlight w:val="none"/>
          <w:u w:val="single"/>
        </w:rPr>
        <w:t xml:space="preserve">   </w:t>
      </w:r>
      <w:r>
        <w:rPr>
          <w:rFonts w:hint="eastAsia" w:ascii="新宋体" w:hAnsi="新宋体" w:eastAsia="新宋体" w:cs="新宋体"/>
          <w:color w:val="auto"/>
          <w:spacing w:val="0"/>
          <w:sz w:val="24"/>
          <w:szCs w:val="24"/>
          <w:highlight w:val="none"/>
        </w:rPr>
        <w:t>日就</w:t>
      </w:r>
      <w:r>
        <w:rPr>
          <w:rFonts w:hint="eastAsia" w:ascii="新宋体" w:hAnsi="新宋体" w:eastAsia="新宋体" w:cs="新宋体"/>
          <w:color w:val="auto"/>
          <w:spacing w:val="0"/>
          <w:sz w:val="24"/>
          <w:szCs w:val="24"/>
          <w:highlight w:val="none"/>
          <w:u w:val="single"/>
        </w:rPr>
        <w:t xml:space="preserve">                </w:t>
      </w:r>
      <w:r>
        <w:rPr>
          <w:rFonts w:hint="eastAsia" w:ascii="新宋体" w:hAnsi="新宋体" w:eastAsia="新宋体" w:cs="新宋体"/>
          <w:color w:val="auto"/>
          <w:spacing w:val="0"/>
          <w:sz w:val="24"/>
          <w:szCs w:val="24"/>
          <w:highlight w:val="none"/>
        </w:rPr>
        <w:t>（以下简称“本项目”）发出的招标文件，并已向</w:t>
      </w:r>
      <w:r>
        <w:rPr>
          <w:rFonts w:hint="eastAsia" w:ascii="新宋体" w:hAnsi="新宋体" w:eastAsia="新宋体" w:cs="新宋体"/>
          <w:color w:val="auto"/>
          <w:spacing w:val="0"/>
          <w:sz w:val="24"/>
          <w:szCs w:val="24"/>
          <w:highlight w:val="none"/>
          <w:lang w:eastAsia="zh-CN"/>
        </w:rPr>
        <w:t>招标人</w:t>
      </w:r>
      <w:r>
        <w:rPr>
          <w:rFonts w:hint="eastAsia" w:ascii="新宋体" w:hAnsi="新宋体" w:eastAsia="新宋体" w:cs="新宋体"/>
          <w:color w:val="auto"/>
          <w:spacing w:val="0"/>
          <w:sz w:val="24"/>
          <w:szCs w:val="24"/>
          <w:highlight w:val="none"/>
        </w:rPr>
        <w:t>（即“受益人”）提交了投标文件（即“基础交易”）。</w:t>
      </w:r>
    </w:p>
    <w:p w14:paraId="23D10B9F">
      <w:pPr>
        <w:keepNext w:val="0"/>
        <w:keepLines w:val="0"/>
        <w:pageBreakBefore w:val="0"/>
        <w:widowControl w:val="0"/>
        <w:tabs>
          <w:tab w:val="left" w:pos="1918"/>
        </w:tabs>
        <w:kinsoku/>
        <w:wordWrap/>
        <w:overflowPunct w:val="0"/>
        <w:topLinePunct w:val="0"/>
        <w:autoSpaceDE/>
        <w:autoSpaceDN/>
        <w:bidi w:val="0"/>
        <w:adjustRightInd/>
        <w:snapToGrid/>
        <w:spacing w:line="360" w:lineRule="auto"/>
        <w:ind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一、我方理解根据招标条件，投标人必须提交一份投标保函</w:t>
      </w:r>
      <w:r>
        <w:rPr>
          <w:rFonts w:hint="eastAsia" w:ascii="新宋体" w:hAnsi="新宋体" w:eastAsia="新宋体" w:cs="新宋体"/>
          <w:b/>
          <w:color w:val="auto"/>
          <w:spacing w:val="0"/>
          <w:sz w:val="24"/>
          <w:szCs w:val="24"/>
          <w:highlight w:val="none"/>
        </w:rPr>
        <w:t>（ 以下简称“本保函”）</w:t>
      </w:r>
      <w:r>
        <w:rPr>
          <w:rFonts w:hint="eastAsia" w:ascii="新宋体" w:hAnsi="新宋体" w:eastAsia="新宋体" w:cs="新宋体"/>
          <w:color w:val="auto"/>
          <w:spacing w:val="0"/>
          <w:sz w:val="24"/>
          <w:szCs w:val="24"/>
          <w:highlight w:val="none"/>
        </w:rPr>
        <w:t>，以担保投标人诚信履行其在</w:t>
      </w:r>
      <w:r>
        <w:rPr>
          <w:rFonts w:hint="eastAsia" w:ascii="新宋体" w:hAnsi="新宋体" w:eastAsia="新宋体" w:cs="新宋体"/>
          <w:b/>
          <w:color w:val="auto"/>
          <w:spacing w:val="0"/>
          <w:sz w:val="24"/>
          <w:szCs w:val="24"/>
          <w:highlight w:val="none"/>
        </w:rPr>
        <w:t>上述基础交易</w:t>
      </w:r>
      <w:r>
        <w:rPr>
          <w:rFonts w:hint="eastAsia" w:ascii="新宋体" w:hAnsi="新宋体" w:eastAsia="新宋体" w:cs="新宋体"/>
          <w:color w:val="auto"/>
          <w:spacing w:val="0"/>
          <w:sz w:val="24"/>
          <w:szCs w:val="24"/>
          <w:highlight w:val="none"/>
        </w:rPr>
        <w:t>中承担的投标人义务。鉴此，应投标人要求， 我方在此同意向贵方出具此投标保函，本保函担保金额最高不超过人民币（大写）</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rPr>
        <w:t>元（¥</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u w:val="single" w:color="000000"/>
        </w:rPr>
        <w:tab/>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rPr>
        <w:t>）。</w:t>
      </w:r>
    </w:p>
    <w:p w14:paraId="2C0E3A90">
      <w:pPr>
        <w:keepNext w:val="0"/>
        <w:keepLines w:val="0"/>
        <w:pageBreakBefore w:val="0"/>
        <w:widowControl w:val="0"/>
        <w:kinsoku/>
        <w:wordWrap/>
        <w:overflowPunct w:val="0"/>
        <w:topLinePunct w:val="0"/>
        <w:autoSpaceDE/>
        <w:autoSpaceDN/>
        <w:bidi w:val="0"/>
        <w:adjustRightInd/>
        <w:snapToGrid/>
        <w:spacing w:line="360" w:lineRule="auto"/>
        <w:ind w:right="0" w:firstLine="480" w:firstLineChars="200"/>
        <w:textAlignment w:val="baseline"/>
        <w:rPr>
          <w:rFonts w:hint="eastAsia" w:ascii="新宋体" w:hAnsi="新宋体" w:eastAsia="新宋体" w:cs="新宋体"/>
          <w:color w:val="auto"/>
          <w:spacing w:val="0"/>
          <w:kern w:val="0"/>
          <w:sz w:val="24"/>
          <w:szCs w:val="24"/>
          <w:highlight w:val="none"/>
        </w:rPr>
      </w:pPr>
      <w:r>
        <w:rPr>
          <w:rFonts w:hint="eastAsia" w:ascii="新宋体" w:hAnsi="新宋体" w:eastAsia="新宋体" w:cs="新宋体"/>
          <w:color w:val="auto"/>
          <w:spacing w:val="0"/>
          <w:kern w:val="0"/>
          <w:sz w:val="24"/>
          <w:szCs w:val="24"/>
          <w:highlight w:val="none"/>
        </w:rPr>
        <w:t>二、我方在投标人发生以下情形时承担保证担保责任：</w:t>
      </w:r>
    </w:p>
    <w:p w14:paraId="03AF7C08">
      <w:pPr>
        <w:keepNext w:val="0"/>
        <w:keepLines w:val="0"/>
        <w:pageBreakBefore w:val="0"/>
        <w:widowControl w:val="0"/>
        <w:tabs>
          <w:tab w:val="left" w:pos="1560"/>
        </w:tabs>
        <w:kinsoku/>
        <w:wordWrap/>
        <w:overflowPunct w:val="0"/>
        <w:topLinePunct w:val="0"/>
        <w:autoSpaceDE/>
        <w:autoSpaceDN/>
        <w:bidi w:val="0"/>
        <w:adjustRightInd/>
        <w:snapToGrid/>
        <w:spacing w:line="360" w:lineRule="auto"/>
        <w:ind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（1）投标人在开标后和投标有效期满之前撤销投标的；</w:t>
      </w:r>
    </w:p>
    <w:p w14:paraId="50125796">
      <w:pPr>
        <w:keepNext w:val="0"/>
        <w:keepLines w:val="0"/>
        <w:pageBreakBefore w:val="0"/>
        <w:widowControl w:val="0"/>
        <w:kinsoku/>
        <w:wordWrap/>
        <w:overflowPunct w:val="0"/>
        <w:topLinePunct w:val="0"/>
        <w:autoSpaceDE/>
        <w:autoSpaceDN/>
        <w:bidi w:val="0"/>
        <w:adjustRightInd/>
        <w:snapToGrid/>
        <w:spacing w:line="360" w:lineRule="auto"/>
        <w:ind w:right="0" w:firstLine="480" w:firstLineChars="200"/>
        <w:textAlignment w:val="baseline"/>
        <w:rPr>
          <w:rFonts w:hint="eastAsia" w:ascii="新宋体" w:hAnsi="新宋体" w:eastAsia="新宋体" w:cs="新宋体"/>
          <w:color w:val="auto"/>
          <w:spacing w:val="0"/>
          <w:kern w:val="0"/>
          <w:sz w:val="24"/>
          <w:szCs w:val="24"/>
          <w:highlight w:val="none"/>
        </w:rPr>
      </w:pPr>
      <w:r>
        <w:rPr>
          <w:rFonts w:hint="eastAsia" w:ascii="新宋体" w:hAnsi="新宋体" w:eastAsia="新宋体" w:cs="新宋体"/>
          <w:color w:val="auto"/>
          <w:spacing w:val="0"/>
          <w:sz w:val="24"/>
          <w:szCs w:val="24"/>
          <w:highlight w:val="none"/>
        </w:rPr>
        <w:t>（2）</w:t>
      </w:r>
      <w:r>
        <w:rPr>
          <w:rFonts w:hint="eastAsia" w:ascii="新宋体" w:hAnsi="新宋体" w:eastAsia="新宋体" w:cs="新宋体"/>
          <w:color w:val="auto"/>
          <w:spacing w:val="0"/>
          <w:kern w:val="0"/>
          <w:sz w:val="24"/>
          <w:szCs w:val="24"/>
          <w:highlight w:val="none"/>
        </w:rPr>
        <w:t>投标人在中标后无正当理由不与</w:t>
      </w:r>
      <w:r>
        <w:rPr>
          <w:rFonts w:hint="eastAsia" w:ascii="新宋体" w:hAnsi="新宋体" w:eastAsia="新宋体" w:cs="新宋体"/>
          <w:color w:val="auto"/>
          <w:spacing w:val="0"/>
          <w:kern w:val="0"/>
          <w:sz w:val="24"/>
          <w:szCs w:val="24"/>
          <w:highlight w:val="none"/>
          <w:lang w:eastAsia="zh-CN"/>
        </w:rPr>
        <w:t>招标人</w:t>
      </w:r>
      <w:r>
        <w:rPr>
          <w:rFonts w:hint="eastAsia" w:ascii="新宋体" w:hAnsi="新宋体" w:eastAsia="新宋体" w:cs="新宋体"/>
          <w:color w:val="auto"/>
          <w:spacing w:val="0"/>
          <w:kern w:val="0"/>
          <w:sz w:val="24"/>
          <w:szCs w:val="24"/>
          <w:highlight w:val="none"/>
        </w:rPr>
        <w:t>订立合同或者签订合同时向</w:t>
      </w:r>
      <w:r>
        <w:rPr>
          <w:rFonts w:hint="eastAsia" w:ascii="新宋体" w:hAnsi="新宋体" w:eastAsia="新宋体" w:cs="新宋体"/>
          <w:color w:val="auto"/>
          <w:spacing w:val="0"/>
          <w:kern w:val="0"/>
          <w:sz w:val="24"/>
          <w:szCs w:val="24"/>
          <w:highlight w:val="none"/>
          <w:lang w:eastAsia="zh-CN"/>
        </w:rPr>
        <w:t>招标人</w:t>
      </w:r>
      <w:r>
        <w:rPr>
          <w:rFonts w:hint="eastAsia" w:ascii="新宋体" w:hAnsi="新宋体" w:eastAsia="新宋体" w:cs="新宋体"/>
          <w:color w:val="auto"/>
          <w:spacing w:val="0"/>
          <w:kern w:val="0"/>
          <w:sz w:val="24"/>
          <w:szCs w:val="24"/>
          <w:highlight w:val="none"/>
        </w:rPr>
        <w:t>提出附加条件的；</w:t>
      </w:r>
    </w:p>
    <w:p w14:paraId="02D656DB">
      <w:pPr>
        <w:keepNext w:val="0"/>
        <w:keepLines w:val="0"/>
        <w:pageBreakBefore w:val="0"/>
        <w:widowControl w:val="0"/>
        <w:kinsoku/>
        <w:wordWrap/>
        <w:overflowPunct w:val="0"/>
        <w:topLinePunct w:val="0"/>
        <w:autoSpaceDE/>
        <w:autoSpaceDN/>
        <w:bidi w:val="0"/>
        <w:adjustRightInd/>
        <w:snapToGrid/>
        <w:spacing w:line="360" w:lineRule="auto"/>
        <w:ind w:right="0" w:firstLine="480" w:firstLineChars="200"/>
        <w:textAlignment w:val="baseline"/>
        <w:rPr>
          <w:rFonts w:hint="eastAsia" w:ascii="新宋体" w:hAnsi="新宋体" w:eastAsia="新宋体" w:cs="新宋体"/>
          <w:color w:val="auto"/>
          <w:spacing w:val="0"/>
          <w:kern w:val="0"/>
          <w:sz w:val="24"/>
          <w:szCs w:val="24"/>
          <w:highlight w:val="none"/>
        </w:rPr>
      </w:pPr>
      <w:r>
        <w:rPr>
          <w:rFonts w:hint="eastAsia" w:ascii="新宋体" w:hAnsi="新宋体" w:eastAsia="新宋体" w:cs="新宋体"/>
          <w:color w:val="auto"/>
          <w:spacing w:val="0"/>
          <w:kern w:val="0"/>
          <w:sz w:val="24"/>
          <w:szCs w:val="24"/>
          <w:highlight w:val="none"/>
        </w:rPr>
        <w:t>（3）投标人在中标后不按照招标文件要求提交履约保证金或履约担保的；</w:t>
      </w:r>
    </w:p>
    <w:p w14:paraId="270564FA">
      <w:pPr>
        <w:keepNext w:val="0"/>
        <w:keepLines w:val="0"/>
        <w:pageBreakBefore w:val="0"/>
        <w:widowControl w:val="0"/>
        <w:tabs>
          <w:tab w:val="left" w:pos="1560"/>
        </w:tabs>
        <w:kinsoku/>
        <w:wordWrap/>
        <w:overflowPunct w:val="0"/>
        <w:topLinePunct w:val="0"/>
        <w:autoSpaceDE/>
        <w:autoSpaceDN/>
        <w:bidi w:val="0"/>
        <w:adjustRightInd/>
        <w:snapToGrid/>
        <w:spacing w:line="360" w:lineRule="auto"/>
        <w:ind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（4）投标人违反招标文件规定，依照招标文件的约定属于投标保证金不予退还的；</w:t>
      </w:r>
    </w:p>
    <w:p w14:paraId="3955D7A8">
      <w:pPr>
        <w:keepNext w:val="0"/>
        <w:keepLines w:val="0"/>
        <w:pageBreakBefore w:val="0"/>
        <w:widowControl w:val="0"/>
        <w:tabs>
          <w:tab w:val="left" w:pos="1560"/>
        </w:tabs>
        <w:kinsoku/>
        <w:wordWrap/>
        <w:overflowPunct w:val="0"/>
        <w:topLinePunct w:val="0"/>
        <w:autoSpaceDE/>
        <w:autoSpaceDN/>
        <w:bidi w:val="0"/>
        <w:adjustRightInd/>
        <w:snapToGrid/>
        <w:spacing w:line="360" w:lineRule="auto"/>
        <w:ind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（5）投标人违反投标承诺，依照招标文件的约定和投标文件承诺，属于投标保证金不予退还的；</w:t>
      </w:r>
    </w:p>
    <w:p w14:paraId="2E251192">
      <w:pPr>
        <w:keepNext w:val="0"/>
        <w:keepLines w:val="0"/>
        <w:pageBreakBefore w:val="0"/>
        <w:widowControl w:val="0"/>
        <w:tabs>
          <w:tab w:val="left" w:pos="1560"/>
        </w:tabs>
        <w:kinsoku/>
        <w:wordWrap/>
        <w:overflowPunct w:val="0"/>
        <w:topLinePunct w:val="0"/>
        <w:autoSpaceDE/>
        <w:autoSpaceDN/>
        <w:bidi w:val="0"/>
        <w:adjustRightInd/>
        <w:snapToGrid/>
        <w:spacing w:line="360" w:lineRule="auto"/>
        <w:ind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（6） 投标人违反招标文件约定的其他情形。</w:t>
      </w:r>
    </w:p>
    <w:p w14:paraId="00F66CBA">
      <w:pPr>
        <w:keepNext w:val="0"/>
        <w:keepLines w:val="0"/>
        <w:pageBreakBefore w:val="0"/>
        <w:widowControl w:val="0"/>
        <w:kinsoku/>
        <w:wordWrap/>
        <w:overflowPunct w:val="0"/>
        <w:topLinePunct w:val="0"/>
        <w:autoSpaceDE/>
        <w:autoSpaceDN/>
        <w:bidi w:val="0"/>
        <w:adjustRightInd/>
        <w:snapToGrid/>
        <w:spacing w:line="360" w:lineRule="auto"/>
        <w:ind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三、本保函为不可撤销、不可转让的见索即付独立保函。本保函有效期自开立之日起至投标有效期届满之日后的</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rPr>
        <w:t>日。投标有效期延长的，本保函有效期相应顺延，最迟不超过</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rPr>
        <w:t>年</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rPr>
        <w:t>月</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rPr>
        <w:t>日。</w:t>
      </w:r>
    </w:p>
    <w:p w14:paraId="0B1640EA">
      <w:pPr>
        <w:keepNext w:val="0"/>
        <w:keepLines w:val="0"/>
        <w:pageBreakBefore w:val="0"/>
        <w:widowControl w:val="0"/>
        <w:tabs>
          <w:tab w:val="left" w:pos="7164"/>
        </w:tabs>
        <w:kinsoku/>
        <w:wordWrap/>
        <w:overflowPunct w:val="0"/>
        <w:topLinePunct w:val="0"/>
        <w:autoSpaceDE/>
        <w:autoSpaceDN/>
        <w:bidi w:val="0"/>
        <w:adjustRightInd/>
        <w:snapToGrid/>
        <w:spacing w:line="360" w:lineRule="auto"/>
        <w:ind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四、我方承诺，在收到</w:t>
      </w:r>
      <w:r>
        <w:rPr>
          <w:rFonts w:hint="eastAsia" w:ascii="新宋体" w:hAnsi="新宋体" w:eastAsia="新宋体" w:cs="新宋体"/>
          <w:color w:val="auto"/>
          <w:spacing w:val="0"/>
          <w:sz w:val="24"/>
          <w:szCs w:val="24"/>
          <w:highlight w:val="none"/>
          <w:lang w:eastAsia="zh-CN"/>
        </w:rPr>
        <w:t>招标人</w:t>
      </w:r>
      <w:r>
        <w:rPr>
          <w:rFonts w:hint="eastAsia" w:ascii="新宋体" w:hAnsi="新宋体" w:eastAsia="新宋体" w:cs="新宋体"/>
          <w:color w:val="auto"/>
          <w:spacing w:val="0"/>
          <w:sz w:val="24"/>
          <w:szCs w:val="24"/>
          <w:highlight w:val="none"/>
        </w:rPr>
        <w:t>发来的书面付款通知后的</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u w:val="single" w:color="000000"/>
        </w:rPr>
        <w:tab/>
      </w:r>
      <w:r>
        <w:rPr>
          <w:rFonts w:hint="eastAsia" w:ascii="新宋体" w:hAnsi="新宋体" w:eastAsia="新宋体" w:cs="新宋体"/>
          <w:color w:val="auto"/>
          <w:spacing w:val="0"/>
          <w:sz w:val="24"/>
          <w:szCs w:val="24"/>
          <w:highlight w:val="none"/>
        </w:rPr>
        <w:t>日内无条件支付，前述书面付款通知即为付款要求之单据，且应满足以下要求：</w:t>
      </w:r>
    </w:p>
    <w:p w14:paraId="4C4B976E">
      <w:pPr>
        <w:keepNext w:val="0"/>
        <w:keepLines w:val="0"/>
        <w:pageBreakBefore w:val="0"/>
        <w:widowControl w:val="0"/>
        <w:tabs>
          <w:tab w:val="left" w:pos="1560"/>
        </w:tabs>
        <w:kinsoku/>
        <w:wordWrap/>
        <w:overflowPunct w:val="0"/>
        <w:topLinePunct w:val="0"/>
        <w:autoSpaceDE/>
        <w:autoSpaceDN/>
        <w:bidi w:val="0"/>
        <w:adjustRightInd/>
        <w:snapToGrid/>
        <w:spacing w:line="360" w:lineRule="auto"/>
        <w:ind w:right="0" w:firstLine="480" w:firstLineChars="200"/>
        <w:textAlignment w:val="baseline"/>
        <w:rPr>
          <w:rFonts w:hint="eastAsia" w:ascii="新宋体" w:hAnsi="新宋体" w:eastAsia="新宋体" w:cs="新宋体"/>
          <w:color w:val="auto"/>
          <w:spacing w:val="0"/>
          <w:kern w:val="0"/>
          <w:sz w:val="24"/>
          <w:szCs w:val="24"/>
          <w:highlight w:val="none"/>
        </w:rPr>
      </w:pPr>
      <w:r>
        <w:rPr>
          <w:rFonts w:hint="eastAsia" w:ascii="新宋体" w:hAnsi="新宋体" w:eastAsia="新宋体" w:cs="新宋体"/>
          <w:color w:val="auto"/>
          <w:spacing w:val="0"/>
          <w:kern w:val="0"/>
          <w:sz w:val="24"/>
          <w:szCs w:val="24"/>
          <w:highlight w:val="none"/>
        </w:rPr>
        <w:t>（1）付款通知到达的日期在本保函的有效期内；</w:t>
      </w:r>
    </w:p>
    <w:p w14:paraId="1FB8A575">
      <w:pPr>
        <w:keepNext w:val="0"/>
        <w:keepLines w:val="0"/>
        <w:pageBreakBefore w:val="0"/>
        <w:widowControl w:val="0"/>
        <w:tabs>
          <w:tab w:val="left" w:pos="1560"/>
        </w:tabs>
        <w:kinsoku/>
        <w:wordWrap/>
        <w:overflowPunct w:val="0"/>
        <w:topLinePunct w:val="0"/>
        <w:autoSpaceDE/>
        <w:autoSpaceDN/>
        <w:bidi w:val="0"/>
        <w:adjustRightInd/>
        <w:snapToGrid/>
        <w:spacing w:line="360" w:lineRule="auto"/>
        <w:ind w:right="0" w:firstLine="480" w:firstLineChars="200"/>
        <w:textAlignment w:val="baseline"/>
        <w:rPr>
          <w:rFonts w:hint="eastAsia" w:ascii="新宋体" w:hAnsi="新宋体" w:eastAsia="新宋体" w:cs="新宋体"/>
          <w:color w:val="auto"/>
          <w:spacing w:val="0"/>
          <w:kern w:val="0"/>
          <w:sz w:val="24"/>
          <w:szCs w:val="24"/>
          <w:highlight w:val="none"/>
        </w:rPr>
      </w:pPr>
      <w:r>
        <w:rPr>
          <w:rFonts w:hint="eastAsia" w:ascii="新宋体" w:hAnsi="新宋体" w:eastAsia="新宋体" w:cs="新宋体"/>
          <w:color w:val="auto"/>
          <w:spacing w:val="0"/>
          <w:kern w:val="0"/>
          <w:sz w:val="24"/>
          <w:szCs w:val="24"/>
          <w:highlight w:val="none"/>
        </w:rPr>
        <w:t>（2）载明要求支付的金额；</w:t>
      </w:r>
    </w:p>
    <w:p w14:paraId="02C719FF">
      <w:pPr>
        <w:keepNext w:val="0"/>
        <w:keepLines w:val="0"/>
        <w:pageBreakBefore w:val="0"/>
        <w:widowControl w:val="0"/>
        <w:tabs>
          <w:tab w:val="left" w:pos="1560"/>
        </w:tabs>
        <w:kinsoku/>
        <w:wordWrap/>
        <w:overflowPunct w:val="0"/>
        <w:topLinePunct w:val="0"/>
        <w:autoSpaceDE/>
        <w:autoSpaceDN/>
        <w:bidi w:val="0"/>
        <w:adjustRightInd/>
        <w:snapToGrid/>
        <w:spacing w:line="360" w:lineRule="auto"/>
        <w:ind w:right="0" w:firstLine="480" w:firstLineChars="200"/>
        <w:textAlignment w:val="baseline"/>
        <w:rPr>
          <w:rFonts w:hint="eastAsia" w:ascii="新宋体" w:hAnsi="新宋体" w:eastAsia="新宋体" w:cs="新宋体"/>
          <w:b/>
          <w:color w:val="auto"/>
          <w:spacing w:val="0"/>
          <w:kern w:val="0"/>
          <w:sz w:val="24"/>
          <w:szCs w:val="24"/>
          <w:highlight w:val="none"/>
        </w:rPr>
      </w:pPr>
      <w:r>
        <w:rPr>
          <w:rFonts w:hint="eastAsia" w:ascii="新宋体" w:hAnsi="新宋体" w:eastAsia="新宋体" w:cs="新宋体"/>
          <w:color w:val="auto"/>
          <w:spacing w:val="0"/>
          <w:kern w:val="0"/>
          <w:sz w:val="24"/>
          <w:szCs w:val="24"/>
          <w:highlight w:val="none"/>
        </w:rPr>
        <w:t>（3）</w:t>
      </w:r>
      <w:r>
        <w:rPr>
          <w:rFonts w:hint="eastAsia" w:ascii="新宋体" w:hAnsi="新宋体" w:eastAsia="新宋体" w:cs="新宋体"/>
          <w:b/>
          <w:color w:val="auto"/>
          <w:spacing w:val="0"/>
          <w:kern w:val="0"/>
          <w:sz w:val="24"/>
          <w:szCs w:val="24"/>
          <w:highlight w:val="none"/>
        </w:rPr>
        <w:t>载明申请人（即投标人）违反法律法规或者招标文件约定或者投标文件承诺的义务内容和具体条款；</w:t>
      </w:r>
    </w:p>
    <w:p w14:paraId="4D66B2E9">
      <w:pPr>
        <w:keepNext w:val="0"/>
        <w:keepLines w:val="0"/>
        <w:pageBreakBefore w:val="0"/>
        <w:widowControl w:val="0"/>
        <w:tabs>
          <w:tab w:val="left" w:pos="1560"/>
          <w:tab w:val="left" w:pos="8158"/>
        </w:tabs>
        <w:kinsoku/>
        <w:wordWrap/>
        <w:overflowPunct w:val="0"/>
        <w:topLinePunct w:val="0"/>
        <w:autoSpaceDE/>
        <w:autoSpaceDN/>
        <w:bidi w:val="0"/>
        <w:adjustRightInd/>
        <w:snapToGrid/>
        <w:spacing w:line="360" w:lineRule="auto"/>
        <w:ind w:right="0" w:firstLine="480" w:firstLineChars="200"/>
        <w:textAlignment w:val="baseline"/>
        <w:rPr>
          <w:rFonts w:hint="eastAsia" w:ascii="新宋体" w:hAnsi="新宋体" w:eastAsia="新宋体" w:cs="新宋体"/>
          <w:color w:val="auto"/>
          <w:spacing w:val="0"/>
          <w:kern w:val="0"/>
          <w:sz w:val="24"/>
          <w:szCs w:val="24"/>
          <w:highlight w:val="none"/>
        </w:rPr>
      </w:pPr>
      <w:r>
        <w:rPr>
          <w:rFonts w:hint="eastAsia" w:ascii="新宋体" w:hAnsi="新宋体" w:eastAsia="新宋体" w:cs="新宋体"/>
          <w:color w:val="auto"/>
          <w:spacing w:val="0"/>
          <w:kern w:val="0"/>
          <w:sz w:val="24"/>
          <w:szCs w:val="24"/>
          <w:highlight w:val="none"/>
        </w:rPr>
        <w:t>（4）书面付款通知应在本保函有效期内到达的地址是：</w:t>
      </w:r>
      <w:r>
        <w:rPr>
          <w:rFonts w:hint="eastAsia" w:ascii="新宋体" w:hAnsi="新宋体" w:eastAsia="新宋体" w:cs="新宋体"/>
          <w:color w:val="auto"/>
          <w:spacing w:val="0"/>
          <w:kern w:val="0"/>
          <w:sz w:val="24"/>
          <w:szCs w:val="24"/>
          <w:highlight w:val="none"/>
          <w:u w:val="single" w:color="000000"/>
        </w:rPr>
        <w:t xml:space="preserve"> </w:t>
      </w:r>
      <w:r>
        <w:rPr>
          <w:rFonts w:hint="eastAsia" w:ascii="新宋体" w:hAnsi="新宋体" w:eastAsia="新宋体" w:cs="新宋体"/>
          <w:color w:val="auto"/>
          <w:spacing w:val="0"/>
          <w:kern w:val="0"/>
          <w:sz w:val="24"/>
          <w:szCs w:val="24"/>
          <w:highlight w:val="none"/>
          <w:u w:val="single" w:color="000000"/>
        </w:rPr>
        <w:tab/>
      </w:r>
      <w:r>
        <w:rPr>
          <w:rFonts w:hint="eastAsia" w:ascii="新宋体" w:hAnsi="新宋体" w:eastAsia="新宋体" w:cs="新宋体"/>
          <w:color w:val="auto"/>
          <w:spacing w:val="0"/>
          <w:kern w:val="0"/>
          <w:sz w:val="24"/>
          <w:szCs w:val="24"/>
          <w:highlight w:val="none"/>
        </w:rPr>
        <w:t>。</w:t>
      </w:r>
    </w:p>
    <w:p w14:paraId="545C9FD4">
      <w:pPr>
        <w:keepNext w:val="0"/>
        <w:keepLines w:val="0"/>
        <w:pageBreakBefore w:val="0"/>
        <w:widowControl w:val="0"/>
        <w:kinsoku/>
        <w:wordWrap/>
        <w:overflowPunct w:val="0"/>
        <w:topLinePunct w:val="0"/>
        <w:autoSpaceDE/>
        <w:autoSpaceDN/>
        <w:bidi w:val="0"/>
        <w:adjustRightInd/>
        <w:snapToGrid/>
        <w:spacing w:line="360" w:lineRule="auto"/>
        <w:ind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lang w:eastAsia="zh-CN"/>
        </w:rPr>
        <w:t>招标人</w:t>
      </w:r>
      <w:r>
        <w:rPr>
          <w:rFonts w:hint="eastAsia" w:ascii="新宋体" w:hAnsi="新宋体" w:eastAsia="新宋体" w:cs="新宋体"/>
          <w:color w:val="auto"/>
          <w:spacing w:val="0"/>
          <w:sz w:val="24"/>
          <w:szCs w:val="24"/>
          <w:highlight w:val="none"/>
        </w:rPr>
        <w:t>发出的书面付款通知应由其为鉴明</w:t>
      </w:r>
      <w:r>
        <w:rPr>
          <w:rFonts w:hint="eastAsia" w:ascii="新宋体" w:hAnsi="新宋体" w:eastAsia="新宋体" w:cs="新宋体"/>
          <w:color w:val="auto"/>
          <w:spacing w:val="0"/>
          <w:sz w:val="24"/>
          <w:szCs w:val="24"/>
          <w:highlight w:val="none"/>
          <w:lang w:eastAsia="zh-CN"/>
        </w:rPr>
        <w:t>招标人</w:t>
      </w:r>
      <w:r>
        <w:rPr>
          <w:rFonts w:hint="eastAsia" w:ascii="新宋体" w:hAnsi="新宋体" w:eastAsia="新宋体" w:cs="新宋体"/>
          <w:color w:val="auto"/>
          <w:spacing w:val="0"/>
          <w:sz w:val="24"/>
          <w:szCs w:val="24"/>
          <w:highlight w:val="none"/>
        </w:rPr>
        <w:t>法定代表人（负责人）或授权代理人签字并加盖公章。</w:t>
      </w:r>
    </w:p>
    <w:p w14:paraId="07E0B8DA">
      <w:pPr>
        <w:keepNext w:val="0"/>
        <w:keepLines w:val="0"/>
        <w:pageBreakBefore w:val="0"/>
        <w:widowControl w:val="0"/>
        <w:kinsoku/>
        <w:wordWrap/>
        <w:overflowPunct w:val="0"/>
        <w:topLinePunct w:val="0"/>
        <w:autoSpaceDE/>
        <w:autoSpaceDN/>
        <w:bidi w:val="0"/>
        <w:adjustRightInd/>
        <w:snapToGrid/>
        <w:spacing w:line="360" w:lineRule="auto"/>
        <w:ind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五、本保函项下的权利不得转让，不得设定担保。贵方未经我方书面同意转让本保函或其项下任何权利，对我方不发生法律效力。</w:t>
      </w:r>
    </w:p>
    <w:p w14:paraId="750A2D01">
      <w:pPr>
        <w:keepNext w:val="0"/>
        <w:keepLines w:val="0"/>
        <w:pageBreakBefore w:val="0"/>
        <w:widowControl w:val="0"/>
        <w:kinsoku/>
        <w:wordWrap/>
        <w:overflowPunct w:val="0"/>
        <w:topLinePunct w:val="0"/>
        <w:autoSpaceDE/>
        <w:autoSpaceDN/>
        <w:bidi w:val="0"/>
        <w:adjustRightInd/>
        <w:snapToGrid/>
        <w:spacing w:line="360" w:lineRule="auto"/>
        <w:ind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六、本保函项下的</w:t>
      </w:r>
      <w:r>
        <w:rPr>
          <w:rFonts w:hint="eastAsia" w:ascii="新宋体" w:hAnsi="新宋体" w:eastAsia="新宋体" w:cs="新宋体"/>
          <w:b/>
          <w:color w:val="auto"/>
          <w:spacing w:val="0"/>
          <w:sz w:val="24"/>
          <w:szCs w:val="24"/>
          <w:highlight w:val="none"/>
        </w:rPr>
        <w:t>基础交易</w:t>
      </w:r>
      <w:r>
        <w:rPr>
          <w:rFonts w:hint="eastAsia" w:ascii="新宋体" w:hAnsi="新宋体" w:eastAsia="新宋体" w:cs="新宋体"/>
          <w:color w:val="auto"/>
          <w:spacing w:val="0"/>
          <w:sz w:val="24"/>
          <w:szCs w:val="24"/>
          <w:highlight w:val="none"/>
        </w:rPr>
        <w:t>不成立、不生效、无效、被撤销、被解除，不影响本保函的独立有效，不影响开立人履行见索即付义务的责任。</w:t>
      </w:r>
    </w:p>
    <w:p w14:paraId="3E836F9A">
      <w:pPr>
        <w:keepNext w:val="0"/>
        <w:keepLines w:val="0"/>
        <w:pageBreakBefore w:val="0"/>
        <w:widowControl w:val="0"/>
        <w:kinsoku/>
        <w:wordWrap/>
        <w:overflowPunct w:val="0"/>
        <w:topLinePunct w:val="0"/>
        <w:autoSpaceDE/>
        <w:autoSpaceDN/>
        <w:bidi w:val="0"/>
        <w:adjustRightInd/>
        <w:snapToGrid/>
        <w:spacing w:line="360" w:lineRule="auto"/>
        <w:ind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七、</w:t>
      </w:r>
      <w:r>
        <w:rPr>
          <w:rFonts w:hint="eastAsia" w:ascii="新宋体" w:hAnsi="新宋体" w:eastAsia="新宋体" w:cs="新宋体"/>
          <w:color w:val="auto"/>
          <w:spacing w:val="0"/>
          <w:sz w:val="24"/>
          <w:szCs w:val="24"/>
          <w:highlight w:val="none"/>
          <w:lang w:eastAsia="zh-CN"/>
        </w:rPr>
        <w:t>招标人</w:t>
      </w:r>
      <w:r>
        <w:rPr>
          <w:rFonts w:hint="eastAsia" w:ascii="新宋体" w:hAnsi="新宋体" w:eastAsia="新宋体" w:cs="新宋体"/>
          <w:color w:val="auto"/>
          <w:spacing w:val="0"/>
          <w:sz w:val="24"/>
          <w:szCs w:val="24"/>
          <w:highlight w:val="none"/>
        </w:rPr>
        <w:t>应在本保函到期后的七日内将本保函正本退回我方注销，但是不论</w:t>
      </w:r>
      <w:r>
        <w:rPr>
          <w:rFonts w:hint="eastAsia" w:ascii="新宋体" w:hAnsi="新宋体" w:eastAsia="新宋体" w:cs="新宋体"/>
          <w:color w:val="auto"/>
          <w:spacing w:val="0"/>
          <w:sz w:val="24"/>
          <w:szCs w:val="24"/>
          <w:highlight w:val="none"/>
          <w:lang w:eastAsia="zh-CN"/>
        </w:rPr>
        <w:t>招标人</w:t>
      </w:r>
      <w:r>
        <w:rPr>
          <w:rFonts w:hint="eastAsia" w:ascii="新宋体" w:hAnsi="新宋体" w:eastAsia="新宋体" w:cs="新宋体"/>
          <w:color w:val="auto"/>
          <w:spacing w:val="0"/>
          <w:sz w:val="24"/>
          <w:szCs w:val="24"/>
          <w:highlight w:val="none"/>
        </w:rPr>
        <w:t>是否按此要求将本保函正本退回我方，我方在本保函项下的义务和责任均在保函有效期到期后自动消灭，但因异议、投诉、立案处理的，本保函有效期将顺延到案件处理完毕之日后再顺延七日。</w:t>
      </w:r>
    </w:p>
    <w:p w14:paraId="312DACFC">
      <w:pPr>
        <w:keepNext w:val="0"/>
        <w:keepLines w:val="0"/>
        <w:pageBreakBefore w:val="0"/>
        <w:widowControl w:val="0"/>
        <w:tabs>
          <w:tab w:val="left" w:pos="1318"/>
        </w:tabs>
        <w:kinsoku/>
        <w:wordWrap/>
        <w:overflowPunct w:val="0"/>
        <w:topLinePunct w:val="0"/>
        <w:autoSpaceDE/>
        <w:autoSpaceDN/>
        <w:bidi w:val="0"/>
        <w:adjustRightInd/>
        <w:snapToGrid/>
        <w:spacing w:line="360" w:lineRule="auto"/>
        <w:ind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八、本保函适用的法律为中华人民共和国法律，争议裁判管辖地为中华人民共和国</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u w:val="single" w:color="000000"/>
        </w:rPr>
        <w:tab/>
      </w:r>
      <w:r>
        <w:rPr>
          <w:rFonts w:hint="eastAsia" w:ascii="新宋体" w:hAnsi="新宋体" w:eastAsia="新宋体" w:cs="新宋体"/>
          <w:color w:val="auto"/>
          <w:spacing w:val="0"/>
          <w:sz w:val="24"/>
          <w:szCs w:val="24"/>
          <w:highlight w:val="none"/>
        </w:rPr>
        <w:t>。</w:t>
      </w:r>
    </w:p>
    <w:p w14:paraId="4C9A38D4">
      <w:pPr>
        <w:keepNext w:val="0"/>
        <w:keepLines w:val="0"/>
        <w:pageBreakBefore w:val="0"/>
        <w:widowControl w:val="0"/>
        <w:tabs>
          <w:tab w:val="left" w:pos="7438"/>
        </w:tabs>
        <w:kinsoku/>
        <w:wordWrap/>
        <w:overflowPunct w:val="0"/>
        <w:topLinePunct w:val="0"/>
        <w:autoSpaceDE/>
        <w:autoSpaceDN/>
        <w:bidi w:val="0"/>
        <w:adjustRightInd/>
        <w:snapToGrid/>
        <w:spacing w:line="360" w:lineRule="auto"/>
        <w:ind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九、本保函自我方法定代表人或授权代表签字并加盖公章之日起生效。</w:t>
      </w:r>
    </w:p>
    <w:p w14:paraId="4AD5D310">
      <w:pPr>
        <w:pStyle w:val="68"/>
        <w:rPr>
          <w:rFonts w:hint="eastAsia"/>
          <w:color w:val="auto"/>
          <w:highlight w:val="none"/>
        </w:rPr>
      </w:pPr>
    </w:p>
    <w:p w14:paraId="109561F3">
      <w:pPr>
        <w:tabs>
          <w:tab w:val="left" w:pos="7438"/>
        </w:tabs>
        <w:spacing w:line="360" w:lineRule="auto"/>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开</w:t>
      </w:r>
      <w:r>
        <w:rPr>
          <w:rFonts w:hint="eastAsia" w:ascii="新宋体" w:hAnsi="新宋体" w:eastAsia="新宋体" w:cs="新宋体"/>
          <w:color w:val="auto"/>
          <w:spacing w:val="-1"/>
          <w:sz w:val="24"/>
          <w:szCs w:val="24"/>
          <w:highlight w:val="none"/>
        </w:rPr>
        <w:t xml:space="preserve"> </w:t>
      </w:r>
      <w:r>
        <w:rPr>
          <w:rFonts w:hint="eastAsia" w:ascii="新宋体" w:hAnsi="新宋体" w:eastAsia="新宋体" w:cs="新宋体"/>
          <w:color w:val="auto"/>
          <w:sz w:val="24"/>
          <w:szCs w:val="24"/>
          <w:highlight w:val="none"/>
        </w:rPr>
        <w:t>立 人（出函担保机构）：</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rPr>
        <w:t>（公章</w:t>
      </w:r>
      <w:r>
        <w:rPr>
          <w:rFonts w:hint="eastAsia" w:ascii="新宋体" w:hAnsi="新宋体" w:eastAsia="新宋体" w:cs="新宋体"/>
          <w:color w:val="auto"/>
          <w:spacing w:val="-17"/>
          <w:sz w:val="24"/>
          <w:szCs w:val="24"/>
          <w:highlight w:val="none"/>
        </w:rPr>
        <w:t>）</w:t>
      </w:r>
    </w:p>
    <w:p w14:paraId="48BF135C">
      <w:pPr>
        <w:tabs>
          <w:tab w:val="left" w:pos="1678"/>
          <w:tab w:val="left" w:pos="7438"/>
        </w:tabs>
        <w:spacing w:line="360" w:lineRule="auto"/>
        <w:textAlignment w:val="baseline"/>
        <w:rPr>
          <w:rFonts w:hint="eastAsia" w:ascii="新宋体" w:hAnsi="新宋体" w:eastAsia="新宋体" w:cs="新宋体"/>
          <w:color w:val="auto"/>
          <w:spacing w:val="-17"/>
          <w:sz w:val="24"/>
          <w:szCs w:val="24"/>
          <w:highlight w:val="none"/>
        </w:rPr>
      </w:pPr>
      <w:r>
        <w:rPr>
          <w:rFonts w:hint="eastAsia" w:ascii="新宋体" w:hAnsi="新宋体" w:eastAsia="新宋体" w:cs="新宋体"/>
          <w:color w:val="auto"/>
          <w:sz w:val="24"/>
          <w:szCs w:val="24"/>
          <w:highlight w:val="none"/>
        </w:rPr>
        <w:t>法定代表人（或授权代表）（出函担保机构）</w:t>
      </w:r>
      <w:r>
        <w:rPr>
          <w:rFonts w:hint="eastAsia" w:ascii="新宋体" w:hAnsi="新宋体" w:eastAsia="新宋体" w:cs="新宋体"/>
          <w:color w:val="auto"/>
          <w:spacing w:val="-1"/>
          <w:sz w:val="24"/>
          <w:szCs w:val="24"/>
          <w:highlight w:val="none"/>
        </w:rPr>
        <w:t xml:space="preserve"> </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rPr>
        <w:t>（签字或签章</w:t>
      </w:r>
      <w:r>
        <w:rPr>
          <w:rFonts w:hint="eastAsia" w:ascii="新宋体" w:hAnsi="新宋体" w:eastAsia="新宋体" w:cs="新宋体"/>
          <w:color w:val="auto"/>
          <w:spacing w:val="-17"/>
          <w:sz w:val="24"/>
          <w:szCs w:val="24"/>
          <w:highlight w:val="none"/>
        </w:rPr>
        <w:t xml:space="preserve">） </w:t>
      </w:r>
    </w:p>
    <w:p w14:paraId="2EB93661">
      <w:pPr>
        <w:tabs>
          <w:tab w:val="left" w:pos="1200"/>
          <w:tab w:val="left" w:pos="5697"/>
          <w:tab w:val="left" w:pos="7438"/>
        </w:tabs>
        <w:spacing w:line="360" w:lineRule="auto"/>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地</w:t>
      </w:r>
      <w:r>
        <w:rPr>
          <w:rFonts w:hint="eastAsia" w:ascii="新宋体" w:hAnsi="新宋体" w:eastAsia="新宋体" w:cs="新宋体"/>
          <w:color w:val="auto"/>
          <w:sz w:val="24"/>
          <w:szCs w:val="24"/>
          <w:highlight w:val="none"/>
        </w:rPr>
        <w:tab/>
      </w:r>
      <w:r>
        <w:rPr>
          <w:rFonts w:hint="eastAsia" w:ascii="新宋体" w:hAnsi="新宋体" w:eastAsia="新宋体" w:cs="新宋体"/>
          <w:color w:val="auto"/>
          <w:spacing w:val="-1"/>
          <w:sz w:val="24"/>
          <w:szCs w:val="24"/>
          <w:highlight w:val="none"/>
        </w:rPr>
        <w:t>址</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u w:val="single" w:color="000000"/>
        </w:rPr>
        <w:t xml:space="preserve">                        </w:t>
      </w:r>
    </w:p>
    <w:p w14:paraId="526CFED8">
      <w:pPr>
        <w:tabs>
          <w:tab w:val="left" w:pos="4141"/>
        </w:tabs>
        <w:spacing w:line="360" w:lineRule="auto"/>
        <w:textAlignment w:val="baseline"/>
        <w:rPr>
          <w:rFonts w:hint="default" w:ascii="新宋体" w:hAnsi="新宋体" w:eastAsia="新宋体" w:cs="新宋体"/>
          <w:color w:val="auto"/>
          <w:sz w:val="24"/>
          <w:szCs w:val="24"/>
          <w:highlight w:val="none"/>
          <w:u w:val="single"/>
          <w:lang w:val="en-US" w:eastAsia="zh-CN"/>
        </w:rPr>
      </w:pPr>
      <w:r>
        <w:rPr>
          <w:rFonts w:hint="eastAsia" w:ascii="新宋体" w:hAnsi="新宋体" w:eastAsia="新宋体" w:cs="新宋体"/>
          <w:color w:val="auto"/>
          <w:spacing w:val="-1"/>
          <w:sz w:val="24"/>
          <w:szCs w:val="24"/>
          <w:highlight w:val="none"/>
        </w:rPr>
        <w:t>邮</w:t>
      </w:r>
      <w:r>
        <w:rPr>
          <w:rFonts w:hint="eastAsia" w:ascii="新宋体" w:hAnsi="新宋体" w:eastAsia="新宋体" w:cs="新宋体"/>
          <w:color w:val="auto"/>
          <w:sz w:val="24"/>
          <w:szCs w:val="24"/>
          <w:highlight w:val="none"/>
        </w:rPr>
        <w:t>政编码：</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u w:val="single" w:color="000000"/>
        </w:rPr>
        <w:tab/>
      </w:r>
      <w:r>
        <w:rPr>
          <w:rFonts w:hint="eastAsia" w:ascii="新宋体" w:hAnsi="新宋体" w:eastAsia="新宋体" w:cs="新宋体"/>
          <w:color w:val="auto"/>
          <w:sz w:val="24"/>
          <w:szCs w:val="24"/>
          <w:highlight w:val="none"/>
          <w:u w:val="single" w:color="000000"/>
          <w:lang w:val="en-US" w:eastAsia="zh-CN"/>
        </w:rPr>
        <w:t xml:space="preserve">   </w:t>
      </w:r>
    </w:p>
    <w:p w14:paraId="377C8076">
      <w:pPr>
        <w:tabs>
          <w:tab w:val="left" w:pos="1200"/>
          <w:tab w:val="left" w:pos="4257"/>
        </w:tabs>
        <w:spacing w:line="360" w:lineRule="auto"/>
        <w:textAlignment w:val="baseline"/>
        <w:rPr>
          <w:rFonts w:hint="default" w:ascii="新宋体" w:hAnsi="新宋体" w:eastAsia="新宋体" w:cs="新宋体"/>
          <w:color w:val="auto"/>
          <w:sz w:val="24"/>
          <w:szCs w:val="24"/>
          <w:highlight w:val="none"/>
          <w:u w:val="single"/>
          <w:lang w:val="en-US" w:eastAsia="zh-CN"/>
        </w:rPr>
      </w:pPr>
      <w:r>
        <w:rPr>
          <w:rFonts w:hint="eastAsia" w:ascii="新宋体" w:hAnsi="新宋体" w:eastAsia="新宋体" w:cs="新宋体"/>
          <w:color w:val="auto"/>
          <w:sz w:val="24"/>
          <w:szCs w:val="24"/>
          <w:highlight w:val="none"/>
        </w:rPr>
        <w:t>电</w:t>
      </w:r>
      <w:r>
        <w:rPr>
          <w:rFonts w:hint="eastAsia" w:ascii="新宋体" w:hAnsi="新宋体" w:eastAsia="新宋体" w:cs="新宋体"/>
          <w:color w:val="auto"/>
          <w:sz w:val="24"/>
          <w:szCs w:val="24"/>
          <w:highlight w:val="none"/>
        </w:rPr>
        <w:tab/>
      </w:r>
      <w:r>
        <w:rPr>
          <w:rFonts w:hint="eastAsia" w:ascii="新宋体" w:hAnsi="新宋体" w:eastAsia="新宋体" w:cs="新宋体"/>
          <w:color w:val="auto"/>
          <w:spacing w:val="-1"/>
          <w:sz w:val="24"/>
          <w:szCs w:val="24"/>
          <w:highlight w:val="none"/>
        </w:rPr>
        <w:t>话</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u w:val="single" w:color="000000"/>
        </w:rPr>
        <w:tab/>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u w:val="single" w:color="000000"/>
          <w:lang w:val="en-US" w:eastAsia="zh-CN"/>
        </w:rPr>
        <w:t xml:space="preserve"> </w:t>
      </w:r>
    </w:p>
    <w:p w14:paraId="07B4549A">
      <w:pPr>
        <w:tabs>
          <w:tab w:val="left" w:pos="1200"/>
          <w:tab w:val="left" w:pos="4257"/>
        </w:tabs>
        <w:spacing w:line="360" w:lineRule="auto"/>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传</w:t>
      </w:r>
      <w:r>
        <w:rPr>
          <w:rFonts w:hint="eastAsia" w:ascii="新宋体" w:hAnsi="新宋体" w:eastAsia="新宋体" w:cs="新宋体"/>
          <w:color w:val="auto"/>
          <w:sz w:val="24"/>
          <w:szCs w:val="24"/>
          <w:highlight w:val="none"/>
        </w:rPr>
        <w:tab/>
      </w:r>
      <w:r>
        <w:rPr>
          <w:rFonts w:hint="eastAsia" w:ascii="新宋体" w:hAnsi="新宋体" w:eastAsia="新宋体" w:cs="新宋体"/>
          <w:color w:val="auto"/>
          <w:spacing w:val="-1"/>
          <w:sz w:val="24"/>
          <w:szCs w:val="24"/>
          <w:highlight w:val="none"/>
        </w:rPr>
        <w:t>真</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u w:val="single" w:color="000000"/>
        </w:rPr>
        <w:tab/>
      </w:r>
      <w:r>
        <w:rPr>
          <w:rFonts w:hint="eastAsia" w:ascii="新宋体" w:hAnsi="新宋体" w:eastAsia="新宋体" w:cs="新宋体"/>
          <w:color w:val="auto"/>
          <w:sz w:val="24"/>
          <w:szCs w:val="24"/>
          <w:highlight w:val="none"/>
          <w:u w:val="single" w:color="000000"/>
          <w:lang w:val="en-US" w:eastAsia="zh-CN"/>
        </w:rPr>
        <w:t xml:space="preserve"> </w:t>
      </w:r>
      <w:r>
        <w:rPr>
          <w:rFonts w:hint="eastAsia" w:ascii="新宋体" w:hAnsi="新宋体" w:eastAsia="新宋体" w:cs="新宋体"/>
          <w:color w:val="auto"/>
          <w:sz w:val="24"/>
          <w:szCs w:val="24"/>
          <w:highlight w:val="none"/>
          <w:u w:val="single" w:color="000000"/>
        </w:rPr>
        <w:t xml:space="preserve"> </w:t>
      </w:r>
    </w:p>
    <w:p w14:paraId="60D9DC4E">
      <w:pPr>
        <w:tabs>
          <w:tab w:val="left" w:pos="4141"/>
        </w:tabs>
        <w:spacing w:line="360" w:lineRule="auto"/>
        <w:textAlignment w:val="baseline"/>
        <w:rPr>
          <w:rFonts w:hint="eastAsia" w:ascii="新宋体" w:hAnsi="新宋体" w:eastAsia="新宋体" w:cs="新宋体"/>
          <w:color w:val="auto"/>
          <w:sz w:val="24"/>
          <w:szCs w:val="24"/>
          <w:highlight w:val="none"/>
          <w:u w:val="none" w:color="auto"/>
          <w:lang w:val="en-US" w:eastAsia="zh-CN"/>
        </w:rPr>
      </w:pPr>
      <w:r>
        <w:rPr>
          <w:rFonts w:hint="eastAsia" w:ascii="新宋体" w:hAnsi="新宋体" w:eastAsia="新宋体" w:cs="新宋体"/>
          <w:color w:val="auto"/>
          <w:sz w:val="24"/>
          <w:szCs w:val="24"/>
          <w:highlight w:val="none"/>
        </w:rPr>
        <w:t>开立时间：</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u w:val="none" w:color="auto"/>
          <w:lang w:val="en-US" w:eastAsia="zh-CN"/>
        </w:rPr>
        <w:t>日</w:t>
      </w:r>
    </w:p>
    <w:p w14:paraId="4CD36CB9">
      <w:pPr>
        <w:pStyle w:val="68"/>
        <w:rPr>
          <w:rFonts w:hint="eastAsia"/>
          <w:color w:val="auto"/>
          <w:highlight w:val="none"/>
          <w:lang w:val="en-US" w:eastAsia="zh-CN"/>
        </w:rPr>
      </w:pPr>
    </w:p>
    <w:p w14:paraId="4C98B2ED">
      <w:pPr>
        <w:spacing w:line="360" w:lineRule="auto"/>
        <w:ind w:right="-15"/>
        <w:textAlignment w:val="baseline"/>
        <w:rPr>
          <w:rFonts w:hint="eastAsia" w:ascii="新宋体" w:hAnsi="新宋体" w:eastAsia="新宋体" w:cs="新宋体"/>
          <w:color w:val="auto"/>
          <w:spacing w:val="4"/>
          <w:sz w:val="24"/>
          <w:szCs w:val="24"/>
          <w:highlight w:val="none"/>
        </w:rPr>
      </w:pPr>
      <w:r>
        <w:rPr>
          <w:rFonts w:hint="eastAsia" w:ascii="新宋体" w:hAnsi="新宋体" w:eastAsia="新宋体" w:cs="新宋体"/>
          <w:color w:val="auto"/>
          <w:spacing w:val="4"/>
          <w:sz w:val="24"/>
          <w:szCs w:val="24"/>
          <w:highlight w:val="none"/>
        </w:rPr>
        <w:t>注：保函期限必须大于投标有效期。投标人须将采用的纸质保函原件扫描件编入投标文件，未编入的视为未提供投标担保，其投标无效；虽提交了纸质保函原件扫描件，但其载明的要素与权利义务的要求，不符合格式文本要求，没有按照招标文件约定、投标人的承诺承担所有保证事项、或者不是无条件见索即付式的保函，视为未提交保函，其投标无效。</w:t>
      </w:r>
    </w:p>
    <w:p w14:paraId="6E6F7357">
      <w:pPr>
        <w:spacing w:line="360" w:lineRule="auto"/>
        <w:ind w:right="1"/>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保证保险（纸质）格式</w:t>
      </w:r>
    </w:p>
    <w:p w14:paraId="535106FC">
      <w:pPr>
        <w:spacing w:line="360" w:lineRule="auto"/>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投标人（即“申请人”）：</w:t>
      </w:r>
    </w:p>
    <w:p w14:paraId="542A447A">
      <w:pPr>
        <w:tabs>
          <w:tab w:val="left" w:pos="3541"/>
        </w:tabs>
        <w:spacing w:line="360" w:lineRule="auto"/>
        <w:textAlignment w:val="baseline"/>
        <w:rPr>
          <w:rFonts w:hint="default" w:ascii="新宋体" w:hAnsi="新宋体" w:eastAsia="新宋体" w:cs="新宋体"/>
          <w:color w:val="auto"/>
          <w:sz w:val="24"/>
          <w:szCs w:val="24"/>
          <w:highlight w:val="none"/>
          <w:u w:val="single"/>
          <w:lang w:val="en-US" w:eastAsia="zh-CN"/>
        </w:rPr>
      </w:pPr>
      <w:r>
        <w:rPr>
          <w:rFonts w:hint="eastAsia" w:ascii="新宋体" w:hAnsi="新宋体" w:eastAsia="新宋体" w:cs="新宋体"/>
          <w:color w:val="auto"/>
          <w:spacing w:val="-1"/>
          <w:sz w:val="24"/>
          <w:szCs w:val="24"/>
          <w:highlight w:val="none"/>
        </w:rPr>
        <w:t>地</w:t>
      </w:r>
      <w:r>
        <w:rPr>
          <w:rFonts w:hint="eastAsia" w:ascii="新宋体" w:hAnsi="新宋体" w:eastAsia="新宋体" w:cs="新宋体"/>
          <w:color w:val="auto"/>
          <w:sz w:val="24"/>
          <w:szCs w:val="24"/>
          <w:highlight w:val="none"/>
        </w:rPr>
        <w:t>址：</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u w:val="single" w:color="000000"/>
        </w:rPr>
        <w:tab/>
      </w:r>
      <w:r>
        <w:rPr>
          <w:rFonts w:hint="eastAsia" w:ascii="新宋体" w:hAnsi="新宋体" w:eastAsia="新宋体" w:cs="新宋体"/>
          <w:color w:val="auto"/>
          <w:sz w:val="24"/>
          <w:szCs w:val="24"/>
          <w:highlight w:val="none"/>
          <w:u w:val="single" w:color="000000"/>
          <w:lang w:val="en-US" w:eastAsia="zh-CN"/>
        </w:rPr>
        <w:t xml:space="preserve">           </w:t>
      </w:r>
    </w:p>
    <w:p w14:paraId="7306C000">
      <w:pPr>
        <w:tabs>
          <w:tab w:val="left" w:pos="3541"/>
        </w:tabs>
        <w:spacing w:line="360" w:lineRule="auto"/>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招标人</w:t>
      </w:r>
      <w:r>
        <w:rPr>
          <w:rFonts w:hint="eastAsia" w:ascii="新宋体" w:hAnsi="新宋体" w:eastAsia="新宋体" w:cs="新宋体"/>
          <w:color w:val="auto"/>
          <w:sz w:val="24"/>
          <w:szCs w:val="24"/>
          <w:highlight w:val="none"/>
        </w:rPr>
        <w:t>（即“受益人”）：</w:t>
      </w:r>
    </w:p>
    <w:p w14:paraId="3B0AA059">
      <w:pPr>
        <w:tabs>
          <w:tab w:val="left" w:pos="3657"/>
        </w:tabs>
        <w:spacing w:line="360" w:lineRule="auto"/>
        <w:textAlignment w:val="baseline"/>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pacing w:val="-1"/>
          <w:sz w:val="24"/>
          <w:szCs w:val="24"/>
          <w:highlight w:val="none"/>
        </w:rPr>
        <w:t>地</w:t>
      </w:r>
      <w:r>
        <w:rPr>
          <w:rFonts w:hint="eastAsia" w:ascii="新宋体" w:hAnsi="新宋体" w:eastAsia="新宋体" w:cs="新宋体"/>
          <w:color w:val="auto"/>
          <w:sz w:val="24"/>
          <w:szCs w:val="24"/>
          <w:highlight w:val="none"/>
        </w:rPr>
        <w:t>址：</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u w:val="single" w:color="000000"/>
        </w:rPr>
        <w:tab/>
      </w:r>
      <w:r>
        <w:rPr>
          <w:rFonts w:hint="eastAsia" w:ascii="新宋体" w:hAnsi="新宋体" w:eastAsia="新宋体" w:cs="新宋体"/>
          <w:color w:val="auto"/>
          <w:sz w:val="24"/>
          <w:szCs w:val="24"/>
          <w:highlight w:val="none"/>
          <w:u w:val="single" w:color="000000"/>
          <w:lang w:val="en-US" w:eastAsia="zh-CN"/>
        </w:rPr>
        <w:t xml:space="preserve">          </w:t>
      </w:r>
    </w:p>
    <w:p w14:paraId="05FE2C54">
      <w:pPr>
        <w:tabs>
          <w:tab w:val="left" w:pos="4137"/>
          <w:tab w:val="left" w:pos="4861"/>
        </w:tabs>
        <w:spacing w:line="360" w:lineRule="auto"/>
        <w:textAlignment w:val="baseline"/>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pacing w:val="-1"/>
          <w:sz w:val="24"/>
          <w:szCs w:val="24"/>
          <w:highlight w:val="none"/>
        </w:rPr>
        <w:t>开</w:t>
      </w:r>
      <w:r>
        <w:rPr>
          <w:rFonts w:hint="eastAsia" w:ascii="新宋体" w:hAnsi="新宋体" w:eastAsia="新宋体" w:cs="新宋体"/>
          <w:color w:val="auto"/>
          <w:sz w:val="24"/>
          <w:szCs w:val="24"/>
          <w:highlight w:val="none"/>
        </w:rPr>
        <w:t>立人（出函保险机构）：</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u w:val="single" w:color="000000"/>
        </w:rPr>
        <w:tab/>
      </w:r>
      <w:r>
        <w:rPr>
          <w:rFonts w:hint="eastAsia" w:ascii="新宋体" w:hAnsi="新宋体" w:eastAsia="新宋体" w:cs="新宋体"/>
          <w:color w:val="auto"/>
          <w:sz w:val="24"/>
          <w:szCs w:val="24"/>
          <w:highlight w:val="none"/>
          <w:u w:val="single" w:color="000000"/>
        </w:rPr>
        <w:tab/>
      </w:r>
    </w:p>
    <w:p w14:paraId="4552A6B1">
      <w:pPr>
        <w:tabs>
          <w:tab w:val="left" w:pos="4137"/>
          <w:tab w:val="left" w:pos="5339"/>
        </w:tabs>
        <w:spacing w:line="360" w:lineRule="auto"/>
        <w:textAlignment w:val="baseline"/>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pacing w:val="-1"/>
          <w:sz w:val="24"/>
          <w:szCs w:val="24"/>
          <w:highlight w:val="none"/>
        </w:rPr>
        <w:t>地</w:t>
      </w:r>
      <w:r>
        <w:rPr>
          <w:rFonts w:hint="eastAsia" w:ascii="新宋体" w:hAnsi="新宋体" w:eastAsia="新宋体" w:cs="新宋体"/>
          <w:color w:val="auto"/>
          <w:sz w:val="24"/>
          <w:szCs w:val="24"/>
          <w:highlight w:val="none"/>
        </w:rPr>
        <w:t>址：</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u w:val="single" w:color="000000"/>
        </w:rPr>
        <w:tab/>
      </w:r>
      <w:r>
        <w:rPr>
          <w:rFonts w:hint="eastAsia" w:ascii="新宋体" w:hAnsi="新宋体" w:eastAsia="新宋体" w:cs="新宋体"/>
          <w:color w:val="auto"/>
          <w:sz w:val="24"/>
          <w:szCs w:val="24"/>
          <w:highlight w:val="none"/>
          <w:u w:val="single" w:color="000000"/>
        </w:rPr>
        <w:t xml:space="preserve">      </w:t>
      </w:r>
    </w:p>
    <w:p w14:paraId="308AB739">
      <w:pPr>
        <w:spacing w:line="360" w:lineRule="auto"/>
        <w:textAlignment w:val="baseline"/>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致：</w:t>
      </w:r>
      <w:r>
        <w:rPr>
          <w:rFonts w:hint="eastAsia" w:ascii="新宋体" w:hAnsi="新宋体" w:eastAsia="新宋体" w:cs="新宋体"/>
          <w:color w:val="auto"/>
          <w:sz w:val="24"/>
          <w:szCs w:val="24"/>
          <w:highlight w:val="none"/>
          <w:u w:val="single"/>
        </w:rPr>
        <w:t>（</w:t>
      </w:r>
      <w:r>
        <w:rPr>
          <w:rFonts w:hint="eastAsia" w:ascii="新宋体" w:hAnsi="新宋体" w:eastAsia="新宋体" w:cs="新宋体"/>
          <w:color w:val="auto"/>
          <w:sz w:val="24"/>
          <w:szCs w:val="24"/>
          <w:highlight w:val="none"/>
          <w:u w:val="single"/>
          <w:lang w:eastAsia="zh-CN"/>
        </w:rPr>
        <w:t>招标人</w:t>
      </w:r>
      <w:r>
        <w:rPr>
          <w:rFonts w:hint="eastAsia" w:ascii="新宋体" w:hAnsi="新宋体" w:eastAsia="新宋体" w:cs="新宋体"/>
          <w:color w:val="auto"/>
          <w:sz w:val="24"/>
          <w:szCs w:val="24"/>
          <w:highlight w:val="none"/>
          <w:u w:val="single"/>
        </w:rPr>
        <w:t>名称）</w:t>
      </w:r>
    </w:p>
    <w:p w14:paraId="772D7FC1">
      <w:pPr>
        <w:keepNext w:val="0"/>
        <w:keepLines w:val="0"/>
        <w:pageBreakBefore w:val="0"/>
        <w:widowControl w:val="0"/>
        <w:kinsoku/>
        <w:wordWrap/>
        <w:overflowPunct w:val="0"/>
        <w:topLinePunct w:val="0"/>
        <w:bidi w:val="0"/>
        <w:adjustRightInd/>
        <w:snapToGrid/>
        <w:spacing w:line="360" w:lineRule="auto"/>
        <w:ind w:left="0" w:right="0" w:firstLine="480" w:firstLineChars="200"/>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我方（即“开立人”）已获得通知，本保证保险申请人（即“投标人”）已响应贵方于</w:t>
      </w:r>
      <w:r>
        <w:rPr>
          <w:rFonts w:hint="eastAsia" w:ascii="新宋体" w:hAnsi="新宋体" w:eastAsia="新宋体" w:cs="新宋体"/>
          <w:color w:val="auto"/>
          <w:spacing w:val="0"/>
          <w:sz w:val="24"/>
          <w:szCs w:val="24"/>
          <w:highlight w:val="none"/>
          <w:u w:val="single"/>
        </w:rPr>
        <w:t xml:space="preserve">     </w:t>
      </w:r>
      <w:r>
        <w:rPr>
          <w:rFonts w:hint="eastAsia" w:ascii="新宋体" w:hAnsi="新宋体" w:eastAsia="新宋体" w:cs="新宋体"/>
          <w:color w:val="auto"/>
          <w:spacing w:val="0"/>
          <w:sz w:val="24"/>
          <w:szCs w:val="24"/>
          <w:highlight w:val="none"/>
        </w:rPr>
        <w:t>年</w:t>
      </w:r>
      <w:r>
        <w:rPr>
          <w:rFonts w:hint="eastAsia" w:ascii="新宋体" w:hAnsi="新宋体" w:eastAsia="新宋体" w:cs="新宋体"/>
          <w:color w:val="auto"/>
          <w:spacing w:val="0"/>
          <w:sz w:val="24"/>
          <w:szCs w:val="24"/>
          <w:highlight w:val="none"/>
          <w:u w:val="single"/>
        </w:rPr>
        <w:t xml:space="preserve">   </w:t>
      </w:r>
      <w:r>
        <w:rPr>
          <w:rFonts w:hint="eastAsia" w:ascii="新宋体" w:hAnsi="新宋体" w:eastAsia="新宋体" w:cs="新宋体"/>
          <w:color w:val="auto"/>
          <w:spacing w:val="0"/>
          <w:sz w:val="24"/>
          <w:szCs w:val="24"/>
          <w:highlight w:val="none"/>
        </w:rPr>
        <w:t>月</w:t>
      </w:r>
      <w:r>
        <w:rPr>
          <w:rFonts w:hint="eastAsia" w:ascii="新宋体" w:hAnsi="新宋体" w:eastAsia="新宋体" w:cs="新宋体"/>
          <w:color w:val="auto"/>
          <w:spacing w:val="0"/>
          <w:sz w:val="24"/>
          <w:szCs w:val="24"/>
          <w:highlight w:val="none"/>
          <w:u w:val="single"/>
        </w:rPr>
        <w:t xml:space="preserve">   </w:t>
      </w:r>
      <w:r>
        <w:rPr>
          <w:rFonts w:hint="eastAsia" w:ascii="新宋体" w:hAnsi="新宋体" w:eastAsia="新宋体" w:cs="新宋体"/>
          <w:color w:val="auto"/>
          <w:spacing w:val="0"/>
          <w:sz w:val="24"/>
          <w:szCs w:val="24"/>
          <w:highlight w:val="none"/>
        </w:rPr>
        <w:t>日就</w:t>
      </w:r>
      <w:r>
        <w:rPr>
          <w:rFonts w:hint="eastAsia" w:ascii="新宋体" w:hAnsi="新宋体" w:eastAsia="新宋体" w:cs="新宋体"/>
          <w:color w:val="auto"/>
          <w:spacing w:val="0"/>
          <w:sz w:val="24"/>
          <w:szCs w:val="24"/>
          <w:highlight w:val="none"/>
          <w:u w:val="single"/>
        </w:rPr>
        <w:t xml:space="preserve">           </w:t>
      </w:r>
      <w:r>
        <w:rPr>
          <w:rFonts w:hint="eastAsia" w:ascii="新宋体" w:hAnsi="新宋体" w:eastAsia="新宋体" w:cs="新宋体"/>
          <w:color w:val="auto"/>
          <w:spacing w:val="0"/>
          <w:sz w:val="24"/>
          <w:szCs w:val="24"/>
          <w:highlight w:val="none"/>
        </w:rPr>
        <w:t>（以下简称“本项目”）发出的招标文件，并已向</w:t>
      </w:r>
      <w:r>
        <w:rPr>
          <w:rFonts w:hint="eastAsia" w:ascii="新宋体" w:hAnsi="新宋体" w:eastAsia="新宋体" w:cs="新宋体"/>
          <w:color w:val="auto"/>
          <w:spacing w:val="0"/>
          <w:sz w:val="24"/>
          <w:szCs w:val="24"/>
          <w:highlight w:val="none"/>
          <w:lang w:eastAsia="zh-CN"/>
        </w:rPr>
        <w:t>招标人</w:t>
      </w:r>
      <w:r>
        <w:rPr>
          <w:rFonts w:hint="eastAsia" w:ascii="新宋体" w:hAnsi="新宋体" w:eastAsia="新宋体" w:cs="新宋体"/>
          <w:color w:val="auto"/>
          <w:spacing w:val="0"/>
          <w:sz w:val="24"/>
          <w:szCs w:val="24"/>
          <w:highlight w:val="none"/>
        </w:rPr>
        <w:t>（即“受益人”）提交了投标文件（即“基础交易”）。</w:t>
      </w:r>
    </w:p>
    <w:p w14:paraId="14BE5C42">
      <w:pPr>
        <w:keepNext w:val="0"/>
        <w:keepLines w:val="0"/>
        <w:pageBreakBefore w:val="0"/>
        <w:widowControl w:val="0"/>
        <w:tabs>
          <w:tab w:val="left" w:pos="1918"/>
        </w:tabs>
        <w:kinsoku/>
        <w:wordWrap/>
        <w:overflowPunct w:val="0"/>
        <w:topLinePunct w:val="0"/>
        <w:bidi w:val="0"/>
        <w:adjustRightInd/>
        <w:snapToGrid/>
        <w:spacing w:line="360" w:lineRule="auto"/>
        <w:ind w:left="0"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一、我方理解根据招标条件，投标人必须提交一份投标保证保险</w:t>
      </w:r>
      <w:r>
        <w:rPr>
          <w:rFonts w:hint="eastAsia" w:ascii="新宋体" w:hAnsi="新宋体" w:eastAsia="新宋体" w:cs="新宋体"/>
          <w:b/>
          <w:color w:val="auto"/>
          <w:spacing w:val="0"/>
          <w:sz w:val="24"/>
          <w:szCs w:val="24"/>
          <w:highlight w:val="none"/>
        </w:rPr>
        <w:t>（以下简称“本保险”），</w:t>
      </w:r>
      <w:r>
        <w:rPr>
          <w:rFonts w:hint="eastAsia" w:ascii="新宋体" w:hAnsi="新宋体" w:eastAsia="新宋体" w:cs="新宋体"/>
          <w:color w:val="auto"/>
          <w:spacing w:val="0"/>
          <w:sz w:val="24"/>
          <w:szCs w:val="24"/>
          <w:highlight w:val="none"/>
        </w:rPr>
        <w:t>以担保投标人诚信履行其在</w:t>
      </w:r>
      <w:r>
        <w:rPr>
          <w:rFonts w:hint="eastAsia" w:ascii="新宋体" w:hAnsi="新宋体" w:eastAsia="新宋体" w:cs="新宋体"/>
          <w:b/>
          <w:color w:val="auto"/>
          <w:spacing w:val="0"/>
          <w:sz w:val="24"/>
          <w:szCs w:val="24"/>
          <w:highlight w:val="none"/>
        </w:rPr>
        <w:t>上述基础交易</w:t>
      </w:r>
      <w:r>
        <w:rPr>
          <w:rFonts w:hint="eastAsia" w:ascii="新宋体" w:hAnsi="新宋体" w:eastAsia="新宋体" w:cs="新宋体"/>
          <w:color w:val="auto"/>
          <w:spacing w:val="0"/>
          <w:sz w:val="24"/>
          <w:szCs w:val="24"/>
          <w:highlight w:val="none"/>
        </w:rPr>
        <w:t>中承担的投标人义务。鉴此，应投标人要求，我方在此同意向贵方出具此投标保证保险，本保证保险担保金额最高不超过人民币（大写）</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rPr>
        <w:t>元（¥</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u w:val="single" w:color="000000"/>
        </w:rPr>
        <w:tab/>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rPr>
        <w:t>）。</w:t>
      </w:r>
    </w:p>
    <w:p w14:paraId="4045D9EE">
      <w:pPr>
        <w:keepNext w:val="0"/>
        <w:keepLines w:val="0"/>
        <w:pageBreakBefore w:val="0"/>
        <w:widowControl w:val="0"/>
        <w:numPr>
          <w:ilvl w:val="0"/>
          <w:numId w:val="0"/>
        </w:numPr>
        <w:kinsoku/>
        <w:wordWrap/>
        <w:overflowPunct w:val="0"/>
        <w:topLinePunct w:val="0"/>
        <w:autoSpaceDE w:val="0"/>
        <w:autoSpaceDN w:val="0"/>
        <w:bidi w:val="0"/>
        <w:adjustRightInd/>
        <w:snapToGrid/>
        <w:spacing w:line="360" w:lineRule="auto"/>
        <w:ind w:left="0" w:leftChars="0" w:right="0" w:rightChars="0" w:firstLine="480" w:firstLineChars="200"/>
        <w:jc w:val="left"/>
        <w:textAlignment w:val="baseline"/>
        <w:rPr>
          <w:rFonts w:hint="eastAsia" w:ascii="新宋体" w:hAnsi="新宋体" w:eastAsia="新宋体" w:cs="新宋体"/>
          <w:color w:val="auto"/>
          <w:spacing w:val="0"/>
          <w:kern w:val="0"/>
          <w:sz w:val="24"/>
          <w:szCs w:val="24"/>
          <w:highlight w:val="none"/>
        </w:rPr>
      </w:pPr>
      <w:r>
        <w:rPr>
          <w:rFonts w:hint="default" w:ascii="新宋体" w:hAnsi="新宋体" w:eastAsia="新宋体" w:cs="新宋体"/>
          <w:color w:val="auto"/>
          <w:spacing w:val="0"/>
          <w:kern w:val="0"/>
          <w:sz w:val="24"/>
          <w:szCs w:val="24"/>
          <w:highlight w:val="none"/>
          <w:lang w:val="en-US" w:eastAsia="zh-CN" w:bidi="ar-SA"/>
        </w:rPr>
        <w:t>二、</w:t>
      </w:r>
      <w:r>
        <w:rPr>
          <w:rFonts w:hint="eastAsia" w:ascii="新宋体" w:hAnsi="新宋体" w:eastAsia="新宋体" w:cs="新宋体"/>
          <w:color w:val="auto"/>
          <w:spacing w:val="0"/>
          <w:kern w:val="0"/>
          <w:sz w:val="24"/>
          <w:szCs w:val="24"/>
          <w:highlight w:val="none"/>
        </w:rPr>
        <w:t>我方在投标人发生以下情形时承担保证担保责任：</w:t>
      </w:r>
    </w:p>
    <w:p w14:paraId="79C1B0E7">
      <w:pPr>
        <w:keepNext w:val="0"/>
        <w:keepLines w:val="0"/>
        <w:pageBreakBefore w:val="0"/>
        <w:widowControl w:val="0"/>
        <w:tabs>
          <w:tab w:val="left" w:pos="1560"/>
        </w:tabs>
        <w:kinsoku/>
        <w:wordWrap/>
        <w:overflowPunct w:val="0"/>
        <w:topLinePunct w:val="0"/>
        <w:bidi w:val="0"/>
        <w:adjustRightInd/>
        <w:snapToGrid/>
        <w:spacing w:line="360" w:lineRule="auto"/>
        <w:ind w:left="0"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（1）投标人在开标后和投标有效期满之前撤销投标的；</w:t>
      </w:r>
    </w:p>
    <w:p w14:paraId="56974734">
      <w:pPr>
        <w:keepNext w:val="0"/>
        <w:keepLines w:val="0"/>
        <w:pageBreakBefore w:val="0"/>
        <w:widowControl w:val="0"/>
        <w:kinsoku/>
        <w:wordWrap/>
        <w:overflowPunct w:val="0"/>
        <w:topLinePunct w:val="0"/>
        <w:bidi w:val="0"/>
        <w:adjustRightInd/>
        <w:snapToGrid/>
        <w:spacing w:line="360" w:lineRule="auto"/>
        <w:ind w:left="0" w:right="0" w:firstLine="480" w:firstLineChars="200"/>
        <w:textAlignment w:val="baseline"/>
        <w:rPr>
          <w:rFonts w:hint="eastAsia" w:ascii="新宋体" w:hAnsi="新宋体" w:eastAsia="新宋体" w:cs="新宋体"/>
          <w:color w:val="auto"/>
          <w:spacing w:val="0"/>
          <w:kern w:val="0"/>
          <w:sz w:val="24"/>
          <w:szCs w:val="24"/>
          <w:highlight w:val="none"/>
        </w:rPr>
      </w:pPr>
      <w:r>
        <w:rPr>
          <w:rFonts w:hint="eastAsia" w:ascii="新宋体" w:hAnsi="新宋体" w:eastAsia="新宋体" w:cs="新宋体"/>
          <w:color w:val="auto"/>
          <w:spacing w:val="0"/>
          <w:sz w:val="24"/>
          <w:szCs w:val="24"/>
          <w:highlight w:val="none"/>
        </w:rPr>
        <w:t>（2）</w:t>
      </w:r>
      <w:r>
        <w:rPr>
          <w:rFonts w:hint="eastAsia" w:ascii="新宋体" w:hAnsi="新宋体" w:eastAsia="新宋体" w:cs="新宋体"/>
          <w:color w:val="auto"/>
          <w:spacing w:val="0"/>
          <w:kern w:val="0"/>
          <w:sz w:val="24"/>
          <w:szCs w:val="24"/>
          <w:highlight w:val="none"/>
        </w:rPr>
        <w:t>投标人在中标后无正当理由不与</w:t>
      </w:r>
      <w:r>
        <w:rPr>
          <w:rFonts w:hint="eastAsia" w:ascii="新宋体" w:hAnsi="新宋体" w:eastAsia="新宋体" w:cs="新宋体"/>
          <w:color w:val="auto"/>
          <w:spacing w:val="0"/>
          <w:kern w:val="0"/>
          <w:sz w:val="24"/>
          <w:szCs w:val="24"/>
          <w:highlight w:val="none"/>
          <w:lang w:eastAsia="zh-CN"/>
        </w:rPr>
        <w:t>招标人</w:t>
      </w:r>
      <w:r>
        <w:rPr>
          <w:rFonts w:hint="eastAsia" w:ascii="新宋体" w:hAnsi="新宋体" w:eastAsia="新宋体" w:cs="新宋体"/>
          <w:color w:val="auto"/>
          <w:spacing w:val="0"/>
          <w:kern w:val="0"/>
          <w:sz w:val="24"/>
          <w:szCs w:val="24"/>
          <w:highlight w:val="none"/>
        </w:rPr>
        <w:t>订立合同或者签订合同时向</w:t>
      </w:r>
      <w:r>
        <w:rPr>
          <w:rFonts w:hint="eastAsia" w:ascii="新宋体" w:hAnsi="新宋体" w:eastAsia="新宋体" w:cs="新宋体"/>
          <w:color w:val="auto"/>
          <w:spacing w:val="0"/>
          <w:kern w:val="0"/>
          <w:sz w:val="24"/>
          <w:szCs w:val="24"/>
          <w:highlight w:val="none"/>
          <w:lang w:eastAsia="zh-CN"/>
        </w:rPr>
        <w:t>招标人</w:t>
      </w:r>
      <w:r>
        <w:rPr>
          <w:rFonts w:hint="eastAsia" w:ascii="新宋体" w:hAnsi="新宋体" w:eastAsia="新宋体" w:cs="新宋体"/>
          <w:color w:val="auto"/>
          <w:spacing w:val="0"/>
          <w:kern w:val="0"/>
          <w:sz w:val="24"/>
          <w:szCs w:val="24"/>
          <w:highlight w:val="none"/>
        </w:rPr>
        <w:t>提出附加条件的；</w:t>
      </w:r>
    </w:p>
    <w:p w14:paraId="58E06404">
      <w:pPr>
        <w:keepNext w:val="0"/>
        <w:keepLines w:val="0"/>
        <w:pageBreakBefore w:val="0"/>
        <w:widowControl w:val="0"/>
        <w:kinsoku/>
        <w:wordWrap/>
        <w:overflowPunct w:val="0"/>
        <w:topLinePunct w:val="0"/>
        <w:bidi w:val="0"/>
        <w:adjustRightInd/>
        <w:snapToGrid/>
        <w:spacing w:line="360" w:lineRule="auto"/>
        <w:ind w:left="0" w:right="0" w:firstLine="480" w:firstLineChars="200"/>
        <w:textAlignment w:val="baseline"/>
        <w:rPr>
          <w:rFonts w:hint="eastAsia" w:ascii="新宋体" w:hAnsi="新宋体" w:eastAsia="新宋体" w:cs="新宋体"/>
          <w:color w:val="auto"/>
          <w:spacing w:val="0"/>
          <w:kern w:val="0"/>
          <w:sz w:val="24"/>
          <w:szCs w:val="24"/>
          <w:highlight w:val="none"/>
        </w:rPr>
      </w:pPr>
      <w:r>
        <w:rPr>
          <w:rFonts w:hint="eastAsia" w:ascii="新宋体" w:hAnsi="新宋体" w:eastAsia="新宋体" w:cs="新宋体"/>
          <w:color w:val="auto"/>
          <w:spacing w:val="0"/>
          <w:kern w:val="0"/>
          <w:sz w:val="24"/>
          <w:szCs w:val="24"/>
          <w:highlight w:val="none"/>
        </w:rPr>
        <w:t>（3）投标人在中标后不按照招标文件要求提交履约保证金或履约担保的；</w:t>
      </w:r>
    </w:p>
    <w:p w14:paraId="51C3E979">
      <w:pPr>
        <w:keepNext w:val="0"/>
        <w:keepLines w:val="0"/>
        <w:pageBreakBefore w:val="0"/>
        <w:widowControl w:val="0"/>
        <w:tabs>
          <w:tab w:val="left" w:pos="1560"/>
        </w:tabs>
        <w:kinsoku/>
        <w:wordWrap/>
        <w:overflowPunct w:val="0"/>
        <w:topLinePunct w:val="0"/>
        <w:bidi w:val="0"/>
        <w:adjustRightInd/>
        <w:snapToGrid/>
        <w:spacing w:line="360" w:lineRule="auto"/>
        <w:ind w:left="0"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（4）投标人违反招标文件规定，依照招标文件的约定属于投标保证金不予退还的；</w:t>
      </w:r>
    </w:p>
    <w:p w14:paraId="7CBAD5CC">
      <w:pPr>
        <w:keepNext w:val="0"/>
        <w:keepLines w:val="0"/>
        <w:pageBreakBefore w:val="0"/>
        <w:widowControl w:val="0"/>
        <w:tabs>
          <w:tab w:val="left" w:pos="1560"/>
        </w:tabs>
        <w:kinsoku/>
        <w:wordWrap/>
        <w:overflowPunct w:val="0"/>
        <w:topLinePunct w:val="0"/>
        <w:bidi w:val="0"/>
        <w:adjustRightInd/>
        <w:snapToGrid/>
        <w:spacing w:line="360" w:lineRule="auto"/>
        <w:ind w:left="0"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（5）投标人违反投标承诺，依照招标文件的约定和投标文件承诺，属于投标保证金不予退还的；</w:t>
      </w:r>
    </w:p>
    <w:p w14:paraId="2D5F91EC">
      <w:pPr>
        <w:keepNext w:val="0"/>
        <w:keepLines w:val="0"/>
        <w:pageBreakBefore w:val="0"/>
        <w:widowControl w:val="0"/>
        <w:tabs>
          <w:tab w:val="left" w:pos="1560"/>
        </w:tabs>
        <w:kinsoku/>
        <w:wordWrap/>
        <w:overflowPunct w:val="0"/>
        <w:topLinePunct w:val="0"/>
        <w:bidi w:val="0"/>
        <w:adjustRightInd/>
        <w:snapToGrid/>
        <w:spacing w:line="360" w:lineRule="auto"/>
        <w:ind w:left="0"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（6）投标人违反招标文件约定的其他情形。</w:t>
      </w:r>
    </w:p>
    <w:p w14:paraId="6158EC13">
      <w:pPr>
        <w:keepNext w:val="0"/>
        <w:keepLines w:val="0"/>
        <w:pageBreakBefore w:val="0"/>
        <w:widowControl w:val="0"/>
        <w:kinsoku/>
        <w:wordWrap/>
        <w:overflowPunct w:val="0"/>
        <w:topLinePunct w:val="0"/>
        <w:bidi w:val="0"/>
        <w:adjustRightInd/>
        <w:snapToGrid/>
        <w:spacing w:line="360" w:lineRule="auto"/>
        <w:ind w:left="0"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三、本保险为不可撤销、不可转让的见索即付独立保证。本保险有效期自开立之日起至投标有效期届满之日后的</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rPr>
        <w:t>日。投标有效期延长的，本保险有效期相应顺延，最迟不超过</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u w:val="single" w:color="000000"/>
          <w:lang w:val="en-US" w:eastAsia="zh-CN"/>
        </w:rPr>
        <w:t xml:space="preserve"> </w:t>
      </w:r>
      <w:r>
        <w:rPr>
          <w:rFonts w:hint="eastAsia" w:ascii="新宋体" w:hAnsi="新宋体" w:eastAsia="新宋体" w:cs="新宋体"/>
          <w:color w:val="auto"/>
          <w:spacing w:val="0"/>
          <w:sz w:val="24"/>
          <w:szCs w:val="24"/>
          <w:highlight w:val="none"/>
        </w:rPr>
        <w:t>年</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rPr>
        <w:t>月</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rPr>
        <w:t>日。</w:t>
      </w:r>
    </w:p>
    <w:p w14:paraId="69D94A42">
      <w:pPr>
        <w:keepNext w:val="0"/>
        <w:keepLines w:val="0"/>
        <w:pageBreakBefore w:val="0"/>
        <w:widowControl w:val="0"/>
        <w:tabs>
          <w:tab w:val="left" w:pos="7164"/>
        </w:tabs>
        <w:kinsoku/>
        <w:wordWrap/>
        <w:overflowPunct w:val="0"/>
        <w:topLinePunct w:val="0"/>
        <w:bidi w:val="0"/>
        <w:adjustRightInd/>
        <w:snapToGrid/>
        <w:spacing w:line="360" w:lineRule="auto"/>
        <w:ind w:left="0"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四、我方承诺，在收到</w:t>
      </w:r>
      <w:r>
        <w:rPr>
          <w:rFonts w:hint="eastAsia" w:ascii="新宋体" w:hAnsi="新宋体" w:eastAsia="新宋体" w:cs="新宋体"/>
          <w:color w:val="auto"/>
          <w:spacing w:val="0"/>
          <w:sz w:val="24"/>
          <w:szCs w:val="24"/>
          <w:highlight w:val="none"/>
          <w:lang w:eastAsia="zh-CN"/>
        </w:rPr>
        <w:t>招标人</w:t>
      </w:r>
      <w:r>
        <w:rPr>
          <w:rFonts w:hint="eastAsia" w:ascii="新宋体" w:hAnsi="新宋体" w:eastAsia="新宋体" w:cs="新宋体"/>
          <w:color w:val="auto"/>
          <w:spacing w:val="0"/>
          <w:sz w:val="24"/>
          <w:szCs w:val="24"/>
          <w:highlight w:val="none"/>
        </w:rPr>
        <w:t>发来的书面付款通知后的</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u w:val="single" w:color="000000"/>
        </w:rPr>
        <w:tab/>
      </w:r>
      <w:r>
        <w:rPr>
          <w:rFonts w:hint="eastAsia" w:ascii="新宋体" w:hAnsi="新宋体" w:eastAsia="新宋体" w:cs="新宋体"/>
          <w:color w:val="auto"/>
          <w:spacing w:val="0"/>
          <w:sz w:val="24"/>
          <w:szCs w:val="24"/>
          <w:highlight w:val="none"/>
        </w:rPr>
        <w:t>日内无条件支付，前述书面付款通知即为付款要求之单据，且应满足以下要求：</w:t>
      </w:r>
    </w:p>
    <w:p w14:paraId="5CC00DCE">
      <w:pPr>
        <w:keepNext w:val="0"/>
        <w:keepLines w:val="0"/>
        <w:pageBreakBefore w:val="0"/>
        <w:widowControl w:val="0"/>
        <w:tabs>
          <w:tab w:val="left" w:pos="1560"/>
        </w:tabs>
        <w:kinsoku/>
        <w:wordWrap/>
        <w:overflowPunct w:val="0"/>
        <w:topLinePunct w:val="0"/>
        <w:bidi w:val="0"/>
        <w:adjustRightInd/>
        <w:snapToGrid/>
        <w:spacing w:line="360" w:lineRule="auto"/>
        <w:ind w:left="0" w:right="0" w:firstLine="480" w:firstLineChars="200"/>
        <w:textAlignment w:val="baseline"/>
        <w:rPr>
          <w:rFonts w:hint="eastAsia" w:ascii="新宋体" w:hAnsi="新宋体" w:eastAsia="新宋体" w:cs="新宋体"/>
          <w:color w:val="auto"/>
          <w:spacing w:val="0"/>
          <w:kern w:val="0"/>
          <w:sz w:val="24"/>
          <w:szCs w:val="24"/>
          <w:highlight w:val="none"/>
        </w:rPr>
      </w:pPr>
      <w:r>
        <w:rPr>
          <w:rFonts w:hint="eastAsia" w:ascii="新宋体" w:hAnsi="新宋体" w:eastAsia="新宋体" w:cs="新宋体"/>
          <w:color w:val="auto"/>
          <w:spacing w:val="0"/>
          <w:kern w:val="0"/>
          <w:sz w:val="24"/>
          <w:szCs w:val="24"/>
          <w:highlight w:val="none"/>
        </w:rPr>
        <w:t>（1）付款通知到达的日期在本保险的有效期内；</w:t>
      </w:r>
    </w:p>
    <w:p w14:paraId="3522DAE9">
      <w:pPr>
        <w:keepNext w:val="0"/>
        <w:keepLines w:val="0"/>
        <w:pageBreakBefore w:val="0"/>
        <w:widowControl w:val="0"/>
        <w:tabs>
          <w:tab w:val="left" w:pos="1560"/>
        </w:tabs>
        <w:kinsoku/>
        <w:wordWrap/>
        <w:overflowPunct w:val="0"/>
        <w:topLinePunct w:val="0"/>
        <w:bidi w:val="0"/>
        <w:adjustRightInd/>
        <w:snapToGrid/>
        <w:spacing w:line="360" w:lineRule="auto"/>
        <w:ind w:left="0" w:right="0" w:firstLine="480" w:firstLineChars="200"/>
        <w:textAlignment w:val="baseline"/>
        <w:rPr>
          <w:rFonts w:hint="eastAsia" w:ascii="新宋体" w:hAnsi="新宋体" w:eastAsia="新宋体" w:cs="新宋体"/>
          <w:color w:val="auto"/>
          <w:spacing w:val="0"/>
          <w:kern w:val="0"/>
          <w:sz w:val="24"/>
          <w:szCs w:val="24"/>
          <w:highlight w:val="none"/>
        </w:rPr>
      </w:pPr>
      <w:r>
        <w:rPr>
          <w:rFonts w:hint="eastAsia" w:ascii="新宋体" w:hAnsi="新宋体" w:eastAsia="新宋体" w:cs="新宋体"/>
          <w:color w:val="auto"/>
          <w:spacing w:val="0"/>
          <w:kern w:val="0"/>
          <w:sz w:val="24"/>
          <w:szCs w:val="24"/>
          <w:highlight w:val="none"/>
        </w:rPr>
        <w:t>（2）载明要求支付的金额；</w:t>
      </w:r>
    </w:p>
    <w:p w14:paraId="7E80F7A2">
      <w:pPr>
        <w:keepNext w:val="0"/>
        <w:keepLines w:val="0"/>
        <w:pageBreakBefore w:val="0"/>
        <w:widowControl w:val="0"/>
        <w:tabs>
          <w:tab w:val="left" w:pos="1560"/>
        </w:tabs>
        <w:kinsoku/>
        <w:wordWrap/>
        <w:overflowPunct w:val="0"/>
        <w:topLinePunct w:val="0"/>
        <w:bidi w:val="0"/>
        <w:adjustRightInd/>
        <w:snapToGrid/>
        <w:spacing w:line="360" w:lineRule="auto"/>
        <w:ind w:left="0" w:right="0" w:firstLine="480" w:firstLineChars="200"/>
        <w:textAlignment w:val="baseline"/>
        <w:rPr>
          <w:rFonts w:hint="eastAsia" w:ascii="新宋体" w:hAnsi="新宋体" w:eastAsia="新宋体" w:cs="新宋体"/>
          <w:b/>
          <w:color w:val="auto"/>
          <w:spacing w:val="0"/>
          <w:kern w:val="0"/>
          <w:sz w:val="24"/>
          <w:szCs w:val="24"/>
          <w:highlight w:val="none"/>
        </w:rPr>
      </w:pPr>
      <w:r>
        <w:rPr>
          <w:rFonts w:hint="eastAsia" w:ascii="新宋体" w:hAnsi="新宋体" w:eastAsia="新宋体" w:cs="新宋体"/>
          <w:color w:val="auto"/>
          <w:spacing w:val="0"/>
          <w:kern w:val="0"/>
          <w:sz w:val="24"/>
          <w:szCs w:val="24"/>
          <w:highlight w:val="none"/>
        </w:rPr>
        <w:t>（3）</w:t>
      </w:r>
      <w:r>
        <w:rPr>
          <w:rFonts w:hint="eastAsia" w:ascii="新宋体" w:hAnsi="新宋体" w:eastAsia="新宋体" w:cs="新宋体"/>
          <w:b/>
          <w:color w:val="auto"/>
          <w:spacing w:val="0"/>
          <w:kern w:val="0"/>
          <w:sz w:val="24"/>
          <w:szCs w:val="24"/>
          <w:highlight w:val="none"/>
        </w:rPr>
        <w:t>载明申请人（即投标人）违反法律法规或者招标文件约定或者投标文件承诺的义务内容和具体条款；</w:t>
      </w:r>
    </w:p>
    <w:p w14:paraId="16FE2AC2">
      <w:pPr>
        <w:keepNext w:val="0"/>
        <w:keepLines w:val="0"/>
        <w:pageBreakBefore w:val="0"/>
        <w:widowControl w:val="0"/>
        <w:tabs>
          <w:tab w:val="left" w:pos="1560"/>
          <w:tab w:val="left" w:pos="8158"/>
        </w:tabs>
        <w:kinsoku/>
        <w:wordWrap/>
        <w:overflowPunct w:val="0"/>
        <w:topLinePunct w:val="0"/>
        <w:bidi w:val="0"/>
        <w:adjustRightInd/>
        <w:snapToGrid/>
        <w:spacing w:line="360" w:lineRule="auto"/>
        <w:ind w:left="0" w:right="0" w:firstLine="480" w:firstLineChars="200"/>
        <w:textAlignment w:val="baseline"/>
        <w:rPr>
          <w:rFonts w:hint="eastAsia" w:ascii="新宋体" w:hAnsi="新宋体" w:eastAsia="新宋体" w:cs="新宋体"/>
          <w:color w:val="auto"/>
          <w:spacing w:val="0"/>
          <w:kern w:val="0"/>
          <w:sz w:val="24"/>
          <w:szCs w:val="24"/>
          <w:highlight w:val="none"/>
        </w:rPr>
      </w:pPr>
      <w:r>
        <w:rPr>
          <w:rFonts w:hint="eastAsia" w:ascii="新宋体" w:hAnsi="新宋体" w:eastAsia="新宋体" w:cs="新宋体"/>
          <w:color w:val="auto"/>
          <w:spacing w:val="0"/>
          <w:kern w:val="0"/>
          <w:sz w:val="24"/>
          <w:szCs w:val="24"/>
          <w:highlight w:val="none"/>
        </w:rPr>
        <w:t>（4）书面付款通知应在本保险有效期内到达的地址是：</w:t>
      </w:r>
      <w:r>
        <w:rPr>
          <w:rFonts w:hint="eastAsia" w:ascii="新宋体" w:hAnsi="新宋体" w:eastAsia="新宋体" w:cs="新宋体"/>
          <w:color w:val="auto"/>
          <w:spacing w:val="0"/>
          <w:kern w:val="0"/>
          <w:sz w:val="24"/>
          <w:szCs w:val="24"/>
          <w:highlight w:val="none"/>
          <w:u w:val="single" w:color="000000"/>
        </w:rPr>
        <w:t xml:space="preserve"> </w:t>
      </w:r>
      <w:r>
        <w:rPr>
          <w:rFonts w:hint="eastAsia" w:ascii="新宋体" w:hAnsi="新宋体" w:eastAsia="新宋体" w:cs="新宋体"/>
          <w:color w:val="auto"/>
          <w:spacing w:val="0"/>
          <w:kern w:val="0"/>
          <w:sz w:val="24"/>
          <w:szCs w:val="24"/>
          <w:highlight w:val="none"/>
          <w:u w:val="single" w:color="000000"/>
        </w:rPr>
        <w:tab/>
      </w:r>
      <w:r>
        <w:rPr>
          <w:rFonts w:hint="eastAsia" w:ascii="新宋体" w:hAnsi="新宋体" w:eastAsia="新宋体" w:cs="新宋体"/>
          <w:color w:val="auto"/>
          <w:spacing w:val="0"/>
          <w:kern w:val="0"/>
          <w:sz w:val="24"/>
          <w:szCs w:val="24"/>
          <w:highlight w:val="none"/>
        </w:rPr>
        <w:t>。</w:t>
      </w:r>
    </w:p>
    <w:p w14:paraId="0013708B">
      <w:pPr>
        <w:keepNext w:val="0"/>
        <w:keepLines w:val="0"/>
        <w:pageBreakBefore w:val="0"/>
        <w:widowControl w:val="0"/>
        <w:kinsoku/>
        <w:wordWrap/>
        <w:overflowPunct w:val="0"/>
        <w:topLinePunct w:val="0"/>
        <w:bidi w:val="0"/>
        <w:adjustRightInd/>
        <w:snapToGrid/>
        <w:spacing w:line="360" w:lineRule="auto"/>
        <w:ind w:left="0"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lang w:eastAsia="zh-CN"/>
        </w:rPr>
        <w:t>招标人</w:t>
      </w:r>
      <w:r>
        <w:rPr>
          <w:rFonts w:hint="eastAsia" w:ascii="新宋体" w:hAnsi="新宋体" w:eastAsia="新宋体" w:cs="新宋体"/>
          <w:color w:val="auto"/>
          <w:spacing w:val="0"/>
          <w:sz w:val="24"/>
          <w:szCs w:val="24"/>
          <w:highlight w:val="none"/>
        </w:rPr>
        <w:t>发出的书面付款通知应由其为鉴明</w:t>
      </w:r>
      <w:r>
        <w:rPr>
          <w:rFonts w:hint="eastAsia" w:ascii="新宋体" w:hAnsi="新宋体" w:eastAsia="新宋体" w:cs="新宋体"/>
          <w:color w:val="auto"/>
          <w:spacing w:val="0"/>
          <w:sz w:val="24"/>
          <w:szCs w:val="24"/>
          <w:highlight w:val="none"/>
          <w:lang w:eastAsia="zh-CN"/>
        </w:rPr>
        <w:t>招标人</w:t>
      </w:r>
      <w:r>
        <w:rPr>
          <w:rFonts w:hint="eastAsia" w:ascii="新宋体" w:hAnsi="新宋体" w:eastAsia="新宋体" w:cs="新宋体"/>
          <w:color w:val="auto"/>
          <w:spacing w:val="0"/>
          <w:sz w:val="24"/>
          <w:szCs w:val="24"/>
          <w:highlight w:val="none"/>
        </w:rPr>
        <w:t>法定代表人（负责人）或授权代理人签字并加盖公章。</w:t>
      </w:r>
    </w:p>
    <w:p w14:paraId="52A5D714">
      <w:pPr>
        <w:keepNext w:val="0"/>
        <w:keepLines w:val="0"/>
        <w:pageBreakBefore w:val="0"/>
        <w:widowControl w:val="0"/>
        <w:kinsoku/>
        <w:wordWrap/>
        <w:overflowPunct w:val="0"/>
        <w:topLinePunct w:val="0"/>
        <w:bidi w:val="0"/>
        <w:adjustRightInd/>
        <w:snapToGrid/>
        <w:spacing w:line="360" w:lineRule="auto"/>
        <w:ind w:left="0"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五、本保险项下的权利不得转让，不得设定担保。贵方未经我方书面同意转让本保险或其项下任何权利，对我方不发生法律效力。</w:t>
      </w:r>
    </w:p>
    <w:p w14:paraId="4F1C06AB">
      <w:pPr>
        <w:keepNext w:val="0"/>
        <w:keepLines w:val="0"/>
        <w:pageBreakBefore w:val="0"/>
        <w:widowControl w:val="0"/>
        <w:kinsoku/>
        <w:wordWrap/>
        <w:overflowPunct w:val="0"/>
        <w:topLinePunct w:val="0"/>
        <w:bidi w:val="0"/>
        <w:adjustRightInd/>
        <w:snapToGrid/>
        <w:spacing w:line="360" w:lineRule="auto"/>
        <w:ind w:left="0"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六、本保险项下的</w:t>
      </w:r>
      <w:r>
        <w:rPr>
          <w:rFonts w:hint="eastAsia" w:ascii="新宋体" w:hAnsi="新宋体" w:eastAsia="新宋体" w:cs="新宋体"/>
          <w:b/>
          <w:color w:val="auto"/>
          <w:spacing w:val="0"/>
          <w:sz w:val="24"/>
          <w:szCs w:val="24"/>
          <w:highlight w:val="none"/>
        </w:rPr>
        <w:t>基础交易</w:t>
      </w:r>
      <w:r>
        <w:rPr>
          <w:rFonts w:hint="eastAsia" w:ascii="新宋体" w:hAnsi="新宋体" w:eastAsia="新宋体" w:cs="新宋体"/>
          <w:color w:val="auto"/>
          <w:spacing w:val="0"/>
          <w:sz w:val="24"/>
          <w:szCs w:val="24"/>
          <w:highlight w:val="none"/>
        </w:rPr>
        <w:t>不成立、不生效、无效、被撤销、被解除，不影响本保险的独立有效，不影响开立人履行见索即付义务的责任。</w:t>
      </w:r>
    </w:p>
    <w:p w14:paraId="2FCC4AB8">
      <w:pPr>
        <w:keepNext w:val="0"/>
        <w:keepLines w:val="0"/>
        <w:pageBreakBefore w:val="0"/>
        <w:widowControl w:val="0"/>
        <w:kinsoku/>
        <w:wordWrap/>
        <w:overflowPunct w:val="0"/>
        <w:topLinePunct w:val="0"/>
        <w:bidi w:val="0"/>
        <w:adjustRightInd/>
        <w:snapToGrid/>
        <w:spacing w:line="360" w:lineRule="auto"/>
        <w:ind w:left="0"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七、</w:t>
      </w:r>
      <w:r>
        <w:rPr>
          <w:rFonts w:hint="eastAsia" w:ascii="新宋体" w:hAnsi="新宋体" w:eastAsia="新宋体" w:cs="新宋体"/>
          <w:color w:val="auto"/>
          <w:spacing w:val="0"/>
          <w:sz w:val="24"/>
          <w:szCs w:val="24"/>
          <w:highlight w:val="none"/>
          <w:lang w:eastAsia="zh-CN"/>
        </w:rPr>
        <w:t>招标人</w:t>
      </w:r>
      <w:r>
        <w:rPr>
          <w:rFonts w:hint="eastAsia" w:ascii="新宋体" w:hAnsi="新宋体" w:eastAsia="新宋体" w:cs="新宋体"/>
          <w:color w:val="auto"/>
          <w:spacing w:val="0"/>
          <w:sz w:val="24"/>
          <w:szCs w:val="24"/>
          <w:highlight w:val="none"/>
        </w:rPr>
        <w:t>应在本保险到期后的七日内将本保险正本退回我方注销，但是不论</w:t>
      </w:r>
      <w:r>
        <w:rPr>
          <w:rFonts w:hint="eastAsia" w:ascii="新宋体" w:hAnsi="新宋体" w:eastAsia="新宋体" w:cs="新宋体"/>
          <w:color w:val="auto"/>
          <w:spacing w:val="0"/>
          <w:sz w:val="24"/>
          <w:szCs w:val="24"/>
          <w:highlight w:val="none"/>
          <w:lang w:eastAsia="zh-CN"/>
        </w:rPr>
        <w:t>招标人</w:t>
      </w:r>
      <w:r>
        <w:rPr>
          <w:rFonts w:hint="eastAsia" w:ascii="新宋体" w:hAnsi="新宋体" w:eastAsia="新宋体" w:cs="新宋体"/>
          <w:color w:val="auto"/>
          <w:spacing w:val="0"/>
          <w:sz w:val="24"/>
          <w:szCs w:val="24"/>
          <w:highlight w:val="none"/>
        </w:rPr>
        <w:t>是否按此要求将本保险正本退回我方，我方在本保险项下的义务和责任均在本保险有效期到期后自动消灭，但因异议、投诉、立案处理的，本保险有效期将顺延到案件处理完毕之日后再顺延七日。</w:t>
      </w:r>
    </w:p>
    <w:p w14:paraId="2ABAB936">
      <w:pPr>
        <w:keepNext w:val="0"/>
        <w:keepLines w:val="0"/>
        <w:pageBreakBefore w:val="0"/>
        <w:widowControl w:val="0"/>
        <w:tabs>
          <w:tab w:val="left" w:pos="1318"/>
        </w:tabs>
        <w:kinsoku/>
        <w:wordWrap/>
        <w:overflowPunct w:val="0"/>
        <w:topLinePunct w:val="0"/>
        <w:bidi w:val="0"/>
        <w:adjustRightInd/>
        <w:snapToGrid/>
        <w:spacing w:line="360" w:lineRule="auto"/>
        <w:ind w:left="0"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八、本保险适用的法律为中华人民共和国法律，争议裁判管辖地为中华人民共和国</w:t>
      </w:r>
      <w:r>
        <w:rPr>
          <w:rFonts w:hint="eastAsia" w:ascii="新宋体" w:hAnsi="新宋体" w:eastAsia="新宋体" w:cs="新宋体"/>
          <w:color w:val="auto"/>
          <w:spacing w:val="0"/>
          <w:sz w:val="24"/>
          <w:szCs w:val="24"/>
          <w:highlight w:val="none"/>
          <w:u w:val="single" w:color="000000"/>
        </w:rPr>
        <w:t xml:space="preserve"> </w:t>
      </w:r>
      <w:r>
        <w:rPr>
          <w:rFonts w:hint="eastAsia" w:ascii="新宋体" w:hAnsi="新宋体" w:eastAsia="新宋体" w:cs="新宋体"/>
          <w:color w:val="auto"/>
          <w:spacing w:val="0"/>
          <w:sz w:val="24"/>
          <w:szCs w:val="24"/>
          <w:highlight w:val="none"/>
          <w:u w:val="single" w:color="000000"/>
        </w:rPr>
        <w:tab/>
      </w:r>
      <w:r>
        <w:rPr>
          <w:rFonts w:hint="eastAsia" w:ascii="新宋体" w:hAnsi="新宋体" w:eastAsia="新宋体" w:cs="新宋体"/>
          <w:color w:val="auto"/>
          <w:spacing w:val="0"/>
          <w:sz w:val="24"/>
          <w:szCs w:val="24"/>
          <w:highlight w:val="none"/>
        </w:rPr>
        <w:t>。</w:t>
      </w:r>
    </w:p>
    <w:p w14:paraId="6A7DCD0C">
      <w:pPr>
        <w:keepNext w:val="0"/>
        <w:keepLines w:val="0"/>
        <w:pageBreakBefore w:val="0"/>
        <w:widowControl w:val="0"/>
        <w:tabs>
          <w:tab w:val="left" w:pos="7438"/>
        </w:tabs>
        <w:kinsoku/>
        <w:wordWrap/>
        <w:overflowPunct w:val="0"/>
        <w:topLinePunct w:val="0"/>
        <w:bidi w:val="0"/>
        <w:adjustRightInd/>
        <w:snapToGrid/>
        <w:spacing w:line="360" w:lineRule="auto"/>
        <w:ind w:left="0" w:right="0" w:firstLine="480" w:firstLineChars="200"/>
        <w:textAlignment w:val="baseline"/>
        <w:rPr>
          <w:rFonts w:hint="eastAsia" w:ascii="新宋体" w:hAnsi="新宋体" w:eastAsia="新宋体" w:cs="新宋体"/>
          <w:color w:val="auto"/>
          <w:spacing w:val="0"/>
          <w:sz w:val="24"/>
          <w:szCs w:val="24"/>
          <w:highlight w:val="none"/>
        </w:rPr>
      </w:pPr>
      <w:r>
        <w:rPr>
          <w:rFonts w:hint="eastAsia" w:ascii="新宋体" w:hAnsi="新宋体" w:eastAsia="新宋体" w:cs="新宋体"/>
          <w:color w:val="auto"/>
          <w:spacing w:val="0"/>
          <w:sz w:val="24"/>
          <w:szCs w:val="24"/>
          <w:highlight w:val="none"/>
        </w:rPr>
        <w:t>九、本保险自我方法定代表人或授权代表签字并加盖公章之日起生效。</w:t>
      </w:r>
    </w:p>
    <w:p w14:paraId="6D2C7CFB">
      <w:pPr>
        <w:pStyle w:val="68"/>
        <w:rPr>
          <w:rFonts w:hint="eastAsia"/>
          <w:color w:val="auto"/>
          <w:highlight w:val="none"/>
        </w:rPr>
      </w:pPr>
    </w:p>
    <w:p w14:paraId="2D9357F9">
      <w:pPr>
        <w:tabs>
          <w:tab w:val="left" w:pos="7438"/>
        </w:tabs>
        <w:spacing w:line="360" w:lineRule="auto"/>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开</w:t>
      </w:r>
      <w:r>
        <w:rPr>
          <w:rFonts w:hint="eastAsia" w:ascii="新宋体" w:hAnsi="新宋体" w:eastAsia="新宋体" w:cs="新宋体"/>
          <w:color w:val="auto"/>
          <w:spacing w:val="-1"/>
          <w:sz w:val="24"/>
          <w:szCs w:val="24"/>
          <w:highlight w:val="none"/>
        </w:rPr>
        <w:t xml:space="preserve"> </w:t>
      </w:r>
      <w:r>
        <w:rPr>
          <w:rFonts w:hint="eastAsia" w:ascii="新宋体" w:hAnsi="新宋体" w:eastAsia="新宋体" w:cs="新宋体"/>
          <w:color w:val="auto"/>
          <w:sz w:val="24"/>
          <w:szCs w:val="24"/>
          <w:highlight w:val="none"/>
        </w:rPr>
        <w:t>立 人（出函保险机构）：</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rPr>
        <w:t>（公章</w:t>
      </w:r>
      <w:r>
        <w:rPr>
          <w:rFonts w:hint="eastAsia" w:ascii="新宋体" w:hAnsi="新宋体" w:eastAsia="新宋体" w:cs="新宋体"/>
          <w:color w:val="auto"/>
          <w:spacing w:val="-17"/>
          <w:sz w:val="24"/>
          <w:szCs w:val="24"/>
          <w:highlight w:val="none"/>
        </w:rPr>
        <w:t>）</w:t>
      </w:r>
    </w:p>
    <w:p w14:paraId="29E38940">
      <w:pPr>
        <w:tabs>
          <w:tab w:val="left" w:pos="1678"/>
          <w:tab w:val="left" w:pos="7438"/>
        </w:tabs>
        <w:spacing w:line="360" w:lineRule="auto"/>
        <w:textAlignment w:val="baseline"/>
        <w:rPr>
          <w:rFonts w:hint="eastAsia" w:ascii="新宋体" w:hAnsi="新宋体" w:eastAsia="新宋体" w:cs="新宋体"/>
          <w:color w:val="auto"/>
          <w:spacing w:val="-17"/>
          <w:sz w:val="24"/>
          <w:szCs w:val="24"/>
          <w:highlight w:val="none"/>
        </w:rPr>
      </w:pPr>
      <w:r>
        <w:rPr>
          <w:rFonts w:hint="eastAsia" w:ascii="新宋体" w:hAnsi="新宋体" w:eastAsia="新宋体" w:cs="新宋体"/>
          <w:color w:val="auto"/>
          <w:sz w:val="24"/>
          <w:szCs w:val="24"/>
          <w:highlight w:val="none"/>
        </w:rPr>
        <w:t>法定代表人（或授权代表）（出函保险机构）</w:t>
      </w:r>
      <w:r>
        <w:rPr>
          <w:rFonts w:hint="eastAsia" w:ascii="新宋体" w:hAnsi="新宋体" w:eastAsia="新宋体" w:cs="新宋体"/>
          <w:color w:val="auto"/>
          <w:spacing w:val="-1"/>
          <w:sz w:val="24"/>
          <w:szCs w:val="24"/>
          <w:highlight w:val="none"/>
        </w:rPr>
        <w:t xml:space="preserve"> </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rPr>
        <w:t>（签字或签章</w:t>
      </w:r>
      <w:r>
        <w:rPr>
          <w:rFonts w:hint="eastAsia" w:ascii="新宋体" w:hAnsi="新宋体" w:eastAsia="新宋体" w:cs="新宋体"/>
          <w:color w:val="auto"/>
          <w:spacing w:val="-17"/>
          <w:sz w:val="24"/>
          <w:szCs w:val="24"/>
          <w:highlight w:val="none"/>
        </w:rPr>
        <w:t xml:space="preserve">） </w:t>
      </w:r>
    </w:p>
    <w:p w14:paraId="662DFB6A">
      <w:pPr>
        <w:tabs>
          <w:tab w:val="left" w:pos="1200"/>
          <w:tab w:val="left" w:pos="5697"/>
          <w:tab w:val="left" w:pos="7438"/>
        </w:tabs>
        <w:spacing w:line="360" w:lineRule="auto"/>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地</w:t>
      </w:r>
      <w:r>
        <w:rPr>
          <w:rFonts w:hint="eastAsia" w:ascii="新宋体" w:hAnsi="新宋体" w:eastAsia="新宋体" w:cs="新宋体"/>
          <w:color w:val="auto"/>
          <w:sz w:val="24"/>
          <w:szCs w:val="24"/>
          <w:highlight w:val="none"/>
        </w:rPr>
        <w:tab/>
      </w:r>
      <w:r>
        <w:rPr>
          <w:rFonts w:hint="eastAsia" w:ascii="新宋体" w:hAnsi="新宋体" w:eastAsia="新宋体" w:cs="新宋体"/>
          <w:color w:val="auto"/>
          <w:spacing w:val="-1"/>
          <w:sz w:val="24"/>
          <w:szCs w:val="24"/>
          <w:highlight w:val="none"/>
        </w:rPr>
        <w:t>址</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u w:val="single" w:color="000000"/>
        </w:rPr>
        <w:t xml:space="preserve">                        </w:t>
      </w:r>
    </w:p>
    <w:p w14:paraId="20B9F7FB">
      <w:pPr>
        <w:tabs>
          <w:tab w:val="left" w:pos="4141"/>
        </w:tabs>
        <w:spacing w:line="360" w:lineRule="auto"/>
        <w:textAlignment w:val="baseline"/>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pacing w:val="-1"/>
          <w:sz w:val="24"/>
          <w:szCs w:val="24"/>
          <w:highlight w:val="none"/>
        </w:rPr>
        <w:t>邮</w:t>
      </w:r>
      <w:r>
        <w:rPr>
          <w:rFonts w:hint="eastAsia" w:ascii="新宋体" w:hAnsi="新宋体" w:eastAsia="新宋体" w:cs="新宋体"/>
          <w:color w:val="auto"/>
          <w:sz w:val="24"/>
          <w:szCs w:val="24"/>
          <w:highlight w:val="none"/>
        </w:rPr>
        <w:t>政编码：</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u w:val="single" w:color="000000"/>
        </w:rPr>
        <w:tab/>
      </w:r>
    </w:p>
    <w:p w14:paraId="4519120E">
      <w:pPr>
        <w:tabs>
          <w:tab w:val="left" w:pos="1200"/>
          <w:tab w:val="left" w:pos="4257"/>
        </w:tabs>
        <w:spacing w:line="360" w:lineRule="auto"/>
        <w:textAlignment w:val="baseline"/>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电</w:t>
      </w:r>
      <w:r>
        <w:rPr>
          <w:rFonts w:hint="eastAsia" w:ascii="新宋体" w:hAnsi="新宋体" w:eastAsia="新宋体" w:cs="新宋体"/>
          <w:color w:val="auto"/>
          <w:sz w:val="24"/>
          <w:szCs w:val="24"/>
          <w:highlight w:val="none"/>
        </w:rPr>
        <w:tab/>
      </w:r>
      <w:r>
        <w:rPr>
          <w:rFonts w:hint="eastAsia" w:ascii="新宋体" w:hAnsi="新宋体" w:eastAsia="新宋体" w:cs="新宋体"/>
          <w:color w:val="auto"/>
          <w:spacing w:val="-1"/>
          <w:sz w:val="24"/>
          <w:szCs w:val="24"/>
          <w:highlight w:val="none"/>
        </w:rPr>
        <w:t>话</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u w:val="single" w:color="000000"/>
        </w:rPr>
        <w:tab/>
      </w:r>
      <w:r>
        <w:rPr>
          <w:rFonts w:hint="eastAsia" w:ascii="新宋体" w:hAnsi="新宋体" w:eastAsia="新宋体" w:cs="新宋体"/>
          <w:color w:val="auto"/>
          <w:sz w:val="24"/>
          <w:szCs w:val="24"/>
          <w:highlight w:val="none"/>
          <w:u w:val="single" w:color="000000"/>
        </w:rPr>
        <w:t xml:space="preserve"> </w:t>
      </w:r>
    </w:p>
    <w:p w14:paraId="069B658D">
      <w:pPr>
        <w:tabs>
          <w:tab w:val="left" w:pos="1200"/>
          <w:tab w:val="left" w:pos="4257"/>
        </w:tabs>
        <w:spacing w:line="360" w:lineRule="auto"/>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传</w:t>
      </w:r>
      <w:r>
        <w:rPr>
          <w:rFonts w:hint="eastAsia" w:ascii="新宋体" w:hAnsi="新宋体" w:eastAsia="新宋体" w:cs="新宋体"/>
          <w:color w:val="auto"/>
          <w:sz w:val="24"/>
          <w:szCs w:val="24"/>
          <w:highlight w:val="none"/>
        </w:rPr>
        <w:tab/>
      </w:r>
      <w:r>
        <w:rPr>
          <w:rFonts w:hint="eastAsia" w:ascii="新宋体" w:hAnsi="新宋体" w:eastAsia="新宋体" w:cs="新宋体"/>
          <w:color w:val="auto"/>
          <w:spacing w:val="-1"/>
          <w:sz w:val="24"/>
          <w:szCs w:val="24"/>
          <w:highlight w:val="none"/>
        </w:rPr>
        <w:t>真</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u w:val="single" w:color="000000"/>
        </w:rPr>
        <w:tab/>
      </w:r>
      <w:r>
        <w:rPr>
          <w:rFonts w:hint="eastAsia" w:ascii="新宋体" w:hAnsi="新宋体" w:eastAsia="新宋体" w:cs="新宋体"/>
          <w:color w:val="auto"/>
          <w:sz w:val="24"/>
          <w:szCs w:val="24"/>
          <w:highlight w:val="none"/>
          <w:u w:val="single" w:color="000000"/>
        </w:rPr>
        <w:t xml:space="preserve"> </w:t>
      </w:r>
    </w:p>
    <w:p w14:paraId="035FC13E">
      <w:pPr>
        <w:tabs>
          <w:tab w:val="left" w:pos="4141"/>
        </w:tabs>
        <w:spacing w:line="360" w:lineRule="auto"/>
        <w:textAlignment w:val="baseline"/>
        <w:rPr>
          <w:rFonts w:hint="eastAsia" w:ascii="新宋体" w:hAnsi="新宋体" w:eastAsia="新宋体" w:cs="新宋体"/>
          <w:color w:val="auto"/>
          <w:sz w:val="24"/>
          <w:szCs w:val="24"/>
          <w:highlight w:val="none"/>
          <w:u w:val="none" w:color="auto"/>
          <w:lang w:val="en-US" w:eastAsia="zh-CN"/>
        </w:rPr>
      </w:pPr>
      <w:r>
        <w:rPr>
          <w:rFonts w:hint="eastAsia" w:ascii="新宋体" w:hAnsi="新宋体" w:eastAsia="新宋体" w:cs="新宋体"/>
          <w:color w:val="auto"/>
          <w:sz w:val="24"/>
          <w:szCs w:val="24"/>
          <w:highlight w:val="none"/>
        </w:rPr>
        <w:t>开立时间：</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u w:val="single" w:color="000000"/>
        </w:rPr>
        <w:t xml:space="preserve">    </w:t>
      </w:r>
      <w:r>
        <w:rPr>
          <w:rFonts w:hint="eastAsia" w:ascii="新宋体" w:hAnsi="新宋体" w:eastAsia="新宋体" w:cs="新宋体"/>
          <w:color w:val="auto"/>
          <w:sz w:val="24"/>
          <w:szCs w:val="24"/>
          <w:highlight w:val="none"/>
          <w:u w:val="none" w:color="auto"/>
          <w:lang w:val="en-US" w:eastAsia="zh-CN"/>
        </w:rPr>
        <w:t>日</w:t>
      </w:r>
    </w:p>
    <w:p w14:paraId="1A130EF0">
      <w:pPr>
        <w:pStyle w:val="68"/>
        <w:rPr>
          <w:rFonts w:hint="eastAsia"/>
          <w:color w:val="auto"/>
          <w:highlight w:val="none"/>
          <w:lang w:val="en-US" w:eastAsia="zh-CN"/>
        </w:rPr>
      </w:pPr>
    </w:p>
    <w:p w14:paraId="00186A64">
      <w:pPr>
        <w:spacing w:line="360" w:lineRule="auto"/>
        <w:ind w:right="-15"/>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注：保证保险期限必须大于投标有效期。投标人须将采用的纸质保证保险原件扫描件编入投标文件，未编入的视为未提供投标担保，其投标无效；虽提交了纸质保证保险原件扫描件，但其载明的要素与权利义务的要求，不符合格式文本要求，没有按照招标文件约定、投标人的承诺承担所有保证事项、或者不是无条件见索即付式的保证保险，视为未提交保证保险，其投标无效。</w:t>
      </w:r>
    </w:p>
    <w:p w14:paraId="1C68747A">
      <w:pPr>
        <w:pStyle w:val="3"/>
        <w:keepNext/>
        <w:keepLines/>
        <w:pageBreakBefore w:val="0"/>
        <w:widowControl w:val="0"/>
        <w:numPr>
          <w:ilvl w:val="0"/>
          <w:numId w:val="0"/>
        </w:numPr>
        <w:kinsoku/>
        <w:wordWrap/>
        <w:overflowPunct/>
        <w:topLinePunct w:val="0"/>
        <w:autoSpaceDE/>
        <w:autoSpaceDN/>
        <w:bidi w:val="0"/>
        <w:adjustRightInd/>
        <w:snapToGrid/>
        <w:spacing w:before="0" w:after="120" w:afterLines="50" w:line="360" w:lineRule="auto"/>
        <w:jc w:val="center"/>
        <w:textAlignment w:val="auto"/>
        <w:rPr>
          <w:rFonts w:hint="eastAsia" w:ascii="宋体" w:hAnsi="宋体" w:eastAsia="宋体" w:cs="宋体"/>
          <w:b/>
          <w:bCs/>
          <w:color w:val="auto"/>
          <w:sz w:val="24"/>
          <w:szCs w:val="24"/>
          <w:highlight w:val="none"/>
          <w:lang w:val="en-US" w:eastAsia="zh-CN"/>
        </w:rPr>
      </w:pPr>
      <w:bookmarkStart w:id="195" w:name="_Toc12182"/>
      <w:bookmarkStart w:id="196" w:name="_Toc18194"/>
      <w:r>
        <w:rPr>
          <w:rFonts w:hint="eastAsia" w:ascii="宋体" w:hAnsi="宋体" w:eastAsia="宋体" w:cs="宋体"/>
          <w:b/>
          <w:bCs/>
          <w:color w:val="auto"/>
          <w:sz w:val="24"/>
          <w:szCs w:val="24"/>
          <w:highlight w:val="none"/>
          <w:lang w:val="en-US" w:eastAsia="zh-CN"/>
        </w:rPr>
        <w:t>四、投标授权书</w:t>
      </w:r>
      <w:bookmarkEnd w:id="195"/>
      <w:bookmarkEnd w:id="196"/>
    </w:p>
    <w:p w14:paraId="1FE7E7BD">
      <w:pPr>
        <w:pStyle w:val="21"/>
        <w:keepNext w:val="0"/>
        <w:keepLines w:val="0"/>
        <w:pageBreakBefore w:val="0"/>
        <w:widowControl w:val="0"/>
        <w:kinsoku/>
        <w:wordWrap/>
        <w:overflowPunct/>
        <w:topLinePunct w:val="0"/>
        <w:bidi w:val="0"/>
        <w:adjustRightInd/>
        <w:snapToGrid/>
        <w:spacing w:line="360" w:lineRule="auto"/>
        <w:ind w:right="0" w:rightChars="0" w:firstLine="600" w:firstLineChars="250"/>
        <w:jc w:val="both"/>
        <w:textAlignment w:val="auto"/>
        <w:rPr>
          <w:rFonts w:hint="eastAsia" w:hAnsi="宋体"/>
          <w:color w:val="auto"/>
          <w:sz w:val="24"/>
          <w:szCs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u w:val="single"/>
          <w:lang w:eastAsia="zh-CN"/>
        </w:rPr>
        <w:t>投标人</w:t>
      </w:r>
      <w:r>
        <w:rPr>
          <w:rFonts w:hint="eastAsia" w:hAnsi="宋体"/>
          <w:color w:val="auto"/>
          <w:sz w:val="24"/>
          <w:szCs w:val="24"/>
          <w:highlight w:val="none"/>
          <w:u w:val="single"/>
        </w:rPr>
        <w:t xml:space="preserve">名称的全称） </w:t>
      </w:r>
      <w:r>
        <w:rPr>
          <w:rFonts w:hint="eastAsia" w:hAnsi="宋体"/>
          <w:color w:val="auto"/>
          <w:sz w:val="24"/>
          <w:szCs w:val="24"/>
          <w:highlight w:val="none"/>
        </w:rPr>
        <w:t>授权本公司</w:t>
      </w:r>
      <w:r>
        <w:rPr>
          <w:rFonts w:hint="eastAsia" w:hAnsi="宋体"/>
          <w:color w:val="auto"/>
          <w:sz w:val="24"/>
          <w:szCs w:val="24"/>
          <w:highlight w:val="none"/>
          <w:u w:val="single"/>
        </w:rPr>
        <w:t xml:space="preserve">       </w:t>
      </w:r>
      <w:r>
        <w:rPr>
          <w:rFonts w:hint="eastAsia" w:hAnsi="宋体"/>
          <w:color w:val="auto"/>
          <w:sz w:val="24"/>
          <w:szCs w:val="24"/>
          <w:highlight w:val="none"/>
        </w:rPr>
        <w:t>（</w:t>
      </w:r>
      <w:r>
        <w:rPr>
          <w:rFonts w:hint="eastAsia" w:hAnsi="宋体"/>
          <w:color w:val="auto"/>
          <w:sz w:val="24"/>
          <w:szCs w:val="24"/>
          <w:highlight w:val="none"/>
          <w:lang w:eastAsia="zh-CN"/>
        </w:rPr>
        <w:t>投标人</w:t>
      </w:r>
      <w:r>
        <w:rPr>
          <w:rFonts w:hint="eastAsia" w:hAnsi="宋体"/>
          <w:color w:val="auto"/>
          <w:sz w:val="24"/>
          <w:szCs w:val="24"/>
          <w:highlight w:val="none"/>
        </w:rPr>
        <w:t>授权代表姓名、职务）代表本公司参加</w:t>
      </w:r>
      <w:r>
        <w:rPr>
          <w:rFonts w:hint="eastAsia" w:hAnsi="宋体"/>
          <w:color w:val="auto"/>
          <w:sz w:val="24"/>
          <w:szCs w:val="24"/>
          <w:highlight w:val="none"/>
          <w:u w:val="single"/>
        </w:rPr>
        <w:t xml:space="preserve">    （某项目）  </w:t>
      </w:r>
      <w:r>
        <w:rPr>
          <w:rFonts w:hint="eastAsia" w:hAnsi="宋体"/>
          <w:color w:val="auto"/>
          <w:sz w:val="24"/>
          <w:szCs w:val="24"/>
          <w:highlight w:val="none"/>
          <w:lang w:val="en-US" w:eastAsia="zh-CN"/>
        </w:rPr>
        <w:t>招标</w:t>
      </w:r>
      <w:r>
        <w:rPr>
          <w:rFonts w:hint="eastAsia" w:hAnsi="宋体"/>
          <w:color w:val="auto"/>
          <w:sz w:val="24"/>
          <w:szCs w:val="24"/>
          <w:highlight w:val="none"/>
        </w:rPr>
        <w:t>活动（项目编号：</w:t>
      </w:r>
      <w:r>
        <w:rPr>
          <w:rFonts w:hint="eastAsia" w:hAnsi="宋体"/>
          <w:color w:val="auto"/>
          <w:sz w:val="24"/>
          <w:szCs w:val="24"/>
          <w:highlight w:val="none"/>
          <w:u w:val="single"/>
        </w:rPr>
        <w:t xml:space="preserve">    </w:t>
      </w:r>
      <w:r>
        <w:rPr>
          <w:rFonts w:hint="eastAsia" w:hAnsi="宋体"/>
          <w:color w:val="auto"/>
          <w:sz w:val="24"/>
          <w:szCs w:val="24"/>
          <w:highlight w:val="none"/>
        </w:rPr>
        <w:t>），全权代表本公司处理投标过程的一切事宜，包括但不限于：投标、参与开标、签约等。</w:t>
      </w:r>
      <w:r>
        <w:rPr>
          <w:rFonts w:hint="eastAsia" w:hAnsi="宋体"/>
          <w:color w:val="auto"/>
          <w:sz w:val="24"/>
          <w:szCs w:val="24"/>
          <w:highlight w:val="none"/>
          <w:lang w:eastAsia="zh-CN"/>
        </w:rPr>
        <w:t>投标人</w:t>
      </w:r>
      <w:r>
        <w:rPr>
          <w:rFonts w:hint="eastAsia" w:hAnsi="宋体"/>
          <w:color w:val="auto"/>
          <w:sz w:val="24"/>
          <w:szCs w:val="24"/>
          <w:highlight w:val="none"/>
        </w:rPr>
        <w:t>授权代表在投标过程中所签署的一切文件和处理与之有关的一切事务，本公司均予以认可并对此承担责任。</w:t>
      </w:r>
      <w:r>
        <w:rPr>
          <w:rFonts w:hint="eastAsia" w:hAnsi="宋体"/>
          <w:color w:val="auto"/>
          <w:sz w:val="24"/>
          <w:szCs w:val="24"/>
          <w:highlight w:val="none"/>
          <w:lang w:eastAsia="zh-CN"/>
        </w:rPr>
        <w:t>投标人</w:t>
      </w:r>
      <w:r>
        <w:rPr>
          <w:rFonts w:hint="eastAsia" w:hAnsi="宋体"/>
          <w:color w:val="auto"/>
          <w:sz w:val="24"/>
          <w:szCs w:val="24"/>
          <w:highlight w:val="none"/>
        </w:rPr>
        <w:t>授权代表无转委托权。特此授权。</w:t>
      </w:r>
    </w:p>
    <w:p w14:paraId="2080A5C6">
      <w:pPr>
        <w:pStyle w:val="21"/>
        <w:keepNext w:val="0"/>
        <w:keepLines w:val="0"/>
        <w:pageBreakBefore w:val="0"/>
        <w:widowControl w:val="0"/>
        <w:kinsoku/>
        <w:wordWrap/>
        <w:overflowPunct/>
        <w:topLinePunct w:val="0"/>
        <w:bidi w:val="0"/>
        <w:adjustRightInd/>
        <w:snapToGrid/>
        <w:spacing w:line="360" w:lineRule="auto"/>
        <w:ind w:right="0" w:rightChars="0" w:firstLine="480" w:firstLineChars="200"/>
        <w:jc w:val="left"/>
        <w:textAlignment w:val="auto"/>
        <w:rPr>
          <w:rFonts w:hint="eastAsia" w:hAnsi="宋体"/>
          <w:color w:val="auto"/>
          <w:sz w:val="24"/>
          <w:szCs w:val="24"/>
          <w:highlight w:val="none"/>
        </w:rPr>
      </w:pPr>
      <w:r>
        <w:rPr>
          <w:rFonts w:hint="eastAsia" w:hAnsi="宋体"/>
          <w:color w:val="auto"/>
          <w:sz w:val="24"/>
          <w:szCs w:val="24"/>
          <w:highlight w:val="none"/>
        </w:rPr>
        <w:t>本授权书自出具之日起生效。</w:t>
      </w:r>
    </w:p>
    <w:p w14:paraId="14FF602D">
      <w:pPr>
        <w:keepNext w:val="0"/>
        <w:keepLines w:val="0"/>
        <w:pageBreakBefore w:val="0"/>
        <w:widowControl w:val="0"/>
        <w:kinsoku/>
        <w:wordWrap/>
        <w:overflowPunct/>
        <w:topLinePunct w:val="0"/>
        <w:bidi w:val="0"/>
        <w:adjustRightInd/>
        <w:snapToGrid/>
        <w:spacing w:line="360" w:lineRule="auto"/>
        <w:ind w:right="0" w:rightChars="0" w:firstLine="482" w:firstLineChars="200"/>
        <w:textAlignment w:val="auto"/>
        <w:rPr>
          <w:rFonts w:hint="eastAsia" w:ascii="宋体" w:hAnsi="宋体"/>
          <w:b/>
          <w:bCs/>
          <w:color w:val="auto"/>
          <w:sz w:val="24"/>
          <w:szCs w:val="28"/>
          <w:highlight w:val="none"/>
        </w:rPr>
      </w:pPr>
      <w:r>
        <w:rPr>
          <w:rFonts w:hint="eastAsia" w:ascii="宋体" w:hAnsi="宋体"/>
          <w:b/>
          <w:bCs/>
          <w:color w:val="auto"/>
          <w:sz w:val="24"/>
          <w:szCs w:val="28"/>
          <w:highlight w:val="none"/>
        </w:rPr>
        <w:t>授权代表（或法定代表人）身份证明扫描件或</w:t>
      </w:r>
      <w:r>
        <w:rPr>
          <w:rFonts w:hint="eastAsia" w:ascii="宋体" w:hAnsi="宋体"/>
          <w:b/>
          <w:bCs/>
          <w:color w:val="auto"/>
          <w:sz w:val="24"/>
          <w:szCs w:val="28"/>
          <w:highlight w:val="none"/>
          <w:lang w:val="en-US" w:eastAsia="zh-CN"/>
        </w:rPr>
        <w:t>复印</w:t>
      </w:r>
      <w:r>
        <w:rPr>
          <w:rFonts w:hint="eastAsia" w:ascii="宋体" w:hAnsi="宋体"/>
          <w:b/>
          <w:bCs/>
          <w:color w:val="auto"/>
          <w:sz w:val="24"/>
          <w:szCs w:val="28"/>
          <w:highlight w:val="none"/>
        </w:rPr>
        <w:t>件：</w:t>
      </w:r>
    </w:p>
    <w:p w14:paraId="53AB1178">
      <w:pPr>
        <w:keepNext w:val="0"/>
        <w:keepLines w:val="0"/>
        <w:pageBreakBefore w:val="0"/>
        <w:widowControl w:val="0"/>
        <w:kinsoku/>
        <w:wordWrap/>
        <w:overflowPunct/>
        <w:topLinePunct w:val="0"/>
        <w:bidi w:val="0"/>
        <w:adjustRightInd/>
        <w:snapToGrid/>
        <w:spacing w:line="360" w:lineRule="auto"/>
        <w:ind w:right="0" w:rightChars="0"/>
        <w:textAlignment w:val="auto"/>
        <w:rPr>
          <w:rFonts w:hint="eastAsia" w:ascii="宋体" w:hAnsi="宋体"/>
          <w:color w:val="auto"/>
          <w:sz w:val="24"/>
          <w:szCs w:val="28"/>
          <w:highlight w:val="none"/>
        </w:rPr>
      </w:pPr>
    </w:p>
    <w:p w14:paraId="2C4A341C">
      <w:pPr>
        <w:keepNext w:val="0"/>
        <w:keepLines w:val="0"/>
        <w:pageBreakBefore w:val="0"/>
        <w:widowControl w:val="0"/>
        <w:kinsoku/>
        <w:wordWrap/>
        <w:overflowPunct/>
        <w:topLinePunct w:val="0"/>
        <w:bidi w:val="0"/>
        <w:adjustRightInd/>
        <w:snapToGrid/>
        <w:spacing w:line="360" w:lineRule="auto"/>
        <w:ind w:right="0" w:rightChars="0"/>
        <w:textAlignment w:val="auto"/>
        <w:rPr>
          <w:rFonts w:hint="eastAsia" w:ascii="宋体" w:hAnsi="宋体"/>
          <w:color w:val="auto"/>
          <w:sz w:val="24"/>
          <w:szCs w:val="28"/>
          <w:highlight w:val="none"/>
        </w:rPr>
      </w:pPr>
    </w:p>
    <w:p w14:paraId="5B98F997">
      <w:pPr>
        <w:pStyle w:val="15"/>
        <w:rPr>
          <w:rFonts w:hint="eastAsia" w:ascii="宋体" w:hAnsi="宋体"/>
          <w:color w:val="auto"/>
          <w:sz w:val="24"/>
          <w:szCs w:val="28"/>
          <w:highlight w:val="none"/>
        </w:rPr>
      </w:pPr>
    </w:p>
    <w:p w14:paraId="72F2D302">
      <w:pPr>
        <w:pStyle w:val="38"/>
        <w:rPr>
          <w:rFonts w:hint="eastAsia" w:ascii="宋体" w:hAnsi="宋体"/>
          <w:color w:val="auto"/>
          <w:sz w:val="24"/>
          <w:szCs w:val="28"/>
          <w:highlight w:val="none"/>
        </w:rPr>
      </w:pPr>
    </w:p>
    <w:p w14:paraId="441269AD">
      <w:pPr>
        <w:rPr>
          <w:rFonts w:hint="eastAsia"/>
          <w:color w:val="auto"/>
          <w:highlight w:val="none"/>
        </w:rPr>
      </w:pPr>
    </w:p>
    <w:p w14:paraId="71F28707">
      <w:pPr>
        <w:pStyle w:val="38"/>
        <w:keepNext w:val="0"/>
        <w:keepLines w:val="0"/>
        <w:pageBreakBefore w:val="0"/>
        <w:widowControl w:val="0"/>
        <w:kinsoku/>
        <w:wordWrap/>
        <w:overflowPunct/>
        <w:topLinePunct w:val="0"/>
        <w:bidi w:val="0"/>
        <w:adjustRightInd/>
        <w:snapToGrid/>
        <w:spacing w:line="360" w:lineRule="auto"/>
        <w:ind w:right="0" w:rightChars="0" w:firstLine="540"/>
        <w:textAlignment w:val="auto"/>
        <w:rPr>
          <w:rFonts w:hint="eastAsia"/>
          <w:color w:val="auto"/>
          <w:highlight w:val="none"/>
        </w:rPr>
      </w:pPr>
    </w:p>
    <w:p w14:paraId="586DB640">
      <w:pPr>
        <w:keepNext w:val="0"/>
        <w:keepLines w:val="0"/>
        <w:pageBreakBefore w:val="0"/>
        <w:widowControl w:val="0"/>
        <w:kinsoku/>
        <w:wordWrap/>
        <w:overflowPunct/>
        <w:topLinePunct w:val="0"/>
        <w:bidi w:val="0"/>
        <w:adjustRightInd/>
        <w:snapToGrid/>
        <w:spacing w:line="360" w:lineRule="auto"/>
        <w:ind w:right="0" w:rightChars="0" w:firstLine="482" w:firstLineChars="200"/>
        <w:textAlignment w:val="auto"/>
        <w:rPr>
          <w:rFonts w:hint="eastAsia" w:ascii="宋体" w:hAnsi="宋体"/>
          <w:color w:val="auto"/>
          <w:sz w:val="24"/>
          <w:szCs w:val="28"/>
          <w:highlight w:val="none"/>
        </w:rPr>
      </w:pPr>
      <w:r>
        <w:rPr>
          <w:rFonts w:hint="eastAsia" w:ascii="宋体" w:hAnsi="宋体"/>
          <w:b/>
          <w:bCs/>
          <w:color w:val="auto"/>
          <w:sz w:val="24"/>
          <w:szCs w:val="28"/>
          <w:highlight w:val="none"/>
        </w:rPr>
        <w:t>授权代表（或法定代表人）联系方式：</w:t>
      </w:r>
      <w:r>
        <w:rPr>
          <w:rFonts w:hint="eastAsia" w:ascii="宋体" w:hAnsi="宋体"/>
          <w:color w:val="auto"/>
          <w:sz w:val="24"/>
          <w:szCs w:val="28"/>
          <w:highlight w:val="none"/>
          <w:u w:val="single"/>
        </w:rPr>
        <w:t xml:space="preserve">           </w:t>
      </w:r>
      <w:r>
        <w:rPr>
          <w:rFonts w:hint="eastAsia" w:ascii="宋体" w:hAnsi="宋体"/>
          <w:color w:val="auto"/>
          <w:sz w:val="24"/>
          <w:szCs w:val="28"/>
          <w:highlight w:val="none"/>
        </w:rPr>
        <w:t>（请填写手机号码）</w:t>
      </w:r>
    </w:p>
    <w:p w14:paraId="5DC86EA4">
      <w:pPr>
        <w:keepNext w:val="0"/>
        <w:keepLines w:val="0"/>
        <w:pageBreakBefore w:val="0"/>
        <w:widowControl w:val="0"/>
        <w:kinsoku/>
        <w:wordWrap/>
        <w:overflowPunct/>
        <w:topLinePunct w:val="0"/>
        <w:bidi w:val="0"/>
        <w:adjustRightInd/>
        <w:snapToGrid/>
        <w:spacing w:line="360" w:lineRule="auto"/>
        <w:ind w:right="0" w:rightChars="0" w:firstLine="645"/>
        <w:textAlignment w:val="auto"/>
        <w:rPr>
          <w:rFonts w:hint="eastAsia" w:ascii="宋体" w:hAnsi="宋体"/>
          <w:color w:val="auto"/>
          <w:sz w:val="24"/>
          <w:szCs w:val="28"/>
          <w:highlight w:val="none"/>
        </w:rPr>
      </w:pPr>
    </w:p>
    <w:p w14:paraId="5C7680C7">
      <w:pPr>
        <w:pStyle w:val="39"/>
        <w:rPr>
          <w:rFonts w:hint="eastAsia"/>
          <w:color w:val="auto"/>
          <w:highlight w:val="none"/>
        </w:rPr>
      </w:pPr>
    </w:p>
    <w:p w14:paraId="5FE0CF09">
      <w:pPr>
        <w:keepNext w:val="0"/>
        <w:keepLines w:val="0"/>
        <w:pageBreakBefore w:val="0"/>
        <w:widowControl w:val="0"/>
        <w:kinsoku/>
        <w:wordWrap/>
        <w:overflowPunct/>
        <w:topLinePunct w:val="0"/>
        <w:bidi w:val="0"/>
        <w:adjustRightInd/>
        <w:snapToGrid/>
        <w:spacing w:line="360" w:lineRule="auto"/>
        <w:ind w:right="0" w:rightChars="0"/>
        <w:textAlignment w:val="auto"/>
        <w:rPr>
          <w:rFonts w:hint="eastAsia" w:ascii="宋体" w:hAnsi="宋体"/>
          <w:color w:val="auto"/>
          <w:sz w:val="24"/>
          <w:szCs w:val="28"/>
          <w:highlight w:val="none"/>
        </w:rPr>
      </w:pPr>
    </w:p>
    <w:p w14:paraId="7C4BAEAB">
      <w:pPr>
        <w:pStyle w:val="39"/>
        <w:rPr>
          <w:rFonts w:hint="eastAsia"/>
          <w:color w:val="auto"/>
          <w:highlight w:val="none"/>
        </w:rPr>
      </w:pPr>
    </w:p>
    <w:p w14:paraId="1C80490C">
      <w:pPr>
        <w:pStyle w:val="38"/>
        <w:keepNext w:val="0"/>
        <w:keepLines w:val="0"/>
        <w:pageBreakBefore w:val="0"/>
        <w:widowControl w:val="0"/>
        <w:kinsoku/>
        <w:wordWrap/>
        <w:overflowPunct/>
        <w:topLinePunct w:val="0"/>
        <w:bidi w:val="0"/>
        <w:adjustRightInd/>
        <w:snapToGrid/>
        <w:spacing w:line="360" w:lineRule="auto"/>
        <w:ind w:right="0" w:rightChars="0" w:firstLine="540"/>
        <w:textAlignment w:val="auto"/>
        <w:rPr>
          <w:rFonts w:hint="eastAsia"/>
          <w:color w:val="auto"/>
          <w:highlight w:val="none"/>
        </w:rPr>
      </w:pPr>
    </w:p>
    <w:p w14:paraId="228998A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bCs/>
          <w:color w:val="auto"/>
          <w:sz w:val="24"/>
          <w:szCs w:val="24"/>
          <w:highlight w:val="none"/>
        </w:rPr>
      </w:pPr>
      <w:r>
        <w:rPr>
          <w:rFonts w:hint="eastAsia"/>
          <w:bCs/>
          <w:color w:val="auto"/>
          <w:sz w:val="24"/>
          <w:szCs w:val="24"/>
          <w:highlight w:val="none"/>
          <w:lang w:eastAsia="zh-CN"/>
        </w:rPr>
        <w:t>投标人名称（</w:t>
      </w:r>
      <w:r>
        <w:rPr>
          <w:rFonts w:hint="eastAsia"/>
          <w:bCs/>
          <w:color w:val="auto"/>
          <w:sz w:val="24"/>
          <w:szCs w:val="24"/>
          <w:highlight w:val="none"/>
          <w:lang w:val="en-US" w:eastAsia="zh-CN"/>
        </w:rPr>
        <w:t>盖章</w:t>
      </w:r>
      <w:r>
        <w:rPr>
          <w:rFonts w:hint="eastAsia"/>
          <w:bCs/>
          <w:color w:val="auto"/>
          <w:sz w:val="24"/>
          <w:szCs w:val="24"/>
          <w:highlight w:val="none"/>
          <w:lang w:eastAsia="zh-CN"/>
        </w:rPr>
        <w:t>）</w:t>
      </w:r>
      <w:r>
        <w:rPr>
          <w:rFonts w:hint="eastAsia"/>
          <w:bCs/>
          <w:color w:val="auto"/>
          <w:sz w:val="24"/>
          <w:szCs w:val="24"/>
          <w:highlight w:val="none"/>
        </w:rPr>
        <w:t>：</w:t>
      </w:r>
    </w:p>
    <w:p w14:paraId="6890678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bCs/>
          <w:color w:val="auto"/>
          <w:sz w:val="24"/>
          <w:szCs w:val="24"/>
          <w:highlight w:val="none"/>
        </w:rPr>
      </w:pPr>
      <w:r>
        <w:rPr>
          <w:rFonts w:hint="eastAsia"/>
          <w:bCs/>
          <w:color w:val="auto"/>
          <w:sz w:val="24"/>
          <w:szCs w:val="24"/>
          <w:highlight w:val="none"/>
        </w:rPr>
        <w:t>日期：</w:t>
      </w:r>
    </w:p>
    <w:p w14:paraId="785CE9DE">
      <w:pPr>
        <w:keepNext w:val="0"/>
        <w:keepLines w:val="0"/>
        <w:pageBreakBefore w:val="0"/>
        <w:widowControl w:val="0"/>
        <w:kinsoku/>
        <w:wordWrap/>
        <w:overflowPunct/>
        <w:topLinePunct w:val="0"/>
        <w:bidi w:val="0"/>
        <w:adjustRightInd/>
        <w:snapToGrid/>
        <w:spacing w:line="360" w:lineRule="auto"/>
        <w:ind w:right="0" w:rightChars="0"/>
        <w:textAlignment w:val="auto"/>
        <w:rPr>
          <w:rFonts w:hint="eastAsia" w:ascii="宋体" w:hAnsi="宋体"/>
          <w:color w:val="auto"/>
          <w:sz w:val="28"/>
          <w:szCs w:val="28"/>
          <w:highlight w:val="none"/>
        </w:rPr>
      </w:pPr>
    </w:p>
    <w:p w14:paraId="662BC693">
      <w:pPr>
        <w:pStyle w:val="11"/>
        <w:keepNext w:val="0"/>
        <w:keepLines w:val="0"/>
        <w:pageBreakBefore w:val="0"/>
        <w:widowControl w:val="0"/>
        <w:kinsoku/>
        <w:wordWrap/>
        <w:overflowPunct/>
        <w:topLinePunct w:val="0"/>
        <w:bidi w:val="0"/>
        <w:adjustRightInd/>
        <w:snapToGrid/>
        <w:spacing w:line="360" w:lineRule="auto"/>
        <w:ind w:right="0" w:rightChars="0"/>
        <w:textAlignment w:val="auto"/>
        <w:rPr>
          <w:rFonts w:hint="eastAsia" w:ascii="宋体" w:hAnsi="宋体"/>
          <w:color w:val="auto"/>
          <w:sz w:val="28"/>
          <w:szCs w:val="28"/>
          <w:highlight w:val="none"/>
        </w:rPr>
      </w:pPr>
    </w:p>
    <w:p w14:paraId="34D76646">
      <w:pPr>
        <w:pStyle w:val="11"/>
        <w:keepNext w:val="0"/>
        <w:keepLines w:val="0"/>
        <w:pageBreakBefore w:val="0"/>
        <w:widowControl w:val="0"/>
        <w:kinsoku/>
        <w:wordWrap/>
        <w:overflowPunct/>
        <w:topLinePunct w:val="0"/>
        <w:bidi w:val="0"/>
        <w:adjustRightInd/>
        <w:snapToGrid/>
        <w:spacing w:line="360" w:lineRule="auto"/>
        <w:ind w:right="0" w:rightChars="0"/>
        <w:textAlignment w:val="auto"/>
        <w:rPr>
          <w:rFonts w:hint="eastAsia" w:ascii="宋体" w:hAnsi="宋体"/>
          <w:color w:val="auto"/>
          <w:sz w:val="28"/>
          <w:szCs w:val="28"/>
          <w:highlight w:val="none"/>
        </w:rPr>
      </w:pPr>
    </w:p>
    <w:p w14:paraId="7FB90B5E">
      <w:pPr>
        <w:pStyle w:val="15"/>
        <w:rPr>
          <w:rFonts w:hint="eastAsia"/>
          <w:color w:val="auto"/>
          <w:highlight w:val="none"/>
        </w:rPr>
      </w:pPr>
    </w:p>
    <w:p w14:paraId="3CA0FD3D">
      <w:pPr>
        <w:pStyle w:val="21"/>
        <w:keepNext w:val="0"/>
        <w:keepLines w:val="0"/>
        <w:pageBreakBefore w:val="0"/>
        <w:widowControl w:val="0"/>
        <w:kinsoku/>
        <w:wordWrap/>
        <w:overflowPunct/>
        <w:topLinePunct w:val="0"/>
        <w:bidi w:val="0"/>
        <w:adjustRightInd/>
        <w:snapToGrid/>
        <w:spacing w:line="360" w:lineRule="auto"/>
        <w:ind w:right="0" w:rightChars="0"/>
        <w:jc w:val="left"/>
        <w:textAlignment w:val="auto"/>
        <w:rPr>
          <w:rFonts w:hint="eastAsia" w:hAnsi="宋体"/>
          <w:bCs/>
          <w:color w:val="auto"/>
          <w:sz w:val="24"/>
          <w:szCs w:val="28"/>
          <w:highlight w:val="none"/>
        </w:rPr>
      </w:pPr>
      <w:r>
        <w:rPr>
          <w:rFonts w:hint="eastAsia" w:hAnsi="宋体"/>
          <w:bCs/>
          <w:color w:val="auto"/>
          <w:sz w:val="24"/>
          <w:szCs w:val="28"/>
          <w:highlight w:val="none"/>
        </w:rPr>
        <w:t>注：</w:t>
      </w:r>
    </w:p>
    <w:p w14:paraId="5E3C26C3">
      <w:pPr>
        <w:pStyle w:val="21"/>
        <w:keepNext w:val="0"/>
        <w:keepLines w:val="0"/>
        <w:pageBreakBefore w:val="0"/>
        <w:widowControl w:val="0"/>
        <w:numPr>
          <w:ilvl w:val="0"/>
          <w:numId w:val="0"/>
        </w:numPr>
        <w:kinsoku/>
        <w:wordWrap/>
        <w:overflowPunct/>
        <w:topLinePunct w:val="0"/>
        <w:bidi w:val="0"/>
        <w:adjustRightInd/>
        <w:snapToGrid/>
        <w:spacing w:line="360" w:lineRule="auto"/>
        <w:ind w:right="0" w:rightChars="0" w:firstLine="480" w:firstLineChars="200"/>
        <w:jc w:val="left"/>
        <w:textAlignment w:val="auto"/>
        <w:rPr>
          <w:rFonts w:hint="eastAsia" w:hAnsi="宋体"/>
          <w:bCs/>
          <w:color w:val="auto"/>
          <w:sz w:val="24"/>
          <w:szCs w:val="28"/>
          <w:highlight w:val="none"/>
        </w:rPr>
      </w:pPr>
      <w:r>
        <w:rPr>
          <w:rFonts w:hint="eastAsia" w:ascii="宋体" w:hAnsi="宋体"/>
          <w:bCs/>
          <w:color w:val="auto"/>
          <w:kern w:val="2"/>
          <w:sz w:val="24"/>
          <w:szCs w:val="28"/>
          <w:highlight w:val="none"/>
          <w:lang w:val="en-US" w:eastAsia="zh-CN" w:bidi="ar-SA"/>
        </w:rPr>
        <w:t>1、</w:t>
      </w:r>
      <w:r>
        <w:rPr>
          <w:rFonts w:hint="eastAsia" w:hAnsi="宋体"/>
          <w:bCs/>
          <w:color w:val="auto"/>
          <w:sz w:val="24"/>
          <w:szCs w:val="28"/>
          <w:highlight w:val="none"/>
        </w:rPr>
        <w:t>本项目只允许有唯一的</w:t>
      </w:r>
      <w:r>
        <w:rPr>
          <w:rFonts w:hint="eastAsia" w:hAnsi="宋体"/>
          <w:bCs/>
          <w:color w:val="auto"/>
          <w:sz w:val="24"/>
          <w:szCs w:val="28"/>
          <w:highlight w:val="none"/>
          <w:lang w:eastAsia="zh-CN"/>
        </w:rPr>
        <w:t>投标人</w:t>
      </w:r>
      <w:r>
        <w:rPr>
          <w:rFonts w:hint="eastAsia" w:hAnsi="宋体"/>
          <w:bCs/>
          <w:color w:val="auto"/>
          <w:sz w:val="24"/>
          <w:szCs w:val="28"/>
          <w:highlight w:val="none"/>
        </w:rPr>
        <w:t>授权代表（提供身份证明扫描件或</w:t>
      </w:r>
      <w:r>
        <w:rPr>
          <w:rFonts w:hint="eastAsia" w:hAnsi="宋体"/>
          <w:bCs/>
          <w:color w:val="auto"/>
          <w:sz w:val="24"/>
          <w:szCs w:val="28"/>
          <w:highlight w:val="none"/>
          <w:lang w:val="en-US" w:eastAsia="zh-CN"/>
        </w:rPr>
        <w:t>复印</w:t>
      </w:r>
      <w:r>
        <w:rPr>
          <w:rFonts w:hint="eastAsia" w:hAnsi="宋体"/>
          <w:bCs/>
          <w:color w:val="auto"/>
          <w:sz w:val="24"/>
          <w:szCs w:val="28"/>
          <w:highlight w:val="none"/>
        </w:rPr>
        <w:t>件及联系方式）；</w:t>
      </w:r>
    </w:p>
    <w:p w14:paraId="76E0853D">
      <w:pPr>
        <w:pStyle w:val="21"/>
        <w:keepNext w:val="0"/>
        <w:keepLines w:val="0"/>
        <w:pageBreakBefore w:val="0"/>
        <w:widowControl w:val="0"/>
        <w:numPr>
          <w:ilvl w:val="0"/>
          <w:numId w:val="0"/>
        </w:numPr>
        <w:kinsoku/>
        <w:wordWrap/>
        <w:overflowPunct/>
        <w:topLinePunct w:val="0"/>
        <w:bidi w:val="0"/>
        <w:adjustRightInd/>
        <w:snapToGrid/>
        <w:spacing w:line="360" w:lineRule="auto"/>
        <w:ind w:left="0" w:leftChars="0" w:right="0" w:rightChars="0" w:firstLine="480" w:firstLineChars="200"/>
        <w:jc w:val="left"/>
        <w:textAlignment w:val="auto"/>
        <w:rPr>
          <w:rFonts w:hint="eastAsia" w:hAnsi="宋体"/>
          <w:bCs/>
          <w:color w:val="auto"/>
          <w:sz w:val="24"/>
          <w:szCs w:val="28"/>
          <w:highlight w:val="none"/>
        </w:rPr>
      </w:pPr>
      <w:r>
        <w:rPr>
          <w:rFonts w:hint="eastAsia" w:ascii="宋体" w:hAnsi="宋体"/>
          <w:bCs/>
          <w:color w:val="auto"/>
          <w:kern w:val="2"/>
          <w:sz w:val="24"/>
          <w:szCs w:val="28"/>
          <w:highlight w:val="none"/>
          <w:lang w:val="en-US" w:eastAsia="zh-CN" w:bidi="ar-SA"/>
        </w:rPr>
        <w:t>2、</w:t>
      </w:r>
      <w:r>
        <w:rPr>
          <w:rFonts w:hint="eastAsia" w:hAnsi="宋体"/>
          <w:bCs/>
          <w:color w:val="auto"/>
          <w:sz w:val="24"/>
          <w:szCs w:val="28"/>
          <w:highlight w:val="none"/>
        </w:rPr>
        <w:t>法定代表人参加投标的无需提供投标授权书，仅提供身份证明扫描件或</w:t>
      </w:r>
      <w:r>
        <w:rPr>
          <w:rFonts w:hint="eastAsia" w:hAnsi="宋体"/>
          <w:bCs/>
          <w:color w:val="auto"/>
          <w:sz w:val="24"/>
          <w:szCs w:val="28"/>
          <w:highlight w:val="none"/>
          <w:lang w:val="en-US" w:eastAsia="zh-CN"/>
        </w:rPr>
        <w:t>复印</w:t>
      </w:r>
      <w:r>
        <w:rPr>
          <w:rFonts w:hint="eastAsia" w:hAnsi="宋体"/>
          <w:bCs/>
          <w:color w:val="auto"/>
          <w:sz w:val="24"/>
          <w:szCs w:val="28"/>
          <w:highlight w:val="none"/>
        </w:rPr>
        <w:t>件及联系方式即可。</w:t>
      </w:r>
    </w:p>
    <w:p w14:paraId="56CD93D8">
      <w:pPr>
        <w:pStyle w:val="3"/>
        <w:keepNext/>
        <w:keepLines/>
        <w:pageBreakBefore w:val="0"/>
        <w:widowControl w:val="0"/>
        <w:numPr>
          <w:ilvl w:val="0"/>
          <w:numId w:val="0"/>
        </w:numPr>
        <w:kinsoku/>
        <w:wordWrap/>
        <w:overflowPunct/>
        <w:topLinePunct w:val="0"/>
        <w:autoSpaceDE/>
        <w:autoSpaceDN/>
        <w:bidi w:val="0"/>
        <w:adjustRightInd/>
        <w:snapToGrid/>
        <w:spacing w:before="0" w:after="120" w:afterLines="50" w:line="360" w:lineRule="auto"/>
        <w:jc w:val="center"/>
        <w:textAlignment w:val="auto"/>
        <w:rPr>
          <w:rFonts w:hint="eastAsia" w:ascii="宋体" w:hAnsi="宋体" w:eastAsia="宋体" w:cs="宋体"/>
          <w:b/>
          <w:bCs/>
          <w:color w:val="auto"/>
          <w:sz w:val="24"/>
          <w:szCs w:val="24"/>
          <w:highlight w:val="none"/>
          <w:lang w:val="en-US" w:eastAsia="zh-CN"/>
        </w:rPr>
      </w:pPr>
      <w:bookmarkStart w:id="197" w:name="_Toc139"/>
      <w:bookmarkStart w:id="198" w:name="_Toc15307"/>
      <w:r>
        <w:rPr>
          <w:rFonts w:hint="eastAsia" w:ascii="宋体" w:hAnsi="宋体" w:eastAsia="宋体" w:cs="宋体"/>
          <w:b/>
          <w:bCs/>
          <w:color w:val="auto"/>
          <w:sz w:val="24"/>
          <w:szCs w:val="24"/>
          <w:highlight w:val="none"/>
          <w:lang w:val="en-US" w:eastAsia="zh-CN"/>
        </w:rPr>
        <w:t>五、标书响应情况</w:t>
      </w:r>
      <w:bookmarkEnd w:id="197"/>
      <w:bookmarkEnd w:id="198"/>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630B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noWrap w:val="0"/>
            <w:vAlign w:val="center"/>
          </w:tcPr>
          <w:p w14:paraId="6DAA4A1D">
            <w:pPr>
              <w:jc w:val="center"/>
              <w:rPr>
                <w:rFonts w:ascii="宋体" w:cs="宋体"/>
                <w:b/>
                <w:color w:val="auto"/>
                <w:sz w:val="24"/>
                <w:szCs w:val="21"/>
                <w:highlight w:val="none"/>
              </w:rPr>
            </w:pPr>
            <w:r>
              <w:rPr>
                <w:rFonts w:hint="eastAsia" w:ascii="宋体" w:hAnsi="宋体" w:cs="宋体"/>
                <w:b/>
                <w:color w:val="auto"/>
                <w:sz w:val="24"/>
                <w:szCs w:val="21"/>
                <w:highlight w:val="none"/>
              </w:rPr>
              <w:t>按招标文件规定填写</w:t>
            </w:r>
          </w:p>
        </w:tc>
        <w:tc>
          <w:tcPr>
            <w:tcW w:w="4200" w:type="dxa"/>
            <w:gridSpan w:val="2"/>
            <w:noWrap w:val="0"/>
            <w:vAlign w:val="center"/>
          </w:tcPr>
          <w:p w14:paraId="11D03D52">
            <w:pPr>
              <w:jc w:val="center"/>
              <w:rPr>
                <w:rFonts w:ascii="宋体" w:cs="宋体"/>
                <w:b/>
                <w:color w:val="auto"/>
                <w:sz w:val="24"/>
                <w:szCs w:val="21"/>
                <w:highlight w:val="none"/>
              </w:rPr>
            </w:pPr>
            <w:r>
              <w:rPr>
                <w:rFonts w:hint="eastAsia" w:ascii="宋体" w:hAnsi="宋体" w:cs="宋体"/>
                <w:b/>
                <w:color w:val="auto"/>
                <w:sz w:val="24"/>
                <w:szCs w:val="21"/>
                <w:highlight w:val="none"/>
              </w:rPr>
              <w:t>按</w:t>
            </w:r>
            <w:r>
              <w:rPr>
                <w:rFonts w:hint="eastAsia" w:ascii="宋体" w:hAnsi="宋体" w:cs="宋体"/>
                <w:b/>
                <w:color w:val="auto"/>
                <w:sz w:val="24"/>
                <w:szCs w:val="21"/>
                <w:highlight w:val="none"/>
                <w:lang w:val="en-US" w:eastAsia="zh-CN"/>
              </w:rPr>
              <w:t>投标人</w:t>
            </w:r>
            <w:r>
              <w:rPr>
                <w:rFonts w:hint="eastAsia" w:ascii="宋体" w:hAnsi="宋体" w:cs="宋体"/>
                <w:b/>
                <w:color w:val="auto"/>
                <w:sz w:val="24"/>
                <w:szCs w:val="21"/>
                <w:highlight w:val="none"/>
              </w:rPr>
              <w:t>所投内容填写</w:t>
            </w:r>
          </w:p>
        </w:tc>
      </w:tr>
      <w:tr w14:paraId="1E40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noWrap w:val="0"/>
            <w:vAlign w:val="center"/>
          </w:tcPr>
          <w:p w14:paraId="7CFFAF3D">
            <w:pPr>
              <w:jc w:val="center"/>
              <w:rPr>
                <w:rFonts w:ascii="宋体" w:cs="宋体"/>
                <w:b/>
                <w:color w:val="auto"/>
                <w:sz w:val="24"/>
                <w:szCs w:val="21"/>
                <w:highlight w:val="none"/>
              </w:rPr>
            </w:pPr>
            <w:r>
              <w:rPr>
                <w:rFonts w:hint="eastAsia" w:ascii="宋体" w:hAnsi="宋体" w:cs="宋体"/>
                <w:b/>
                <w:color w:val="auto"/>
                <w:sz w:val="24"/>
                <w:szCs w:val="21"/>
                <w:highlight w:val="none"/>
              </w:rPr>
              <w:t>序号</w:t>
            </w:r>
          </w:p>
        </w:tc>
        <w:tc>
          <w:tcPr>
            <w:tcW w:w="1794" w:type="dxa"/>
            <w:noWrap w:val="0"/>
            <w:vAlign w:val="center"/>
          </w:tcPr>
          <w:p w14:paraId="55DA780C">
            <w:pPr>
              <w:jc w:val="center"/>
              <w:rPr>
                <w:rFonts w:ascii="宋体" w:cs="宋体"/>
                <w:b/>
                <w:color w:val="auto"/>
                <w:sz w:val="24"/>
                <w:szCs w:val="21"/>
                <w:highlight w:val="none"/>
              </w:rPr>
            </w:pPr>
            <w:r>
              <w:rPr>
                <w:rFonts w:hint="eastAsia" w:ascii="宋体" w:hAnsi="宋体" w:cs="宋体"/>
                <w:b/>
                <w:color w:val="auto"/>
                <w:sz w:val="24"/>
                <w:szCs w:val="21"/>
                <w:highlight w:val="none"/>
              </w:rPr>
              <w:t>内容</w:t>
            </w:r>
          </w:p>
        </w:tc>
        <w:tc>
          <w:tcPr>
            <w:tcW w:w="2196" w:type="dxa"/>
            <w:noWrap w:val="0"/>
            <w:vAlign w:val="center"/>
          </w:tcPr>
          <w:p w14:paraId="35A6FDA4">
            <w:pPr>
              <w:jc w:val="center"/>
              <w:rPr>
                <w:rFonts w:ascii="宋体" w:cs="宋体"/>
                <w:b/>
                <w:color w:val="auto"/>
                <w:sz w:val="24"/>
                <w:szCs w:val="21"/>
                <w:highlight w:val="none"/>
              </w:rPr>
            </w:pPr>
            <w:r>
              <w:rPr>
                <w:rFonts w:hint="eastAsia" w:ascii="宋体" w:hAnsi="宋体" w:cs="宋体"/>
                <w:b/>
                <w:color w:val="auto"/>
                <w:sz w:val="24"/>
                <w:szCs w:val="21"/>
                <w:highlight w:val="none"/>
              </w:rPr>
              <w:t>招标文件要求</w:t>
            </w:r>
          </w:p>
        </w:tc>
        <w:tc>
          <w:tcPr>
            <w:tcW w:w="2222" w:type="dxa"/>
            <w:noWrap w:val="0"/>
            <w:vAlign w:val="center"/>
          </w:tcPr>
          <w:p w14:paraId="6FA88B49">
            <w:pPr>
              <w:jc w:val="center"/>
              <w:rPr>
                <w:rFonts w:ascii="宋体" w:cs="宋体"/>
                <w:b/>
                <w:color w:val="auto"/>
                <w:sz w:val="24"/>
                <w:szCs w:val="21"/>
                <w:highlight w:val="none"/>
              </w:rPr>
            </w:pPr>
            <w:r>
              <w:rPr>
                <w:rFonts w:hint="eastAsia" w:ascii="宋体" w:hAnsi="宋体" w:cs="宋体"/>
                <w:b/>
                <w:color w:val="auto"/>
                <w:sz w:val="24"/>
                <w:szCs w:val="21"/>
                <w:highlight w:val="none"/>
              </w:rPr>
              <w:t>响应承诺</w:t>
            </w:r>
          </w:p>
        </w:tc>
        <w:tc>
          <w:tcPr>
            <w:tcW w:w="1978" w:type="dxa"/>
            <w:noWrap w:val="0"/>
            <w:vAlign w:val="center"/>
          </w:tcPr>
          <w:p w14:paraId="39E15E00">
            <w:pPr>
              <w:jc w:val="center"/>
              <w:rPr>
                <w:rFonts w:ascii="宋体" w:cs="宋体"/>
                <w:b/>
                <w:color w:val="auto"/>
                <w:sz w:val="24"/>
                <w:szCs w:val="21"/>
                <w:highlight w:val="none"/>
              </w:rPr>
            </w:pPr>
            <w:r>
              <w:rPr>
                <w:rFonts w:hint="eastAsia" w:ascii="宋体" w:hAnsi="宋体" w:cs="宋体"/>
                <w:b/>
                <w:color w:val="auto"/>
                <w:sz w:val="24"/>
                <w:szCs w:val="21"/>
                <w:highlight w:val="none"/>
              </w:rPr>
              <w:t>偏离说明</w:t>
            </w:r>
          </w:p>
        </w:tc>
      </w:tr>
      <w:tr w14:paraId="0DFD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14:paraId="0D42EB78">
            <w:pPr>
              <w:jc w:val="center"/>
              <w:rPr>
                <w:rFonts w:ascii="宋体" w:cs="宋体"/>
                <w:color w:val="auto"/>
                <w:sz w:val="24"/>
                <w:szCs w:val="24"/>
                <w:highlight w:val="none"/>
              </w:rPr>
            </w:pPr>
            <w:r>
              <w:rPr>
                <w:rFonts w:ascii="宋体" w:hAnsi="宋体" w:cs="宋体"/>
                <w:color w:val="auto"/>
                <w:sz w:val="24"/>
                <w:szCs w:val="24"/>
                <w:highlight w:val="none"/>
              </w:rPr>
              <w:t>1</w:t>
            </w:r>
          </w:p>
        </w:tc>
        <w:tc>
          <w:tcPr>
            <w:tcW w:w="1794" w:type="dxa"/>
            <w:noWrap w:val="0"/>
            <w:vAlign w:val="center"/>
          </w:tcPr>
          <w:p w14:paraId="274A0DC2">
            <w:pPr>
              <w:jc w:val="center"/>
              <w:rPr>
                <w:rFonts w:ascii="宋体" w:cs="宋体"/>
                <w:color w:val="auto"/>
                <w:sz w:val="24"/>
                <w:szCs w:val="24"/>
                <w:highlight w:val="none"/>
              </w:rPr>
            </w:pPr>
            <w:r>
              <w:rPr>
                <w:rFonts w:hint="eastAsia" w:ascii="宋体" w:hAnsi="宋体"/>
                <w:color w:val="auto"/>
                <w:sz w:val="24"/>
                <w:szCs w:val="28"/>
                <w:highlight w:val="none"/>
              </w:rPr>
              <w:t>技术响应</w:t>
            </w:r>
          </w:p>
        </w:tc>
        <w:tc>
          <w:tcPr>
            <w:tcW w:w="2196" w:type="dxa"/>
            <w:noWrap w:val="0"/>
            <w:vAlign w:val="center"/>
          </w:tcPr>
          <w:p w14:paraId="390A6E43">
            <w:pPr>
              <w:rPr>
                <w:rFonts w:ascii="宋体" w:cs="宋体"/>
                <w:color w:val="auto"/>
                <w:sz w:val="24"/>
                <w:szCs w:val="24"/>
                <w:highlight w:val="none"/>
              </w:rPr>
            </w:pPr>
          </w:p>
        </w:tc>
        <w:tc>
          <w:tcPr>
            <w:tcW w:w="2222" w:type="dxa"/>
            <w:noWrap w:val="0"/>
            <w:vAlign w:val="center"/>
          </w:tcPr>
          <w:p w14:paraId="4A07774B">
            <w:pPr>
              <w:rPr>
                <w:rFonts w:ascii="宋体" w:cs="宋体"/>
                <w:color w:val="auto"/>
                <w:sz w:val="24"/>
                <w:szCs w:val="24"/>
                <w:highlight w:val="none"/>
              </w:rPr>
            </w:pPr>
          </w:p>
        </w:tc>
        <w:tc>
          <w:tcPr>
            <w:tcW w:w="1978" w:type="dxa"/>
            <w:noWrap w:val="0"/>
            <w:vAlign w:val="center"/>
          </w:tcPr>
          <w:p w14:paraId="2894D7A0">
            <w:pPr>
              <w:rPr>
                <w:rFonts w:ascii="宋体" w:cs="宋体"/>
                <w:color w:val="auto"/>
                <w:sz w:val="24"/>
                <w:szCs w:val="24"/>
                <w:highlight w:val="none"/>
              </w:rPr>
            </w:pPr>
          </w:p>
        </w:tc>
      </w:tr>
      <w:tr w14:paraId="09A4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14:paraId="02AAA405">
            <w:pPr>
              <w:jc w:val="center"/>
              <w:rPr>
                <w:rFonts w:ascii="宋体" w:cs="宋体"/>
                <w:color w:val="auto"/>
                <w:sz w:val="24"/>
                <w:szCs w:val="24"/>
                <w:highlight w:val="none"/>
              </w:rPr>
            </w:pPr>
            <w:r>
              <w:rPr>
                <w:rFonts w:ascii="宋体" w:hAnsi="宋体" w:cs="宋体"/>
                <w:color w:val="auto"/>
                <w:sz w:val="24"/>
                <w:szCs w:val="24"/>
                <w:highlight w:val="none"/>
              </w:rPr>
              <w:t>2</w:t>
            </w:r>
          </w:p>
        </w:tc>
        <w:tc>
          <w:tcPr>
            <w:tcW w:w="1794" w:type="dxa"/>
            <w:noWrap w:val="0"/>
            <w:vAlign w:val="center"/>
          </w:tcPr>
          <w:p w14:paraId="4BEA077C">
            <w:pPr>
              <w:jc w:val="center"/>
              <w:rPr>
                <w:rFonts w:ascii="宋体" w:cs="宋体"/>
                <w:color w:val="auto"/>
                <w:sz w:val="24"/>
                <w:szCs w:val="24"/>
                <w:highlight w:val="none"/>
              </w:rPr>
            </w:pPr>
            <w:r>
              <w:rPr>
                <w:rFonts w:hint="eastAsia" w:ascii="宋体" w:hAnsi="宋体"/>
                <w:color w:val="auto"/>
                <w:sz w:val="24"/>
                <w:szCs w:val="28"/>
                <w:highlight w:val="none"/>
              </w:rPr>
              <w:t>付款响应</w:t>
            </w:r>
          </w:p>
        </w:tc>
        <w:tc>
          <w:tcPr>
            <w:tcW w:w="2196" w:type="dxa"/>
            <w:noWrap w:val="0"/>
            <w:vAlign w:val="center"/>
          </w:tcPr>
          <w:p w14:paraId="60E8D9B0">
            <w:pPr>
              <w:rPr>
                <w:rFonts w:ascii="宋体" w:cs="宋体"/>
                <w:color w:val="auto"/>
                <w:sz w:val="24"/>
                <w:szCs w:val="24"/>
                <w:highlight w:val="none"/>
              </w:rPr>
            </w:pPr>
          </w:p>
        </w:tc>
        <w:tc>
          <w:tcPr>
            <w:tcW w:w="2222" w:type="dxa"/>
            <w:noWrap w:val="0"/>
            <w:vAlign w:val="center"/>
          </w:tcPr>
          <w:p w14:paraId="038126D8">
            <w:pPr>
              <w:rPr>
                <w:rFonts w:ascii="宋体" w:cs="宋体"/>
                <w:color w:val="auto"/>
                <w:sz w:val="24"/>
                <w:szCs w:val="24"/>
                <w:highlight w:val="none"/>
              </w:rPr>
            </w:pPr>
          </w:p>
        </w:tc>
        <w:tc>
          <w:tcPr>
            <w:tcW w:w="1978" w:type="dxa"/>
            <w:noWrap w:val="0"/>
            <w:vAlign w:val="center"/>
          </w:tcPr>
          <w:p w14:paraId="0B6982F6">
            <w:pPr>
              <w:rPr>
                <w:rFonts w:ascii="宋体" w:cs="宋体"/>
                <w:color w:val="auto"/>
                <w:sz w:val="24"/>
                <w:szCs w:val="24"/>
                <w:highlight w:val="none"/>
              </w:rPr>
            </w:pPr>
          </w:p>
        </w:tc>
      </w:tr>
      <w:tr w14:paraId="485D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14:paraId="1C60B918">
            <w:pPr>
              <w:jc w:val="center"/>
              <w:rPr>
                <w:rFonts w:ascii="宋体" w:cs="宋体"/>
                <w:color w:val="auto"/>
                <w:sz w:val="24"/>
                <w:szCs w:val="24"/>
                <w:highlight w:val="none"/>
              </w:rPr>
            </w:pPr>
            <w:r>
              <w:rPr>
                <w:rFonts w:ascii="宋体" w:hAnsi="宋体" w:cs="宋体"/>
                <w:color w:val="auto"/>
                <w:sz w:val="24"/>
                <w:szCs w:val="24"/>
                <w:highlight w:val="none"/>
              </w:rPr>
              <w:t>3</w:t>
            </w:r>
          </w:p>
        </w:tc>
        <w:tc>
          <w:tcPr>
            <w:tcW w:w="1794" w:type="dxa"/>
            <w:noWrap w:val="0"/>
            <w:vAlign w:val="center"/>
          </w:tcPr>
          <w:p w14:paraId="060A450C">
            <w:pPr>
              <w:jc w:val="center"/>
              <w:rPr>
                <w:rFonts w:ascii="宋体" w:cs="宋体"/>
                <w:color w:val="auto"/>
                <w:sz w:val="24"/>
                <w:szCs w:val="24"/>
                <w:highlight w:val="none"/>
              </w:rPr>
            </w:pPr>
            <w:r>
              <w:rPr>
                <w:rFonts w:hint="eastAsia" w:ascii="宋体" w:hAnsi="宋体"/>
                <w:color w:val="auto"/>
                <w:sz w:val="24"/>
                <w:szCs w:val="28"/>
                <w:highlight w:val="none"/>
              </w:rPr>
              <w:t>服务期响应</w:t>
            </w:r>
          </w:p>
        </w:tc>
        <w:tc>
          <w:tcPr>
            <w:tcW w:w="2196" w:type="dxa"/>
            <w:noWrap w:val="0"/>
            <w:vAlign w:val="center"/>
          </w:tcPr>
          <w:p w14:paraId="5A1D157B">
            <w:pPr>
              <w:rPr>
                <w:rFonts w:ascii="宋体" w:cs="宋体"/>
                <w:color w:val="auto"/>
                <w:sz w:val="24"/>
                <w:szCs w:val="24"/>
                <w:highlight w:val="none"/>
              </w:rPr>
            </w:pPr>
          </w:p>
        </w:tc>
        <w:tc>
          <w:tcPr>
            <w:tcW w:w="2222" w:type="dxa"/>
            <w:noWrap w:val="0"/>
            <w:vAlign w:val="center"/>
          </w:tcPr>
          <w:p w14:paraId="6B7E3E41">
            <w:pPr>
              <w:rPr>
                <w:rFonts w:ascii="宋体" w:cs="宋体"/>
                <w:color w:val="auto"/>
                <w:sz w:val="24"/>
                <w:szCs w:val="24"/>
                <w:highlight w:val="none"/>
              </w:rPr>
            </w:pPr>
          </w:p>
        </w:tc>
        <w:tc>
          <w:tcPr>
            <w:tcW w:w="1978" w:type="dxa"/>
            <w:noWrap w:val="0"/>
            <w:vAlign w:val="center"/>
          </w:tcPr>
          <w:p w14:paraId="03789137">
            <w:pPr>
              <w:rPr>
                <w:rFonts w:ascii="宋体" w:cs="宋体"/>
                <w:color w:val="auto"/>
                <w:sz w:val="24"/>
                <w:szCs w:val="24"/>
                <w:highlight w:val="none"/>
              </w:rPr>
            </w:pPr>
          </w:p>
        </w:tc>
      </w:tr>
      <w:tr w14:paraId="6BCA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14:paraId="7FCF5060">
            <w:pPr>
              <w:jc w:val="center"/>
              <w:rPr>
                <w:rFonts w:hint="eastAsia" w:ascii="宋体" w:cs="宋体"/>
                <w:color w:val="auto"/>
                <w:sz w:val="24"/>
                <w:szCs w:val="24"/>
                <w:highlight w:val="none"/>
              </w:rPr>
            </w:pPr>
            <w:r>
              <w:rPr>
                <w:rFonts w:hint="eastAsia" w:ascii="宋体" w:cs="宋体"/>
                <w:color w:val="auto"/>
                <w:sz w:val="24"/>
                <w:szCs w:val="24"/>
                <w:highlight w:val="none"/>
              </w:rPr>
              <w:t>4</w:t>
            </w:r>
          </w:p>
        </w:tc>
        <w:tc>
          <w:tcPr>
            <w:tcW w:w="1794" w:type="dxa"/>
            <w:noWrap w:val="0"/>
            <w:vAlign w:val="center"/>
          </w:tcPr>
          <w:p w14:paraId="4AC7E0BF">
            <w:pPr>
              <w:jc w:val="center"/>
              <w:rPr>
                <w:rFonts w:ascii="宋体" w:cs="宋体"/>
                <w:color w:val="auto"/>
                <w:sz w:val="24"/>
                <w:szCs w:val="24"/>
                <w:highlight w:val="none"/>
              </w:rPr>
            </w:pPr>
            <w:r>
              <w:rPr>
                <w:rFonts w:hint="eastAsia" w:ascii="宋体" w:hAnsi="宋体" w:cs="宋体"/>
                <w:color w:val="auto"/>
                <w:sz w:val="24"/>
                <w:szCs w:val="24"/>
                <w:highlight w:val="none"/>
              </w:rPr>
              <w:t>其他</w:t>
            </w:r>
          </w:p>
        </w:tc>
        <w:tc>
          <w:tcPr>
            <w:tcW w:w="2196" w:type="dxa"/>
            <w:noWrap w:val="0"/>
            <w:vAlign w:val="center"/>
          </w:tcPr>
          <w:p w14:paraId="55F5F77E">
            <w:pPr>
              <w:rPr>
                <w:rFonts w:ascii="宋体" w:cs="宋体"/>
                <w:color w:val="auto"/>
                <w:sz w:val="24"/>
                <w:szCs w:val="24"/>
                <w:highlight w:val="none"/>
              </w:rPr>
            </w:pPr>
          </w:p>
        </w:tc>
        <w:tc>
          <w:tcPr>
            <w:tcW w:w="2222" w:type="dxa"/>
            <w:noWrap w:val="0"/>
            <w:vAlign w:val="center"/>
          </w:tcPr>
          <w:p w14:paraId="69F2D17A">
            <w:pPr>
              <w:rPr>
                <w:rFonts w:ascii="宋体" w:cs="宋体"/>
                <w:color w:val="auto"/>
                <w:sz w:val="24"/>
                <w:szCs w:val="24"/>
                <w:highlight w:val="none"/>
              </w:rPr>
            </w:pPr>
          </w:p>
        </w:tc>
        <w:tc>
          <w:tcPr>
            <w:tcW w:w="1978" w:type="dxa"/>
            <w:noWrap w:val="0"/>
            <w:vAlign w:val="center"/>
          </w:tcPr>
          <w:p w14:paraId="09A21EDB">
            <w:pPr>
              <w:rPr>
                <w:rFonts w:ascii="宋体" w:cs="宋体"/>
                <w:color w:val="auto"/>
                <w:sz w:val="24"/>
                <w:szCs w:val="24"/>
                <w:highlight w:val="none"/>
              </w:rPr>
            </w:pPr>
          </w:p>
        </w:tc>
      </w:tr>
    </w:tbl>
    <w:p w14:paraId="1DFAB22D">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396EA058">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r>
        <w:rPr>
          <w:rFonts w:hint="eastAsia"/>
          <w:bCs/>
          <w:color w:val="auto"/>
          <w:sz w:val="24"/>
          <w:szCs w:val="24"/>
          <w:highlight w:val="none"/>
          <w:lang w:eastAsia="zh-CN"/>
        </w:rPr>
        <w:t>投标人名称（</w:t>
      </w:r>
      <w:r>
        <w:rPr>
          <w:rFonts w:hint="eastAsia"/>
          <w:bCs/>
          <w:color w:val="auto"/>
          <w:sz w:val="24"/>
          <w:szCs w:val="24"/>
          <w:highlight w:val="none"/>
          <w:lang w:val="en-US" w:eastAsia="zh-CN"/>
        </w:rPr>
        <w:t>盖章</w:t>
      </w:r>
      <w:r>
        <w:rPr>
          <w:rFonts w:hint="eastAsia"/>
          <w:bCs/>
          <w:color w:val="auto"/>
          <w:sz w:val="24"/>
          <w:szCs w:val="24"/>
          <w:highlight w:val="none"/>
          <w:lang w:eastAsia="zh-CN"/>
        </w:rPr>
        <w:t>）</w:t>
      </w:r>
      <w:r>
        <w:rPr>
          <w:rFonts w:hint="eastAsia"/>
          <w:bCs/>
          <w:color w:val="auto"/>
          <w:sz w:val="24"/>
          <w:szCs w:val="24"/>
          <w:highlight w:val="none"/>
        </w:rPr>
        <w:t>：</w:t>
      </w:r>
    </w:p>
    <w:p w14:paraId="748A1303">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法定代表人或委托代理人（签字或盖章）：</w:t>
      </w:r>
    </w:p>
    <w:p w14:paraId="54389FDB">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r>
        <w:rPr>
          <w:rFonts w:hint="eastAsia"/>
          <w:bCs/>
          <w:color w:val="auto"/>
          <w:sz w:val="24"/>
          <w:szCs w:val="24"/>
          <w:highlight w:val="none"/>
        </w:rPr>
        <w:t>日期：</w:t>
      </w:r>
    </w:p>
    <w:p w14:paraId="62C09693">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665613CA">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70EBC359">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1E3107E0">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343650B8">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42ECD662">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41757C3E">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4B339325">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5B173505">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1B436403">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5B14D30B">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2AB2E49F">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0981BAAB">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11DDDA7A">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47F7D2AA">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2F03CFB0">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297E5CCC">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7078F4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color w:val="auto"/>
          <w:sz w:val="24"/>
          <w:szCs w:val="28"/>
          <w:highlight w:val="none"/>
        </w:rPr>
      </w:pPr>
      <w:r>
        <w:rPr>
          <w:rFonts w:hint="eastAsia" w:ascii="宋体" w:hAnsi="宋体"/>
          <w:b/>
          <w:bCs/>
          <w:color w:val="auto"/>
          <w:sz w:val="24"/>
          <w:szCs w:val="28"/>
          <w:highlight w:val="none"/>
        </w:rPr>
        <w:t>备注：</w:t>
      </w:r>
    </w:p>
    <w:p w14:paraId="0B9BBA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8"/>
          <w:highlight w:val="none"/>
        </w:rPr>
      </w:pPr>
      <w:r>
        <w:rPr>
          <w:rFonts w:hint="eastAsia" w:ascii="宋体" w:hAnsi="宋体"/>
          <w:b w:val="0"/>
          <w:bCs w:val="0"/>
          <w:color w:val="auto"/>
          <w:sz w:val="24"/>
          <w:szCs w:val="28"/>
          <w:highlight w:val="none"/>
        </w:rPr>
        <w:t>技术响应（招标文件要求的所有实质性响应技术条款无重大偏离）、付款响应、服务期响应等须与招标文件要求无重大偏离，否则可能导致投标无效。</w:t>
      </w:r>
    </w:p>
    <w:p w14:paraId="4ED6A67A">
      <w:pPr>
        <w:pStyle w:val="3"/>
        <w:keepNext/>
        <w:keepLines/>
        <w:pageBreakBefore w:val="0"/>
        <w:widowControl w:val="0"/>
        <w:numPr>
          <w:ilvl w:val="0"/>
          <w:numId w:val="0"/>
        </w:numPr>
        <w:kinsoku/>
        <w:wordWrap/>
        <w:overflowPunct/>
        <w:topLinePunct w:val="0"/>
        <w:autoSpaceDE/>
        <w:autoSpaceDN/>
        <w:bidi w:val="0"/>
        <w:adjustRightInd/>
        <w:snapToGrid/>
        <w:spacing w:before="0" w:after="120" w:afterLines="50" w:line="360" w:lineRule="auto"/>
        <w:jc w:val="center"/>
        <w:textAlignment w:val="auto"/>
        <w:rPr>
          <w:rFonts w:hint="eastAsia" w:ascii="宋体" w:hAnsi="宋体" w:eastAsia="宋体" w:cs="宋体"/>
          <w:b/>
          <w:bCs/>
          <w:color w:val="auto"/>
          <w:sz w:val="24"/>
          <w:szCs w:val="24"/>
          <w:highlight w:val="none"/>
          <w:lang w:val="en-US" w:eastAsia="zh-CN"/>
        </w:rPr>
      </w:pPr>
      <w:bookmarkStart w:id="199" w:name="_Toc3046"/>
      <w:bookmarkStart w:id="200" w:name="_Toc11341"/>
      <w:r>
        <w:rPr>
          <w:rFonts w:hint="eastAsia" w:ascii="宋体" w:hAnsi="宋体" w:eastAsia="宋体" w:cs="宋体"/>
          <w:b/>
          <w:bCs/>
          <w:color w:val="auto"/>
          <w:sz w:val="24"/>
          <w:szCs w:val="24"/>
          <w:highlight w:val="none"/>
          <w:lang w:val="en-US" w:eastAsia="zh-CN"/>
        </w:rPr>
        <w:t>六、技术标部分</w:t>
      </w:r>
      <w:bookmarkEnd w:id="199"/>
      <w:bookmarkEnd w:id="200"/>
    </w:p>
    <w:p w14:paraId="04F17289">
      <w:pPr>
        <w:tabs>
          <w:tab w:val="left" w:pos="4620"/>
        </w:tabs>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（一）提供符合</w:t>
      </w:r>
      <w:r>
        <w:rPr>
          <w:rFonts w:hint="eastAsia" w:ascii="宋体" w:hAnsi="宋体"/>
          <w:color w:val="auto"/>
          <w:sz w:val="24"/>
          <w:highlight w:val="none"/>
          <w:lang w:val="en-US" w:eastAsia="zh-CN"/>
        </w:rPr>
        <w:t>招标</w:t>
      </w:r>
      <w:r>
        <w:rPr>
          <w:rFonts w:hint="eastAsia" w:ascii="宋体" w:hAnsi="宋体"/>
          <w:color w:val="auto"/>
          <w:sz w:val="24"/>
          <w:highlight w:val="none"/>
        </w:rPr>
        <w:t>需求及评标办法规定的相关证明文件。</w:t>
      </w:r>
    </w:p>
    <w:p w14:paraId="2A41EA40">
      <w:pPr>
        <w:pStyle w:val="21"/>
        <w:snapToGrid w:val="0"/>
        <w:spacing w:line="560" w:lineRule="exact"/>
        <w:ind w:firstLine="482"/>
        <w:jc w:val="left"/>
        <w:rPr>
          <w:color w:val="auto"/>
          <w:highlight w:val="none"/>
        </w:rPr>
      </w:pPr>
      <w:r>
        <w:rPr>
          <w:rFonts w:hint="eastAsia" w:hAnsi="宋体"/>
          <w:color w:val="auto"/>
          <w:sz w:val="24"/>
          <w:highlight w:val="none"/>
        </w:rPr>
        <w:t>（二）请各</w:t>
      </w:r>
      <w:r>
        <w:rPr>
          <w:rFonts w:hint="eastAsia" w:hAnsi="宋体"/>
          <w:color w:val="auto"/>
          <w:sz w:val="24"/>
          <w:highlight w:val="none"/>
          <w:lang w:eastAsia="zh-CN"/>
        </w:rPr>
        <w:t>投标人</w:t>
      </w:r>
      <w:r>
        <w:rPr>
          <w:rFonts w:hint="eastAsia" w:hAnsi="宋体"/>
          <w:color w:val="auto"/>
          <w:sz w:val="24"/>
          <w:highlight w:val="none"/>
        </w:rPr>
        <w:t>在制作投标文件时，在此栏内按</w:t>
      </w:r>
      <w:r>
        <w:rPr>
          <w:rFonts w:hint="eastAsia" w:hAnsi="宋体"/>
          <w:color w:val="auto"/>
          <w:sz w:val="24"/>
          <w:highlight w:val="none"/>
          <w:lang w:val="en-US" w:eastAsia="zh-CN"/>
        </w:rPr>
        <w:t>招标</w:t>
      </w:r>
      <w:r>
        <w:rPr>
          <w:rFonts w:hint="eastAsia" w:hAnsi="宋体"/>
          <w:color w:val="auto"/>
          <w:sz w:val="24"/>
          <w:highlight w:val="none"/>
        </w:rPr>
        <w:t>需求及技术标评分要求，将所有涉及评分需要的证明材料制作</w:t>
      </w:r>
      <w:r>
        <w:rPr>
          <w:rFonts w:hint="eastAsia" w:hAnsi="宋体"/>
          <w:color w:val="auto"/>
          <w:sz w:val="24"/>
          <w:highlight w:val="none"/>
          <w:lang w:val="en-US" w:eastAsia="zh-CN"/>
        </w:rPr>
        <w:t>在投标文件中</w:t>
      </w:r>
      <w:r>
        <w:rPr>
          <w:rFonts w:hint="eastAsia" w:hAnsi="宋体"/>
          <w:color w:val="auto"/>
          <w:sz w:val="24"/>
          <w:highlight w:val="none"/>
        </w:rPr>
        <w:t>。</w:t>
      </w:r>
    </w:p>
    <w:p w14:paraId="77509537">
      <w:pPr>
        <w:spacing w:line="560" w:lineRule="exact"/>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（三）因漏</w:t>
      </w:r>
      <w:r>
        <w:rPr>
          <w:rFonts w:hint="eastAsia" w:ascii="宋体" w:hAnsi="宋体"/>
          <w:color w:val="auto"/>
          <w:sz w:val="24"/>
          <w:szCs w:val="22"/>
          <w:highlight w:val="none"/>
          <w:lang w:val="en-US" w:eastAsia="zh-CN"/>
        </w:rPr>
        <w:t>放</w:t>
      </w:r>
      <w:r>
        <w:rPr>
          <w:rFonts w:hint="eastAsia" w:ascii="宋体" w:hAnsi="宋体"/>
          <w:color w:val="auto"/>
          <w:sz w:val="24"/>
          <w:szCs w:val="22"/>
          <w:highlight w:val="none"/>
        </w:rPr>
        <w:t>或误</w:t>
      </w:r>
      <w:r>
        <w:rPr>
          <w:rFonts w:hint="eastAsia" w:ascii="宋体" w:hAnsi="宋体"/>
          <w:color w:val="auto"/>
          <w:sz w:val="24"/>
          <w:szCs w:val="22"/>
          <w:highlight w:val="none"/>
          <w:lang w:val="en-US" w:eastAsia="zh-CN"/>
        </w:rPr>
        <w:t>放</w:t>
      </w:r>
      <w:r>
        <w:rPr>
          <w:rFonts w:hint="eastAsia" w:ascii="宋体" w:hAnsi="宋体"/>
          <w:color w:val="auto"/>
          <w:sz w:val="24"/>
          <w:szCs w:val="22"/>
          <w:highlight w:val="none"/>
        </w:rPr>
        <w:t>等造成的一切后果，由</w:t>
      </w:r>
      <w:r>
        <w:rPr>
          <w:rFonts w:hint="eastAsia" w:ascii="宋体" w:hAnsi="宋体"/>
          <w:color w:val="auto"/>
          <w:sz w:val="24"/>
          <w:szCs w:val="22"/>
          <w:highlight w:val="none"/>
          <w:lang w:eastAsia="zh-CN"/>
        </w:rPr>
        <w:t>投标人</w:t>
      </w:r>
      <w:r>
        <w:rPr>
          <w:rFonts w:hint="eastAsia" w:ascii="宋体" w:hAnsi="宋体"/>
          <w:color w:val="auto"/>
          <w:sz w:val="24"/>
          <w:szCs w:val="22"/>
          <w:highlight w:val="none"/>
        </w:rPr>
        <w:t>自行承担。</w:t>
      </w:r>
    </w:p>
    <w:p w14:paraId="53B277FF">
      <w:pPr>
        <w:pStyle w:val="70"/>
        <w:rPr>
          <w:rFonts w:hint="eastAsia" w:ascii="宋体" w:hAnsi="宋体"/>
          <w:color w:val="auto"/>
          <w:sz w:val="24"/>
          <w:szCs w:val="22"/>
          <w:highlight w:val="none"/>
        </w:rPr>
      </w:pPr>
    </w:p>
    <w:p w14:paraId="65CBA593">
      <w:pPr>
        <w:pStyle w:val="70"/>
        <w:rPr>
          <w:rFonts w:hint="eastAsia" w:ascii="宋体" w:hAnsi="宋体"/>
          <w:color w:val="auto"/>
          <w:sz w:val="24"/>
          <w:szCs w:val="22"/>
          <w:highlight w:val="none"/>
        </w:rPr>
      </w:pPr>
    </w:p>
    <w:p w14:paraId="10C737BB">
      <w:pPr>
        <w:pStyle w:val="70"/>
        <w:rPr>
          <w:rFonts w:hint="eastAsia" w:ascii="宋体" w:hAnsi="宋体"/>
          <w:color w:val="auto"/>
          <w:sz w:val="24"/>
          <w:szCs w:val="22"/>
          <w:highlight w:val="none"/>
        </w:rPr>
      </w:pPr>
    </w:p>
    <w:p w14:paraId="4D0D33A4">
      <w:pPr>
        <w:pStyle w:val="70"/>
        <w:rPr>
          <w:rFonts w:hint="eastAsia" w:ascii="宋体" w:hAnsi="宋体"/>
          <w:color w:val="auto"/>
          <w:sz w:val="24"/>
          <w:szCs w:val="22"/>
          <w:highlight w:val="none"/>
        </w:rPr>
      </w:pPr>
    </w:p>
    <w:p w14:paraId="5DCAA004">
      <w:pPr>
        <w:pStyle w:val="70"/>
        <w:rPr>
          <w:rFonts w:hint="eastAsia" w:ascii="宋体" w:hAnsi="宋体"/>
          <w:color w:val="auto"/>
          <w:sz w:val="24"/>
          <w:szCs w:val="22"/>
          <w:highlight w:val="none"/>
        </w:rPr>
      </w:pPr>
    </w:p>
    <w:p w14:paraId="032EBFFC">
      <w:pPr>
        <w:pStyle w:val="70"/>
        <w:rPr>
          <w:rFonts w:hint="eastAsia" w:ascii="宋体" w:hAnsi="宋体"/>
          <w:color w:val="auto"/>
          <w:sz w:val="24"/>
          <w:szCs w:val="22"/>
          <w:highlight w:val="none"/>
        </w:rPr>
      </w:pPr>
    </w:p>
    <w:p w14:paraId="7158B001">
      <w:pPr>
        <w:pStyle w:val="70"/>
        <w:rPr>
          <w:rFonts w:hint="eastAsia" w:ascii="宋体" w:hAnsi="宋体"/>
          <w:color w:val="auto"/>
          <w:sz w:val="24"/>
          <w:szCs w:val="22"/>
          <w:highlight w:val="none"/>
        </w:rPr>
      </w:pPr>
    </w:p>
    <w:p w14:paraId="5BF197C2">
      <w:pPr>
        <w:pStyle w:val="70"/>
        <w:rPr>
          <w:rFonts w:hint="eastAsia" w:ascii="宋体" w:hAnsi="宋体"/>
          <w:color w:val="auto"/>
          <w:sz w:val="24"/>
          <w:szCs w:val="22"/>
          <w:highlight w:val="none"/>
        </w:rPr>
      </w:pPr>
    </w:p>
    <w:p w14:paraId="0204D313">
      <w:pPr>
        <w:pStyle w:val="70"/>
        <w:rPr>
          <w:rFonts w:hint="eastAsia" w:ascii="宋体" w:hAnsi="宋体"/>
          <w:color w:val="auto"/>
          <w:sz w:val="24"/>
          <w:szCs w:val="22"/>
          <w:highlight w:val="none"/>
        </w:rPr>
      </w:pPr>
    </w:p>
    <w:p w14:paraId="666003A3">
      <w:pPr>
        <w:pStyle w:val="70"/>
        <w:rPr>
          <w:rFonts w:hint="eastAsia" w:ascii="宋体" w:hAnsi="宋体"/>
          <w:color w:val="auto"/>
          <w:sz w:val="24"/>
          <w:szCs w:val="22"/>
          <w:highlight w:val="none"/>
        </w:rPr>
      </w:pPr>
    </w:p>
    <w:p w14:paraId="6C831DEC">
      <w:pPr>
        <w:pStyle w:val="70"/>
        <w:rPr>
          <w:rFonts w:hint="eastAsia" w:ascii="宋体" w:hAnsi="宋体"/>
          <w:color w:val="auto"/>
          <w:sz w:val="24"/>
          <w:szCs w:val="22"/>
          <w:highlight w:val="none"/>
        </w:rPr>
      </w:pPr>
    </w:p>
    <w:p w14:paraId="7F9DC313">
      <w:pPr>
        <w:pStyle w:val="70"/>
        <w:rPr>
          <w:rFonts w:hint="eastAsia" w:ascii="宋体" w:hAnsi="宋体"/>
          <w:color w:val="auto"/>
          <w:sz w:val="24"/>
          <w:szCs w:val="22"/>
          <w:highlight w:val="none"/>
        </w:rPr>
      </w:pPr>
    </w:p>
    <w:p w14:paraId="1B2BF95F">
      <w:pPr>
        <w:pStyle w:val="70"/>
        <w:rPr>
          <w:rFonts w:hint="eastAsia" w:ascii="宋体" w:hAnsi="宋体"/>
          <w:color w:val="auto"/>
          <w:sz w:val="24"/>
          <w:szCs w:val="22"/>
          <w:highlight w:val="none"/>
        </w:rPr>
      </w:pPr>
    </w:p>
    <w:p w14:paraId="1BC6F264">
      <w:pPr>
        <w:pStyle w:val="70"/>
        <w:rPr>
          <w:rFonts w:hint="eastAsia" w:ascii="宋体" w:hAnsi="宋体"/>
          <w:color w:val="auto"/>
          <w:sz w:val="24"/>
          <w:szCs w:val="22"/>
          <w:highlight w:val="none"/>
        </w:rPr>
      </w:pPr>
    </w:p>
    <w:p w14:paraId="705750F4">
      <w:pPr>
        <w:pStyle w:val="70"/>
        <w:rPr>
          <w:rFonts w:hint="eastAsia" w:ascii="宋体" w:hAnsi="宋体"/>
          <w:color w:val="auto"/>
          <w:sz w:val="24"/>
          <w:szCs w:val="22"/>
          <w:highlight w:val="none"/>
        </w:rPr>
      </w:pPr>
    </w:p>
    <w:p w14:paraId="5B315FA0">
      <w:pPr>
        <w:pStyle w:val="70"/>
        <w:rPr>
          <w:rFonts w:hint="eastAsia" w:ascii="宋体" w:hAnsi="宋体"/>
          <w:color w:val="auto"/>
          <w:sz w:val="24"/>
          <w:szCs w:val="22"/>
          <w:highlight w:val="none"/>
        </w:rPr>
      </w:pPr>
    </w:p>
    <w:p w14:paraId="45A933F8">
      <w:pPr>
        <w:pStyle w:val="70"/>
        <w:rPr>
          <w:rFonts w:hint="eastAsia" w:ascii="宋体" w:hAnsi="宋体"/>
          <w:color w:val="auto"/>
          <w:sz w:val="24"/>
          <w:szCs w:val="22"/>
          <w:highlight w:val="none"/>
        </w:rPr>
      </w:pPr>
    </w:p>
    <w:p w14:paraId="168EF241">
      <w:pPr>
        <w:pStyle w:val="70"/>
        <w:rPr>
          <w:rFonts w:hint="eastAsia" w:ascii="宋体" w:hAnsi="宋体"/>
          <w:color w:val="auto"/>
          <w:sz w:val="24"/>
          <w:szCs w:val="22"/>
          <w:highlight w:val="none"/>
        </w:rPr>
      </w:pPr>
    </w:p>
    <w:p w14:paraId="667C92A4">
      <w:pPr>
        <w:pStyle w:val="70"/>
        <w:rPr>
          <w:rFonts w:hint="eastAsia" w:ascii="宋体" w:hAnsi="宋体"/>
          <w:color w:val="auto"/>
          <w:sz w:val="24"/>
          <w:szCs w:val="22"/>
          <w:highlight w:val="none"/>
        </w:rPr>
      </w:pPr>
    </w:p>
    <w:p w14:paraId="6816DDF4">
      <w:pPr>
        <w:pStyle w:val="70"/>
        <w:rPr>
          <w:rFonts w:hint="eastAsia" w:ascii="宋体" w:hAnsi="宋体"/>
          <w:color w:val="auto"/>
          <w:sz w:val="24"/>
          <w:szCs w:val="22"/>
          <w:highlight w:val="none"/>
        </w:rPr>
      </w:pPr>
    </w:p>
    <w:p w14:paraId="0BAB73E1">
      <w:pPr>
        <w:pStyle w:val="70"/>
        <w:rPr>
          <w:rFonts w:hint="eastAsia" w:ascii="宋体" w:hAnsi="宋体"/>
          <w:color w:val="auto"/>
          <w:sz w:val="24"/>
          <w:szCs w:val="22"/>
          <w:highlight w:val="none"/>
        </w:rPr>
      </w:pPr>
    </w:p>
    <w:p w14:paraId="40236810">
      <w:pPr>
        <w:pStyle w:val="70"/>
        <w:rPr>
          <w:rFonts w:hint="eastAsia" w:ascii="宋体" w:hAnsi="宋体"/>
          <w:color w:val="auto"/>
          <w:sz w:val="24"/>
          <w:szCs w:val="22"/>
          <w:highlight w:val="none"/>
        </w:rPr>
      </w:pPr>
    </w:p>
    <w:p w14:paraId="52C2018D">
      <w:pPr>
        <w:pStyle w:val="70"/>
        <w:rPr>
          <w:rFonts w:hint="eastAsia" w:ascii="宋体" w:hAnsi="宋体"/>
          <w:color w:val="auto"/>
          <w:sz w:val="24"/>
          <w:szCs w:val="22"/>
          <w:highlight w:val="none"/>
        </w:rPr>
      </w:pPr>
    </w:p>
    <w:p w14:paraId="6CE487C0">
      <w:pPr>
        <w:pStyle w:val="70"/>
        <w:rPr>
          <w:rFonts w:hint="eastAsia" w:ascii="宋体" w:hAnsi="宋体"/>
          <w:color w:val="auto"/>
          <w:sz w:val="24"/>
          <w:szCs w:val="22"/>
          <w:highlight w:val="none"/>
        </w:rPr>
      </w:pPr>
    </w:p>
    <w:p w14:paraId="1C5A5334">
      <w:pPr>
        <w:pStyle w:val="70"/>
        <w:rPr>
          <w:rFonts w:hint="eastAsia" w:ascii="宋体" w:hAnsi="宋体"/>
          <w:color w:val="auto"/>
          <w:sz w:val="24"/>
          <w:szCs w:val="22"/>
          <w:highlight w:val="none"/>
        </w:rPr>
      </w:pPr>
    </w:p>
    <w:p w14:paraId="5435AF20">
      <w:pPr>
        <w:pStyle w:val="70"/>
        <w:rPr>
          <w:rFonts w:hint="eastAsia" w:ascii="宋体" w:hAnsi="宋体"/>
          <w:color w:val="auto"/>
          <w:sz w:val="24"/>
          <w:szCs w:val="22"/>
          <w:highlight w:val="none"/>
        </w:rPr>
      </w:pPr>
    </w:p>
    <w:p w14:paraId="63E1FB9D">
      <w:pPr>
        <w:pStyle w:val="70"/>
        <w:rPr>
          <w:rFonts w:hint="eastAsia" w:ascii="宋体" w:hAnsi="宋体"/>
          <w:color w:val="auto"/>
          <w:sz w:val="24"/>
          <w:szCs w:val="22"/>
          <w:highlight w:val="none"/>
        </w:rPr>
      </w:pPr>
    </w:p>
    <w:p w14:paraId="0392DC19">
      <w:pPr>
        <w:pStyle w:val="70"/>
        <w:rPr>
          <w:rFonts w:hint="eastAsia" w:ascii="宋体" w:hAnsi="宋体"/>
          <w:color w:val="auto"/>
          <w:sz w:val="24"/>
          <w:szCs w:val="22"/>
          <w:highlight w:val="none"/>
        </w:rPr>
      </w:pPr>
    </w:p>
    <w:p w14:paraId="60D3EBFB">
      <w:pPr>
        <w:pStyle w:val="70"/>
        <w:rPr>
          <w:rFonts w:hint="eastAsia" w:ascii="宋体" w:hAnsi="宋体"/>
          <w:color w:val="auto"/>
          <w:sz w:val="24"/>
          <w:szCs w:val="22"/>
          <w:highlight w:val="none"/>
        </w:rPr>
      </w:pPr>
    </w:p>
    <w:p w14:paraId="4A0B23F2">
      <w:pPr>
        <w:pStyle w:val="70"/>
        <w:rPr>
          <w:rFonts w:hint="eastAsia" w:ascii="宋体" w:hAnsi="宋体"/>
          <w:color w:val="auto"/>
          <w:sz w:val="24"/>
          <w:szCs w:val="22"/>
          <w:highlight w:val="none"/>
        </w:rPr>
      </w:pPr>
    </w:p>
    <w:p w14:paraId="185B4B55">
      <w:pPr>
        <w:pStyle w:val="70"/>
        <w:rPr>
          <w:rFonts w:hint="eastAsia" w:ascii="宋体" w:hAnsi="宋体"/>
          <w:color w:val="auto"/>
          <w:sz w:val="24"/>
          <w:szCs w:val="22"/>
          <w:highlight w:val="none"/>
        </w:rPr>
      </w:pPr>
    </w:p>
    <w:p w14:paraId="49782724">
      <w:pPr>
        <w:pStyle w:val="70"/>
        <w:rPr>
          <w:rFonts w:hint="eastAsia" w:ascii="宋体" w:hAnsi="宋体"/>
          <w:color w:val="auto"/>
          <w:sz w:val="24"/>
          <w:szCs w:val="22"/>
          <w:highlight w:val="none"/>
        </w:rPr>
      </w:pPr>
    </w:p>
    <w:p w14:paraId="26DE9604">
      <w:pPr>
        <w:pStyle w:val="70"/>
        <w:rPr>
          <w:rFonts w:hint="eastAsia" w:ascii="宋体" w:hAnsi="宋体"/>
          <w:color w:val="auto"/>
          <w:sz w:val="24"/>
          <w:szCs w:val="22"/>
          <w:highlight w:val="none"/>
        </w:rPr>
      </w:pPr>
    </w:p>
    <w:p w14:paraId="402CDACB">
      <w:pPr>
        <w:pStyle w:val="70"/>
        <w:rPr>
          <w:rFonts w:hint="eastAsia" w:ascii="宋体" w:hAnsi="宋体"/>
          <w:color w:val="auto"/>
          <w:sz w:val="24"/>
          <w:szCs w:val="22"/>
          <w:highlight w:val="none"/>
        </w:rPr>
      </w:pPr>
    </w:p>
    <w:p w14:paraId="0D6A76ED">
      <w:pPr>
        <w:pStyle w:val="70"/>
        <w:rPr>
          <w:rFonts w:hint="eastAsia" w:ascii="宋体" w:hAnsi="宋体"/>
          <w:color w:val="auto"/>
          <w:sz w:val="24"/>
          <w:szCs w:val="22"/>
          <w:highlight w:val="none"/>
        </w:rPr>
      </w:pPr>
    </w:p>
    <w:p w14:paraId="5686FD03">
      <w:pPr>
        <w:pStyle w:val="3"/>
        <w:keepNext/>
        <w:keepLines/>
        <w:pageBreakBefore w:val="0"/>
        <w:widowControl w:val="0"/>
        <w:numPr>
          <w:ilvl w:val="0"/>
          <w:numId w:val="0"/>
        </w:numPr>
        <w:kinsoku/>
        <w:wordWrap/>
        <w:overflowPunct/>
        <w:topLinePunct w:val="0"/>
        <w:autoSpaceDE/>
        <w:autoSpaceDN/>
        <w:bidi w:val="0"/>
        <w:adjustRightInd/>
        <w:snapToGrid/>
        <w:spacing w:before="0" w:after="120" w:afterLines="50" w:line="360" w:lineRule="auto"/>
        <w:jc w:val="center"/>
        <w:textAlignment w:val="auto"/>
        <w:rPr>
          <w:rFonts w:hint="eastAsia" w:ascii="宋体" w:hAnsi="宋体" w:eastAsia="宋体" w:cs="宋体"/>
          <w:b/>
          <w:bCs/>
          <w:color w:val="auto"/>
          <w:sz w:val="24"/>
          <w:szCs w:val="24"/>
          <w:highlight w:val="none"/>
          <w:lang w:val="en-US" w:eastAsia="zh-CN"/>
        </w:rPr>
      </w:pPr>
      <w:bookmarkStart w:id="201" w:name="_Toc1043"/>
      <w:bookmarkStart w:id="202" w:name="_Toc11764"/>
      <w:r>
        <w:rPr>
          <w:rFonts w:hint="eastAsia" w:ascii="宋体" w:hAnsi="宋体" w:eastAsia="宋体" w:cs="宋体"/>
          <w:b/>
          <w:bCs/>
          <w:color w:val="auto"/>
          <w:sz w:val="24"/>
          <w:szCs w:val="24"/>
          <w:highlight w:val="none"/>
          <w:lang w:val="en-US" w:eastAsia="zh-CN"/>
        </w:rPr>
        <w:t>七、投标函</w:t>
      </w:r>
      <w:bookmarkEnd w:id="201"/>
      <w:bookmarkEnd w:id="202"/>
    </w:p>
    <w:p w14:paraId="30EB1555">
      <w:pPr>
        <w:pStyle w:val="23"/>
        <w:spacing w:line="360" w:lineRule="auto"/>
        <w:rPr>
          <w:rFonts w:ascii="宋体" w:hAnsi="宋体"/>
          <w:b w:val="0"/>
          <w:bCs/>
          <w:color w:val="auto"/>
          <w:sz w:val="24"/>
          <w:szCs w:val="24"/>
          <w:highlight w:val="none"/>
        </w:rPr>
      </w:pPr>
      <w:r>
        <w:rPr>
          <w:rFonts w:hint="eastAsia" w:ascii="宋体" w:hAnsi="宋体"/>
          <w:color w:val="auto"/>
          <w:sz w:val="24"/>
          <w:szCs w:val="24"/>
          <w:highlight w:val="none"/>
        </w:rPr>
        <w:t>致：</w:t>
      </w:r>
      <w:r>
        <w:rPr>
          <w:rFonts w:hint="eastAsia" w:ascii="宋体" w:hAnsi="宋体"/>
          <w:b w:val="0"/>
          <w:bCs/>
          <w:color w:val="auto"/>
          <w:sz w:val="24"/>
          <w:szCs w:val="24"/>
          <w:highlight w:val="none"/>
        </w:rPr>
        <w:t>___________</w:t>
      </w:r>
    </w:p>
    <w:p w14:paraId="10AB0F64">
      <w:pPr>
        <w:spacing w:line="360" w:lineRule="auto"/>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根据贵方“</w:t>
      </w:r>
      <w:r>
        <w:rPr>
          <w:rFonts w:hint="eastAsia" w:ascii="宋体" w:hAnsi="宋体"/>
          <w:bCs/>
          <w:color w:val="auto"/>
          <w:sz w:val="24"/>
          <w:szCs w:val="24"/>
          <w:highlight w:val="none"/>
          <w:u w:val="single"/>
        </w:rPr>
        <w:t xml:space="preserve"> </w:t>
      </w:r>
      <w:r>
        <w:rPr>
          <w:rFonts w:ascii="宋体" w:hAnsi="宋体"/>
          <w:bCs/>
          <w:color w:val="auto"/>
          <w:sz w:val="24"/>
          <w:szCs w:val="24"/>
          <w:highlight w:val="none"/>
          <w:u w:val="single"/>
        </w:rPr>
        <w:t>某项目</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”的第</w:t>
      </w:r>
      <w:r>
        <w:rPr>
          <w:rFonts w:hint="eastAsia" w:ascii="宋体" w:hAnsi="宋体"/>
          <w:bCs/>
          <w:color w:val="auto"/>
          <w:sz w:val="24"/>
          <w:szCs w:val="24"/>
          <w:highlight w:val="none"/>
          <w:u w:val="single"/>
        </w:rPr>
        <w:t xml:space="preserve"> </w:t>
      </w:r>
      <w:r>
        <w:rPr>
          <w:rFonts w:ascii="宋体" w:hAnsi="宋体"/>
          <w:bCs/>
          <w:color w:val="auto"/>
          <w:kern w:val="0"/>
          <w:sz w:val="24"/>
          <w:szCs w:val="24"/>
          <w:highlight w:val="none"/>
          <w:u w:val="single"/>
          <w:lang w:val="zh-CN"/>
        </w:rPr>
        <w:t>某编</w:t>
      </w:r>
      <w:r>
        <w:rPr>
          <w:rFonts w:hint="eastAsia" w:ascii="宋体" w:hAnsi="宋体"/>
          <w:bCs/>
          <w:color w:val="auto"/>
          <w:sz w:val="24"/>
          <w:szCs w:val="24"/>
          <w:highlight w:val="none"/>
          <w:u w:val="single"/>
        </w:rPr>
        <w:t xml:space="preserve">号 </w:t>
      </w:r>
      <w:r>
        <w:rPr>
          <w:rFonts w:hint="eastAsia" w:ascii="宋体" w:hAnsi="宋体"/>
          <w:bCs/>
          <w:color w:val="auto"/>
          <w:sz w:val="24"/>
          <w:szCs w:val="24"/>
          <w:highlight w:val="none"/>
        </w:rPr>
        <w:t>招标公</w:t>
      </w:r>
      <w:r>
        <w:rPr>
          <w:rFonts w:hint="eastAsia" w:ascii="宋体" w:hAnsi="宋体"/>
          <w:color w:val="auto"/>
          <w:sz w:val="24"/>
          <w:szCs w:val="24"/>
          <w:highlight w:val="none"/>
        </w:rPr>
        <w:t>告，正式授权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（姓名）代表</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全称）。据此函，我方兹宣布同意如下：</w:t>
      </w:r>
    </w:p>
    <w:p w14:paraId="3C9A949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1、按招标文件规定提供交付的服务的最终投标报价详见开标一览表，如我公司中标，我公司承诺愿意按招标文件规定缴纳履约保证金。</w:t>
      </w:r>
    </w:p>
    <w:p w14:paraId="5BBB3F2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2、我方根据招标文件的规定，严格履行合同的责任和义务</w:t>
      </w:r>
      <w:r>
        <w:rPr>
          <w:rFonts w:ascii="宋体" w:hAnsi="宋体"/>
          <w:color w:val="auto"/>
          <w:sz w:val="24"/>
          <w:szCs w:val="24"/>
          <w:highlight w:val="none"/>
        </w:rPr>
        <w:t>,</w:t>
      </w:r>
      <w:r>
        <w:rPr>
          <w:rFonts w:hint="eastAsia" w:ascii="宋体" w:hAnsi="宋体"/>
          <w:color w:val="auto"/>
          <w:sz w:val="24"/>
          <w:szCs w:val="24"/>
          <w:highlight w:val="none"/>
        </w:rPr>
        <w:t>并保证于</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要求的日期内完成服务，并通过</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方验收。</w:t>
      </w:r>
    </w:p>
    <w:p w14:paraId="7FD1F30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3、我方承诺报价低于</w:t>
      </w:r>
      <w:r>
        <w:rPr>
          <w:rFonts w:ascii="宋体" w:hAnsi="宋体"/>
          <w:color w:val="auto"/>
          <w:sz w:val="24"/>
          <w:szCs w:val="24"/>
          <w:highlight w:val="none"/>
        </w:rPr>
        <w:t>同类</w:t>
      </w:r>
      <w:r>
        <w:rPr>
          <w:rFonts w:hint="eastAsia" w:ascii="宋体" w:hAnsi="宋体"/>
          <w:color w:val="auto"/>
          <w:sz w:val="24"/>
          <w:szCs w:val="24"/>
          <w:highlight w:val="none"/>
        </w:rPr>
        <w:t>服务</w:t>
      </w:r>
      <w:r>
        <w:rPr>
          <w:rFonts w:ascii="宋体" w:hAnsi="宋体"/>
          <w:color w:val="auto"/>
          <w:sz w:val="24"/>
          <w:szCs w:val="24"/>
          <w:highlight w:val="none"/>
        </w:rPr>
        <w:t>的市场平均价格。</w:t>
      </w:r>
    </w:p>
    <w:p w14:paraId="0822B32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14:paraId="5F2AF67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5、我方同意从招标文件规定的开标日期起遵循本投标文件，并在招标文件规定的投标有效期之前均具有约束力。</w:t>
      </w:r>
    </w:p>
    <w:p w14:paraId="4AADEBD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6、我方声明投标文件所提供的一切资料均真实无误、及时、有效。企业运营正常（</w:t>
      </w:r>
      <w:r>
        <w:rPr>
          <w:rFonts w:ascii="宋体" w:hAnsi="宋体"/>
          <w:color w:val="auto"/>
          <w:sz w:val="24"/>
          <w:szCs w:val="24"/>
          <w:highlight w:val="none"/>
        </w:rPr>
        <w:t>注册登记信息、年报信息</w:t>
      </w:r>
      <w:r>
        <w:rPr>
          <w:rFonts w:hint="eastAsia" w:ascii="宋体" w:hAnsi="宋体"/>
          <w:color w:val="auto"/>
          <w:sz w:val="24"/>
          <w:szCs w:val="24"/>
          <w:highlight w:val="none"/>
        </w:rPr>
        <w:t>可查）由于我方提供资料不实而造成的责任和后果由我方承担。我方同意按照贵方提出的要求，提供与投标有关的任何证据、数据或资料。</w:t>
      </w:r>
    </w:p>
    <w:p w14:paraId="67A78D5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7、我方完全理解贵方不一定接受最低报价的投标。</w:t>
      </w:r>
    </w:p>
    <w:p w14:paraId="1662D30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8、我方同意招标文件规定的付款方式。</w:t>
      </w:r>
    </w:p>
    <w:p w14:paraId="55AFA2FE">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9、与本投标有关的通讯地址：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3C6B5979">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电    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传    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706E500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基本账户开户名：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账号：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开户行：</w:t>
      </w:r>
      <w:r>
        <w:rPr>
          <w:rFonts w:hint="eastAsia" w:ascii="宋体" w:hAnsi="宋体"/>
          <w:color w:val="auto"/>
          <w:sz w:val="24"/>
          <w:szCs w:val="24"/>
          <w:highlight w:val="none"/>
          <w:u w:val="single"/>
        </w:rPr>
        <w:t xml:space="preserve">           </w:t>
      </w:r>
    </w:p>
    <w:p w14:paraId="679B9EF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bCs/>
          <w:color w:val="auto"/>
          <w:sz w:val="24"/>
          <w:szCs w:val="24"/>
          <w:highlight w:val="none"/>
          <w:u w:val="single"/>
          <w:lang w:val="en-US" w:eastAsia="zh-CN"/>
        </w:rPr>
      </w:pPr>
      <w:r>
        <w:rPr>
          <w:rFonts w:hint="eastAsia" w:ascii="宋体" w:hAnsi="宋体"/>
          <w:b/>
          <w:bCs/>
          <w:color w:val="auto"/>
          <w:sz w:val="24"/>
          <w:szCs w:val="24"/>
          <w:highlight w:val="none"/>
          <w:lang w:eastAsia="zh-CN"/>
        </w:rPr>
        <w:t>投标人（</w:t>
      </w:r>
      <w:r>
        <w:rPr>
          <w:rFonts w:hint="eastAsia" w:ascii="宋体" w:hAnsi="宋体"/>
          <w:b/>
          <w:bCs/>
          <w:color w:val="auto"/>
          <w:sz w:val="24"/>
          <w:szCs w:val="24"/>
          <w:highlight w:val="none"/>
          <w:lang w:val="en-US" w:eastAsia="zh-CN"/>
        </w:rPr>
        <w:t>盖章</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 xml:space="preserve"> </w:t>
      </w:r>
    </w:p>
    <w:p w14:paraId="005383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4075CA50">
      <w:pPr>
        <w:pStyle w:val="70"/>
        <w:rPr>
          <w:rFonts w:hint="eastAsia" w:ascii="宋体" w:hAnsi="宋体"/>
          <w:color w:val="auto"/>
          <w:sz w:val="24"/>
          <w:szCs w:val="24"/>
          <w:highlight w:val="none"/>
        </w:rPr>
      </w:pPr>
    </w:p>
    <w:p w14:paraId="2BFC11CB">
      <w:pPr>
        <w:pStyle w:val="70"/>
        <w:rPr>
          <w:rFonts w:hint="eastAsia" w:ascii="宋体" w:hAnsi="宋体"/>
          <w:color w:val="auto"/>
          <w:sz w:val="24"/>
          <w:szCs w:val="24"/>
          <w:highlight w:val="none"/>
        </w:rPr>
      </w:pPr>
    </w:p>
    <w:p w14:paraId="424D85FE">
      <w:pPr>
        <w:pStyle w:val="70"/>
        <w:rPr>
          <w:rFonts w:hint="eastAsia" w:ascii="宋体" w:hAnsi="宋体"/>
          <w:color w:val="auto"/>
          <w:sz w:val="24"/>
          <w:szCs w:val="24"/>
          <w:highlight w:val="none"/>
        </w:rPr>
      </w:pPr>
    </w:p>
    <w:p w14:paraId="3153DD1B">
      <w:pPr>
        <w:pStyle w:val="70"/>
        <w:rPr>
          <w:rFonts w:hint="eastAsia" w:ascii="宋体" w:hAnsi="宋体"/>
          <w:color w:val="auto"/>
          <w:sz w:val="24"/>
          <w:szCs w:val="24"/>
          <w:highlight w:val="none"/>
        </w:rPr>
      </w:pPr>
    </w:p>
    <w:p w14:paraId="64258BEB">
      <w:pPr>
        <w:rPr>
          <w:color w:val="auto"/>
          <w:sz w:val="24"/>
          <w:szCs w:val="24"/>
          <w:highlight w:val="none"/>
        </w:rPr>
      </w:pPr>
    </w:p>
    <w:p w14:paraId="580AA359">
      <w:pPr>
        <w:pStyle w:val="3"/>
        <w:keepNext/>
        <w:keepLines/>
        <w:pageBreakBefore w:val="0"/>
        <w:widowControl w:val="0"/>
        <w:numPr>
          <w:ilvl w:val="0"/>
          <w:numId w:val="0"/>
        </w:numPr>
        <w:kinsoku/>
        <w:wordWrap/>
        <w:overflowPunct/>
        <w:topLinePunct w:val="0"/>
        <w:autoSpaceDE/>
        <w:autoSpaceDN/>
        <w:bidi w:val="0"/>
        <w:adjustRightInd/>
        <w:snapToGrid/>
        <w:spacing w:before="0" w:after="120" w:afterLines="50" w:line="360" w:lineRule="auto"/>
        <w:jc w:val="center"/>
        <w:textAlignment w:val="auto"/>
        <w:rPr>
          <w:rFonts w:hint="eastAsia" w:ascii="宋体" w:hAnsi="宋体" w:eastAsia="宋体" w:cs="宋体"/>
          <w:b/>
          <w:bCs/>
          <w:color w:val="auto"/>
          <w:sz w:val="24"/>
          <w:szCs w:val="24"/>
          <w:highlight w:val="none"/>
          <w:lang w:val="en-US" w:eastAsia="zh-CN"/>
        </w:rPr>
      </w:pPr>
      <w:bookmarkStart w:id="203" w:name="_Toc31003"/>
      <w:bookmarkStart w:id="204" w:name="_Toc1739"/>
      <w:r>
        <w:rPr>
          <w:rFonts w:hint="eastAsia" w:ascii="宋体" w:hAnsi="宋体" w:eastAsia="宋体" w:cs="宋体"/>
          <w:b/>
          <w:bCs/>
          <w:color w:val="auto"/>
          <w:sz w:val="24"/>
          <w:szCs w:val="24"/>
          <w:highlight w:val="none"/>
          <w:lang w:val="en-US" w:eastAsia="zh-CN"/>
        </w:rPr>
        <w:t>八、开标一览表</w:t>
      </w:r>
      <w:bookmarkEnd w:id="181"/>
      <w:bookmarkEnd w:id="182"/>
      <w:bookmarkEnd w:id="183"/>
      <w:bookmarkEnd w:id="203"/>
      <w:bookmarkEnd w:id="204"/>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6443"/>
      </w:tblGrid>
      <w:tr w14:paraId="0F64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95" w:type="dxa"/>
            <w:tcBorders>
              <w:top w:val="single" w:color="auto" w:sz="4" w:space="0"/>
              <w:bottom w:val="single" w:color="auto" w:sz="4" w:space="0"/>
              <w:right w:val="single" w:color="auto" w:sz="4" w:space="0"/>
            </w:tcBorders>
            <w:noWrap w:val="0"/>
            <w:vAlign w:val="center"/>
          </w:tcPr>
          <w:p w14:paraId="514CEF5E">
            <w:pPr>
              <w:widowControl/>
              <w:spacing w:line="36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项目名称</w:t>
            </w:r>
          </w:p>
        </w:tc>
        <w:tc>
          <w:tcPr>
            <w:tcW w:w="6443" w:type="dxa"/>
            <w:tcBorders>
              <w:top w:val="single" w:color="auto" w:sz="4" w:space="0"/>
              <w:bottom w:val="single" w:color="auto" w:sz="4" w:space="0"/>
              <w:right w:val="single" w:color="auto" w:sz="4" w:space="0"/>
            </w:tcBorders>
            <w:noWrap w:val="0"/>
            <w:vAlign w:val="center"/>
          </w:tcPr>
          <w:p w14:paraId="2F3F71DB">
            <w:pPr>
              <w:spacing w:line="360" w:lineRule="exact"/>
              <w:rPr>
                <w:rFonts w:hint="eastAsia" w:ascii="宋体" w:hAnsi="宋体"/>
                <w:bCs/>
                <w:color w:val="auto"/>
                <w:sz w:val="24"/>
                <w:szCs w:val="24"/>
                <w:highlight w:val="none"/>
                <w:u w:val="single"/>
              </w:rPr>
            </w:pPr>
          </w:p>
        </w:tc>
      </w:tr>
      <w:tr w14:paraId="3F50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95" w:type="dxa"/>
            <w:tcBorders>
              <w:top w:val="nil"/>
            </w:tcBorders>
            <w:noWrap w:val="0"/>
            <w:vAlign w:val="center"/>
          </w:tcPr>
          <w:p w14:paraId="09CB71A0">
            <w:pPr>
              <w:spacing w:line="36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项目编号</w:t>
            </w:r>
          </w:p>
        </w:tc>
        <w:tc>
          <w:tcPr>
            <w:tcW w:w="6443" w:type="dxa"/>
            <w:tcBorders>
              <w:top w:val="nil"/>
            </w:tcBorders>
            <w:noWrap w:val="0"/>
            <w:vAlign w:val="center"/>
          </w:tcPr>
          <w:p w14:paraId="5621EF33">
            <w:pPr>
              <w:rPr>
                <w:rFonts w:hint="eastAsia" w:ascii="宋体" w:hAnsi="宋体"/>
                <w:bCs/>
                <w:color w:val="auto"/>
                <w:sz w:val="24"/>
                <w:szCs w:val="24"/>
                <w:highlight w:val="none"/>
              </w:rPr>
            </w:pPr>
          </w:p>
        </w:tc>
      </w:tr>
      <w:tr w14:paraId="0FE2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95" w:type="dxa"/>
            <w:tcBorders>
              <w:top w:val="nil"/>
            </w:tcBorders>
            <w:noWrap w:val="0"/>
            <w:vAlign w:val="center"/>
          </w:tcPr>
          <w:p w14:paraId="5CCC7A0C">
            <w:pPr>
              <w:spacing w:line="36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投标</w:t>
            </w:r>
            <w:r>
              <w:rPr>
                <w:rFonts w:hint="eastAsia" w:ascii="宋体" w:hAnsi="宋体"/>
                <w:b/>
                <w:color w:val="auto"/>
                <w:sz w:val="24"/>
                <w:szCs w:val="24"/>
                <w:highlight w:val="none"/>
                <w:lang w:eastAsia="zh-CN"/>
              </w:rPr>
              <w:t>人</w:t>
            </w:r>
            <w:r>
              <w:rPr>
                <w:rFonts w:hint="eastAsia" w:ascii="宋体" w:hAnsi="宋体"/>
                <w:b/>
                <w:color w:val="auto"/>
                <w:sz w:val="24"/>
                <w:szCs w:val="24"/>
                <w:highlight w:val="none"/>
              </w:rPr>
              <w:t>全称</w:t>
            </w:r>
          </w:p>
        </w:tc>
        <w:tc>
          <w:tcPr>
            <w:tcW w:w="6443" w:type="dxa"/>
            <w:tcBorders>
              <w:top w:val="nil"/>
            </w:tcBorders>
            <w:noWrap w:val="0"/>
            <w:vAlign w:val="center"/>
          </w:tcPr>
          <w:p w14:paraId="56C23767">
            <w:pPr>
              <w:spacing w:line="360" w:lineRule="auto"/>
              <w:rPr>
                <w:rFonts w:hint="eastAsia" w:ascii="宋体" w:hAnsi="宋体"/>
                <w:bCs/>
                <w:color w:val="auto"/>
                <w:sz w:val="24"/>
                <w:szCs w:val="24"/>
                <w:highlight w:val="none"/>
              </w:rPr>
            </w:pPr>
          </w:p>
        </w:tc>
      </w:tr>
      <w:tr w14:paraId="32BA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95" w:type="dxa"/>
            <w:tcBorders>
              <w:top w:val="nil"/>
            </w:tcBorders>
            <w:noWrap w:val="0"/>
            <w:vAlign w:val="center"/>
          </w:tcPr>
          <w:p w14:paraId="73911F50">
            <w:pPr>
              <w:spacing w:line="36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投标范围</w:t>
            </w:r>
          </w:p>
        </w:tc>
        <w:tc>
          <w:tcPr>
            <w:tcW w:w="6443" w:type="dxa"/>
            <w:tcBorders>
              <w:top w:val="nil"/>
            </w:tcBorders>
            <w:noWrap w:val="0"/>
            <w:vAlign w:val="center"/>
          </w:tcPr>
          <w:p w14:paraId="29A50B1C">
            <w:pPr>
              <w:widowControl/>
              <w:spacing w:line="360" w:lineRule="exact"/>
              <w:rPr>
                <w:rFonts w:hint="eastAsia" w:ascii="宋体" w:hAnsi="宋体"/>
                <w:bCs/>
                <w:color w:val="auto"/>
                <w:sz w:val="24"/>
                <w:szCs w:val="24"/>
                <w:highlight w:val="none"/>
              </w:rPr>
            </w:pPr>
            <w:r>
              <w:rPr>
                <w:rFonts w:hint="eastAsia" w:ascii="宋体" w:hAnsi="宋体"/>
                <w:bCs/>
                <w:color w:val="auto"/>
                <w:sz w:val="24"/>
                <w:szCs w:val="24"/>
                <w:highlight w:val="none"/>
              </w:rPr>
              <w:t>第</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包(不分包项目填写“全部”)</w:t>
            </w:r>
          </w:p>
        </w:tc>
      </w:tr>
      <w:tr w14:paraId="76A5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2695" w:type="dxa"/>
            <w:tcBorders>
              <w:top w:val="nil"/>
            </w:tcBorders>
            <w:noWrap w:val="0"/>
            <w:vAlign w:val="center"/>
          </w:tcPr>
          <w:p w14:paraId="41F49648">
            <w:pPr>
              <w:spacing w:line="36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最终投标报价</w:t>
            </w:r>
          </w:p>
          <w:p w14:paraId="5813C8A5">
            <w:pPr>
              <w:spacing w:line="360" w:lineRule="exact"/>
              <w:jc w:val="center"/>
              <w:rPr>
                <w:rFonts w:ascii="宋体" w:hAnsi="宋体"/>
                <w:b/>
                <w:color w:val="auto"/>
                <w:sz w:val="24"/>
                <w:szCs w:val="24"/>
                <w:highlight w:val="none"/>
              </w:rPr>
            </w:pPr>
            <w:r>
              <w:rPr>
                <w:rFonts w:hint="eastAsia" w:ascii="宋体" w:hAnsi="宋体"/>
                <w:b w:val="0"/>
                <w:bCs/>
                <w:color w:val="auto"/>
                <w:sz w:val="24"/>
                <w:szCs w:val="24"/>
                <w:highlight w:val="none"/>
              </w:rPr>
              <w:t>（</w:t>
            </w:r>
            <w:r>
              <w:rPr>
                <w:rFonts w:hint="eastAsia" w:ascii="宋体" w:hAnsi="宋体"/>
                <w:b w:val="0"/>
                <w:bCs/>
                <w:color w:val="auto"/>
                <w:sz w:val="24"/>
                <w:szCs w:val="24"/>
                <w:highlight w:val="none"/>
                <w:lang w:val="en-US" w:eastAsia="zh-CN"/>
              </w:rPr>
              <w:t>统一折扣（百分比）</w:t>
            </w:r>
            <w:r>
              <w:rPr>
                <w:rFonts w:hint="eastAsia" w:ascii="宋体" w:hAnsi="宋体"/>
                <w:b w:val="0"/>
                <w:bCs/>
                <w:color w:val="auto"/>
                <w:sz w:val="24"/>
                <w:szCs w:val="24"/>
                <w:highlight w:val="none"/>
              </w:rPr>
              <w:t>）</w:t>
            </w:r>
          </w:p>
        </w:tc>
        <w:tc>
          <w:tcPr>
            <w:tcW w:w="6443" w:type="dxa"/>
            <w:tcBorders>
              <w:top w:val="nil"/>
            </w:tcBorders>
            <w:noWrap w:val="0"/>
            <w:vAlign w:val="center"/>
          </w:tcPr>
          <w:p w14:paraId="7F054758">
            <w:pPr>
              <w:widowControl/>
              <w:spacing w:line="360" w:lineRule="auto"/>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投标人对石料运输服务单价、机械台班服务单价表中所有服务项目报统一的折扣（百分比）。</w:t>
            </w:r>
          </w:p>
          <w:p w14:paraId="38932470">
            <w:pPr>
              <w:spacing w:line="360" w:lineRule="auto"/>
              <w:ind w:right="-670"/>
              <w:rPr>
                <w:rFonts w:hint="default" w:ascii="宋体" w:hAnsi="宋体"/>
                <w:bCs/>
                <w:color w:val="auto"/>
                <w:sz w:val="24"/>
                <w:szCs w:val="24"/>
                <w:highlight w:val="none"/>
                <w:u w:val="single"/>
                <w:lang w:val="en-US" w:eastAsia="zh-CN"/>
              </w:rPr>
            </w:pPr>
            <w:r>
              <w:rPr>
                <w:rFonts w:hint="eastAsia" w:ascii="宋体" w:hAnsi="宋体"/>
                <w:bCs/>
                <w:color w:val="auto"/>
                <w:sz w:val="24"/>
                <w:szCs w:val="24"/>
                <w:highlight w:val="none"/>
              </w:rPr>
              <w:t>大写：</w:t>
            </w:r>
            <w:r>
              <w:rPr>
                <w:rFonts w:hint="eastAsia" w:ascii="宋体" w:hAnsi="宋体"/>
                <w:bCs/>
                <w:color w:val="auto"/>
                <w:sz w:val="24"/>
                <w:szCs w:val="24"/>
                <w:highlight w:val="none"/>
                <w:u w:val="single"/>
                <w:lang w:val="en-US" w:eastAsia="zh-CN"/>
              </w:rPr>
              <w:t xml:space="preserve">百分之         </w:t>
            </w:r>
            <w:r>
              <w:rPr>
                <w:rFonts w:hint="eastAsia" w:ascii="宋体" w:hAnsi="宋体"/>
                <w:bCs/>
                <w:color w:val="auto"/>
                <w:sz w:val="24"/>
                <w:szCs w:val="24"/>
                <w:highlight w:val="none"/>
                <w:u w:val="none"/>
                <w:lang w:val="en-US" w:eastAsia="zh-CN"/>
              </w:rPr>
              <w:t xml:space="preserve">  小写：</w:t>
            </w:r>
            <w:r>
              <w:rPr>
                <w:rFonts w:hint="eastAsia" w:ascii="宋体" w:hAnsi="宋体"/>
                <w:bCs/>
                <w:color w:val="auto"/>
                <w:sz w:val="24"/>
                <w:szCs w:val="24"/>
                <w:highlight w:val="none"/>
                <w:u w:val="single"/>
                <w:lang w:val="en-US" w:eastAsia="zh-CN"/>
              </w:rPr>
              <w:t xml:space="preserve">        %</w:t>
            </w:r>
          </w:p>
          <w:p w14:paraId="6A8A5F49">
            <w:pPr>
              <w:spacing w:line="360" w:lineRule="auto"/>
              <w:ind w:right="-670"/>
              <w:rPr>
                <w:rFonts w:hint="default" w:ascii="宋体" w:hAnsi="宋体"/>
                <w:b/>
                <w:bCs w:val="0"/>
                <w:color w:val="auto"/>
                <w:sz w:val="24"/>
                <w:szCs w:val="24"/>
                <w:highlight w:val="none"/>
                <w:u w:val="single"/>
                <w:lang w:val="en-US"/>
              </w:rPr>
            </w:pPr>
            <w:r>
              <w:rPr>
                <w:rFonts w:hint="eastAsia" w:ascii="宋体" w:hAnsi="宋体" w:eastAsia="宋体" w:cs="宋体"/>
                <w:b w:val="0"/>
                <w:bCs w:val="0"/>
                <w:color w:val="auto"/>
                <w:kern w:val="0"/>
                <w:sz w:val="24"/>
                <w:szCs w:val="24"/>
                <w:highlight w:val="none"/>
                <w:lang w:val="en-US" w:eastAsia="zh-CN" w:bidi="ar"/>
              </w:rPr>
              <w:t>投标报价保留小数点后两位（如a.aa%）</w:t>
            </w:r>
          </w:p>
        </w:tc>
      </w:tr>
      <w:tr w14:paraId="2E2F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2695" w:type="dxa"/>
            <w:tcBorders>
              <w:top w:val="nil"/>
            </w:tcBorders>
            <w:noWrap w:val="0"/>
            <w:vAlign w:val="center"/>
          </w:tcPr>
          <w:p w14:paraId="4209315F">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备注</w:t>
            </w:r>
          </w:p>
        </w:tc>
        <w:tc>
          <w:tcPr>
            <w:tcW w:w="6443" w:type="dxa"/>
            <w:tcBorders>
              <w:top w:val="nil"/>
            </w:tcBorders>
            <w:noWrap w:val="0"/>
            <w:vAlign w:val="center"/>
          </w:tcPr>
          <w:p w14:paraId="76EE7B47">
            <w:pPr>
              <w:widowControl w:val="0"/>
              <w:numPr>
                <w:ilvl w:val="0"/>
                <w:numId w:val="0"/>
              </w:numPr>
              <w:spacing w:line="360" w:lineRule="auto"/>
              <w:jc w:val="both"/>
              <w:rPr>
                <w:rFonts w:hint="eastAsia" w:ascii="宋体" w:hAnsi="宋体"/>
                <w:bCs/>
                <w:color w:val="auto"/>
                <w:sz w:val="24"/>
                <w:szCs w:val="24"/>
                <w:highlight w:val="none"/>
              </w:rPr>
            </w:pPr>
          </w:p>
        </w:tc>
      </w:tr>
    </w:tbl>
    <w:p w14:paraId="363BA9E1">
      <w:pPr>
        <w:spacing w:before="100" w:beforeAutospacing="1" w:after="100" w:afterAutospacing="1" w:line="360" w:lineRule="auto"/>
        <w:rPr>
          <w:rFonts w:hint="eastAsia" w:ascii="宋体" w:hAnsi="宋体"/>
          <w:b/>
          <w:color w:val="auto"/>
          <w:sz w:val="24"/>
          <w:szCs w:val="24"/>
          <w:highlight w:val="none"/>
        </w:rPr>
      </w:pPr>
    </w:p>
    <w:p w14:paraId="24EB718B">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r>
        <w:rPr>
          <w:rFonts w:hint="eastAsia"/>
          <w:bCs/>
          <w:color w:val="auto"/>
          <w:sz w:val="24"/>
          <w:szCs w:val="24"/>
          <w:highlight w:val="none"/>
          <w:lang w:eastAsia="zh-CN"/>
        </w:rPr>
        <w:t>投标人名称（</w:t>
      </w:r>
      <w:r>
        <w:rPr>
          <w:rFonts w:hint="eastAsia"/>
          <w:bCs/>
          <w:color w:val="auto"/>
          <w:sz w:val="24"/>
          <w:szCs w:val="24"/>
          <w:highlight w:val="none"/>
          <w:lang w:val="en-US" w:eastAsia="zh-CN"/>
        </w:rPr>
        <w:t>盖章</w:t>
      </w:r>
      <w:r>
        <w:rPr>
          <w:rFonts w:hint="eastAsia"/>
          <w:bCs/>
          <w:color w:val="auto"/>
          <w:sz w:val="24"/>
          <w:szCs w:val="24"/>
          <w:highlight w:val="none"/>
          <w:lang w:eastAsia="zh-CN"/>
        </w:rPr>
        <w:t>）</w:t>
      </w:r>
      <w:r>
        <w:rPr>
          <w:rFonts w:hint="eastAsia"/>
          <w:bCs/>
          <w:color w:val="auto"/>
          <w:sz w:val="24"/>
          <w:szCs w:val="24"/>
          <w:highlight w:val="none"/>
        </w:rPr>
        <w:t>：</w:t>
      </w:r>
    </w:p>
    <w:p w14:paraId="41106776">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法定代表人或委托代理人（签字或盖章）：</w:t>
      </w:r>
    </w:p>
    <w:p w14:paraId="72350353">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r>
        <w:rPr>
          <w:rFonts w:hint="eastAsia"/>
          <w:bCs/>
          <w:color w:val="auto"/>
          <w:sz w:val="24"/>
          <w:szCs w:val="24"/>
          <w:highlight w:val="none"/>
        </w:rPr>
        <w:t>日期：</w:t>
      </w:r>
    </w:p>
    <w:p w14:paraId="2F82B7AC">
      <w:pPr>
        <w:pStyle w:val="70"/>
        <w:rPr>
          <w:rFonts w:hint="eastAsia" w:ascii="宋体" w:hAnsi="宋体"/>
          <w:b/>
          <w:color w:val="auto"/>
          <w:sz w:val="24"/>
          <w:szCs w:val="24"/>
          <w:highlight w:val="none"/>
        </w:rPr>
      </w:pPr>
    </w:p>
    <w:p w14:paraId="250EED27">
      <w:pPr>
        <w:pStyle w:val="70"/>
        <w:rPr>
          <w:rFonts w:hint="eastAsia" w:ascii="宋体" w:hAnsi="宋体"/>
          <w:b/>
          <w:color w:val="auto"/>
          <w:sz w:val="24"/>
          <w:szCs w:val="24"/>
          <w:highlight w:val="none"/>
        </w:rPr>
      </w:pPr>
    </w:p>
    <w:p w14:paraId="2E65A4DC">
      <w:pPr>
        <w:pStyle w:val="70"/>
        <w:rPr>
          <w:rFonts w:hint="eastAsia" w:ascii="宋体" w:hAnsi="宋体"/>
          <w:b/>
          <w:color w:val="auto"/>
          <w:sz w:val="24"/>
          <w:szCs w:val="24"/>
          <w:highlight w:val="none"/>
        </w:rPr>
      </w:pPr>
    </w:p>
    <w:p w14:paraId="033462AB">
      <w:pPr>
        <w:pStyle w:val="70"/>
        <w:rPr>
          <w:rFonts w:hint="eastAsia" w:ascii="宋体" w:hAnsi="宋体"/>
          <w:b/>
          <w:color w:val="auto"/>
          <w:sz w:val="24"/>
          <w:szCs w:val="24"/>
          <w:highlight w:val="none"/>
        </w:rPr>
      </w:pPr>
    </w:p>
    <w:p w14:paraId="43F822A5">
      <w:pPr>
        <w:pStyle w:val="70"/>
        <w:rPr>
          <w:rFonts w:hint="eastAsia" w:ascii="宋体" w:hAnsi="宋体"/>
          <w:b/>
          <w:color w:val="auto"/>
          <w:sz w:val="24"/>
          <w:szCs w:val="24"/>
          <w:highlight w:val="none"/>
        </w:rPr>
      </w:pPr>
    </w:p>
    <w:p w14:paraId="40F8A135">
      <w:pPr>
        <w:pStyle w:val="70"/>
        <w:rPr>
          <w:rFonts w:hint="eastAsia" w:ascii="宋体" w:hAnsi="宋体"/>
          <w:b/>
          <w:color w:val="auto"/>
          <w:sz w:val="24"/>
          <w:szCs w:val="24"/>
          <w:highlight w:val="none"/>
        </w:rPr>
        <w:sectPr>
          <w:headerReference r:id="rId5" w:type="default"/>
          <w:footerReference r:id="rId6" w:type="default"/>
          <w:pgSz w:w="11905" w:h="16838"/>
          <w:pgMar w:top="1474" w:right="1361" w:bottom="1361" w:left="1474" w:header="964" w:footer="964" w:gutter="0"/>
          <w:pgNumType w:fmt="decimal"/>
          <w:cols w:space="720" w:num="1"/>
          <w:rtlGutter w:val="0"/>
          <w:docGrid w:linePitch="303" w:charSpace="0"/>
        </w:sectPr>
      </w:pPr>
    </w:p>
    <w:bookmarkEnd w:id="184"/>
    <w:p w14:paraId="6DB7C746">
      <w:pPr>
        <w:pStyle w:val="3"/>
        <w:keepNext/>
        <w:keepLines/>
        <w:pageBreakBefore w:val="0"/>
        <w:widowControl w:val="0"/>
        <w:numPr>
          <w:ilvl w:val="0"/>
          <w:numId w:val="0"/>
        </w:numPr>
        <w:kinsoku/>
        <w:wordWrap/>
        <w:overflowPunct/>
        <w:topLinePunct w:val="0"/>
        <w:autoSpaceDE/>
        <w:autoSpaceDN/>
        <w:bidi w:val="0"/>
        <w:adjustRightInd/>
        <w:snapToGrid/>
        <w:spacing w:before="0" w:after="120" w:afterLines="50" w:line="360" w:lineRule="auto"/>
        <w:jc w:val="center"/>
        <w:textAlignment w:val="auto"/>
        <w:rPr>
          <w:rFonts w:hint="eastAsia" w:ascii="宋体" w:hAnsi="宋体" w:eastAsia="宋体" w:cs="宋体"/>
          <w:b/>
          <w:bCs/>
          <w:color w:val="auto"/>
          <w:sz w:val="24"/>
          <w:szCs w:val="24"/>
          <w:highlight w:val="none"/>
          <w:lang w:val="en-US" w:eastAsia="zh-CN"/>
        </w:rPr>
      </w:pPr>
      <w:bookmarkStart w:id="205" w:name="_Toc438649051"/>
      <w:bookmarkStart w:id="206" w:name="_Toc220232409"/>
      <w:bookmarkStart w:id="207" w:name="_Toc2657"/>
      <w:bookmarkStart w:id="208" w:name="_Toc20218"/>
      <w:bookmarkStart w:id="209" w:name="_Toc457942822"/>
      <w:bookmarkStart w:id="210" w:name="_Toc444076922"/>
      <w:r>
        <w:rPr>
          <w:rFonts w:hint="eastAsia" w:ascii="宋体" w:hAnsi="宋体" w:eastAsia="宋体" w:cs="宋体"/>
          <w:b/>
          <w:bCs/>
          <w:color w:val="auto"/>
          <w:sz w:val="24"/>
          <w:szCs w:val="24"/>
          <w:highlight w:val="none"/>
          <w:lang w:val="en-US" w:eastAsia="zh-CN"/>
        </w:rPr>
        <w:t>九、投标分项报价表</w:t>
      </w:r>
      <w:bookmarkEnd w:id="205"/>
      <w:bookmarkEnd w:id="206"/>
      <w:bookmarkEnd w:id="207"/>
      <w:bookmarkEnd w:id="208"/>
      <w:bookmarkEnd w:id="209"/>
      <w:bookmarkEnd w:id="210"/>
    </w:p>
    <w:p w14:paraId="7F8B588B">
      <w:pPr>
        <w:rPr>
          <w:rFonts w:hint="default"/>
          <w:color w:val="auto"/>
          <w:highlight w:val="none"/>
          <w:lang w:val="en-US" w:eastAsia="zh-CN"/>
        </w:rPr>
      </w:pPr>
      <w:r>
        <w:rPr>
          <w:rFonts w:hint="eastAsia" w:ascii="宋体" w:hAnsi="宋体" w:eastAsia="宋体" w:cs="宋体"/>
          <w:b/>
          <w:bCs/>
          <w:color w:val="auto"/>
          <w:sz w:val="24"/>
          <w:szCs w:val="24"/>
          <w:highlight w:val="none"/>
          <w:lang w:val="en-US" w:eastAsia="zh-CN"/>
        </w:rPr>
        <w:t>本项目不适用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300"/>
        <w:gridCol w:w="1440"/>
        <w:gridCol w:w="1800"/>
        <w:gridCol w:w="1664"/>
      </w:tblGrid>
      <w:tr w14:paraId="7919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4009805F">
            <w:pPr>
              <w:jc w:val="center"/>
              <w:rPr>
                <w:rFonts w:hint="eastAsia" w:ascii="宋体" w:hAnsi="宋体"/>
                <w:b/>
                <w:color w:val="auto"/>
                <w:sz w:val="24"/>
                <w:szCs w:val="24"/>
                <w:highlight w:val="none"/>
              </w:rPr>
            </w:pPr>
            <w:r>
              <w:rPr>
                <w:rFonts w:hint="eastAsia" w:ascii="宋体" w:hAnsi="宋体"/>
                <w:b/>
                <w:color w:val="auto"/>
                <w:sz w:val="24"/>
                <w:szCs w:val="24"/>
                <w:highlight w:val="none"/>
              </w:rPr>
              <w:t>序号</w:t>
            </w:r>
          </w:p>
        </w:tc>
        <w:tc>
          <w:tcPr>
            <w:tcW w:w="3300" w:type="dxa"/>
            <w:noWrap w:val="0"/>
            <w:vAlign w:val="center"/>
          </w:tcPr>
          <w:p w14:paraId="602F5FD9">
            <w:pPr>
              <w:jc w:val="center"/>
              <w:rPr>
                <w:rFonts w:hint="eastAsia" w:ascii="宋体" w:hAnsi="宋体"/>
                <w:b/>
                <w:color w:val="auto"/>
                <w:sz w:val="24"/>
                <w:szCs w:val="24"/>
                <w:highlight w:val="none"/>
              </w:rPr>
            </w:pPr>
            <w:r>
              <w:rPr>
                <w:rFonts w:hint="eastAsia" w:ascii="宋体" w:hAnsi="宋体"/>
                <w:b/>
                <w:color w:val="auto"/>
                <w:sz w:val="24"/>
                <w:szCs w:val="24"/>
                <w:highlight w:val="none"/>
              </w:rPr>
              <w:t>服务内容</w:t>
            </w:r>
          </w:p>
        </w:tc>
        <w:tc>
          <w:tcPr>
            <w:tcW w:w="1440" w:type="dxa"/>
            <w:noWrap w:val="0"/>
            <w:vAlign w:val="center"/>
          </w:tcPr>
          <w:p w14:paraId="6A3630FA">
            <w:pPr>
              <w:jc w:val="center"/>
              <w:rPr>
                <w:rFonts w:hint="eastAsia" w:ascii="宋体" w:hAnsi="宋体"/>
                <w:b/>
                <w:color w:val="auto"/>
                <w:sz w:val="24"/>
                <w:szCs w:val="24"/>
                <w:highlight w:val="none"/>
              </w:rPr>
            </w:pPr>
            <w:r>
              <w:rPr>
                <w:rFonts w:hint="eastAsia" w:ascii="宋体" w:hAnsi="宋体"/>
                <w:b/>
                <w:color w:val="auto"/>
                <w:sz w:val="24"/>
                <w:szCs w:val="24"/>
                <w:highlight w:val="none"/>
              </w:rPr>
              <w:t>项</w:t>
            </w:r>
          </w:p>
        </w:tc>
        <w:tc>
          <w:tcPr>
            <w:tcW w:w="1800" w:type="dxa"/>
            <w:noWrap w:val="0"/>
            <w:vAlign w:val="center"/>
          </w:tcPr>
          <w:p w14:paraId="215EEF33">
            <w:pPr>
              <w:jc w:val="center"/>
              <w:rPr>
                <w:rFonts w:hint="eastAsia" w:ascii="宋体" w:hAnsi="宋体"/>
                <w:b/>
                <w:color w:val="auto"/>
                <w:sz w:val="24"/>
                <w:szCs w:val="24"/>
                <w:highlight w:val="none"/>
              </w:rPr>
            </w:pPr>
            <w:r>
              <w:rPr>
                <w:rFonts w:hint="eastAsia" w:ascii="宋体" w:hAnsi="宋体"/>
                <w:b/>
                <w:color w:val="auto"/>
                <w:sz w:val="24"/>
                <w:szCs w:val="24"/>
                <w:highlight w:val="none"/>
              </w:rPr>
              <w:t>单价</w:t>
            </w:r>
          </w:p>
        </w:tc>
        <w:tc>
          <w:tcPr>
            <w:tcW w:w="1664" w:type="dxa"/>
            <w:noWrap w:val="0"/>
            <w:vAlign w:val="center"/>
          </w:tcPr>
          <w:p w14:paraId="10848F7D">
            <w:pPr>
              <w:jc w:val="center"/>
              <w:rPr>
                <w:rFonts w:hint="eastAsia" w:ascii="宋体" w:hAnsi="宋体"/>
                <w:b/>
                <w:color w:val="auto"/>
                <w:sz w:val="24"/>
                <w:szCs w:val="24"/>
                <w:highlight w:val="none"/>
              </w:rPr>
            </w:pPr>
            <w:r>
              <w:rPr>
                <w:rFonts w:hint="eastAsia" w:ascii="宋体" w:hAnsi="宋体"/>
                <w:b/>
                <w:color w:val="auto"/>
                <w:sz w:val="24"/>
                <w:szCs w:val="24"/>
                <w:highlight w:val="none"/>
              </w:rPr>
              <w:t>小计金额（元）</w:t>
            </w:r>
          </w:p>
        </w:tc>
      </w:tr>
      <w:tr w14:paraId="446D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noWrap w:val="0"/>
            <w:vAlign w:val="center"/>
          </w:tcPr>
          <w:p w14:paraId="454DCABD">
            <w:pPr>
              <w:jc w:val="center"/>
              <w:rPr>
                <w:rFonts w:hint="eastAsia" w:ascii="宋体" w:hAnsi="宋体"/>
                <w:bCs/>
                <w:color w:val="auto"/>
                <w:sz w:val="24"/>
                <w:szCs w:val="24"/>
                <w:highlight w:val="none"/>
              </w:rPr>
            </w:pPr>
            <w:r>
              <w:rPr>
                <w:rFonts w:hint="eastAsia" w:ascii="宋体" w:hAnsi="宋体"/>
                <w:bCs/>
                <w:color w:val="auto"/>
                <w:sz w:val="24"/>
                <w:szCs w:val="24"/>
                <w:highlight w:val="none"/>
              </w:rPr>
              <w:t>1</w:t>
            </w:r>
          </w:p>
        </w:tc>
        <w:tc>
          <w:tcPr>
            <w:tcW w:w="3300" w:type="dxa"/>
            <w:noWrap w:val="0"/>
            <w:vAlign w:val="center"/>
          </w:tcPr>
          <w:p w14:paraId="7D48C600">
            <w:pPr>
              <w:jc w:val="center"/>
              <w:rPr>
                <w:rFonts w:hint="eastAsia" w:ascii="宋体" w:hAnsi="宋体"/>
                <w:bCs/>
                <w:color w:val="auto"/>
                <w:sz w:val="24"/>
                <w:szCs w:val="24"/>
                <w:highlight w:val="none"/>
              </w:rPr>
            </w:pPr>
          </w:p>
        </w:tc>
        <w:tc>
          <w:tcPr>
            <w:tcW w:w="1440" w:type="dxa"/>
            <w:noWrap w:val="0"/>
            <w:vAlign w:val="center"/>
          </w:tcPr>
          <w:p w14:paraId="33D911F7">
            <w:pPr>
              <w:jc w:val="center"/>
              <w:rPr>
                <w:rFonts w:hint="eastAsia" w:ascii="宋体" w:hAnsi="宋体"/>
                <w:bCs/>
                <w:color w:val="auto"/>
                <w:sz w:val="24"/>
                <w:szCs w:val="24"/>
                <w:highlight w:val="none"/>
              </w:rPr>
            </w:pPr>
          </w:p>
        </w:tc>
        <w:tc>
          <w:tcPr>
            <w:tcW w:w="1800" w:type="dxa"/>
            <w:noWrap w:val="0"/>
            <w:vAlign w:val="center"/>
          </w:tcPr>
          <w:p w14:paraId="1A4ABA42">
            <w:pPr>
              <w:jc w:val="center"/>
              <w:rPr>
                <w:rFonts w:hint="eastAsia" w:ascii="宋体" w:hAnsi="宋体"/>
                <w:bCs/>
                <w:color w:val="auto"/>
                <w:sz w:val="24"/>
                <w:szCs w:val="24"/>
                <w:highlight w:val="none"/>
              </w:rPr>
            </w:pPr>
          </w:p>
        </w:tc>
        <w:tc>
          <w:tcPr>
            <w:tcW w:w="1664" w:type="dxa"/>
            <w:noWrap w:val="0"/>
            <w:vAlign w:val="center"/>
          </w:tcPr>
          <w:p w14:paraId="7F1D0588">
            <w:pPr>
              <w:jc w:val="center"/>
              <w:rPr>
                <w:rFonts w:hint="eastAsia" w:ascii="宋体" w:hAnsi="宋体"/>
                <w:bCs/>
                <w:color w:val="auto"/>
                <w:sz w:val="24"/>
                <w:szCs w:val="24"/>
                <w:highlight w:val="none"/>
              </w:rPr>
            </w:pPr>
          </w:p>
        </w:tc>
      </w:tr>
      <w:tr w14:paraId="17FB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69993BCD">
            <w:pPr>
              <w:jc w:val="center"/>
              <w:rPr>
                <w:rFonts w:hint="eastAsia" w:ascii="宋体" w:hAnsi="宋体"/>
                <w:bCs/>
                <w:color w:val="auto"/>
                <w:sz w:val="24"/>
                <w:szCs w:val="24"/>
                <w:highlight w:val="none"/>
              </w:rPr>
            </w:pPr>
            <w:r>
              <w:rPr>
                <w:rFonts w:hint="eastAsia" w:ascii="宋体" w:hAnsi="宋体"/>
                <w:bCs/>
                <w:color w:val="auto"/>
                <w:sz w:val="24"/>
                <w:szCs w:val="24"/>
                <w:highlight w:val="none"/>
              </w:rPr>
              <w:t>2</w:t>
            </w:r>
          </w:p>
        </w:tc>
        <w:tc>
          <w:tcPr>
            <w:tcW w:w="3300" w:type="dxa"/>
            <w:noWrap w:val="0"/>
            <w:vAlign w:val="center"/>
          </w:tcPr>
          <w:p w14:paraId="4BC7C701">
            <w:pPr>
              <w:jc w:val="center"/>
              <w:rPr>
                <w:rFonts w:hint="eastAsia" w:ascii="宋体" w:hAnsi="宋体"/>
                <w:bCs/>
                <w:color w:val="auto"/>
                <w:sz w:val="24"/>
                <w:szCs w:val="24"/>
                <w:highlight w:val="none"/>
              </w:rPr>
            </w:pPr>
          </w:p>
        </w:tc>
        <w:tc>
          <w:tcPr>
            <w:tcW w:w="1440" w:type="dxa"/>
            <w:noWrap w:val="0"/>
            <w:vAlign w:val="center"/>
          </w:tcPr>
          <w:p w14:paraId="4EC7BEBD">
            <w:pPr>
              <w:jc w:val="center"/>
              <w:rPr>
                <w:rFonts w:hint="eastAsia" w:ascii="宋体" w:hAnsi="宋体"/>
                <w:bCs/>
                <w:color w:val="auto"/>
                <w:sz w:val="24"/>
                <w:szCs w:val="24"/>
                <w:highlight w:val="none"/>
              </w:rPr>
            </w:pPr>
          </w:p>
        </w:tc>
        <w:tc>
          <w:tcPr>
            <w:tcW w:w="1800" w:type="dxa"/>
            <w:noWrap w:val="0"/>
            <w:vAlign w:val="center"/>
          </w:tcPr>
          <w:p w14:paraId="251EC047">
            <w:pPr>
              <w:jc w:val="center"/>
              <w:rPr>
                <w:rFonts w:hint="eastAsia" w:ascii="宋体" w:hAnsi="宋体"/>
                <w:bCs/>
                <w:color w:val="auto"/>
                <w:sz w:val="24"/>
                <w:szCs w:val="24"/>
                <w:highlight w:val="none"/>
              </w:rPr>
            </w:pPr>
          </w:p>
        </w:tc>
        <w:tc>
          <w:tcPr>
            <w:tcW w:w="1664" w:type="dxa"/>
            <w:noWrap w:val="0"/>
            <w:vAlign w:val="center"/>
          </w:tcPr>
          <w:p w14:paraId="4379230A">
            <w:pPr>
              <w:jc w:val="center"/>
              <w:rPr>
                <w:rFonts w:hint="eastAsia" w:ascii="宋体" w:hAnsi="宋体"/>
                <w:bCs/>
                <w:color w:val="auto"/>
                <w:sz w:val="24"/>
                <w:szCs w:val="24"/>
                <w:highlight w:val="none"/>
              </w:rPr>
            </w:pPr>
          </w:p>
        </w:tc>
      </w:tr>
      <w:tr w14:paraId="5C97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1E6BCEA4">
            <w:pPr>
              <w:jc w:val="center"/>
              <w:rPr>
                <w:rFonts w:hint="eastAsia" w:ascii="宋体" w:hAnsi="宋体"/>
                <w:bCs/>
                <w:color w:val="auto"/>
                <w:sz w:val="24"/>
                <w:szCs w:val="24"/>
                <w:highlight w:val="none"/>
              </w:rPr>
            </w:pPr>
            <w:r>
              <w:rPr>
                <w:rFonts w:hint="eastAsia" w:ascii="宋体" w:hAnsi="宋体"/>
                <w:bCs/>
                <w:color w:val="auto"/>
                <w:sz w:val="24"/>
                <w:szCs w:val="24"/>
                <w:highlight w:val="none"/>
              </w:rPr>
              <w:t>3</w:t>
            </w:r>
          </w:p>
        </w:tc>
        <w:tc>
          <w:tcPr>
            <w:tcW w:w="3300" w:type="dxa"/>
            <w:noWrap w:val="0"/>
            <w:vAlign w:val="center"/>
          </w:tcPr>
          <w:p w14:paraId="49D21231">
            <w:pPr>
              <w:jc w:val="center"/>
              <w:rPr>
                <w:rFonts w:hint="eastAsia" w:ascii="宋体" w:hAnsi="宋体"/>
                <w:bCs/>
                <w:color w:val="auto"/>
                <w:sz w:val="24"/>
                <w:szCs w:val="24"/>
                <w:highlight w:val="none"/>
              </w:rPr>
            </w:pPr>
          </w:p>
        </w:tc>
        <w:tc>
          <w:tcPr>
            <w:tcW w:w="1440" w:type="dxa"/>
            <w:noWrap w:val="0"/>
            <w:vAlign w:val="center"/>
          </w:tcPr>
          <w:p w14:paraId="1F478E8E">
            <w:pPr>
              <w:jc w:val="center"/>
              <w:rPr>
                <w:rFonts w:hint="eastAsia" w:ascii="宋体" w:hAnsi="宋体"/>
                <w:bCs/>
                <w:color w:val="auto"/>
                <w:sz w:val="24"/>
                <w:szCs w:val="24"/>
                <w:highlight w:val="none"/>
              </w:rPr>
            </w:pPr>
          </w:p>
        </w:tc>
        <w:tc>
          <w:tcPr>
            <w:tcW w:w="1800" w:type="dxa"/>
            <w:noWrap w:val="0"/>
            <w:vAlign w:val="center"/>
          </w:tcPr>
          <w:p w14:paraId="004ABDE6">
            <w:pPr>
              <w:jc w:val="center"/>
              <w:rPr>
                <w:rFonts w:hint="eastAsia" w:ascii="宋体" w:hAnsi="宋体"/>
                <w:bCs/>
                <w:color w:val="auto"/>
                <w:sz w:val="24"/>
                <w:szCs w:val="24"/>
                <w:highlight w:val="none"/>
              </w:rPr>
            </w:pPr>
          </w:p>
        </w:tc>
        <w:tc>
          <w:tcPr>
            <w:tcW w:w="1664" w:type="dxa"/>
            <w:noWrap w:val="0"/>
            <w:vAlign w:val="center"/>
          </w:tcPr>
          <w:p w14:paraId="5373F559">
            <w:pPr>
              <w:jc w:val="center"/>
              <w:rPr>
                <w:rFonts w:hint="eastAsia" w:ascii="宋体" w:hAnsi="宋体"/>
                <w:bCs/>
                <w:color w:val="auto"/>
                <w:sz w:val="24"/>
                <w:szCs w:val="24"/>
                <w:highlight w:val="none"/>
              </w:rPr>
            </w:pPr>
          </w:p>
        </w:tc>
      </w:tr>
      <w:tr w14:paraId="0876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1DEABF2E">
            <w:pPr>
              <w:jc w:val="center"/>
              <w:rPr>
                <w:rFonts w:hint="eastAsia" w:ascii="宋体" w:hAnsi="宋体"/>
                <w:bCs/>
                <w:color w:val="auto"/>
                <w:sz w:val="24"/>
                <w:szCs w:val="24"/>
                <w:highlight w:val="none"/>
              </w:rPr>
            </w:pPr>
            <w:r>
              <w:rPr>
                <w:rFonts w:ascii="宋体" w:hAnsi="宋体"/>
                <w:bCs/>
                <w:color w:val="auto"/>
                <w:sz w:val="24"/>
                <w:szCs w:val="24"/>
                <w:highlight w:val="none"/>
              </w:rPr>
              <w:t>…</w:t>
            </w:r>
          </w:p>
        </w:tc>
        <w:tc>
          <w:tcPr>
            <w:tcW w:w="3300" w:type="dxa"/>
            <w:noWrap w:val="0"/>
            <w:vAlign w:val="center"/>
          </w:tcPr>
          <w:p w14:paraId="005D5968">
            <w:pPr>
              <w:jc w:val="center"/>
              <w:rPr>
                <w:rFonts w:hint="eastAsia" w:ascii="宋体" w:hAnsi="宋体"/>
                <w:bCs/>
                <w:color w:val="auto"/>
                <w:sz w:val="24"/>
                <w:szCs w:val="24"/>
                <w:highlight w:val="none"/>
              </w:rPr>
            </w:pPr>
          </w:p>
        </w:tc>
        <w:tc>
          <w:tcPr>
            <w:tcW w:w="1440" w:type="dxa"/>
            <w:noWrap w:val="0"/>
            <w:vAlign w:val="center"/>
          </w:tcPr>
          <w:p w14:paraId="78E04689">
            <w:pPr>
              <w:jc w:val="center"/>
              <w:rPr>
                <w:rFonts w:hint="eastAsia" w:ascii="宋体" w:hAnsi="宋体"/>
                <w:bCs/>
                <w:color w:val="auto"/>
                <w:sz w:val="24"/>
                <w:szCs w:val="24"/>
                <w:highlight w:val="none"/>
              </w:rPr>
            </w:pPr>
          </w:p>
        </w:tc>
        <w:tc>
          <w:tcPr>
            <w:tcW w:w="1800" w:type="dxa"/>
            <w:noWrap w:val="0"/>
            <w:vAlign w:val="center"/>
          </w:tcPr>
          <w:p w14:paraId="271EB0D3">
            <w:pPr>
              <w:jc w:val="center"/>
              <w:rPr>
                <w:rFonts w:hint="eastAsia" w:ascii="宋体" w:hAnsi="宋体"/>
                <w:bCs/>
                <w:color w:val="auto"/>
                <w:sz w:val="24"/>
                <w:szCs w:val="24"/>
                <w:highlight w:val="none"/>
              </w:rPr>
            </w:pPr>
          </w:p>
        </w:tc>
        <w:tc>
          <w:tcPr>
            <w:tcW w:w="1664" w:type="dxa"/>
            <w:noWrap w:val="0"/>
            <w:vAlign w:val="center"/>
          </w:tcPr>
          <w:p w14:paraId="1EAE21C6">
            <w:pPr>
              <w:jc w:val="center"/>
              <w:rPr>
                <w:rFonts w:hint="eastAsia" w:ascii="宋体" w:hAnsi="宋体"/>
                <w:bCs/>
                <w:color w:val="auto"/>
                <w:sz w:val="24"/>
                <w:szCs w:val="24"/>
                <w:highlight w:val="none"/>
              </w:rPr>
            </w:pPr>
          </w:p>
        </w:tc>
      </w:tr>
      <w:tr w14:paraId="3433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0AB477EB">
            <w:pPr>
              <w:jc w:val="center"/>
              <w:rPr>
                <w:rFonts w:hint="eastAsia" w:ascii="宋体" w:hAnsi="宋体"/>
                <w:bCs/>
                <w:color w:val="auto"/>
                <w:sz w:val="24"/>
                <w:szCs w:val="24"/>
                <w:highlight w:val="none"/>
              </w:rPr>
            </w:pPr>
          </w:p>
        </w:tc>
        <w:tc>
          <w:tcPr>
            <w:tcW w:w="3300" w:type="dxa"/>
            <w:noWrap w:val="0"/>
            <w:vAlign w:val="center"/>
          </w:tcPr>
          <w:p w14:paraId="20A43328">
            <w:pPr>
              <w:pStyle w:val="77"/>
              <w:ind w:left="-108"/>
              <w:jc w:val="center"/>
              <w:rPr>
                <w:rFonts w:hint="eastAsia" w:ascii="宋体" w:hAnsi="宋体"/>
                <w:bCs/>
                <w:color w:val="auto"/>
                <w:szCs w:val="24"/>
                <w:highlight w:val="none"/>
              </w:rPr>
            </w:pPr>
            <w:r>
              <w:rPr>
                <w:rFonts w:hint="eastAsia" w:ascii="宋体" w:hAnsi="宋体"/>
                <w:bCs/>
                <w:color w:val="auto"/>
                <w:szCs w:val="24"/>
                <w:highlight w:val="none"/>
              </w:rPr>
              <w:t>其他费用</w:t>
            </w:r>
          </w:p>
        </w:tc>
        <w:tc>
          <w:tcPr>
            <w:tcW w:w="1440" w:type="dxa"/>
            <w:noWrap w:val="0"/>
            <w:vAlign w:val="center"/>
          </w:tcPr>
          <w:p w14:paraId="1DBC00C5">
            <w:pPr>
              <w:jc w:val="center"/>
              <w:rPr>
                <w:rFonts w:hint="eastAsia" w:ascii="宋体" w:hAnsi="宋体"/>
                <w:bCs/>
                <w:color w:val="auto"/>
                <w:sz w:val="24"/>
                <w:szCs w:val="24"/>
                <w:highlight w:val="none"/>
              </w:rPr>
            </w:pPr>
          </w:p>
        </w:tc>
        <w:tc>
          <w:tcPr>
            <w:tcW w:w="1800" w:type="dxa"/>
            <w:noWrap w:val="0"/>
            <w:vAlign w:val="center"/>
          </w:tcPr>
          <w:p w14:paraId="52BCA661">
            <w:pPr>
              <w:jc w:val="center"/>
              <w:rPr>
                <w:rFonts w:hint="eastAsia" w:ascii="宋体" w:hAnsi="宋体"/>
                <w:bCs/>
                <w:color w:val="auto"/>
                <w:sz w:val="24"/>
                <w:szCs w:val="24"/>
                <w:highlight w:val="none"/>
              </w:rPr>
            </w:pPr>
          </w:p>
        </w:tc>
        <w:tc>
          <w:tcPr>
            <w:tcW w:w="1664" w:type="dxa"/>
            <w:noWrap w:val="0"/>
            <w:vAlign w:val="center"/>
          </w:tcPr>
          <w:p w14:paraId="5FC326A0">
            <w:pPr>
              <w:jc w:val="center"/>
              <w:rPr>
                <w:rFonts w:hint="eastAsia" w:ascii="宋体" w:hAnsi="宋体"/>
                <w:bCs/>
                <w:color w:val="auto"/>
                <w:sz w:val="24"/>
                <w:szCs w:val="24"/>
                <w:highlight w:val="none"/>
              </w:rPr>
            </w:pPr>
          </w:p>
        </w:tc>
      </w:tr>
      <w:tr w14:paraId="28BA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39B53CD4">
            <w:pPr>
              <w:jc w:val="center"/>
              <w:rPr>
                <w:rFonts w:hint="eastAsia" w:ascii="宋体" w:hAnsi="宋体"/>
                <w:bCs/>
                <w:color w:val="auto"/>
                <w:sz w:val="24"/>
                <w:szCs w:val="24"/>
                <w:highlight w:val="none"/>
              </w:rPr>
            </w:pPr>
          </w:p>
        </w:tc>
        <w:tc>
          <w:tcPr>
            <w:tcW w:w="3300" w:type="dxa"/>
            <w:noWrap w:val="0"/>
            <w:vAlign w:val="center"/>
          </w:tcPr>
          <w:p w14:paraId="08D16F27">
            <w:pPr>
              <w:jc w:val="center"/>
              <w:rPr>
                <w:rFonts w:hint="eastAsia" w:ascii="宋体" w:hAnsi="宋体"/>
                <w:bCs/>
                <w:color w:val="auto"/>
                <w:sz w:val="24"/>
                <w:szCs w:val="24"/>
                <w:highlight w:val="none"/>
              </w:rPr>
            </w:pPr>
            <w:r>
              <w:rPr>
                <w:rFonts w:ascii="宋体" w:hAnsi="宋体"/>
                <w:bCs/>
                <w:color w:val="auto"/>
                <w:sz w:val="24"/>
                <w:szCs w:val="24"/>
                <w:highlight w:val="none"/>
              </w:rPr>
              <w:t>……</w:t>
            </w:r>
          </w:p>
        </w:tc>
        <w:tc>
          <w:tcPr>
            <w:tcW w:w="1440" w:type="dxa"/>
            <w:noWrap w:val="0"/>
            <w:vAlign w:val="center"/>
          </w:tcPr>
          <w:p w14:paraId="784C4D2D">
            <w:pPr>
              <w:jc w:val="center"/>
              <w:rPr>
                <w:rFonts w:hint="eastAsia" w:ascii="宋体" w:hAnsi="宋体"/>
                <w:bCs/>
                <w:color w:val="auto"/>
                <w:sz w:val="24"/>
                <w:szCs w:val="24"/>
                <w:highlight w:val="none"/>
              </w:rPr>
            </w:pPr>
          </w:p>
        </w:tc>
        <w:tc>
          <w:tcPr>
            <w:tcW w:w="1800" w:type="dxa"/>
            <w:noWrap w:val="0"/>
            <w:vAlign w:val="center"/>
          </w:tcPr>
          <w:p w14:paraId="549E9C46">
            <w:pPr>
              <w:jc w:val="center"/>
              <w:rPr>
                <w:rFonts w:hint="eastAsia" w:ascii="宋体" w:hAnsi="宋体"/>
                <w:bCs/>
                <w:color w:val="auto"/>
                <w:sz w:val="24"/>
                <w:szCs w:val="24"/>
                <w:highlight w:val="none"/>
              </w:rPr>
            </w:pPr>
          </w:p>
        </w:tc>
        <w:tc>
          <w:tcPr>
            <w:tcW w:w="1664" w:type="dxa"/>
            <w:noWrap w:val="0"/>
            <w:vAlign w:val="center"/>
          </w:tcPr>
          <w:p w14:paraId="2FC0E2BC">
            <w:pPr>
              <w:jc w:val="center"/>
              <w:rPr>
                <w:rFonts w:hint="eastAsia" w:ascii="宋体" w:hAnsi="宋体"/>
                <w:bCs/>
                <w:color w:val="auto"/>
                <w:sz w:val="24"/>
                <w:szCs w:val="24"/>
                <w:highlight w:val="none"/>
              </w:rPr>
            </w:pPr>
          </w:p>
        </w:tc>
      </w:tr>
      <w:tr w14:paraId="6BBD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0" w:type="dxa"/>
            <w:gridSpan w:val="4"/>
            <w:noWrap w:val="0"/>
            <w:vAlign w:val="center"/>
          </w:tcPr>
          <w:p w14:paraId="2EE4A3EB">
            <w:pPr>
              <w:jc w:val="center"/>
              <w:rPr>
                <w:rFonts w:hint="eastAsia" w:ascii="宋体" w:hAnsi="宋体"/>
                <w:bCs/>
                <w:color w:val="auto"/>
                <w:sz w:val="24"/>
                <w:szCs w:val="24"/>
                <w:highlight w:val="none"/>
              </w:rPr>
            </w:pPr>
            <w:r>
              <w:rPr>
                <w:rFonts w:hint="eastAsia" w:ascii="宋体" w:hAnsi="宋体"/>
                <w:bCs/>
                <w:color w:val="auto"/>
                <w:sz w:val="24"/>
                <w:szCs w:val="24"/>
                <w:highlight w:val="none"/>
              </w:rPr>
              <w:t>合计金额（元）</w:t>
            </w:r>
          </w:p>
        </w:tc>
        <w:tc>
          <w:tcPr>
            <w:tcW w:w="1664" w:type="dxa"/>
            <w:noWrap w:val="0"/>
            <w:vAlign w:val="center"/>
          </w:tcPr>
          <w:p w14:paraId="4D64B4D7">
            <w:pPr>
              <w:jc w:val="center"/>
              <w:rPr>
                <w:rFonts w:hint="eastAsia" w:ascii="宋体" w:hAnsi="宋体"/>
                <w:bCs/>
                <w:color w:val="auto"/>
                <w:sz w:val="24"/>
                <w:szCs w:val="24"/>
                <w:highlight w:val="none"/>
              </w:rPr>
            </w:pPr>
          </w:p>
        </w:tc>
      </w:tr>
    </w:tbl>
    <w:p w14:paraId="4AA80AAA">
      <w:pPr>
        <w:pStyle w:val="70"/>
        <w:ind w:left="0" w:leftChars="0" w:firstLine="0" w:firstLineChars="0"/>
        <w:rPr>
          <w:rFonts w:hint="eastAsia" w:ascii="宋体" w:hAnsi="宋体"/>
          <w:color w:val="auto"/>
          <w:sz w:val="24"/>
          <w:highlight w:val="none"/>
        </w:rPr>
      </w:pPr>
    </w:p>
    <w:p w14:paraId="63E1099A">
      <w:pPr>
        <w:pStyle w:val="70"/>
        <w:rPr>
          <w:rFonts w:hint="eastAsia"/>
          <w:color w:val="auto"/>
          <w:highlight w:val="none"/>
        </w:rPr>
      </w:pPr>
    </w:p>
    <w:p w14:paraId="183DF7AE">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r>
        <w:rPr>
          <w:rFonts w:hint="eastAsia"/>
          <w:bCs/>
          <w:color w:val="auto"/>
          <w:sz w:val="24"/>
          <w:szCs w:val="24"/>
          <w:highlight w:val="none"/>
          <w:lang w:eastAsia="zh-CN"/>
        </w:rPr>
        <w:t>投标人名称（</w:t>
      </w:r>
      <w:r>
        <w:rPr>
          <w:rFonts w:hint="eastAsia"/>
          <w:bCs/>
          <w:color w:val="auto"/>
          <w:sz w:val="24"/>
          <w:szCs w:val="24"/>
          <w:highlight w:val="none"/>
          <w:lang w:val="en-US" w:eastAsia="zh-CN"/>
        </w:rPr>
        <w:t>盖章</w:t>
      </w:r>
      <w:r>
        <w:rPr>
          <w:rFonts w:hint="eastAsia"/>
          <w:bCs/>
          <w:color w:val="auto"/>
          <w:sz w:val="24"/>
          <w:szCs w:val="24"/>
          <w:highlight w:val="none"/>
          <w:lang w:eastAsia="zh-CN"/>
        </w:rPr>
        <w:t>）</w:t>
      </w:r>
      <w:r>
        <w:rPr>
          <w:rFonts w:hint="eastAsia"/>
          <w:bCs/>
          <w:color w:val="auto"/>
          <w:sz w:val="24"/>
          <w:szCs w:val="24"/>
          <w:highlight w:val="none"/>
        </w:rPr>
        <w:t>：</w:t>
      </w:r>
    </w:p>
    <w:p w14:paraId="7632426F">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法定代表人或委托代理人（签字或盖章）：</w:t>
      </w:r>
    </w:p>
    <w:p w14:paraId="6C05924A">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r>
        <w:rPr>
          <w:rFonts w:hint="eastAsia"/>
          <w:bCs/>
          <w:color w:val="auto"/>
          <w:sz w:val="24"/>
          <w:szCs w:val="24"/>
          <w:highlight w:val="none"/>
        </w:rPr>
        <w:t>日期：</w:t>
      </w:r>
    </w:p>
    <w:p w14:paraId="5152ADAD">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2F5F9819">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702A46BA">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4BD2D2D2">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3845C277">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5983A013">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302F7E12">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67E472AD">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7C3C4D10">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5FFB4ACB">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6BE06A29">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69FA61EB">
      <w:pPr>
        <w:keepNext w:val="0"/>
        <w:keepLines w:val="0"/>
        <w:pageBreakBefore w:val="0"/>
        <w:widowControl w:val="0"/>
        <w:kinsoku/>
        <w:wordWrap/>
        <w:overflowPunct/>
        <w:topLinePunct w:val="0"/>
        <w:autoSpaceDE/>
        <w:autoSpaceDN/>
        <w:bidi w:val="0"/>
        <w:adjustRightInd/>
        <w:snapToGrid/>
        <w:spacing w:line="360" w:lineRule="auto"/>
        <w:ind w:left="0" w:leftChars="0" w:right="0" w:firstLine="2400" w:firstLineChars="1000"/>
        <w:textAlignment w:val="auto"/>
        <w:rPr>
          <w:rFonts w:hint="eastAsia"/>
          <w:bCs/>
          <w:color w:val="auto"/>
          <w:sz w:val="24"/>
          <w:szCs w:val="24"/>
          <w:highlight w:val="none"/>
        </w:rPr>
      </w:pPr>
    </w:p>
    <w:p w14:paraId="32DF1F99">
      <w:pPr>
        <w:bidi w:val="0"/>
        <w:rPr>
          <w:rFonts w:hint="eastAsia"/>
          <w:color w:val="auto"/>
          <w:highlight w:val="none"/>
        </w:rPr>
      </w:pPr>
    </w:p>
    <w:p w14:paraId="5686ACCC">
      <w:pPr>
        <w:adjustRightInd w:val="0"/>
        <w:snapToGrid w:val="0"/>
        <w:spacing w:line="360" w:lineRule="auto"/>
        <w:rPr>
          <w:rFonts w:hint="eastAsia" w:ascii="宋体" w:hAnsi="宋体"/>
          <w:bCs/>
          <w:color w:val="auto"/>
          <w:sz w:val="24"/>
          <w:szCs w:val="28"/>
          <w:highlight w:val="none"/>
        </w:rPr>
      </w:pPr>
      <w:r>
        <w:rPr>
          <w:rFonts w:hint="eastAsia" w:ascii="宋体" w:hAnsi="宋体"/>
          <w:bCs/>
          <w:color w:val="auto"/>
          <w:sz w:val="24"/>
          <w:szCs w:val="28"/>
          <w:highlight w:val="none"/>
        </w:rPr>
        <w:t>备注：</w:t>
      </w:r>
    </w:p>
    <w:p w14:paraId="6D894CFC">
      <w:pPr>
        <w:adjustRightInd w:val="0"/>
        <w:snapToGrid w:val="0"/>
        <w:spacing w:line="360" w:lineRule="auto"/>
        <w:ind w:firstLine="480" w:firstLineChars="200"/>
        <w:rPr>
          <w:rFonts w:hint="eastAsia" w:ascii="宋体" w:hAnsi="宋体"/>
          <w:bCs/>
          <w:color w:val="auto"/>
          <w:sz w:val="24"/>
          <w:szCs w:val="28"/>
          <w:highlight w:val="none"/>
        </w:rPr>
        <w:sectPr>
          <w:pgSz w:w="11905" w:h="16838"/>
          <w:pgMar w:top="1474" w:right="1361" w:bottom="1361" w:left="1474" w:header="964" w:footer="964" w:gutter="0"/>
          <w:pgNumType w:fmt="decimal"/>
          <w:cols w:space="720" w:num="1"/>
          <w:rtlGutter w:val="0"/>
          <w:docGrid w:linePitch="303" w:charSpace="0"/>
        </w:sectPr>
      </w:pPr>
      <w:r>
        <w:rPr>
          <w:rFonts w:hint="eastAsia" w:ascii="宋体" w:hAnsi="宋体"/>
          <w:bCs/>
          <w:color w:val="auto"/>
          <w:sz w:val="24"/>
          <w:szCs w:val="28"/>
          <w:highlight w:val="none"/>
        </w:rPr>
        <w:t>表中所列服务为对应本项目需求的全部服务内容。如有漏项或缺项，</w:t>
      </w:r>
      <w:r>
        <w:rPr>
          <w:rFonts w:hint="eastAsia" w:ascii="宋体" w:hAnsi="宋体"/>
          <w:bCs/>
          <w:color w:val="auto"/>
          <w:sz w:val="24"/>
          <w:szCs w:val="28"/>
          <w:highlight w:val="none"/>
          <w:lang w:eastAsia="zh-CN"/>
        </w:rPr>
        <w:t>投标人</w:t>
      </w:r>
      <w:r>
        <w:rPr>
          <w:rFonts w:hint="eastAsia" w:ascii="宋体" w:hAnsi="宋体"/>
          <w:bCs/>
          <w:color w:val="auto"/>
          <w:sz w:val="24"/>
          <w:szCs w:val="28"/>
          <w:highlight w:val="none"/>
        </w:rPr>
        <w:t>承担全部责任。</w:t>
      </w:r>
    </w:p>
    <w:bookmarkEnd w:id="173"/>
    <w:bookmarkEnd w:id="174"/>
    <w:bookmarkEnd w:id="175"/>
    <w:bookmarkEnd w:id="185"/>
    <w:p w14:paraId="026F6079">
      <w:pPr>
        <w:pStyle w:val="3"/>
        <w:keepNext/>
        <w:keepLines/>
        <w:pageBreakBefore w:val="0"/>
        <w:widowControl w:val="0"/>
        <w:numPr>
          <w:ilvl w:val="0"/>
          <w:numId w:val="0"/>
        </w:numPr>
        <w:kinsoku/>
        <w:wordWrap/>
        <w:overflowPunct/>
        <w:topLinePunct w:val="0"/>
        <w:autoSpaceDE/>
        <w:autoSpaceDN/>
        <w:bidi w:val="0"/>
        <w:adjustRightInd/>
        <w:snapToGrid/>
        <w:spacing w:before="0" w:after="120" w:afterLines="50" w:line="360" w:lineRule="auto"/>
        <w:jc w:val="center"/>
        <w:textAlignment w:val="auto"/>
        <w:rPr>
          <w:rFonts w:hint="eastAsia" w:ascii="宋体" w:hAnsi="宋体" w:eastAsia="宋体" w:cs="宋体"/>
          <w:b/>
          <w:bCs/>
          <w:color w:val="auto"/>
          <w:sz w:val="24"/>
          <w:szCs w:val="24"/>
          <w:highlight w:val="none"/>
          <w:lang w:val="en-US" w:eastAsia="zh-CN"/>
        </w:rPr>
      </w:pPr>
      <w:bookmarkStart w:id="211" w:name="_Hlt526418107"/>
      <w:bookmarkEnd w:id="211"/>
      <w:bookmarkStart w:id="212" w:name="_Toc20375"/>
      <w:bookmarkStart w:id="213" w:name="_Toc2930"/>
      <w:bookmarkStart w:id="214" w:name="_Toc493152871"/>
      <w:bookmarkStart w:id="215" w:name="_Toc457942830"/>
      <w:r>
        <w:rPr>
          <w:rFonts w:hint="eastAsia" w:ascii="宋体" w:hAnsi="宋体" w:eastAsia="宋体" w:cs="宋体"/>
          <w:b/>
          <w:bCs/>
          <w:color w:val="auto"/>
          <w:sz w:val="24"/>
          <w:szCs w:val="24"/>
          <w:highlight w:val="none"/>
          <w:lang w:val="en-US" w:eastAsia="zh-CN"/>
        </w:rPr>
        <w:t>十、其他材料</w:t>
      </w:r>
      <w:bookmarkEnd w:id="212"/>
      <w:bookmarkEnd w:id="213"/>
    </w:p>
    <w:p w14:paraId="451925AD">
      <w:pPr>
        <w:adjustRightInd w:val="0"/>
        <w:snapToGrid w:val="0"/>
        <w:spacing w:line="360" w:lineRule="auto"/>
        <w:ind w:firstLine="480" w:firstLineChars="200"/>
        <w:rPr>
          <w:rFonts w:hint="default" w:ascii="宋体" w:hAnsi="宋体" w:eastAsia="宋体" w:cs="Times New Roman"/>
          <w:bCs/>
          <w:color w:val="auto"/>
          <w:sz w:val="24"/>
          <w:szCs w:val="28"/>
          <w:highlight w:val="none"/>
          <w:lang w:val="en-US" w:eastAsia="zh-CN"/>
        </w:rPr>
      </w:pPr>
      <w:r>
        <w:rPr>
          <w:rFonts w:hint="eastAsia" w:ascii="宋体" w:hAnsi="宋体" w:eastAsia="宋体" w:cs="Times New Roman"/>
          <w:bCs/>
          <w:color w:val="auto"/>
          <w:sz w:val="24"/>
          <w:szCs w:val="28"/>
          <w:highlight w:val="none"/>
          <w:lang w:val="en-US" w:eastAsia="zh-CN"/>
        </w:rPr>
        <w:t>投标人名称认为应该提供的其他对其有利的相关材料</w:t>
      </w:r>
    </w:p>
    <w:p w14:paraId="1CF4BEC8">
      <w:pPr>
        <w:pStyle w:val="70"/>
        <w:rPr>
          <w:rFonts w:hint="eastAsia" w:ascii="宋体" w:hAnsi="宋体" w:eastAsia="宋体" w:cs="宋体"/>
          <w:b/>
          <w:bCs/>
          <w:color w:val="auto"/>
          <w:sz w:val="24"/>
          <w:szCs w:val="24"/>
          <w:highlight w:val="none"/>
          <w:lang w:val="en-US" w:eastAsia="zh-CN"/>
        </w:rPr>
      </w:pPr>
    </w:p>
    <w:bookmarkEnd w:id="214"/>
    <w:bookmarkEnd w:id="215"/>
    <w:p w14:paraId="6840FC90">
      <w:pPr>
        <w:pStyle w:val="70"/>
        <w:ind w:left="0" w:leftChars="0" w:firstLine="0" w:firstLineChars="0"/>
        <w:rPr>
          <w:rFonts w:hint="eastAsia" w:ascii="宋体" w:hAnsi="宋体"/>
          <w:color w:val="auto"/>
          <w:sz w:val="24"/>
          <w:szCs w:val="24"/>
          <w:highlight w:val="none"/>
        </w:rPr>
      </w:pPr>
    </w:p>
    <w:p w14:paraId="5DA008D1">
      <w:pPr>
        <w:pStyle w:val="70"/>
        <w:rPr>
          <w:rFonts w:hint="eastAsia" w:ascii="宋体" w:hAnsi="宋体"/>
          <w:color w:val="auto"/>
          <w:sz w:val="24"/>
          <w:szCs w:val="24"/>
          <w:highlight w:val="none"/>
        </w:rPr>
      </w:pPr>
    </w:p>
    <w:p w14:paraId="278D1A20">
      <w:pPr>
        <w:tabs>
          <w:tab w:val="left" w:pos="4620"/>
        </w:tabs>
        <w:spacing w:line="560" w:lineRule="exact"/>
        <w:rPr>
          <w:rFonts w:hint="eastAsia" w:ascii="宋体" w:hAnsi="宋体"/>
          <w:b/>
          <w:bCs/>
          <w:color w:val="auto"/>
          <w:sz w:val="24"/>
          <w:szCs w:val="24"/>
          <w:highlight w:val="none"/>
        </w:rPr>
      </w:pPr>
    </w:p>
    <w:sectPr>
      <w:pgSz w:w="11905" w:h="16838"/>
      <w:pgMar w:top="1474" w:right="1361" w:bottom="1361" w:left="1474" w:header="964" w:footer="964" w:gutter="0"/>
      <w:pgNumType w:fmt="decimal"/>
      <w:cols w:space="720" w:num="1"/>
      <w:rtlGutter w:val="0"/>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7443B63-1D2C-44B6-9893-83C53CB10C90}"/>
  </w:font>
  <w:font w:name="Arial">
    <w:panose1 w:val="020B0604020202020204"/>
    <w:charset w:val="01"/>
    <w:family w:val="swiss"/>
    <w:pitch w:val="default"/>
    <w:sig w:usb0="E0002EFF" w:usb1="C000785B" w:usb2="00000009" w:usb3="00000000" w:csb0="400001FF" w:csb1="FFFF0000"/>
    <w:embedRegular r:id="rId2" w:fontKey="{B25E1D86-8DC4-4677-992E-2FAC7EA2961D}"/>
  </w:font>
  <w:font w:name="黑体">
    <w:panose1 w:val="02010609060101010101"/>
    <w:charset w:val="86"/>
    <w:family w:val="auto"/>
    <w:pitch w:val="default"/>
    <w:sig w:usb0="800002BF" w:usb1="38CF7CFA" w:usb2="00000016" w:usb3="00000000" w:csb0="00040001" w:csb1="00000000"/>
    <w:embedRegular r:id="rId3" w:fontKey="{37FF6233-9EB2-4E60-86CA-739784A0AF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D2EAC3A5-8C43-4FBC-ADFB-F98232BEC0CC}"/>
  </w:font>
  <w:font w:name="仿宋_GB2312">
    <w:panose1 w:val="02010609030101010101"/>
    <w:charset w:val="86"/>
    <w:family w:val="modern"/>
    <w:pitch w:val="default"/>
    <w:sig w:usb0="00000001" w:usb1="080E0000" w:usb2="00000000" w:usb3="00000000" w:csb0="00040000" w:csb1="00000000"/>
    <w:embedRegular r:id="rId5" w:fontKey="{9257DDAB-B6B8-4E45-A75A-A0333B2DA0C7}"/>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6" w:fontKey="{3A84B29E-730E-4063-A976-F5486BF45D6B}"/>
  </w:font>
  <w:font w:name="新宋体">
    <w:panose1 w:val="02010609030101010101"/>
    <w:charset w:val="86"/>
    <w:family w:val="auto"/>
    <w:pitch w:val="default"/>
    <w:sig w:usb0="00000203" w:usb1="288F0000" w:usb2="00000006" w:usb3="00000000" w:csb0="00040001" w:csb1="00000000"/>
    <w:embedRegular r:id="rId7" w:fontKey="{C09B215A-773E-4125-A63B-DB7C1AACDA97}"/>
  </w:font>
  <w:font w:name="微软简标宋">
    <w:altName w:val="宋体"/>
    <w:panose1 w:val="00000000000000000000"/>
    <w:charset w:val="86"/>
    <w:family w:val="auto"/>
    <w:pitch w:val="default"/>
    <w:sig w:usb0="00000000" w:usb1="00000000" w:usb2="00000010" w:usb3="00000000" w:csb0="00040000" w:csb1="00000000"/>
    <w:embedRegular r:id="rId8" w:fontKey="{89311B2C-A599-42B1-AD33-087C57AC89E6}"/>
  </w:font>
  <w:font w:name="Arial Black">
    <w:panose1 w:val="020B0A04020102020204"/>
    <w:charset w:val="00"/>
    <w:family w:val="swiss"/>
    <w:pitch w:val="default"/>
    <w:sig w:usb0="A00002AF" w:usb1="400078FB" w:usb2="00000000" w:usb3="00000000" w:csb0="6000009F" w:csb1="DFD70000"/>
    <w:embedRegular r:id="rId9" w:fontKey="{387971CE-CDA1-4CAD-ACC6-37FE3D7DA8BD}"/>
  </w:font>
  <w:font w:name="华文中宋">
    <w:panose1 w:val="02010600040101010101"/>
    <w:charset w:val="86"/>
    <w:family w:val="auto"/>
    <w:pitch w:val="default"/>
    <w:sig w:usb0="00000287" w:usb1="080F0000" w:usb2="00000000" w:usb3="00000000" w:csb0="0004009F" w:csb1="DFD70000"/>
    <w:embedRegular r:id="rId10" w:fontKey="{7EF64809-F488-489D-8A24-14C445BC8EF4}"/>
  </w:font>
  <w:font w:name="DotumChe">
    <w:panose1 w:val="020B0609000101010101"/>
    <w:charset w:val="81"/>
    <w:family w:val="modern"/>
    <w:pitch w:val="default"/>
    <w:sig w:usb0="B00002AF" w:usb1="69D77CFB" w:usb2="00000030" w:usb3="00000000" w:csb0="4008009F" w:csb1="DFD70000"/>
    <w:embedRegular r:id="rId11" w:fontKey="{0453945D-4B3B-4A97-A0ED-C7C4B59D71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F43E9">
    <w:pPr>
      <w:spacing w:line="220" w:lineRule="auto"/>
      <w:ind w:left="3323"/>
      <w:rPr>
        <w:rFonts w:ascii="宋体" w:hAnsi="宋体" w:cs="宋体"/>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322C8">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A322C8">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6003">
    <w:pPr>
      <w:pStyle w:val="26"/>
      <w:ind w:right="-21" w:firstLine="5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B456E">
                          <w:pPr>
                            <w:pStyle w:val="26"/>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3B456E">
                    <w:pPr>
                      <w:pStyle w:val="26"/>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CEB3B">
    <w:pPr>
      <w:pStyle w:val="27"/>
      <w:pBdr>
        <w:bottom w:val="single" w:color="auto" w:sz="4" w:space="1"/>
      </w:pBdr>
      <w:jc w:val="center"/>
      <w:rPr>
        <w:rFonts w:hint="default" w:eastAsia="宋体"/>
        <w:color w:val="auto"/>
        <w:sz w:val="18"/>
        <w:szCs w:val="18"/>
        <w:u w:val="none"/>
        <w:lang w:val="en-US" w:eastAsia="zh-CN"/>
      </w:rPr>
    </w:pPr>
    <w:r>
      <w:rPr>
        <w:rFonts w:hint="eastAsia" w:eastAsia="宋体"/>
        <w:color w:val="auto"/>
        <w:sz w:val="18"/>
        <w:szCs w:val="18"/>
        <w:u w:val="none"/>
        <w:lang w:val="en-US" w:eastAsia="zh-CN"/>
      </w:rPr>
      <w:t>安徽中资项目管理有限公司                                                                    公开招标</w:t>
    </w:r>
  </w:p>
  <w:p w14:paraId="555074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A28DF">
    <w:pPr>
      <w:pStyle w:val="27"/>
      <w:pBdr>
        <w:bottom w:val="single" w:color="auto" w:sz="4" w:space="1"/>
      </w:pBdr>
      <w:jc w:val="center"/>
      <w:rPr>
        <w:rFonts w:hint="default" w:eastAsia="宋体"/>
        <w:color w:val="auto"/>
        <w:sz w:val="18"/>
        <w:szCs w:val="18"/>
        <w:u w:val="none"/>
        <w:lang w:val="en-US" w:eastAsia="zh-CN"/>
      </w:rPr>
    </w:pPr>
    <w:r>
      <w:rPr>
        <w:rFonts w:hint="eastAsia" w:eastAsia="宋体"/>
        <w:color w:val="auto"/>
        <w:sz w:val="18"/>
        <w:szCs w:val="18"/>
        <w:u w:val="none"/>
        <w:lang w:val="en-US" w:eastAsia="zh-CN"/>
      </w:rPr>
      <w:t>安徽中资项目管理有限公司                                                                    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E4F3A11"/>
    <w:multiLevelType w:val="multilevel"/>
    <w:tmpl w:val="2E4F3A11"/>
    <w:lvl w:ilvl="0" w:tentative="0">
      <w:start w:val="1"/>
      <w:numFmt w:val="decimal"/>
      <w:pStyle w:val="94"/>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76"/>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95"/>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48716ABE"/>
    <w:multiLevelType w:val="multilevel"/>
    <w:tmpl w:val="48716ABE"/>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78"/>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abstractNum w:abstractNumId="3">
    <w:nsid w:val="7324E2B3"/>
    <w:multiLevelType w:val="singleLevel"/>
    <w:tmpl w:val="7324E2B3"/>
    <w:lvl w:ilvl="0" w:tentative="0">
      <w:start w:val="1"/>
      <w:numFmt w:val="decimal"/>
      <w:pStyle w:val="100"/>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NDE4NDA2Mzc2OWZlNDgwNTU0YzliMjhhMmRlNmUifQ=="/>
    <w:docVar w:name="KSO_WPS_MARK_KEY" w:val="5dd98f5a-5984-4d62-95ee-c019593650d7"/>
  </w:docVars>
  <w:rsids>
    <w:rsidRoot w:val="008B57E3"/>
    <w:rsid w:val="00000AE7"/>
    <w:rsid w:val="000013B2"/>
    <w:rsid w:val="00002701"/>
    <w:rsid w:val="00005D35"/>
    <w:rsid w:val="000064A5"/>
    <w:rsid w:val="00023234"/>
    <w:rsid w:val="00023458"/>
    <w:rsid w:val="00025252"/>
    <w:rsid w:val="00025C6C"/>
    <w:rsid w:val="000305C3"/>
    <w:rsid w:val="00030E8B"/>
    <w:rsid w:val="0003201D"/>
    <w:rsid w:val="00035BA8"/>
    <w:rsid w:val="00036B54"/>
    <w:rsid w:val="0004164A"/>
    <w:rsid w:val="0005255F"/>
    <w:rsid w:val="000546CA"/>
    <w:rsid w:val="000568C5"/>
    <w:rsid w:val="000574FF"/>
    <w:rsid w:val="00061038"/>
    <w:rsid w:val="00077A58"/>
    <w:rsid w:val="00077A8D"/>
    <w:rsid w:val="00083A90"/>
    <w:rsid w:val="00086D51"/>
    <w:rsid w:val="0009194A"/>
    <w:rsid w:val="000936C0"/>
    <w:rsid w:val="000945BC"/>
    <w:rsid w:val="00095AB7"/>
    <w:rsid w:val="0009702F"/>
    <w:rsid w:val="00097960"/>
    <w:rsid w:val="00097A67"/>
    <w:rsid w:val="000A0E74"/>
    <w:rsid w:val="000A5C7E"/>
    <w:rsid w:val="000A6A2E"/>
    <w:rsid w:val="000B1CAC"/>
    <w:rsid w:val="000B6281"/>
    <w:rsid w:val="000C6640"/>
    <w:rsid w:val="000D07F1"/>
    <w:rsid w:val="000D0C31"/>
    <w:rsid w:val="000D4D0D"/>
    <w:rsid w:val="000D5AF1"/>
    <w:rsid w:val="000D7585"/>
    <w:rsid w:val="000E0858"/>
    <w:rsid w:val="000E0B1E"/>
    <w:rsid w:val="000E1FFA"/>
    <w:rsid w:val="000F351F"/>
    <w:rsid w:val="000F6021"/>
    <w:rsid w:val="00104F65"/>
    <w:rsid w:val="001050F6"/>
    <w:rsid w:val="00106E9A"/>
    <w:rsid w:val="00110968"/>
    <w:rsid w:val="00122708"/>
    <w:rsid w:val="001229E7"/>
    <w:rsid w:val="0013120B"/>
    <w:rsid w:val="00134B32"/>
    <w:rsid w:val="001377B5"/>
    <w:rsid w:val="00142509"/>
    <w:rsid w:val="00150902"/>
    <w:rsid w:val="00156F4A"/>
    <w:rsid w:val="0015735B"/>
    <w:rsid w:val="001607B1"/>
    <w:rsid w:val="00161CAF"/>
    <w:rsid w:val="0016650B"/>
    <w:rsid w:val="00172B82"/>
    <w:rsid w:val="00177869"/>
    <w:rsid w:val="00177BF6"/>
    <w:rsid w:val="00177C92"/>
    <w:rsid w:val="001A11D2"/>
    <w:rsid w:val="001A553F"/>
    <w:rsid w:val="001A682D"/>
    <w:rsid w:val="001B39CA"/>
    <w:rsid w:val="001C3385"/>
    <w:rsid w:val="001C439E"/>
    <w:rsid w:val="001D31DA"/>
    <w:rsid w:val="001D7451"/>
    <w:rsid w:val="001E0912"/>
    <w:rsid w:val="001E27B6"/>
    <w:rsid w:val="001E4214"/>
    <w:rsid w:val="001F1083"/>
    <w:rsid w:val="001F24DC"/>
    <w:rsid w:val="001F5208"/>
    <w:rsid w:val="00212BB5"/>
    <w:rsid w:val="00215698"/>
    <w:rsid w:val="002217CD"/>
    <w:rsid w:val="002308CF"/>
    <w:rsid w:val="0023398A"/>
    <w:rsid w:val="00234C60"/>
    <w:rsid w:val="00236DA5"/>
    <w:rsid w:val="00237396"/>
    <w:rsid w:val="00237839"/>
    <w:rsid w:val="002405FC"/>
    <w:rsid w:val="0024629A"/>
    <w:rsid w:val="00262AD2"/>
    <w:rsid w:val="002630BB"/>
    <w:rsid w:val="002631C5"/>
    <w:rsid w:val="002652E4"/>
    <w:rsid w:val="002704F9"/>
    <w:rsid w:val="00274DBE"/>
    <w:rsid w:val="002758BE"/>
    <w:rsid w:val="00276472"/>
    <w:rsid w:val="00277A24"/>
    <w:rsid w:val="002807C8"/>
    <w:rsid w:val="00281720"/>
    <w:rsid w:val="00281BFB"/>
    <w:rsid w:val="002827C9"/>
    <w:rsid w:val="0028284F"/>
    <w:rsid w:val="0028357E"/>
    <w:rsid w:val="00293206"/>
    <w:rsid w:val="00295F20"/>
    <w:rsid w:val="002A1ED6"/>
    <w:rsid w:val="002A650B"/>
    <w:rsid w:val="002B2D74"/>
    <w:rsid w:val="002B4B47"/>
    <w:rsid w:val="002B5CD6"/>
    <w:rsid w:val="002C01D0"/>
    <w:rsid w:val="002C035E"/>
    <w:rsid w:val="002C6920"/>
    <w:rsid w:val="002C764B"/>
    <w:rsid w:val="002D0BFC"/>
    <w:rsid w:val="002E04DB"/>
    <w:rsid w:val="002E144C"/>
    <w:rsid w:val="002E6CE9"/>
    <w:rsid w:val="002F02E4"/>
    <w:rsid w:val="002F0328"/>
    <w:rsid w:val="002F0AD2"/>
    <w:rsid w:val="002F2F2B"/>
    <w:rsid w:val="002F516E"/>
    <w:rsid w:val="0030066E"/>
    <w:rsid w:val="003014A7"/>
    <w:rsid w:val="00302535"/>
    <w:rsid w:val="00310693"/>
    <w:rsid w:val="003139D7"/>
    <w:rsid w:val="00323CA5"/>
    <w:rsid w:val="0032479B"/>
    <w:rsid w:val="00325501"/>
    <w:rsid w:val="00327CF4"/>
    <w:rsid w:val="00334A79"/>
    <w:rsid w:val="00335D43"/>
    <w:rsid w:val="0033789B"/>
    <w:rsid w:val="00341AE6"/>
    <w:rsid w:val="0035042F"/>
    <w:rsid w:val="00350D12"/>
    <w:rsid w:val="00363777"/>
    <w:rsid w:val="00363CE1"/>
    <w:rsid w:val="003716CB"/>
    <w:rsid w:val="00374B4E"/>
    <w:rsid w:val="00374BC6"/>
    <w:rsid w:val="00387C0F"/>
    <w:rsid w:val="00390207"/>
    <w:rsid w:val="00392038"/>
    <w:rsid w:val="00394CA5"/>
    <w:rsid w:val="00394D7A"/>
    <w:rsid w:val="003958CB"/>
    <w:rsid w:val="003A47A7"/>
    <w:rsid w:val="003C1656"/>
    <w:rsid w:val="003C75E1"/>
    <w:rsid w:val="003D0EBE"/>
    <w:rsid w:val="003D2134"/>
    <w:rsid w:val="003D46B9"/>
    <w:rsid w:val="003D6186"/>
    <w:rsid w:val="003E2C9F"/>
    <w:rsid w:val="003E34B3"/>
    <w:rsid w:val="003F4C66"/>
    <w:rsid w:val="003F6102"/>
    <w:rsid w:val="003F6125"/>
    <w:rsid w:val="003F6FC2"/>
    <w:rsid w:val="0040066A"/>
    <w:rsid w:val="0040779B"/>
    <w:rsid w:val="00412992"/>
    <w:rsid w:val="00415674"/>
    <w:rsid w:val="00415E79"/>
    <w:rsid w:val="00415F03"/>
    <w:rsid w:val="004256CD"/>
    <w:rsid w:val="004340D5"/>
    <w:rsid w:val="00436CCF"/>
    <w:rsid w:val="00442257"/>
    <w:rsid w:val="00451456"/>
    <w:rsid w:val="00451D40"/>
    <w:rsid w:val="00455242"/>
    <w:rsid w:val="0046247F"/>
    <w:rsid w:val="00465D2E"/>
    <w:rsid w:val="00465DDB"/>
    <w:rsid w:val="004671CA"/>
    <w:rsid w:val="004705BC"/>
    <w:rsid w:val="004751F9"/>
    <w:rsid w:val="00481FE8"/>
    <w:rsid w:val="00482581"/>
    <w:rsid w:val="00482924"/>
    <w:rsid w:val="00486524"/>
    <w:rsid w:val="004873A9"/>
    <w:rsid w:val="00490CB2"/>
    <w:rsid w:val="00494BE3"/>
    <w:rsid w:val="00497AE0"/>
    <w:rsid w:val="004A1561"/>
    <w:rsid w:val="004A1B41"/>
    <w:rsid w:val="004A3F5A"/>
    <w:rsid w:val="004B0816"/>
    <w:rsid w:val="004B58AE"/>
    <w:rsid w:val="004B5931"/>
    <w:rsid w:val="004B61BF"/>
    <w:rsid w:val="004C2075"/>
    <w:rsid w:val="004D477C"/>
    <w:rsid w:val="004E09A6"/>
    <w:rsid w:val="004E532C"/>
    <w:rsid w:val="004E68AA"/>
    <w:rsid w:val="004F1EB8"/>
    <w:rsid w:val="004F1F77"/>
    <w:rsid w:val="004F3F79"/>
    <w:rsid w:val="004F4119"/>
    <w:rsid w:val="004F7CF8"/>
    <w:rsid w:val="00500923"/>
    <w:rsid w:val="00502500"/>
    <w:rsid w:val="005030F2"/>
    <w:rsid w:val="005066DD"/>
    <w:rsid w:val="005122FA"/>
    <w:rsid w:val="00513B8A"/>
    <w:rsid w:val="00514C07"/>
    <w:rsid w:val="005254F3"/>
    <w:rsid w:val="00541A73"/>
    <w:rsid w:val="00541D1D"/>
    <w:rsid w:val="00542692"/>
    <w:rsid w:val="005459A6"/>
    <w:rsid w:val="00552C7D"/>
    <w:rsid w:val="00554955"/>
    <w:rsid w:val="00556A39"/>
    <w:rsid w:val="005633D3"/>
    <w:rsid w:val="005658A8"/>
    <w:rsid w:val="0057558B"/>
    <w:rsid w:val="00583468"/>
    <w:rsid w:val="00592350"/>
    <w:rsid w:val="00593666"/>
    <w:rsid w:val="00595D49"/>
    <w:rsid w:val="005A12FA"/>
    <w:rsid w:val="005A5699"/>
    <w:rsid w:val="005A59F6"/>
    <w:rsid w:val="005B00F0"/>
    <w:rsid w:val="005B14A8"/>
    <w:rsid w:val="005B1B42"/>
    <w:rsid w:val="005B1CD4"/>
    <w:rsid w:val="005B2DE2"/>
    <w:rsid w:val="005B638D"/>
    <w:rsid w:val="005C1763"/>
    <w:rsid w:val="005D43B7"/>
    <w:rsid w:val="005D52BF"/>
    <w:rsid w:val="005E0946"/>
    <w:rsid w:val="005E1272"/>
    <w:rsid w:val="005E2047"/>
    <w:rsid w:val="005E2EC6"/>
    <w:rsid w:val="005E3489"/>
    <w:rsid w:val="005E4D95"/>
    <w:rsid w:val="005E537A"/>
    <w:rsid w:val="005F17E8"/>
    <w:rsid w:val="005F1DC4"/>
    <w:rsid w:val="005F6AB0"/>
    <w:rsid w:val="005F72DC"/>
    <w:rsid w:val="00605CBF"/>
    <w:rsid w:val="006122FE"/>
    <w:rsid w:val="006164FE"/>
    <w:rsid w:val="0061798C"/>
    <w:rsid w:val="00620E4B"/>
    <w:rsid w:val="00621990"/>
    <w:rsid w:val="006250B4"/>
    <w:rsid w:val="0063782A"/>
    <w:rsid w:val="006430CF"/>
    <w:rsid w:val="00652B94"/>
    <w:rsid w:val="0065417F"/>
    <w:rsid w:val="00662A2F"/>
    <w:rsid w:val="006631BE"/>
    <w:rsid w:val="00684892"/>
    <w:rsid w:val="00686FBC"/>
    <w:rsid w:val="006909A6"/>
    <w:rsid w:val="00690E48"/>
    <w:rsid w:val="00692ADA"/>
    <w:rsid w:val="00694D00"/>
    <w:rsid w:val="006979B0"/>
    <w:rsid w:val="006A1012"/>
    <w:rsid w:val="006A4851"/>
    <w:rsid w:val="006B4C11"/>
    <w:rsid w:val="006B5AE5"/>
    <w:rsid w:val="006C6DB6"/>
    <w:rsid w:val="006D05CC"/>
    <w:rsid w:val="006D2B61"/>
    <w:rsid w:val="006D373F"/>
    <w:rsid w:val="006D4204"/>
    <w:rsid w:val="006F0AEF"/>
    <w:rsid w:val="006F6F18"/>
    <w:rsid w:val="006F78FA"/>
    <w:rsid w:val="00702B05"/>
    <w:rsid w:val="00710623"/>
    <w:rsid w:val="007135C1"/>
    <w:rsid w:val="00720DEB"/>
    <w:rsid w:val="007232F2"/>
    <w:rsid w:val="007247D4"/>
    <w:rsid w:val="007264BF"/>
    <w:rsid w:val="00727BA8"/>
    <w:rsid w:val="0073048C"/>
    <w:rsid w:val="0073180F"/>
    <w:rsid w:val="00732330"/>
    <w:rsid w:val="00735962"/>
    <w:rsid w:val="00737797"/>
    <w:rsid w:val="007472E0"/>
    <w:rsid w:val="0075482B"/>
    <w:rsid w:val="0076142A"/>
    <w:rsid w:val="00764FA5"/>
    <w:rsid w:val="007677F5"/>
    <w:rsid w:val="00767F4A"/>
    <w:rsid w:val="00773048"/>
    <w:rsid w:val="00773E88"/>
    <w:rsid w:val="00774BB7"/>
    <w:rsid w:val="0077591B"/>
    <w:rsid w:val="0078355E"/>
    <w:rsid w:val="00785A32"/>
    <w:rsid w:val="0078663C"/>
    <w:rsid w:val="0078776A"/>
    <w:rsid w:val="00794D46"/>
    <w:rsid w:val="00795764"/>
    <w:rsid w:val="007A107E"/>
    <w:rsid w:val="007A5C86"/>
    <w:rsid w:val="007B06E8"/>
    <w:rsid w:val="007B6E15"/>
    <w:rsid w:val="007D1A49"/>
    <w:rsid w:val="007D6241"/>
    <w:rsid w:val="007D7DFF"/>
    <w:rsid w:val="007E100E"/>
    <w:rsid w:val="007E1886"/>
    <w:rsid w:val="007E2EC1"/>
    <w:rsid w:val="007E300F"/>
    <w:rsid w:val="007E44DD"/>
    <w:rsid w:val="007F32BD"/>
    <w:rsid w:val="007F3433"/>
    <w:rsid w:val="007F7BD9"/>
    <w:rsid w:val="00802467"/>
    <w:rsid w:val="0080255F"/>
    <w:rsid w:val="008046B5"/>
    <w:rsid w:val="008053EB"/>
    <w:rsid w:val="00816905"/>
    <w:rsid w:val="008172A8"/>
    <w:rsid w:val="00822196"/>
    <w:rsid w:val="008260A7"/>
    <w:rsid w:val="008339EB"/>
    <w:rsid w:val="00844523"/>
    <w:rsid w:val="00854C36"/>
    <w:rsid w:val="00860307"/>
    <w:rsid w:val="008663A6"/>
    <w:rsid w:val="00867AC5"/>
    <w:rsid w:val="008700D7"/>
    <w:rsid w:val="00871B12"/>
    <w:rsid w:val="0087410E"/>
    <w:rsid w:val="008762AB"/>
    <w:rsid w:val="00877891"/>
    <w:rsid w:val="00880EBC"/>
    <w:rsid w:val="00881E89"/>
    <w:rsid w:val="00885ACF"/>
    <w:rsid w:val="00897B8E"/>
    <w:rsid w:val="008A12FC"/>
    <w:rsid w:val="008A57F7"/>
    <w:rsid w:val="008A5D17"/>
    <w:rsid w:val="008B57E3"/>
    <w:rsid w:val="008C54DE"/>
    <w:rsid w:val="008D360B"/>
    <w:rsid w:val="008D455F"/>
    <w:rsid w:val="008E70A5"/>
    <w:rsid w:val="008E72D6"/>
    <w:rsid w:val="008E7C99"/>
    <w:rsid w:val="008F1A0E"/>
    <w:rsid w:val="008F287A"/>
    <w:rsid w:val="008F51E9"/>
    <w:rsid w:val="009007A6"/>
    <w:rsid w:val="009041E4"/>
    <w:rsid w:val="00904987"/>
    <w:rsid w:val="0091046A"/>
    <w:rsid w:val="00915239"/>
    <w:rsid w:val="00920D16"/>
    <w:rsid w:val="00922243"/>
    <w:rsid w:val="009223DA"/>
    <w:rsid w:val="00922F18"/>
    <w:rsid w:val="00923ED8"/>
    <w:rsid w:val="00930485"/>
    <w:rsid w:val="00931FAE"/>
    <w:rsid w:val="00933D1B"/>
    <w:rsid w:val="00935466"/>
    <w:rsid w:val="00942D9A"/>
    <w:rsid w:val="00950822"/>
    <w:rsid w:val="009577BE"/>
    <w:rsid w:val="009659A5"/>
    <w:rsid w:val="00975BF9"/>
    <w:rsid w:val="00976A2F"/>
    <w:rsid w:val="009862AE"/>
    <w:rsid w:val="009911DD"/>
    <w:rsid w:val="0099610B"/>
    <w:rsid w:val="00997F5D"/>
    <w:rsid w:val="009B6FFA"/>
    <w:rsid w:val="009C2062"/>
    <w:rsid w:val="009C613B"/>
    <w:rsid w:val="009D0258"/>
    <w:rsid w:val="009D23B4"/>
    <w:rsid w:val="009D5A93"/>
    <w:rsid w:val="009E5E72"/>
    <w:rsid w:val="009E64D9"/>
    <w:rsid w:val="009F4F76"/>
    <w:rsid w:val="00A004AE"/>
    <w:rsid w:val="00A0381F"/>
    <w:rsid w:val="00A03D93"/>
    <w:rsid w:val="00A123B7"/>
    <w:rsid w:val="00A21962"/>
    <w:rsid w:val="00A21DA1"/>
    <w:rsid w:val="00A2263B"/>
    <w:rsid w:val="00A243D1"/>
    <w:rsid w:val="00A352F0"/>
    <w:rsid w:val="00A41D40"/>
    <w:rsid w:val="00A44C50"/>
    <w:rsid w:val="00A45F2D"/>
    <w:rsid w:val="00A51026"/>
    <w:rsid w:val="00A52656"/>
    <w:rsid w:val="00A5600E"/>
    <w:rsid w:val="00A612BE"/>
    <w:rsid w:val="00A704B8"/>
    <w:rsid w:val="00A70CEB"/>
    <w:rsid w:val="00A735E7"/>
    <w:rsid w:val="00A77496"/>
    <w:rsid w:val="00A77690"/>
    <w:rsid w:val="00A829FB"/>
    <w:rsid w:val="00A970E6"/>
    <w:rsid w:val="00AA10F0"/>
    <w:rsid w:val="00AA4B1E"/>
    <w:rsid w:val="00AA691B"/>
    <w:rsid w:val="00AB1A16"/>
    <w:rsid w:val="00AB2427"/>
    <w:rsid w:val="00AB5FA6"/>
    <w:rsid w:val="00AB641F"/>
    <w:rsid w:val="00AC148A"/>
    <w:rsid w:val="00AC4010"/>
    <w:rsid w:val="00AD0BE2"/>
    <w:rsid w:val="00AD2715"/>
    <w:rsid w:val="00AD48DA"/>
    <w:rsid w:val="00AD7866"/>
    <w:rsid w:val="00AE082B"/>
    <w:rsid w:val="00AE11DE"/>
    <w:rsid w:val="00AE1F4F"/>
    <w:rsid w:val="00AE35C5"/>
    <w:rsid w:val="00AE4938"/>
    <w:rsid w:val="00AF43BB"/>
    <w:rsid w:val="00AF4779"/>
    <w:rsid w:val="00AF7E0D"/>
    <w:rsid w:val="00AF7EA0"/>
    <w:rsid w:val="00B00B73"/>
    <w:rsid w:val="00B029B9"/>
    <w:rsid w:val="00B06AE3"/>
    <w:rsid w:val="00B07BF1"/>
    <w:rsid w:val="00B1018E"/>
    <w:rsid w:val="00B12CFD"/>
    <w:rsid w:val="00B13408"/>
    <w:rsid w:val="00B13749"/>
    <w:rsid w:val="00B16CA1"/>
    <w:rsid w:val="00B200E3"/>
    <w:rsid w:val="00B21A56"/>
    <w:rsid w:val="00B25A35"/>
    <w:rsid w:val="00B36092"/>
    <w:rsid w:val="00B43982"/>
    <w:rsid w:val="00B65F54"/>
    <w:rsid w:val="00B67EC8"/>
    <w:rsid w:val="00B8055B"/>
    <w:rsid w:val="00B87297"/>
    <w:rsid w:val="00B95E62"/>
    <w:rsid w:val="00BA4322"/>
    <w:rsid w:val="00BA458E"/>
    <w:rsid w:val="00BA5616"/>
    <w:rsid w:val="00BA5BFD"/>
    <w:rsid w:val="00BB04B5"/>
    <w:rsid w:val="00BB1181"/>
    <w:rsid w:val="00BB2C5C"/>
    <w:rsid w:val="00BC2974"/>
    <w:rsid w:val="00BC32C8"/>
    <w:rsid w:val="00BC73A0"/>
    <w:rsid w:val="00BD09E2"/>
    <w:rsid w:val="00BD4E7A"/>
    <w:rsid w:val="00BD5BD0"/>
    <w:rsid w:val="00BD6F37"/>
    <w:rsid w:val="00BE3598"/>
    <w:rsid w:val="00BE3721"/>
    <w:rsid w:val="00BE37E3"/>
    <w:rsid w:val="00BE6D14"/>
    <w:rsid w:val="00BE7B2E"/>
    <w:rsid w:val="00BF1CBB"/>
    <w:rsid w:val="00BF521E"/>
    <w:rsid w:val="00BF65B6"/>
    <w:rsid w:val="00C00D8C"/>
    <w:rsid w:val="00C0628B"/>
    <w:rsid w:val="00C068F8"/>
    <w:rsid w:val="00C13956"/>
    <w:rsid w:val="00C13FFA"/>
    <w:rsid w:val="00C169B1"/>
    <w:rsid w:val="00C16DC8"/>
    <w:rsid w:val="00C2432A"/>
    <w:rsid w:val="00C25EAC"/>
    <w:rsid w:val="00C31EBF"/>
    <w:rsid w:val="00C33585"/>
    <w:rsid w:val="00C34522"/>
    <w:rsid w:val="00C34FA4"/>
    <w:rsid w:val="00C37D65"/>
    <w:rsid w:val="00C4168E"/>
    <w:rsid w:val="00C53915"/>
    <w:rsid w:val="00C56E85"/>
    <w:rsid w:val="00C642DF"/>
    <w:rsid w:val="00C74E5B"/>
    <w:rsid w:val="00C76CD6"/>
    <w:rsid w:val="00C8431C"/>
    <w:rsid w:val="00C85537"/>
    <w:rsid w:val="00C932F9"/>
    <w:rsid w:val="00CA32FD"/>
    <w:rsid w:val="00CB1805"/>
    <w:rsid w:val="00CB19D1"/>
    <w:rsid w:val="00CB3691"/>
    <w:rsid w:val="00CC1D89"/>
    <w:rsid w:val="00CC1E94"/>
    <w:rsid w:val="00CD56F0"/>
    <w:rsid w:val="00CE16F5"/>
    <w:rsid w:val="00CE5194"/>
    <w:rsid w:val="00CE592C"/>
    <w:rsid w:val="00CF3BAF"/>
    <w:rsid w:val="00CF475D"/>
    <w:rsid w:val="00CF635E"/>
    <w:rsid w:val="00CF7896"/>
    <w:rsid w:val="00D00E0D"/>
    <w:rsid w:val="00D02D62"/>
    <w:rsid w:val="00D115E5"/>
    <w:rsid w:val="00D11B2F"/>
    <w:rsid w:val="00D30C58"/>
    <w:rsid w:val="00D3343B"/>
    <w:rsid w:val="00D369F6"/>
    <w:rsid w:val="00D411D8"/>
    <w:rsid w:val="00D44FD7"/>
    <w:rsid w:val="00D47782"/>
    <w:rsid w:val="00D54A58"/>
    <w:rsid w:val="00D57995"/>
    <w:rsid w:val="00D63516"/>
    <w:rsid w:val="00D63ECD"/>
    <w:rsid w:val="00D66E2D"/>
    <w:rsid w:val="00D70F00"/>
    <w:rsid w:val="00D73B2F"/>
    <w:rsid w:val="00D7761D"/>
    <w:rsid w:val="00D7781A"/>
    <w:rsid w:val="00D77C98"/>
    <w:rsid w:val="00D826A6"/>
    <w:rsid w:val="00D85404"/>
    <w:rsid w:val="00D86646"/>
    <w:rsid w:val="00D91197"/>
    <w:rsid w:val="00D96DBB"/>
    <w:rsid w:val="00DA406B"/>
    <w:rsid w:val="00DA4B15"/>
    <w:rsid w:val="00DA6D04"/>
    <w:rsid w:val="00DA711E"/>
    <w:rsid w:val="00DB2A38"/>
    <w:rsid w:val="00DB4465"/>
    <w:rsid w:val="00DC0EF0"/>
    <w:rsid w:val="00DD3553"/>
    <w:rsid w:val="00DE2FEE"/>
    <w:rsid w:val="00DE3648"/>
    <w:rsid w:val="00DF3E07"/>
    <w:rsid w:val="00DF42DA"/>
    <w:rsid w:val="00DF5E0D"/>
    <w:rsid w:val="00E00B36"/>
    <w:rsid w:val="00E066EE"/>
    <w:rsid w:val="00E07AAF"/>
    <w:rsid w:val="00E115AC"/>
    <w:rsid w:val="00E14D56"/>
    <w:rsid w:val="00E16520"/>
    <w:rsid w:val="00E16F2F"/>
    <w:rsid w:val="00E31D26"/>
    <w:rsid w:val="00E36675"/>
    <w:rsid w:val="00E36E5D"/>
    <w:rsid w:val="00E57A5F"/>
    <w:rsid w:val="00E57E72"/>
    <w:rsid w:val="00E61597"/>
    <w:rsid w:val="00E6572A"/>
    <w:rsid w:val="00E678EF"/>
    <w:rsid w:val="00E841C7"/>
    <w:rsid w:val="00E97E86"/>
    <w:rsid w:val="00EA14A0"/>
    <w:rsid w:val="00EA33F1"/>
    <w:rsid w:val="00EA3B28"/>
    <w:rsid w:val="00EB47E6"/>
    <w:rsid w:val="00EB7054"/>
    <w:rsid w:val="00EC1C67"/>
    <w:rsid w:val="00EC320D"/>
    <w:rsid w:val="00EC35BC"/>
    <w:rsid w:val="00EC6CAA"/>
    <w:rsid w:val="00ED2502"/>
    <w:rsid w:val="00EE1EB6"/>
    <w:rsid w:val="00EE7E75"/>
    <w:rsid w:val="00EF0E4B"/>
    <w:rsid w:val="00EF20A2"/>
    <w:rsid w:val="00EF4302"/>
    <w:rsid w:val="00EF693B"/>
    <w:rsid w:val="00F02A7B"/>
    <w:rsid w:val="00F13428"/>
    <w:rsid w:val="00F142A8"/>
    <w:rsid w:val="00F15569"/>
    <w:rsid w:val="00F20F80"/>
    <w:rsid w:val="00F22818"/>
    <w:rsid w:val="00F249C5"/>
    <w:rsid w:val="00F25593"/>
    <w:rsid w:val="00F31A65"/>
    <w:rsid w:val="00F33F29"/>
    <w:rsid w:val="00F532EB"/>
    <w:rsid w:val="00F55CC9"/>
    <w:rsid w:val="00F60535"/>
    <w:rsid w:val="00F60C7E"/>
    <w:rsid w:val="00F648D7"/>
    <w:rsid w:val="00F7264F"/>
    <w:rsid w:val="00F74255"/>
    <w:rsid w:val="00F77AD9"/>
    <w:rsid w:val="00F84E5C"/>
    <w:rsid w:val="00F867E3"/>
    <w:rsid w:val="00F91242"/>
    <w:rsid w:val="00F9239D"/>
    <w:rsid w:val="00F92AEC"/>
    <w:rsid w:val="00F96EE1"/>
    <w:rsid w:val="00FA6C43"/>
    <w:rsid w:val="00FA7337"/>
    <w:rsid w:val="00FA738E"/>
    <w:rsid w:val="00FA7496"/>
    <w:rsid w:val="00FB1FD4"/>
    <w:rsid w:val="00FB7C03"/>
    <w:rsid w:val="00FC1192"/>
    <w:rsid w:val="00FC27DB"/>
    <w:rsid w:val="00FC3911"/>
    <w:rsid w:val="00FD020E"/>
    <w:rsid w:val="00FD5D33"/>
    <w:rsid w:val="00FE2E8B"/>
    <w:rsid w:val="00FE3630"/>
    <w:rsid w:val="00FE6654"/>
    <w:rsid w:val="00FF06C8"/>
    <w:rsid w:val="00FF107A"/>
    <w:rsid w:val="00FF2D70"/>
    <w:rsid w:val="00FF7DAD"/>
    <w:rsid w:val="010260AC"/>
    <w:rsid w:val="012C1195"/>
    <w:rsid w:val="014A3868"/>
    <w:rsid w:val="015448F0"/>
    <w:rsid w:val="01B00902"/>
    <w:rsid w:val="01C6043A"/>
    <w:rsid w:val="01C94F17"/>
    <w:rsid w:val="01F01803"/>
    <w:rsid w:val="01F90FB6"/>
    <w:rsid w:val="01FB2840"/>
    <w:rsid w:val="02057871"/>
    <w:rsid w:val="02141FBF"/>
    <w:rsid w:val="0236335D"/>
    <w:rsid w:val="0250441F"/>
    <w:rsid w:val="029307AF"/>
    <w:rsid w:val="02C07EB3"/>
    <w:rsid w:val="02CE0A54"/>
    <w:rsid w:val="02F10929"/>
    <w:rsid w:val="02FE13B4"/>
    <w:rsid w:val="030F42DA"/>
    <w:rsid w:val="03290F66"/>
    <w:rsid w:val="032A6093"/>
    <w:rsid w:val="034A70C0"/>
    <w:rsid w:val="034D4E02"/>
    <w:rsid w:val="039C3EAA"/>
    <w:rsid w:val="039D5F47"/>
    <w:rsid w:val="03B939BC"/>
    <w:rsid w:val="03F84D6E"/>
    <w:rsid w:val="04172FE8"/>
    <w:rsid w:val="04417874"/>
    <w:rsid w:val="04476E17"/>
    <w:rsid w:val="04617767"/>
    <w:rsid w:val="049B3DCF"/>
    <w:rsid w:val="049D76C3"/>
    <w:rsid w:val="04B52867"/>
    <w:rsid w:val="04B56B26"/>
    <w:rsid w:val="04D63E97"/>
    <w:rsid w:val="05177D7E"/>
    <w:rsid w:val="051C62C0"/>
    <w:rsid w:val="052E44FE"/>
    <w:rsid w:val="057F7796"/>
    <w:rsid w:val="05B91EC2"/>
    <w:rsid w:val="05D428E0"/>
    <w:rsid w:val="05DC421B"/>
    <w:rsid w:val="05EC26B0"/>
    <w:rsid w:val="06184FAC"/>
    <w:rsid w:val="06297FD8"/>
    <w:rsid w:val="065B7836"/>
    <w:rsid w:val="066C6D83"/>
    <w:rsid w:val="06723038"/>
    <w:rsid w:val="067F52D3"/>
    <w:rsid w:val="06B53514"/>
    <w:rsid w:val="06D618A2"/>
    <w:rsid w:val="0718609D"/>
    <w:rsid w:val="07230DA0"/>
    <w:rsid w:val="073E5403"/>
    <w:rsid w:val="07786453"/>
    <w:rsid w:val="079923C4"/>
    <w:rsid w:val="07E71F13"/>
    <w:rsid w:val="08151FFA"/>
    <w:rsid w:val="081D22BD"/>
    <w:rsid w:val="084C7436"/>
    <w:rsid w:val="088F739E"/>
    <w:rsid w:val="08913DC9"/>
    <w:rsid w:val="089D4136"/>
    <w:rsid w:val="08BB13F8"/>
    <w:rsid w:val="095C6620"/>
    <w:rsid w:val="09806A03"/>
    <w:rsid w:val="0995039F"/>
    <w:rsid w:val="099A1151"/>
    <w:rsid w:val="09B63701"/>
    <w:rsid w:val="09BA135F"/>
    <w:rsid w:val="09E0077E"/>
    <w:rsid w:val="09E7035F"/>
    <w:rsid w:val="0A053EB5"/>
    <w:rsid w:val="0A286569"/>
    <w:rsid w:val="0A2B2A60"/>
    <w:rsid w:val="0A2C4EEA"/>
    <w:rsid w:val="0A2D780A"/>
    <w:rsid w:val="0A585887"/>
    <w:rsid w:val="0A5C592B"/>
    <w:rsid w:val="0A71587A"/>
    <w:rsid w:val="0A8F242E"/>
    <w:rsid w:val="0AB74923"/>
    <w:rsid w:val="0AD32091"/>
    <w:rsid w:val="0AD87B45"/>
    <w:rsid w:val="0B921AA4"/>
    <w:rsid w:val="0BE5348E"/>
    <w:rsid w:val="0BEF24A9"/>
    <w:rsid w:val="0BF07BDA"/>
    <w:rsid w:val="0C01487C"/>
    <w:rsid w:val="0C2B3807"/>
    <w:rsid w:val="0C2C5BBA"/>
    <w:rsid w:val="0C4A48ED"/>
    <w:rsid w:val="0C9B28F4"/>
    <w:rsid w:val="0CA40BDD"/>
    <w:rsid w:val="0CAE2EA9"/>
    <w:rsid w:val="0CC9262E"/>
    <w:rsid w:val="0CCB356D"/>
    <w:rsid w:val="0CD30CE9"/>
    <w:rsid w:val="0CD43E9E"/>
    <w:rsid w:val="0CF307C8"/>
    <w:rsid w:val="0CF90EA0"/>
    <w:rsid w:val="0D04094F"/>
    <w:rsid w:val="0D1121B5"/>
    <w:rsid w:val="0D2F7927"/>
    <w:rsid w:val="0D57795D"/>
    <w:rsid w:val="0D702B3F"/>
    <w:rsid w:val="0D9F26FE"/>
    <w:rsid w:val="0DCD726B"/>
    <w:rsid w:val="0DF418E9"/>
    <w:rsid w:val="0DFB3F2B"/>
    <w:rsid w:val="0E2266DD"/>
    <w:rsid w:val="0E634A45"/>
    <w:rsid w:val="0E7027A9"/>
    <w:rsid w:val="0E7711D0"/>
    <w:rsid w:val="0EAD00AF"/>
    <w:rsid w:val="0ED64190"/>
    <w:rsid w:val="0EDB7E83"/>
    <w:rsid w:val="0F1B7082"/>
    <w:rsid w:val="0F2A7465"/>
    <w:rsid w:val="0F304CE9"/>
    <w:rsid w:val="0F671732"/>
    <w:rsid w:val="0F991B49"/>
    <w:rsid w:val="0F9C78ED"/>
    <w:rsid w:val="0FC02170"/>
    <w:rsid w:val="0FF02D9D"/>
    <w:rsid w:val="101271B8"/>
    <w:rsid w:val="101979C6"/>
    <w:rsid w:val="101A1F18"/>
    <w:rsid w:val="101F72A9"/>
    <w:rsid w:val="104D4DC5"/>
    <w:rsid w:val="10594DE6"/>
    <w:rsid w:val="10700DC2"/>
    <w:rsid w:val="107A6B0B"/>
    <w:rsid w:val="108C636C"/>
    <w:rsid w:val="10DE21C3"/>
    <w:rsid w:val="10DE709A"/>
    <w:rsid w:val="10FA586F"/>
    <w:rsid w:val="111301BB"/>
    <w:rsid w:val="111D7BC2"/>
    <w:rsid w:val="112B6015"/>
    <w:rsid w:val="11556359"/>
    <w:rsid w:val="115C122E"/>
    <w:rsid w:val="116B463F"/>
    <w:rsid w:val="11B70029"/>
    <w:rsid w:val="11BE45E9"/>
    <w:rsid w:val="11E971F2"/>
    <w:rsid w:val="11F32DBF"/>
    <w:rsid w:val="11F70527"/>
    <w:rsid w:val="11FB5196"/>
    <w:rsid w:val="12063F73"/>
    <w:rsid w:val="123E7B68"/>
    <w:rsid w:val="126A1D21"/>
    <w:rsid w:val="12704669"/>
    <w:rsid w:val="129D771A"/>
    <w:rsid w:val="12BB577E"/>
    <w:rsid w:val="12D278B4"/>
    <w:rsid w:val="12E36BE9"/>
    <w:rsid w:val="12EF76A8"/>
    <w:rsid w:val="13023513"/>
    <w:rsid w:val="13253A8F"/>
    <w:rsid w:val="135E451A"/>
    <w:rsid w:val="13985790"/>
    <w:rsid w:val="13BC5DB8"/>
    <w:rsid w:val="13C33D35"/>
    <w:rsid w:val="13CC1D73"/>
    <w:rsid w:val="13D717F0"/>
    <w:rsid w:val="13F92640"/>
    <w:rsid w:val="140A48F0"/>
    <w:rsid w:val="141548E9"/>
    <w:rsid w:val="141B0BDF"/>
    <w:rsid w:val="14264108"/>
    <w:rsid w:val="144E4536"/>
    <w:rsid w:val="14670949"/>
    <w:rsid w:val="14B02D81"/>
    <w:rsid w:val="14BF0C39"/>
    <w:rsid w:val="14C447F8"/>
    <w:rsid w:val="14CA74EE"/>
    <w:rsid w:val="14CF1965"/>
    <w:rsid w:val="14FE7D0A"/>
    <w:rsid w:val="15051099"/>
    <w:rsid w:val="1516401F"/>
    <w:rsid w:val="157D29F0"/>
    <w:rsid w:val="15A559BE"/>
    <w:rsid w:val="15C26F8A"/>
    <w:rsid w:val="15DA1380"/>
    <w:rsid w:val="15F9556A"/>
    <w:rsid w:val="16297009"/>
    <w:rsid w:val="164B247C"/>
    <w:rsid w:val="16565924"/>
    <w:rsid w:val="165C7332"/>
    <w:rsid w:val="16730284"/>
    <w:rsid w:val="16975509"/>
    <w:rsid w:val="169E4A2C"/>
    <w:rsid w:val="16C92E53"/>
    <w:rsid w:val="1776627E"/>
    <w:rsid w:val="17B43ECF"/>
    <w:rsid w:val="17FB1812"/>
    <w:rsid w:val="18317625"/>
    <w:rsid w:val="183D0B4A"/>
    <w:rsid w:val="184810EA"/>
    <w:rsid w:val="185D1F39"/>
    <w:rsid w:val="185E14DA"/>
    <w:rsid w:val="188778A3"/>
    <w:rsid w:val="18991417"/>
    <w:rsid w:val="18D31008"/>
    <w:rsid w:val="19571B5C"/>
    <w:rsid w:val="1976156B"/>
    <w:rsid w:val="1A127499"/>
    <w:rsid w:val="1A4C1518"/>
    <w:rsid w:val="1A54439E"/>
    <w:rsid w:val="1A646862"/>
    <w:rsid w:val="1A7841D7"/>
    <w:rsid w:val="1A7E6978"/>
    <w:rsid w:val="1A9B11D9"/>
    <w:rsid w:val="1AAE21D3"/>
    <w:rsid w:val="1AB05365"/>
    <w:rsid w:val="1AE9167F"/>
    <w:rsid w:val="1AF76C30"/>
    <w:rsid w:val="1B1E1106"/>
    <w:rsid w:val="1B3E0CB2"/>
    <w:rsid w:val="1B566A1D"/>
    <w:rsid w:val="1B807F5E"/>
    <w:rsid w:val="1B855A91"/>
    <w:rsid w:val="1B882B4E"/>
    <w:rsid w:val="1BA37C91"/>
    <w:rsid w:val="1BC23802"/>
    <w:rsid w:val="1BDD18F7"/>
    <w:rsid w:val="1BF05875"/>
    <w:rsid w:val="1BFF7433"/>
    <w:rsid w:val="1C0A3439"/>
    <w:rsid w:val="1C1C151B"/>
    <w:rsid w:val="1C1F23F4"/>
    <w:rsid w:val="1C4E7373"/>
    <w:rsid w:val="1C550B58"/>
    <w:rsid w:val="1C71170A"/>
    <w:rsid w:val="1C775FA5"/>
    <w:rsid w:val="1C842FE3"/>
    <w:rsid w:val="1CAB6996"/>
    <w:rsid w:val="1CC60823"/>
    <w:rsid w:val="1CC77DA9"/>
    <w:rsid w:val="1CDF48C5"/>
    <w:rsid w:val="1CEE2D5A"/>
    <w:rsid w:val="1CF2284B"/>
    <w:rsid w:val="1CF643E7"/>
    <w:rsid w:val="1D1B72C8"/>
    <w:rsid w:val="1D3B55FB"/>
    <w:rsid w:val="1D506DFC"/>
    <w:rsid w:val="1DB001FD"/>
    <w:rsid w:val="1DB50E61"/>
    <w:rsid w:val="1DB622C6"/>
    <w:rsid w:val="1DD91315"/>
    <w:rsid w:val="1DEF0B38"/>
    <w:rsid w:val="1DF34209"/>
    <w:rsid w:val="1E012619"/>
    <w:rsid w:val="1E0263BC"/>
    <w:rsid w:val="1E355D0B"/>
    <w:rsid w:val="1E5170FD"/>
    <w:rsid w:val="1E57048B"/>
    <w:rsid w:val="1E8B6C9C"/>
    <w:rsid w:val="1EA57449"/>
    <w:rsid w:val="1ECA45E3"/>
    <w:rsid w:val="1ED4325D"/>
    <w:rsid w:val="1EF80D2C"/>
    <w:rsid w:val="1F1E1139"/>
    <w:rsid w:val="1F3709E9"/>
    <w:rsid w:val="1F422EEA"/>
    <w:rsid w:val="1F731446"/>
    <w:rsid w:val="1F8B4F0A"/>
    <w:rsid w:val="1F95570F"/>
    <w:rsid w:val="1FB738D7"/>
    <w:rsid w:val="1FB81A82"/>
    <w:rsid w:val="1FD9577B"/>
    <w:rsid w:val="1FEE2497"/>
    <w:rsid w:val="1FF64400"/>
    <w:rsid w:val="200F5CCA"/>
    <w:rsid w:val="203646EC"/>
    <w:rsid w:val="204F58C7"/>
    <w:rsid w:val="206C021E"/>
    <w:rsid w:val="20757F3C"/>
    <w:rsid w:val="208C7D22"/>
    <w:rsid w:val="209E5D86"/>
    <w:rsid w:val="20A004EA"/>
    <w:rsid w:val="20A902C3"/>
    <w:rsid w:val="20B24AC2"/>
    <w:rsid w:val="20DC2F6A"/>
    <w:rsid w:val="210448FA"/>
    <w:rsid w:val="21061A7D"/>
    <w:rsid w:val="210F504D"/>
    <w:rsid w:val="213963BC"/>
    <w:rsid w:val="213F7E63"/>
    <w:rsid w:val="215A4093"/>
    <w:rsid w:val="217750CC"/>
    <w:rsid w:val="21AE2AB8"/>
    <w:rsid w:val="21B11E97"/>
    <w:rsid w:val="21D208E3"/>
    <w:rsid w:val="21E339BD"/>
    <w:rsid w:val="21E6059A"/>
    <w:rsid w:val="21FF10F4"/>
    <w:rsid w:val="220C067F"/>
    <w:rsid w:val="220D20D7"/>
    <w:rsid w:val="22150952"/>
    <w:rsid w:val="2218649E"/>
    <w:rsid w:val="222B46FB"/>
    <w:rsid w:val="224C1CF5"/>
    <w:rsid w:val="228201CD"/>
    <w:rsid w:val="22837BD7"/>
    <w:rsid w:val="22B22033"/>
    <w:rsid w:val="22BA749E"/>
    <w:rsid w:val="22F664C5"/>
    <w:rsid w:val="23005595"/>
    <w:rsid w:val="231A5314"/>
    <w:rsid w:val="232623FE"/>
    <w:rsid w:val="234436D4"/>
    <w:rsid w:val="237866D8"/>
    <w:rsid w:val="23A45F21"/>
    <w:rsid w:val="23B3160E"/>
    <w:rsid w:val="23D85337"/>
    <w:rsid w:val="23D95F46"/>
    <w:rsid w:val="23E16D91"/>
    <w:rsid w:val="23EE53EE"/>
    <w:rsid w:val="24015C07"/>
    <w:rsid w:val="240928D8"/>
    <w:rsid w:val="24350F57"/>
    <w:rsid w:val="24455502"/>
    <w:rsid w:val="244870D3"/>
    <w:rsid w:val="24B14D99"/>
    <w:rsid w:val="24DA29FA"/>
    <w:rsid w:val="24E17FE3"/>
    <w:rsid w:val="25216785"/>
    <w:rsid w:val="25304741"/>
    <w:rsid w:val="255C0A35"/>
    <w:rsid w:val="25666C5C"/>
    <w:rsid w:val="256D6441"/>
    <w:rsid w:val="257D304D"/>
    <w:rsid w:val="258F001C"/>
    <w:rsid w:val="25BD3D92"/>
    <w:rsid w:val="25CD7631"/>
    <w:rsid w:val="26192901"/>
    <w:rsid w:val="261B607A"/>
    <w:rsid w:val="263712CE"/>
    <w:rsid w:val="26794A86"/>
    <w:rsid w:val="26B71E80"/>
    <w:rsid w:val="26C855B9"/>
    <w:rsid w:val="26CA0E54"/>
    <w:rsid w:val="26E818F4"/>
    <w:rsid w:val="27366D61"/>
    <w:rsid w:val="27427F2B"/>
    <w:rsid w:val="278C6B0E"/>
    <w:rsid w:val="27904839"/>
    <w:rsid w:val="27BE1601"/>
    <w:rsid w:val="27E9484A"/>
    <w:rsid w:val="27F96E21"/>
    <w:rsid w:val="27FF59B2"/>
    <w:rsid w:val="28355CE1"/>
    <w:rsid w:val="28416802"/>
    <w:rsid w:val="285D27BB"/>
    <w:rsid w:val="28800425"/>
    <w:rsid w:val="28C302AE"/>
    <w:rsid w:val="28D76580"/>
    <w:rsid w:val="28E32364"/>
    <w:rsid w:val="28FF091D"/>
    <w:rsid w:val="293715E5"/>
    <w:rsid w:val="29376A7F"/>
    <w:rsid w:val="29543F45"/>
    <w:rsid w:val="297033D4"/>
    <w:rsid w:val="298020D1"/>
    <w:rsid w:val="29E057D9"/>
    <w:rsid w:val="29F42603"/>
    <w:rsid w:val="2A0616E3"/>
    <w:rsid w:val="2A3041CF"/>
    <w:rsid w:val="2A4F1518"/>
    <w:rsid w:val="2A5561C7"/>
    <w:rsid w:val="2A7FB256"/>
    <w:rsid w:val="2AA169FC"/>
    <w:rsid w:val="2AA262B3"/>
    <w:rsid w:val="2AA73F5B"/>
    <w:rsid w:val="2AC944BF"/>
    <w:rsid w:val="2ADE61BC"/>
    <w:rsid w:val="2AF15007"/>
    <w:rsid w:val="2AF270AA"/>
    <w:rsid w:val="2B151EAA"/>
    <w:rsid w:val="2B540ABB"/>
    <w:rsid w:val="2B781675"/>
    <w:rsid w:val="2B7A13BF"/>
    <w:rsid w:val="2B8A38F5"/>
    <w:rsid w:val="2BA4711B"/>
    <w:rsid w:val="2BCF587E"/>
    <w:rsid w:val="2BDA6F69"/>
    <w:rsid w:val="2C175298"/>
    <w:rsid w:val="2C2B29CA"/>
    <w:rsid w:val="2C4F5114"/>
    <w:rsid w:val="2C537DD2"/>
    <w:rsid w:val="2C7907D6"/>
    <w:rsid w:val="2C7E130F"/>
    <w:rsid w:val="2C7E7CC6"/>
    <w:rsid w:val="2CB56029"/>
    <w:rsid w:val="2CD86C3B"/>
    <w:rsid w:val="2D3C71CA"/>
    <w:rsid w:val="2D717CE1"/>
    <w:rsid w:val="2D852E71"/>
    <w:rsid w:val="2D910FF0"/>
    <w:rsid w:val="2D9C3A18"/>
    <w:rsid w:val="2DDD4107"/>
    <w:rsid w:val="2DE15353"/>
    <w:rsid w:val="2DE53B6A"/>
    <w:rsid w:val="2E114FDD"/>
    <w:rsid w:val="2E1D1588"/>
    <w:rsid w:val="2E323ECD"/>
    <w:rsid w:val="2E6C3FF8"/>
    <w:rsid w:val="2E9C2112"/>
    <w:rsid w:val="2EDA0361"/>
    <w:rsid w:val="2EDA73C9"/>
    <w:rsid w:val="2F0275CF"/>
    <w:rsid w:val="2F147825"/>
    <w:rsid w:val="2F283EAA"/>
    <w:rsid w:val="2F2F6CBA"/>
    <w:rsid w:val="2F773C55"/>
    <w:rsid w:val="2F776BDF"/>
    <w:rsid w:val="2F835584"/>
    <w:rsid w:val="2F886274"/>
    <w:rsid w:val="2F89301D"/>
    <w:rsid w:val="2FAE67A1"/>
    <w:rsid w:val="2FB4140C"/>
    <w:rsid w:val="2FCD296C"/>
    <w:rsid w:val="302A655A"/>
    <w:rsid w:val="304072FF"/>
    <w:rsid w:val="3051666F"/>
    <w:rsid w:val="30682C7A"/>
    <w:rsid w:val="30817482"/>
    <w:rsid w:val="30835D5B"/>
    <w:rsid w:val="30B8125D"/>
    <w:rsid w:val="30D56186"/>
    <w:rsid w:val="31017F44"/>
    <w:rsid w:val="310C3374"/>
    <w:rsid w:val="311B3777"/>
    <w:rsid w:val="31267093"/>
    <w:rsid w:val="31450125"/>
    <w:rsid w:val="3151027D"/>
    <w:rsid w:val="31523659"/>
    <w:rsid w:val="315D30CA"/>
    <w:rsid w:val="31982892"/>
    <w:rsid w:val="31A22F45"/>
    <w:rsid w:val="31A76041"/>
    <w:rsid w:val="31D9431D"/>
    <w:rsid w:val="31ED5D00"/>
    <w:rsid w:val="32062DDC"/>
    <w:rsid w:val="32285F6F"/>
    <w:rsid w:val="32457E88"/>
    <w:rsid w:val="326066BC"/>
    <w:rsid w:val="32936626"/>
    <w:rsid w:val="32C817FF"/>
    <w:rsid w:val="32D166F4"/>
    <w:rsid w:val="331E0A08"/>
    <w:rsid w:val="332C7FD4"/>
    <w:rsid w:val="335C010C"/>
    <w:rsid w:val="338D00AD"/>
    <w:rsid w:val="33DB1FC0"/>
    <w:rsid w:val="33F7635C"/>
    <w:rsid w:val="34086670"/>
    <w:rsid w:val="34117B01"/>
    <w:rsid w:val="34145CE6"/>
    <w:rsid w:val="34207846"/>
    <w:rsid w:val="34441786"/>
    <w:rsid w:val="344E2D92"/>
    <w:rsid w:val="34613413"/>
    <w:rsid w:val="34A02734"/>
    <w:rsid w:val="34B54432"/>
    <w:rsid w:val="34BD5094"/>
    <w:rsid w:val="34D9107F"/>
    <w:rsid w:val="34D92C74"/>
    <w:rsid w:val="34F605A6"/>
    <w:rsid w:val="350C534E"/>
    <w:rsid w:val="35284C04"/>
    <w:rsid w:val="353C131A"/>
    <w:rsid w:val="353C58E3"/>
    <w:rsid w:val="354B444E"/>
    <w:rsid w:val="355E6884"/>
    <w:rsid w:val="3583302D"/>
    <w:rsid w:val="35A208FE"/>
    <w:rsid w:val="35D04D12"/>
    <w:rsid w:val="35DE565D"/>
    <w:rsid w:val="35F057E0"/>
    <w:rsid w:val="36074868"/>
    <w:rsid w:val="36356EAC"/>
    <w:rsid w:val="36396688"/>
    <w:rsid w:val="36424C30"/>
    <w:rsid w:val="36837D2B"/>
    <w:rsid w:val="36C760C1"/>
    <w:rsid w:val="36CC5345"/>
    <w:rsid w:val="373A2B8B"/>
    <w:rsid w:val="373D426B"/>
    <w:rsid w:val="374A0C74"/>
    <w:rsid w:val="37715970"/>
    <w:rsid w:val="377E5D7E"/>
    <w:rsid w:val="3783167F"/>
    <w:rsid w:val="37CB7EE7"/>
    <w:rsid w:val="384A30E3"/>
    <w:rsid w:val="387B0309"/>
    <w:rsid w:val="38C937C7"/>
    <w:rsid w:val="38DF4E3E"/>
    <w:rsid w:val="39065634"/>
    <w:rsid w:val="39074DE7"/>
    <w:rsid w:val="393B5238"/>
    <w:rsid w:val="395D0BF4"/>
    <w:rsid w:val="397D3D88"/>
    <w:rsid w:val="39B300EB"/>
    <w:rsid w:val="39C075AD"/>
    <w:rsid w:val="39DB1A53"/>
    <w:rsid w:val="39E329CE"/>
    <w:rsid w:val="39E87232"/>
    <w:rsid w:val="39EA385F"/>
    <w:rsid w:val="3A0223BF"/>
    <w:rsid w:val="3A230977"/>
    <w:rsid w:val="3A30294F"/>
    <w:rsid w:val="3A991A37"/>
    <w:rsid w:val="3A9F431B"/>
    <w:rsid w:val="3AAB4C73"/>
    <w:rsid w:val="3AD5536C"/>
    <w:rsid w:val="3B0D6CC5"/>
    <w:rsid w:val="3B1A7B18"/>
    <w:rsid w:val="3B337E5E"/>
    <w:rsid w:val="3B3C3253"/>
    <w:rsid w:val="3B437E53"/>
    <w:rsid w:val="3B4413D5"/>
    <w:rsid w:val="3B5429D6"/>
    <w:rsid w:val="3B6566A6"/>
    <w:rsid w:val="3B7744A7"/>
    <w:rsid w:val="3B8F6F8B"/>
    <w:rsid w:val="3B944458"/>
    <w:rsid w:val="3BD13AAF"/>
    <w:rsid w:val="3BD643C7"/>
    <w:rsid w:val="3BF45BBB"/>
    <w:rsid w:val="3BF61227"/>
    <w:rsid w:val="3C1350AA"/>
    <w:rsid w:val="3C1668E7"/>
    <w:rsid w:val="3C1B3311"/>
    <w:rsid w:val="3C3F762A"/>
    <w:rsid w:val="3C40772F"/>
    <w:rsid w:val="3C610A26"/>
    <w:rsid w:val="3CA1529C"/>
    <w:rsid w:val="3CA640DC"/>
    <w:rsid w:val="3CBB45AF"/>
    <w:rsid w:val="3CDB69FF"/>
    <w:rsid w:val="3CE23839"/>
    <w:rsid w:val="3D1D1C13"/>
    <w:rsid w:val="3D2959BD"/>
    <w:rsid w:val="3D2C68ED"/>
    <w:rsid w:val="3D356E4E"/>
    <w:rsid w:val="3D371390"/>
    <w:rsid w:val="3D465DE8"/>
    <w:rsid w:val="3DC32465"/>
    <w:rsid w:val="3DD54AD5"/>
    <w:rsid w:val="3DDC2F20"/>
    <w:rsid w:val="3DEB2C72"/>
    <w:rsid w:val="3DF32FC8"/>
    <w:rsid w:val="3E2148E6"/>
    <w:rsid w:val="3E455873"/>
    <w:rsid w:val="3E5500EC"/>
    <w:rsid w:val="3E7756FF"/>
    <w:rsid w:val="3E9A0C3B"/>
    <w:rsid w:val="3EDC507D"/>
    <w:rsid w:val="3EFA6EDD"/>
    <w:rsid w:val="3F19380F"/>
    <w:rsid w:val="3F2C3542"/>
    <w:rsid w:val="3F6A7D54"/>
    <w:rsid w:val="3F6C6C99"/>
    <w:rsid w:val="3F7077C0"/>
    <w:rsid w:val="3F7D78FA"/>
    <w:rsid w:val="3F9D5328"/>
    <w:rsid w:val="3F9F4419"/>
    <w:rsid w:val="3FA01E9C"/>
    <w:rsid w:val="3FBF7C72"/>
    <w:rsid w:val="3FC07094"/>
    <w:rsid w:val="40224945"/>
    <w:rsid w:val="402A66E8"/>
    <w:rsid w:val="40810B30"/>
    <w:rsid w:val="409851E5"/>
    <w:rsid w:val="40AD5093"/>
    <w:rsid w:val="40B45A80"/>
    <w:rsid w:val="40C74CC4"/>
    <w:rsid w:val="40F57374"/>
    <w:rsid w:val="412F731A"/>
    <w:rsid w:val="4138442E"/>
    <w:rsid w:val="414F6F99"/>
    <w:rsid w:val="416E45FC"/>
    <w:rsid w:val="417F558F"/>
    <w:rsid w:val="41B61F00"/>
    <w:rsid w:val="41F1575B"/>
    <w:rsid w:val="420F3162"/>
    <w:rsid w:val="421309EA"/>
    <w:rsid w:val="42212999"/>
    <w:rsid w:val="42485F59"/>
    <w:rsid w:val="42510051"/>
    <w:rsid w:val="42594B93"/>
    <w:rsid w:val="42664D8A"/>
    <w:rsid w:val="427B6C12"/>
    <w:rsid w:val="428A284F"/>
    <w:rsid w:val="428D6C68"/>
    <w:rsid w:val="42AF5D6E"/>
    <w:rsid w:val="42EB54C2"/>
    <w:rsid w:val="42FD2397"/>
    <w:rsid w:val="43227C96"/>
    <w:rsid w:val="433302E2"/>
    <w:rsid w:val="43471949"/>
    <w:rsid w:val="43626A8A"/>
    <w:rsid w:val="43690B0F"/>
    <w:rsid w:val="4374370A"/>
    <w:rsid w:val="43763DB3"/>
    <w:rsid w:val="438559AC"/>
    <w:rsid w:val="438F22F2"/>
    <w:rsid w:val="4392221B"/>
    <w:rsid w:val="43A276B3"/>
    <w:rsid w:val="43DC4293"/>
    <w:rsid w:val="43ED645B"/>
    <w:rsid w:val="43F14D5A"/>
    <w:rsid w:val="43F54BF4"/>
    <w:rsid w:val="440E054D"/>
    <w:rsid w:val="44230E95"/>
    <w:rsid w:val="44265A72"/>
    <w:rsid w:val="442E5EF0"/>
    <w:rsid w:val="443543B8"/>
    <w:rsid w:val="44760DBC"/>
    <w:rsid w:val="44F03D2A"/>
    <w:rsid w:val="44FA379B"/>
    <w:rsid w:val="44FC7513"/>
    <w:rsid w:val="450A0E14"/>
    <w:rsid w:val="45196973"/>
    <w:rsid w:val="454C3F66"/>
    <w:rsid w:val="45746209"/>
    <w:rsid w:val="45AD5BD3"/>
    <w:rsid w:val="45B47C33"/>
    <w:rsid w:val="45C1250B"/>
    <w:rsid w:val="45CD7101"/>
    <w:rsid w:val="45D30C10"/>
    <w:rsid w:val="45DF6719"/>
    <w:rsid w:val="45E850CA"/>
    <w:rsid w:val="45FE1C5D"/>
    <w:rsid w:val="460C7C2A"/>
    <w:rsid w:val="466071CD"/>
    <w:rsid w:val="467F3E22"/>
    <w:rsid w:val="46B30CFB"/>
    <w:rsid w:val="46CC35EE"/>
    <w:rsid w:val="46DA4DBC"/>
    <w:rsid w:val="46E95F5B"/>
    <w:rsid w:val="46F06EDE"/>
    <w:rsid w:val="470661A7"/>
    <w:rsid w:val="473C62ED"/>
    <w:rsid w:val="4774493D"/>
    <w:rsid w:val="478236BD"/>
    <w:rsid w:val="47B37D01"/>
    <w:rsid w:val="47B401AC"/>
    <w:rsid w:val="47B737C5"/>
    <w:rsid w:val="47CF0F0F"/>
    <w:rsid w:val="47E62015"/>
    <w:rsid w:val="481D367D"/>
    <w:rsid w:val="482374AD"/>
    <w:rsid w:val="484668F0"/>
    <w:rsid w:val="48580FD7"/>
    <w:rsid w:val="485D2C77"/>
    <w:rsid w:val="4862636C"/>
    <w:rsid w:val="48667E96"/>
    <w:rsid w:val="488A12DA"/>
    <w:rsid w:val="48AB7A33"/>
    <w:rsid w:val="48B819A3"/>
    <w:rsid w:val="48C211F4"/>
    <w:rsid w:val="48D35608"/>
    <w:rsid w:val="48FC3A9E"/>
    <w:rsid w:val="491017DF"/>
    <w:rsid w:val="49114990"/>
    <w:rsid w:val="49341A0E"/>
    <w:rsid w:val="497C7B04"/>
    <w:rsid w:val="498B2BE2"/>
    <w:rsid w:val="49950224"/>
    <w:rsid w:val="49D60C91"/>
    <w:rsid w:val="49D722FD"/>
    <w:rsid w:val="49FE1A62"/>
    <w:rsid w:val="4A436F5B"/>
    <w:rsid w:val="4A567D5F"/>
    <w:rsid w:val="4A78377D"/>
    <w:rsid w:val="4A7F6A22"/>
    <w:rsid w:val="4AC52021"/>
    <w:rsid w:val="4AC72371"/>
    <w:rsid w:val="4B3E79B5"/>
    <w:rsid w:val="4B5E6C4E"/>
    <w:rsid w:val="4B7842DC"/>
    <w:rsid w:val="4B7A2048"/>
    <w:rsid w:val="4B8B1357"/>
    <w:rsid w:val="4BDD0948"/>
    <w:rsid w:val="4C0F0C59"/>
    <w:rsid w:val="4C2537F3"/>
    <w:rsid w:val="4C3D339D"/>
    <w:rsid w:val="4C3F2A63"/>
    <w:rsid w:val="4C620FB2"/>
    <w:rsid w:val="4CD307BB"/>
    <w:rsid w:val="4D186EB4"/>
    <w:rsid w:val="4D31310C"/>
    <w:rsid w:val="4D381304"/>
    <w:rsid w:val="4DB226D8"/>
    <w:rsid w:val="4DCB4CA4"/>
    <w:rsid w:val="4DCD6AB9"/>
    <w:rsid w:val="4DD16DD4"/>
    <w:rsid w:val="4DDC4386"/>
    <w:rsid w:val="4DE85E82"/>
    <w:rsid w:val="4DEF27BE"/>
    <w:rsid w:val="4E0771AF"/>
    <w:rsid w:val="4E183A13"/>
    <w:rsid w:val="4E1E04DF"/>
    <w:rsid w:val="4E47299C"/>
    <w:rsid w:val="4E4C2032"/>
    <w:rsid w:val="4E5E2FEC"/>
    <w:rsid w:val="4ED71862"/>
    <w:rsid w:val="4F1640E0"/>
    <w:rsid w:val="4F1A48AF"/>
    <w:rsid w:val="4F8D1DDB"/>
    <w:rsid w:val="4FD33566"/>
    <w:rsid w:val="4FD457AA"/>
    <w:rsid w:val="4FEC3E18"/>
    <w:rsid w:val="502C10A8"/>
    <w:rsid w:val="503E6C0B"/>
    <w:rsid w:val="50491A39"/>
    <w:rsid w:val="50B10B52"/>
    <w:rsid w:val="50C60EF7"/>
    <w:rsid w:val="50CA4D40"/>
    <w:rsid w:val="50DD469C"/>
    <w:rsid w:val="50E76375"/>
    <w:rsid w:val="51265CE2"/>
    <w:rsid w:val="513D4CBA"/>
    <w:rsid w:val="513E788B"/>
    <w:rsid w:val="51565449"/>
    <w:rsid w:val="51762962"/>
    <w:rsid w:val="517D043B"/>
    <w:rsid w:val="51C81B9D"/>
    <w:rsid w:val="51CF6D62"/>
    <w:rsid w:val="51E23738"/>
    <w:rsid w:val="521A6267"/>
    <w:rsid w:val="525E7A5F"/>
    <w:rsid w:val="52623F29"/>
    <w:rsid w:val="528127A4"/>
    <w:rsid w:val="528653B7"/>
    <w:rsid w:val="52B471A0"/>
    <w:rsid w:val="52BB2C6E"/>
    <w:rsid w:val="52D415BA"/>
    <w:rsid w:val="53373A29"/>
    <w:rsid w:val="53581C9E"/>
    <w:rsid w:val="53597931"/>
    <w:rsid w:val="535D1AC5"/>
    <w:rsid w:val="535D705C"/>
    <w:rsid w:val="539478C8"/>
    <w:rsid w:val="53A07C33"/>
    <w:rsid w:val="53C11F14"/>
    <w:rsid w:val="53C47270"/>
    <w:rsid w:val="541923D0"/>
    <w:rsid w:val="542C1497"/>
    <w:rsid w:val="544D7D8B"/>
    <w:rsid w:val="54AB7F4F"/>
    <w:rsid w:val="54C60539"/>
    <w:rsid w:val="54C94F38"/>
    <w:rsid w:val="54DA7145"/>
    <w:rsid w:val="54F46459"/>
    <w:rsid w:val="55034B28"/>
    <w:rsid w:val="551828FB"/>
    <w:rsid w:val="55381ED8"/>
    <w:rsid w:val="553A40D2"/>
    <w:rsid w:val="553F49C0"/>
    <w:rsid w:val="55437781"/>
    <w:rsid w:val="55491A8B"/>
    <w:rsid w:val="555224A2"/>
    <w:rsid w:val="555943BC"/>
    <w:rsid w:val="558570B1"/>
    <w:rsid w:val="55D02A22"/>
    <w:rsid w:val="56234327"/>
    <w:rsid w:val="5627460C"/>
    <w:rsid w:val="562D0053"/>
    <w:rsid w:val="56424FA2"/>
    <w:rsid w:val="564A09BF"/>
    <w:rsid w:val="56503B63"/>
    <w:rsid w:val="569F61EE"/>
    <w:rsid w:val="56B934B6"/>
    <w:rsid w:val="56C24012"/>
    <w:rsid w:val="56D55165"/>
    <w:rsid w:val="56D65BB5"/>
    <w:rsid w:val="56F10E1C"/>
    <w:rsid w:val="570556BE"/>
    <w:rsid w:val="571E5A0F"/>
    <w:rsid w:val="572F6050"/>
    <w:rsid w:val="576D317C"/>
    <w:rsid w:val="57867100"/>
    <w:rsid w:val="57B95737"/>
    <w:rsid w:val="57C31251"/>
    <w:rsid w:val="57C83143"/>
    <w:rsid w:val="57D8141A"/>
    <w:rsid w:val="58045A1B"/>
    <w:rsid w:val="580746F5"/>
    <w:rsid w:val="580E7831"/>
    <w:rsid w:val="582D3351"/>
    <w:rsid w:val="58491403"/>
    <w:rsid w:val="5849729B"/>
    <w:rsid w:val="58676F42"/>
    <w:rsid w:val="589923CF"/>
    <w:rsid w:val="58A62EC3"/>
    <w:rsid w:val="58BD4DB3"/>
    <w:rsid w:val="58CB4EB8"/>
    <w:rsid w:val="58E17188"/>
    <w:rsid w:val="58ED488E"/>
    <w:rsid w:val="58FC6995"/>
    <w:rsid w:val="597568E7"/>
    <w:rsid w:val="59AC4ECC"/>
    <w:rsid w:val="59D21123"/>
    <w:rsid w:val="59DB773E"/>
    <w:rsid w:val="59E155F0"/>
    <w:rsid w:val="59FE7432"/>
    <w:rsid w:val="5A1137EC"/>
    <w:rsid w:val="5A1A1AF5"/>
    <w:rsid w:val="5A1C60FC"/>
    <w:rsid w:val="5A732153"/>
    <w:rsid w:val="5A764971"/>
    <w:rsid w:val="5A93063C"/>
    <w:rsid w:val="5A9824AE"/>
    <w:rsid w:val="5A990A3E"/>
    <w:rsid w:val="5AB1392F"/>
    <w:rsid w:val="5ACB2043"/>
    <w:rsid w:val="5AD45391"/>
    <w:rsid w:val="5B0D140E"/>
    <w:rsid w:val="5B207260"/>
    <w:rsid w:val="5B242EC8"/>
    <w:rsid w:val="5B8E213E"/>
    <w:rsid w:val="5BBD0421"/>
    <w:rsid w:val="5BCE14BF"/>
    <w:rsid w:val="5BEB055B"/>
    <w:rsid w:val="5BF04FFE"/>
    <w:rsid w:val="5C052271"/>
    <w:rsid w:val="5C163158"/>
    <w:rsid w:val="5C3A480E"/>
    <w:rsid w:val="5C3C060B"/>
    <w:rsid w:val="5C681F0E"/>
    <w:rsid w:val="5C734B12"/>
    <w:rsid w:val="5C8F4488"/>
    <w:rsid w:val="5C990D82"/>
    <w:rsid w:val="5CD11313"/>
    <w:rsid w:val="5CF55621"/>
    <w:rsid w:val="5CFC10D2"/>
    <w:rsid w:val="5D057277"/>
    <w:rsid w:val="5D43174A"/>
    <w:rsid w:val="5D5932FD"/>
    <w:rsid w:val="5D7214F3"/>
    <w:rsid w:val="5DB22FA0"/>
    <w:rsid w:val="5DB6074F"/>
    <w:rsid w:val="5DB907FE"/>
    <w:rsid w:val="5DBE7A63"/>
    <w:rsid w:val="5DF9688E"/>
    <w:rsid w:val="5E0433B9"/>
    <w:rsid w:val="5E92426A"/>
    <w:rsid w:val="5E947D60"/>
    <w:rsid w:val="5E9D2D9E"/>
    <w:rsid w:val="5EAE0BB2"/>
    <w:rsid w:val="5EC944B2"/>
    <w:rsid w:val="5F6C7B8C"/>
    <w:rsid w:val="5F78218C"/>
    <w:rsid w:val="5F876AF6"/>
    <w:rsid w:val="5FAE5456"/>
    <w:rsid w:val="5FE840AF"/>
    <w:rsid w:val="5FFA53CB"/>
    <w:rsid w:val="5FFD1529"/>
    <w:rsid w:val="60052612"/>
    <w:rsid w:val="601974C6"/>
    <w:rsid w:val="601A4BDB"/>
    <w:rsid w:val="60342F48"/>
    <w:rsid w:val="603716F0"/>
    <w:rsid w:val="60372389"/>
    <w:rsid w:val="603D0C47"/>
    <w:rsid w:val="604E4062"/>
    <w:rsid w:val="607355F5"/>
    <w:rsid w:val="607D45EB"/>
    <w:rsid w:val="6087583F"/>
    <w:rsid w:val="60934D78"/>
    <w:rsid w:val="60AF0FFE"/>
    <w:rsid w:val="60B62419"/>
    <w:rsid w:val="61362D19"/>
    <w:rsid w:val="61574E39"/>
    <w:rsid w:val="615F2EAC"/>
    <w:rsid w:val="61634049"/>
    <w:rsid w:val="6183303E"/>
    <w:rsid w:val="61B85D3F"/>
    <w:rsid w:val="61BB5DAB"/>
    <w:rsid w:val="61BD4E71"/>
    <w:rsid w:val="61E34380"/>
    <w:rsid w:val="620D7C9C"/>
    <w:rsid w:val="626A7FAB"/>
    <w:rsid w:val="626D4177"/>
    <w:rsid w:val="62E26745"/>
    <w:rsid w:val="63233B27"/>
    <w:rsid w:val="633B02E7"/>
    <w:rsid w:val="63544DA0"/>
    <w:rsid w:val="637311F7"/>
    <w:rsid w:val="637628BB"/>
    <w:rsid w:val="638B1BCE"/>
    <w:rsid w:val="63996A94"/>
    <w:rsid w:val="63A96660"/>
    <w:rsid w:val="64095351"/>
    <w:rsid w:val="64A82DBC"/>
    <w:rsid w:val="64BA31BC"/>
    <w:rsid w:val="64CE45BC"/>
    <w:rsid w:val="64D8544F"/>
    <w:rsid w:val="64DA557F"/>
    <w:rsid w:val="64F237A2"/>
    <w:rsid w:val="652A37D1"/>
    <w:rsid w:val="6547797D"/>
    <w:rsid w:val="65492A2D"/>
    <w:rsid w:val="655567F9"/>
    <w:rsid w:val="65600DD7"/>
    <w:rsid w:val="65624D19"/>
    <w:rsid w:val="65826A9E"/>
    <w:rsid w:val="659D54FA"/>
    <w:rsid w:val="65CD2ADA"/>
    <w:rsid w:val="65F52031"/>
    <w:rsid w:val="662415EA"/>
    <w:rsid w:val="66320B8F"/>
    <w:rsid w:val="663F5E7F"/>
    <w:rsid w:val="664807AE"/>
    <w:rsid w:val="667C700C"/>
    <w:rsid w:val="66894D55"/>
    <w:rsid w:val="66A24817"/>
    <w:rsid w:val="66F63109"/>
    <w:rsid w:val="67044766"/>
    <w:rsid w:val="672957C5"/>
    <w:rsid w:val="673244E6"/>
    <w:rsid w:val="67432216"/>
    <w:rsid w:val="678C4BA6"/>
    <w:rsid w:val="678D2E7C"/>
    <w:rsid w:val="67997D63"/>
    <w:rsid w:val="67A40284"/>
    <w:rsid w:val="67B72B89"/>
    <w:rsid w:val="67C47270"/>
    <w:rsid w:val="67D91D00"/>
    <w:rsid w:val="67E55CBC"/>
    <w:rsid w:val="67E72797"/>
    <w:rsid w:val="67F105D6"/>
    <w:rsid w:val="682B1D3A"/>
    <w:rsid w:val="68385372"/>
    <w:rsid w:val="68A16858"/>
    <w:rsid w:val="68C30827"/>
    <w:rsid w:val="68E51EE8"/>
    <w:rsid w:val="690B1322"/>
    <w:rsid w:val="69434F2A"/>
    <w:rsid w:val="698A195D"/>
    <w:rsid w:val="69BE209D"/>
    <w:rsid w:val="69E55F18"/>
    <w:rsid w:val="6A102F95"/>
    <w:rsid w:val="6A1126B4"/>
    <w:rsid w:val="6A4A2640"/>
    <w:rsid w:val="6AAA304E"/>
    <w:rsid w:val="6AAC7BBA"/>
    <w:rsid w:val="6AB67AA5"/>
    <w:rsid w:val="6ABA013A"/>
    <w:rsid w:val="6AC86281"/>
    <w:rsid w:val="6AFE5858"/>
    <w:rsid w:val="6B0D68BD"/>
    <w:rsid w:val="6B2A7F6E"/>
    <w:rsid w:val="6B4A4298"/>
    <w:rsid w:val="6B511AB7"/>
    <w:rsid w:val="6B9B156A"/>
    <w:rsid w:val="6BA01A49"/>
    <w:rsid w:val="6BCB6407"/>
    <w:rsid w:val="6BF86E35"/>
    <w:rsid w:val="6BF95CAB"/>
    <w:rsid w:val="6C137C7E"/>
    <w:rsid w:val="6C2A222E"/>
    <w:rsid w:val="6C9A123C"/>
    <w:rsid w:val="6C9C4317"/>
    <w:rsid w:val="6CA87DFD"/>
    <w:rsid w:val="6CAF73E8"/>
    <w:rsid w:val="6CAF7AB4"/>
    <w:rsid w:val="6CCE02F1"/>
    <w:rsid w:val="6CE0261F"/>
    <w:rsid w:val="6CEC361C"/>
    <w:rsid w:val="6D270AB9"/>
    <w:rsid w:val="6D2D20B0"/>
    <w:rsid w:val="6D3A2BDC"/>
    <w:rsid w:val="6D467134"/>
    <w:rsid w:val="6D474D5A"/>
    <w:rsid w:val="6D4E3707"/>
    <w:rsid w:val="6D553D40"/>
    <w:rsid w:val="6D82620B"/>
    <w:rsid w:val="6D8E6FF3"/>
    <w:rsid w:val="6D9C0F37"/>
    <w:rsid w:val="6DA7761A"/>
    <w:rsid w:val="6DAA1953"/>
    <w:rsid w:val="6DB94744"/>
    <w:rsid w:val="6DC919E7"/>
    <w:rsid w:val="6DD7212F"/>
    <w:rsid w:val="6DE45ECC"/>
    <w:rsid w:val="6E1F5E9D"/>
    <w:rsid w:val="6E2B40A1"/>
    <w:rsid w:val="6E396833"/>
    <w:rsid w:val="6E4A2824"/>
    <w:rsid w:val="6E624C31"/>
    <w:rsid w:val="6E6933A5"/>
    <w:rsid w:val="6E6B142E"/>
    <w:rsid w:val="6E881C94"/>
    <w:rsid w:val="6E9826AE"/>
    <w:rsid w:val="6EA711FC"/>
    <w:rsid w:val="6EA769BC"/>
    <w:rsid w:val="6ECE6ADE"/>
    <w:rsid w:val="6F076C37"/>
    <w:rsid w:val="6F105D25"/>
    <w:rsid w:val="6F192935"/>
    <w:rsid w:val="6F795C3A"/>
    <w:rsid w:val="6FBD233B"/>
    <w:rsid w:val="701D0B59"/>
    <w:rsid w:val="702F4391"/>
    <w:rsid w:val="70384CF8"/>
    <w:rsid w:val="703F1B3A"/>
    <w:rsid w:val="704C73FC"/>
    <w:rsid w:val="70542A5F"/>
    <w:rsid w:val="706A7177"/>
    <w:rsid w:val="70A02113"/>
    <w:rsid w:val="71035C45"/>
    <w:rsid w:val="710D5340"/>
    <w:rsid w:val="712C4DA0"/>
    <w:rsid w:val="714F62CF"/>
    <w:rsid w:val="715A543E"/>
    <w:rsid w:val="715C48A0"/>
    <w:rsid w:val="71DD22F7"/>
    <w:rsid w:val="72086D8C"/>
    <w:rsid w:val="721721D6"/>
    <w:rsid w:val="7256696C"/>
    <w:rsid w:val="728D010A"/>
    <w:rsid w:val="72936D00"/>
    <w:rsid w:val="72A11576"/>
    <w:rsid w:val="72EC6F6A"/>
    <w:rsid w:val="73165BC8"/>
    <w:rsid w:val="732F75CE"/>
    <w:rsid w:val="734671BA"/>
    <w:rsid w:val="735A1725"/>
    <w:rsid w:val="73640BEE"/>
    <w:rsid w:val="73895A3E"/>
    <w:rsid w:val="73953BB6"/>
    <w:rsid w:val="73976A24"/>
    <w:rsid w:val="73A66718"/>
    <w:rsid w:val="73BE0D81"/>
    <w:rsid w:val="73D470CE"/>
    <w:rsid w:val="73D74B24"/>
    <w:rsid w:val="73FE4ED9"/>
    <w:rsid w:val="740C0BB8"/>
    <w:rsid w:val="742D0BE7"/>
    <w:rsid w:val="74887B7F"/>
    <w:rsid w:val="748A505A"/>
    <w:rsid w:val="74E226D4"/>
    <w:rsid w:val="74E41BEE"/>
    <w:rsid w:val="74E81ABC"/>
    <w:rsid w:val="74EC2851"/>
    <w:rsid w:val="74FD366C"/>
    <w:rsid w:val="752F1798"/>
    <w:rsid w:val="75360DF7"/>
    <w:rsid w:val="75663D79"/>
    <w:rsid w:val="75BF1100"/>
    <w:rsid w:val="75D307FB"/>
    <w:rsid w:val="760C4353"/>
    <w:rsid w:val="760D7399"/>
    <w:rsid w:val="76184D46"/>
    <w:rsid w:val="761E6A3A"/>
    <w:rsid w:val="763708B1"/>
    <w:rsid w:val="765D7E8B"/>
    <w:rsid w:val="767B4C5B"/>
    <w:rsid w:val="76863F4A"/>
    <w:rsid w:val="768F5C74"/>
    <w:rsid w:val="76922A8D"/>
    <w:rsid w:val="76960CC6"/>
    <w:rsid w:val="769E71E6"/>
    <w:rsid w:val="76AC2297"/>
    <w:rsid w:val="76AC27D6"/>
    <w:rsid w:val="76BB4310"/>
    <w:rsid w:val="76BE626B"/>
    <w:rsid w:val="76D17F50"/>
    <w:rsid w:val="76EA69F2"/>
    <w:rsid w:val="76F93003"/>
    <w:rsid w:val="77022ED6"/>
    <w:rsid w:val="77185E63"/>
    <w:rsid w:val="771C03FB"/>
    <w:rsid w:val="774D6FEA"/>
    <w:rsid w:val="775766A7"/>
    <w:rsid w:val="77C90C27"/>
    <w:rsid w:val="77CB499F"/>
    <w:rsid w:val="780153A4"/>
    <w:rsid w:val="7808174F"/>
    <w:rsid w:val="7826607A"/>
    <w:rsid w:val="783B2235"/>
    <w:rsid w:val="784155F9"/>
    <w:rsid w:val="784833A0"/>
    <w:rsid w:val="78564BB1"/>
    <w:rsid w:val="7871654C"/>
    <w:rsid w:val="78B02AB4"/>
    <w:rsid w:val="78B10728"/>
    <w:rsid w:val="78B31887"/>
    <w:rsid w:val="79044473"/>
    <w:rsid w:val="79164340"/>
    <w:rsid w:val="79251507"/>
    <w:rsid w:val="794013BD"/>
    <w:rsid w:val="797F1EE5"/>
    <w:rsid w:val="79A234ED"/>
    <w:rsid w:val="79A84CF6"/>
    <w:rsid w:val="79FE123F"/>
    <w:rsid w:val="7A0F16AA"/>
    <w:rsid w:val="7A244526"/>
    <w:rsid w:val="7A25274E"/>
    <w:rsid w:val="7A7A4BD0"/>
    <w:rsid w:val="7A8014A6"/>
    <w:rsid w:val="7AC9522D"/>
    <w:rsid w:val="7AE1506A"/>
    <w:rsid w:val="7AE17C27"/>
    <w:rsid w:val="7B5D0004"/>
    <w:rsid w:val="7B716301"/>
    <w:rsid w:val="7B8047C3"/>
    <w:rsid w:val="7B98103C"/>
    <w:rsid w:val="7BA20401"/>
    <w:rsid w:val="7BAA31EE"/>
    <w:rsid w:val="7BFA5EE7"/>
    <w:rsid w:val="7C2E19A1"/>
    <w:rsid w:val="7C7773C2"/>
    <w:rsid w:val="7CA75972"/>
    <w:rsid w:val="7CF44998"/>
    <w:rsid w:val="7CF5053A"/>
    <w:rsid w:val="7D8515D1"/>
    <w:rsid w:val="7D854588"/>
    <w:rsid w:val="7D921C5C"/>
    <w:rsid w:val="7D9A2FBF"/>
    <w:rsid w:val="7DA050EB"/>
    <w:rsid w:val="7DBC6AD8"/>
    <w:rsid w:val="7DCE6802"/>
    <w:rsid w:val="7DCF4ABD"/>
    <w:rsid w:val="7DD46B16"/>
    <w:rsid w:val="7DD617D2"/>
    <w:rsid w:val="7E1C41A7"/>
    <w:rsid w:val="7E1F77F3"/>
    <w:rsid w:val="7E3664D8"/>
    <w:rsid w:val="7E4534BC"/>
    <w:rsid w:val="7E5C2F3C"/>
    <w:rsid w:val="7E6B4F18"/>
    <w:rsid w:val="7EAD3051"/>
    <w:rsid w:val="7ECB45E5"/>
    <w:rsid w:val="7EFFA9F7"/>
    <w:rsid w:val="7F010E19"/>
    <w:rsid w:val="7F0A27DF"/>
    <w:rsid w:val="7F1C48A5"/>
    <w:rsid w:val="7F1D43FA"/>
    <w:rsid w:val="7F8C2C66"/>
    <w:rsid w:val="7F8F2756"/>
    <w:rsid w:val="7FAC155A"/>
    <w:rsid w:val="7FB72E8D"/>
    <w:rsid w:val="7FBC17DC"/>
    <w:rsid w:val="7FD73EBA"/>
    <w:rsid w:val="ADF8B7E3"/>
    <w:rsid w:val="E7FA7413"/>
    <w:rsid w:val="F4D0F49E"/>
    <w:rsid w:val="FB7F7F36"/>
    <w:rsid w:val="FFDF5FAB"/>
    <w:rsid w:val="FFFB52E1"/>
    <w:rsid w:val="FFFD1E5A"/>
    <w:rsid w:val="FFFEC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30"/>
      <w:szCs w:val="44"/>
    </w:rPr>
  </w:style>
  <w:style w:type="paragraph" w:styleId="3">
    <w:name w:val="heading 2"/>
    <w:basedOn w:val="1"/>
    <w:next w:val="1"/>
    <w:link w:val="67"/>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4">
    <w:name w:val="heading 3"/>
    <w:basedOn w:val="1"/>
    <w:next w:val="1"/>
    <w:link w:val="59"/>
    <w:qFormat/>
    <w:uiPriority w:val="0"/>
    <w:pPr>
      <w:keepNext/>
      <w:keepLines/>
      <w:spacing w:before="260" w:after="260" w:line="416" w:lineRule="auto"/>
      <w:jc w:val="center"/>
      <w:outlineLvl w:val="2"/>
    </w:pPr>
    <w:rPr>
      <w:rFonts w:ascii="宋体"/>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outlineLvl w:val="4"/>
    </w:pPr>
    <w:rPr>
      <w:rFonts w:ascii="宋体" w:hAnsi="Arial"/>
      <w:bCs/>
      <w:sz w:val="28"/>
    </w:rPr>
  </w:style>
  <w:style w:type="paragraph" w:styleId="7">
    <w:name w:val="heading 6"/>
    <w:basedOn w:val="1"/>
    <w:next w:val="1"/>
    <w:qFormat/>
    <w:uiPriority w:val="0"/>
    <w:pPr>
      <w:keepNext/>
      <w:autoSpaceDE w:val="0"/>
      <w:autoSpaceDN w:val="0"/>
      <w:adjustRightInd w:val="0"/>
      <w:spacing w:before="120" w:beforeLines="50" w:after="120" w:afterLines="50" w:line="300" w:lineRule="exact"/>
      <w:jc w:val="center"/>
      <w:outlineLvl w:val="5"/>
    </w:pPr>
    <w:rPr>
      <w:rFonts w:ascii="宋体" w:hAnsi="宋体"/>
      <w:kern w:val="0"/>
      <w:sz w:val="28"/>
    </w:rPr>
  </w:style>
  <w:style w:type="paragraph" w:styleId="8">
    <w:name w:val="heading 7"/>
    <w:basedOn w:val="1"/>
    <w:next w:val="1"/>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paragraph" w:styleId="9">
    <w:name w:val="heading 8"/>
    <w:basedOn w:val="1"/>
    <w:next w:val="1"/>
    <w:link w:val="60"/>
    <w:qFormat/>
    <w:uiPriority w:val="0"/>
    <w:pPr>
      <w:keepNext/>
      <w:keepLines/>
      <w:spacing w:before="240" w:after="64" w:line="320" w:lineRule="auto"/>
      <w:outlineLvl w:val="7"/>
    </w:pPr>
    <w:rPr>
      <w:rFonts w:ascii="Arial" w:hAnsi="Arial" w:eastAsia="黑体"/>
      <w:sz w:val="24"/>
      <w:szCs w:val="24"/>
    </w:rPr>
  </w:style>
  <w:style w:type="character" w:default="1" w:styleId="42">
    <w:name w:val="Default Paragraph Font"/>
    <w:semiHidden/>
    <w:qFormat/>
    <w:uiPriority w:val="0"/>
  </w:style>
  <w:style w:type="table" w:default="1" w:styleId="40">
    <w:name w:val="Normal Table"/>
    <w:semiHidden/>
    <w:qFormat/>
    <w:uiPriority w:val="0"/>
    <w:tblPr>
      <w:tblCellMar>
        <w:top w:w="0" w:type="dxa"/>
        <w:left w:w="108" w:type="dxa"/>
        <w:bottom w:w="0" w:type="dxa"/>
        <w:right w:w="108" w:type="dxa"/>
      </w:tblCellMar>
    </w:tblPr>
  </w:style>
  <w:style w:type="paragraph" w:styleId="10">
    <w:name w:val="toc 7"/>
    <w:basedOn w:val="1"/>
    <w:next w:val="1"/>
    <w:semiHidden/>
    <w:qFormat/>
    <w:uiPriority w:val="0"/>
    <w:pPr>
      <w:ind w:left="1260"/>
      <w:jc w:val="left"/>
    </w:pPr>
    <w:rPr>
      <w:szCs w:val="21"/>
    </w:rPr>
  </w:style>
  <w:style w:type="paragraph" w:styleId="11">
    <w:name w:val="Normal Indent"/>
    <w:basedOn w:val="1"/>
    <w:qFormat/>
    <w:uiPriority w:val="0"/>
    <w:pPr>
      <w:ind w:firstLine="420"/>
    </w:pPr>
    <w:rPr>
      <w:szCs w:val="20"/>
    </w:rPr>
  </w:style>
  <w:style w:type="paragraph" w:styleId="12">
    <w:name w:val="Document Map"/>
    <w:basedOn w:val="1"/>
    <w:semiHidden/>
    <w:qFormat/>
    <w:uiPriority w:val="0"/>
    <w:pPr>
      <w:shd w:val="clear" w:color="auto" w:fill="000080"/>
    </w:pPr>
  </w:style>
  <w:style w:type="paragraph" w:styleId="13">
    <w:name w:val="annotation text"/>
    <w:basedOn w:val="1"/>
    <w:link w:val="61"/>
    <w:semiHidden/>
    <w:qFormat/>
    <w:uiPriority w:val="0"/>
    <w:pPr>
      <w:jc w:val="left"/>
    </w:pPr>
  </w:style>
  <w:style w:type="paragraph" w:styleId="14">
    <w:name w:val="Body Text 3"/>
    <w:basedOn w:val="1"/>
    <w:qFormat/>
    <w:uiPriority w:val="0"/>
    <w:rPr>
      <w:rFonts w:ascii="黑体" w:hAnsi="Arial" w:eastAsia="黑体"/>
      <w:b/>
      <w:sz w:val="28"/>
    </w:rPr>
  </w:style>
  <w:style w:type="paragraph" w:styleId="15">
    <w:name w:val="Body Text"/>
    <w:basedOn w:val="1"/>
    <w:next w:val="16"/>
    <w:qFormat/>
    <w:uiPriority w:val="0"/>
    <w:rPr>
      <w:rFonts w:ascii="宋体" w:hAnsi="Arial"/>
      <w:sz w:val="28"/>
    </w:rPr>
  </w:style>
  <w:style w:type="paragraph" w:customStyle="1" w:styleId="16">
    <w:name w:val="Default"/>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styleId="17">
    <w:name w:val="Body Text Indent"/>
    <w:basedOn w:val="1"/>
    <w:next w:val="18"/>
    <w:link w:val="62"/>
    <w:qFormat/>
    <w:uiPriority w:val="0"/>
    <w:pPr>
      <w:ind w:firstLine="645"/>
    </w:pPr>
    <w:rPr>
      <w:rFonts w:ascii="楷体_GB2312" w:eastAsia="楷体_GB2312"/>
      <w:sz w:val="32"/>
    </w:rPr>
  </w:style>
  <w:style w:type="paragraph" w:styleId="18">
    <w:name w:val="envelope return"/>
    <w:basedOn w:val="1"/>
    <w:qFormat/>
    <w:uiPriority w:val="0"/>
    <w:pPr>
      <w:snapToGrid w:val="0"/>
    </w:pPr>
    <w:rPr>
      <w:rFonts w:ascii="Arial" w:hAnsi="Arial"/>
    </w:rPr>
  </w:style>
  <w:style w:type="paragraph" w:styleId="19">
    <w:name w:val="toc 5"/>
    <w:basedOn w:val="1"/>
    <w:next w:val="1"/>
    <w:semiHidden/>
    <w:qFormat/>
    <w:uiPriority w:val="0"/>
    <w:pPr>
      <w:ind w:left="840"/>
      <w:jc w:val="left"/>
    </w:pPr>
    <w:rPr>
      <w:szCs w:val="21"/>
    </w:rPr>
  </w:style>
  <w:style w:type="paragraph" w:styleId="20">
    <w:name w:val="toc 3"/>
    <w:basedOn w:val="1"/>
    <w:next w:val="1"/>
    <w:qFormat/>
    <w:uiPriority w:val="39"/>
    <w:pPr>
      <w:ind w:left="420"/>
      <w:jc w:val="left"/>
    </w:pPr>
    <w:rPr>
      <w:iCs/>
      <w:sz w:val="24"/>
      <w:szCs w:val="24"/>
    </w:rPr>
  </w:style>
  <w:style w:type="paragraph" w:styleId="21">
    <w:name w:val="Plain Text"/>
    <w:basedOn w:val="1"/>
    <w:link w:val="63"/>
    <w:qFormat/>
    <w:uiPriority w:val="0"/>
    <w:rPr>
      <w:rFonts w:ascii="宋体" w:hAnsi="Courier New"/>
    </w:rPr>
  </w:style>
  <w:style w:type="paragraph" w:styleId="22">
    <w:name w:val="toc 8"/>
    <w:basedOn w:val="1"/>
    <w:next w:val="1"/>
    <w:semiHidden/>
    <w:qFormat/>
    <w:uiPriority w:val="0"/>
    <w:pPr>
      <w:ind w:left="1470"/>
      <w:jc w:val="left"/>
    </w:pPr>
    <w:rPr>
      <w:szCs w:val="21"/>
    </w:rPr>
  </w:style>
  <w:style w:type="paragraph" w:styleId="23">
    <w:name w:val="Date"/>
    <w:basedOn w:val="1"/>
    <w:next w:val="1"/>
    <w:link w:val="64"/>
    <w:qFormat/>
    <w:uiPriority w:val="0"/>
    <w:rPr>
      <w:b/>
      <w:sz w:val="28"/>
    </w:rPr>
  </w:style>
  <w:style w:type="paragraph" w:styleId="24">
    <w:name w:val="Body Text Indent 2"/>
    <w:basedOn w:val="1"/>
    <w:qFormat/>
    <w:uiPriority w:val="0"/>
    <w:pPr>
      <w:ind w:left="630" w:firstLine="645"/>
    </w:pPr>
    <w:rPr>
      <w:rFonts w:ascii="Arial" w:hAnsi="Arial" w:eastAsia="仿宋_GB2312"/>
      <w:sz w:val="32"/>
    </w:rPr>
  </w:style>
  <w:style w:type="paragraph" w:styleId="25">
    <w:name w:val="Balloon Text"/>
    <w:basedOn w:val="1"/>
    <w:link w:val="65"/>
    <w:qFormat/>
    <w:uiPriority w:val="0"/>
    <w:rPr>
      <w:sz w:val="18"/>
      <w:szCs w:val="18"/>
    </w:rPr>
  </w:style>
  <w:style w:type="paragraph" w:styleId="26">
    <w:name w:val="footer"/>
    <w:basedOn w:val="1"/>
    <w:qFormat/>
    <w:uiPriority w:val="99"/>
    <w:pPr>
      <w:tabs>
        <w:tab w:val="center" w:pos="4153"/>
        <w:tab w:val="right" w:pos="8306"/>
      </w:tabs>
      <w:snapToGrid w:val="0"/>
      <w:jc w:val="left"/>
    </w:pPr>
    <w:rPr>
      <w:sz w:val="18"/>
    </w:rPr>
  </w:style>
  <w:style w:type="paragraph" w:styleId="27">
    <w:name w:val="header"/>
    <w:basedOn w:val="1"/>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pPr>
      <w:spacing w:before="120" w:after="120"/>
      <w:jc w:val="left"/>
    </w:pPr>
    <w:rPr>
      <w:caps/>
      <w:sz w:val="24"/>
      <w:szCs w:val="24"/>
    </w:rPr>
  </w:style>
  <w:style w:type="paragraph" w:styleId="29">
    <w:name w:val="toc 4"/>
    <w:basedOn w:val="1"/>
    <w:next w:val="1"/>
    <w:semiHidden/>
    <w:qFormat/>
    <w:uiPriority w:val="0"/>
    <w:pPr>
      <w:ind w:left="630"/>
      <w:jc w:val="left"/>
    </w:pPr>
    <w:rPr>
      <w:szCs w:val="21"/>
    </w:rPr>
  </w:style>
  <w:style w:type="paragraph" w:styleId="30">
    <w:name w:val="toc 6"/>
    <w:basedOn w:val="1"/>
    <w:next w:val="1"/>
    <w:semiHidden/>
    <w:qFormat/>
    <w:uiPriority w:val="0"/>
    <w:pPr>
      <w:ind w:left="1050"/>
      <w:jc w:val="left"/>
    </w:pPr>
    <w:rPr>
      <w:szCs w:val="21"/>
    </w:rPr>
  </w:style>
  <w:style w:type="paragraph" w:styleId="31">
    <w:name w:val="Body Text Indent 3"/>
    <w:basedOn w:val="1"/>
    <w:qFormat/>
    <w:uiPriority w:val="0"/>
    <w:pPr>
      <w:ind w:firstLine="645"/>
    </w:pPr>
    <w:rPr>
      <w:rFonts w:ascii="仿宋_GB2312" w:hAnsi="Arial" w:eastAsia="仿宋_GB2312"/>
      <w:color w:val="000000"/>
      <w:sz w:val="30"/>
    </w:rPr>
  </w:style>
  <w:style w:type="paragraph" w:styleId="32">
    <w:name w:val="toc 2"/>
    <w:basedOn w:val="1"/>
    <w:next w:val="1"/>
    <w:qFormat/>
    <w:uiPriority w:val="39"/>
    <w:pPr>
      <w:ind w:left="210"/>
      <w:jc w:val="left"/>
    </w:pPr>
    <w:rPr>
      <w:smallCaps/>
      <w:sz w:val="24"/>
      <w:szCs w:val="24"/>
    </w:rPr>
  </w:style>
  <w:style w:type="paragraph" w:styleId="33">
    <w:name w:val="toc 9"/>
    <w:basedOn w:val="1"/>
    <w:next w:val="1"/>
    <w:semiHidden/>
    <w:qFormat/>
    <w:uiPriority w:val="0"/>
    <w:pPr>
      <w:ind w:left="1680"/>
      <w:jc w:val="left"/>
    </w:pPr>
    <w:rPr>
      <w:szCs w:val="21"/>
    </w:rPr>
  </w:style>
  <w:style w:type="paragraph" w:styleId="34">
    <w:name w:val="Body Text 2"/>
    <w:basedOn w:val="1"/>
    <w:qFormat/>
    <w:uiPriority w:val="0"/>
    <w:rPr>
      <w:rFonts w:ascii="仿宋_GB2312" w:eastAsia="仿宋_GB2312"/>
      <w:b/>
      <w:sz w:val="24"/>
    </w:rPr>
  </w:style>
  <w:style w:type="paragraph" w:styleId="3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6">
    <w:name w:val="index 1"/>
    <w:basedOn w:val="1"/>
    <w:next w:val="1"/>
    <w:semiHidden/>
    <w:qFormat/>
    <w:uiPriority w:val="0"/>
    <w:pPr>
      <w:jc w:val="center"/>
    </w:pPr>
    <w:rPr>
      <w:rFonts w:ascii="仿宋_GB2312" w:eastAsia="仿宋_GB2312"/>
      <w:b/>
      <w:bCs/>
      <w:sz w:val="28"/>
    </w:rPr>
  </w:style>
  <w:style w:type="paragraph" w:styleId="37">
    <w:name w:val="Title"/>
    <w:basedOn w:val="1"/>
    <w:next w:val="1"/>
    <w:link w:val="66"/>
    <w:qFormat/>
    <w:uiPriority w:val="0"/>
    <w:pPr>
      <w:spacing w:before="240" w:after="60"/>
      <w:jc w:val="center"/>
      <w:outlineLvl w:val="0"/>
    </w:pPr>
    <w:rPr>
      <w:rFonts w:ascii="Cambria" w:hAnsi="Cambria"/>
      <w:b/>
      <w:bCs/>
      <w:sz w:val="32"/>
      <w:szCs w:val="32"/>
    </w:rPr>
  </w:style>
  <w:style w:type="paragraph" w:styleId="38">
    <w:name w:val="Body Text First Indent"/>
    <w:basedOn w:val="15"/>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39">
    <w:name w:val="Body Text First Indent 2"/>
    <w:basedOn w:val="17"/>
    <w:qFormat/>
    <w:uiPriority w:val="0"/>
    <w:pPr>
      <w:ind w:firstLine="420" w:firstLineChars="20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0"/>
    <w:rPr>
      <w:b/>
      <w:bCs/>
    </w:rPr>
  </w:style>
  <w:style w:type="character" w:styleId="44">
    <w:name w:val="page number"/>
    <w:basedOn w:val="42"/>
    <w:qFormat/>
    <w:uiPriority w:val="0"/>
  </w:style>
  <w:style w:type="character" w:styleId="45">
    <w:name w:val="FollowedHyperlink"/>
    <w:qFormat/>
    <w:uiPriority w:val="0"/>
    <w:rPr>
      <w:color w:val="800080"/>
      <w:u w:val="none"/>
    </w:rPr>
  </w:style>
  <w:style w:type="character" w:styleId="46">
    <w:name w:val="Emphasis"/>
    <w:qFormat/>
    <w:uiPriority w:val="0"/>
    <w:rPr>
      <w:color w:val="CC0033"/>
    </w:rPr>
  </w:style>
  <w:style w:type="character" w:styleId="47">
    <w:name w:val="HTML Definition"/>
    <w:qFormat/>
    <w:uiPriority w:val="0"/>
  </w:style>
  <w:style w:type="character" w:styleId="48">
    <w:name w:val="HTML Typewriter"/>
    <w:qFormat/>
    <w:uiPriority w:val="0"/>
    <w:rPr>
      <w:rFonts w:ascii="monospace" w:hAnsi="monospace" w:eastAsia="monospace" w:cs="monospace"/>
      <w:sz w:val="20"/>
    </w:rPr>
  </w:style>
  <w:style w:type="character" w:styleId="49">
    <w:name w:val="HTML Acronym"/>
    <w:basedOn w:val="42"/>
    <w:qFormat/>
    <w:uiPriority w:val="0"/>
  </w:style>
  <w:style w:type="character" w:styleId="50">
    <w:name w:val="HTML Variable"/>
    <w:qFormat/>
    <w:uiPriority w:val="0"/>
  </w:style>
  <w:style w:type="character" w:styleId="51">
    <w:name w:val="Hyperlink"/>
    <w:qFormat/>
    <w:uiPriority w:val="99"/>
    <w:rPr>
      <w:color w:val="0000FF"/>
      <w:u w:val="none"/>
    </w:rPr>
  </w:style>
  <w:style w:type="character" w:styleId="52">
    <w:name w:val="HTML Code"/>
    <w:qFormat/>
    <w:uiPriority w:val="0"/>
    <w:rPr>
      <w:rFonts w:hint="default" w:ascii="monospace" w:hAnsi="monospace" w:eastAsia="monospace" w:cs="monospace"/>
      <w:sz w:val="20"/>
    </w:rPr>
  </w:style>
  <w:style w:type="character" w:styleId="53">
    <w:name w:val="annotation reference"/>
    <w:semiHidden/>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0"/>
    </w:rPr>
  </w:style>
  <w:style w:type="character" w:styleId="56">
    <w:name w:val="HTML Sample"/>
    <w:qFormat/>
    <w:uiPriority w:val="0"/>
    <w:rPr>
      <w:rFonts w:hint="default" w:ascii="monospace" w:hAnsi="monospace" w:eastAsia="monospace" w:cs="monospace"/>
    </w:rPr>
  </w:style>
  <w:style w:type="character" w:customStyle="1" w:styleId="57">
    <w:name w:val="标题 1 Char"/>
    <w:link w:val="2"/>
    <w:qFormat/>
    <w:uiPriority w:val="0"/>
    <w:rPr>
      <w:b/>
      <w:bCs/>
      <w:kern w:val="44"/>
      <w:sz w:val="30"/>
      <w:szCs w:val="44"/>
    </w:rPr>
  </w:style>
  <w:style w:type="character" w:customStyle="1" w:styleId="58">
    <w:name w:val="标题 2 字符"/>
    <w:link w:val="3"/>
    <w:qFormat/>
    <w:locked/>
    <w:uiPriority w:val="99"/>
    <w:rPr>
      <w:rFonts w:ascii="Arial" w:hAnsi="Arial" w:eastAsia="黑体" w:cs="Times New Roman"/>
      <w:b/>
      <w:kern w:val="0"/>
      <w:sz w:val="20"/>
      <w:szCs w:val="20"/>
    </w:rPr>
  </w:style>
  <w:style w:type="character" w:customStyle="1" w:styleId="59">
    <w:name w:val="标题 3 Char"/>
    <w:link w:val="4"/>
    <w:qFormat/>
    <w:uiPriority w:val="0"/>
    <w:rPr>
      <w:rFonts w:ascii="宋体" w:eastAsia="宋体"/>
      <w:b/>
      <w:bCs/>
      <w:kern w:val="2"/>
      <w:sz w:val="32"/>
      <w:szCs w:val="32"/>
      <w:lang w:val="en-US" w:eastAsia="zh-CN" w:bidi="ar-SA"/>
    </w:rPr>
  </w:style>
  <w:style w:type="character" w:customStyle="1" w:styleId="60">
    <w:name w:val="标题 8 Char"/>
    <w:link w:val="9"/>
    <w:qFormat/>
    <w:uiPriority w:val="0"/>
    <w:rPr>
      <w:rFonts w:ascii="Arial" w:hAnsi="Arial" w:eastAsia="黑体"/>
      <w:kern w:val="2"/>
      <w:sz w:val="24"/>
      <w:szCs w:val="24"/>
      <w:lang w:val="en-US" w:eastAsia="zh-CN" w:bidi="ar-SA"/>
    </w:rPr>
  </w:style>
  <w:style w:type="character" w:customStyle="1" w:styleId="61">
    <w:name w:val="批注文字 Char"/>
    <w:link w:val="13"/>
    <w:qFormat/>
    <w:uiPriority w:val="0"/>
    <w:rPr>
      <w:rFonts w:eastAsia="宋体"/>
      <w:kern w:val="2"/>
      <w:sz w:val="21"/>
      <w:lang w:val="en-US" w:eastAsia="zh-CN" w:bidi="ar-SA"/>
    </w:rPr>
  </w:style>
  <w:style w:type="character" w:customStyle="1" w:styleId="62">
    <w:name w:val="正文文本缩进 Char"/>
    <w:link w:val="17"/>
    <w:qFormat/>
    <w:uiPriority w:val="0"/>
    <w:rPr>
      <w:rFonts w:ascii="楷体_GB2312" w:eastAsia="楷体_GB2312"/>
      <w:kern w:val="2"/>
      <w:sz w:val="32"/>
      <w:lang w:val="en-US" w:eastAsia="zh-CN" w:bidi="ar-SA"/>
    </w:rPr>
  </w:style>
  <w:style w:type="character" w:customStyle="1" w:styleId="63">
    <w:name w:val="纯文本 Char"/>
    <w:link w:val="21"/>
    <w:qFormat/>
    <w:locked/>
    <w:uiPriority w:val="0"/>
    <w:rPr>
      <w:rFonts w:ascii="宋体" w:hAnsi="Courier New"/>
      <w:kern w:val="2"/>
      <w:sz w:val="21"/>
    </w:rPr>
  </w:style>
  <w:style w:type="character" w:customStyle="1" w:styleId="64">
    <w:name w:val="日期 Char"/>
    <w:link w:val="23"/>
    <w:qFormat/>
    <w:locked/>
    <w:uiPriority w:val="0"/>
    <w:rPr>
      <w:rFonts w:eastAsia="宋体"/>
      <w:b/>
      <w:kern w:val="2"/>
      <w:sz w:val="28"/>
      <w:lang w:val="en-US" w:eastAsia="zh-CN" w:bidi="ar-SA"/>
    </w:rPr>
  </w:style>
  <w:style w:type="character" w:customStyle="1" w:styleId="65">
    <w:name w:val="批注框文本 Char"/>
    <w:link w:val="25"/>
    <w:qFormat/>
    <w:uiPriority w:val="0"/>
    <w:rPr>
      <w:kern w:val="2"/>
      <w:sz w:val="18"/>
      <w:szCs w:val="18"/>
    </w:rPr>
  </w:style>
  <w:style w:type="character" w:customStyle="1" w:styleId="66">
    <w:name w:val="标题 Char"/>
    <w:link w:val="37"/>
    <w:qFormat/>
    <w:uiPriority w:val="0"/>
    <w:rPr>
      <w:rFonts w:ascii="Cambria" w:hAnsi="Cambria" w:cs="Times New Roman"/>
      <w:b/>
      <w:bCs/>
      <w:kern w:val="2"/>
      <w:sz w:val="32"/>
      <w:szCs w:val="32"/>
    </w:rPr>
  </w:style>
  <w:style w:type="character" w:customStyle="1" w:styleId="67">
    <w:name w:val="标题 2 Char"/>
    <w:link w:val="3"/>
    <w:qFormat/>
    <w:uiPriority w:val="0"/>
    <w:rPr>
      <w:rFonts w:ascii="Arial" w:hAnsi="Arial" w:eastAsia="黑体"/>
      <w:b/>
      <w:bCs/>
      <w:sz w:val="32"/>
      <w:szCs w:val="32"/>
    </w:rPr>
  </w:style>
  <w:style w:type="paragraph" w:customStyle="1" w:styleId="68">
    <w:name w:val="正文缩进1"/>
    <w:qFormat/>
    <w:uiPriority w:val="0"/>
    <w:pPr>
      <w:widowControl w:val="0"/>
      <w:ind w:firstLine="624"/>
      <w:jc w:val="both"/>
      <w:textAlignment w:val="center"/>
    </w:pPr>
    <w:rPr>
      <w:rFonts w:ascii="Calibri" w:hAnsi="Calibri" w:eastAsia="宋体" w:cs="Times New Roman"/>
      <w:kern w:val="2"/>
      <w:sz w:val="21"/>
      <w:szCs w:val="24"/>
      <w:lang w:val="en-US" w:eastAsia="zh-CN" w:bidi="ar-SA"/>
    </w:rPr>
  </w:style>
  <w:style w:type="paragraph" w:customStyle="1" w:styleId="69">
    <w:name w:val="_Style 2"/>
    <w:basedOn w:val="1"/>
    <w:next w:val="1"/>
    <w:qFormat/>
    <w:uiPriority w:val="0"/>
    <w:pPr>
      <w:ind w:firstLine="420" w:firstLineChars="200"/>
    </w:pPr>
  </w:style>
  <w:style w:type="paragraph" w:customStyle="1" w:styleId="70">
    <w:name w:val="样式 ！正文 + 首行缩进:  2 字符"/>
    <w:basedOn w:val="1"/>
    <w:qFormat/>
    <w:uiPriority w:val="0"/>
    <w:pPr>
      <w:ind w:firstLine="480" w:firstLineChars="200"/>
    </w:pPr>
    <w:rPr>
      <w:rFonts w:hint="eastAsia" w:ascii="Arial" w:hAnsi="Arial" w:cs="宋体"/>
    </w:rPr>
  </w:style>
  <w:style w:type="character" w:customStyle="1" w:styleId="71">
    <w:name w:val="font21"/>
    <w:qFormat/>
    <w:uiPriority w:val="0"/>
    <w:rPr>
      <w:rFonts w:hint="eastAsia" w:ascii="宋体" w:hAnsi="宋体" w:eastAsia="宋体"/>
      <w:color w:val="3366FF"/>
      <w:sz w:val="24"/>
      <w:szCs w:val="24"/>
      <w:u w:val="none"/>
    </w:rPr>
  </w:style>
  <w:style w:type="character" w:customStyle="1" w:styleId="72">
    <w:name w:val="15"/>
    <w:qFormat/>
    <w:uiPriority w:val="0"/>
    <w:rPr>
      <w:rFonts w:hint="default" w:ascii="Times New Roman" w:hAnsi="Times New Roman" w:cs="Times New Roman"/>
      <w:b/>
      <w:kern w:val="44"/>
      <w:sz w:val="30"/>
      <w:szCs w:val="30"/>
    </w:rPr>
  </w:style>
  <w:style w:type="paragraph" w:customStyle="1" w:styleId="7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7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76">
    <w:name w:val="文章正文"/>
    <w:basedOn w:val="1"/>
    <w:qFormat/>
    <w:uiPriority w:val="0"/>
    <w:pPr>
      <w:numPr>
        <w:ilvl w:val="1"/>
        <w:numId w:val="1"/>
      </w:numPr>
      <w:spacing w:beforeLines="50" w:afterLines="50" w:line="320" w:lineRule="exact"/>
      <w:ind w:left="0" w:firstLine="200" w:firstLineChars="200"/>
    </w:pPr>
    <w:rPr>
      <w:rFonts w:ascii="仿宋_GB2312" w:eastAsia="仿宋_GB2312"/>
      <w:sz w:val="28"/>
      <w:szCs w:val="24"/>
    </w:rPr>
  </w:style>
  <w:style w:type="paragraph" w:customStyle="1" w:styleId="77">
    <w:name w:val="Char Char Char Char Char Char Char1 Char"/>
    <w:basedOn w:val="1"/>
    <w:qFormat/>
    <w:uiPriority w:val="0"/>
    <w:rPr>
      <w:rFonts w:ascii="Tahoma" w:hAnsi="Tahoma"/>
      <w:sz w:val="24"/>
    </w:rPr>
  </w:style>
  <w:style w:type="paragraph" w:customStyle="1" w:styleId="78">
    <w:name w:val="SUR-需求定义-第4级"/>
    <w:basedOn w:val="5"/>
    <w:next w:val="1"/>
    <w:qFormat/>
    <w:uiPriority w:val="0"/>
    <w:pPr>
      <w:numPr>
        <w:ilvl w:val="3"/>
        <w:numId w:val="2"/>
      </w:numPr>
      <w:tabs>
        <w:tab w:val="left" w:pos="1080"/>
        <w:tab w:val="clear" w:pos="2934"/>
      </w:tabs>
      <w:spacing w:before="0" w:after="0"/>
      <w:ind w:left="-283" w:firstLine="283"/>
      <w:jc w:val="left"/>
    </w:pPr>
    <w:rPr>
      <w:rFonts w:cs="Arial"/>
      <w:b w:val="0"/>
      <w:color w:val="0000FF"/>
      <w:sz w:val="24"/>
      <w:szCs w:val="24"/>
    </w:rPr>
  </w:style>
  <w:style w:type="paragraph" w:customStyle="1" w:styleId="79">
    <w:name w:val="基本文字 Char"/>
    <w:basedOn w:val="1"/>
    <w:qFormat/>
    <w:uiPriority w:val="0"/>
    <w:pPr>
      <w:spacing w:before="156" w:line="400" w:lineRule="atLeast"/>
      <w:ind w:firstLine="540" w:firstLineChars="225"/>
    </w:pPr>
    <w:rPr>
      <w:sz w:val="24"/>
    </w:rPr>
  </w:style>
  <w:style w:type="paragraph" w:customStyle="1" w:styleId="80">
    <w:name w:val="样式1"/>
    <w:basedOn w:val="1"/>
    <w:qFormat/>
    <w:uiPriority w:val="0"/>
    <w:pPr>
      <w:numPr>
        <w:ilvl w:val="0"/>
        <w:numId w:val="3"/>
      </w:numPr>
      <w:adjustRightInd w:val="0"/>
      <w:textAlignment w:val="baseline"/>
    </w:pPr>
    <w:rPr>
      <w:rFonts w:ascii="宋体" w:hAnsi="宋体"/>
      <w:kern w:val="0"/>
    </w:rPr>
  </w:style>
  <w:style w:type="paragraph" w:customStyle="1" w:styleId="81">
    <w:name w:val="D&amp;L"/>
    <w:basedOn w:val="27"/>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82">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styleId="83">
    <w:name w:val="List Paragraph"/>
    <w:basedOn w:val="1"/>
    <w:qFormat/>
    <w:uiPriority w:val="99"/>
    <w:pPr>
      <w:ind w:firstLine="420" w:firstLineChars="200"/>
    </w:pPr>
    <w:rPr>
      <w:rFonts w:ascii="Calibri" w:hAnsi="Calibri"/>
      <w:szCs w:val="22"/>
    </w:rPr>
  </w:style>
  <w:style w:type="paragraph" w:customStyle="1" w:styleId="84">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5">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6">
    <w:name w:val="_Style 8"/>
    <w:basedOn w:val="1"/>
    <w:qFormat/>
    <w:uiPriority w:val="0"/>
  </w:style>
  <w:style w:type="paragraph" w:customStyle="1" w:styleId="87">
    <w:name w:val="Char"/>
    <w:basedOn w:val="1"/>
    <w:qFormat/>
    <w:uiPriority w:val="0"/>
    <w:rPr>
      <w:rFonts w:ascii="Tahoma" w:hAnsi="Tahoma"/>
      <w:sz w:val="24"/>
    </w:rPr>
  </w:style>
  <w:style w:type="paragraph" w:customStyle="1" w:styleId="8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90">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9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92">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93">
    <w:name w:val="p0"/>
    <w:basedOn w:val="1"/>
    <w:qFormat/>
    <w:uiPriority w:val="0"/>
    <w:pPr>
      <w:widowControl/>
    </w:pPr>
    <w:rPr>
      <w:kern w:val="0"/>
      <w:szCs w:val="21"/>
    </w:rPr>
  </w:style>
  <w:style w:type="paragraph" w:customStyle="1" w:styleId="94">
    <w:name w:val="二级标题"/>
    <w:basedOn w:val="1"/>
    <w:next w:val="76"/>
    <w:qFormat/>
    <w:uiPriority w:val="0"/>
    <w:pPr>
      <w:numPr>
        <w:ilvl w:val="0"/>
        <w:numId w:val="1"/>
      </w:numPr>
      <w:tabs>
        <w:tab w:val="left" w:pos="992"/>
        <w:tab w:val="clear" w:pos="425"/>
      </w:tabs>
      <w:ind w:left="992" w:hanging="567"/>
      <w:outlineLvl w:val="1"/>
    </w:pPr>
    <w:rPr>
      <w:rFonts w:ascii="黑体" w:eastAsia="黑体"/>
      <w:sz w:val="28"/>
      <w:szCs w:val="24"/>
    </w:rPr>
  </w:style>
  <w:style w:type="paragraph" w:customStyle="1" w:styleId="95">
    <w:name w:val="一级标题"/>
    <w:basedOn w:val="1"/>
    <w:next w:val="94"/>
    <w:qFormat/>
    <w:uiPriority w:val="0"/>
    <w:pPr>
      <w:numPr>
        <w:ilvl w:val="2"/>
        <w:numId w:val="1"/>
      </w:numPr>
      <w:tabs>
        <w:tab w:val="left" w:pos="425"/>
      </w:tabs>
      <w:spacing w:afterLines="100"/>
      <w:ind w:left="850" w:hanging="425"/>
      <w:outlineLvl w:val="0"/>
    </w:pPr>
    <w:rPr>
      <w:rFonts w:ascii="黑体" w:eastAsia="黑体"/>
      <w:sz w:val="30"/>
      <w:szCs w:val="28"/>
    </w:rPr>
  </w:style>
  <w:style w:type="paragraph" w:customStyle="1" w:styleId="96">
    <w:name w:val="xl31"/>
    <w:basedOn w:val="1"/>
    <w:qFormat/>
    <w:uiPriority w:val="0"/>
    <w:pPr>
      <w:widowControl/>
      <w:spacing w:before="100" w:beforeAutospacing="1" w:after="100" w:afterAutospacing="1"/>
      <w:jc w:val="center"/>
    </w:pPr>
    <w:rPr>
      <w:rFonts w:ascii="宋体" w:hAnsi="宋体"/>
      <w:b/>
      <w:bCs/>
      <w:kern w:val="0"/>
      <w:sz w:val="28"/>
      <w:szCs w:val="28"/>
    </w:rPr>
  </w:style>
  <w:style w:type="table" w:customStyle="1" w:styleId="97">
    <w:name w:val="Table Normal"/>
    <w:unhideWhenUsed/>
    <w:qFormat/>
    <w:uiPriority w:val="0"/>
    <w:rPr>
      <w:rFonts w:ascii="Arial" w:hAnsi="Arial" w:cs="Arial"/>
      <w:lang w:val="en-US" w:eastAsia="zh-CN" w:bidi="ar-SA"/>
    </w:rPr>
    <w:tblPr>
      <w:tblCellMar>
        <w:top w:w="0" w:type="dxa"/>
        <w:left w:w="0" w:type="dxa"/>
        <w:bottom w:w="0" w:type="dxa"/>
        <w:right w:w="0" w:type="dxa"/>
      </w:tblCellMar>
    </w:tblPr>
  </w:style>
  <w:style w:type="paragraph" w:customStyle="1" w:styleId="98">
    <w:name w:val="List Paragraph1"/>
    <w:basedOn w:val="1"/>
    <w:qFormat/>
    <w:uiPriority w:val="34"/>
    <w:pPr>
      <w:ind w:firstLine="420" w:firstLineChars="200"/>
    </w:pPr>
    <w:rPr>
      <w:rFonts w:ascii="Calibri" w:hAnsi="Calibri" w:eastAsia="宋体" w:cs="Times New Roman"/>
    </w:rPr>
  </w:style>
  <w:style w:type="paragraph" w:customStyle="1" w:styleId="99">
    <w:name w:val="Table Paragraph"/>
    <w:basedOn w:val="1"/>
    <w:qFormat/>
    <w:uiPriority w:val="1"/>
  </w:style>
  <w:style w:type="paragraph" w:customStyle="1" w:styleId="100">
    <w:name w:val="通用标题2"/>
    <w:basedOn w:val="3"/>
    <w:next w:val="1"/>
    <w:qFormat/>
    <w:uiPriority w:val="0"/>
    <w:pPr>
      <w:keepNext w:val="0"/>
      <w:keepLines w:val="0"/>
      <w:widowControl/>
      <w:numPr>
        <w:ilvl w:val="0"/>
        <w:numId w:val="4"/>
      </w:numPr>
      <w:tabs>
        <w:tab w:val="left" w:pos="993"/>
      </w:tabs>
      <w:wordWrap w:val="0"/>
      <w:topLinePunct/>
      <w:adjustRightInd w:val="0"/>
      <w:snapToGrid w:val="0"/>
      <w:spacing w:before="0" w:after="120" w:afterLines="50" w:line="360" w:lineRule="auto"/>
    </w:pPr>
    <w:rPr>
      <w:rFonts w:ascii="黑体" w:hAnsi="黑体" w:eastAsia="黑体"/>
      <w:bCs w:val="0"/>
      <w:kern w:val="0"/>
      <w:sz w:val="28"/>
      <w:szCs w:val="20"/>
      <w:lang w:val="en-US" w:eastAsia="zh-CN"/>
    </w:rPr>
  </w:style>
  <w:style w:type="paragraph" w:customStyle="1" w:styleId="10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0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3">
    <w:name w:val="Table Text"/>
    <w:basedOn w:val="1"/>
    <w:semiHidden/>
    <w:qFormat/>
    <w:uiPriority w:val="0"/>
    <w:rPr>
      <w:rFonts w:ascii="仿宋" w:hAnsi="仿宋" w:eastAsia="仿宋" w:cs="仿宋"/>
      <w:sz w:val="22"/>
      <w:szCs w:val="22"/>
      <w:lang w:val="en-US" w:eastAsia="en-US" w:bidi="ar-SA"/>
    </w:rPr>
  </w:style>
  <w:style w:type="paragraph" w:customStyle="1" w:styleId="104">
    <w:name w:val="目录 71"/>
    <w:basedOn w:val="1"/>
    <w:next w:val="1"/>
    <w:qFormat/>
    <w:uiPriority w:val="0"/>
    <w:pPr>
      <w:ind w:left="2520"/>
    </w:pPr>
    <w:rPr>
      <w:rFonts w:ascii="Calibri"/>
    </w:rPr>
  </w:style>
  <w:style w:type="paragraph" w:customStyle="1" w:styleId="105">
    <w:name w:val="正文缩进3"/>
    <w:basedOn w:val="1"/>
    <w:qFormat/>
    <w:uiPriority w:val="0"/>
    <w:pPr>
      <w:ind w:firstLine="420"/>
    </w:pPr>
    <w:rPr>
      <w:rFonts w:ascii="Calibri" w:hAnsi="Calibri"/>
      <w:kern w:val="0"/>
      <w:sz w:val="20"/>
      <w:szCs w:val="20"/>
    </w:rPr>
  </w:style>
  <w:style w:type="character" w:customStyle="1" w:styleId="106">
    <w:name w:val="font01"/>
    <w:basedOn w:val="4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69</Pages>
  <Words>7396</Words>
  <Characters>7880</Characters>
  <Lines>250</Lines>
  <Paragraphs>70</Paragraphs>
  <TotalTime>64</TotalTime>
  <ScaleCrop>false</ScaleCrop>
  <LinksUpToDate>false</LinksUpToDate>
  <CharactersWithSpaces>8055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2019-07-30T10:27:00Z</dcterms:created>
  <dc:creator>Administrator</dc:creator>
  <cp:lastModifiedBy>Dong</cp:lastModifiedBy>
  <cp:lastPrinted>2025-02-27T12:36:00Z</cp:lastPrinted>
  <dcterms:modified xsi:type="dcterms:W3CDTF">2025-03-06T07:24:23Z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530194B3FDC94C699AA290A9BFA342FA_13</vt:lpwstr>
  </property>
  <property fmtid="{D5CDD505-2E9C-101B-9397-08002B2CF9AE}" pid="4" name="KSOTemplateDocerSaveRecord">
    <vt:lpwstr>eyJoZGlkIjoiZWI5MjFkNTUwNjkwZDA3Y2YxNTZjOGI0NGVmZGJiM2UiLCJ1c2VySWQiOiI0MTc3NjcxNzcifQ==</vt:lpwstr>
  </property>
</Properties>
</file>