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362B00" w:rsidRPr="00362B00">
        <w:rPr>
          <w:rFonts w:ascii="宋体" w:hAnsi="宋体" w:cs="宋体" w:hint="eastAsia"/>
          <w:b/>
          <w:bCs/>
          <w:kern w:val="0"/>
          <w:sz w:val="39"/>
          <w:szCs w:val="39"/>
          <w:shd w:val="clear" w:color="auto" w:fill="FFFFFF"/>
          <w:lang w:bidi="ar"/>
        </w:rPr>
        <w:t>嘉兴强安线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B06939" w:rsidRPr="00B06939">
              <w:rPr>
                <w:rFonts w:ascii="宋体" w:hAnsi="宋体" w:cs="宋体" w:hint="eastAsia"/>
                <w:snapToGrid w:val="0"/>
              </w:rPr>
              <w:t>嘉兴强安线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E22670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8D4604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8D4604">
              <w:rPr>
                <w:rStyle w:val="ab"/>
                <w:rFonts w:ascii="宋体" w:hAnsi="宋体" w:cs="宋体" w:hint="eastAsia"/>
                <w:b w:val="0"/>
                <w:bCs/>
                <w:u w:val="single"/>
                <w:shd w:val="clear" w:color="auto" w:fill="FFFFFF"/>
              </w:rPr>
              <w:t xml:space="preserve">  </w:t>
            </w:r>
            <w:r w:rsidR="008D4604">
              <w:rPr>
                <w:rStyle w:val="ab"/>
                <w:rFonts w:ascii="宋体" w:hAnsi="宋体" w:cs="宋体"/>
                <w:b w:val="0"/>
                <w:bCs/>
                <w:u w:val="single"/>
                <w:shd w:val="clear" w:color="auto" w:fill="FFFFFF"/>
              </w:rPr>
              <w:t>55</w:t>
            </w:r>
            <w:r w:rsidRPr="008D4604">
              <w:rPr>
                <w:rStyle w:val="ab"/>
                <w:rFonts w:ascii="宋体" w:hAnsi="宋体" w:cs="宋体" w:hint="eastAsia"/>
                <w:b w:val="0"/>
                <w:bCs/>
                <w:u w:val="single"/>
                <w:shd w:val="clear" w:color="auto" w:fill="FFFFFF"/>
              </w:rPr>
              <w:t xml:space="preserve"> 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583418">
              <w:rPr>
                <w:rFonts w:ascii="宋体" w:hAnsi="宋体" w:hint="eastAsia"/>
                <w:sz w:val="22"/>
                <w:szCs w:val="22"/>
              </w:rPr>
              <w:t>赵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583418" w:rsidRPr="00583418">
              <w:rPr>
                <w:rFonts w:ascii="宋体" w:hAnsi="宋体"/>
                <w:sz w:val="22"/>
                <w:szCs w:val="22"/>
              </w:rPr>
              <w:t>18201717580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696C73">
        <w:rPr>
          <w:rFonts w:ascii="宋体" w:hAnsi="宋体" w:cs="宋体" w:hint="eastAsia"/>
          <w:snapToGrid w:val="0"/>
          <w:kern w:val="0"/>
          <w:sz w:val="24"/>
          <w:u w:val="single"/>
          <w:lang w:bidi="ar"/>
        </w:rPr>
        <w:t xml:space="preserve">  </w:t>
      </w:r>
      <w:r w:rsidR="00696C73" w:rsidRPr="00696C73">
        <w:rPr>
          <w:rFonts w:ascii="宋体" w:hAnsi="宋体" w:cs="宋体"/>
          <w:snapToGrid w:val="0"/>
          <w:kern w:val="0"/>
          <w:sz w:val="24"/>
          <w:u w:val="single"/>
          <w:lang w:bidi="ar"/>
        </w:rPr>
        <w:t>2</w:t>
      </w:r>
      <w:r w:rsidRPr="00696C73">
        <w:rPr>
          <w:rFonts w:ascii="宋体" w:hAnsi="宋体" w:cs="宋体" w:hint="eastAsia"/>
          <w:snapToGrid w:val="0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885107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885107">
        <w:rPr>
          <w:rFonts w:ascii="宋体" w:hAnsi="宋体" w:cs="宋体"/>
          <w:color w:val="000000"/>
          <w:u w:val="single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</w:t>
      </w:r>
      <w:r w:rsidR="007E6A11">
        <w:rPr>
          <w:rFonts w:hAnsi="宋体" w:cs="宋体"/>
          <w:snapToGrid w:val="0"/>
          <w:color w:val="FF0000"/>
        </w:rPr>
        <w:t>3</w:t>
      </w:r>
      <w:r>
        <w:rPr>
          <w:rFonts w:hAnsi="宋体" w:cs="宋体" w:hint="eastAsia"/>
          <w:snapToGrid w:val="0"/>
          <w:color w:val="FF0000"/>
        </w:rPr>
        <w:t xml:space="preserve"> 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7E6A11">
        <w:rPr>
          <w:rFonts w:hAnsi="宋体" w:cs="宋体"/>
          <w:snapToGrid w:val="0"/>
          <w:color w:val="FF0000"/>
        </w:rPr>
        <w:t>18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</w:t>
      </w:r>
      <w:r w:rsidR="007E6A11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月 </w:t>
      </w:r>
      <w:r w:rsidR="007E6A11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12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  <w:bookmarkStart w:id="0" w:name="_GoBack"/>
      <w:bookmarkEnd w:id="0"/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B521C5" w:rsidRDefault="00B521C5">
      <w:pPr>
        <w:rPr>
          <w:rFonts w:ascii="宋体" w:hAnsi="宋体" w:cs="宋体"/>
          <w:color w:val="000000"/>
        </w:rPr>
      </w:pPr>
    </w:p>
    <w:p w:rsidR="00B521C5" w:rsidRPr="00B521C5" w:rsidRDefault="00B521C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6E0EC8" w:rsidRPr="006E0EC8">
        <w:rPr>
          <w:rStyle w:val="ab"/>
          <w:rFonts w:ascii="宋体" w:hAnsi="宋体" w:cs="宋体" w:hint="eastAsia"/>
          <w:b w:val="0"/>
          <w:bCs/>
          <w:sz w:val="24"/>
          <w:shd w:val="clear" w:color="auto" w:fill="FFFFFF"/>
        </w:rPr>
        <w:t>嘉兴强安线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076F9B" w:rsidRDefault="00076F9B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A82238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A82238" w:rsidRPr="00A82238">
        <w:rPr>
          <w:rFonts w:ascii="宋体" w:hAnsi="宋体" w:hint="eastAsia"/>
          <w:sz w:val="21"/>
          <w:szCs w:val="21"/>
        </w:rPr>
        <w:t>嘉兴市秀洲区加创路1238</w:t>
      </w:r>
      <w:r w:rsidR="00A82238">
        <w:rPr>
          <w:rFonts w:ascii="宋体" w:hAnsi="宋体" w:hint="eastAsia"/>
          <w:sz w:val="21"/>
          <w:szCs w:val="21"/>
        </w:rPr>
        <w:t>号</w:t>
      </w:r>
      <w:r w:rsidR="00EB4031">
        <w:rPr>
          <w:rFonts w:ascii="宋体" w:hAnsi="宋体" w:hint="eastAsia"/>
          <w:sz w:val="21"/>
          <w:szCs w:val="21"/>
        </w:rPr>
        <w:t>（光明领鲜嘉兴物流中心）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9739FB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5pt" o:ole="">
            <v:imagedata r:id="rId7" o:title=""/>
          </v:shape>
          <o:OLEObject Type="Embed" ProgID="Excel.SheetBinaryMacroEnabled.12" ShapeID="_x0000_i1025" DrawAspect="Icon" ObjectID="_1803300488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A82238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A82238" w:rsidRPr="00A82238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嘉兴强安线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Style w:val="aa"/>
        <w:tblW w:w="8359" w:type="dxa"/>
        <w:jc w:val="center"/>
        <w:tblLook w:val="04A0" w:firstRow="1" w:lastRow="0" w:firstColumn="1" w:lastColumn="0" w:noHBand="0" w:noVBand="1"/>
      </w:tblPr>
      <w:tblGrid>
        <w:gridCol w:w="680"/>
        <w:gridCol w:w="1442"/>
        <w:gridCol w:w="1172"/>
        <w:gridCol w:w="1231"/>
        <w:gridCol w:w="1216"/>
        <w:gridCol w:w="1342"/>
        <w:gridCol w:w="1276"/>
      </w:tblGrid>
      <w:tr w:rsidR="00A82238" w:rsidRPr="00F02EC0" w:rsidTr="006D7493">
        <w:trPr>
          <w:trHeight w:val="567"/>
          <w:jc w:val="center"/>
        </w:trPr>
        <w:tc>
          <w:tcPr>
            <w:tcW w:w="680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序号</w:t>
            </w:r>
          </w:p>
        </w:tc>
        <w:tc>
          <w:tcPr>
            <w:tcW w:w="144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线路名称</w:t>
            </w:r>
          </w:p>
        </w:tc>
        <w:tc>
          <w:tcPr>
            <w:tcW w:w="117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往返里程</w:t>
            </w:r>
          </w:p>
        </w:tc>
        <w:tc>
          <w:tcPr>
            <w:tcW w:w="1231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运营形式</w:t>
            </w:r>
          </w:p>
        </w:tc>
        <w:tc>
          <w:tcPr>
            <w:tcW w:w="1216" w:type="dxa"/>
            <w:vAlign w:val="center"/>
          </w:tcPr>
          <w:p w:rsidR="00A82238" w:rsidRPr="00F02EC0" w:rsidRDefault="00A82238" w:rsidP="00A82238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荷载吨位</w:t>
            </w:r>
          </w:p>
        </w:tc>
        <w:tc>
          <w:tcPr>
            <w:tcW w:w="1342" w:type="dxa"/>
            <w:vAlign w:val="center"/>
          </w:tcPr>
          <w:p w:rsidR="00A82238" w:rsidRPr="00F02EC0" w:rsidRDefault="00A82238" w:rsidP="00A82238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含税运价</w:t>
            </w:r>
          </w:p>
        </w:tc>
        <w:tc>
          <w:tcPr>
            <w:tcW w:w="1276" w:type="dxa"/>
            <w:vAlign w:val="center"/>
          </w:tcPr>
          <w:p w:rsidR="00A82238" w:rsidRPr="00F02EC0" w:rsidRDefault="00A82238" w:rsidP="00A82238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结算单位</w:t>
            </w:r>
          </w:p>
        </w:tc>
      </w:tr>
      <w:tr w:rsidR="00A82238" w:rsidRPr="00F02EC0" w:rsidTr="006D7493">
        <w:trPr>
          <w:trHeight w:val="567"/>
          <w:jc w:val="center"/>
        </w:trPr>
        <w:tc>
          <w:tcPr>
            <w:tcW w:w="680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1</w:t>
            </w:r>
          </w:p>
        </w:tc>
        <w:tc>
          <w:tcPr>
            <w:tcW w:w="144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强安1线</w:t>
            </w:r>
          </w:p>
        </w:tc>
        <w:tc>
          <w:tcPr>
            <w:tcW w:w="1172" w:type="dxa"/>
            <w:vAlign w:val="center"/>
          </w:tcPr>
          <w:p w:rsidR="00A82238" w:rsidRPr="00F02EC0" w:rsidRDefault="004E1573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/>
                <w:sz w:val="22"/>
              </w:rPr>
              <w:t>190</w:t>
            </w:r>
            <w:r w:rsidR="00A82238" w:rsidRPr="00F02EC0">
              <w:rPr>
                <w:rFonts w:ascii="新宋体" w:eastAsia="新宋体" w:hAnsi="新宋体"/>
                <w:sz w:val="22"/>
              </w:rPr>
              <w:t>公里</w:t>
            </w:r>
          </w:p>
        </w:tc>
        <w:tc>
          <w:tcPr>
            <w:tcW w:w="1231" w:type="dxa"/>
            <w:vAlign w:val="center"/>
          </w:tcPr>
          <w:p w:rsidR="00A82238" w:rsidRPr="00F02EC0" w:rsidRDefault="00101313" w:rsidP="00101313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晚班</w:t>
            </w:r>
            <w:r w:rsidR="00A82238" w:rsidRPr="00F02EC0">
              <w:rPr>
                <w:rFonts w:ascii="新宋体" w:eastAsia="新宋体" w:hAnsi="新宋体"/>
                <w:sz w:val="22"/>
              </w:rPr>
              <w:t>外围</w:t>
            </w:r>
          </w:p>
        </w:tc>
        <w:tc>
          <w:tcPr>
            <w:tcW w:w="1216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2.5吨</w:t>
            </w:r>
          </w:p>
        </w:tc>
        <w:tc>
          <w:tcPr>
            <w:tcW w:w="134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元/车</w:t>
            </w:r>
          </w:p>
        </w:tc>
      </w:tr>
      <w:tr w:rsidR="00A82238" w:rsidRPr="00F02EC0" w:rsidTr="006D7493">
        <w:trPr>
          <w:trHeight w:val="567"/>
          <w:jc w:val="center"/>
        </w:trPr>
        <w:tc>
          <w:tcPr>
            <w:tcW w:w="680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强安2线</w:t>
            </w:r>
          </w:p>
        </w:tc>
        <w:tc>
          <w:tcPr>
            <w:tcW w:w="1172" w:type="dxa"/>
            <w:vAlign w:val="center"/>
          </w:tcPr>
          <w:p w:rsidR="00A82238" w:rsidRPr="00F02EC0" w:rsidRDefault="00852A09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/>
                <w:sz w:val="22"/>
              </w:rPr>
              <w:t>150</w:t>
            </w:r>
            <w:r w:rsidR="00A82238" w:rsidRPr="00F02EC0">
              <w:rPr>
                <w:rFonts w:ascii="新宋体" w:eastAsia="新宋体" w:hAnsi="新宋体"/>
                <w:sz w:val="22"/>
              </w:rPr>
              <w:t>公里</w:t>
            </w:r>
          </w:p>
        </w:tc>
        <w:tc>
          <w:tcPr>
            <w:tcW w:w="1231" w:type="dxa"/>
            <w:vAlign w:val="center"/>
          </w:tcPr>
          <w:p w:rsidR="00A82238" w:rsidRPr="00F02EC0" w:rsidRDefault="00101313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晚</w:t>
            </w:r>
            <w:r w:rsidR="00A82238" w:rsidRPr="00F02EC0">
              <w:rPr>
                <w:rFonts w:ascii="新宋体" w:eastAsia="新宋体" w:hAnsi="新宋体"/>
                <w:sz w:val="22"/>
              </w:rPr>
              <w:t>班外围</w:t>
            </w:r>
          </w:p>
        </w:tc>
        <w:tc>
          <w:tcPr>
            <w:tcW w:w="1216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2.5吨</w:t>
            </w:r>
          </w:p>
        </w:tc>
        <w:tc>
          <w:tcPr>
            <w:tcW w:w="1342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/</w:t>
            </w:r>
          </w:p>
        </w:tc>
        <w:tc>
          <w:tcPr>
            <w:tcW w:w="1276" w:type="dxa"/>
            <w:vAlign w:val="center"/>
          </w:tcPr>
          <w:p w:rsidR="00A82238" w:rsidRPr="00F02EC0" w:rsidRDefault="00A82238" w:rsidP="00C3735E">
            <w:pPr>
              <w:jc w:val="center"/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元/车</w:t>
            </w:r>
          </w:p>
        </w:tc>
      </w:tr>
      <w:tr w:rsidR="00A82238" w:rsidRPr="00F02EC0" w:rsidTr="006D7493">
        <w:trPr>
          <w:trHeight w:val="567"/>
          <w:jc w:val="center"/>
        </w:trPr>
        <w:tc>
          <w:tcPr>
            <w:tcW w:w="8359" w:type="dxa"/>
            <w:gridSpan w:val="7"/>
            <w:vAlign w:val="center"/>
          </w:tcPr>
          <w:p w:rsidR="00A82238" w:rsidRPr="00F02EC0" w:rsidRDefault="00A82238" w:rsidP="00C3735E">
            <w:pPr>
              <w:rPr>
                <w:rFonts w:ascii="新宋体" w:eastAsia="新宋体" w:hAnsi="新宋体"/>
                <w:sz w:val="22"/>
              </w:rPr>
            </w:pPr>
            <w:r w:rsidRPr="00F02EC0">
              <w:rPr>
                <w:rFonts w:ascii="新宋体" w:eastAsia="新宋体" w:hAnsi="新宋体"/>
                <w:sz w:val="22"/>
              </w:rPr>
              <w:t>备注：以上线路执行油价联动，油价基准为</w:t>
            </w:r>
            <w:r w:rsidR="00DE3DB2">
              <w:rPr>
                <w:rFonts w:ascii="新宋体" w:eastAsia="新宋体" w:hAnsi="新宋体"/>
                <w:sz w:val="22"/>
              </w:rPr>
              <w:t>7.16</w:t>
            </w:r>
            <w:r w:rsidRPr="00F02EC0">
              <w:rPr>
                <w:rFonts w:ascii="新宋体" w:eastAsia="新宋体" w:hAnsi="新宋体"/>
                <w:sz w:val="22"/>
              </w:rPr>
              <w:t>元/升。</w:t>
            </w:r>
          </w:p>
        </w:tc>
      </w:tr>
    </w:tbl>
    <w:p w:rsidR="00862D7F" w:rsidRPr="002A724D" w:rsidRDefault="00862D7F" w:rsidP="0056030D">
      <w:pPr>
        <w:numPr>
          <w:ilvl w:val="1"/>
          <w:numId w:val="5"/>
        </w:numPr>
        <w:rPr>
          <w:rFonts w:ascii="新宋体" w:eastAsia="新宋体" w:hAnsi="新宋体"/>
          <w:bCs/>
          <w:sz w:val="22"/>
          <w:szCs w:val="22"/>
        </w:rPr>
      </w:pPr>
      <w:r w:rsidRPr="002A724D">
        <w:rPr>
          <w:rFonts w:ascii="新宋体" w:eastAsia="新宋体" w:hAnsi="新宋体" w:hint="eastAsia"/>
          <w:bCs/>
          <w:sz w:val="22"/>
          <w:szCs w:val="22"/>
        </w:rPr>
        <w:t>所有运输价格按产品净重计；</w:t>
      </w:r>
      <w:r w:rsidRPr="002A724D">
        <w:rPr>
          <w:rFonts w:ascii="新宋体" w:eastAsia="新宋体" w:hAnsi="新宋体" w:hint="eastAsia"/>
          <w:bCs/>
          <w:sz w:val="22"/>
          <w:szCs w:val="22"/>
          <w:u w:val="single"/>
        </w:rPr>
        <w:t>(除另有约定外)</w:t>
      </w:r>
    </w:p>
    <w:p w:rsidR="00862D7F" w:rsidRPr="002A724D" w:rsidRDefault="00862D7F" w:rsidP="0056030D">
      <w:pPr>
        <w:numPr>
          <w:ilvl w:val="1"/>
          <w:numId w:val="5"/>
        </w:numPr>
        <w:rPr>
          <w:rFonts w:ascii="新宋体" w:eastAsia="新宋体" w:hAnsi="新宋体"/>
          <w:bCs/>
          <w:sz w:val="22"/>
          <w:szCs w:val="22"/>
          <w:lang w:bidi="ar"/>
        </w:rPr>
      </w:pPr>
      <w:r w:rsidRPr="002A724D">
        <w:rPr>
          <w:rFonts w:ascii="新宋体" w:eastAsia="新宋体" w:hAnsi="新宋体" w:hint="eastAsia"/>
          <w:bCs/>
          <w:sz w:val="22"/>
          <w:szCs w:val="22"/>
          <w:lang w:bidi="ar"/>
        </w:rPr>
        <w:t>需负责回收空格、空瓶及周转箱及退货。</w:t>
      </w:r>
    </w:p>
    <w:p w:rsidR="00862D7F" w:rsidRPr="002A724D" w:rsidRDefault="00862D7F" w:rsidP="0056030D">
      <w:pPr>
        <w:numPr>
          <w:ilvl w:val="1"/>
          <w:numId w:val="5"/>
        </w:numPr>
        <w:rPr>
          <w:rFonts w:ascii="新宋体" w:eastAsia="新宋体" w:hAnsi="新宋体"/>
          <w:bCs/>
          <w:sz w:val="22"/>
          <w:szCs w:val="22"/>
          <w:lang w:bidi="ar"/>
        </w:rPr>
      </w:pPr>
      <w:r w:rsidRPr="002A724D">
        <w:rPr>
          <w:rFonts w:ascii="新宋体" w:eastAsia="新宋体" w:hAnsi="新宋体" w:cs="宋体" w:hint="eastAsia"/>
          <w:sz w:val="22"/>
          <w:szCs w:val="22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862D7F" w:rsidRPr="002A724D" w:rsidRDefault="00862D7F" w:rsidP="0056030D">
      <w:pPr>
        <w:numPr>
          <w:ilvl w:val="1"/>
          <w:numId w:val="5"/>
        </w:numPr>
        <w:rPr>
          <w:rFonts w:ascii="新宋体" w:eastAsia="新宋体" w:hAnsi="新宋体"/>
          <w:bCs/>
          <w:sz w:val="22"/>
          <w:szCs w:val="22"/>
          <w:lang w:bidi="ar"/>
        </w:rPr>
      </w:pPr>
      <w:r w:rsidRPr="002A724D">
        <w:rPr>
          <w:rFonts w:ascii="新宋体" w:eastAsia="新宋体" w:hAnsi="新宋体" w:hint="eastAsia"/>
          <w:bCs/>
          <w:sz w:val="22"/>
          <w:szCs w:val="22"/>
        </w:rPr>
        <w:t>市内加车费用150元/车；外围线路加车费用为不超过该线路运价80%来结算。</w:t>
      </w:r>
    </w:p>
    <w:p w:rsidR="00862D7F" w:rsidRPr="002A724D" w:rsidRDefault="00862D7F" w:rsidP="0056030D">
      <w:pPr>
        <w:rPr>
          <w:rFonts w:ascii="新宋体" w:eastAsia="新宋体" w:hAnsi="新宋体"/>
          <w:color w:val="000000"/>
          <w:sz w:val="22"/>
          <w:szCs w:val="22"/>
        </w:rPr>
      </w:pPr>
      <w:r w:rsidRPr="002A724D">
        <w:rPr>
          <w:rFonts w:ascii="新宋体" w:eastAsia="新宋体" w:hAnsi="新宋体" w:cs="宋体"/>
          <w:color w:val="000000"/>
          <w:sz w:val="22"/>
          <w:szCs w:val="22"/>
        </w:rPr>
        <w:t xml:space="preserve">1.5  </w:t>
      </w:r>
      <w:r w:rsidRPr="002A724D">
        <w:rPr>
          <w:rFonts w:ascii="新宋体" w:eastAsia="新宋体" w:hAnsi="新宋体" w:hint="eastAsia"/>
          <w:color w:val="000000"/>
          <w:sz w:val="22"/>
          <w:szCs w:val="22"/>
        </w:rPr>
        <w:t>《价格表》所述线路中如实行油价联动的，合同基准油价</w:t>
      </w:r>
      <w:sdt>
        <w:sdtPr>
          <w:rPr>
            <w:rFonts w:ascii="新宋体" w:eastAsia="新宋体" w:hAnsi="新宋体" w:hint="eastAsia"/>
            <w:sz w:val="22"/>
            <w:szCs w:val="22"/>
          </w:rPr>
          <w:id w:val="147471870"/>
          <w:placeholder>
            <w:docPart w:val="CD5A693728594472AD94C7D29477D0F2"/>
          </w:placeholder>
        </w:sdtPr>
        <w:sdtEndPr/>
        <w:sdtContent>
          <w:r w:rsidRPr="002A724D">
            <w:rPr>
              <w:rFonts w:ascii="新宋体" w:eastAsia="新宋体" w:hAnsi="新宋体" w:hint="eastAsia"/>
              <w:color w:val="000000"/>
              <w:sz w:val="22"/>
              <w:szCs w:val="22"/>
            </w:rPr>
            <w:t>为</w:t>
          </w:r>
          <w:r w:rsidRPr="002A724D">
            <w:rPr>
              <w:rFonts w:ascii="新宋体" w:eastAsia="新宋体" w:hAnsi="新宋体"/>
              <w:color w:val="000000"/>
              <w:sz w:val="22"/>
              <w:szCs w:val="22"/>
              <w:u w:val="single"/>
            </w:rPr>
            <w:t xml:space="preserve">  </w:t>
          </w:r>
          <w:r w:rsidR="00262171" w:rsidRPr="002A724D">
            <w:rPr>
              <w:rFonts w:ascii="新宋体" w:eastAsia="新宋体" w:hAnsi="新宋体"/>
              <w:color w:val="000000"/>
              <w:sz w:val="22"/>
              <w:szCs w:val="22"/>
              <w:u w:val="single"/>
            </w:rPr>
            <w:t>7.16</w:t>
          </w:r>
          <w:r w:rsidRPr="002A724D">
            <w:rPr>
              <w:rFonts w:ascii="新宋体" w:eastAsia="新宋体" w:hAnsi="新宋体"/>
              <w:color w:val="000000"/>
              <w:sz w:val="22"/>
              <w:szCs w:val="22"/>
              <w:u w:val="single"/>
            </w:rPr>
            <w:t xml:space="preserve">  </w:t>
          </w:r>
          <w:r w:rsidRPr="002A724D">
            <w:rPr>
              <w:rFonts w:ascii="新宋体" w:eastAsia="新宋体" w:hAnsi="新宋体" w:hint="eastAsia"/>
              <w:color w:val="000000"/>
              <w:sz w:val="22"/>
              <w:szCs w:val="22"/>
            </w:rPr>
            <w:t>元</w:t>
          </w:r>
        </w:sdtContent>
      </w:sdt>
      <w:r w:rsidRPr="002A724D">
        <w:rPr>
          <w:rFonts w:ascii="新宋体" w:eastAsia="新宋体" w:hAnsi="新宋体"/>
          <w:color w:val="000000"/>
          <w:sz w:val="22"/>
          <w:szCs w:val="22"/>
        </w:rPr>
        <w:t>/升</w:t>
      </w:r>
      <w:r w:rsidRPr="002A724D">
        <w:rPr>
          <w:rFonts w:ascii="新宋体" w:eastAsia="新宋体" w:hAnsi="新宋体" w:hint="eastAsia"/>
          <w:color w:val="000000"/>
          <w:sz w:val="22"/>
          <w:szCs w:val="22"/>
        </w:rPr>
        <w:t>，自本合同起始日起，结算运价根据油价变动而联动，具体计算方式如下：</w:t>
      </w:r>
    </w:p>
    <w:p w:rsidR="00862D7F" w:rsidRPr="002A724D" w:rsidRDefault="00862D7F" w:rsidP="0056030D">
      <w:pPr>
        <w:pStyle w:val="1"/>
        <w:numPr>
          <w:ilvl w:val="0"/>
          <w:numId w:val="7"/>
        </w:numPr>
        <w:tabs>
          <w:tab w:val="left" w:pos="709"/>
        </w:tabs>
        <w:ind w:left="426" w:firstLineChars="0"/>
        <w:rPr>
          <w:rFonts w:ascii="新宋体" w:eastAsia="新宋体" w:hAnsi="新宋体" w:cs="宋体"/>
          <w:color w:val="000000"/>
          <w:kern w:val="0"/>
          <w:sz w:val="22"/>
          <w:szCs w:val="22"/>
        </w:rPr>
      </w:pPr>
      <w:r w:rsidRPr="002A724D">
        <w:rPr>
          <w:rFonts w:ascii="新宋体" w:eastAsia="新宋体" w:hAnsi="新宋体" w:cs="宋体" w:hint="eastAsia"/>
          <w:color w:val="000000"/>
          <w:kern w:val="0"/>
          <w:sz w:val="22"/>
          <w:szCs w:val="22"/>
        </w:rPr>
        <w:t>当油价调整后，以当日中石化油价与合同基准零售油价进行对比，增减幅度小于或等于8%时不调整运价；上涨或下调超过8%时，自调整之日起，变动超过8%部分按下列公式自行调整运价，并做出书面记载，涉及小数点的保留2位小数；</w:t>
      </w:r>
    </w:p>
    <w:p w:rsidR="00862D7F" w:rsidRDefault="00862D7F" w:rsidP="0056030D">
      <w:pPr>
        <w:pStyle w:val="1"/>
        <w:numPr>
          <w:ilvl w:val="0"/>
          <w:numId w:val="7"/>
        </w:numPr>
        <w:tabs>
          <w:tab w:val="left" w:pos="709"/>
        </w:tabs>
        <w:ind w:left="426" w:firstLineChars="0"/>
        <w:rPr>
          <w:rFonts w:ascii="新宋体" w:eastAsia="新宋体" w:hAnsi="新宋体" w:cs="宋体"/>
          <w:color w:val="000000"/>
          <w:kern w:val="0"/>
          <w:sz w:val="22"/>
          <w:szCs w:val="22"/>
        </w:rPr>
      </w:pPr>
      <w:r w:rsidRPr="002A724D">
        <w:rPr>
          <w:rFonts w:ascii="新宋体" w:eastAsia="新宋体" w:hAnsi="新宋体" w:cs="宋体" w:hint="eastAsia"/>
          <w:color w:val="000000"/>
          <w:kern w:val="0"/>
          <w:sz w:val="22"/>
          <w:szCs w:val="22"/>
        </w:rPr>
        <w:t>油价超过基准零售油价：新结算价格=原基准运价+原基准运价*30%*{（调整之日 中石化0#柴油公布零售价-合同基准油价）/合同基准零售油价-8%}</w:t>
      </w:r>
    </w:p>
    <w:p w:rsidR="002A4215" w:rsidRPr="00C8522D" w:rsidRDefault="00862D7F" w:rsidP="0056030D">
      <w:pPr>
        <w:pStyle w:val="1"/>
        <w:numPr>
          <w:ilvl w:val="0"/>
          <w:numId w:val="7"/>
        </w:numPr>
        <w:tabs>
          <w:tab w:val="left" w:pos="709"/>
        </w:tabs>
        <w:ind w:left="426" w:firstLineChars="0"/>
        <w:rPr>
          <w:rFonts w:ascii="新宋体" w:eastAsia="新宋体" w:hAnsi="新宋体" w:cs="宋体"/>
          <w:color w:val="000000"/>
          <w:kern w:val="0"/>
          <w:sz w:val="22"/>
          <w:szCs w:val="22"/>
        </w:rPr>
      </w:pPr>
      <w:r w:rsidRPr="00C8522D">
        <w:rPr>
          <w:rFonts w:ascii="新宋体" w:eastAsia="新宋体" w:hAnsi="新宋体" w:cs="宋体" w:hint="eastAsia"/>
          <w:color w:val="000000"/>
          <w:kern w:val="0"/>
          <w:sz w:val="22"/>
          <w:szCs w:val="22"/>
        </w:rPr>
        <w:t>油价低于基准零售油价：新结算价格=原基准运价+原基准运价*30%*{（调整之日 中石化0#柴油公布零售价-合同基准油价）/合同基准零售油价+8%}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</w:p>
    <w:sectPr w:rsidR="002A4215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99" w:rsidRDefault="00263599" w:rsidP="00F15A53">
      <w:r>
        <w:separator/>
      </w:r>
    </w:p>
  </w:endnote>
  <w:endnote w:type="continuationSeparator" w:id="0">
    <w:p w:rsidR="00263599" w:rsidRDefault="00263599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E6A1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E6A1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99" w:rsidRDefault="00263599" w:rsidP="00F15A53">
      <w:r>
        <w:separator/>
      </w:r>
    </w:p>
  </w:footnote>
  <w:footnote w:type="continuationSeparator" w:id="0">
    <w:p w:rsidR="00263599" w:rsidRDefault="00263599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324E10"/>
    <w:multiLevelType w:val="multilevel"/>
    <w:tmpl w:val="49324E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E793EBC"/>
    <w:multiLevelType w:val="multilevel"/>
    <w:tmpl w:val="7E793EBC"/>
    <w:lvl w:ilvl="0">
      <w:start w:val="1"/>
      <w:numFmt w:val="bullet"/>
      <w:lvlText w:val=""/>
      <w:lvlJc w:val="left"/>
      <w:pPr>
        <w:ind w:left="1134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01FDB"/>
    <w:rsid w:val="00076F9B"/>
    <w:rsid w:val="00094C0C"/>
    <w:rsid w:val="000D33FF"/>
    <w:rsid w:val="00101313"/>
    <w:rsid w:val="00127F06"/>
    <w:rsid w:val="00130D5D"/>
    <w:rsid w:val="00163542"/>
    <w:rsid w:val="00164A0F"/>
    <w:rsid w:val="00165958"/>
    <w:rsid w:val="001A2351"/>
    <w:rsid w:val="001E1D76"/>
    <w:rsid w:val="001F5370"/>
    <w:rsid w:val="00223C78"/>
    <w:rsid w:val="002343E8"/>
    <w:rsid w:val="00256BD2"/>
    <w:rsid w:val="00262171"/>
    <w:rsid w:val="00263599"/>
    <w:rsid w:val="00263744"/>
    <w:rsid w:val="00272211"/>
    <w:rsid w:val="00277694"/>
    <w:rsid w:val="00295055"/>
    <w:rsid w:val="002A4215"/>
    <w:rsid w:val="002A724D"/>
    <w:rsid w:val="002B30C2"/>
    <w:rsid w:val="002E5451"/>
    <w:rsid w:val="003208C2"/>
    <w:rsid w:val="00346F4C"/>
    <w:rsid w:val="00351065"/>
    <w:rsid w:val="00353B32"/>
    <w:rsid w:val="00362B00"/>
    <w:rsid w:val="003C6524"/>
    <w:rsid w:val="003D1BE7"/>
    <w:rsid w:val="003D64C9"/>
    <w:rsid w:val="003F4282"/>
    <w:rsid w:val="00403B12"/>
    <w:rsid w:val="004949F0"/>
    <w:rsid w:val="004B261A"/>
    <w:rsid w:val="004B3EFD"/>
    <w:rsid w:val="004D506D"/>
    <w:rsid w:val="004E1573"/>
    <w:rsid w:val="00522CF6"/>
    <w:rsid w:val="005464DF"/>
    <w:rsid w:val="0056030D"/>
    <w:rsid w:val="00583418"/>
    <w:rsid w:val="005969CC"/>
    <w:rsid w:val="005A1ED9"/>
    <w:rsid w:val="005A76AE"/>
    <w:rsid w:val="005D584B"/>
    <w:rsid w:val="005E0B5B"/>
    <w:rsid w:val="005E2D55"/>
    <w:rsid w:val="005F746D"/>
    <w:rsid w:val="00632A75"/>
    <w:rsid w:val="0064576F"/>
    <w:rsid w:val="006675FE"/>
    <w:rsid w:val="00692008"/>
    <w:rsid w:val="00696C73"/>
    <w:rsid w:val="006B7C3E"/>
    <w:rsid w:val="006D7493"/>
    <w:rsid w:val="006E0EC8"/>
    <w:rsid w:val="00703A7A"/>
    <w:rsid w:val="00720AB1"/>
    <w:rsid w:val="0076246F"/>
    <w:rsid w:val="00763511"/>
    <w:rsid w:val="00782EC7"/>
    <w:rsid w:val="007A1479"/>
    <w:rsid w:val="007B5DF7"/>
    <w:rsid w:val="007D5046"/>
    <w:rsid w:val="007E6A11"/>
    <w:rsid w:val="00812382"/>
    <w:rsid w:val="00852A09"/>
    <w:rsid w:val="00862D7F"/>
    <w:rsid w:val="00885107"/>
    <w:rsid w:val="008D29CD"/>
    <w:rsid w:val="008D4604"/>
    <w:rsid w:val="009406C7"/>
    <w:rsid w:val="00955FF4"/>
    <w:rsid w:val="00960137"/>
    <w:rsid w:val="009739FB"/>
    <w:rsid w:val="009943FC"/>
    <w:rsid w:val="009A7CA5"/>
    <w:rsid w:val="009B5E1C"/>
    <w:rsid w:val="00A41C0A"/>
    <w:rsid w:val="00A46BF0"/>
    <w:rsid w:val="00A73836"/>
    <w:rsid w:val="00A82238"/>
    <w:rsid w:val="00AE2BBE"/>
    <w:rsid w:val="00B065D3"/>
    <w:rsid w:val="00B06939"/>
    <w:rsid w:val="00B07259"/>
    <w:rsid w:val="00B521C5"/>
    <w:rsid w:val="00BD5646"/>
    <w:rsid w:val="00BD6C5A"/>
    <w:rsid w:val="00BF27A4"/>
    <w:rsid w:val="00C43943"/>
    <w:rsid w:val="00C556DD"/>
    <w:rsid w:val="00C8522D"/>
    <w:rsid w:val="00C958E8"/>
    <w:rsid w:val="00CE215E"/>
    <w:rsid w:val="00D25D54"/>
    <w:rsid w:val="00D25EDB"/>
    <w:rsid w:val="00D37F04"/>
    <w:rsid w:val="00DA34AD"/>
    <w:rsid w:val="00DE3DB2"/>
    <w:rsid w:val="00E1520E"/>
    <w:rsid w:val="00E22670"/>
    <w:rsid w:val="00E342F6"/>
    <w:rsid w:val="00E535A6"/>
    <w:rsid w:val="00E57528"/>
    <w:rsid w:val="00E61DE4"/>
    <w:rsid w:val="00E81353"/>
    <w:rsid w:val="00E81F2C"/>
    <w:rsid w:val="00EB4031"/>
    <w:rsid w:val="00EC063B"/>
    <w:rsid w:val="00ED09F5"/>
    <w:rsid w:val="00F10D56"/>
    <w:rsid w:val="00F11A4A"/>
    <w:rsid w:val="00F13B4F"/>
    <w:rsid w:val="00F15A53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B94C4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862D7F"/>
    <w:pPr>
      <w:ind w:firstLineChars="200" w:firstLine="4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b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5A693728594472AD94C7D29477D0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93D6A8-877B-4D1B-A1DC-CAE965FCEE78}"/>
      </w:docPartPr>
      <w:docPartBody>
        <w:p w:rsidR="0028103A" w:rsidRDefault="00024049" w:rsidP="00024049">
          <w:pPr>
            <w:pStyle w:val="CD5A693728594472AD94C7D29477D0F2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49"/>
    <w:rsid w:val="00024049"/>
    <w:rsid w:val="0028103A"/>
    <w:rsid w:val="002B718F"/>
    <w:rsid w:val="005D4FDF"/>
    <w:rsid w:val="005E1260"/>
    <w:rsid w:val="00786A5B"/>
    <w:rsid w:val="00BF0726"/>
    <w:rsid w:val="00E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5A693728594472AD94C7D29477D0F2">
    <w:name w:val="CD5A693728594472AD94C7D29477D0F2"/>
    <w:rsid w:val="000240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538</Words>
  <Characters>3073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china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72</cp:revision>
  <dcterms:created xsi:type="dcterms:W3CDTF">2023-06-25T01:19:00Z</dcterms:created>
  <dcterms:modified xsi:type="dcterms:W3CDTF">2025-03-12T08:02:00Z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