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3968">
      <w:pPr>
        <w:keepNext w:val="0"/>
        <w:keepLines w:val="0"/>
        <w:widowControl/>
        <w:suppressLineNumbers w:val="0"/>
        <w:jc w:val="center"/>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技术要求</w:t>
      </w:r>
    </w:p>
    <w:p w14:paraId="7170ACC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一、物资名称及规格型号 </w:t>
      </w:r>
    </w:p>
    <w:tbl>
      <w:tblPr>
        <w:tblStyle w:val="2"/>
        <w:tblpPr w:leftFromText="180" w:rightFromText="180" w:vertAnchor="text" w:horzAnchor="page" w:tblpX="1100" w:tblpY="470"/>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280"/>
        <w:gridCol w:w="3269"/>
        <w:gridCol w:w="574"/>
        <w:gridCol w:w="559"/>
        <w:gridCol w:w="2623"/>
        <w:gridCol w:w="776"/>
      </w:tblGrid>
      <w:tr w14:paraId="5F06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A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8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E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通用规格型号</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F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0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BC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产品标准及技术要求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0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5E9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B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D70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货架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3D7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1200mm*500mm*1600mm</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2F64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D8A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011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材质：不锈钢 四层，执行标准：CECS23 钢货架结构设计规范</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9A1B">
            <w:pPr>
              <w:jc w:val="center"/>
              <w:rPr>
                <w:rFonts w:hint="default" w:ascii="宋体" w:hAnsi="宋体" w:eastAsia="宋体" w:cs="宋体"/>
                <w:i w:val="0"/>
                <w:iCs w:val="0"/>
                <w:color w:val="000000"/>
                <w:sz w:val="22"/>
                <w:szCs w:val="22"/>
                <w:u w:val="none"/>
                <w:lang w:val="en-US" w:eastAsia="zh-CN"/>
              </w:rPr>
            </w:pPr>
          </w:p>
        </w:tc>
      </w:tr>
      <w:tr w14:paraId="6510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4A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5AB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加厚米面架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953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1200×600×300不锈钢</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4C9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4DA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0CD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材质：SUS304不锈钢，每层层板承重能力不低于200kg，层板厚度不低于1.2mm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5254">
            <w:pPr>
              <w:jc w:val="center"/>
              <w:rPr>
                <w:rFonts w:hint="eastAsia" w:ascii="宋体" w:hAnsi="宋体" w:eastAsia="宋体" w:cs="宋体"/>
                <w:i w:val="0"/>
                <w:iCs w:val="0"/>
                <w:color w:val="000000"/>
                <w:sz w:val="22"/>
                <w:szCs w:val="22"/>
                <w:u w:val="none"/>
              </w:rPr>
            </w:pPr>
          </w:p>
        </w:tc>
      </w:tr>
      <w:tr w14:paraId="044E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32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7FBB">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节能单炒灶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0853">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800mm*800mm*800mm，热流量≥40kw,电压220V/50HZ,风机功率180W</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77E5">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8B54">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8088">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执行标准：CJ/T28-2003；带熄火保护；灶头材质：优质不锈钢材料，厚度不小于1.2mm；热效率：不低于65%。</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D0D3">
            <w:pPr>
              <w:jc w:val="center"/>
              <w:rPr>
                <w:rFonts w:hint="eastAsia" w:ascii="宋体" w:hAnsi="宋体" w:eastAsia="宋体" w:cs="宋体"/>
                <w:i w:val="0"/>
                <w:iCs w:val="0"/>
                <w:color w:val="000000"/>
                <w:sz w:val="22"/>
                <w:szCs w:val="22"/>
                <w:u w:val="none"/>
              </w:rPr>
            </w:pPr>
          </w:p>
        </w:tc>
      </w:tr>
      <w:tr w14:paraId="0472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89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143F">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低噪音轴流式通风机</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729B">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SFG4-4R-400mm-5870m3/h</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AF9C">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D877">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34A">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电机功率：0.55KW，电机防护等级：不低于IP54；静音，八个页轮</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D01C">
            <w:pPr>
              <w:jc w:val="center"/>
              <w:rPr>
                <w:rFonts w:hint="eastAsia" w:ascii="宋体" w:hAnsi="宋体" w:eastAsia="宋体" w:cs="宋体"/>
                <w:i w:val="0"/>
                <w:iCs w:val="0"/>
                <w:color w:val="000000"/>
                <w:sz w:val="22"/>
                <w:szCs w:val="22"/>
                <w:u w:val="none"/>
              </w:rPr>
            </w:pPr>
          </w:p>
        </w:tc>
      </w:tr>
      <w:tr w14:paraId="170B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86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7938">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排烟系统</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D00C">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材质：不锈钢</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0891">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B7F0">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50BA">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厚度：1mm厚；排烟方式：直排；排烟量：2500m³/口；排烟口风速：1450r/min;尺寸：2000*1200*550mm；排烟管道口尺寸：400*400mm；补风量：4000m³/h。</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7B67">
            <w:pPr>
              <w:jc w:val="center"/>
              <w:rPr>
                <w:rFonts w:hint="eastAsia" w:ascii="宋体" w:hAnsi="宋体" w:eastAsia="宋体" w:cs="宋体"/>
                <w:i w:val="0"/>
                <w:iCs w:val="0"/>
                <w:color w:val="000000"/>
                <w:sz w:val="22"/>
                <w:szCs w:val="22"/>
                <w:u w:val="none"/>
              </w:rPr>
            </w:pPr>
          </w:p>
        </w:tc>
      </w:tr>
      <w:tr w14:paraId="14BC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871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0FF3">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收餐台</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D9CF">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1200×700×800mm 固定式 304加厚不锈钢双圆孔带车 QB/T 2139.7-1995</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3F35">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组</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B53D">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B570">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固定式 304加厚不锈钢双圆孔带车 QB/T 2139.7-1995</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11E8">
            <w:pPr>
              <w:jc w:val="center"/>
              <w:rPr>
                <w:rFonts w:hint="eastAsia" w:ascii="宋体" w:hAnsi="宋体" w:eastAsia="宋体" w:cs="宋体"/>
                <w:i w:val="0"/>
                <w:iCs w:val="0"/>
                <w:color w:val="000000"/>
                <w:sz w:val="22"/>
                <w:szCs w:val="22"/>
                <w:u w:val="none"/>
              </w:rPr>
            </w:pPr>
          </w:p>
        </w:tc>
      </w:tr>
      <w:tr w14:paraId="41C0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18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32AC">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瓷砖切割机</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6F3D">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Arial" w:hAnsi="Arial" w:eastAsia="宋体" w:cs="Arial"/>
                <w:i w:val="0"/>
                <w:iCs w:val="0"/>
                <w:color w:val="000000"/>
                <w:kern w:val="0"/>
                <w:sz w:val="18"/>
                <w:szCs w:val="18"/>
                <w:u w:val="none"/>
                <w:lang w:val="en-US" w:eastAsia="zh-CN" w:bidi="ar"/>
              </w:rPr>
              <w:t>MT410-110mm 2kW 220V</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9826">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3CAA">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B8E1">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切割片直径：Φ410mm；最大切割深度：110mm；电机功率：2kW；电源电压：220V/50Hz（单相）；机身材质：优质铸铁。</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DFD3">
            <w:pPr>
              <w:jc w:val="center"/>
              <w:rPr>
                <w:rFonts w:hint="eastAsia" w:ascii="宋体" w:hAnsi="宋体" w:eastAsia="宋体" w:cs="宋体"/>
                <w:i w:val="0"/>
                <w:iCs w:val="0"/>
                <w:color w:val="000000"/>
                <w:sz w:val="22"/>
                <w:szCs w:val="22"/>
                <w:u w:val="none"/>
              </w:rPr>
            </w:pPr>
          </w:p>
        </w:tc>
      </w:tr>
      <w:tr w14:paraId="105B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15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E89C">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皮锤</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81EF">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锤头直径30mm，锤击面直径25mm</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2970">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ABA2">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E822">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手柄材质：S级橡胶；锤头材质：牛筋。</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AE98">
            <w:pPr>
              <w:jc w:val="center"/>
              <w:rPr>
                <w:rFonts w:hint="eastAsia" w:ascii="宋体" w:hAnsi="宋体" w:eastAsia="宋体" w:cs="宋体"/>
                <w:i w:val="0"/>
                <w:iCs w:val="0"/>
                <w:color w:val="000000"/>
                <w:sz w:val="22"/>
                <w:szCs w:val="22"/>
                <w:u w:val="none"/>
              </w:rPr>
            </w:pPr>
          </w:p>
        </w:tc>
      </w:tr>
      <w:tr w14:paraId="02EC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B1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31FC">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实木复合木地板</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EA79">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执行标准GB/T15306-2009 详见技术要求</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99F3">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0481">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56</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AD1D">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1227*203mm，颜色T67,表层：采用优质胡桃木薄木片，厚度：9.5mm。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04EB">
            <w:pPr>
              <w:jc w:val="center"/>
              <w:rPr>
                <w:rFonts w:hint="eastAsia" w:ascii="宋体" w:hAnsi="宋体" w:eastAsia="宋体" w:cs="宋体"/>
                <w:i w:val="0"/>
                <w:iCs w:val="0"/>
                <w:color w:val="000000"/>
                <w:sz w:val="22"/>
                <w:szCs w:val="22"/>
                <w:u w:val="none"/>
              </w:rPr>
            </w:pPr>
          </w:p>
        </w:tc>
      </w:tr>
      <w:tr w14:paraId="0629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5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95C3">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带盖加油桶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D6B3">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25L 皮厚0.8mm 不锈钢</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789D">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5E807">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FC1D">
            <w:pPr>
              <w:keepNext w:val="0"/>
              <w:keepLines w:val="0"/>
              <w:widowControl/>
              <w:suppressLineNumbers w:val="0"/>
              <w:jc w:val="center"/>
              <w:textAlignment w:val="center"/>
              <w:rPr>
                <w:rFonts w:hint="eastAsia" w:ascii="宋体" w:hAnsi="宋体" w:eastAsia="宋体" w:cs="宋体"/>
                <w:i w:val="0"/>
                <w:iCs w:val="0"/>
                <w:color w:val="000000" w:themeColor="text1"/>
                <w:kern w:val="2"/>
                <w:sz w:val="16"/>
                <w:szCs w:val="16"/>
                <w:u w:val="no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材质：不锈钢，钢厚度不小于0.8mm，容量不小于：25升，表皮刷绿漆。</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7FDA">
            <w:pPr>
              <w:jc w:val="center"/>
              <w:rPr>
                <w:rFonts w:hint="eastAsia" w:ascii="宋体" w:hAnsi="宋体" w:eastAsia="宋体" w:cs="宋体"/>
                <w:i w:val="0"/>
                <w:iCs w:val="0"/>
                <w:color w:val="000000"/>
                <w:sz w:val="22"/>
                <w:szCs w:val="22"/>
                <w:u w:val="none"/>
              </w:rPr>
            </w:pPr>
          </w:p>
        </w:tc>
      </w:tr>
    </w:tbl>
    <w:p w14:paraId="573C3E48">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*二、适用范围及环境 ：</w:t>
      </w:r>
    </w:p>
    <w:p w14:paraId="6EF296E8">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无</w:t>
      </w:r>
    </w:p>
    <w:p w14:paraId="152EE927">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*三、主要技术参数及要求：</w:t>
      </w:r>
    </w:p>
    <w:p w14:paraId="287CB12D">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严格执行产品标准及技术要求。</w:t>
      </w:r>
    </w:p>
    <w:p w14:paraId="0D842D25">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*四、证件要求：提供产品合格证、出厂检验报告、出厂批次等。</w:t>
      </w:r>
    </w:p>
    <w:p w14:paraId="6E908AA1">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五、包装及运输要求：货物完好无磨损；运输要求汽运到货，不接受物流提货，运输费用由卖方承担。</w:t>
      </w:r>
    </w:p>
    <w:p w14:paraId="48DC9525">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六、供货及售后服务要求：签订合同后按需交货，乙方接到甲方通知后7日内将物资送至甲方指定地点。</w:t>
      </w:r>
    </w:p>
    <w:p w14:paraId="3152DB54">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七、检验要求： (一)根据订单核对产品的外观、数量和质量。 (二)提供订单产品的出厂检验报告、产品合格证。 (三)产品在验收和使用过程中若出现质量问题，中标方须免费更换，如果仍无法满足使用方要求的，将被取消供应资格，终止合同。由此造成的安全责任及经济损失将全部由中标方承担标准及使用要求。</w:t>
      </w:r>
    </w:p>
    <w:p w14:paraId="14B3C840">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（各采购主体根据自身实际情况，确定技术要求具体条款，否决性指标应明确，并标注“*”） </w:t>
      </w:r>
    </w:p>
    <w:p w14:paraId="45DE7415">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09FD0786">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1595F2C0">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14126D52">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33844F40">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3DD69F5B">
      <w:pPr>
        <w:keepNext w:val="0"/>
        <w:keepLines w:val="0"/>
        <w:widowControl/>
        <w:suppressLineNumbers w:val="0"/>
        <w:jc w:val="both"/>
        <w:rPr>
          <w:rFonts w:hint="eastAsia" w:ascii="黑体" w:hAnsi="宋体" w:eastAsia="黑体" w:cs="黑体"/>
          <w:color w:val="000000"/>
          <w:kern w:val="0"/>
          <w:sz w:val="31"/>
          <w:szCs w:val="31"/>
          <w:lang w:val="en-US" w:eastAsia="zh-CN" w:bidi="ar"/>
        </w:rPr>
      </w:pPr>
    </w:p>
    <w:p w14:paraId="1926E278">
      <w:pPr>
        <w:keepNext w:val="0"/>
        <w:keepLines w:val="0"/>
        <w:widowControl/>
        <w:suppressLineNumbers w:val="0"/>
        <w:jc w:val="center"/>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商务要求</w:t>
      </w:r>
    </w:p>
    <w:p w14:paraId="36C0F43A">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一、报价要求： 1、所报价格应含税含其它运杂费，即包到价，报价税率为13%增值税；2、报价时要在“制造商”一栏中注明生产厂家。</w:t>
      </w:r>
    </w:p>
    <w:p w14:paraId="31632253">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二、资质要求：中选供货商需满足欧贝线上合同签署；</w:t>
      </w:r>
      <w:bookmarkStart w:id="0" w:name="_GoBack"/>
      <w:bookmarkEnd w:id="0"/>
      <w:r>
        <w:rPr>
          <w:rFonts w:hint="eastAsia" w:ascii="仿宋" w:hAnsi="仿宋" w:eastAsia="仿宋" w:cs="仿宋"/>
          <w:color w:val="000000"/>
          <w:kern w:val="0"/>
          <w:sz w:val="31"/>
          <w:szCs w:val="31"/>
          <w:lang w:val="en-US" w:eastAsia="zh-CN" w:bidi="ar"/>
        </w:rPr>
        <w:t xml:space="preserve">报价时需在“制造商”一栏注明制造商全称，报价单位为生产厂家也需填写。 </w:t>
      </w:r>
    </w:p>
    <w:p w14:paraId="1003B8A9">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三、售后服务：如产品复检或使用时出现质量问题，无条件退货。</w:t>
      </w:r>
    </w:p>
    <w:p w14:paraId="242BEF68">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四、供货时间规定：签订合同后按需交货，乙方接到甲方通知后7日内将物资送至甲方指定地点。</w:t>
      </w:r>
    </w:p>
    <w:p w14:paraId="7AF06B9D">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五、付款方式：货到验收合格后开具等额增值税专用发票进行挂账，自挂账之日起，分三年支付，一年内支付合同价款总额的60％，二年内支付合同价款总额的20％，三年内除未到期质保金外剩余全部付清。</w:t>
      </w:r>
    </w:p>
    <w:p w14:paraId="2D1E4AA3">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六、运输方式：汽运到货，不接受物流提货，运输费用由卖方承担。</w:t>
      </w:r>
    </w:p>
    <w:p w14:paraId="56675E2B">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七、交货地点：详见联系方式</w:t>
      </w:r>
    </w:p>
    <w:p w14:paraId="0DF6EF3A">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八、交货时间：详见物料信息中的交货时间，如有改动，电话联系。</w:t>
      </w:r>
    </w:p>
    <w:p w14:paraId="75AFE37A">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九、包装要求： 货物完好无磨损</w:t>
      </w:r>
    </w:p>
    <w:p w14:paraId="3AF79D01">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十、产品质量及服务承诺：供应商须签订并加盖公章上传《产品质量及服务承诺书》（详见发询附件），对产品质量、货源保障、守信履约、售后服务等做出承诺。</w:t>
      </w:r>
    </w:p>
    <w:p w14:paraId="7AAFB39C">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十一、中选方案：按项中选。</w:t>
      </w:r>
    </w:p>
    <w:p w14:paraId="60E80433">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十二、供应商违约规定：</w:t>
      </w:r>
    </w:p>
    <w:p w14:paraId="185F018D">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1.供应商合伙串通进行报价的，禁止其参与平台业务 3-6 个月；</w:t>
      </w:r>
    </w:p>
    <w:p w14:paraId="151BD201">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2.供应商中选后未签定合同，主动放弃的，禁止其参与 平台业务 3-6 个月；</w:t>
      </w:r>
    </w:p>
    <w:p w14:paraId="079B3BE8">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3.供应商中选后已签定合同，主动放弃的，禁止其参与 平台业务 6-12 个月；</w:t>
      </w:r>
    </w:p>
    <w:p w14:paraId="3CF55391">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4.供应商参与同一采购主体的采购项目，开标后主动放弃中选资格累计两次的，禁止其参与平台业务 6-12 个月；</w:t>
      </w:r>
    </w:p>
    <w:p w14:paraId="252B028C">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存在同一制造商与其授权代理商参于同一采购项目、同一制造商在同一采购主体授权两家及以上代理商、由授权代理商完全承担质量及售后服务等全部责任、授权有效期不足一年中任一情形的，禁止其参与平台业务 3-6 个月；</w:t>
      </w:r>
    </w:p>
    <w:p w14:paraId="729E6744">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6.提供虚假材料的供应商，禁止其参与平台业务 12 个月；</w:t>
      </w:r>
    </w:p>
    <w:p w14:paraId="33A6CC00">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7.供应商所供产品有质量问题的，禁止其参与平台业务 12-36 个月；</w:t>
      </w:r>
    </w:p>
    <w:p w14:paraId="1A97F7B4">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8.处罚期内发现在其它项目有其它失信行为的,视具体违规情形,延长处罚期限,最长 3 年。</w:t>
      </w:r>
    </w:p>
    <w:p w14:paraId="40481844">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十三、公示二级公司监督电话及电子监督邮箱：zbzzjtcgfgsjd@163.com。</w:t>
      </w:r>
    </w:p>
    <w:p w14:paraId="58F63951">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二级公司监督电话：0356-3664117</w:t>
      </w:r>
    </w:p>
    <w:p w14:paraId="580C2F36">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晋能控股物资采购分公司电子监督邮箱：jnkgwzcgjd@163.com</w:t>
      </w:r>
    </w:p>
    <w:p w14:paraId="6EF3BE48">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十四、合同签定主体，晋城宏圣建筑工程有限公司。</w:t>
      </w:r>
    </w:p>
    <w:p w14:paraId="20A17FA4">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十五. 中选后按照我方合同模板签订。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Y2Q3YjM0NjgzOTAzNzRmZGFmOTEyYjU3M2VlMzMifQ=="/>
  </w:docVars>
  <w:rsids>
    <w:rsidRoot w:val="00000000"/>
    <w:rsid w:val="03606175"/>
    <w:rsid w:val="05056F22"/>
    <w:rsid w:val="073B0611"/>
    <w:rsid w:val="08F616B6"/>
    <w:rsid w:val="09E82CC3"/>
    <w:rsid w:val="0AE03ADB"/>
    <w:rsid w:val="0DA8551E"/>
    <w:rsid w:val="128E07F1"/>
    <w:rsid w:val="192E423C"/>
    <w:rsid w:val="244C5732"/>
    <w:rsid w:val="293A60B5"/>
    <w:rsid w:val="316108E7"/>
    <w:rsid w:val="346A67FA"/>
    <w:rsid w:val="38F62A82"/>
    <w:rsid w:val="39A265AA"/>
    <w:rsid w:val="3C903816"/>
    <w:rsid w:val="44804184"/>
    <w:rsid w:val="481620DF"/>
    <w:rsid w:val="4FAA7148"/>
    <w:rsid w:val="544B7DA3"/>
    <w:rsid w:val="55011BB5"/>
    <w:rsid w:val="56412EBA"/>
    <w:rsid w:val="57CC178A"/>
    <w:rsid w:val="59CA5741"/>
    <w:rsid w:val="5AF850F0"/>
    <w:rsid w:val="60436FEB"/>
    <w:rsid w:val="60CD3FFA"/>
    <w:rsid w:val="61306B30"/>
    <w:rsid w:val="6B855CFB"/>
    <w:rsid w:val="702F1D58"/>
    <w:rsid w:val="745C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5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1724</Words>
  <Characters>2088</Characters>
  <Lines>0</Lines>
  <Paragraphs>0</Paragraphs>
  <TotalTime>1</TotalTime>
  <ScaleCrop>false</ScaleCrop>
  <LinksUpToDate>false</LinksUpToDate>
  <CharactersWithSpaces>2130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2024-06-06T04:16:00Z</dcterms:created>
  <dc:creator>GIGABYTE</dc:creator>
  <cp:lastModifiedBy>小囧后生</cp:lastModifiedBy>
  <dcterms:modified xsi:type="dcterms:W3CDTF">2025-03-17T09:22:45Z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2758BDAF00AF45EC926A975628B4C047_13</vt:lpwstr>
  </property>
  <property fmtid="{D5CDD505-2E9C-101B-9397-08002B2CF9AE}" pid="4" name="KSOTemplateDocerSaveRecord">
    <vt:lpwstr>eyJoZGlkIjoiMjg5Y2Q3YjM0NjgzOTAzNzRmZGFmOTEyYjU3M2VlMzMiLCJ1c2VySWQiOiIzNzE0MjY5MDQifQ==</vt:lpwstr>
  </property>
</Properties>
</file>