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outlineLvl w:val="9"/>
        <w:rPr>
          <w:rFonts w:hint="eastAsia" w:ascii="仿宋" w:hAnsi="仿宋" w:eastAsia="仿宋" w:cs="仿宋"/>
          <w:b/>
          <w:bCs/>
          <w:sz w:val="28"/>
          <w:szCs w:val="28"/>
          <w:lang w:val="en-US" w:eastAsia="en-US"/>
        </w:rPr>
      </w:pPr>
      <w:r>
        <w:rPr>
          <w:rFonts w:hint="eastAsia" w:ascii="仿宋" w:hAnsi="仿宋" w:eastAsia="仿宋" w:cs="仿宋"/>
          <w:b/>
          <w:bCs/>
          <w:sz w:val="28"/>
          <w:szCs w:val="28"/>
          <w:lang w:val="en-US" w:eastAsia="en-US"/>
        </w:rPr>
        <w:t>附件</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lang w:val="en-US" w:eastAsia="en-US"/>
        </w:rPr>
        <w:t>：失信行为的</w:t>
      </w:r>
      <w:r>
        <w:rPr>
          <w:rFonts w:hint="eastAsia" w:ascii="仿宋" w:hAnsi="仿宋" w:eastAsia="仿宋" w:cs="仿宋"/>
          <w:b/>
          <w:bCs/>
          <w:sz w:val="28"/>
          <w:szCs w:val="28"/>
          <w:lang w:val="en-US" w:eastAsia="zh-CN"/>
        </w:rPr>
        <w:t>扣分/</w:t>
      </w:r>
      <w:r>
        <w:rPr>
          <w:rFonts w:hint="eastAsia" w:ascii="仿宋" w:hAnsi="仿宋" w:eastAsia="仿宋" w:cs="仿宋"/>
          <w:b/>
          <w:bCs/>
          <w:sz w:val="28"/>
          <w:szCs w:val="28"/>
          <w:lang w:val="en-US" w:eastAsia="en-US"/>
        </w:rPr>
        <w:t>加价办法</w:t>
      </w:r>
    </w:p>
    <w:p>
      <w:pPr>
        <w:widowControl/>
        <w:spacing w:beforeLines="0" w:afterLines="0" w:line="360" w:lineRule="auto"/>
        <w:ind w:firstLine="584" w:firstLineChars="200"/>
        <w:jc w:val="left"/>
        <w:outlineLvl w:val="9"/>
        <w:rPr>
          <w:rFonts w:hint="eastAsia" w:ascii="仿宋" w:hAnsi="仿宋" w:eastAsia="仿宋" w:cs="仿宋"/>
          <w:spacing w:val="6"/>
          <w:kern w:val="0"/>
          <w:sz w:val="28"/>
          <w:szCs w:val="28"/>
          <w:lang w:bidi="en-US"/>
        </w:rPr>
      </w:pPr>
      <w:r>
        <w:rPr>
          <w:rFonts w:hint="eastAsia" w:ascii="仿宋" w:hAnsi="仿宋" w:eastAsia="仿宋" w:cs="仿宋"/>
          <w:spacing w:val="6"/>
          <w:kern w:val="0"/>
          <w:sz w:val="28"/>
          <w:szCs w:val="28"/>
          <w:lang w:bidi="en-US"/>
        </w:rPr>
        <w:t>根据《中国石油天然气集团有限公司投标人失信行为管理办法》的规定，投标人的失信行为将被记录失信分并予以公布，并在招标中做相应处罚，投标人失信分以开标当日中国石油招标投标网发布的失信行为信息为准。</w:t>
      </w:r>
      <w:bookmarkStart w:id="0" w:name="_GoBack"/>
      <w:bookmarkEnd w:id="0"/>
    </w:p>
    <w:p>
      <w:pPr>
        <w:numPr>
          <w:ilvl w:val="0"/>
          <w:numId w:val="1"/>
        </w:numPr>
        <w:ind w:left="0" w:leftChars="0" w:firstLine="0" w:firstLineChars="0"/>
        <w:outlineLvl w:val="0"/>
        <w:rPr>
          <w:rFonts w:hint="eastAsia" w:ascii="黑体" w:hAnsi="黑体" w:eastAsia="黑体" w:cs="黑体"/>
          <w:spacing w:val="6"/>
          <w:kern w:val="0"/>
          <w:sz w:val="28"/>
          <w:szCs w:val="28"/>
          <w:lang w:val="en-US" w:eastAsia="zh-CN" w:bidi="en-US"/>
        </w:rPr>
      </w:pPr>
      <w:r>
        <w:rPr>
          <w:rFonts w:hint="eastAsia" w:ascii="黑体" w:hAnsi="黑体" w:eastAsia="黑体" w:cs="黑体"/>
          <w:spacing w:val="6"/>
          <w:kern w:val="0"/>
          <w:sz w:val="28"/>
          <w:szCs w:val="28"/>
          <w:lang w:val="en-US" w:eastAsia="zh-CN" w:bidi="en-US"/>
        </w:rPr>
        <w:t>失信行为的扣分/加价标准</w:t>
      </w:r>
    </w:p>
    <w:p>
      <w:pPr>
        <w:numPr>
          <w:ilvl w:val="0"/>
          <w:numId w:val="2"/>
        </w:numPr>
        <w:tabs>
          <w:tab w:val="left" w:pos="6961"/>
        </w:tabs>
        <w:ind w:left="0" w:leftChars="0" w:firstLine="0" w:firstLineChars="0"/>
        <w:outlineLvl w:val="1"/>
        <w:rPr>
          <w:rFonts w:hint="eastAsia" w:ascii="楷体" w:hAnsi="楷体" w:eastAsia="楷体" w:cs="楷体"/>
          <w:spacing w:val="6"/>
          <w:kern w:val="0"/>
          <w:sz w:val="28"/>
          <w:szCs w:val="28"/>
          <w:lang w:val="en-US" w:eastAsia="zh-CN" w:bidi="en-US"/>
        </w:rPr>
      </w:pPr>
      <w:r>
        <w:rPr>
          <w:rFonts w:hint="eastAsia" w:ascii="楷体" w:hAnsi="楷体" w:eastAsia="楷体" w:cs="楷体"/>
          <w:spacing w:val="6"/>
          <w:kern w:val="0"/>
          <w:sz w:val="28"/>
          <w:szCs w:val="28"/>
          <w:lang w:val="en-US" w:eastAsia="zh-CN" w:bidi="en-US"/>
        </w:rPr>
        <w:t>综合评估法适用</w:t>
      </w:r>
      <w:r>
        <w:rPr>
          <w:rFonts w:hint="eastAsia" w:ascii="楷体" w:hAnsi="楷体" w:eastAsia="楷体" w:cs="楷体"/>
          <w:spacing w:val="6"/>
          <w:kern w:val="0"/>
          <w:sz w:val="28"/>
          <w:szCs w:val="28"/>
          <w:lang w:val="en-US" w:eastAsia="zh-CN" w:bidi="en-US"/>
        </w:rPr>
        <w:tab/>
      </w:r>
    </w:p>
    <w:p>
      <w:pPr>
        <w:numPr>
          <w:ilvl w:val="0"/>
          <w:numId w:val="0"/>
        </w:numPr>
        <w:ind w:firstLine="584" w:firstLineChars="200"/>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sz w:val="28"/>
          <w:szCs w:val="28"/>
          <w:lang w:val="en-US" w:eastAsia="zh-CN" w:bidi="en-US"/>
        </w:rPr>
        <w:t>将失信积分折算为失信扣分计入商务分值。计算公式如下：</w:t>
      </w:r>
    </w:p>
    <w:p>
      <w:pPr>
        <w:jc w:val="center"/>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position w:val="-24"/>
          <w:sz w:val="28"/>
          <w:szCs w:val="28"/>
          <w:lang w:val="en-US" w:eastAsia="zh-CN" w:bidi="en-US"/>
        </w:rPr>
        <w:object>
          <v:shape id="_x0000_i1025" o:spt="75" type="#_x0000_t75" style="height:30.75pt;width:311.85pt;" o:ole="t" filled="f" o:preferrelative="t" stroked="f" coordsize="21600,21600">
            <v:path/>
            <v:fill on="f" focussize="0,0"/>
            <v:stroke on="f"/>
            <v:imagedata r:id="rId5" o:title=""/>
            <o:lock v:ext="edit" aspectratio="t"/>
            <w10:wrap type="none"/>
            <w10:anchorlock/>
          </v:shape>
          <o:OLEObject Type="Embed" ProgID="Equation.3" ShapeID="_x0000_i1025" DrawAspect="Content" ObjectID="_1468075725" r:id="rId4">
            <o:LockedField>false</o:LockedField>
          </o:OLEObject>
        </w:object>
      </w:r>
    </w:p>
    <w:p>
      <w:pPr>
        <w:numPr>
          <w:ilvl w:val="0"/>
          <w:numId w:val="3"/>
        </w:numPr>
        <w:ind w:left="0" w:leftChars="0" w:firstLine="0" w:firstLineChars="0"/>
        <w:outlineLvl w:val="1"/>
        <w:rPr>
          <w:rFonts w:hint="eastAsia" w:ascii="楷体" w:hAnsi="楷体" w:eastAsia="楷体" w:cs="楷体"/>
          <w:spacing w:val="6"/>
          <w:kern w:val="0"/>
          <w:sz w:val="28"/>
          <w:szCs w:val="28"/>
          <w:lang w:val="en-US" w:eastAsia="zh-CN" w:bidi="en-US"/>
        </w:rPr>
      </w:pPr>
      <w:r>
        <w:rPr>
          <w:rFonts w:hint="eastAsia" w:ascii="楷体" w:hAnsi="楷体" w:eastAsia="楷体" w:cs="楷体"/>
          <w:spacing w:val="6"/>
          <w:kern w:val="0"/>
          <w:sz w:val="28"/>
          <w:szCs w:val="28"/>
          <w:lang w:val="en-US" w:eastAsia="zh-CN" w:bidi="en-US"/>
        </w:rPr>
        <w:t>经评审的最低投标价法适用</w:t>
      </w:r>
    </w:p>
    <w:p>
      <w:pPr>
        <w:ind w:firstLine="584" w:firstLineChars="200"/>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sz w:val="28"/>
          <w:szCs w:val="28"/>
          <w:lang w:val="en-US" w:eastAsia="zh-CN" w:bidi="en-US"/>
        </w:rPr>
        <w:t>将投标人失信积分折算为失信加价，计入评标价格。计算公式如下：</w:t>
      </w:r>
    </w:p>
    <w:p>
      <w:pPr>
        <w:jc w:val="center"/>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position w:val="-24"/>
          <w:sz w:val="28"/>
          <w:szCs w:val="28"/>
          <w:lang w:val="en-US" w:eastAsia="zh-CN" w:bidi="en-US"/>
        </w:rPr>
        <w:object>
          <v:shape id="_x0000_i1026" o:spt="75" type="#_x0000_t75" style="height:30.6pt;width:171.6pt;" o:ole="t" filled="f" o:preferrelative="t" stroked="f" coordsize="21600,21600">
            <v:path/>
            <v:fill on="f" focussize="0,0"/>
            <v:stroke on="f"/>
            <v:imagedata r:id="rId7" o:title=""/>
            <o:lock v:ext="edit" aspectratio="t"/>
            <w10:wrap type="none"/>
            <w10:anchorlock/>
          </v:shape>
          <o:OLEObject Type="Embed" ProgID="Equation.3" ShapeID="_x0000_i1026" DrawAspect="Content" ObjectID="_1468075726" r:id="rId6">
            <o:LockedField>false</o:LockedField>
          </o:OLEObject>
        </w:object>
      </w:r>
    </w:p>
    <w:p>
      <w:pPr>
        <w:numPr>
          <w:ilvl w:val="0"/>
          <w:numId w:val="1"/>
        </w:numPr>
        <w:ind w:left="0" w:leftChars="0" w:firstLine="0" w:firstLineChars="0"/>
        <w:outlineLvl w:val="0"/>
        <w:rPr>
          <w:rFonts w:hint="eastAsia" w:ascii="黑体" w:hAnsi="黑体" w:eastAsia="黑体" w:cs="黑体"/>
          <w:spacing w:val="6"/>
          <w:kern w:val="0"/>
          <w:sz w:val="28"/>
          <w:szCs w:val="28"/>
          <w:lang w:val="en-US" w:eastAsia="zh-CN" w:bidi="en-US"/>
        </w:rPr>
      </w:pPr>
      <w:r>
        <w:rPr>
          <w:rFonts w:hint="eastAsia" w:ascii="黑体" w:hAnsi="黑体" w:eastAsia="黑体" w:cs="黑体"/>
          <w:spacing w:val="6"/>
          <w:kern w:val="0"/>
          <w:sz w:val="28"/>
          <w:szCs w:val="28"/>
          <w:lang w:val="en-US" w:eastAsia="zh-CN" w:bidi="en-US"/>
        </w:rPr>
        <w:t>因失信积分暂停投标资格的情形</w:t>
      </w:r>
    </w:p>
    <w:p>
      <w:pPr>
        <w:ind w:firstLine="584" w:firstLineChars="200"/>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sz w:val="28"/>
          <w:szCs w:val="28"/>
          <w:lang w:val="en-US" w:eastAsia="zh-CN" w:bidi="en-US"/>
        </w:rPr>
        <w:t>失信分达到8分时，暂停投标人的投标资格半年；失信分达到9分时，暂停投标人的投标资格一年；失信分达到10分时，暂停投标人的投标资格两年。投标人处于暂停投标资格状态时，其投标将被否决。暂停期满后恢复投标资格，有效期内的失信分继续加价或扣分。</w:t>
      </w:r>
    </w:p>
    <w:p>
      <w:pPr>
        <w:numPr>
          <w:ilvl w:val="0"/>
          <w:numId w:val="1"/>
        </w:numPr>
        <w:ind w:left="0" w:leftChars="0" w:firstLine="0" w:firstLineChars="0"/>
        <w:outlineLvl w:val="0"/>
        <w:rPr>
          <w:rFonts w:hint="eastAsia" w:ascii="黑体" w:hAnsi="黑体" w:eastAsia="黑体" w:cs="黑体"/>
          <w:spacing w:val="6"/>
          <w:kern w:val="0"/>
          <w:sz w:val="28"/>
          <w:szCs w:val="28"/>
          <w:lang w:val="en-US" w:eastAsia="zh-CN" w:bidi="en-US"/>
        </w:rPr>
      </w:pPr>
      <w:r>
        <w:rPr>
          <w:rFonts w:hint="eastAsia" w:ascii="黑体" w:hAnsi="黑体" w:eastAsia="黑体" w:cs="黑体"/>
          <w:spacing w:val="6"/>
          <w:kern w:val="0"/>
          <w:sz w:val="28"/>
          <w:szCs w:val="28"/>
          <w:lang w:val="en-US" w:eastAsia="zh-CN" w:bidi="en-US"/>
        </w:rPr>
        <w:t>因失信积分取消投标资格的情形</w:t>
      </w:r>
    </w:p>
    <w:p>
      <w:pPr>
        <w:ind w:firstLine="584" w:firstLineChars="200"/>
        <w:outlineLvl w:val="9"/>
        <w:rPr>
          <w:rFonts w:hint="eastAsia" w:ascii="仿宋" w:hAnsi="仿宋" w:eastAsia="仿宋" w:cs="仿宋"/>
          <w:spacing w:val="6"/>
          <w:kern w:val="0"/>
          <w:sz w:val="28"/>
          <w:szCs w:val="28"/>
          <w:lang w:val="en-US" w:eastAsia="zh-CN" w:bidi="en-US"/>
        </w:rPr>
      </w:pPr>
      <w:r>
        <w:rPr>
          <w:rFonts w:hint="eastAsia" w:ascii="仿宋" w:hAnsi="仿宋" w:eastAsia="仿宋" w:cs="仿宋"/>
          <w:spacing w:val="6"/>
          <w:kern w:val="0"/>
          <w:sz w:val="28"/>
          <w:szCs w:val="28"/>
          <w:lang w:val="en-US" w:eastAsia="zh-CN" w:bidi="en-US"/>
        </w:rPr>
        <w:t>失信积分超过10分或在暂停期间再次发生失信行为的，取消投标资格三年。列入集团公司“三商”黑名单的，取消投标资格。投标人处于取消投标资格状态时，其投标将被否决。</w:t>
      </w:r>
    </w:p>
    <w:p>
      <w:pPr>
        <w:numPr>
          <w:ilvl w:val="0"/>
          <w:numId w:val="1"/>
        </w:numPr>
        <w:ind w:left="0" w:leftChars="0" w:firstLine="0" w:firstLineChars="0"/>
        <w:outlineLvl w:val="0"/>
        <w:rPr>
          <w:rFonts w:hint="eastAsia" w:ascii="黑体" w:hAnsi="黑体" w:eastAsia="黑体" w:cs="黑体"/>
          <w:spacing w:val="6"/>
          <w:kern w:val="0"/>
          <w:sz w:val="28"/>
          <w:szCs w:val="28"/>
          <w:lang w:val="en-US" w:eastAsia="zh-CN" w:bidi="en-US"/>
        </w:rPr>
      </w:pPr>
      <w:r>
        <w:rPr>
          <w:rFonts w:hint="eastAsia" w:ascii="黑体" w:hAnsi="黑体" w:eastAsia="黑体" w:cs="黑体"/>
          <w:spacing w:val="6"/>
          <w:kern w:val="0"/>
          <w:sz w:val="28"/>
          <w:szCs w:val="28"/>
          <w:lang w:val="en-US" w:eastAsia="zh-CN" w:bidi="en-US"/>
        </w:rPr>
        <w:t>因失信行为受到同等惩戒的情形</w:t>
      </w:r>
    </w:p>
    <w:p>
      <w:r>
        <w:rPr>
          <w:rFonts w:hint="eastAsia" w:ascii="仿宋" w:hAnsi="仿宋" w:eastAsia="仿宋" w:cs="仿宋"/>
          <w:spacing w:val="6"/>
          <w:kern w:val="0"/>
          <w:sz w:val="28"/>
          <w:szCs w:val="28"/>
          <w:lang w:val="en-US" w:eastAsia="zh-CN" w:bidi="en-US"/>
        </w:rPr>
        <w:t>受到惩戒的法定代表人（或负责人）、委托代理人等自然人在其他法人或组织任法定代表人（或负责人）、委托代理人的，该法人或组织参与所属单位投标应受到同等惩戒。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A6299C"/>
    <w:multiLevelType w:val="singleLevel"/>
    <w:tmpl w:val="B8A6299C"/>
    <w:lvl w:ilvl="0" w:tentative="0">
      <w:start w:val="1"/>
      <w:numFmt w:val="chineseCountingThousand"/>
      <w:suff w:val="nothing"/>
      <w:lvlText w:val="%1、"/>
      <w:lvlJc w:val="left"/>
      <w:pPr>
        <w:tabs>
          <w:tab w:val="left" w:pos="420"/>
        </w:tabs>
        <w:ind w:left="0" w:firstLine="0"/>
      </w:pPr>
      <w:rPr>
        <w:rFonts w:hint="eastAsia"/>
      </w:rPr>
    </w:lvl>
  </w:abstractNum>
  <w:abstractNum w:abstractNumId="1">
    <w:nsid w:val="CD665DF2"/>
    <w:multiLevelType w:val="singleLevel"/>
    <w:tmpl w:val="CD665DF2"/>
    <w:lvl w:ilvl="0" w:tentative="0">
      <w:start w:val="2"/>
      <w:numFmt w:val="chineseCountingThousand"/>
      <w:suff w:val="nothing"/>
      <w:lvlText w:val="（%1）"/>
      <w:lvlJc w:val="left"/>
      <w:pPr>
        <w:tabs>
          <w:tab w:val="left" w:pos="420"/>
        </w:tabs>
        <w:ind w:left="0" w:firstLine="0"/>
      </w:pPr>
      <w:rPr>
        <w:rFonts w:hint="eastAsia"/>
      </w:rPr>
    </w:lvl>
  </w:abstractNum>
  <w:abstractNum w:abstractNumId="2">
    <w:nsid w:val="6E31A697"/>
    <w:multiLevelType w:val="singleLevel"/>
    <w:tmpl w:val="6E31A697"/>
    <w:lvl w:ilvl="0" w:tentative="0">
      <w:start w:val="1"/>
      <w:numFmt w:val="chineseCountingThousand"/>
      <w:suff w:val="nothing"/>
      <w:lvlText w:val="（%1）"/>
      <w:lvlJc w:val="left"/>
      <w:pPr>
        <w:tabs>
          <w:tab w:val="left" w:pos="420"/>
        </w:tabs>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F91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spacing w:before="2"/>
      <w:ind w:left="220"/>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2024-11-01T02:26:09Z</dcterms:created>
  <dc:creator>lenovo</dc:creator>
  <cp:lastModifiedBy>YLH</cp:lastModifiedBy>
  <dcterms:modified xsi:type="dcterms:W3CDTF">2024-11-01T02:26:21Z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