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AA557">
      <w:pPr>
        <w:rPr>
          <w:sz w:val="18"/>
          <w:szCs w:val="18"/>
        </w:rPr>
      </w:pPr>
      <w:r>
        <w:rPr>
          <w:rFonts w:hint="eastAsia"/>
          <w:sz w:val="18"/>
          <w:szCs w:val="18"/>
        </w:rPr>
        <w:t>南钢质量方针：精细管理，优质低耗；超前研发，用户满意；持续改进，走向卓越。</w:t>
      </w:r>
    </w:p>
    <w:p w14:paraId="7B68C412">
      <w:pPr>
        <w:rPr>
          <w:sz w:val="18"/>
          <w:szCs w:val="18"/>
        </w:rPr>
      </w:pPr>
      <w:r>
        <w:rPr>
          <w:rFonts w:hint="eastAsia"/>
          <w:sz w:val="18"/>
          <w:szCs w:val="18"/>
        </w:rPr>
        <w:t>南钢环境方针：遵守环境法规，推行清洁生产，坚持持续改进，创建绿色南钢。</w:t>
      </w:r>
    </w:p>
    <w:p w14:paraId="376752FA">
      <w:pPr>
        <w:rPr>
          <w:sz w:val="18"/>
          <w:szCs w:val="18"/>
        </w:rPr>
      </w:pPr>
      <w:r>
        <w:rPr>
          <w:rFonts w:hint="eastAsia"/>
          <w:sz w:val="18"/>
          <w:szCs w:val="18"/>
        </w:rPr>
        <w:t>南钢职业健康安全方针：以人为本，预防为主，执行法规，过程控制，持续改进，旨在绩效。</w:t>
      </w:r>
    </w:p>
    <w:p w14:paraId="0906F6C7">
      <w:pPr>
        <w:rPr>
          <w:sz w:val="18"/>
          <w:szCs w:val="18"/>
        </w:rPr>
      </w:pPr>
      <w:r>
        <w:rPr>
          <w:rFonts w:hint="eastAsia"/>
          <w:sz w:val="18"/>
          <w:szCs w:val="18"/>
        </w:rPr>
        <w:t>经营承诺：廉洁经营，诚信经营，守法经营，规范经营。</w:t>
      </w:r>
    </w:p>
    <w:p w14:paraId="2879098D">
      <w:pPr>
        <w:rPr>
          <w:sz w:val="18"/>
          <w:szCs w:val="18"/>
        </w:rPr>
      </w:pPr>
    </w:p>
    <w:p w14:paraId="1A0B6C55">
      <w:pPr>
        <w:jc w:val="center"/>
        <w:rPr>
          <w:b/>
          <w:bCs/>
          <w:sz w:val="20"/>
          <w:szCs w:val="21"/>
          <w:highlight w:val="none"/>
        </w:rPr>
      </w:pPr>
      <w:r>
        <w:rPr>
          <w:rFonts w:hint="eastAsia"/>
          <w:b/>
          <w:bCs/>
          <w:sz w:val="44"/>
          <w:szCs w:val="44"/>
          <w:highlight w:val="none"/>
        </w:rPr>
        <w:t>订购合同</w:t>
      </w:r>
      <w:r>
        <w:rPr>
          <w:rFonts w:hint="eastAsia"/>
          <w:b/>
          <w:bCs/>
          <w:sz w:val="20"/>
          <w:szCs w:val="21"/>
          <w:highlight w:val="none"/>
        </w:rPr>
        <w:t>（</w:t>
      </w:r>
      <w:r>
        <w:rPr>
          <w:rFonts w:hint="eastAsia"/>
          <w:b/>
          <w:bCs/>
          <w:sz w:val="20"/>
          <w:szCs w:val="21"/>
          <w:highlight w:val="none"/>
          <w:u w:val="single"/>
        </w:rPr>
        <w:t>零固设备、备件</w:t>
      </w:r>
      <w:r>
        <w:rPr>
          <w:rFonts w:hint="eastAsia"/>
          <w:b/>
          <w:bCs/>
          <w:sz w:val="20"/>
          <w:szCs w:val="21"/>
          <w:highlight w:val="none"/>
        </w:rPr>
        <w:t>类）</w:t>
      </w:r>
    </w:p>
    <w:p w14:paraId="4C322106">
      <w:pPr>
        <w:jc w:val="center"/>
        <w:rPr>
          <w:bCs/>
          <w:sz w:val="18"/>
          <w:szCs w:val="18"/>
          <w:highlight w:val="none"/>
        </w:rPr>
      </w:pPr>
      <w:r>
        <w:rPr>
          <w:rFonts w:hint="eastAsia"/>
          <w:b/>
          <w:bCs/>
          <w:color w:val="FF0000"/>
          <w:sz w:val="18"/>
          <w:szCs w:val="18"/>
          <w:highlight w:val="none"/>
        </w:rPr>
        <w:t xml:space="preserve">                                           </w:t>
      </w:r>
      <w:r>
        <w:rPr>
          <w:rFonts w:hint="eastAsia"/>
          <w:bCs/>
          <w:color w:val="000000"/>
          <w:sz w:val="18"/>
          <w:szCs w:val="18"/>
          <w:highlight w:val="none"/>
        </w:rPr>
        <w:t xml:space="preserve"> </w:t>
      </w:r>
      <w:r>
        <w:rPr>
          <w:bCs/>
          <w:color w:val="000000"/>
          <w:sz w:val="18"/>
          <w:szCs w:val="18"/>
          <w:highlight w:val="none"/>
        </w:rPr>
        <w:t xml:space="preserve"> </w:t>
      </w:r>
      <w:r>
        <w:rPr>
          <w:bCs/>
          <w:sz w:val="18"/>
          <w:szCs w:val="18"/>
          <w:highlight w:val="none"/>
        </w:rPr>
        <w:t xml:space="preserve"> </w:t>
      </w:r>
      <w:r>
        <w:rPr>
          <w:rFonts w:hint="eastAsia"/>
          <w:bCs/>
          <w:sz w:val="18"/>
          <w:szCs w:val="18"/>
          <w:highlight w:val="none"/>
        </w:rPr>
        <w:t xml:space="preserve">         质量记录编号：</w:t>
      </w:r>
      <w:r>
        <w:rPr>
          <w:bCs/>
          <w:sz w:val="18"/>
          <w:szCs w:val="18"/>
          <w:highlight w:val="none"/>
          <w:u w:val="single"/>
        </w:rPr>
        <w:t xml:space="preserve"> </w:t>
      </w:r>
      <w:r>
        <w:rPr>
          <w:rFonts w:hint="eastAsia"/>
          <w:bCs/>
          <w:sz w:val="18"/>
          <w:szCs w:val="18"/>
          <w:highlight w:val="none"/>
          <w:u w:val="single"/>
        </w:rPr>
        <w:t>JL080132/A</w:t>
      </w:r>
      <w:r>
        <w:rPr>
          <w:bCs/>
          <w:sz w:val="18"/>
          <w:szCs w:val="18"/>
          <w:highlight w:val="none"/>
          <w:u w:val="single"/>
        </w:rPr>
        <w:t xml:space="preserve">   </w:t>
      </w:r>
    </w:p>
    <w:tbl>
      <w:tblPr>
        <w:tblStyle w:val="7"/>
        <w:tblW w:w="8522" w:type="dxa"/>
        <w:tblInd w:w="0" w:type="dxa"/>
        <w:tblLayout w:type="fixed"/>
        <w:tblCellMar>
          <w:top w:w="0" w:type="dxa"/>
          <w:left w:w="108" w:type="dxa"/>
          <w:bottom w:w="0" w:type="dxa"/>
          <w:right w:w="108" w:type="dxa"/>
        </w:tblCellMar>
      </w:tblPr>
      <w:tblGrid>
        <w:gridCol w:w="5637"/>
        <w:gridCol w:w="2885"/>
      </w:tblGrid>
      <w:tr w14:paraId="303F2CB2">
        <w:tblPrEx>
          <w:tblCellMar>
            <w:top w:w="0" w:type="dxa"/>
            <w:left w:w="108" w:type="dxa"/>
            <w:bottom w:w="0" w:type="dxa"/>
            <w:right w:w="108" w:type="dxa"/>
          </w:tblCellMar>
        </w:tblPrEx>
        <w:tc>
          <w:tcPr>
            <w:tcW w:w="5637" w:type="dxa"/>
            <w:tcBorders>
              <w:tl2br w:val="nil"/>
              <w:tr2bl w:val="nil"/>
            </w:tcBorders>
          </w:tcPr>
          <w:p w14:paraId="766C6E26">
            <w:pPr>
              <w:pBdr>
                <w:top w:val="none" w:color="auto" w:sz="0" w:space="1"/>
                <w:left w:val="none" w:color="auto" w:sz="0" w:space="4"/>
                <w:bottom w:val="none" w:color="auto" w:sz="0" w:space="1"/>
                <w:right w:val="none" w:color="auto" w:sz="0" w:space="4"/>
              </w:pBdr>
              <w:rPr>
                <w:sz w:val="18"/>
                <w:szCs w:val="18"/>
                <w:highlight w:val="none"/>
              </w:rPr>
            </w:pPr>
            <w:r>
              <w:rPr>
                <w:rFonts w:hint="eastAsia"/>
                <w:b/>
                <w:bCs/>
                <w:sz w:val="18"/>
                <w:szCs w:val="18"/>
                <w:highlight w:val="none"/>
              </w:rPr>
              <w:t>供方：</w:t>
            </w:r>
            <w:r>
              <w:rPr>
                <w:rFonts w:hint="eastAsia"/>
                <w:sz w:val="18"/>
                <w:szCs w:val="18"/>
                <w:highlight w:val="none"/>
                <w:u w:val="single"/>
              </w:rPr>
              <w:t xml:space="preserve">                                             </w:t>
            </w:r>
          </w:p>
        </w:tc>
        <w:tc>
          <w:tcPr>
            <w:tcW w:w="2885" w:type="dxa"/>
            <w:tcBorders>
              <w:tl2br w:val="nil"/>
              <w:tr2bl w:val="nil"/>
            </w:tcBorders>
          </w:tcPr>
          <w:p w14:paraId="2F2E9915">
            <w:pPr>
              <w:pBdr>
                <w:top w:val="none" w:color="auto" w:sz="0" w:space="1"/>
                <w:left w:val="none" w:color="auto" w:sz="0" w:space="4"/>
                <w:bottom w:val="none" w:color="auto" w:sz="0" w:space="1"/>
                <w:right w:val="none" w:color="auto" w:sz="0" w:space="4"/>
              </w:pBdr>
              <w:rPr>
                <w:sz w:val="18"/>
                <w:szCs w:val="18"/>
                <w:highlight w:val="none"/>
              </w:rPr>
            </w:pPr>
            <w:r>
              <w:rPr>
                <w:rFonts w:hint="eastAsia"/>
                <w:sz w:val="18"/>
                <w:szCs w:val="18"/>
                <w:highlight w:val="none"/>
              </w:rPr>
              <w:t>合同编号：</w:t>
            </w:r>
            <w:r>
              <w:rPr>
                <w:rFonts w:hint="eastAsia"/>
                <w:sz w:val="18"/>
                <w:szCs w:val="18"/>
                <w:highlight w:val="none"/>
                <w:u w:val="single"/>
              </w:rPr>
              <w:t xml:space="preserve">                 </w:t>
            </w:r>
          </w:p>
        </w:tc>
      </w:tr>
      <w:tr w14:paraId="06A76742">
        <w:tblPrEx>
          <w:tblCellMar>
            <w:top w:w="0" w:type="dxa"/>
            <w:left w:w="108" w:type="dxa"/>
            <w:bottom w:w="0" w:type="dxa"/>
            <w:right w:w="108" w:type="dxa"/>
          </w:tblCellMar>
        </w:tblPrEx>
        <w:tc>
          <w:tcPr>
            <w:tcW w:w="5637" w:type="dxa"/>
            <w:tcBorders>
              <w:tl2br w:val="nil"/>
              <w:tr2bl w:val="nil"/>
            </w:tcBorders>
          </w:tcPr>
          <w:p w14:paraId="37B15889">
            <w:pPr>
              <w:pBdr>
                <w:top w:val="none" w:color="auto" w:sz="0" w:space="1"/>
                <w:left w:val="none" w:color="auto" w:sz="0" w:space="4"/>
                <w:bottom w:val="none" w:color="auto" w:sz="0" w:space="1"/>
                <w:right w:val="none" w:color="auto" w:sz="0" w:space="4"/>
              </w:pBdr>
              <w:rPr>
                <w:sz w:val="18"/>
                <w:szCs w:val="18"/>
                <w:highlight w:val="none"/>
              </w:rPr>
            </w:pPr>
          </w:p>
        </w:tc>
        <w:tc>
          <w:tcPr>
            <w:tcW w:w="2885" w:type="dxa"/>
            <w:tcBorders>
              <w:tl2br w:val="nil"/>
              <w:tr2bl w:val="nil"/>
            </w:tcBorders>
          </w:tcPr>
          <w:p w14:paraId="5DD9D25A">
            <w:pPr>
              <w:pBdr>
                <w:top w:val="none" w:color="auto" w:sz="0" w:space="1"/>
                <w:left w:val="none" w:color="auto" w:sz="0" w:space="4"/>
                <w:bottom w:val="none" w:color="auto" w:sz="0" w:space="1"/>
                <w:right w:val="none" w:color="auto" w:sz="0" w:space="4"/>
              </w:pBdr>
              <w:rPr>
                <w:sz w:val="18"/>
                <w:szCs w:val="18"/>
                <w:highlight w:val="none"/>
              </w:rPr>
            </w:pPr>
            <w:r>
              <w:rPr>
                <w:rFonts w:hint="eastAsia"/>
                <w:sz w:val="18"/>
                <w:szCs w:val="18"/>
                <w:highlight w:val="none"/>
              </w:rPr>
              <w:t>签订日期：</w:t>
            </w:r>
            <w:r>
              <w:rPr>
                <w:sz w:val="18"/>
                <w:szCs w:val="18"/>
                <w:highlight w:val="none"/>
                <w:u w:val="single"/>
              </w:rPr>
              <w:t xml:space="preserve">     </w:t>
            </w:r>
            <w:r>
              <w:rPr>
                <w:rFonts w:hint="eastAsia"/>
                <w:sz w:val="18"/>
                <w:szCs w:val="18"/>
                <w:highlight w:val="none"/>
              </w:rPr>
              <w:t>年</w:t>
            </w:r>
            <w:r>
              <w:rPr>
                <w:sz w:val="18"/>
                <w:szCs w:val="18"/>
                <w:highlight w:val="none"/>
                <w:u w:val="single"/>
              </w:rPr>
              <w:t xml:space="preserve">  </w:t>
            </w:r>
            <w:r>
              <w:rPr>
                <w:rFonts w:hint="eastAsia"/>
                <w:sz w:val="18"/>
                <w:szCs w:val="18"/>
                <w:highlight w:val="none"/>
                <w:u w:val="single"/>
              </w:rPr>
              <w:t xml:space="preserve"> </w:t>
            </w:r>
            <w:r>
              <w:rPr>
                <w:rFonts w:hint="eastAsia"/>
                <w:sz w:val="18"/>
                <w:szCs w:val="18"/>
                <w:highlight w:val="none"/>
              </w:rPr>
              <w:t>月</w:t>
            </w:r>
            <w:r>
              <w:rPr>
                <w:sz w:val="18"/>
                <w:szCs w:val="18"/>
                <w:highlight w:val="none"/>
                <w:u w:val="single"/>
              </w:rPr>
              <w:t xml:space="preserve">   </w:t>
            </w:r>
            <w:r>
              <w:rPr>
                <w:rFonts w:hint="eastAsia"/>
                <w:sz w:val="18"/>
                <w:szCs w:val="18"/>
                <w:highlight w:val="none"/>
              </w:rPr>
              <w:t>日</w:t>
            </w:r>
          </w:p>
        </w:tc>
      </w:tr>
      <w:tr w14:paraId="583DC688">
        <w:tblPrEx>
          <w:tblCellMar>
            <w:top w:w="0" w:type="dxa"/>
            <w:left w:w="108" w:type="dxa"/>
            <w:bottom w:w="0" w:type="dxa"/>
            <w:right w:w="108" w:type="dxa"/>
          </w:tblCellMar>
        </w:tblPrEx>
        <w:tc>
          <w:tcPr>
            <w:tcW w:w="5637" w:type="dxa"/>
            <w:tcBorders>
              <w:tl2br w:val="nil"/>
              <w:tr2bl w:val="nil"/>
            </w:tcBorders>
          </w:tcPr>
          <w:p w14:paraId="49981347">
            <w:pPr>
              <w:pBdr>
                <w:top w:val="none" w:color="auto" w:sz="0" w:space="1"/>
                <w:left w:val="none" w:color="auto" w:sz="0" w:space="4"/>
                <w:bottom w:val="none" w:color="auto" w:sz="0" w:space="1"/>
                <w:right w:val="none" w:color="auto" w:sz="0" w:space="4"/>
              </w:pBdr>
              <w:rPr>
                <w:sz w:val="18"/>
                <w:szCs w:val="18"/>
                <w:highlight w:val="none"/>
              </w:rPr>
            </w:pPr>
            <w:r>
              <w:rPr>
                <w:rFonts w:hint="eastAsia"/>
                <w:b/>
                <w:bCs/>
                <w:sz w:val="18"/>
                <w:szCs w:val="18"/>
                <w:highlight w:val="none"/>
              </w:rPr>
              <w:t>需方：</w:t>
            </w:r>
            <w:r>
              <w:rPr>
                <w:rFonts w:hint="eastAsia"/>
                <w:sz w:val="18"/>
                <w:szCs w:val="18"/>
                <w:highlight w:val="none"/>
                <w:u w:val="single"/>
              </w:rPr>
              <w:t xml:space="preserve">                                             </w:t>
            </w:r>
          </w:p>
        </w:tc>
        <w:tc>
          <w:tcPr>
            <w:tcW w:w="2885" w:type="dxa"/>
            <w:tcBorders>
              <w:tl2br w:val="nil"/>
              <w:tr2bl w:val="nil"/>
            </w:tcBorders>
          </w:tcPr>
          <w:p w14:paraId="14F8606C">
            <w:pPr>
              <w:pBdr>
                <w:top w:val="none" w:color="auto" w:sz="0" w:space="1"/>
                <w:left w:val="none" w:color="auto" w:sz="0" w:space="4"/>
                <w:bottom w:val="none" w:color="auto" w:sz="0" w:space="1"/>
                <w:right w:val="none" w:color="auto" w:sz="0" w:space="4"/>
              </w:pBdr>
              <w:rPr>
                <w:rFonts w:hint="default" w:eastAsia="宋体"/>
                <w:sz w:val="18"/>
                <w:szCs w:val="18"/>
                <w:highlight w:val="none"/>
                <w:lang w:val="en-US" w:eastAsia="zh-CN"/>
              </w:rPr>
            </w:pPr>
            <w:r>
              <w:rPr>
                <w:rFonts w:hint="eastAsia"/>
                <w:sz w:val="18"/>
                <w:szCs w:val="18"/>
                <w:highlight w:val="none"/>
              </w:rPr>
              <w:t>签订地点：南京市</w:t>
            </w:r>
            <w:r>
              <w:rPr>
                <w:rFonts w:hint="eastAsia"/>
                <w:sz w:val="18"/>
                <w:szCs w:val="18"/>
                <w:highlight w:val="none"/>
                <w:lang w:val="en-US" w:eastAsia="zh-CN"/>
              </w:rPr>
              <w:t>江北新区</w:t>
            </w:r>
          </w:p>
        </w:tc>
      </w:tr>
      <w:tr w14:paraId="5851AE50">
        <w:tblPrEx>
          <w:tblCellMar>
            <w:top w:w="0" w:type="dxa"/>
            <w:left w:w="108" w:type="dxa"/>
            <w:bottom w:w="0" w:type="dxa"/>
            <w:right w:w="108" w:type="dxa"/>
          </w:tblCellMar>
        </w:tblPrEx>
        <w:tc>
          <w:tcPr>
            <w:tcW w:w="5637" w:type="dxa"/>
            <w:tcBorders>
              <w:tl2br w:val="nil"/>
              <w:tr2bl w:val="nil"/>
            </w:tcBorders>
          </w:tcPr>
          <w:p w14:paraId="5BE21A37">
            <w:pPr>
              <w:pBdr>
                <w:top w:val="none" w:color="auto" w:sz="0" w:space="1"/>
                <w:left w:val="none" w:color="auto" w:sz="0" w:space="4"/>
                <w:bottom w:val="none" w:color="auto" w:sz="0" w:space="1"/>
                <w:right w:val="none" w:color="auto" w:sz="0" w:space="4"/>
              </w:pBdr>
              <w:rPr>
                <w:sz w:val="18"/>
                <w:szCs w:val="18"/>
                <w:highlight w:val="none"/>
              </w:rPr>
            </w:pPr>
          </w:p>
        </w:tc>
        <w:tc>
          <w:tcPr>
            <w:tcW w:w="2885" w:type="dxa"/>
            <w:tcBorders>
              <w:tl2br w:val="nil"/>
              <w:tr2bl w:val="nil"/>
            </w:tcBorders>
          </w:tcPr>
          <w:p w14:paraId="134E4BFE">
            <w:pPr>
              <w:pBdr>
                <w:top w:val="none" w:color="auto" w:sz="0" w:space="1"/>
                <w:left w:val="none" w:color="auto" w:sz="0" w:space="4"/>
                <w:bottom w:val="none" w:color="auto" w:sz="0" w:space="1"/>
                <w:right w:val="none" w:color="auto" w:sz="0" w:space="4"/>
              </w:pBdr>
              <w:rPr>
                <w:sz w:val="18"/>
                <w:szCs w:val="18"/>
                <w:highlight w:val="none"/>
              </w:rPr>
            </w:pPr>
            <w:r>
              <w:rPr>
                <w:rFonts w:hint="eastAsia"/>
                <w:sz w:val="18"/>
                <w:szCs w:val="18"/>
                <w:highlight w:val="none"/>
              </w:rPr>
              <w:t xml:space="preserve">版本号： </w:t>
            </w:r>
            <w:r>
              <w:rPr>
                <w:rFonts w:hint="eastAsia"/>
                <w:sz w:val="18"/>
                <w:szCs w:val="18"/>
                <w:highlight w:val="none"/>
                <w:u w:val="single"/>
              </w:rPr>
              <w:t xml:space="preserve">           </w:t>
            </w:r>
          </w:p>
        </w:tc>
      </w:tr>
    </w:tbl>
    <w:p w14:paraId="2C1A567D">
      <w:pPr>
        <w:numPr>
          <w:ilvl w:val="0"/>
          <w:numId w:val="1"/>
        </w:numPr>
        <w:rPr>
          <w:b/>
          <w:sz w:val="18"/>
          <w:szCs w:val="18"/>
          <w:highlight w:val="none"/>
        </w:rPr>
      </w:pPr>
      <w:r>
        <w:rPr>
          <w:rFonts w:hint="eastAsia"/>
          <w:b/>
          <w:sz w:val="18"/>
          <w:szCs w:val="18"/>
          <w:highlight w:val="none"/>
        </w:rPr>
        <w:t>产品明细</w:t>
      </w:r>
    </w:p>
    <w:tbl>
      <w:tblPr>
        <w:tblStyle w:val="7"/>
        <w:tblW w:w="837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667"/>
        <w:gridCol w:w="993"/>
        <w:gridCol w:w="1416"/>
        <w:gridCol w:w="709"/>
        <w:gridCol w:w="567"/>
        <w:gridCol w:w="709"/>
        <w:gridCol w:w="708"/>
        <w:gridCol w:w="709"/>
        <w:gridCol w:w="428"/>
        <w:gridCol w:w="281"/>
        <w:gridCol w:w="712"/>
      </w:tblGrid>
      <w:tr w14:paraId="0AF70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43" w:type="dxa"/>
            <w:gridSpan w:val="2"/>
            <w:shd w:val="clear" w:color="auto" w:fill="auto"/>
            <w:vAlign w:val="center"/>
          </w:tcPr>
          <w:p w14:paraId="478EF854">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合同名称</w:t>
            </w:r>
          </w:p>
        </w:tc>
        <w:tc>
          <w:tcPr>
            <w:tcW w:w="7232" w:type="dxa"/>
            <w:gridSpan w:val="10"/>
            <w:shd w:val="clear" w:color="auto" w:fill="auto"/>
            <w:vAlign w:val="center"/>
          </w:tcPr>
          <w:p w14:paraId="28B8253F">
            <w:pPr>
              <w:widowControl/>
              <w:jc w:val="left"/>
              <w:rPr>
                <w:rFonts w:ascii="宋体" w:hAnsi="宋体" w:cs="宋体"/>
                <w:b/>
                <w:color w:val="000000"/>
                <w:kern w:val="0"/>
                <w:sz w:val="18"/>
                <w:szCs w:val="18"/>
                <w:highlight w:val="none"/>
                <w:u w:val="single"/>
              </w:rPr>
            </w:pPr>
          </w:p>
        </w:tc>
      </w:tr>
      <w:tr w14:paraId="1E39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3" w:type="dxa"/>
            <w:gridSpan w:val="2"/>
            <w:shd w:val="clear" w:color="auto" w:fill="auto"/>
            <w:vAlign w:val="center"/>
          </w:tcPr>
          <w:p w14:paraId="36D8594D">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中标文号</w:t>
            </w:r>
          </w:p>
        </w:tc>
        <w:tc>
          <w:tcPr>
            <w:tcW w:w="993" w:type="dxa"/>
            <w:shd w:val="clear" w:color="auto" w:fill="auto"/>
            <w:vAlign w:val="center"/>
          </w:tcPr>
          <w:p w14:paraId="130BE9BD">
            <w:pPr>
              <w:widowControl/>
              <w:jc w:val="left"/>
              <w:rPr>
                <w:rFonts w:ascii="宋体" w:hAnsi="宋体" w:cs="宋体"/>
                <w:color w:val="000000"/>
                <w:kern w:val="0"/>
                <w:sz w:val="18"/>
                <w:szCs w:val="18"/>
                <w:highlight w:val="none"/>
              </w:rPr>
            </w:pPr>
          </w:p>
        </w:tc>
        <w:tc>
          <w:tcPr>
            <w:tcW w:w="1416" w:type="dxa"/>
            <w:shd w:val="clear" w:color="auto" w:fill="auto"/>
            <w:vAlign w:val="center"/>
          </w:tcPr>
          <w:p w14:paraId="64E05B04">
            <w:pPr>
              <w:widowControl/>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立项号</w:t>
            </w:r>
          </w:p>
        </w:tc>
        <w:tc>
          <w:tcPr>
            <w:tcW w:w="1276" w:type="dxa"/>
            <w:gridSpan w:val="2"/>
            <w:shd w:val="clear" w:color="auto" w:fill="auto"/>
            <w:vAlign w:val="center"/>
          </w:tcPr>
          <w:p w14:paraId="72E86A16">
            <w:pPr>
              <w:widowControl/>
              <w:jc w:val="center"/>
              <w:rPr>
                <w:rFonts w:ascii="宋体" w:hAnsi="宋体" w:cs="宋体"/>
                <w:b/>
                <w:color w:val="000000"/>
                <w:kern w:val="0"/>
                <w:sz w:val="18"/>
                <w:szCs w:val="18"/>
                <w:highlight w:val="none"/>
              </w:rPr>
            </w:pPr>
          </w:p>
        </w:tc>
        <w:tc>
          <w:tcPr>
            <w:tcW w:w="1417" w:type="dxa"/>
            <w:gridSpan w:val="2"/>
            <w:shd w:val="clear" w:color="auto" w:fill="auto"/>
            <w:vAlign w:val="center"/>
          </w:tcPr>
          <w:p w14:paraId="338334A2">
            <w:pPr>
              <w:widowControl/>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币种</w:t>
            </w:r>
          </w:p>
        </w:tc>
        <w:tc>
          <w:tcPr>
            <w:tcW w:w="2130" w:type="dxa"/>
            <w:gridSpan w:val="4"/>
            <w:shd w:val="clear" w:color="auto" w:fill="auto"/>
            <w:vAlign w:val="center"/>
          </w:tcPr>
          <w:p w14:paraId="3A62250F">
            <w:pPr>
              <w:widowControl/>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CNY,元</w:t>
            </w:r>
          </w:p>
        </w:tc>
      </w:tr>
      <w:tr w14:paraId="362B3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43" w:type="dxa"/>
            <w:gridSpan w:val="2"/>
            <w:shd w:val="clear" w:color="auto" w:fill="auto"/>
            <w:vAlign w:val="center"/>
          </w:tcPr>
          <w:p w14:paraId="0FF63D7F">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付款条件</w:t>
            </w:r>
          </w:p>
        </w:tc>
        <w:tc>
          <w:tcPr>
            <w:tcW w:w="2409" w:type="dxa"/>
            <w:gridSpan w:val="2"/>
            <w:shd w:val="clear" w:color="auto" w:fill="auto"/>
            <w:vAlign w:val="center"/>
          </w:tcPr>
          <w:p w14:paraId="73FF846D">
            <w:pPr>
              <w:widowControl/>
              <w:jc w:val="left"/>
              <w:rPr>
                <w:rFonts w:ascii="宋体" w:hAnsi="宋体" w:cs="宋体"/>
                <w:b/>
                <w:color w:val="000000"/>
                <w:kern w:val="0"/>
                <w:sz w:val="18"/>
                <w:szCs w:val="18"/>
                <w:highlight w:val="none"/>
              </w:rPr>
            </w:pPr>
            <w:r>
              <w:rPr>
                <w:rFonts w:hint="eastAsia" w:ascii="宋体" w:hAnsi="宋体" w:cs="宋体"/>
                <w:color w:val="000000"/>
                <w:kern w:val="0"/>
                <w:sz w:val="18"/>
                <w:szCs w:val="18"/>
                <w:highlight w:val="none"/>
              </w:rPr>
              <w:t>验收完成：</w:t>
            </w:r>
            <w:r>
              <w:rPr>
                <w:rFonts w:hint="eastAsia" w:ascii="宋体" w:hAnsi="宋体" w:cs="宋体"/>
                <w:color w:val="000000"/>
                <w:kern w:val="0"/>
                <w:sz w:val="18"/>
                <w:szCs w:val="18"/>
                <w:highlight w:val="none"/>
                <w:u w:val="single"/>
              </w:rPr>
              <w:t>90</w:t>
            </w:r>
            <w:r>
              <w:rPr>
                <w:rFonts w:hint="eastAsia" w:ascii="宋体" w:hAnsi="宋体" w:cs="宋体"/>
                <w:color w:val="000000"/>
                <w:kern w:val="0"/>
                <w:sz w:val="18"/>
                <w:szCs w:val="18"/>
                <w:highlight w:val="none"/>
              </w:rPr>
              <w:t>%；质保金</w:t>
            </w:r>
            <w:r>
              <w:rPr>
                <w:rFonts w:hint="eastAsia" w:ascii="宋体" w:hAnsi="宋体" w:cs="宋体"/>
                <w:color w:val="000000"/>
                <w:kern w:val="0"/>
                <w:sz w:val="18"/>
                <w:szCs w:val="18"/>
                <w:highlight w:val="none"/>
                <w:u w:val="single"/>
              </w:rPr>
              <w:t>10</w:t>
            </w:r>
            <w:r>
              <w:rPr>
                <w:rFonts w:hint="eastAsia" w:ascii="宋体" w:hAnsi="宋体" w:cs="宋体"/>
                <w:color w:val="000000"/>
                <w:kern w:val="0"/>
                <w:sz w:val="18"/>
                <w:szCs w:val="18"/>
                <w:highlight w:val="none"/>
              </w:rPr>
              <w:t>%</w:t>
            </w:r>
          </w:p>
        </w:tc>
        <w:tc>
          <w:tcPr>
            <w:tcW w:w="1276" w:type="dxa"/>
            <w:gridSpan w:val="2"/>
            <w:shd w:val="clear" w:color="auto" w:fill="auto"/>
            <w:vAlign w:val="center"/>
          </w:tcPr>
          <w:p w14:paraId="7ADD56EC">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订购金额</w:t>
            </w:r>
          </w:p>
          <w:p w14:paraId="71694E29">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（不含税）</w:t>
            </w:r>
          </w:p>
        </w:tc>
        <w:tc>
          <w:tcPr>
            <w:tcW w:w="1417" w:type="dxa"/>
            <w:gridSpan w:val="2"/>
            <w:shd w:val="clear" w:color="auto" w:fill="auto"/>
            <w:vAlign w:val="center"/>
          </w:tcPr>
          <w:p w14:paraId="70C46F0A">
            <w:pPr>
              <w:widowControl/>
              <w:jc w:val="left"/>
              <w:rPr>
                <w:rFonts w:ascii="宋体" w:hAnsi="宋体" w:cs="宋体"/>
                <w:b/>
                <w:color w:val="000000"/>
                <w:kern w:val="0"/>
                <w:sz w:val="18"/>
                <w:szCs w:val="18"/>
                <w:highlight w:val="none"/>
              </w:rPr>
            </w:pPr>
          </w:p>
        </w:tc>
        <w:tc>
          <w:tcPr>
            <w:tcW w:w="1137" w:type="dxa"/>
            <w:gridSpan w:val="2"/>
            <w:shd w:val="clear" w:color="auto" w:fill="auto"/>
            <w:vAlign w:val="center"/>
          </w:tcPr>
          <w:p w14:paraId="0797E3BB">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订购金额</w:t>
            </w:r>
          </w:p>
          <w:p w14:paraId="7EC1D9FA">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（含税）</w:t>
            </w:r>
          </w:p>
        </w:tc>
        <w:tc>
          <w:tcPr>
            <w:tcW w:w="993" w:type="dxa"/>
            <w:gridSpan w:val="2"/>
            <w:shd w:val="clear" w:color="auto" w:fill="auto"/>
            <w:vAlign w:val="center"/>
          </w:tcPr>
          <w:p w14:paraId="58E865A4">
            <w:pPr>
              <w:widowControl/>
              <w:jc w:val="left"/>
              <w:rPr>
                <w:rFonts w:ascii="宋体" w:hAnsi="宋体" w:cs="宋体"/>
                <w:b/>
                <w:color w:val="000000"/>
                <w:kern w:val="0"/>
                <w:sz w:val="18"/>
                <w:szCs w:val="18"/>
                <w:highlight w:val="none"/>
              </w:rPr>
            </w:pPr>
          </w:p>
          <w:p w14:paraId="0457C98F">
            <w:pPr>
              <w:widowControl/>
              <w:jc w:val="left"/>
              <w:rPr>
                <w:rFonts w:ascii="宋体" w:hAnsi="宋体" w:cs="宋体"/>
                <w:b/>
                <w:color w:val="000000"/>
                <w:kern w:val="0"/>
                <w:sz w:val="18"/>
                <w:szCs w:val="18"/>
                <w:highlight w:val="none"/>
              </w:rPr>
            </w:pPr>
          </w:p>
        </w:tc>
      </w:tr>
      <w:tr w14:paraId="3EF5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3" w:type="dxa"/>
            <w:gridSpan w:val="2"/>
            <w:shd w:val="clear" w:color="000000" w:fill="FFFFFF"/>
            <w:vAlign w:val="center"/>
          </w:tcPr>
          <w:p w14:paraId="24CC7350">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订购性质</w:t>
            </w:r>
          </w:p>
        </w:tc>
        <w:tc>
          <w:tcPr>
            <w:tcW w:w="993" w:type="dxa"/>
            <w:shd w:val="clear" w:color="000000" w:fill="FFFFFF"/>
            <w:vAlign w:val="center"/>
          </w:tcPr>
          <w:p w14:paraId="12F88D92">
            <w:pPr>
              <w:widowControl/>
              <w:jc w:val="center"/>
              <w:rPr>
                <w:rFonts w:ascii="宋体" w:hAnsi="宋体" w:cs="宋体"/>
                <w:color w:val="000000"/>
                <w:kern w:val="0"/>
                <w:sz w:val="18"/>
                <w:szCs w:val="18"/>
                <w:highlight w:val="none"/>
              </w:rPr>
            </w:pPr>
          </w:p>
        </w:tc>
        <w:tc>
          <w:tcPr>
            <w:tcW w:w="1416" w:type="dxa"/>
            <w:shd w:val="clear" w:color="000000" w:fill="FFFFFF"/>
            <w:vAlign w:val="center"/>
          </w:tcPr>
          <w:p w14:paraId="1AB9E117">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生产厂商</w:t>
            </w:r>
          </w:p>
        </w:tc>
        <w:tc>
          <w:tcPr>
            <w:tcW w:w="1276" w:type="dxa"/>
            <w:gridSpan w:val="2"/>
            <w:shd w:val="clear" w:color="auto" w:fill="auto"/>
            <w:vAlign w:val="center"/>
          </w:tcPr>
          <w:p w14:paraId="6509FEAF">
            <w:pPr>
              <w:widowControl/>
              <w:jc w:val="center"/>
              <w:rPr>
                <w:rFonts w:ascii="宋体" w:hAnsi="宋体" w:cs="宋体"/>
                <w:color w:val="000000"/>
                <w:kern w:val="0"/>
                <w:sz w:val="18"/>
                <w:szCs w:val="18"/>
                <w:highlight w:val="none"/>
              </w:rPr>
            </w:pPr>
          </w:p>
        </w:tc>
        <w:tc>
          <w:tcPr>
            <w:tcW w:w="1417" w:type="dxa"/>
            <w:gridSpan w:val="2"/>
            <w:shd w:val="clear" w:color="auto" w:fill="auto"/>
            <w:vAlign w:val="center"/>
          </w:tcPr>
          <w:p w14:paraId="1CA17874">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大写金额</w:t>
            </w:r>
          </w:p>
          <w:p w14:paraId="7AE6D6E3">
            <w:pPr>
              <w:widowControl/>
              <w:jc w:val="left"/>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（含税）</w:t>
            </w:r>
          </w:p>
        </w:tc>
        <w:tc>
          <w:tcPr>
            <w:tcW w:w="2130" w:type="dxa"/>
            <w:gridSpan w:val="4"/>
            <w:shd w:val="clear" w:color="auto" w:fill="auto"/>
            <w:vAlign w:val="center"/>
          </w:tcPr>
          <w:p w14:paraId="3439E210">
            <w:pPr>
              <w:widowControl/>
              <w:jc w:val="left"/>
              <w:rPr>
                <w:rFonts w:ascii="宋体" w:hAnsi="宋体" w:cs="宋体"/>
                <w:b/>
                <w:color w:val="000000"/>
                <w:kern w:val="0"/>
                <w:sz w:val="18"/>
                <w:szCs w:val="18"/>
                <w:highlight w:val="none"/>
              </w:rPr>
            </w:pPr>
          </w:p>
        </w:tc>
      </w:tr>
      <w:tr w14:paraId="02D74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6" w:type="dxa"/>
            <w:shd w:val="clear" w:color="auto" w:fill="auto"/>
            <w:vAlign w:val="center"/>
          </w:tcPr>
          <w:p w14:paraId="6FB0FD3F">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项次</w:t>
            </w:r>
          </w:p>
        </w:tc>
        <w:tc>
          <w:tcPr>
            <w:tcW w:w="667" w:type="dxa"/>
            <w:shd w:val="clear" w:color="auto" w:fill="auto"/>
            <w:vAlign w:val="center"/>
          </w:tcPr>
          <w:p w14:paraId="21A40A3C">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物料编号</w:t>
            </w:r>
          </w:p>
        </w:tc>
        <w:tc>
          <w:tcPr>
            <w:tcW w:w="993" w:type="dxa"/>
            <w:shd w:val="clear" w:color="auto" w:fill="auto"/>
            <w:vAlign w:val="center"/>
          </w:tcPr>
          <w:p w14:paraId="7A9718B8">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品名</w:t>
            </w:r>
          </w:p>
        </w:tc>
        <w:tc>
          <w:tcPr>
            <w:tcW w:w="1416" w:type="dxa"/>
            <w:shd w:val="clear" w:color="auto" w:fill="auto"/>
            <w:vAlign w:val="center"/>
          </w:tcPr>
          <w:p w14:paraId="1F4BEBC7">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规范、尺寸、图号、原产地</w:t>
            </w:r>
          </w:p>
        </w:tc>
        <w:tc>
          <w:tcPr>
            <w:tcW w:w="709" w:type="dxa"/>
            <w:shd w:val="clear" w:color="auto" w:fill="auto"/>
            <w:vAlign w:val="center"/>
          </w:tcPr>
          <w:p w14:paraId="672FED9B">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交货期限</w:t>
            </w:r>
          </w:p>
        </w:tc>
        <w:tc>
          <w:tcPr>
            <w:tcW w:w="567" w:type="dxa"/>
            <w:shd w:val="clear" w:color="auto" w:fill="auto"/>
            <w:vAlign w:val="center"/>
          </w:tcPr>
          <w:p w14:paraId="00FC5442">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单位</w:t>
            </w:r>
          </w:p>
        </w:tc>
        <w:tc>
          <w:tcPr>
            <w:tcW w:w="709" w:type="dxa"/>
            <w:shd w:val="clear" w:color="auto" w:fill="auto"/>
            <w:vAlign w:val="center"/>
          </w:tcPr>
          <w:p w14:paraId="519E5508">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单重</w:t>
            </w:r>
          </w:p>
        </w:tc>
        <w:tc>
          <w:tcPr>
            <w:tcW w:w="708" w:type="dxa"/>
            <w:shd w:val="clear" w:color="auto" w:fill="auto"/>
            <w:vAlign w:val="center"/>
          </w:tcPr>
          <w:p w14:paraId="4708774F">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数量</w:t>
            </w:r>
          </w:p>
        </w:tc>
        <w:tc>
          <w:tcPr>
            <w:tcW w:w="709" w:type="dxa"/>
            <w:shd w:val="clear" w:color="auto" w:fill="auto"/>
            <w:vAlign w:val="center"/>
          </w:tcPr>
          <w:p w14:paraId="08069ED8">
            <w:pPr>
              <w:widowControl/>
              <w:jc w:val="center"/>
              <w:rPr>
                <w:rFonts w:ascii="宋体" w:hAnsi="宋体" w:cs="宋体"/>
                <w:b/>
                <w:color w:val="000000"/>
                <w:kern w:val="0"/>
                <w:sz w:val="18"/>
                <w:szCs w:val="18"/>
                <w:highlight w:val="none"/>
              </w:rPr>
            </w:pPr>
            <w:r>
              <w:rPr>
                <w:rFonts w:hint="eastAsia" w:ascii="宋体" w:hAnsi="宋体" w:cs="宋体"/>
                <w:b/>
                <w:color w:val="000000"/>
                <w:kern w:val="0"/>
                <w:sz w:val="18"/>
                <w:szCs w:val="18"/>
                <w:highlight w:val="none"/>
              </w:rPr>
              <w:t>单价</w:t>
            </w:r>
          </w:p>
        </w:tc>
        <w:tc>
          <w:tcPr>
            <w:tcW w:w="709" w:type="dxa"/>
            <w:gridSpan w:val="2"/>
            <w:shd w:val="clear" w:color="auto" w:fill="auto"/>
            <w:vAlign w:val="center"/>
          </w:tcPr>
          <w:p w14:paraId="7BC17AAE">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总价</w:t>
            </w:r>
          </w:p>
        </w:tc>
        <w:tc>
          <w:tcPr>
            <w:tcW w:w="712" w:type="dxa"/>
            <w:shd w:val="clear" w:color="auto" w:fill="auto"/>
            <w:vAlign w:val="center"/>
          </w:tcPr>
          <w:p w14:paraId="47EB5C8F">
            <w:pPr>
              <w:widowControl/>
              <w:jc w:val="center"/>
              <w:rPr>
                <w:rFonts w:ascii="宋体" w:hAnsi="宋体" w:cs="宋体"/>
                <w:b/>
                <w:kern w:val="0"/>
                <w:sz w:val="18"/>
                <w:szCs w:val="18"/>
                <w:highlight w:val="none"/>
              </w:rPr>
            </w:pPr>
            <w:r>
              <w:rPr>
                <w:rFonts w:hint="eastAsia" w:ascii="宋体" w:hAnsi="宋体" w:cs="宋体"/>
                <w:b/>
                <w:kern w:val="0"/>
                <w:sz w:val="18"/>
                <w:szCs w:val="18"/>
                <w:highlight w:val="none"/>
              </w:rPr>
              <w:t>使用寿命（月）</w:t>
            </w:r>
          </w:p>
        </w:tc>
      </w:tr>
      <w:tr w14:paraId="0FCB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6" w:type="dxa"/>
            <w:shd w:val="clear" w:color="000000" w:fill="FFFFFF"/>
            <w:vAlign w:val="center"/>
          </w:tcPr>
          <w:p w14:paraId="242DE91E">
            <w:pPr>
              <w:widowControl/>
              <w:jc w:val="center"/>
              <w:rPr>
                <w:rFonts w:ascii="宋体" w:hAnsi="宋体" w:cs="宋体"/>
                <w:color w:val="000000"/>
                <w:kern w:val="0"/>
                <w:sz w:val="18"/>
                <w:szCs w:val="18"/>
                <w:highlight w:val="none"/>
              </w:rPr>
            </w:pPr>
          </w:p>
        </w:tc>
        <w:tc>
          <w:tcPr>
            <w:tcW w:w="667" w:type="dxa"/>
            <w:shd w:val="clear" w:color="000000" w:fill="FFFFFF"/>
            <w:vAlign w:val="center"/>
          </w:tcPr>
          <w:p w14:paraId="551AF6A8">
            <w:pPr>
              <w:widowControl/>
              <w:rPr>
                <w:rFonts w:ascii="Times New Roman" w:hAnsi="Times New Roman"/>
                <w:color w:val="000000"/>
                <w:kern w:val="0"/>
                <w:sz w:val="18"/>
                <w:szCs w:val="18"/>
                <w:highlight w:val="none"/>
              </w:rPr>
            </w:pPr>
          </w:p>
        </w:tc>
        <w:tc>
          <w:tcPr>
            <w:tcW w:w="993" w:type="dxa"/>
            <w:shd w:val="clear" w:color="000000" w:fill="FFFFFF"/>
            <w:vAlign w:val="center"/>
          </w:tcPr>
          <w:p w14:paraId="2A2BAD28">
            <w:pPr>
              <w:widowControl/>
              <w:jc w:val="left"/>
              <w:rPr>
                <w:rFonts w:ascii="微软雅黑" w:hAnsi="微软雅黑" w:eastAsia="微软雅黑" w:cs="宋体"/>
                <w:color w:val="000000"/>
                <w:kern w:val="0"/>
                <w:sz w:val="18"/>
                <w:szCs w:val="18"/>
                <w:highlight w:val="none"/>
              </w:rPr>
            </w:pPr>
          </w:p>
        </w:tc>
        <w:tc>
          <w:tcPr>
            <w:tcW w:w="1416" w:type="dxa"/>
            <w:shd w:val="clear" w:color="000000" w:fill="FFFFFF"/>
            <w:vAlign w:val="center"/>
          </w:tcPr>
          <w:p w14:paraId="2F44C49E">
            <w:pPr>
              <w:widowControl/>
              <w:jc w:val="left"/>
              <w:rPr>
                <w:rFonts w:ascii="Times New Roman" w:hAnsi="Times New Roman"/>
                <w:color w:val="000000"/>
                <w:kern w:val="0"/>
                <w:sz w:val="18"/>
                <w:szCs w:val="18"/>
                <w:highlight w:val="none"/>
              </w:rPr>
            </w:pPr>
          </w:p>
        </w:tc>
        <w:tc>
          <w:tcPr>
            <w:tcW w:w="709" w:type="dxa"/>
            <w:shd w:val="clear" w:color="000000" w:fill="FFFFFF"/>
            <w:vAlign w:val="center"/>
          </w:tcPr>
          <w:p w14:paraId="3C72522F">
            <w:pPr>
              <w:widowControl/>
              <w:jc w:val="center"/>
              <w:rPr>
                <w:rFonts w:ascii="微软雅黑" w:hAnsi="微软雅黑" w:eastAsia="微软雅黑" w:cs="宋体"/>
                <w:color w:val="000000"/>
                <w:kern w:val="0"/>
                <w:sz w:val="18"/>
                <w:szCs w:val="18"/>
                <w:highlight w:val="none"/>
              </w:rPr>
            </w:pPr>
          </w:p>
        </w:tc>
        <w:tc>
          <w:tcPr>
            <w:tcW w:w="567" w:type="dxa"/>
            <w:shd w:val="clear" w:color="000000" w:fill="FFFFFF"/>
            <w:vAlign w:val="center"/>
          </w:tcPr>
          <w:p w14:paraId="6777C2B8">
            <w:pPr>
              <w:widowControl/>
              <w:jc w:val="center"/>
              <w:rPr>
                <w:rFonts w:ascii="微软雅黑" w:hAnsi="微软雅黑" w:eastAsia="微软雅黑" w:cs="宋体"/>
                <w:color w:val="000000"/>
                <w:kern w:val="0"/>
                <w:sz w:val="18"/>
                <w:szCs w:val="18"/>
                <w:highlight w:val="none"/>
              </w:rPr>
            </w:pPr>
          </w:p>
        </w:tc>
        <w:tc>
          <w:tcPr>
            <w:tcW w:w="709" w:type="dxa"/>
            <w:shd w:val="clear" w:color="000000" w:fill="FFFFFF"/>
            <w:vAlign w:val="center"/>
          </w:tcPr>
          <w:p w14:paraId="06F6C32C">
            <w:pPr>
              <w:widowControl/>
              <w:jc w:val="left"/>
              <w:rPr>
                <w:rFonts w:ascii="微软雅黑" w:hAnsi="微软雅黑" w:eastAsia="微软雅黑" w:cs="宋体"/>
                <w:color w:val="000000"/>
                <w:kern w:val="0"/>
                <w:sz w:val="18"/>
                <w:szCs w:val="18"/>
                <w:highlight w:val="none"/>
              </w:rPr>
            </w:pPr>
          </w:p>
        </w:tc>
        <w:tc>
          <w:tcPr>
            <w:tcW w:w="708" w:type="dxa"/>
            <w:shd w:val="clear" w:color="000000" w:fill="FFFFFF"/>
            <w:vAlign w:val="center"/>
          </w:tcPr>
          <w:p w14:paraId="098C54C2">
            <w:pPr>
              <w:widowControl/>
              <w:jc w:val="center"/>
              <w:rPr>
                <w:rFonts w:ascii="微软雅黑" w:hAnsi="微软雅黑" w:eastAsia="微软雅黑" w:cs="宋体"/>
                <w:color w:val="000000"/>
                <w:kern w:val="0"/>
                <w:sz w:val="18"/>
                <w:szCs w:val="18"/>
                <w:highlight w:val="none"/>
              </w:rPr>
            </w:pPr>
          </w:p>
        </w:tc>
        <w:tc>
          <w:tcPr>
            <w:tcW w:w="709" w:type="dxa"/>
            <w:shd w:val="clear" w:color="000000" w:fill="FFFFFF"/>
            <w:vAlign w:val="center"/>
          </w:tcPr>
          <w:p w14:paraId="7A3A59BC">
            <w:pPr>
              <w:widowControl/>
              <w:jc w:val="right"/>
              <w:rPr>
                <w:rFonts w:ascii="Times New Roman" w:hAnsi="Times New Roman"/>
                <w:color w:val="000000"/>
                <w:kern w:val="0"/>
                <w:sz w:val="18"/>
                <w:szCs w:val="18"/>
                <w:highlight w:val="none"/>
              </w:rPr>
            </w:pPr>
          </w:p>
        </w:tc>
        <w:tc>
          <w:tcPr>
            <w:tcW w:w="709" w:type="dxa"/>
            <w:gridSpan w:val="2"/>
            <w:shd w:val="clear" w:color="000000" w:fill="FFFFFF"/>
            <w:vAlign w:val="center"/>
          </w:tcPr>
          <w:p w14:paraId="41D095C1">
            <w:pPr>
              <w:widowControl/>
              <w:jc w:val="right"/>
              <w:rPr>
                <w:rFonts w:ascii="Times New Roman" w:hAnsi="Times New Roman"/>
                <w:color w:val="000000"/>
                <w:kern w:val="0"/>
                <w:sz w:val="18"/>
                <w:szCs w:val="18"/>
                <w:highlight w:val="none"/>
              </w:rPr>
            </w:pPr>
          </w:p>
        </w:tc>
        <w:tc>
          <w:tcPr>
            <w:tcW w:w="712" w:type="dxa"/>
            <w:shd w:val="clear" w:color="000000" w:fill="FFFFFF"/>
            <w:vAlign w:val="center"/>
          </w:tcPr>
          <w:p w14:paraId="0DF96AEA">
            <w:pPr>
              <w:widowControl/>
              <w:jc w:val="center"/>
              <w:rPr>
                <w:rFonts w:ascii="Times New Roman" w:hAnsi="Times New Roman"/>
                <w:color w:val="000000"/>
                <w:kern w:val="0"/>
                <w:sz w:val="18"/>
                <w:szCs w:val="18"/>
                <w:highlight w:val="none"/>
              </w:rPr>
            </w:pPr>
          </w:p>
        </w:tc>
      </w:tr>
      <w:tr w14:paraId="48CC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76" w:type="dxa"/>
            <w:shd w:val="clear" w:color="000000" w:fill="FFFFFF"/>
            <w:vAlign w:val="center"/>
          </w:tcPr>
          <w:p w14:paraId="6DAE4B46">
            <w:pPr>
              <w:widowControl/>
              <w:jc w:val="center"/>
              <w:rPr>
                <w:rFonts w:ascii="Times New Roman" w:hAnsi="Times New Roman"/>
                <w:color w:val="000000"/>
                <w:kern w:val="0"/>
                <w:sz w:val="18"/>
                <w:szCs w:val="18"/>
                <w:highlight w:val="none"/>
              </w:rPr>
            </w:pPr>
          </w:p>
        </w:tc>
        <w:tc>
          <w:tcPr>
            <w:tcW w:w="667" w:type="dxa"/>
            <w:shd w:val="clear" w:color="000000" w:fill="FFFFFF"/>
            <w:vAlign w:val="center"/>
          </w:tcPr>
          <w:p w14:paraId="41F042F4">
            <w:pPr>
              <w:widowControl/>
              <w:rPr>
                <w:rFonts w:ascii="Times New Roman" w:hAnsi="Times New Roman"/>
                <w:color w:val="000000"/>
                <w:kern w:val="0"/>
                <w:sz w:val="18"/>
                <w:szCs w:val="18"/>
                <w:highlight w:val="none"/>
              </w:rPr>
            </w:pPr>
          </w:p>
        </w:tc>
        <w:tc>
          <w:tcPr>
            <w:tcW w:w="993" w:type="dxa"/>
            <w:shd w:val="clear" w:color="000000" w:fill="FFFFFF"/>
            <w:vAlign w:val="center"/>
          </w:tcPr>
          <w:p w14:paraId="762FC3A8">
            <w:pPr>
              <w:widowControl/>
              <w:jc w:val="left"/>
              <w:rPr>
                <w:rFonts w:ascii="微软雅黑" w:hAnsi="微软雅黑" w:eastAsia="微软雅黑" w:cs="宋体"/>
                <w:color w:val="000000"/>
                <w:kern w:val="0"/>
                <w:sz w:val="18"/>
                <w:szCs w:val="18"/>
                <w:highlight w:val="none"/>
              </w:rPr>
            </w:pPr>
          </w:p>
        </w:tc>
        <w:tc>
          <w:tcPr>
            <w:tcW w:w="1416" w:type="dxa"/>
            <w:shd w:val="clear" w:color="000000" w:fill="FFFFFF"/>
            <w:vAlign w:val="center"/>
          </w:tcPr>
          <w:p w14:paraId="72D1DD64">
            <w:pPr>
              <w:widowControl/>
              <w:jc w:val="left"/>
              <w:rPr>
                <w:rFonts w:ascii="Times New Roman" w:hAnsi="Times New Roman"/>
                <w:color w:val="000000"/>
                <w:kern w:val="0"/>
                <w:sz w:val="18"/>
                <w:szCs w:val="18"/>
                <w:highlight w:val="none"/>
              </w:rPr>
            </w:pPr>
          </w:p>
        </w:tc>
        <w:tc>
          <w:tcPr>
            <w:tcW w:w="709" w:type="dxa"/>
            <w:shd w:val="clear" w:color="000000" w:fill="FFFFFF"/>
            <w:vAlign w:val="center"/>
          </w:tcPr>
          <w:p w14:paraId="67352A56">
            <w:pPr>
              <w:widowControl/>
              <w:jc w:val="center"/>
              <w:rPr>
                <w:rFonts w:ascii="微软雅黑" w:hAnsi="微软雅黑" w:eastAsia="微软雅黑" w:cs="宋体"/>
                <w:color w:val="000000"/>
                <w:kern w:val="0"/>
                <w:sz w:val="18"/>
                <w:szCs w:val="18"/>
                <w:highlight w:val="none"/>
              </w:rPr>
            </w:pPr>
          </w:p>
        </w:tc>
        <w:tc>
          <w:tcPr>
            <w:tcW w:w="567" w:type="dxa"/>
            <w:shd w:val="clear" w:color="000000" w:fill="FFFFFF"/>
            <w:vAlign w:val="center"/>
          </w:tcPr>
          <w:p w14:paraId="3B54F411">
            <w:pPr>
              <w:widowControl/>
              <w:jc w:val="center"/>
              <w:rPr>
                <w:rFonts w:ascii="微软雅黑" w:hAnsi="微软雅黑" w:eastAsia="微软雅黑" w:cs="宋体"/>
                <w:color w:val="000000"/>
                <w:kern w:val="0"/>
                <w:sz w:val="18"/>
                <w:szCs w:val="18"/>
                <w:highlight w:val="none"/>
              </w:rPr>
            </w:pPr>
          </w:p>
        </w:tc>
        <w:tc>
          <w:tcPr>
            <w:tcW w:w="709" w:type="dxa"/>
            <w:shd w:val="clear" w:color="000000" w:fill="FFFFFF"/>
            <w:vAlign w:val="center"/>
          </w:tcPr>
          <w:p w14:paraId="064D84FE">
            <w:pPr>
              <w:widowControl/>
              <w:jc w:val="left"/>
              <w:rPr>
                <w:rFonts w:ascii="微软雅黑" w:hAnsi="微软雅黑" w:eastAsia="微软雅黑" w:cs="宋体"/>
                <w:color w:val="000000"/>
                <w:kern w:val="0"/>
                <w:sz w:val="18"/>
                <w:szCs w:val="18"/>
                <w:highlight w:val="none"/>
              </w:rPr>
            </w:pPr>
          </w:p>
        </w:tc>
        <w:tc>
          <w:tcPr>
            <w:tcW w:w="708" w:type="dxa"/>
            <w:shd w:val="clear" w:color="000000" w:fill="FFFFFF"/>
            <w:vAlign w:val="center"/>
          </w:tcPr>
          <w:p w14:paraId="60A7D279">
            <w:pPr>
              <w:widowControl/>
              <w:jc w:val="center"/>
              <w:rPr>
                <w:rFonts w:ascii="微软雅黑" w:hAnsi="微软雅黑" w:eastAsia="微软雅黑" w:cs="宋体"/>
                <w:color w:val="000000"/>
                <w:kern w:val="0"/>
                <w:sz w:val="18"/>
                <w:szCs w:val="18"/>
                <w:highlight w:val="none"/>
              </w:rPr>
            </w:pPr>
          </w:p>
        </w:tc>
        <w:tc>
          <w:tcPr>
            <w:tcW w:w="709" w:type="dxa"/>
            <w:shd w:val="clear" w:color="000000" w:fill="FFFFFF"/>
            <w:vAlign w:val="center"/>
          </w:tcPr>
          <w:p w14:paraId="0A0225C9">
            <w:pPr>
              <w:widowControl/>
              <w:jc w:val="right"/>
              <w:rPr>
                <w:rFonts w:ascii="Times New Roman" w:hAnsi="Times New Roman"/>
                <w:color w:val="000000"/>
                <w:kern w:val="0"/>
                <w:sz w:val="18"/>
                <w:szCs w:val="18"/>
                <w:highlight w:val="none"/>
              </w:rPr>
            </w:pPr>
          </w:p>
        </w:tc>
        <w:tc>
          <w:tcPr>
            <w:tcW w:w="709" w:type="dxa"/>
            <w:gridSpan w:val="2"/>
            <w:shd w:val="clear" w:color="000000" w:fill="FFFFFF"/>
            <w:vAlign w:val="center"/>
          </w:tcPr>
          <w:p w14:paraId="60F8B2A0">
            <w:pPr>
              <w:widowControl/>
              <w:jc w:val="right"/>
              <w:rPr>
                <w:rFonts w:ascii="Times New Roman" w:hAnsi="Times New Roman"/>
                <w:color w:val="000000"/>
                <w:kern w:val="0"/>
                <w:sz w:val="18"/>
                <w:szCs w:val="18"/>
                <w:highlight w:val="none"/>
              </w:rPr>
            </w:pPr>
          </w:p>
        </w:tc>
        <w:tc>
          <w:tcPr>
            <w:tcW w:w="712" w:type="dxa"/>
            <w:shd w:val="clear" w:color="000000" w:fill="FFFFFF"/>
            <w:vAlign w:val="center"/>
          </w:tcPr>
          <w:p w14:paraId="17B385FA">
            <w:pPr>
              <w:widowControl/>
              <w:jc w:val="center"/>
              <w:rPr>
                <w:rFonts w:ascii="Times New Roman" w:hAnsi="Times New Roman"/>
                <w:color w:val="000000"/>
                <w:kern w:val="0"/>
                <w:sz w:val="18"/>
                <w:szCs w:val="18"/>
                <w:highlight w:val="none"/>
              </w:rPr>
            </w:pPr>
          </w:p>
        </w:tc>
      </w:tr>
      <w:tr w14:paraId="5780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76" w:type="dxa"/>
            <w:shd w:val="clear" w:color="000000" w:fill="FFFFFF"/>
            <w:vAlign w:val="center"/>
          </w:tcPr>
          <w:p w14:paraId="5DE6F930">
            <w:pPr>
              <w:widowControl/>
              <w:jc w:val="center"/>
              <w:rPr>
                <w:rFonts w:ascii="宋体" w:hAnsi="宋体" w:cs="宋体"/>
                <w:color w:val="000000"/>
                <w:kern w:val="0"/>
                <w:sz w:val="18"/>
                <w:szCs w:val="18"/>
                <w:highlight w:val="none"/>
              </w:rPr>
            </w:pPr>
          </w:p>
        </w:tc>
        <w:tc>
          <w:tcPr>
            <w:tcW w:w="667" w:type="dxa"/>
            <w:shd w:val="clear" w:color="000000" w:fill="FFFFFF"/>
            <w:vAlign w:val="center"/>
          </w:tcPr>
          <w:p w14:paraId="5016C392">
            <w:pPr>
              <w:widowControl/>
              <w:rPr>
                <w:rFonts w:ascii="Times New Roman" w:hAnsi="Times New Roman"/>
                <w:color w:val="000000"/>
                <w:kern w:val="0"/>
                <w:sz w:val="18"/>
                <w:szCs w:val="18"/>
                <w:highlight w:val="none"/>
              </w:rPr>
            </w:pPr>
          </w:p>
        </w:tc>
        <w:tc>
          <w:tcPr>
            <w:tcW w:w="993" w:type="dxa"/>
            <w:shd w:val="clear" w:color="000000" w:fill="FFFFFF"/>
            <w:vAlign w:val="center"/>
          </w:tcPr>
          <w:p w14:paraId="097A2169">
            <w:pPr>
              <w:widowControl/>
              <w:jc w:val="left"/>
              <w:rPr>
                <w:rFonts w:ascii="微软雅黑" w:hAnsi="微软雅黑" w:eastAsia="微软雅黑" w:cs="宋体"/>
                <w:color w:val="000000"/>
                <w:kern w:val="0"/>
                <w:sz w:val="18"/>
                <w:szCs w:val="18"/>
                <w:highlight w:val="none"/>
              </w:rPr>
            </w:pPr>
          </w:p>
        </w:tc>
        <w:tc>
          <w:tcPr>
            <w:tcW w:w="1416" w:type="dxa"/>
            <w:shd w:val="clear" w:color="000000" w:fill="FFFFFF"/>
            <w:vAlign w:val="center"/>
          </w:tcPr>
          <w:p w14:paraId="5BE27337">
            <w:pPr>
              <w:widowControl/>
              <w:jc w:val="left"/>
              <w:rPr>
                <w:rFonts w:ascii="Times New Roman" w:hAnsi="Times New Roman"/>
                <w:color w:val="000000"/>
                <w:kern w:val="0"/>
                <w:sz w:val="18"/>
                <w:szCs w:val="18"/>
                <w:highlight w:val="none"/>
              </w:rPr>
            </w:pPr>
          </w:p>
        </w:tc>
        <w:tc>
          <w:tcPr>
            <w:tcW w:w="709" w:type="dxa"/>
            <w:shd w:val="clear" w:color="000000" w:fill="FFFFFF"/>
            <w:vAlign w:val="center"/>
          </w:tcPr>
          <w:p w14:paraId="6FFE8B7A">
            <w:pPr>
              <w:widowControl/>
              <w:jc w:val="center"/>
              <w:rPr>
                <w:rFonts w:ascii="微软雅黑" w:hAnsi="微软雅黑" w:eastAsia="微软雅黑" w:cs="宋体"/>
                <w:color w:val="000000"/>
                <w:kern w:val="0"/>
                <w:sz w:val="18"/>
                <w:szCs w:val="18"/>
                <w:highlight w:val="none"/>
              </w:rPr>
            </w:pPr>
          </w:p>
        </w:tc>
        <w:tc>
          <w:tcPr>
            <w:tcW w:w="567" w:type="dxa"/>
            <w:shd w:val="clear" w:color="000000" w:fill="FFFFFF"/>
            <w:vAlign w:val="center"/>
          </w:tcPr>
          <w:p w14:paraId="07350347">
            <w:pPr>
              <w:widowControl/>
              <w:jc w:val="center"/>
              <w:rPr>
                <w:rFonts w:ascii="微软雅黑" w:hAnsi="微软雅黑" w:eastAsia="微软雅黑" w:cs="宋体"/>
                <w:color w:val="000000"/>
                <w:kern w:val="0"/>
                <w:sz w:val="18"/>
                <w:szCs w:val="18"/>
                <w:highlight w:val="none"/>
              </w:rPr>
            </w:pPr>
          </w:p>
        </w:tc>
        <w:tc>
          <w:tcPr>
            <w:tcW w:w="709" w:type="dxa"/>
            <w:shd w:val="clear" w:color="000000" w:fill="FFFFFF"/>
            <w:vAlign w:val="center"/>
          </w:tcPr>
          <w:p w14:paraId="05C6F49A">
            <w:pPr>
              <w:widowControl/>
              <w:jc w:val="left"/>
              <w:rPr>
                <w:rFonts w:ascii="微软雅黑" w:hAnsi="微软雅黑" w:eastAsia="微软雅黑" w:cs="宋体"/>
                <w:color w:val="000000"/>
                <w:kern w:val="0"/>
                <w:sz w:val="18"/>
                <w:szCs w:val="18"/>
                <w:highlight w:val="none"/>
              </w:rPr>
            </w:pPr>
          </w:p>
        </w:tc>
        <w:tc>
          <w:tcPr>
            <w:tcW w:w="708" w:type="dxa"/>
            <w:shd w:val="clear" w:color="000000" w:fill="FFFFFF"/>
            <w:vAlign w:val="center"/>
          </w:tcPr>
          <w:p w14:paraId="6B98B4E5">
            <w:pPr>
              <w:widowControl/>
              <w:jc w:val="center"/>
              <w:rPr>
                <w:rFonts w:ascii="微软雅黑" w:hAnsi="微软雅黑" w:eastAsia="微软雅黑" w:cs="宋体"/>
                <w:color w:val="000000"/>
                <w:kern w:val="0"/>
                <w:sz w:val="18"/>
                <w:szCs w:val="18"/>
                <w:highlight w:val="none"/>
              </w:rPr>
            </w:pPr>
          </w:p>
        </w:tc>
        <w:tc>
          <w:tcPr>
            <w:tcW w:w="709" w:type="dxa"/>
            <w:shd w:val="clear" w:color="000000" w:fill="FFFFFF"/>
            <w:vAlign w:val="center"/>
          </w:tcPr>
          <w:p w14:paraId="119A62A1">
            <w:pPr>
              <w:widowControl/>
              <w:jc w:val="right"/>
              <w:rPr>
                <w:rFonts w:ascii="Times New Roman" w:hAnsi="Times New Roman"/>
                <w:color w:val="000000"/>
                <w:kern w:val="0"/>
                <w:sz w:val="18"/>
                <w:szCs w:val="18"/>
                <w:highlight w:val="none"/>
              </w:rPr>
            </w:pPr>
          </w:p>
        </w:tc>
        <w:tc>
          <w:tcPr>
            <w:tcW w:w="709" w:type="dxa"/>
            <w:gridSpan w:val="2"/>
            <w:shd w:val="clear" w:color="000000" w:fill="FFFFFF"/>
            <w:vAlign w:val="center"/>
          </w:tcPr>
          <w:p w14:paraId="4CD22292">
            <w:pPr>
              <w:widowControl/>
              <w:jc w:val="right"/>
              <w:rPr>
                <w:rFonts w:ascii="Times New Roman" w:hAnsi="Times New Roman"/>
                <w:color w:val="000000"/>
                <w:kern w:val="0"/>
                <w:sz w:val="18"/>
                <w:szCs w:val="18"/>
                <w:highlight w:val="none"/>
              </w:rPr>
            </w:pPr>
          </w:p>
        </w:tc>
        <w:tc>
          <w:tcPr>
            <w:tcW w:w="712" w:type="dxa"/>
            <w:shd w:val="clear" w:color="000000" w:fill="FFFFFF"/>
            <w:vAlign w:val="center"/>
          </w:tcPr>
          <w:p w14:paraId="05727EDA">
            <w:pPr>
              <w:widowControl/>
              <w:jc w:val="center"/>
              <w:rPr>
                <w:rFonts w:ascii="Times New Roman" w:hAnsi="Times New Roman"/>
                <w:color w:val="000000"/>
                <w:kern w:val="0"/>
                <w:sz w:val="18"/>
                <w:szCs w:val="18"/>
                <w:highlight w:val="none"/>
              </w:rPr>
            </w:pPr>
          </w:p>
        </w:tc>
      </w:tr>
      <w:tr w14:paraId="32BA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375" w:type="dxa"/>
            <w:gridSpan w:val="12"/>
            <w:shd w:val="clear" w:color="auto" w:fill="auto"/>
            <w:vAlign w:val="center"/>
          </w:tcPr>
          <w:p w14:paraId="45A9259F">
            <w:pPr>
              <w:widowControl/>
              <w:jc w:val="left"/>
              <w:rPr>
                <w:rFonts w:ascii="宋体" w:hAnsi="宋体" w:cs="宋体"/>
                <w:color w:val="auto"/>
                <w:kern w:val="0"/>
                <w:sz w:val="18"/>
                <w:szCs w:val="18"/>
                <w:highlight w:val="none"/>
              </w:rPr>
            </w:pPr>
            <w:r>
              <w:rPr>
                <w:rFonts w:hint="eastAsia" w:ascii="宋体" w:hAnsi="宋体" w:cs="宋体"/>
                <w:b/>
                <w:bCs/>
                <w:color w:val="auto"/>
                <w:kern w:val="0"/>
                <w:sz w:val="18"/>
                <w:szCs w:val="18"/>
                <w:highlight w:val="none"/>
              </w:rPr>
              <w:t>备注：</w:t>
            </w:r>
            <w:r>
              <w:rPr>
                <w:rFonts w:hint="eastAsia" w:ascii="宋体" w:hAnsi="宋体" w:cs="宋体"/>
                <w:color w:val="auto"/>
                <w:kern w:val="0"/>
                <w:sz w:val="18"/>
                <w:szCs w:val="18"/>
                <w:highlight w:val="none"/>
              </w:rPr>
              <w:t>1、上述价格为含税包干固定单价。若合同执行期间国家税率政策调整，保持不含税价格不变，含税价格随之调整。2、供货时间、数量如有调整，以需方书面通知为准。</w:t>
            </w:r>
          </w:p>
          <w:p w14:paraId="19386B4E">
            <w:pPr>
              <w:widowControl/>
              <w:jc w:val="left"/>
              <w:rPr>
                <w:color w:val="auto"/>
                <w:sz w:val="18"/>
                <w:szCs w:val="18"/>
                <w:highlight w:val="none"/>
              </w:rPr>
            </w:pPr>
            <w:r>
              <w:rPr>
                <w:rFonts w:hint="eastAsia"/>
                <w:color w:val="auto"/>
                <w:sz w:val="18"/>
                <w:szCs w:val="18"/>
                <w:highlight w:val="none"/>
              </w:rPr>
              <w:t>3、需方检验合格后方为入库交货。</w:t>
            </w:r>
          </w:p>
          <w:p w14:paraId="406DDB1C">
            <w:pPr>
              <w:widowControl/>
              <w:jc w:val="left"/>
              <w:rPr>
                <w:rFonts w:hint="eastAsia"/>
                <w:color w:val="auto"/>
                <w:sz w:val="18"/>
                <w:szCs w:val="18"/>
                <w:highlight w:val="none"/>
              </w:rPr>
            </w:pPr>
            <w:r>
              <w:rPr>
                <w:rFonts w:hint="eastAsia"/>
                <w:color w:val="auto"/>
                <w:sz w:val="18"/>
                <w:szCs w:val="18"/>
                <w:highlight w:val="none"/>
              </w:rPr>
              <w:t>4、如采购物品较多，可附采购清单为本合同附件（如有，详见附件</w:t>
            </w:r>
            <w:r>
              <w:rPr>
                <w:rFonts w:hint="eastAsia"/>
                <w:color w:val="auto"/>
                <w:sz w:val="18"/>
                <w:szCs w:val="18"/>
                <w:highlight w:val="none"/>
                <w:u w:val="single"/>
              </w:rPr>
              <w:t xml:space="preserve">     </w:t>
            </w:r>
            <w:r>
              <w:rPr>
                <w:rFonts w:hint="eastAsia"/>
                <w:color w:val="auto"/>
                <w:sz w:val="18"/>
                <w:szCs w:val="18"/>
                <w:highlight w:val="none"/>
              </w:rPr>
              <w:t>）。</w:t>
            </w:r>
          </w:p>
          <w:p w14:paraId="495B72F5">
            <w:pPr>
              <w:widowControl/>
              <w:jc w:val="left"/>
              <w:rPr>
                <w:rFonts w:hint="eastAsia"/>
                <w:color w:val="auto"/>
                <w:sz w:val="18"/>
                <w:szCs w:val="18"/>
                <w:highlight w:val="none"/>
              </w:rPr>
            </w:pPr>
            <w:r>
              <w:rPr>
                <w:rFonts w:hint="eastAsia"/>
                <w:b/>
                <w:bCs/>
                <w:color w:val="auto"/>
                <w:sz w:val="18"/>
                <w:szCs w:val="18"/>
                <w:highlight w:val="none"/>
                <w:lang w:val="en-US" w:eastAsia="zh-CN"/>
              </w:rPr>
              <w:t>5、</w:t>
            </w:r>
            <w:r>
              <w:rPr>
                <w:rFonts w:hint="eastAsia"/>
                <w:color w:val="auto"/>
                <w:sz w:val="18"/>
                <w:szCs w:val="18"/>
                <w:highlight w:val="none"/>
                <w:lang w:val="en-US" w:eastAsia="zh-CN"/>
              </w:rPr>
              <w:t>税额：</w:t>
            </w:r>
            <w:r>
              <w:rPr>
                <w:rFonts w:hint="eastAsia"/>
                <w:color w:val="auto"/>
                <w:sz w:val="18"/>
                <w:szCs w:val="18"/>
                <w:highlight w:val="none"/>
                <w:u w:val="single"/>
                <w:lang w:val="en-US" w:eastAsia="zh-CN"/>
              </w:rPr>
              <w:t xml:space="preserve">      </w:t>
            </w:r>
            <w:r>
              <w:rPr>
                <w:rFonts w:hint="eastAsia"/>
                <w:color w:val="auto"/>
                <w:sz w:val="18"/>
                <w:szCs w:val="18"/>
                <w:highlight w:val="none"/>
                <w:lang w:val="en-US" w:eastAsia="zh-CN"/>
              </w:rPr>
              <w:t>元。</w:t>
            </w:r>
          </w:p>
        </w:tc>
      </w:tr>
    </w:tbl>
    <w:p w14:paraId="7FD81D3C">
      <w:pPr>
        <w:rPr>
          <w:color w:val="auto"/>
          <w:sz w:val="18"/>
          <w:szCs w:val="18"/>
          <w:highlight w:val="none"/>
        </w:rPr>
      </w:pPr>
      <w:r>
        <w:rPr>
          <w:rFonts w:hint="eastAsia"/>
          <w:b/>
          <w:bCs/>
          <w:color w:val="auto"/>
          <w:sz w:val="18"/>
          <w:szCs w:val="18"/>
          <w:highlight w:val="none"/>
        </w:rPr>
        <w:t>二、质量要求：</w:t>
      </w:r>
      <w:r>
        <w:rPr>
          <w:rFonts w:hint="eastAsia"/>
          <w:color w:val="auto"/>
          <w:sz w:val="18"/>
          <w:szCs w:val="18"/>
          <w:highlight w:val="none"/>
          <w:u w:val="single"/>
        </w:rPr>
        <w:t xml:space="preserve">                                                                  </w:t>
      </w:r>
      <w:r>
        <w:rPr>
          <w:rFonts w:hint="eastAsia"/>
          <w:color w:val="auto"/>
          <w:sz w:val="18"/>
          <w:szCs w:val="18"/>
          <w:highlight w:val="none"/>
        </w:rPr>
        <w:t>，详见需方图纸、技术协议（如有，详见附件</w:t>
      </w:r>
      <w:r>
        <w:rPr>
          <w:rFonts w:hint="eastAsia"/>
          <w:color w:val="auto"/>
          <w:sz w:val="18"/>
          <w:szCs w:val="18"/>
          <w:highlight w:val="none"/>
          <w:u w:val="single"/>
        </w:rPr>
        <w:t xml:space="preserve">   </w:t>
      </w:r>
      <w:r>
        <w:rPr>
          <w:rFonts w:hint="eastAsia"/>
          <w:color w:val="auto"/>
          <w:sz w:val="18"/>
          <w:szCs w:val="18"/>
          <w:highlight w:val="none"/>
        </w:rPr>
        <w:t xml:space="preserve">）；如执行标准不明，执行国家、行业相关标准；如存在多重标准，以对供方最严格标准为准。 </w:t>
      </w:r>
    </w:p>
    <w:p w14:paraId="246F8211">
      <w:pPr>
        <w:rPr>
          <w:bCs/>
          <w:color w:val="auto"/>
          <w:sz w:val="18"/>
          <w:szCs w:val="18"/>
          <w:highlight w:val="none"/>
        </w:rPr>
      </w:pPr>
      <w:r>
        <w:rPr>
          <w:rFonts w:hint="eastAsia"/>
          <w:b/>
          <w:bCs/>
          <w:color w:val="auto"/>
          <w:sz w:val="18"/>
          <w:szCs w:val="18"/>
          <w:highlight w:val="none"/>
        </w:rPr>
        <w:t>三、包装标准、包装物的供应与回收：</w:t>
      </w:r>
      <w:r>
        <w:rPr>
          <w:rFonts w:hint="eastAsia"/>
          <w:bCs/>
          <w:color w:val="auto"/>
          <w:sz w:val="18"/>
          <w:szCs w:val="18"/>
          <w:highlight w:val="none"/>
        </w:rPr>
        <w:t>按需方要求包装，包装标准须符合合同目的和国家安全、环保方面的规定，由供方无偿</w:t>
      </w:r>
      <w:r>
        <w:rPr>
          <w:rFonts w:hint="eastAsia"/>
          <w:bCs/>
          <w:color w:val="auto"/>
          <w:sz w:val="18"/>
          <w:szCs w:val="18"/>
          <w:highlight w:val="none"/>
          <w:u w:val="single"/>
        </w:rPr>
        <w:t>提供与回收</w:t>
      </w:r>
      <w:r>
        <w:rPr>
          <w:rFonts w:hint="eastAsia"/>
          <w:bCs/>
          <w:color w:val="auto"/>
          <w:sz w:val="18"/>
          <w:szCs w:val="18"/>
          <w:highlight w:val="none"/>
        </w:rPr>
        <w:t>。</w:t>
      </w:r>
    </w:p>
    <w:p w14:paraId="25A62D67">
      <w:pPr>
        <w:rPr>
          <w:bCs/>
          <w:color w:val="auto"/>
          <w:sz w:val="18"/>
          <w:szCs w:val="18"/>
          <w:highlight w:val="none"/>
        </w:rPr>
      </w:pPr>
      <w:r>
        <w:rPr>
          <w:rFonts w:hint="eastAsia"/>
          <w:b/>
          <w:bCs/>
          <w:color w:val="auto"/>
          <w:sz w:val="18"/>
          <w:szCs w:val="18"/>
          <w:highlight w:val="none"/>
        </w:rPr>
        <w:t>四、随机必备品、配料、工具数量及相关资料：</w:t>
      </w:r>
      <w:r>
        <w:rPr>
          <w:rFonts w:hint="eastAsia"/>
          <w:bCs/>
          <w:color w:val="auto"/>
          <w:sz w:val="18"/>
          <w:szCs w:val="18"/>
          <w:highlight w:val="none"/>
          <w:u w:val="single"/>
        </w:rPr>
        <w:t xml:space="preserve">                        </w:t>
      </w:r>
      <w:r>
        <w:rPr>
          <w:rFonts w:hint="eastAsia"/>
          <w:bCs/>
          <w:color w:val="auto"/>
          <w:sz w:val="18"/>
          <w:szCs w:val="18"/>
          <w:highlight w:val="none"/>
          <w:u w:val="none"/>
        </w:rPr>
        <w:t>，详见附件</w:t>
      </w:r>
      <w:r>
        <w:rPr>
          <w:rFonts w:hint="eastAsia"/>
          <w:bCs/>
          <w:color w:val="auto"/>
          <w:sz w:val="18"/>
          <w:szCs w:val="18"/>
          <w:highlight w:val="none"/>
          <w:u w:val="single"/>
        </w:rPr>
        <w:t>（  ）</w:t>
      </w:r>
      <w:r>
        <w:rPr>
          <w:rFonts w:hint="eastAsia"/>
          <w:bCs/>
          <w:color w:val="auto"/>
          <w:sz w:val="18"/>
          <w:szCs w:val="18"/>
          <w:highlight w:val="none"/>
        </w:rPr>
        <w:t>。供方交货时需提供产品</w:t>
      </w:r>
      <w:r>
        <w:rPr>
          <w:rFonts w:hint="eastAsia"/>
          <w:bCs/>
          <w:color w:val="auto"/>
          <w:sz w:val="18"/>
          <w:szCs w:val="18"/>
          <w:highlight w:val="none"/>
          <w:u w:val="single"/>
        </w:rPr>
        <w:t>出厂报告、合格证、质保书、测量设备须有具备检测资质机构的检测报告</w:t>
      </w:r>
      <w:r>
        <w:rPr>
          <w:rFonts w:hint="eastAsia"/>
          <w:bCs/>
          <w:color w:val="auto"/>
          <w:sz w:val="18"/>
          <w:szCs w:val="18"/>
          <w:highlight w:val="none"/>
        </w:rPr>
        <w:t>等文件。</w:t>
      </w:r>
      <w:r>
        <w:rPr>
          <w:rFonts w:hint="eastAsia"/>
          <w:bCs/>
          <w:color w:val="auto"/>
          <w:sz w:val="18"/>
          <w:szCs w:val="18"/>
          <w:highlight w:val="none"/>
          <w:lang w:val="en-US" w:eastAsia="zh-CN"/>
        </w:rPr>
        <w:t>同时提供设备、备件的二维码标签：大型设备的二维码标签直接固定在设备本体上，其他备件的二维码标签随备件同时交付。</w:t>
      </w:r>
    </w:p>
    <w:p w14:paraId="6C00DA1E">
      <w:pPr>
        <w:rPr>
          <w:color w:val="auto"/>
          <w:sz w:val="18"/>
          <w:szCs w:val="18"/>
          <w:highlight w:val="none"/>
        </w:rPr>
      </w:pPr>
      <w:r>
        <w:rPr>
          <w:rFonts w:hint="eastAsia"/>
          <w:b/>
          <w:bCs/>
          <w:color w:val="auto"/>
          <w:sz w:val="18"/>
          <w:szCs w:val="18"/>
          <w:highlight w:val="none"/>
        </w:rPr>
        <w:t>五、所有权与风险责任：</w:t>
      </w:r>
      <w:r>
        <w:rPr>
          <w:rFonts w:hint="eastAsia"/>
          <w:color w:val="auto"/>
          <w:sz w:val="18"/>
          <w:szCs w:val="18"/>
          <w:highlight w:val="none"/>
        </w:rPr>
        <w:t>标的物所有权自交货时起转移给需方。交货前的风险责任由供方承担。</w:t>
      </w:r>
    </w:p>
    <w:p w14:paraId="2356EE35">
      <w:pPr>
        <w:rPr>
          <w:sz w:val="18"/>
          <w:szCs w:val="18"/>
          <w:highlight w:val="none"/>
        </w:rPr>
      </w:pPr>
      <w:r>
        <w:rPr>
          <w:rFonts w:hint="eastAsia"/>
          <w:b/>
          <w:bCs/>
          <w:color w:val="auto"/>
          <w:sz w:val="18"/>
          <w:szCs w:val="18"/>
          <w:highlight w:val="none"/>
        </w:rPr>
        <w:t>六、交货地点、运输方式及费用负担：</w:t>
      </w:r>
      <w:r>
        <w:rPr>
          <w:rFonts w:hint="eastAsia"/>
          <w:color w:val="auto"/>
          <w:sz w:val="18"/>
          <w:szCs w:val="18"/>
          <w:highlight w:val="none"/>
        </w:rPr>
        <w:t>交货地点为</w:t>
      </w:r>
      <w:r>
        <w:rPr>
          <w:rFonts w:hint="eastAsia"/>
          <w:color w:val="auto"/>
          <w:sz w:val="18"/>
          <w:szCs w:val="18"/>
          <w:highlight w:val="none"/>
          <w:u w:val="single"/>
        </w:rPr>
        <w:t xml:space="preserve"> 需方指定地点</w:t>
      </w:r>
      <w:r>
        <w:rPr>
          <w:rFonts w:hint="eastAsia"/>
          <w:color w:val="auto"/>
          <w:sz w:val="18"/>
          <w:szCs w:val="18"/>
          <w:highlight w:val="none"/>
        </w:rPr>
        <w:t>，供方根据需方要求办理</w:t>
      </w:r>
      <w:r>
        <w:rPr>
          <w:rFonts w:hint="eastAsia"/>
          <w:color w:val="auto"/>
          <w:sz w:val="18"/>
          <w:szCs w:val="18"/>
          <w:highlight w:val="none"/>
          <w:u w:val="single"/>
        </w:rPr>
        <w:t xml:space="preserve"> </w:t>
      </w:r>
      <w:r>
        <w:rPr>
          <w:rFonts w:hint="eastAsia"/>
          <w:color w:val="auto"/>
          <w:sz w:val="18"/>
          <w:szCs w:val="18"/>
          <w:highlight w:val="none"/>
          <w:u w:val="single"/>
          <w:lang w:val="en-US" w:eastAsia="zh-CN"/>
        </w:rPr>
        <w:t>汽车</w:t>
      </w:r>
      <w:r>
        <w:rPr>
          <w:rFonts w:hint="eastAsia"/>
          <w:color w:val="auto"/>
          <w:sz w:val="18"/>
          <w:szCs w:val="18"/>
          <w:highlight w:val="none"/>
        </w:rPr>
        <w:t>运</w:t>
      </w:r>
      <w:r>
        <w:rPr>
          <w:rFonts w:hint="eastAsia"/>
          <w:sz w:val="18"/>
          <w:szCs w:val="18"/>
          <w:highlight w:val="none"/>
        </w:rPr>
        <w:t>输方式。</w:t>
      </w:r>
      <w:r>
        <w:rPr>
          <w:rFonts w:ascii="Arial" w:hAnsi="Arial" w:eastAsia="宋体" w:cs="Arial"/>
          <w:i w:val="0"/>
          <w:iCs w:val="0"/>
          <w:caps w:val="0"/>
          <w:color w:val="333333"/>
          <w:spacing w:val="0"/>
          <w:sz w:val="19"/>
          <w:szCs w:val="19"/>
          <w:highlight w:val="none"/>
          <w:shd w:val="clear" w:fill="FFFFFF"/>
        </w:rPr>
        <w:t>（如是汽车必须是国六或新能源汽车）。一切运杂费均由供方承担。供方货物发运前须将货物品名、运输车船号、驾驶员姓名及联系方式、重量、预计到货时间提前告知需方，以便需方及时收货与验收。货到南钢仓库前的卸理货由供方负责。货到南钢仓库的卸理货由需方负责，供方配合。</w:t>
      </w:r>
    </w:p>
    <w:p w14:paraId="2A379F0E">
      <w:pPr>
        <w:rPr>
          <w:rFonts w:hint="eastAsia" w:eastAsia="宋体"/>
          <w:color w:val="auto"/>
          <w:sz w:val="18"/>
          <w:szCs w:val="18"/>
          <w:highlight w:val="none"/>
          <w:u w:val="none"/>
          <w:lang w:eastAsia="zh-CN"/>
        </w:rPr>
      </w:pPr>
      <w:r>
        <w:rPr>
          <w:rFonts w:hint="eastAsia"/>
          <w:b/>
          <w:color w:val="auto"/>
          <w:sz w:val="18"/>
          <w:szCs w:val="18"/>
          <w:highlight w:val="none"/>
        </w:rPr>
        <w:t>七、成套设备的安装和调试：</w:t>
      </w:r>
      <w:r>
        <w:rPr>
          <w:rFonts w:hint="eastAsia"/>
          <w:color w:val="auto"/>
          <w:sz w:val="18"/>
          <w:szCs w:val="18"/>
          <w:highlight w:val="none"/>
          <w:u w:val="single"/>
        </w:rPr>
        <w:t>由供方负责免费指导安装调试</w:t>
      </w:r>
      <w:r>
        <w:rPr>
          <w:rFonts w:hint="eastAsia"/>
          <w:color w:val="auto"/>
          <w:sz w:val="18"/>
          <w:szCs w:val="18"/>
          <w:highlight w:val="none"/>
          <w:u w:val="none"/>
          <w:lang w:eastAsia="zh-CN"/>
        </w:rPr>
        <w:t>。</w:t>
      </w:r>
    </w:p>
    <w:p w14:paraId="09C86F05">
      <w:pPr>
        <w:rPr>
          <w:bCs/>
          <w:color w:val="auto"/>
          <w:sz w:val="18"/>
          <w:szCs w:val="18"/>
          <w:highlight w:val="none"/>
        </w:rPr>
      </w:pPr>
      <w:r>
        <w:rPr>
          <w:rFonts w:hint="eastAsia"/>
          <w:b/>
          <w:bCs/>
          <w:color w:val="auto"/>
          <w:sz w:val="18"/>
          <w:szCs w:val="18"/>
          <w:highlight w:val="none"/>
        </w:rPr>
        <w:t>八、验收标准、方法、地点及期限：</w:t>
      </w:r>
      <w:r>
        <w:rPr>
          <w:rFonts w:ascii="Arial" w:hAnsi="Arial" w:eastAsia="宋体" w:cs="Arial"/>
          <w:i w:val="0"/>
          <w:iCs w:val="0"/>
          <w:caps w:val="0"/>
          <w:color w:val="auto"/>
          <w:spacing w:val="0"/>
          <w:sz w:val="19"/>
          <w:szCs w:val="19"/>
          <w:highlight w:val="none"/>
          <w:shd w:val="clear" w:fill="FFFFFF"/>
        </w:rPr>
        <w:t>货到需方指定地点，需方按照合同约定的产品名称、规格型号、厂家/品牌、数量、外观、随机资料等进行验收，需方有权委托具备资质的检测机构对所供产品进行检测，如供方对检测结果有异议，应在收到需方通知后三个工作日内向需方提出复检，逾期视为供方认可需方检测结果，复检由双方共同协商确定。但以上验收及检测并不意味着需方已对供方产品质量最终认可，在产品使用寿命期内出现的质量问题，需方仍可对货物提出质量异议。</w:t>
      </w:r>
    </w:p>
    <w:p w14:paraId="1E10424E">
      <w:pPr>
        <w:rPr>
          <w:color w:val="auto"/>
          <w:sz w:val="18"/>
          <w:szCs w:val="18"/>
          <w:highlight w:val="none"/>
        </w:rPr>
      </w:pPr>
      <w:r>
        <w:rPr>
          <w:rFonts w:hint="eastAsia"/>
          <w:b/>
          <w:color w:val="auto"/>
          <w:sz w:val="18"/>
          <w:szCs w:val="18"/>
          <w:highlight w:val="none"/>
        </w:rPr>
        <w:t>九、质保条款：</w:t>
      </w:r>
      <w:r>
        <w:rPr>
          <w:rFonts w:hint="eastAsia"/>
          <w:color w:val="auto"/>
          <w:sz w:val="18"/>
          <w:szCs w:val="18"/>
          <w:highlight w:val="none"/>
        </w:rPr>
        <w:t>合同金额的</w:t>
      </w:r>
      <w:r>
        <w:rPr>
          <w:rFonts w:hint="eastAsia"/>
          <w:color w:val="auto"/>
          <w:sz w:val="18"/>
          <w:szCs w:val="18"/>
          <w:highlight w:val="none"/>
          <w:u w:val="single"/>
        </w:rPr>
        <w:t xml:space="preserve">  </w:t>
      </w:r>
      <w:r>
        <w:rPr>
          <w:rFonts w:hint="eastAsia"/>
          <w:color w:val="auto"/>
          <w:sz w:val="18"/>
          <w:szCs w:val="18"/>
          <w:highlight w:val="none"/>
          <w:u w:val="single"/>
          <w:lang w:val="en-US" w:eastAsia="zh-CN"/>
        </w:rPr>
        <w:t>1</w:t>
      </w:r>
      <w:r>
        <w:rPr>
          <w:color w:val="auto"/>
          <w:sz w:val="18"/>
          <w:szCs w:val="18"/>
          <w:highlight w:val="none"/>
          <w:u w:val="single"/>
        </w:rPr>
        <w:t>0</w:t>
      </w:r>
      <w:r>
        <w:rPr>
          <w:rFonts w:hint="eastAsia"/>
          <w:color w:val="auto"/>
          <w:sz w:val="18"/>
          <w:szCs w:val="18"/>
          <w:highlight w:val="none"/>
          <w:u w:val="single"/>
        </w:rPr>
        <w:t xml:space="preserve">  </w:t>
      </w:r>
      <w:r>
        <w:rPr>
          <w:rFonts w:hint="eastAsia"/>
          <w:color w:val="auto"/>
          <w:sz w:val="18"/>
          <w:szCs w:val="18"/>
          <w:highlight w:val="none"/>
        </w:rPr>
        <w:t>%作为质保金（无息），质保期计算方式：从设备投入使用之日起</w:t>
      </w:r>
      <w:r>
        <w:rPr>
          <w:rFonts w:hint="eastAsia"/>
          <w:color w:val="auto"/>
          <w:sz w:val="18"/>
          <w:szCs w:val="18"/>
          <w:highlight w:val="none"/>
          <w:u w:val="single"/>
        </w:rPr>
        <w:t>12</w:t>
      </w:r>
      <w:r>
        <w:rPr>
          <w:rFonts w:hint="eastAsia"/>
          <w:color w:val="auto"/>
          <w:sz w:val="18"/>
          <w:szCs w:val="18"/>
          <w:highlight w:val="none"/>
        </w:rPr>
        <w:t>个月或验收合格入库之日起</w:t>
      </w:r>
      <w:r>
        <w:rPr>
          <w:rFonts w:hint="eastAsia"/>
          <w:color w:val="auto"/>
          <w:sz w:val="18"/>
          <w:szCs w:val="18"/>
          <w:highlight w:val="none"/>
          <w:u w:val="single"/>
        </w:rPr>
        <w:t>18</w:t>
      </w:r>
      <w:r>
        <w:rPr>
          <w:rFonts w:hint="eastAsia"/>
          <w:color w:val="auto"/>
          <w:sz w:val="18"/>
          <w:szCs w:val="18"/>
          <w:highlight w:val="none"/>
        </w:rPr>
        <w:t>个月止，以先到之日为准。质保期内的设备如发生质量问题，质保期从设备恢复正常起重新计算。若在保修期内发生质量问题，供方负责免费的维修服务及坏件更换，造成损失的由供方全权负责。质保金不足以弥补需方损失的，供方应承担并弥补需方损失。如质保期满无质量问题质保金予以支付，否则需方有权直接扣除相应质保金用于质量维修与弥补需方损失。质保期内，供方的质保服务响应时间为：</w:t>
      </w:r>
      <w:r>
        <w:rPr>
          <w:rFonts w:hint="eastAsia"/>
          <w:color w:val="auto"/>
          <w:sz w:val="18"/>
          <w:szCs w:val="18"/>
          <w:highlight w:val="none"/>
          <w:u w:val="single"/>
        </w:rPr>
        <w:t>公司在南京市内</w:t>
      </w:r>
      <w:r>
        <w:rPr>
          <w:rFonts w:hint="eastAsia"/>
          <w:color w:val="auto"/>
          <w:sz w:val="18"/>
          <w:szCs w:val="18"/>
          <w:highlight w:val="none"/>
          <w:u w:val="single"/>
          <w:lang w:val="en-US" w:eastAsia="zh-CN"/>
        </w:rPr>
        <w:t>4</w:t>
      </w:r>
      <w:r>
        <w:rPr>
          <w:rFonts w:hint="eastAsia"/>
          <w:color w:val="auto"/>
          <w:sz w:val="18"/>
          <w:szCs w:val="18"/>
          <w:highlight w:val="none"/>
          <w:u w:val="single"/>
        </w:rPr>
        <w:t>个小时，公司在南京市外</w:t>
      </w:r>
      <w:r>
        <w:rPr>
          <w:rFonts w:hint="eastAsia"/>
          <w:color w:val="auto"/>
          <w:sz w:val="18"/>
          <w:szCs w:val="18"/>
          <w:highlight w:val="none"/>
          <w:u w:val="single"/>
          <w:lang w:val="en-US" w:eastAsia="zh-CN"/>
        </w:rPr>
        <w:t>48</w:t>
      </w:r>
      <w:r>
        <w:rPr>
          <w:rFonts w:hint="eastAsia"/>
          <w:color w:val="auto"/>
          <w:sz w:val="18"/>
          <w:szCs w:val="18"/>
          <w:highlight w:val="none"/>
          <w:u w:val="single"/>
        </w:rPr>
        <w:t xml:space="preserve">个小时 </w:t>
      </w:r>
      <w:r>
        <w:rPr>
          <w:rFonts w:hint="eastAsia"/>
          <w:color w:val="auto"/>
          <w:sz w:val="18"/>
          <w:szCs w:val="18"/>
          <w:highlight w:val="none"/>
        </w:rPr>
        <w:t>。供方不及时处理产品质量问题的，需方有权暂停或终止后续订单及合同。</w:t>
      </w:r>
    </w:p>
    <w:p w14:paraId="0158CEDA">
      <w:pPr>
        <w:rPr>
          <w:b/>
          <w:bCs/>
          <w:sz w:val="18"/>
          <w:szCs w:val="18"/>
          <w:highlight w:val="none"/>
        </w:rPr>
      </w:pPr>
      <w:r>
        <w:rPr>
          <w:rFonts w:hint="eastAsia"/>
          <w:b/>
          <w:bCs/>
          <w:color w:val="auto"/>
          <w:sz w:val="18"/>
          <w:szCs w:val="18"/>
          <w:highlight w:val="none"/>
        </w:rPr>
        <w:t>十、使用寿命条款：</w:t>
      </w:r>
      <w:r>
        <w:rPr>
          <w:rFonts w:hint="eastAsia"/>
          <w:color w:val="auto"/>
          <w:sz w:val="18"/>
          <w:szCs w:val="18"/>
          <w:highlight w:val="none"/>
        </w:rPr>
        <w:t>供方承诺本合同项下产品的使用寿命自产品</w:t>
      </w:r>
      <w:r>
        <w:rPr>
          <w:rFonts w:hint="eastAsia"/>
          <w:color w:val="auto"/>
          <w:sz w:val="18"/>
          <w:szCs w:val="18"/>
          <w:highlight w:val="none"/>
          <w:u w:val="single"/>
        </w:rPr>
        <w:t>投入使用之日</w:t>
      </w:r>
      <w:r>
        <w:rPr>
          <w:rFonts w:hint="eastAsia"/>
          <w:color w:val="auto"/>
          <w:sz w:val="18"/>
          <w:szCs w:val="18"/>
          <w:highlight w:val="none"/>
        </w:rPr>
        <w:t>起起算。产品已过质保期但在使用寿命期内的，如出现质量问题，供方应按市场价或双方协商的价格提供质量维护服务，并保证产品修理、更换、退货所需的零部件、备件等供应充足。如因供方产品质量问题导致产品使用寿命达不到供方承诺年限的或供方在使用寿命期限内的质量维护服务不到位的，需方有权向供方提出索赔，并要求供方支付合同价款</w:t>
      </w:r>
      <w:r>
        <w:rPr>
          <w:rFonts w:hint="eastAsia"/>
          <w:color w:val="auto"/>
          <w:sz w:val="18"/>
          <w:szCs w:val="18"/>
          <w:highlight w:val="none"/>
          <w:u w:val="single"/>
        </w:rPr>
        <w:t xml:space="preserve"> </w:t>
      </w:r>
      <w:r>
        <w:rPr>
          <w:rFonts w:hint="eastAsia"/>
          <w:color w:val="auto"/>
          <w:sz w:val="18"/>
          <w:szCs w:val="18"/>
          <w:highlight w:val="none"/>
          <w:u w:val="single"/>
          <w:lang w:val="en-US" w:eastAsia="zh-CN"/>
        </w:rPr>
        <w:t>10</w:t>
      </w:r>
      <w:r>
        <w:rPr>
          <w:rFonts w:hint="eastAsia"/>
          <w:color w:val="auto"/>
          <w:sz w:val="18"/>
          <w:szCs w:val="18"/>
          <w:highlight w:val="none"/>
          <w:u w:val="single"/>
        </w:rPr>
        <w:t xml:space="preserve">  </w:t>
      </w:r>
      <w:r>
        <w:rPr>
          <w:rFonts w:hint="eastAsia"/>
          <w:color w:val="auto"/>
          <w:sz w:val="18"/>
          <w:szCs w:val="18"/>
          <w:highlight w:val="none"/>
        </w:rPr>
        <w:t>%</w:t>
      </w:r>
      <w:r>
        <w:rPr>
          <w:rFonts w:hint="eastAsia"/>
          <w:sz w:val="18"/>
          <w:szCs w:val="18"/>
          <w:highlight w:val="none"/>
        </w:rPr>
        <w:t>的违约金，如因意外事故、不可抗力、需方操作不当原因造成的使用寿命短于供方承诺年限的除外。</w:t>
      </w:r>
    </w:p>
    <w:p w14:paraId="498F8655">
      <w:pPr>
        <w:rPr>
          <w:rFonts w:hint="eastAsia"/>
          <w:sz w:val="18"/>
          <w:szCs w:val="18"/>
          <w:highlight w:val="none"/>
        </w:rPr>
      </w:pPr>
      <w:r>
        <w:rPr>
          <w:rFonts w:hint="eastAsia"/>
          <w:b/>
          <w:sz w:val="18"/>
          <w:szCs w:val="18"/>
          <w:highlight w:val="none"/>
        </w:rPr>
        <w:t>十一、知识产权条款</w:t>
      </w:r>
      <w:r>
        <w:rPr>
          <w:rFonts w:hint="eastAsia"/>
          <w:b/>
          <w:sz w:val="18"/>
          <w:szCs w:val="18"/>
          <w:highlight w:val="none"/>
          <w:lang w:val="en-US" w:eastAsia="zh-CN"/>
        </w:rPr>
        <w:t>及</w:t>
      </w:r>
      <w:r>
        <w:rPr>
          <w:rFonts w:hint="eastAsia"/>
          <w:b/>
          <w:sz w:val="18"/>
          <w:szCs w:val="18"/>
          <w:highlight w:val="none"/>
        </w:rPr>
        <w:t>保密责任：</w:t>
      </w:r>
    </w:p>
    <w:p w14:paraId="18A3ED88">
      <w:pPr>
        <w:spacing w:line="240" w:lineRule="auto"/>
        <w:rPr>
          <w:rFonts w:hint="eastAsia"/>
          <w:sz w:val="18"/>
          <w:szCs w:val="18"/>
          <w:highlight w:val="none"/>
        </w:rPr>
      </w:pPr>
      <w:r>
        <w:rPr>
          <w:rFonts w:hint="eastAsia"/>
          <w:b/>
          <w:sz w:val="18"/>
          <w:szCs w:val="18"/>
          <w:highlight w:val="none"/>
          <w:lang w:val="en-US" w:eastAsia="zh-CN"/>
        </w:rPr>
        <w:t>1、</w:t>
      </w:r>
      <w:r>
        <w:rPr>
          <w:rFonts w:hint="eastAsia"/>
          <w:sz w:val="18"/>
          <w:szCs w:val="18"/>
          <w:highlight w:val="none"/>
          <w:lang w:val="en-US" w:eastAsia="zh-CN"/>
        </w:rPr>
        <w:t>供方</w:t>
      </w:r>
      <w:r>
        <w:rPr>
          <w:rFonts w:hint="eastAsia"/>
          <w:sz w:val="18"/>
          <w:szCs w:val="18"/>
          <w:highlight w:val="none"/>
        </w:rPr>
        <w:t>提供的货物不存在侵犯第三方知识产权的情况；</w:t>
      </w:r>
      <w:r>
        <w:rPr>
          <w:rFonts w:hint="eastAsia"/>
          <w:sz w:val="18"/>
          <w:szCs w:val="18"/>
          <w:highlight w:val="none"/>
          <w:lang w:eastAsia="zh-CN"/>
        </w:rPr>
        <w:t>供方</w:t>
      </w:r>
      <w:r>
        <w:rPr>
          <w:rFonts w:hint="eastAsia"/>
          <w:sz w:val="18"/>
          <w:szCs w:val="18"/>
          <w:highlight w:val="none"/>
        </w:rPr>
        <w:t>提供的货物与需方的设备、货物等相结合亦不存在侵犯第三方知识产权的情况，否则，因上述情形对第三方造成的侵权责任由</w:t>
      </w:r>
      <w:r>
        <w:rPr>
          <w:rFonts w:hint="eastAsia"/>
          <w:sz w:val="18"/>
          <w:szCs w:val="18"/>
          <w:highlight w:val="none"/>
          <w:lang w:eastAsia="zh-CN"/>
        </w:rPr>
        <w:t>供方</w:t>
      </w:r>
      <w:r>
        <w:rPr>
          <w:rFonts w:hint="eastAsia"/>
          <w:sz w:val="18"/>
          <w:szCs w:val="18"/>
          <w:highlight w:val="none"/>
        </w:rPr>
        <w:t>承担。如</w:t>
      </w:r>
      <w:r>
        <w:rPr>
          <w:rFonts w:hint="eastAsia"/>
          <w:sz w:val="18"/>
          <w:szCs w:val="18"/>
          <w:highlight w:val="none"/>
          <w:lang w:eastAsia="zh-CN"/>
        </w:rPr>
        <w:t>供方</w:t>
      </w:r>
      <w:r>
        <w:rPr>
          <w:rFonts w:hint="eastAsia"/>
          <w:sz w:val="18"/>
          <w:szCs w:val="18"/>
          <w:highlight w:val="none"/>
        </w:rPr>
        <w:t>提供的货物经</w:t>
      </w:r>
      <w:r>
        <w:rPr>
          <w:rFonts w:hint="eastAsia"/>
          <w:sz w:val="18"/>
          <w:szCs w:val="18"/>
          <w:highlight w:val="none"/>
          <w:lang w:val="en-US" w:eastAsia="zh-CN"/>
        </w:rPr>
        <w:t>知</w:t>
      </w:r>
      <w:r>
        <w:rPr>
          <w:rFonts w:hint="eastAsia"/>
          <w:sz w:val="18"/>
          <w:szCs w:val="18"/>
          <w:highlight w:val="none"/>
        </w:rPr>
        <w:t>识产权行政管理部门、人民法院等机构确认存在侵权情形，</w:t>
      </w:r>
      <w:r>
        <w:rPr>
          <w:rFonts w:hint="eastAsia"/>
          <w:sz w:val="18"/>
          <w:szCs w:val="18"/>
          <w:highlight w:val="none"/>
          <w:lang w:eastAsia="zh-CN"/>
        </w:rPr>
        <w:t>供方</w:t>
      </w:r>
      <w:r>
        <w:rPr>
          <w:rFonts w:hint="eastAsia"/>
          <w:sz w:val="18"/>
          <w:szCs w:val="18"/>
          <w:highlight w:val="none"/>
        </w:rPr>
        <w:t>明确知晓由此给需方造成的严重影响，</w:t>
      </w:r>
      <w:r>
        <w:rPr>
          <w:rFonts w:hint="eastAsia"/>
          <w:sz w:val="18"/>
          <w:szCs w:val="18"/>
          <w:highlight w:val="none"/>
          <w:lang w:eastAsia="zh-CN"/>
        </w:rPr>
        <w:t>供方</w:t>
      </w:r>
      <w:r>
        <w:rPr>
          <w:rFonts w:hint="eastAsia"/>
          <w:sz w:val="18"/>
          <w:szCs w:val="18"/>
          <w:highlight w:val="none"/>
        </w:rPr>
        <w:t>同意需方有权视情节轻重要求</w:t>
      </w:r>
      <w:r>
        <w:rPr>
          <w:rFonts w:hint="eastAsia"/>
          <w:sz w:val="18"/>
          <w:szCs w:val="18"/>
          <w:highlight w:val="none"/>
          <w:lang w:eastAsia="zh-CN"/>
        </w:rPr>
        <w:t>供方</w:t>
      </w:r>
      <w:r>
        <w:rPr>
          <w:rFonts w:hint="eastAsia"/>
          <w:sz w:val="18"/>
          <w:szCs w:val="18"/>
          <w:highlight w:val="none"/>
        </w:rPr>
        <w:t>承担10万元至50万元的违约金。由于</w:t>
      </w:r>
      <w:r>
        <w:rPr>
          <w:rFonts w:hint="eastAsia"/>
          <w:sz w:val="18"/>
          <w:szCs w:val="18"/>
          <w:highlight w:val="none"/>
          <w:lang w:eastAsia="zh-CN"/>
        </w:rPr>
        <w:t>供方</w:t>
      </w:r>
      <w:r>
        <w:rPr>
          <w:rFonts w:hint="eastAsia"/>
          <w:sz w:val="18"/>
          <w:szCs w:val="18"/>
          <w:highlight w:val="none"/>
        </w:rPr>
        <w:t>所提供货物引发的知识产权诉讼、投诉、负面报道等事项，需方因此产生的一切费用（包括但不限于专利无效检索费、实用新型专利评价报告官费、公证费、律师和（或）中介机构的代理费用、无效宣告申请受理官费、诉讼案件受理费、鉴定费、差旅费、停产损失等）由</w:t>
      </w:r>
      <w:r>
        <w:rPr>
          <w:rFonts w:hint="eastAsia"/>
          <w:sz w:val="18"/>
          <w:szCs w:val="18"/>
          <w:highlight w:val="none"/>
          <w:lang w:eastAsia="zh-CN"/>
        </w:rPr>
        <w:t>供方</w:t>
      </w:r>
      <w:r>
        <w:rPr>
          <w:rFonts w:hint="eastAsia"/>
          <w:sz w:val="18"/>
          <w:szCs w:val="18"/>
          <w:highlight w:val="none"/>
        </w:rPr>
        <w:t>承担。</w:t>
      </w:r>
    </w:p>
    <w:p w14:paraId="14C8351F">
      <w:pPr>
        <w:rPr>
          <w:rFonts w:hint="eastAsia"/>
          <w:sz w:val="18"/>
          <w:szCs w:val="18"/>
          <w:highlight w:val="none"/>
        </w:rPr>
      </w:pPr>
      <w:r>
        <w:rPr>
          <w:rFonts w:hint="eastAsia"/>
          <w:b/>
          <w:sz w:val="18"/>
          <w:szCs w:val="18"/>
          <w:highlight w:val="none"/>
          <w:lang w:val="en-US" w:eastAsia="zh-CN"/>
        </w:rPr>
        <w:t>2、</w:t>
      </w:r>
      <w:r>
        <w:rPr>
          <w:rFonts w:hint="eastAsia"/>
          <w:sz w:val="18"/>
          <w:szCs w:val="18"/>
          <w:highlight w:val="none"/>
          <w:lang w:val="en-US" w:eastAsia="zh-CN"/>
        </w:rPr>
        <w:t>供方因履行本合同获取的需方任何资料、商业秘密等信息，均不得向第三方泄露，直到该保密信息非因供方原因成为公开信息。</w:t>
      </w:r>
    </w:p>
    <w:p w14:paraId="01FB1C0A">
      <w:pPr>
        <w:rPr>
          <w:b/>
          <w:bCs/>
          <w:color w:val="auto"/>
          <w:sz w:val="18"/>
          <w:szCs w:val="18"/>
          <w:highlight w:val="none"/>
        </w:rPr>
      </w:pPr>
      <w:r>
        <w:rPr>
          <w:rFonts w:hint="eastAsia"/>
          <w:b/>
          <w:bCs/>
          <w:color w:val="auto"/>
          <w:sz w:val="18"/>
          <w:szCs w:val="18"/>
          <w:highlight w:val="none"/>
        </w:rPr>
        <w:t>十二、结算：</w:t>
      </w:r>
    </w:p>
    <w:p w14:paraId="456BF176">
      <w:pPr>
        <w:rPr>
          <w:color w:val="auto"/>
          <w:sz w:val="18"/>
          <w:szCs w:val="18"/>
          <w:highlight w:val="none"/>
        </w:rPr>
      </w:pPr>
      <w:r>
        <w:rPr>
          <w:rFonts w:hint="eastAsia"/>
          <w:b/>
          <w:color w:val="auto"/>
          <w:sz w:val="18"/>
          <w:szCs w:val="18"/>
          <w:highlight w:val="none"/>
        </w:rPr>
        <w:t>1、结算方式：</w:t>
      </w:r>
      <w:r>
        <w:rPr>
          <w:rFonts w:hint="eastAsia"/>
          <w:color w:val="auto"/>
          <w:sz w:val="18"/>
          <w:szCs w:val="18"/>
          <w:highlight w:val="none"/>
        </w:rPr>
        <w:t>按照合同约定的规格、型号、数量及交货时间，货到验收合格后，供方向需方</w:t>
      </w:r>
      <w:bookmarkStart w:id="0" w:name="_GoBack"/>
      <w:bookmarkEnd w:id="0"/>
      <w:r>
        <w:rPr>
          <w:rFonts w:hint="eastAsia"/>
          <w:color w:val="auto"/>
          <w:sz w:val="18"/>
          <w:szCs w:val="18"/>
          <w:highlight w:val="none"/>
        </w:rPr>
        <w:t>开具并交付全额</w:t>
      </w:r>
      <w:r>
        <w:rPr>
          <w:rFonts w:hint="eastAsia"/>
          <w:color w:val="auto"/>
          <w:sz w:val="18"/>
          <w:szCs w:val="18"/>
          <w:highlight w:val="none"/>
          <w:u w:val="single"/>
        </w:rPr>
        <w:t>增值税专用</w:t>
      </w:r>
      <w:r>
        <w:rPr>
          <w:rFonts w:hint="eastAsia"/>
          <w:color w:val="auto"/>
          <w:sz w:val="18"/>
          <w:szCs w:val="18"/>
          <w:highlight w:val="none"/>
        </w:rPr>
        <w:t>发票（税率</w:t>
      </w:r>
      <w:r>
        <w:rPr>
          <w:rFonts w:hint="eastAsia"/>
          <w:color w:val="auto"/>
          <w:sz w:val="18"/>
          <w:szCs w:val="18"/>
          <w:highlight w:val="none"/>
          <w:u w:val="single"/>
        </w:rPr>
        <w:t>13</w:t>
      </w:r>
      <w:r>
        <w:rPr>
          <w:rFonts w:hint="eastAsia"/>
          <w:color w:val="auto"/>
          <w:sz w:val="18"/>
          <w:szCs w:val="18"/>
          <w:highlight w:val="none"/>
        </w:rPr>
        <w:t>%），经需方确认后，办理财务报帐。如本合同约定的为年度供货量，以需方使用单位确认收货的实际用量作为结算依据。</w:t>
      </w:r>
    </w:p>
    <w:p w14:paraId="7DFCC2FB">
      <w:pPr>
        <w:rPr>
          <w:color w:val="auto"/>
          <w:sz w:val="18"/>
          <w:szCs w:val="18"/>
          <w:highlight w:val="none"/>
        </w:rPr>
      </w:pPr>
      <w:r>
        <w:rPr>
          <w:rFonts w:hint="eastAsia"/>
          <w:b/>
          <w:color w:val="auto"/>
          <w:sz w:val="18"/>
          <w:szCs w:val="18"/>
          <w:highlight w:val="none"/>
        </w:rPr>
        <w:t>2、账龄时间：</w:t>
      </w:r>
      <w:r>
        <w:rPr>
          <w:rFonts w:hint="eastAsia"/>
          <w:color w:val="auto"/>
          <w:sz w:val="18"/>
          <w:szCs w:val="18"/>
          <w:highlight w:val="none"/>
        </w:rPr>
        <w:t>以需方ERP系统财务确认为账龄时点，帐龄为</w:t>
      </w:r>
      <w:r>
        <w:rPr>
          <w:rFonts w:hint="eastAsia"/>
          <w:color w:val="auto"/>
          <w:sz w:val="18"/>
          <w:szCs w:val="18"/>
          <w:highlight w:val="none"/>
          <w:u w:val="single"/>
        </w:rPr>
        <w:t>90</w:t>
      </w:r>
      <w:r>
        <w:rPr>
          <w:rFonts w:hint="eastAsia"/>
          <w:color w:val="auto"/>
          <w:sz w:val="18"/>
          <w:szCs w:val="18"/>
          <w:highlight w:val="none"/>
        </w:rPr>
        <w:t>个日历日。</w:t>
      </w:r>
    </w:p>
    <w:p w14:paraId="6FED079C">
      <w:pPr>
        <w:rPr>
          <w:rFonts w:hint="eastAsia"/>
          <w:sz w:val="18"/>
          <w:szCs w:val="18"/>
          <w:highlight w:val="none"/>
        </w:rPr>
      </w:pPr>
      <w:r>
        <w:rPr>
          <w:rFonts w:hint="eastAsia"/>
          <w:b/>
          <w:color w:val="auto"/>
          <w:sz w:val="18"/>
          <w:szCs w:val="18"/>
          <w:highlight w:val="none"/>
        </w:rPr>
        <w:t>3、付款方式及付款期限：</w:t>
      </w:r>
      <w:r>
        <w:rPr>
          <w:rFonts w:hint="eastAsia"/>
          <w:color w:val="auto"/>
          <w:sz w:val="18"/>
          <w:szCs w:val="18"/>
          <w:highlight w:val="none"/>
        </w:rPr>
        <w:t>合同款项的支付方式为</w:t>
      </w:r>
      <w:r>
        <w:rPr>
          <w:rFonts w:hint="eastAsia"/>
          <w:color w:val="auto"/>
          <w:sz w:val="18"/>
          <w:szCs w:val="18"/>
          <w:highlight w:val="none"/>
          <w:u w:val="single"/>
        </w:rPr>
        <w:t>六个月银行承兑汇票或现款，</w:t>
      </w:r>
      <w:r>
        <w:rPr>
          <w:rFonts w:hint="eastAsia"/>
          <w:color w:val="auto"/>
          <w:sz w:val="18"/>
          <w:szCs w:val="18"/>
          <w:highlight w:val="none"/>
          <w:u w:val="none"/>
        </w:rPr>
        <w:t>如为现款</w:t>
      </w:r>
      <w:r>
        <w:rPr>
          <w:rFonts w:hint="eastAsia"/>
          <w:color w:val="auto"/>
          <w:sz w:val="18"/>
          <w:szCs w:val="18"/>
          <w:highlight w:val="none"/>
          <w:u w:val="none"/>
          <w:lang w:val="en-US" w:eastAsia="zh-CN"/>
        </w:rPr>
        <w:t>/</w:t>
      </w:r>
      <w:r>
        <w:rPr>
          <w:rFonts w:hint="eastAsia"/>
          <w:color w:val="auto"/>
          <w:sz w:val="18"/>
          <w:szCs w:val="18"/>
          <w:highlight w:val="none"/>
          <w:u w:val="none"/>
        </w:rPr>
        <w:t>提前付款，按需方财务确定的当期利率扣除提前结清费后的余额支付现款</w:t>
      </w:r>
      <w:r>
        <w:rPr>
          <w:rFonts w:hint="eastAsia"/>
          <w:color w:val="auto"/>
          <w:sz w:val="18"/>
          <w:szCs w:val="18"/>
          <w:highlight w:val="none"/>
        </w:rPr>
        <w:t>。</w:t>
      </w:r>
    </w:p>
    <w:p w14:paraId="057FF58C">
      <w:pPr>
        <w:rPr>
          <w:b/>
          <w:bCs/>
          <w:sz w:val="18"/>
          <w:szCs w:val="18"/>
          <w:highlight w:val="none"/>
        </w:rPr>
      </w:pPr>
      <w:r>
        <w:rPr>
          <w:rFonts w:hint="eastAsia"/>
          <w:b/>
          <w:bCs/>
          <w:sz w:val="18"/>
          <w:szCs w:val="18"/>
          <w:highlight w:val="none"/>
        </w:rPr>
        <w:t>十三、违约责任</w:t>
      </w:r>
    </w:p>
    <w:p w14:paraId="52E4A060">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1、因供方原因迟延交货的，每迟延一天应向需方支付迟延交货货物金额</w:t>
      </w:r>
      <w:r>
        <w:rPr>
          <w:rFonts w:hint="eastAsia" w:ascii="宋体" w:hAnsi="宋体" w:cs="宋体"/>
          <w:color w:val="auto"/>
          <w:kern w:val="0"/>
          <w:sz w:val="18"/>
          <w:szCs w:val="18"/>
          <w:highlight w:val="none"/>
          <w:u w:val="single"/>
        </w:rPr>
        <w:t xml:space="preserve"> 0.5 </w:t>
      </w:r>
      <w:r>
        <w:rPr>
          <w:rFonts w:hint="eastAsia" w:ascii="宋体" w:hAnsi="宋体" w:cs="宋体"/>
          <w:color w:val="auto"/>
          <w:kern w:val="0"/>
          <w:sz w:val="18"/>
          <w:szCs w:val="18"/>
          <w:highlight w:val="none"/>
        </w:rPr>
        <w:t>%的违约金；迟延违约金最高不超过迟延交货货物金额</w:t>
      </w:r>
      <w:r>
        <w:rPr>
          <w:rFonts w:hint="eastAsia" w:ascii="宋体" w:hAnsi="宋体" w:cs="宋体"/>
          <w:color w:val="auto"/>
          <w:kern w:val="0"/>
          <w:sz w:val="18"/>
          <w:szCs w:val="18"/>
          <w:highlight w:val="none"/>
          <w:u w:val="single"/>
        </w:rPr>
        <w:t xml:space="preserve"> 10   </w:t>
      </w:r>
      <w:r>
        <w:rPr>
          <w:rFonts w:hint="eastAsia" w:ascii="宋体" w:hAnsi="宋体" w:cs="宋体"/>
          <w:color w:val="auto"/>
          <w:kern w:val="0"/>
          <w:sz w:val="18"/>
          <w:szCs w:val="18"/>
          <w:highlight w:val="none"/>
        </w:rPr>
        <w:t>%，超过30日的，需方有权解除合同，造成损失的供方应向需方赔偿损失。</w:t>
      </w:r>
    </w:p>
    <w:p w14:paraId="27FF672D">
      <w:pPr>
        <w:widowControl/>
        <w:rPr>
          <w:rFonts w:ascii="宋体" w:hAnsi="宋体" w:cs="宋体"/>
          <w:color w:val="auto"/>
          <w:kern w:val="0"/>
          <w:sz w:val="18"/>
          <w:szCs w:val="18"/>
          <w:highlight w:val="none"/>
        </w:rPr>
      </w:pPr>
      <w:r>
        <w:rPr>
          <w:rFonts w:hint="eastAsia" w:ascii="宋体" w:hAnsi="宋体" w:cs="宋体"/>
          <w:color w:val="auto"/>
          <w:kern w:val="0"/>
          <w:sz w:val="18"/>
          <w:szCs w:val="18"/>
          <w:highlight w:val="none"/>
        </w:rPr>
        <w:t>2、供方所供产品质量、数量、规格等不符合合同约定的，需方有权退换货，</w:t>
      </w:r>
      <w:r>
        <w:rPr>
          <w:rFonts w:hint="eastAsia" w:ascii="宋体" w:hAnsi="宋体" w:cs="宋体"/>
          <w:color w:val="auto"/>
          <w:kern w:val="0"/>
          <w:sz w:val="18"/>
          <w:szCs w:val="18"/>
          <w:highlight w:val="none"/>
          <w:lang w:val="en-US" w:eastAsia="zh-CN"/>
        </w:rPr>
        <w:t>并</w:t>
      </w:r>
      <w:r>
        <w:rPr>
          <w:rFonts w:hint="eastAsia" w:ascii="宋体" w:hAnsi="宋体" w:cs="宋体"/>
          <w:color w:val="auto"/>
          <w:kern w:val="0"/>
          <w:sz w:val="18"/>
          <w:szCs w:val="18"/>
          <w:highlight w:val="none"/>
        </w:rPr>
        <w:t>有权要求供方支付</w:t>
      </w:r>
      <w:r>
        <w:rPr>
          <w:rFonts w:hint="eastAsia"/>
          <w:bCs/>
          <w:color w:val="auto"/>
          <w:sz w:val="18"/>
          <w:szCs w:val="18"/>
          <w:highlight w:val="none"/>
          <w:lang w:val="en-US" w:eastAsia="zh-CN"/>
        </w:rPr>
        <w:t>相应货物</w:t>
      </w:r>
      <w:r>
        <w:rPr>
          <w:rFonts w:hint="eastAsia" w:ascii="宋体" w:hAnsi="宋体" w:cs="宋体"/>
          <w:color w:val="auto"/>
          <w:kern w:val="0"/>
          <w:sz w:val="18"/>
          <w:szCs w:val="18"/>
          <w:highlight w:val="none"/>
        </w:rPr>
        <w:t>合同金额</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u w:val="single"/>
          <w:lang w:val="en-US" w:eastAsia="zh-CN"/>
        </w:rPr>
        <w:t>1</w:t>
      </w:r>
      <w:r>
        <w:rPr>
          <w:rFonts w:ascii="宋体" w:hAnsi="宋体" w:cs="宋体"/>
          <w:color w:val="auto"/>
          <w:kern w:val="0"/>
          <w:sz w:val="18"/>
          <w:szCs w:val="18"/>
          <w:highlight w:val="none"/>
          <w:u w:val="single"/>
        </w:rPr>
        <w:t>0</w:t>
      </w:r>
      <w:r>
        <w:rPr>
          <w:rFonts w:hint="eastAsia" w:ascii="宋体" w:hAnsi="宋体" w:cs="宋体"/>
          <w:color w:val="auto"/>
          <w:kern w:val="0"/>
          <w:sz w:val="18"/>
          <w:szCs w:val="18"/>
          <w:highlight w:val="none"/>
          <w:u w:val="single"/>
        </w:rPr>
        <w:t xml:space="preserve"> </w:t>
      </w:r>
      <w:r>
        <w:rPr>
          <w:rFonts w:hint="eastAsia" w:ascii="宋体" w:hAnsi="宋体" w:cs="宋体"/>
          <w:color w:val="auto"/>
          <w:kern w:val="0"/>
          <w:sz w:val="18"/>
          <w:szCs w:val="18"/>
          <w:highlight w:val="none"/>
        </w:rPr>
        <w:t>%的违约金，违约金金额不足以弥补需方损失</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还应当赔偿相应损失</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如果在使用过程中发现存在产品固有缺陷、产品内部材料与产品描述/协议要求不符的，除承担前述违约责任外，需方还应当额外承担相应货物合同金额10%的违约金。</w:t>
      </w:r>
    </w:p>
    <w:p w14:paraId="2BBE5FD7">
      <w:pPr>
        <w:widowControl/>
        <w:rPr>
          <w:rFonts w:hint="eastAsia" w:ascii="宋体" w:hAnsi="宋体" w:cs="宋体"/>
          <w:color w:val="000000"/>
          <w:kern w:val="0"/>
          <w:sz w:val="18"/>
          <w:szCs w:val="18"/>
        </w:rPr>
      </w:pPr>
      <w:r>
        <w:rPr>
          <w:rFonts w:hint="eastAsia" w:ascii="宋体" w:hAnsi="宋体" w:cs="宋体"/>
          <w:color w:val="auto"/>
          <w:kern w:val="0"/>
          <w:sz w:val="18"/>
          <w:szCs w:val="18"/>
          <w:highlight w:val="none"/>
        </w:rPr>
        <w:t>3、</w:t>
      </w:r>
      <w:r>
        <w:rPr>
          <w:rFonts w:hint="eastAsia"/>
          <w:color w:val="auto"/>
          <w:sz w:val="18"/>
          <w:szCs w:val="18"/>
          <w:highlight w:val="none"/>
        </w:rPr>
        <w:t>供方已于</w:t>
      </w:r>
      <w:r>
        <w:rPr>
          <w:rFonts w:hint="eastAsia"/>
          <w:color w:val="auto"/>
          <w:sz w:val="18"/>
          <w:szCs w:val="18"/>
          <w:highlight w:val="none"/>
          <w:u w:val="single"/>
        </w:rPr>
        <w:t xml:space="preserve">  </w:t>
      </w:r>
      <w:r>
        <w:rPr>
          <w:rFonts w:ascii="Verdana" w:hAnsi="Verdana"/>
          <w:color w:val="auto"/>
          <w:sz w:val="18"/>
          <w:szCs w:val="18"/>
          <w:highlight w:val="none"/>
          <w:u w:val="single"/>
        </w:rPr>
        <w:t xml:space="preserve"> </w:t>
      </w:r>
      <w:r>
        <w:rPr>
          <w:rFonts w:hint="eastAsia"/>
          <w:color w:val="auto"/>
          <w:sz w:val="18"/>
          <w:szCs w:val="18"/>
          <w:highlight w:val="none"/>
          <w:u w:val="single"/>
        </w:rPr>
        <w:t xml:space="preserve"> </w:t>
      </w:r>
      <w:r>
        <w:rPr>
          <w:rFonts w:hint="eastAsia"/>
          <w:color w:val="auto"/>
          <w:sz w:val="18"/>
          <w:szCs w:val="18"/>
          <w:highlight w:val="none"/>
        </w:rPr>
        <w:t>年</w:t>
      </w:r>
      <w:r>
        <w:rPr>
          <w:rFonts w:ascii="Verdana" w:hAnsi="Verdana"/>
          <w:color w:val="auto"/>
          <w:sz w:val="18"/>
          <w:szCs w:val="18"/>
          <w:highlight w:val="none"/>
          <w:u w:val="single"/>
        </w:rPr>
        <w:t xml:space="preserve"> </w:t>
      </w:r>
      <w:r>
        <w:rPr>
          <w:rFonts w:hint="eastAsia" w:ascii="Verdana" w:hAnsi="Verdana"/>
          <w:color w:val="auto"/>
          <w:sz w:val="18"/>
          <w:szCs w:val="18"/>
          <w:highlight w:val="none"/>
          <w:u w:val="single"/>
        </w:rPr>
        <w:t xml:space="preserve"> </w:t>
      </w:r>
      <w:r>
        <w:rPr>
          <w:rFonts w:hint="eastAsia"/>
          <w:color w:val="auto"/>
          <w:sz w:val="18"/>
          <w:szCs w:val="18"/>
          <w:highlight w:val="none"/>
        </w:rPr>
        <w:t>月</w:t>
      </w:r>
      <w:r>
        <w:rPr>
          <w:rFonts w:ascii="Verdana" w:hAnsi="Verdana"/>
          <w:color w:val="auto"/>
          <w:sz w:val="18"/>
          <w:szCs w:val="18"/>
          <w:highlight w:val="none"/>
          <w:u w:val="single"/>
        </w:rPr>
        <w:t xml:space="preserve"> </w:t>
      </w:r>
      <w:r>
        <w:rPr>
          <w:rFonts w:hint="eastAsia" w:ascii="Verdana" w:hAnsi="Verdana"/>
          <w:color w:val="auto"/>
          <w:sz w:val="18"/>
          <w:szCs w:val="18"/>
          <w:highlight w:val="none"/>
          <w:u w:val="single"/>
        </w:rPr>
        <w:t xml:space="preserve"> </w:t>
      </w:r>
      <w:r>
        <w:rPr>
          <w:rFonts w:hint="eastAsia"/>
          <w:color w:val="auto"/>
          <w:sz w:val="18"/>
          <w:szCs w:val="18"/>
          <w:highlight w:val="none"/>
        </w:rPr>
        <w:t>日前通过</w:t>
      </w:r>
      <w:r>
        <w:rPr>
          <w:rFonts w:hint="eastAsia"/>
          <w:color w:val="auto"/>
          <w:sz w:val="18"/>
          <w:szCs w:val="18"/>
          <w:highlight w:val="none"/>
          <w:u w:val="single"/>
        </w:rPr>
        <w:t>直接缴纳/以未结货款充抵</w:t>
      </w:r>
      <w:r>
        <w:rPr>
          <w:rFonts w:hint="eastAsia"/>
          <w:color w:val="auto"/>
          <w:sz w:val="18"/>
          <w:szCs w:val="18"/>
          <w:highlight w:val="none"/>
          <w:u w:val="single"/>
          <w:lang w:val="en-US" w:eastAsia="zh-CN"/>
        </w:rPr>
        <w:t>/</w:t>
      </w:r>
      <w:r>
        <w:rPr>
          <w:rFonts w:hint="eastAsia"/>
          <w:color w:val="auto"/>
          <w:sz w:val="18"/>
          <w:szCs w:val="18"/>
          <w:highlight w:val="none"/>
          <w:u w:val="single"/>
        </w:rPr>
        <w:t>以合格供应商资质担保代替</w:t>
      </w:r>
      <w:r>
        <w:rPr>
          <w:rFonts w:hint="eastAsia"/>
          <w:color w:val="auto"/>
          <w:sz w:val="18"/>
          <w:szCs w:val="18"/>
          <w:highlight w:val="none"/>
          <w:u w:val="single"/>
          <w:lang w:val="en-US" w:eastAsia="zh-CN"/>
        </w:rPr>
        <w:t>缴纳</w:t>
      </w:r>
      <w:r>
        <w:rPr>
          <w:rFonts w:hint="eastAsia"/>
          <w:color w:val="auto"/>
          <w:sz w:val="18"/>
          <w:szCs w:val="18"/>
        </w:rPr>
        <w:t>履约保证金</w:t>
      </w:r>
      <w:r>
        <w:rPr>
          <w:rFonts w:ascii="Verdana" w:hAnsi="Verdana"/>
          <w:color w:val="auto"/>
          <w:sz w:val="18"/>
          <w:szCs w:val="18"/>
          <w:u w:val="single"/>
        </w:rPr>
        <w:t xml:space="preserve"> </w:t>
      </w:r>
      <w:r>
        <w:rPr>
          <w:rFonts w:hint="eastAsia" w:ascii="Verdana" w:hAnsi="Verdana"/>
          <w:color w:val="auto"/>
          <w:sz w:val="18"/>
          <w:szCs w:val="18"/>
          <w:u w:val="single"/>
        </w:rPr>
        <w:t xml:space="preserve">     </w:t>
      </w:r>
      <w:r>
        <w:rPr>
          <w:rFonts w:hint="eastAsia"/>
          <w:color w:val="auto"/>
          <w:sz w:val="18"/>
          <w:szCs w:val="18"/>
        </w:rPr>
        <w:t>元。</w:t>
      </w:r>
      <w:r>
        <w:rPr>
          <w:rFonts w:hint="eastAsia" w:ascii="宋体" w:hAnsi="宋体" w:cs="宋体"/>
          <w:color w:val="auto"/>
          <w:kern w:val="0"/>
          <w:sz w:val="18"/>
          <w:szCs w:val="18"/>
        </w:rPr>
        <w:t>供方不履行本合同条款</w:t>
      </w:r>
      <w:r>
        <w:rPr>
          <w:rFonts w:hint="eastAsia" w:ascii="宋体" w:hAnsi="宋体" w:cs="宋体"/>
          <w:color w:val="auto"/>
          <w:kern w:val="0"/>
          <w:sz w:val="18"/>
          <w:szCs w:val="18"/>
          <w:lang w:val="en-US" w:eastAsia="zh-CN"/>
        </w:rPr>
        <w:t>或者</w:t>
      </w:r>
      <w:r>
        <w:rPr>
          <w:rFonts w:hint="eastAsia" w:ascii="宋体" w:hAnsi="宋体" w:cs="宋体"/>
          <w:color w:val="auto"/>
          <w:kern w:val="0"/>
          <w:sz w:val="18"/>
          <w:szCs w:val="18"/>
        </w:rPr>
        <w:t>有</w:t>
      </w:r>
      <w:r>
        <w:rPr>
          <w:rFonts w:hint="eastAsia" w:ascii="宋体" w:hAnsi="宋体" w:cs="宋体"/>
          <w:color w:val="000000"/>
          <w:kern w:val="0"/>
          <w:sz w:val="18"/>
          <w:szCs w:val="18"/>
          <w:lang w:val="en-US" w:eastAsia="zh-CN"/>
        </w:rPr>
        <w:t>假冒伪劣产品、</w:t>
      </w:r>
      <w:r>
        <w:rPr>
          <w:rFonts w:hint="eastAsia" w:ascii="宋体" w:hAnsi="宋体" w:cs="宋体"/>
          <w:color w:val="000000"/>
          <w:kern w:val="0"/>
          <w:sz w:val="18"/>
          <w:szCs w:val="18"/>
        </w:rPr>
        <w:t>伪造质保书等弄虚作假行为的，需方有权没收供方所交履约保证金，同时有权解除本合同和（或）后续合同与订单。履约保证金不足以弥补需方损失的，需方有权就不足部分向供方追偿。合同履行完毕，供方无违约行为，需方无息返还履约保证金。</w:t>
      </w:r>
    </w:p>
    <w:p w14:paraId="6F00B315">
      <w:pPr>
        <w:widowControl/>
        <w:rPr>
          <w:rFonts w:hint="eastAsia" w:ascii="宋体" w:hAnsi="宋体" w:cs="宋体"/>
          <w:color w:val="000000"/>
          <w:kern w:val="0"/>
          <w:sz w:val="18"/>
          <w:szCs w:val="18"/>
        </w:rPr>
      </w:pPr>
      <w:r>
        <w:rPr>
          <w:rFonts w:hint="eastAsia"/>
          <w:sz w:val="18"/>
          <w:szCs w:val="18"/>
          <w:lang w:val="en-US" w:eastAsia="zh-CN"/>
        </w:rPr>
        <w:t>4、本合同中的损失包括但不限于设备损坏、维修及更换、产品损坏、减产损失、停机/产损失、人工费、第三方损害、安全事故、调查取证费用、保全费用、诉讼费用、律师费用等，违约金不足以弥补以上损失的，供方应承担并弥补需方全部损失。</w:t>
      </w:r>
      <w:r>
        <w:rPr>
          <w:rFonts w:hint="eastAsia" w:ascii="宋体" w:hAnsi="宋体" w:cs="宋体"/>
          <w:kern w:val="0"/>
          <w:sz w:val="18"/>
          <w:szCs w:val="18"/>
        </w:rPr>
        <w:t>需方有权直接从供方货款</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履约保证金</w:t>
      </w:r>
      <w:r>
        <w:rPr>
          <w:rFonts w:hint="eastAsia" w:ascii="宋体" w:hAnsi="宋体" w:cs="宋体"/>
          <w:kern w:val="0"/>
          <w:sz w:val="18"/>
          <w:szCs w:val="18"/>
        </w:rPr>
        <w:t>中扣除违约金与损失。</w:t>
      </w:r>
    </w:p>
    <w:p w14:paraId="07910AA0">
      <w:pPr>
        <w:rPr>
          <w:sz w:val="18"/>
          <w:szCs w:val="18"/>
        </w:rPr>
      </w:pPr>
      <w:r>
        <w:rPr>
          <w:rFonts w:hint="eastAsia"/>
          <w:b/>
          <w:bCs/>
          <w:sz w:val="18"/>
          <w:szCs w:val="18"/>
        </w:rPr>
        <w:t>十四、解决合同纠纷的方式：</w:t>
      </w:r>
      <w:r>
        <w:rPr>
          <w:rFonts w:hint="eastAsia"/>
          <w:sz w:val="18"/>
          <w:szCs w:val="18"/>
        </w:rPr>
        <w:t>本合同在履行过程中发生争议，由双方当事人协商解决；协商</w:t>
      </w:r>
      <w:r>
        <w:rPr>
          <w:rFonts w:hint="eastAsia"/>
          <w:b w:val="0"/>
          <w:bCs w:val="0"/>
          <w:sz w:val="18"/>
          <w:szCs w:val="18"/>
        </w:rPr>
        <w:t>不成的，向</w:t>
      </w:r>
      <w:r>
        <w:rPr>
          <w:rFonts w:hint="eastAsia"/>
          <w:b w:val="0"/>
          <w:bCs w:val="0"/>
          <w:sz w:val="18"/>
          <w:szCs w:val="18"/>
          <w:lang w:val="en-US" w:eastAsia="zh-CN"/>
        </w:rPr>
        <w:t>南京江北新区</w:t>
      </w:r>
      <w:r>
        <w:rPr>
          <w:rFonts w:hint="eastAsia"/>
          <w:b w:val="0"/>
          <w:bCs w:val="0"/>
          <w:sz w:val="18"/>
          <w:szCs w:val="18"/>
        </w:rPr>
        <w:t>人民法院起诉解决</w:t>
      </w:r>
      <w:r>
        <w:rPr>
          <w:rFonts w:hint="eastAsia"/>
          <w:sz w:val="18"/>
          <w:szCs w:val="18"/>
        </w:rPr>
        <w:t>。</w:t>
      </w:r>
    </w:p>
    <w:p w14:paraId="7ECD952D">
      <w:pPr>
        <w:rPr>
          <w:b/>
          <w:bCs/>
          <w:sz w:val="18"/>
          <w:szCs w:val="18"/>
        </w:rPr>
      </w:pPr>
      <w:r>
        <w:rPr>
          <w:rFonts w:hint="eastAsia"/>
          <w:b/>
          <w:bCs/>
          <w:sz w:val="18"/>
          <w:szCs w:val="18"/>
        </w:rPr>
        <w:t>十五、供方承诺：</w:t>
      </w:r>
    </w:p>
    <w:p w14:paraId="593271B7">
      <w:pPr>
        <w:rPr>
          <w:sz w:val="18"/>
          <w:szCs w:val="18"/>
        </w:rPr>
      </w:pPr>
      <w:r>
        <w:rPr>
          <w:rFonts w:hint="eastAsia"/>
          <w:sz w:val="18"/>
          <w:szCs w:val="18"/>
        </w:rPr>
        <w:t>1、</w:t>
      </w:r>
      <w:r>
        <w:rPr>
          <w:rFonts w:hint="eastAsia" w:ascii="宋体" w:hAnsi="宋体" w:cs="宋体"/>
          <w:sz w:val="18"/>
          <w:szCs w:val="18"/>
        </w:rPr>
        <w:t>各方承诺加强诚信和合规文化的建设，全程诚实守信、合法合规地进行相关业务活动，采取相应的措施和手段防止腐败、违反公平竞争原则以及其他违法行为、不廉洁行为的发生。各方将另行签订《廉洁协议》作为本合同的附件，与本合同具有同等效力。</w:t>
      </w:r>
    </w:p>
    <w:p w14:paraId="17E15735">
      <w:pPr>
        <w:rPr>
          <w:rFonts w:ascii="宋体" w:hAnsi="宋体" w:cs="宋体"/>
          <w:sz w:val="18"/>
          <w:szCs w:val="18"/>
        </w:rPr>
      </w:pPr>
      <w:r>
        <w:rPr>
          <w:rFonts w:hint="eastAsia" w:ascii="宋体" w:hAnsi="宋体" w:cs="宋体"/>
          <w:sz w:val="18"/>
          <w:szCs w:val="18"/>
        </w:rPr>
        <w:t>2、为保证本合同顺利履行，保障需方生产秩序与安全，供方已知晓并自愿遵守需方及其关联公司颁布执行的《道路交通安全管理规定》、《门禁管理规定》等相关规定，如有违反，视为违反本合同义务，需方有权按章收取违约金。供方在履行合同过程中，发生供方人员工伤、工亡事故的由供方承担全部责任和赔偿所有的损失和费用；造成需方人员或第三方人员损害的，按法律规定对当事人进行赔偿。供方如需在需方现场施工，应先按照需方《工程和劳务安全管理规定》办理手续，接受需方的监督检查，如发生违章现象，视为违反本合同义务，需方有权按章处置收取违约金。因供方原因发生的安全事故所导致的后果由供方承担，需方的审核、监督、检查及相应处置行为，不免除供方应承担的责任。</w:t>
      </w:r>
    </w:p>
    <w:p w14:paraId="7A80C37D">
      <w:pPr>
        <w:rPr>
          <w:color w:val="auto"/>
          <w:sz w:val="18"/>
          <w:szCs w:val="18"/>
        </w:rPr>
      </w:pPr>
      <w:r>
        <w:rPr>
          <w:rFonts w:hint="eastAsia"/>
          <w:b/>
          <w:bCs/>
          <w:color w:val="auto"/>
          <w:sz w:val="18"/>
          <w:szCs w:val="18"/>
        </w:rPr>
        <w:t>十六、合同生效方式：</w:t>
      </w:r>
      <w:r>
        <w:rPr>
          <w:rFonts w:hint="eastAsia"/>
          <w:color w:val="auto"/>
          <w:sz w:val="18"/>
          <w:szCs w:val="18"/>
        </w:rPr>
        <w:t>本合同自双方签字并盖章后生效。</w:t>
      </w:r>
    </w:p>
    <w:p w14:paraId="4F06C33A">
      <w:pPr>
        <w:rPr>
          <w:color w:val="auto"/>
          <w:sz w:val="18"/>
          <w:szCs w:val="18"/>
        </w:rPr>
      </w:pPr>
      <w:r>
        <w:rPr>
          <w:rFonts w:hint="eastAsia"/>
          <w:b/>
          <w:color w:val="auto"/>
          <w:sz w:val="18"/>
          <w:szCs w:val="18"/>
        </w:rPr>
        <w:t>十七、其他约定：</w:t>
      </w:r>
      <w:r>
        <w:rPr>
          <w:rFonts w:hint="eastAsia"/>
          <w:color w:val="auto"/>
          <w:sz w:val="18"/>
          <w:szCs w:val="18"/>
        </w:rPr>
        <w:t>本合同附件：</w:t>
      </w:r>
      <w:r>
        <w:rPr>
          <w:rFonts w:hint="eastAsia"/>
          <w:color w:val="auto"/>
          <w:sz w:val="18"/>
          <w:szCs w:val="18"/>
          <w:u w:val="single"/>
        </w:rPr>
        <w:t xml:space="preserve">                                                           </w:t>
      </w:r>
      <w:r>
        <w:rPr>
          <w:rFonts w:hint="eastAsia"/>
          <w:color w:val="auto"/>
          <w:sz w:val="18"/>
          <w:szCs w:val="18"/>
        </w:rPr>
        <w:t>，附件与本合同具有同等法律效力。本合同及其附件约定存在冲突的，以对供方更为严格的约定为准。本合同一式</w:t>
      </w:r>
      <w:r>
        <w:rPr>
          <w:rFonts w:hint="eastAsia"/>
          <w:color w:val="auto"/>
          <w:sz w:val="18"/>
          <w:szCs w:val="18"/>
          <w:u w:val="single"/>
        </w:rPr>
        <w:t>三</w:t>
      </w:r>
      <w:r>
        <w:rPr>
          <w:rFonts w:hint="eastAsia"/>
          <w:color w:val="auto"/>
          <w:sz w:val="18"/>
          <w:szCs w:val="18"/>
        </w:rPr>
        <w:t>份，供方</w:t>
      </w:r>
      <w:r>
        <w:rPr>
          <w:rFonts w:hint="eastAsia"/>
          <w:color w:val="auto"/>
          <w:sz w:val="18"/>
          <w:szCs w:val="18"/>
          <w:u w:val="single"/>
        </w:rPr>
        <w:t>一</w:t>
      </w:r>
      <w:r>
        <w:rPr>
          <w:rFonts w:hint="eastAsia"/>
          <w:color w:val="auto"/>
          <w:sz w:val="18"/>
          <w:szCs w:val="18"/>
        </w:rPr>
        <w:t>份，需方</w:t>
      </w:r>
      <w:r>
        <w:rPr>
          <w:rFonts w:hint="eastAsia"/>
          <w:color w:val="auto"/>
          <w:sz w:val="18"/>
          <w:szCs w:val="18"/>
          <w:u w:val="single"/>
        </w:rPr>
        <w:t>二</w:t>
      </w:r>
      <w:r>
        <w:rPr>
          <w:rFonts w:hint="eastAsia"/>
          <w:color w:val="auto"/>
          <w:sz w:val="18"/>
          <w:szCs w:val="18"/>
        </w:rPr>
        <w:t>份。</w:t>
      </w:r>
    </w:p>
    <w:p w14:paraId="33F54A5F">
      <w:pPr>
        <w:rPr>
          <w:sz w:val="18"/>
          <w:szCs w:val="18"/>
        </w:rPr>
      </w:pPr>
    </w:p>
    <w:p w14:paraId="19CEE865">
      <w:pPr>
        <w:rPr>
          <w:sz w:val="18"/>
          <w:szCs w:val="1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8B3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261" w:type="dxa"/>
          </w:tcPr>
          <w:p w14:paraId="2F977BF0">
            <w:pPr>
              <w:jc w:val="center"/>
              <w:rPr>
                <w:sz w:val="18"/>
                <w:szCs w:val="18"/>
              </w:rPr>
            </w:pPr>
            <w:r>
              <w:rPr>
                <w:rFonts w:hint="eastAsia"/>
                <w:sz w:val="18"/>
                <w:szCs w:val="18"/>
              </w:rPr>
              <w:t>供方</w:t>
            </w:r>
          </w:p>
        </w:tc>
        <w:tc>
          <w:tcPr>
            <w:tcW w:w="4261" w:type="dxa"/>
          </w:tcPr>
          <w:p w14:paraId="46E022CB">
            <w:pPr>
              <w:jc w:val="center"/>
            </w:pPr>
            <w:r>
              <w:rPr>
                <w:rFonts w:hint="eastAsia"/>
                <w:sz w:val="18"/>
                <w:szCs w:val="18"/>
              </w:rPr>
              <w:t>需方</w:t>
            </w:r>
          </w:p>
        </w:tc>
      </w:tr>
      <w:tr w14:paraId="62081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810191">
            <w:pPr>
              <w:rPr>
                <w:sz w:val="18"/>
                <w:szCs w:val="18"/>
              </w:rPr>
            </w:pPr>
            <w:r>
              <w:rPr>
                <w:rFonts w:hint="eastAsia"/>
                <w:sz w:val="18"/>
                <w:szCs w:val="18"/>
              </w:rPr>
              <w:t>单位名称：</w:t>
            </w:r>
          </w:p>
        </w:tc>
        <w:tc>
          <w:tcPr>
            <w:tcW w:w="4261" w:type="dxa"/>
          </w:tcPr>
          <w:p w14:paraId="5C703CC9">
            <w:r>
              <w:rPr>
                <w:rFonts w:hint="eastAsia"/>
                <w:sz w:val="18"/>
                <w:szCs w:val="18"/>
              </w:rPr>
              <w:t>单位名称：</w:t>
            </w:r>
          </w:p>
        </w:tc>
      </w:tr>
      <w:tr w14:paraId="3122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26BE68C">
            <w:pPr>
              <w:rPr>
                <w:sz w:val="18"/>
                <w:szCs w:val="18"/>
              </w:rPr>
            </w:pPr>
            <w:r>
              <w:rPr>
                <w:rFonts w:hint="eastAsia"/>
                <w:sz w:val="18"/>
                <w:szCs w:val="18"/>
              </w:rPr>
              <w:t>纳税人号：</w:t>
            </w:r>
          </w:p>
        </w:tc>
        <w:tc>
          <w:tcPr>
            <w:tcW w:w="4261" w:type="dxa"/>
          </w:tcPr>
          <w:p w14:paraId="2691E6BD">
            <w:r>
              <w:rPr>
                <w:rFonts w:hint="eastAsia"/>
                <w:sz w:val="18"/>
                <w:szCs w:val="18"/>
              </w:rPr>
              <w:t>纳税人号：</w:t>
            </w:r>
          </w:p>
        </w:tc>
      </w:tr>
      <w:tr w14:paraId="1F4FE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754747">
            <w:pPr>
              <w:rPr>
                <w:sz w:val="18"/>
                <w:szCs w:val="18"/>
              </w:rPr>
            </w:pPr>
            <w:r>
              <w:rPr>
                <w:rFonts w:hint="eastAsia"/>
                <w:sz w:val="18"/>
                <w:szCs w:val="18"/>
              </w:rPr>
              <w:t>开户行：</w:t>
            </w:r>
          </w:p>
        </w:tc>
        <w:tc>
          <w:tcPr>
            <w:tcW w:w="4261" w:type="dxa"/>
          </w:tcPr>
          <w:p w14:paraId="348BB701">
            <w:r>
              <w:rPr>
                <w:rFonts w:hint="eastAsia"/>
                <w:sz w:val="18"/>
                <w:szCs w:val="18"/>
              </w:rPr>
              <w:t>开户行：</w:t>
            </w:r>
          </w:p>
        </w:tc>
      </w:tr>
      <w:tr w14:paraId="7ABA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8DA5A52">
            <w:pPr>
              <w:rPr>
                <w:sz w:val="18"/>
                <w:szCs w:val="18"/>
              </w:rPr>
            </w:pPr>
            <w:r>
              <w:rPr>
                <w:rFonts w:hint="eastAsia"/>
                <w:sz w:val="18"/>
                <w:szCs w:val="18"/>
              </w:rPr>
              <w:t>账号：</w:t>
            </w:r>
          </w:p>
        </w:tc>
        <w:tc>
          <w:tcPr>
            <w:tcW w:w="4261" w:type="dxa"/>
          </w:tcPr>
          <w:p w14:paraId="6B7A7967">
            <w:r>
              <w:rPr>
                <w:rFonts w:hint="eastAsia"/>
                <w:sz w:val="18"/>
                <w:szCs w:val="18"/>
              </w:rPr>
              <w:t>账号：</w:t>
            </w:r>
          </w:p>
        </w:tc>
      </w:tr>
      <w:tr w14:paraId="5928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5E12DE4">
            <w:pPr>
              <w:rPr>
                <w:sz w:val="18"/>
                <w:szCs w:val="18"/>
              </w:rPr>
            </w:pPr>
            <w:r>
              <w:rPr>
                <w:rFonts w:hint="eastAsia"/>
                <w:sz w:val="18"/>
                <w:szCs w:val="18"/>
              </w:rPr>
              <w:t>电话：</w:t>
            </w:r>
          </w:p>
        </w:tc>
        <w:tc>
          <w:tcPr>
            <w:tcW w:w="4261" w:type="dxa"/>
          </w:tcPr>
          <w:p w14:paraId="6CBBAE8D">
            <w:r>
              <w:rPr>
                <w:rFonts w:hint="eastAsia"/>
                <w:sz w:val="18"/>
                <w:szCs w:val="18"/>
              </w:rPr>
              <w:t>电话：</w:t>
            </w:r>
          </w:p>
        </w:tc>
      </w:tr>
      <w:tr w14:paraId="2F2B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ABE644">
            <w:pPr>
              <w:rPr>
                <w:sz w:val="18"/>
                <w:szCs w:val="18"/>
              </w:rPr>
            </w:pPr>
            <w:r>
              <w:rPr>
                <w:rFonts w:hint="eastAsia"/>
                <w:sz w:val="18"/>
                <w:szCs w:val="18"/>
              </w:rPr>
              <w:t>地址：</w:t>
            </w:r>
          </w:p>
        </w:tc>
        <w:tc>
          <w:tcPr>
            <w:tcW w:w="4261" w:type="dxa"/>
          </w:tcPr>
          <w:p w14:paraId="62843EF0">
            <w:r>
              <w:rPr>
                <w:rFonts w:hint="eastAsia"/>
                <w:sz w:val="18"/>
                <w:szCs w:val="18"/>
              </w:rPr>
              <w:t>地址：</w:t>
            </w:r>
          </w:p>
        </w:tc>
      </w:tr>
      <w:tr w14:paraId="4C0D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425642A">
            <w:pPr>
              <w:rPr>
                <w:sz w:val="18"/>
                <w:szCs w:val="18"/>
              </w:rPr>
            </w:pPr>
            <w:r>
              <w:rPr>
                <w:rFonts w:hint="eastAsia"/>
                <w:sz w:val="18"/>
                <w:szCs w:val="18"/>
              </w:rPr>
              <w:t>电子邮箱：</w:t>
            </w:r>
          </w:p>
        </w:tc>
        <w:tc>
          <w:tcPr>
            <w:tcW w:w="4261" w:type="dxa"/>
          </w:tcPr>
          <w:p w14:paraId="66BF0EF7">
            <w:pPr>
              <w:rPr>
                <w:sz w:val="18"/>
                <w:szCs w:val="18"/>
              </w:rPr>
            </w:pPr>
            <w:r>
              <w:rPr>
                <w:rFonts w:hint="eastAsia"/>
                <w:sz w:val="18"/>
                <w:szCs w:val="18"/>
              </w:rPr>
              <w:t>电子邮箱：</w:t>
            </w:r>
          </w:p>
        </w:tc>
      </w:tr>
      <w:tr w14:paraId="1AB6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7AF3AA9B">
            <w:pPr>
              <w:rPr>
                <w:sz w:val="18"/>
                <w:szCs w:val="18"/>
              </w:rPr>
            </w:pPr>
            <w:r>
              <w:rPr>
                <w:rFonts w:hint="eastAsia"/>
                <w:sz w:val="18"/>
                <w:szCs w:val="18"/>
              </w:rPr>
              <w:t>法定代表人：</w:t>
            </w:r>
          </w:p>
        </w:tc>
        <w:tc>
          <w:tcPr>
            <w:tcW w:w="4261" w:type="dxa"/>
          </w:tcPr>
          <w:p w14:paraId="5FE411E0">
            <w:r>
              <w:rPr>
                <w:rFonts w:hint="eastAsia"/>
                <w:sz w:val="18"/>
                <w:szCs w:val="18"/>
              </w:rPr>
              <w:t>法定代表人：</w:t>
            </w:r>
          </w:p>
        </w:tc>
      </w:tr>
      <w:tr w14:paraId="637E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11C3274">
            <w:pPr>
              <w:rPr>
                <w:sz w:val="18"/>
                <w:szCs w:val="18"/>
              </w:rPr>
            </w:pPr>
            <w:r>
              <w:rPr>
                <w:rFonts w:hint="eastAsia"/>
                <w:sz w:val="18"/>
                <w:szCs w:val="18"/>
              </w:rPr>
              <w:t>委托代理人：</w:t>
            </w:r>
          </w:p>
        </w:tc>
        <w:tc>
          <w:tcPr>
            <w:tcW w:w="4261" w:type="dxa"/>
          </w:tcPr>
          <w:p w14:paraId="2743DF2C">
            <w:r>
              <w:rPr>
                <w:rFonts w:hint="eastAsia"/>
                <w:sz w:val="18"/>
                <w:szCs w:val="18"/>
              </w:rPr>
              <w:t>委托代理人：</w:t>
            </w:r>
          </w:p>
        </w:tc>
      </w:tr>
    </w:tbl>
    <w:p w14:paraId="329806BC">
      <w:pPr>
        <w:rPr>
          <w:sz w:val="18"/>
          <w:szCs w:val="18"/>
        </w:rPr>
      </w:pPr>
    </w:p>
    <w:p w14:paraId="0F9985A3">
      <w:pPr>
        <w:rPr>
          <w:sz w:val="18"/>
          <w:szCs w:val="18"/>
        </w:rPr>
      </w:pPr>
    </w:p>
    <w:p w14:paraId="27547532">
      <w:pPr>
        <w:rPr>
          <w:sz w:val="18"/>
          <w:szCs w:val="18"/>
        </w:rPr>
      </w:pPr>
    </w:p>
    <w:p w14:paraId="6D4F5F96">
      <w:pPr>
        <w:rPr>
          <w:sz w:val="18"/>
          <w:szCs w:val="18"/>
        </w:rPr>
      </w:pPr>
    </w:p>
    <w:p w14:paraId="4BD4AEB0">
      <w:pPr>
        <w:rPr>
          <w:sz w:val="18"/>
          <w:szCs w:val="18"/>
        </w:rPr>
      </w:pPr>
    </w:p>
    <w:p w14:paraId="3A8CD26F">
      <w:pPr>
        <w:rPr>
          <w:sz w:val="18"/>
          <w:szCs w:val="18"/>
        </w:rPr>
      </w:pPr>
    </w:p>
    <w:p w14:paraId="0A5789E7">
      <w:pPr>
        <w:rPr>
          <w:sz w:val="18"/>
          <w:szCs w:val="18"/>
        </w:rPr>
      </w:pPr>
    </w:p>
    <w:p w14:paraId="595DE335">
      <w:pPr>
        <w:rPr>
          <w:sz w:val="18"/>
          <w:szCs w:val="18"/>
        </w:rPr>
      </w:pPr>
    </w:p>
    <w:p w14:paraId="685C1710">
      <w:pPr>
        <w:rPr>
          <w:sz w:val="18"/>
          <w:szCs w:val="18"/>
        </w:rPr>
      </w:pPr>
    </w:p>
    <w:p w14:paraId="4C842E63">
      <w:pPr>
        <w:rPr>
          <w:sz w:val="18"/>
          <w:szCs w:val="18"/>
        </w:rPr>
      </w:pPr>
    </w:p>
    <w:p w14:paraId="6D35738D">
      <w:pPr>
        <w:rPr>
          <w:sz w:val="18"/>
          <w:szCs w:val="18"/>
        </w:rPr>
      </w:pPr>
    </w:p>
    <w:p w14:paraId="5F25F655">
      <w:pPr>
        <w:rPr>
          <w:sz w:val="18"/>
          <w:szCs w:val="18"/>
        </w:rPr>
      </w:pPr>
    </w:p>
    <w:p w14:paraId="181A95BA">
      <w:pPr>
        <w:rPr>
          <w:sz w:val="18"/>
          <w:szCs w:val="1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02E1">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E2E59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t>3</w:t>
                          </w:r>
                          <w: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DLZp0PwAEAAJ0DAAAOAAAAAAAAAAEAIAAAAB4BAABkcnMvZTJvRG9jLnhtbFBLBQYA&#10;AAAABgAGAFkBAABQBQAAAAA=&#10;">
              <v:fill on="f" focussize="0,0"/>
              <v:stroke on="f"/>
              <v:imagedata o:title=""/>
              <o:lock v:ext="edit" aspectratio="f"/>
              <v:textbox inset="0mm,0mm,0mm,0mm" style="mso-fit-shape-to-text:t;">
                <w:txbxContent>
                  <w:p w14:paraId="0AE2E598">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t>3</w:t>
                    </w:r>
                    <w: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8169F"/>
    <w:multiLevelType w:val="multilevel"/>
    <w:tmpl w:val="5E08169F"/>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YTZlMWYzZGFkMGQwOTJiYjNlMTcyYTc3MTEwMDQifQ=="/>
  </w:docVars>
  <w:rsids>
    <w:rsidRoot w:val="00AD74F2"/>
    <w:rsid w:val="00007418"/>
    <w:rsid w:val="0001269F"/>
    <w:rsid w:val="000362EE"/>
    <w:rsid w:val="000379CD"/>
    <w:rsid w:val="00041159"/>
    <w:rsid w:val="00042A38"/>
    <w:rsid w:val="00043422"/>
    <w:rsid w:val="000439EB"/>
    <w:rsid w:val="00045D6A"/>
    <w:rsid w:val="00057A0F"/>
    <w:rsid w:val="0007769B"/>
    <w:rsid w:val="00080431"/>
    <w:rsid w:val="000A0CBC"/>
    <w:rsid w:val="000A2EE4"/>
    <w:rsid w:val="000A6559"/>
    <w:rsid w:val="000B4EA4"/>
    <w:rsid w:val="000C1217"/>
    <w:rsid w:val="000C2680"/>
    <w:rsid w:val="000E7AD4"/>
    <w:rsid w:val="000F1B2B"/>
    <w:rsid w:val="000F1BFC"/>
    <w:rsid w:val="00103C0C"/>
    <w:rsid w:val="00111254"/>
    <w:rsid w:val="0011266C"/>
    <w:rsid w:val="00113D2D"/>
    <w:rsid w:val="00120EC3"/>
    <w:rsid w:val="0013151E"/>
    <w:rsid w:val="00131935"/>
    <w:rsid w:val="00131D98"/>
    <w:rsid w:val="001325EC"/>
    <w:rsid w:val="00140C6B"/>
    <w:rsid w:val="00157A98"/>
    <w:rsid w:val="001614CD"/>
    <w:rsid w:val="00175955"/>
    <w:rsid w:val="00176CA2"/>
    <w:rsid w:val="0018310B"/>
    <w:rsid w:val="001848FF"/>
    <w:rsid w:val="00187EAF"/>
    <w:rsid w:val="001A4192"/>
    <w:rsid w:val="001B1464"/>
    <w:rsid w:val="001B1E80"/>
    <w:rsid w:val="001B5B66"/>
    <w:rsid w:val="001C4614"/>
    <w:rsid w:val="001D35D1"/>
    <w:rsid w:val="001E2FBB"/>
    <w:rsid w:val="001E5071"/>
    <w:rsid w:val="001F3705"/>
    <w:rsid w:val="001F6E8C"/>
    <w:rsid w:val="002013CB"/>
    <w:rsid w:val="00215B3F"/>
    <w:rsid w:val="00223215"/>
    <w:rsid w:val="00226983"/>
    <w:rsid w:val="00242C65"/>
    <w:rsid w:val="00272394"/>
    <w:rsid w:val="00281B35"/>
    <w:rsid w:val="00283DF3"/>
    <w:rsid w:val="0028470C"/>
    <w:rsid w:val="00285820"/>
    <w:rsid w:val="002A1E0E"/>
    <w:rsid w:val="002A2592"/>
    <w:rsid w:val="002A5A74"/>
    <w:rsid w:val="002B17B4"/>
    <w:rsid w:val="002C34F4"/>
    <w:rsid w:val="002D3190"/>
    <w:rsid w:val="002F1039"/>
    <w:rsid w:val="002F4B8B"/>
    <w:rsid w:val="00300E4B"/>
    <w:rsid w:val="00306D7F"/>
    <w:rsid w:val="0032516E"/>
    <w:rsid w:val="00327C71"/>
    <w:rsid w:val="00392F47"/>
    <w:rsid w:val="003B1D0A"/>
    <w:rsid w:val="003C3711"/>
    <w:rsid w:val="003C399A"/>
    <w:rsid w:val="003C68B8"/>
    <w:rsid w:val="003D240F"/>
    <w:rsid w:val="003D654B"/>
    <w:rsid w:val="003F2F48"/>
    <w:rsid w:val="00423A62"/>
    <w:rsid w:val="00430AC3"/>
    <w:rsid w:val="00430B6C"/>
    <w:rsid w:val="00450DD9"/>
    <w:rsid w:val="00451D8D"/>
    <w:rsid w:val="0045374A"/>
    <w:rsid w:val="004565DD"/>
    <w:rsid w:val="00473574"/>
    <w:rsid w:val="00474A21"/>
    <w:rsid w:val="00482924"/>
    <w:rsid w:val="00483630"/>
    <w:rsid w:val="00485506"/>
    <w:rsid w:val="004912C1"/>
    <w:rsid w:val="00492025"/>
    <w:rsid w:val="004923B3"/>
    <w:rsid w:val="004A507D"/>
    <w:rsid w:val="004A74BD"/>
    <w:rsid w:val="004B0F88"/>
    <w:rsid w:val="004B397F"/>
    <w:rsid w:val="004B45B5"/>
    <w:rsid w:val="004C20AE"/>
    <w:rsid w:val="004C606F"/>
    <w:rsid w:val="004D3368"/>
    <w:rsid w:val="004D3BD5"/>
    <w:rsid w:val="004E6960"/>
    <w:rsid w:val="004F1A46"/>
    <w:rsid w:val="004F2B9A"/>
    <w:rsid w:val="004F5BF2"/>
    <w:rsid w:val="004F5C6B"/>
    <w:rsid w:val="004F708F"/>
    <w:rsid w:val="00502440"/>
    <w:rsid w:val="0050530F"/>
    <w:rsid w:val="00506B60"/>
    <w:rsid w:val="005301E2"/>
    <w:rsid w:val="005318F4"/>
    <w:rsid w:val="005343F1"/>
    <w:rsid w:val="0054643B"/>
    <w:rsid w:val="00546B56"/>
    <w:rsid w:val="00547425"/>
    <w:rsid w:val="00550448"/>
    <w:rsid w:val="005544DB"/>
    <w:rsid w:val="00554719"/>
    <w:rsid w:val="00555418"/>
    <w:rsid w:val="00556AC3"/>
    <w:rsid w:val="00575F63"/>
    <w:rsid w:val="005763D5"/>
    <w:rsid w:val="005838A5"/>
    <w:rsid w:val="00584BCD"/>
    <w:rsid w:val="00595918"/>
    <w:rsid w:val="005A550E"/>
    <w:rsid w:val="005B1CCE"/>
    <w:rsid w:val="005C5699"/>
    <w:rsid w:val="005C6762"/>
    <w:rsid w:val="005E4533"/>
    <w:rsid w:val="005F5DBC"/>
    <w:rsid w:val="00602E44"/>
    <w:rsid w:val="0060706D"/>
    <w:rsid w:val="00613BF3"/>
    <w:rsid w:val="006166AB"/>
    <w:rsid w:val="00626423"/>
    <w:rsid w:val="00632036"/>
    <w:rsid w:val="00647672"/>
    <w:rsid w:val="00650AC6"/>
    <w:rsid w:val="00654FCE"/>
    <w:rsid w:val="00661B96"/>
    <w:rsid w:val="00674817"/>
    <w:rsid w:val="00674AE2"/>
    <w:rsid w:val="006858ED"/>
    <w:rsid w:val="006A6717"/>
    <w:rsid w:val="006B4946"/>
    <w:rsid w:val="006B7B5F"/>
    <w:rsid w:val="006C21C6"/>
    <w:rsid w:val="006D1597"/>
    <w:rsid w:val="006D3517"/>
    <w:rsid w:val="006D3A5C"/>
    <w:rsid w:val="006D50F8"/>
    <w:rsid w:val="006D600A"/>
    <w:rsid w:val="0071525C"/>
    <w:rsid w:val="0071532D"/>
    <w:rsid w:val="00724745"/>
    <w:rsid w:val="00725652"/>
    <w:rsid w:val="007257BA"/>
    <w:rsid w:val="0072683F"/>
    <w:rsid w:val="00726FDC"/>
    <w:rsid w:val="00731EE8"/>
    <w:rsid w:val="00732032"/>
    <w:rsid w:val="00736AE0"/>
    <w:rsid w:val="00740480"/>
    <w:rsid w:val="007514D4"/>
    <w:rsid w:val="007549FD"/>
    <w:rsid w:val="0077051B"/>
    <w:rsid w:val="007714DD"/>
    <w:rsid w:val="00777007"/>
    <w:rsid w:val="00777366"/>
    <w:rsid w:val="007A0357"/>
    <w:rsid w:val="007A1FC1"/>
    <w:rsid w:val="007A7BBE"/>
    <w:rsid w:val="007B581C"/>
    <w:rsid w:val="007C67BC"/>
    <w:rsid w:val="007D66A5"/>
    <w:rsid w:val="007E0386"/>
    <w:rsid w:val="007E0B21"/>
    <w:rsid w:val="007E4739"/>
    <w:rsid w:val="007F01F3"/>
    <w:rsid w:val="007F2747"/>
    <w:rsid w:val="007F3CA0"/>
    <w:rsid w:val="00824055"/>
    <w:rsid w:val="008445D3"/>
    <w:rsid w:val="00847B51"/>
    <w:rsid w:val="0085646E"/>
    <w:rsid w:val="008650D8"/>
    <w:rsid w:val="0087261B"/>
    <w:rsid w:val="00874333"/>
    <w:rsid w:val="00876DFF"/>
    <w:rsid w:val="00884A7E"/>
    <w:rsid w:val="00886AA3"/>
    <w:rsid w:val="0089539E"/>
    <w:rsid w:val="008A1F3A"/>
    <w:rsid w:val="008A7FDE"/>
    <w:rsid w:val="008B0D39"/>
    <w:rsid w:val="008B778B"/>
    <w:rsid w:val="008B7B36"/>
    <w:rsid w:val="008C2ED4"/>
    <w:rsid w:val="008D21B9"/>
    <w:rsid w:val="008D3D8B"/>
    <w:rsid w:val="008D6D00"/>
    <w:rsid w:val="008D793D"/>
    <w:rsid w:val="008E1C51"/>
    <w:rsid w:val="008E3DE5"/>
    <w:rsid w:val="0090539F"/>
    <w:rsid w:val="00905A08"/>
    <w:rsid w:val="00914325"/>
    <w:rsid w:val="00917B07"/>
    <w:rsid w:val="0092562A"/>
    <w:rsid w:val="00926488"/>
    <w:rsid w:val="009276B6"/>
    <w:rsid w:val="00942693"/>
    <w:rsid w:val="009444DA"/>
    <w:rsid w:val="00950BE8"/>
    <w:rsid w:val="00956E3E"/>
    <w:rsid w:val="009707B4"/>
    <w:rsid w:val="00980951"/>
    <w:rsid w:val="00986E0F"/>
    <w:rsid w:val="009A6EE4"/>
    <w:rsid w:val="009B1EA2"/>
    <w:rsid w:val="009B2AD8"/>
    <w:rsid w:val="009B2CFC"/>
    <w:rsid w:val="009C7AD5"/>
    <w:rsid w:val="009E3133"/>
    <w:rsid w:val="009E3195"/>
    <w:rsid w:val="00A0011A"/>
    <w:rsid w:val="00A016FD"/>
    <w:rsid w:val="00A032F4"/>
    <w:rsid w:val="00A033CC"/>
    <w:rsid w:val="00A04125"/>
    <w:rsid w:val="00A129BE"/>
    <w:rsid w:val="00A13EC6"/>
    <w:rsid w:val="00A15776"/>
    <w:rsid w:val="00A21616"/>
    <w:rsid w:val="00A25592"/>
    <w:rsid w:val="00A330FD"/>
    <w:rsid w:val="00A438E6"/>
    <w:rsid w:val="00A455CB"/>
    <w:rsid w:val="00A52452"/>
    <w:rsid w:val="00A62E95"/>
    <w:rsid w:val="00A821EE"/>
    <w:rsid w:val="00A90DCD"/>
    <w:rsid w:val="00AB1313"/>
    <w:rsid w:val="00AC7505"/>
    <w:rsid w:val="00AD74F2"/>
    <w:rsid w:val="00AE59C1"/>
    <w:rsid w:val="00AF6952"/>
    <w:rsid w:val="00B05313"/>
    <w:rsid w:val="00B15F23"/>
    <w:rsid w:val="00B2271B"/>
    <w:rsid w:val="00B23E01"/>
    <w:rsid w:val="00B2771D"/>
    <w:rsid w:val="00B27A56"/>
    <w:rsid w:val="00B40B36"/>
    <w:rsid w:val="00B44F12"/>
    <w:rsid w:val="00B46104"/>
    <w:rsid w:val="00B46D5E"/>
    <w:rsid w:val="00B6373D"/>
    <w:rsid w:val="00B65911"/>
    <w:rsid w:val="00B732CD"/>
    <w:rsid w:val="00B73CBA"/>
    <w:rsid w:val="00B82D9F"/>
    <w:rsid w:val="00B91AD8"/>
    <w:rsid w:val="00B942EA"/>
    <w:rsid w:val="00B95E16"/>
    <w:rsid w:val="00BA497A"/>
    <w:rsid w:val="00BA5BCC"/>
    <w:rsid w:val="00BB30F4"/>
    <w:rsid w:val="00BC0742"/>
    <w:rsid w:val="00BC4309"/>
    <w:rsid w:val="00BD1B35"/>
    <w:rsid w:val="00BD4133"/>
    <w:rsid w:val="00BD4813"/>
    <w:rsid w:val="00BE743E"/>
    <w:rsid w:val="00BF10E4"/>
    <w:rsid w:val="00BF1B66"/>
    <w:rsid w:val="00BF308A"/>
    <w:rsid w:val="00C00B2D"/>
    <w:rsid w:val="00C05091"/>
    <w:rsid w:val="00C06080"/>
    <w:rsid w:val="00C12C88"/>
    <w:rsid w:val="00C16C81"/>
    <w:rsid w:val="00C20D48"/>
    <w:rsid w:val="00C23AFB"/>
    <w:rsid w:val="00C25E0C"/>
    <w:rsid w:val="00C32369"/>
    <w:rsid w:val="00C33FD8"/>
    <w:rsid w:val="00C4072C"/>
    <w:rsid w:val="00C4445E"/>
    <w:rsid w:val="00C44EBB"/>
    <w:rsid w:val="00C47039"/>
    <w:rsid w:val="00C53E63"/>
    <w:rsid w:val="00C54E15"/>
    <w:rsid w:val="00C6112D"/>
    <w:rsid w:val="00C7123D"/>
    <w:rsid w:val="00C74CE8"/>
    <w:rsid w:val="00C83F47"/>
    <w:rsid w:val="00C921D6"/>
    <w:rsid w:val="00CB1E54"/>
    <w:rsid w:val="00CD0C90"/>
    <w:rsid w:val="00CE340F"/>
    <w:rsid w:val="00CF53A9"/>
    <w:rsid w:val="00D02AEA"/>
    <w:rsid w:val="00D034A2"/>
    <w:rsid w:val="00D05840"/>
    <w:rsid w:val="00D17A17"/>
    <w:rsid w:val="00D24927"/>
    <w:rsid w:val="00D3122B"/>
    <w:rsid w:val="00D4057D"/>
    <w:rsid w:val="00D4554A"/>
    <w:rsid w:val="00D476A3"/>
    <w:rsid w:val="00D52A37"/>
    <w:rsid w:val="00D5357A"/>
    <w:rsid w:val="00D64121"/>
    <w:rsid w:val="00D72811"/>
    <w:rsid w:val="00D733AC"/>
    <w:rsid w:val="00D77135"/>
    <w:rsid w:val="00D9147C"/>
    <w:rsid w:val="00DA3F98"/>
    <w:rsid w:val="00DA4072"/>
    <w:rsid w:val="00DA7141"/>
    <w:rsid w:val="00DB1398"/>
    <w:rsid w:val="00DB689B"/>
    <w:rsid w:val="00DC14B7"/>
    <w:rsid w:val="00DD202C"/>
    <w:rsid w:val="00DD2706"/>
    <w:rsid w:val="00DE1064"/>
    <w:rsid w:val="00DE610F"/>
    <w:rsid w:val="00DE716C"/>
    <w:rsid w:val="00DF0CC5"/>
    <w:rsid w:val="00DF12B2"/>
    <w:rsid w:val="00DF48EA"/>
    <w:rsid w:val="00DF52AF"/>
    <w:rsid w:val="00DF730E"/>
    <w:rsid w:val="00E018DE"/>
    <w:rsid w:val="00E13D76"/>
    <w:rsid w:val="00E17F7C"/>
    <w:rsid w:val="00E3151B"/>
    <w:rsid w:val="00E4065F"/>
    <w:rsid w:val="00E44F89"/>
    <w:rsid w:val="00E453B9"/>
    <w:rsid w:val="00E61A90"/>
    <w:rsid w:val="00E6729D"/>
    <w:rsid w:val="00EA545A"/>
    <w:rsid w:val="00EB1859"/>
    <w:rsid w:val="00EB5BDE"/>
    <w:rsid w:val="00EC2F39"/>
    <w:rsid w:val="00EC3194"/>
    <w:rsid w:val="00EC4359"/>
    <w:rsid w:val="00EC6F4F"/>
    <w:rsid w:val="00ED24CD"/>
    <w:rsid w:val="00EE4F1F"/>
    <w:rsid w:val="00EF3A00"/>
    <w:rsid w:val="00F27521"/>
    <w:rsid w:val="00F34FF5"/>
    <w:rsid w:val="00F354E1"/>
    <w:rsid w:val="00F54E35"/>
    <w:rsid w:val="00F7215C"/>
    <w:rsid w:val="00FA0377"/>
    <w:rsid w:val="00FE35A4"/>
    <w:rsid w:val="00FF25A8"/>
    <w:rsid w:val="016449B8"/>
    <w:rsid w:val="01E65CA9"/>
    <w:rsid w:val="035A6806"/>
    <w:rsid w:val="04CA1846"/>
    <w:rsid w:val="05337EA4"/>
    <w:rsid w:val="05565C41"/>
    <w:rsid w:val="0614377D"/>
    <w:rsid w:val="062318A1"/>
    <w:rsid w:val="09926C3F"/>
    <w:rsid w:val="0BDC3301"/>
    <w:rsid w:val="0D410E8F"/>
    <w:rsid w:val="0EEC25DF"/>
    <w:rsid w:val="0F4B61DB"/>
    <w:rsid w:val="0F8D020F"/>
    <w:rsid w:val="0FA201B4"/>
    <w:rsid w:val="1249138C"/>
    <w:rsid w:val="18646982"/>
    <w:rsid w:val="18886916"/>
    <w:rsid w:val="189F55F4"/>
    <w:rsid w:val="19B1109A"/>
    <w:rsid w:val="1AB339DA"/>
    <w:rsid w:val="1AD34BBE"/>
    <w:rsid w:val="1AED65BA"/>
    <w:rsid w:val="211B5076"/>
    <w:rsid w:val="21B535DD"/>
    <w:rsid w:val="21C505DE"/>
    <w:rsid w:val="22017568"/>
    <w:rsid w:val="221413F8"/>
    <w:rsid w:val="247C52A2"/>
    <w:rsid w:val="24C8718B"/>
    <w:rsid w:val="251F4138"/>
    <w:rsid w:val="25E86307"/>
    <w:rsid w:val="26E2323A"/>
    <w:rsid w:val="27137FFC"/>
    <w:rsid w:val="276B793B"/>
    <w:rsid w:val="282C2914"/>
    <w:rsid w:val="282F1BB5"/>
    <w:rsid w:val="2C773801"/>
    <w:rsid w:val="2C8D37A6"/>
    <w:rsid w:val="2D4315D0"/>
    <w:rsid w:val="2EC30AB8"/>
    <w:rsid w:val="30100162"/>
    <w:rsid w:val="311B2E6D"/>
    <w:rsid w:val="317A2B7F"/>
    <w:rsid w:val="31FA7B02"/>
    <w:rsid w:val="329A2711"/>
    <w:rsid w:val="35925A95"/>
    <w:rsid w:val="37F56E1D"/>
    <w:rsid w:val="38481910"/>
    <w:rsid w:val="38AE268C"/>
    <w:rsid w:val="39F21A1E"/>
    <w:rsid w:val="3D03190A"/>
    <w:rsid w:val="3D355197"/>
    <w:rsid w:val="3E3E75F6"/>
    <w:rsid w:val="3E507D4A"/>
    <w:rsid w:val="3F2E3E04"/>
    <w:rsid w:val="3F4A7F61"/>
    <w:rsid w:val="3F551B76"/>
    <w:rsid w:val="3F572A8B"/>
    <w:rsid w:val="40641374"/>
    <w:rsid w:val="41183D3A"/>
    <w:rsid w:val="412B7F85"/>
    <w:rsid w:val="44626381"/>
    <w:rsid w:val="45857CAD"/>
    <w:rsid w:val="45E745BD"/>
    <w:rsid w:val="46F85FF2"/>
    <w:rsid w:val="471D29F9"/>
    <w:rsid w:val="47BA399F"/>
    <w:rsid w:val="485E7E8A"/>
    <w:rsid w:val="48BF3D40"/>
    <w:rsid w:val="492E3B22"/>
    <w:rsid w:val="4A3A1901"/>
    <w:rsid w:val="4C693857"/>
    <w:rsid w:val="4D3267B3"/>
    <w:rsid w:val="508C2CB2"/>
    <w:rsid w:val="509B7AB0"/>
    <w:rsid w:val="50C11598"/>
    <w:rsid w:val="511528FD"/>
    <w:rsid w:val="51442461"/>
    <w:rsid w:val="51D24DD3"/>
    <w:rsid w:val="52632981"/>
    <w:rsid w:val="52747946"/>
    <w:rsid w:val="54113878"/>
    <w:rsid w:val="56DD327D"/>
    <w:rsid w:val="57940908"/>
    <w:rsid w:val="57CE172F"/>
    <w:rsid w:val="5A796864"/>
    <w:rsid w:val="5BB20E3E"/>
    <w:rsid w:val="5CAC5141"/>
    <w:rsid w:val="5CB5062A"/>
    <w:rsid w:val="5DA11ECA"/>
    <w:rsid w:val="5ED50624"/>
    <w:rsid w:val="5F9D4A2A"/>
    <w:rsid w:val="60512EB6"/>
    <w:rsid w:val="60B17AAA"/>
    <w:rsid w:val="62F47913"/>
    <w:rsid w:val="66570776"/>
    <w:rsid w:val="683E4280"/>
    <w:rsid w:val="69050801"/>
    <w:rsid w:val="698F4338"/>
    <w:rsid w:val="69B533D8"/>
    <w:rsid w:val="69BF41C4"/>
    <w:rsid w:val="6A935267"/>
    <w:rsid w:val="6D6368C3"/>
    <w:rsid w:val="6F607075"/>
    <w:rsid w:val="6F94661F"/>
    <w:rsid w:val="7228141A"/>
    <w:rsid w:val="73104B8E"/>
    <w:rsid w:val="73B5089C"/>
    <w:rsid w:val="73DB1ED5"/>
    <w:rsid w:val="73FD7457"/>
    <w:rsid w:val="741D19B7"/>
    <w:rsid w:val="74406800"/>
    <w:rsid w:val="77EA3FED"/>
    <w:rsid w:val="7A6F3097"/>
    <w:rsid w:val="7AE47376"/>
    <w:rsid w:val="7BF10A37"/>
    <w:rsid w:val="7C097536"/>
    <w:rsid w:val="7C285059"/>
    <w:rsid w:val="7F590AD7"/>
    <w:rsid w:val="7F6D5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0"/>
    <w:pPr>
      <w:jc w:val="left"/>
    </w:pPr>
  </w:style>
  <w:style w:type="paragraph" w:styleId="3">
    <w:name w:val="Balloon Text"/>
    <w:basedOn w:val="1"/>
    <w:link w:val="13"/>
    <w:unhideWhenUsed/>
    <w:qFormat/>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annotation subject"/>
    <w:basedOn w:val="2"/>
    <w:next w:val="2"/>
    <w:link w:val="15"/>
    <w:unhideWhenUsed/>
    <w:qFormat/>
    <w:uiPriority w:val="0"/>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unhideWhenUsed/>
    <w:qFormat/>
    <w:uiPriority w:val="0"/>
    <w:rPr>
      <w:sz w:val="21"/>
      <w:szCs w:val="21"/>
    </w:rPr>
  </w:style>
  <w:style w:type="character" w:customStyle="1" w:styleId="11">
    <w:name w:val="页眉 字符"/>
    <w:link w:val="5"/>
    <w:semiHidden/>
    <w:qFormat/>
    <w:uiPriority w:val="99"/>
    <w:rPr>
      <w:sz w:val="18"/>
      <w:szCs w:val="18"/>
    </w:rPr>
  </w:style>
  <w:style w:type="character" w:customStyle="1" w:styleId="12">
    <w:name w:val="页脚 字符"/>
    <w:link w:val="4"/>
    <w:semiHidden/>
    <w:qFormat/>
    <w:uiPriority w:val="99"/>
    <w:rPr>
      <w:sz w:val="18"/>
      <w:szCs w:val="18"/>
    </w:rPr>
  </w:style>
  <w:style w:type="character" w:customStyle="1" w:styleId="13">
    <w:name w:val="批注框文本 字符"/>
    <w:link w:val="3"/>
    <w:semiHidden/>
    <w:qFormat/>
    <w:uiPriority w:val="0"/>
    <w:rPr>
      <w:rFonts w:ascii="Calibri" w:hAnsi="Calibri"/>
      <w:kern w:val="2"/>
      <w:sz w:val="18"/>
      <w:szCs w:val="18"/>
    </w:rPr>
  </w:style>
  <w:style w:type="character" w:customStyle="1" w:styleId="14">
    <w:name w:val="批注文字 字符"/>
    <w:link w:val="2"/>
    <w:semiHidden/>
    <w:qFormat/>
    <w:uiPriority w:val="0"/>
    <w:rPr>
      <w:rFonts w:ascii="Calibri" w:hAnsi="Calibri"/>
      <w:kern w:val="2"/>
      <w:sz w:val="21"/>
      <w:szCs w:val="22"/>
    </w:rPr>
  </w:style>
  <w:style w:type="character" w:customStyle="1" w:styleId="15">
    <w:name w:val="批注主题 字符"/>
    <w:link w:val="6"/>
    <w:semiHidden/>
    <w:qFormat/>
    <w:uiPriority w:val="0"/>
    <w:rPr>
      <w:rFonts w:ascii="Calibri" w:hAnsi="Calibr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1A75E-5BDE-4E5C-A9BE-7F829160C6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3818</Words>
  <Characters>3854</Characters>
  <Lines>27</Lines>
  <Paragraphs>7</Paragraphs>
  <TotalTime>173</TotalTime>
  <ScaleCrop>false</ScaleCrop>
  <LinksUpToDate>false</LinksUpToDate>
  <CharactersWithSpaces>4241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2015-05-01T00:15:00Z</dcterms:created>
  <dc:creator>李晓培</dc:creator>
  <cp:lastModifiedBy>lulu</cp:lastModifiedBy>
  <cp:lastPrinted>2016-10-26T06:50:00Z</cp:lastPrinted>
  <dcterms:modified xsi:type="dcterms:W3CDTF">2024-08-08T07:38:56Z</dcterms:modified>
  <dc:title>二、技术标准及质量要求：执行GB/T3795-2014  牌号FeMn68C7.0，执行FeMn68C7.0（Ⅰ）牌号,理化指标(%) Mn ：65-72%、Si≤2.5%、C≤7%、P≤0.25%、S≤0.03%。</dc:title>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D83C8E27C8B745C38A22829DE91EC648_13</vt:lpwstr>
  </property>
</Properties>
</file>