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B8CF">
      <w:pPr>
        <w:spacing w:after="156" w:afterLines="50" w:line="400" w:lineRule="exact"/>
        <w:jc w:val="center"/>
        <w:rPr>
          <w:rFonts w:ascii="微软雅黑" w:hAnsi="微软雅黑" w:eastAsia="微软雅黑" w:cs="Arial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德高（广州）建材有限公司成品</w:t>
      </w:r>
      <w:r>
        <w:rPr>
          <w:rFonts w:hint="eastAsia" w:ascii="微软雅黑" w:hAnsi="微软雅黑" w:eastAsia="微软雅黑" w:cs="Arial"/>
          <w:b/>
          <w:color w:val="000000"/>
          <w:sz w:val="32"/>
          <w:szCs w:val="32"/>
          <w:lang w:val="en-US" w:eastAsia="zh-CN"/>
        </w:rPr>
        <w:t>运输</w:t>
      </w: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业务</w:t>
      </w:r>
    </w:p>
    <w:p w14:paraId="2031DC9E">
      <w:pPr>
        <w:widowControl/>
        <w:shd w:val="clear" w:color="auto" w:fill="FFFFFF"/>
        <w:spacing w:line="400" w:lineRule="exact"/>
        <w:jc w:val="center"/>
        <w:rPr>
          <w:rFonts w:ascii="微软雅黑" w:hAnsi="微软雅黑" w:eastAsia="微软雅黑" w:cs="Tahoma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招标公告</w:t>
      </w:r>
    </w:p>
    <w:p w14:paraId="0343899F">
      <w:pPr>
        <w:widowControl/>
        <w:shd w:val="clear" w:color="auto" w:fill="FFFFFF"/>
        <w:spacing w:before="156" w:beforeLines="50" w:line="360" w:lineRule="exact"/>
        <w:ind w:firstLine="363" w:firstLineChars="202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德高(广州)建材有限公司就德高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重庆万盛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工厂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物流配送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业务在德高招采平台进行招标采购 ，现公开邀请合格投标人参加投标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。</w:t>
      </w:r>
    </w:p>
    <w:p w14:paraId="41A30F95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  <w:t>一、项目内容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18"/>
          <w:szCs w:val="18"/>
        </w:rPr>
        <w:t>：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1、项目编号：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DGJC-ZB-2504-0111</w:t>
      </w:r>
      <w:bookmarkStart w:id="0" w:name="_GoBack"/>
      <w:bookmarkEnd w:id="0"/>
    </w:p>
    <w:p w14:paraId="73B92A33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2、项目名称：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2025德高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重庆万盛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工厂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物流配送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业务</w:t>
      </w:r>
    </w:p>
    <w:p w14:paraId="58CE2D81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3、招标单位：德高(广州)建材有限公司</w:t>
      </w:r>
    </w:p>
    <w:p w14:paraId="7F38CDDE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4、运输路线：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主要为德高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重庆万盛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工厂至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全国</w:t>
      </w:r>
    </w:p>
    <w:p w14:paraId="75DDFFB6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5、工厂信息：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重庆万盛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工厂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（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重庆市万盛区南桐镇金兰大道1号及3号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）预估年货量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18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万吨左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右</w:t>
      </w:r>
    </w:p>
    <w:p w14:paraId="688C3D1D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6、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承运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物品：建材产品及辅料</w:t>
      </w:r>
    </w:p>
    <w:p w14:paraId="1C174DCC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7、运输方式：公路运输</w:t>
      </w:r>
    </w:p>
    <w:p w14:paraId="2B99F4E1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8、结算方式：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运费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月结</w:t>
      </w:r>
    </w:p>
    <w:p w14:paraId="20E96433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9、招标信息发布：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"http://www.clb.org.cn" </w:instrText>
      </w:r>
      <w:r>
        <w:rPr>
          <w:sz w:val="18"/>
          <w:szCs w:val="18"/>
        </w:rPr>
        <w:fldChar w:fldCharType="separate"/>
      </w:r>
      <w:r>
        <w:rPr>
          <w:rStyle w:val="8"/>
          <w:rFonts w:ascii="微软雅黑" w:hAnsi="微软雅黑" w:eastAsia="微软雅黑" w:cs="Tahoma"/>
          <w:kern w:val="0"/>
          <w:sz w:val="18"/>
          <w:szCs w:val="18"/>
        </w:rPr>
        <w:t>www.clb.org.cn</w:t>
      </w:r>
      <w:r>
        <w:rPr>
          <w:rStyle w:val="8"/>
          <w:rFonts w:ascii="微软雅黑" w:hAnsi="微软雅黑" w:eastAsia="微软雅黑" w:cs="Tahoma"/>
          <w:kern w:val="0"/>
          <w:sz w:val="18"/>
          <w:szCs w:val="18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   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"http://bidding.davco.cn/" </w:instrText>
      </w:r>
      <w:r>
        <w:rPr>
          <w:sz w:val="18"/>
          <w:szCs w:val="18"/>
        </w:rPr>
        <w:fldChar w:fldCharType="separate"/>
      </w:r>
      <w:r>
        <w:rPr>
          <w:rStyle w:val="8"/>
          <w:rFonts w:ascii="微软雅黑" w:hAnsi="微软雅黑" w:eastAsia="微软雅黑" w:cs="Tahoma"/>
          <w:kern w:val="0"/>
          <w:sz w:val="18"/>
          <w:szCs w:val="18"/>
        </w:rPr>
        <w:t>http://bidding.davco.cn/</w:t>
      </w:r>
      <w:r>
        <w:rPr>
          <w:rStyle w:val="8"/>
          <w:rFonts w:ascii="微软雅黑" w:hAnsi="微软雅黑" w:eastAsia="微软雅黑" w:cs="Tahoma"/>
          <w:kern w:val="0"/>
          <w:sz w:val="18"/>
          <w:szCs w:val="18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    </w:t>
      </w:r>
    </w:p>
    <w:p w14:paraId="6AAEB8D4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  <w:t>二、投标资格要求：</w:t>
      </w:r>
    </w:p>
    <w:p w14:paraId="298F3286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1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、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投标单位必须为具有国家核准颁发的《营业执照》《开户许可证》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及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《道路运输许可证》的合法组织；</w:t>
      </w:r>
    </w:p>
    <w:p w14:paraId="14D8A5B8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2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、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注册资金500万及以上，年营业额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000万及以上；</w:t>
      </w:r>
    </w:p>
    <w:p w14:paraId="62403468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3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、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有运作建材行业项目经验的团队，了解建材行业的运输要求。</w:t>
      </w:r>
    </w:p>
    <w:p w14:paraId="51307984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4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、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其他要求。</w:t>
      </w:r>
    </w:p>
    <w:p w14:paraId="0B50BF43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  <w:t>三、招标流程</w:t>
      </w:r>
    </w:p>
    <w:p w14:paraId="29AE63C0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1. 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报名：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日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至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18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日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none"/>
          <w:lang w:val="en-US" w:eastAsia="zh-CN"/>
        </w:rPr>
        <w:t>中午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12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</w:rPr>
        <w:t>点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，意向物流企业登录德高招采平台（网址：http://bidding.davco.cn/），在【使用帮助】中下载操作指引，按照指引在系统中注册用户并报名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。</w:t>
      </w:r>
    </w:p>
    <w:p w14:paraId="620A622A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2. 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招标说明会：德高公司在招采平台中对报名企业进行资格审查，并在系统中通知审查结果，审查合格的企业需按要求填写授权委托书并加盖公章，在德高招采平台提交扫描件，方可参加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21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</w:rPr>
        <w:t>日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举办的线上招标说明会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。</w:t>
      </w:r>
    </w:p>
    <w:p w14:paraId="53405C23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3.  正式投标：投标企业在</w:t>
      </w:r>
      <w:r>
        <w:rPr>
          <w:rFonts w:ascii="微软雅黑" w:hAnsi="微软雅黑" w:eastAsia="微软雅黑" w:cs="Tahoma"/>
          <w:color w:val="auto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auto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4</w:t>
      </w:r>
      <w:r>
        <w:rPr>
          <w:rFonts w:ascii="微软雅黑" w:hAnsi="微软雅黑" w:eastAsia="微软雅黑" w:cs="Tahoma"/>
          <w:color w:val="auto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 w:val="18"/>
          <w:szCs w:val="18"/>
          <w:u w:val="single"/>
          <w:lang w:val="en-US" w:eastAsia="zh-CN"/>
        </w:rPr>
        <w:t>27</w:t>
      </w:r>
      <w:r>
        <w:rPr>
          <w:rFonts w:ascii="微软雅黑" w:hAnsi="微软雅黑" w:eastAsia="微软雅黑" w:cs="Tahoma"/>
          <w:color w:val="auto"/>
          <w:kern w:val="0"/>
          <w:sz w:val="18"/>
          <w:szCs w:val="18"/>
          <w:u w:val="single"/>
        </w:rPr>
        <w:t>日16点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前将10万元保证金打入德高公司指定帐户，德高公司收到保证金后，投标企业可在招采平台中下载投标书电子版，进行标书制作和报价，并于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日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前将投标书送达指定收件地址。</w:t>
      </w:r>
    </w:p>
    <w:p w14:paraId="22A0B020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4.   确认招标结果：德高公司将于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u w:val="single"/>
          <w:lang w:val="en-US" w:eastAsia="zh-CN"/>
        </w:rPr>
        <w:t>16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  <w:u w:val="single"/>
        </w:rPr>
        <w:t>日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通知招标结果。</w:t>
      </w:r>
    </w:p>
    <w:p w14:paraId="45D3BC71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18"/>
          <w:szCs w:val="18"/>
        </w:rPr>
        <w:t>四、招标方联系方式</w:t>
      </w:r>
    </w:p>
    <w:p w14:paraId="67C60836">
      <w:pPr>
        <w:widowControl/>
        <w:shd w:val="clear" w:color="auto" w:fill="FFFFFF"/>
        <w:spacing w:line="360" w:lineRule="exact"/>
        <w:ind w:firstLine="363" w:firstLineChars="202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招标单位：德高（广州）建材有限公司</w:t>
      </w:r>
    </w:p>
    <w:p w14:paraId="56C21C67">
      <w:pPr>
        <w:widowControl/>
        <w:shd w:val="clear" w:color="auto" w:fill="FFFFFF"/>
        <w:spacing w:line="360" w:lineRule="exact"/>
        <w:ind w:firstLine="363" w:firstLineChars="202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联系人：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陈先生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联系电话：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15112196320 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联系邮箱：bfm.wlzb@cn.sika.com</w:t>
      </w:r>
    </w:p>
    <w:p w14:paraId="230166AE">
      <w:pPr>
        <w:widowControl/>
        <w:shd w:val="clear" w:color="auto" w:fill="FFFFFF"/>
        <w:spacing w:line="360" w:lineRule="exact"/>
        <w:ind w:firstLine="363" w:firstLineChars="202"/>
        <w:jc w:val="left"/>
        <w:rPr>
          <w:rFonts w:ascii="微软雅黑" w:hAnsi="微软雅黑" w:eastAsia="微软雅黑" w:cs="Tahoma"/>
          <w:color w:val="333333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德高介绍：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"http://www.davco.cn/" </w:instrText>
      </w:r>
      <w:r>
        <w:rPr>
          <w:sz w:val="18"/>
          <w:szCs w:val="18"/>
        </w:rPr>
        <w:fldChar w:fldCharType="separate"/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http://</w:t>
      </w: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</w:rPr>
        <w:t>www.sikadavco.cn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/</w:t>
      </w: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fldChar w:fldCharType="end"/>
      </w:r>
    </w:p>
    <w:p w14:paraId="4E7B9BF4">
      <w:pPr>
        <w:widowControl/>
        <w:shd w:val="clear" w:color="auto" w:fill="FFFFFF"/>
        <w:spacing w:line="360" w:lineRule="exact"/>
        <w:ind w:firstLine="4980" w:firstLineChars="2767"/>
        <w:jc w:val="center"/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</w:pPr>
      <w:r>
        <w:rPr>
          <w:rFonts w:ascii="微软雅黑" w:hAnsi="微软雅黑" w:eastAsia="微软雅黑" w:cs="Tahoma"/>
          <w:color w:val="333333"/>
          <w:kern w:val="0"/>
          <w:sz w:val="18"/>
          <w:szCs w:val="18"/>
        </w:rPr>
        <w:t>德高(广州)建材有限公司</w:t>
      </w:r>
    </w:p>
    <w:p w14:paraId="3712855D">
      <w:pPr>
        <w:widowControl/>
        <w:shd w:val="clear" w:color="auto" w:fill="FFFFFF"/>
        <w:spacing w:line="360" w:lineRule="exact"/>
        <w:ind w:firstLine="4980" w:firstLineChars="2767"/>
        <w:jc w:val="center"/>
        <w:rPr>
          <w:rFonts w:hint="default" w:ascii="微软雅黑" w:hAnsi="微软雅黑" w:eastAsia="微软雅黑" w:cs="Tahoma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Tahoma"/>
          <w:color w:val="333333"/>
          <w:kern w:val="0"/>
          <w:sz w:val="18"/>
          <w:szCs w:val="18"/>
          <w:lang w:val="en-US" w:eastAsia="zh-CN"/>
        </w:rPr>
        <w:t>2025-04-09</w:t>
      </w:r>
    </w:p>
    <w:sectPr>
      <w:headerReference r:id="rId3" w:type="default"/>
      <w:footerReference r:id="rId4" w:type="default"/>
      <w:pgSz w:w="11906" w:h="16838"/>
      <w:pgMar w:top="700" w:right="849" w:bottom="850" w:left="850" w:header="851" w:footer="4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524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524"/>
    </w:tblGrid>
    <w:tr w14:paraId="46CD65B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567" w:hRule="atLeast"/>
      </w:trPr>
      <w:tc>
        <w:tcPr>
          <w:tcW w:w="9524" w:type="dxa"/>
          <w:noWrap w:val="0"/>
          <w:vAlign w:val="top"/>
        </w:tcPr>
        <w:p w14:paraId="758D40EF">
          <w:pPr>
            <w:pStyle w:val="14"/>
            <w:jc w:val="right"/>
            <w:rPr>
              <w:rFonts w:hint="eastAsia"/>
              <w:b w:val="0"/>
              <w:lang w:val="de-DE" w:eastAsia="zh-CN"/>
            </w:rPr>
          </w:pPr>
          <w:r>
            <w:rPr>
              <w:b w:val="0"/>
              <w:lang w:val="de-DE" w:eastAsia="zh-CN"/>
            </w:rPr>
            <w:fldChar w:fldCharType="begin"/>
          </w:r>
          <w:r>
            <w:rPr>
              <w:b w:val="0"/>
              <w:lang w:val="de-DE" w:eastAsia="zh-CN"/>
            </w:rPr>
            <w:instrText xml:space="preserve">PAGE  \* Arabic  \* MERGEFORMAT</w:instrText>
          </w:r>
          <w:r>
            <w:rPr>
              <w:b w:val="0"/>
              <w:lang w:val="de-DE" w:eastAsia="zh-CN"/>
            </w:rPr>
            <w:fldChar w:fldCharType="separate"/>
          </w:r>
          <w:r>
            <w:rPr>
              <w:b w:val="0"/>
              <w:lang w:val="zh-CN" w:eastAsia="zh-CN"/>
            </w:rPr>
            <w:t>1</w:t>
          </w:r>
          <w:r>
            <w:rPr>
              <w:b w:val="0"/>
              <w:lang w:val="de-DE" w:eastAsia="zh-CN"/>
            </w:rPr>
            <w:fldChar w:fldCharType="end"/>
          </w:r>
          <w:r>
            <w:rPr>
              <w:b w:val="0"/>
              <w:lang w:val="zh-CN" w:eastAsia="zh-CN"/>
            </w:rPr>
            <w:t xml:space="preserve"> / </w:t>
          </w:r>
          <w:r>
            <w:rPr>
              <w:b w:val="0"/>
              <w:lang w:val="de-DE" w:eastAsia="zh-CN"/>
            </w:rPr>
            <w:fldChar w:fldCharType="begin"/>
          </w:r>
          <w:r>
            <w:rPr>
              <w:b w:val="0"/>
              <w:lang w:val="de-DE" w:eastAsia="zh-CN"/>
            </w:rPr>
            <w:instrText xml:space="preserve">NUMPAGES  \* Arabic  \* MERGEFORMAT</w:instrText>
          </w:r>
          <w:r>
            <w:rPr>
              <w:b w:val="0"/>
              <w:lang w:val="de-DE" w:eastAsia="zh-CN"/>
            </w:rPr>
            <w:fldChar w:fldCharType="separate"/>
          </w:r>
          <w:r>
            <w:rPr>
              <w:b w:val="0"/>
              <w:lang w:val="zh-CN" w:eastAsia="zh-CN"/>
            </w:rPr>
            <w:t>3</w:t>
          </w:r>
          <w:r>
            <w:rPr>
              <w:b w:val="0"/>
              <w:lang w:val="de-DE" w:eastAsia="zh-CN"/>
            </w:rPr>
            <w:fldChar w:fldCharType="end"/>
          </w:r>
        </w:p>
      </w:tc>
    </w:tr>
    <w:tr w14:paraId="73F5476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737" w:hRule="atLeast"/>
      </w:trPr>
      <w:tc>
        <w:tcPr>
          <w:tcW w:w="9524" w:type="dxa"/>
          <w:noWrap w:val="0"/>
          <w:vAlign w:val="top"/>
        </w:tcPr>
        <w:p w14:paraId="315E6948">
          <w:pPr>
            <w:spacing w:line="240" w:lineRule="auto"/>
            <w:rPr>
              <w:rFonts w:hint="eastAsia"/>
              <w:b/>
              <w:lang w:eastAsia="zh-CN"/>
            </w:rPr>
          </w:pPr>
          <w:r>
            <w:drawing>
              <wp:inline distT="0" distB="0" distL="114300" distR="114300">
                <wp:extent cx="923925" cy="434340"/>
                <wp:effectExtent l="0" t="0" r="9525" b="3810"/>
                <wp:docPr id="20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574071">
          <w:pPr>
            <w:pStyle w:val="13"/>
            <w:rPr>
              <w:lang w:val="de-DE" w:eastAsia="zh-CN"/>
            </w:rPr>
          </w:pPr>
          <w:r>
            <w:rPr>
              <w:rFonts w:hint="eastAsia"/>
              <w:b/>
              <w:caps/>
              <w:lang w:val="de-DE" w:eastAsia="zh-CN"/>
            </w:rPr>
            <w:t>SIKADavco (Guangzhou) Co</w:t>
          </w:r>
          <w:r>
            <w:rPr>
              <w:b/>
              <w:caps/>
              <w:lang w:val="de-DE"/>
            </w:rPr>
            <w:t>.</w:t>
          </w:r>
          <w:r>
            <w:rPr>
              <w:rFonts w:hint="eastAsia"/>
              <w:b/>
              <w:caps/>
              <w:lang w:val="de-DE" w:eastAsia="zh-CN"/>
            </w:rPr>
            <w:t>, Ltd</w:t>
          </w:r>
          <w:r>
            <w:rPr>
              <w:rFonts w:hint="eastAsia"/>
              <w:lang w:val="de-DE" w:eastAsia="zh-CN"/>
            </w:rPr>
            <w:t xml:space="preserve"> </w:t>
          </w:r>
          <w:r>
            <w:rPr>
              <w:position w:val="3"/>
              <w:lang w:eastAsia="zh-CN"/>
            </w:rPr>
            <w:drawing>
              <wp:inline distT="0" distB="0" distL="114300" distR="114300">
                <wp:extent cx="26035" cy="26035"/>
                <wp:effectExtent l="0" t="0" r="12065" b="2540"/>
                <wp:docPr id="19" name="图片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图片 2" descr="Untitled-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 w:eastAsia="zh-CN"/>
            </w:rPr>
            <w:t xml:space="preserve"> </w:t>
          </w:r>
          <w:r>
            <w:rPr>
              <w:lang w:val="de-DE" w:eastAsia="zh-CN"/>
            </w:rPr>
            <w:t xml:space="preserve"> SikaDavco Guangzhou Headquarters, South Tower, 158 Nanzhou Road, Haizhu District, Guangzhou City, Guangdong Province, PRC</w:t>
          </w:r>
        </w:p>
        <w:p w14:paraId="3F1E91ED">
          <w:pPr>
            <w:pStyle w:val="13"/>
            <w:rPr>
              <w:lang w:val="de-DE" w:eastAsia="zh-CN"/>
            </w:rPr>
          </w:pPr>
          <w:r>
            <w:rPr>
              <w:rFonts w:hint="eastAsia"/>
              <w:b/>
              <w:sz w:val="16"/>
              <w:szCs w:val="16"/>
              <w:lang w:eastAsia="zh-CN"/>
            </w:rPr>
            <w:t>德高</w:t>
          </w:r>
          <w:r>
            <w:rPr>
              <w:rFonts w:hint="eastAsia"/>
              <w:b/>
              <w:sz w:val="16"/>
              <w:szCs w:val="16"/>
              <w:lang w:val="de-DE" w:eastAsia="zh-CN"/>
            </w:rPr>
            <w:t>（</w:t>
          </w:r>
          <w:r>
            <w:rPr>
              <w:rFonts w:hint="eastAsia"/>
              <w:b/>
              <w:sz w:val="16"/>
              <w:szCs w:val="16"/>
              <w:lang w:eastAsia="zh-CN"/>
            </w:rPr>
            <w:t>广州</w:t>
          </w:r>
          <w:r>
            <w:rPr>
              <w:rFonts w:hint="eastAsia"/>
              <w:b/>
              <w:sz w:val="16"/>
              <w:szCs w:val="16"/>
              <w:lang w:val="de-DE" w:eastAsia="zh-CN"/>
            </w:rPr>
            <w:t>）</w:t>
          </w:r>
          <w:r>
            <w:rPr>
              <w:rFonts w:hint="eastAsia"/>
              <w:b/>
              <w:sz w:val="16"/>
              <w:szCs w:val="16"/>
              <w:lang w:eastAsia="zh-CN"/>
            </w:rPr>
            <w:t>建材有限公司</w:t>
          </w:r>
          <w:r>
            <w:rPr>
              <w:rFonts w:hint="eastAsia"/>
              <w:lang w:val="de-DE" w:eastAsia="zh-CN"/>
            </w:rPr>
            <w:t xml:space="preserve">  </w:t>
          </w:r>
          <w:r>
            <w:rPr>
              <w:position w:val="3"/>
              <w:lang w:eastAsia="zh-CN"/>
            </w:rPr>
            <w:drawing>
              <wp:inline distT="0" distB="0" distL="114300" distR="114300">
                <wp:extent cx="26035" cy="26035"/>
                <wp:effectExtent l="0" t="0" r="12065" b="2540"/>
                <wp:docPr id="14" name="图片 3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图片 3" descr="Untitled-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 w:eastAsia="zh-CN"/>
            </w:rPr>
            <w:t xml:space="preserve">  </w:t>
          </w:r>
          <w:r>
            <w:rPr>
              <w:rFonts w:hint="eastAsia"/>
              <w:sz w:val="16"/>
              <w:szCs w:val="16"/>
              <w:lang w:val="de-DE" w:eastAsia="zh-CN"/>
            </w:rPr>
            <w:t>广州市海珠区南洲路158号南塔西卡德高广州总部</w:t>
          </w:r>
          <w:r>
            <w:rPr>
              <w:rFonts w:hint="eastAsia"/>
              <w:lang w:val="de-DE" w:eastAsia="zh-CN"/>
            </w:rPr>
            <w:t xml:space="preserve">  </w:t>
          </w:r>
          <w:r>
            <w:rPr>
              <w:position w:val="3"/>
              <w:lang w:eastAsia="zh-CN"/>
            </w:rPr>
            <w:drawing>
              <wp:inline distT="0" distB="0" distL="114300" distR="114300">
                <wp:extent cx="26035" cy="26035"/>
                <wp:effectExtent l="0" t="0" r="12065" b="2540"/>
                <wp:docPr id="13" name="图片 4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图片 4" descr="Untitled-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 w:eastAsia="zh-CN"/>
            </w:rPr>
            <w:t xml:space="preserve">  </w:t>
          </w:r>
          <w:r>
            <w:rPr>
              <w:rFonts w:hint="eastAsia"/>
              <w:sz w:val="16"/>
              <w:szCs w:val="16"/>
              <w:lang w:eastAsia="zh-CN"/>
            </w:rPr>
            <w:t>邮编</w:t>
          </w:r>
          <w:r>
            <w:rPr>
              <w:rFonts w:hint="eastAsia"/>
              <w:sz w:val="16"/>
              <w:szCs w:val="16"/>
              <w:lang w:val="de-DE" w:eastAsia="zh-CN"/>
            </w:rPr>
            <w:t>：</w:t>
          </w:r>
          <w:r>
            <w:rPr>
              <w:position w:val="-1"/>
              <w:sz w:val="18"/>
              <w:szCs w:val="18"/>
              <w:lang w:val="de-DE" w:eastAsia="zh-CN"/>
            </w:rPr>
            <w:t xml:space="preserve"> 510289</w:t>
          </w:r>
        </w:p>
        <w:p w14:paraId="45CE1F93">
          <w:pPr>
            <w:spacing w:line="240" w:lineRule="auto"/>
            <w:rPr>
              <w:rFonts w:hint="eastAsia"/>
              <w:lang w:val="de-DE" w:eastAsia="zh-CN"/>
            </w:rPr>
          </w:pPr>
          <w:r>
            <w:rPr>
              <w:lang w:eastAsia="zh-CN"/>
            </w:rPr>
            <w:drawing>
              <wp:inline distT="0" distB="0" distL="114300" distR="114300">
                <wp:extent cx="120650" cy="94615"/>
                <wp:effectExtent l="0" t="0" r="12700" b="635"/>
                <wp:docPr id="8" name="图片 5" descr="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5" descr="T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de-DE"/>
            </w:rPr>
            <w:t xml:space="preserve"> +86 20 </w:t>
          </w:r>
          <w:r>
            <w:rPr>
              <w:rFonts w:hint="eastAsia"/>
              <w:lang w:val="de-DE"/>
            </w:rPr>
            <w:t xml:space="preserve">8441 1717  </w:t>
          </w:r>
          <w:r>
            <w:rPr>
              <w:position w:val="3"/>
              <w:lang w:eastAsia="zh-CN"/>
            </w:rPr>
            <w:drawing>
              <wp:inline distT="0" distB="0" distL="114300" distR="114300">
                <wp:extent cx="26035" cy="26035"/>
                <wp:effectExtent l="0" t="0" r="12065" b="2540"/>
                <wp:docPr id="10" name="图片 6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6" descr="Untitled-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/>
            </w:rPr>
            <w:t xml:space="preserve">  </w:t>
          </w:r>
          <w:r>
            <w:rPr>
              <w:lang w:eastAsia="zh-CN"/>
            </w:rPr>
            <w:drawing>
              <wp:inline distT="0" distB="0" distL="114300" distR="114300">
                <wp:extent cx="94615" cy="86360"/>
                <wp:effectExtent l="0" t="0" r="635" b="8890"/>
                <wp:docPr id="11" name="图片 7" descr="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7" descr="F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de-DE"/>
            </w:rPr>
            <w:t xml:space="preserve"> +86 20 </w:t>
          </w:r>
          <w:r>
            <w:rPr>
              <w:rFonts w:hint="eastAsia"/>
              <w:lang w:val="de-DE"/>
            </w:rPr>
            <w:t xml:space="preserve">8443 1130  </w:t>
          </w:r>
          <w:r>
            <w:rPr>
              <w:position w:val="3"/>
              <w:lang w:eastAsia="zh-CN"/>
            </w:rPr>
            <w:drawing>
              <wp:inline distT="0" distB="0" distL="114300" distR="114300">
                <wp:extent cx="26035" cy="26035"/>
                <wp:effectExtent l="0" t="0" r="12065" b="2540"/>
                <wp:docPr id="12" name="图片 8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8" descr="Untitled-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/>
            </w:rPr>
            <w:t xml:space="preserve">  </w:t>
          </w:r>
          <w:r>
            <w:rPr>
              <w:lang w:eastAsia="zh-CN"/>
            </w:rPr>
            <w:drawing>
              <wp:inline distT="0" distB="0" distL="114300" distR="114300">
                <wp:extent cx="103505" cy="103505"/>
                <wp:effectExtent l="0" t="0" r="10795" b="10795"/>
                <wp:docPr id="9" name="图片 9" descr="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图片 9" descr="W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lang w:val="de-DE"/>
            </w:rPr>
            <w:t xml:space="preserve"> </w:t>
          </w:r>
          <w:r>
            <w:rPr>
              <w:lang w:val="de-DE"/>
            </w:rPr>
            <w:t>www.sikadavco.cn</w:t>
          </w:r>
        </w:p>
      </w:tc>
    </w:tr>
  </w:tbl>
  <w:p w14:paraId="3CD6A0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A182A">
    <w:pPr>
      <w:pStyle w:val="3"/>
      <w:jc w:val="right"/>
    </w:pPr>
    <w:r>
      <w:rPr>
        <w:sz w:val="24"/>
      </w:rPr>
      <w:drawing>
        <wp:inline distT="0" distB="0" distL="0" distR="0">
          <wp:extent cx="1020445" cy="346710"/>
          <wp:effectExtent l="0" t="0" r="8255" b="0"/>
          <wp:docPr id="49" name="图片 49" descr="说明: 1000_SIK_Logo_ClaimR_NO_ART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49" descr="说明: 1000_SIK_Logo_ClaimR_NO_ARTWO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37" cy="35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B818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OTdhMDAzYTVjNDRiNTAwMDEzODkzYTFlNDQ2ZjIifQ=="/>
  </w:docVars>
  <w:rsids>
    <w:rsidRoot w:val="00A55C32"/>
    <w:rsid w:val="0001192D"/>
    <w:rsid w:val="0005711B"/>
    <w:rsid w:val="000F483A"/>
    <w:rsid w:val="002568A1"/>
    <w:rsid w:val="00257CFC"/>
    <w:rsid w:val="00262DB1"/>
    <w:rsid w:val="002E2D94"/>
    <w:rsid w:val="003505F4"/>
    <w:rsid w:val="003E6FDD"/>
    <w:rsid w:val="00644F72"/>
    <w:rsid w:val="006A12DF"/>
    <w:rsid w:val="006A33DE"/>
    <w:rsid w:val="00775865"/>
    <w:rsid w:val="007B0CF3"/>
    <w:rsid w:val="0089054C"/>
    <w:rsid w:val="00955104"/>
    <w:rsid w:val="00A55C32"/>
    <w:rsid w:val="00AE58C0"/>
    <w:rsid w:val="00AF2255"/>
    <w:rsid w:val="00BE7CF4"/>
    <w:rsid w:val="00CF07FB"/>
    <w:rsid w:val="00F21FDF"/>
    <w:rsid w:val="00F45316"/>
    <w:rsid w:val="00F840FC"/>
    <w:rsid w:val="00FA310F"/>
    <w:rsid w:val="00FB1629"/>
    <w:rsid w:val="01795B45"/>
    <w:rsid w:val="03FF396C"/>
    <w:rsid w:val="07E95DC5"/>
    <w:rsid w:val="0D0A3809"/>
    <w:rsid w:val="0F584118"/>
    <w:rsid w:val="0FB3423F"/>
    <w:rsid w:val="10881228"/>
    <w:rsid w:val="148A5986"/>
    <w:rsid w:val="2F713AA3"/>
    <w:rsid w:val="3C852B58"/>
    <w:rsid w:val="42B23D5F"/>
    <w:rsid w:val="43F92BA4"/>
    <w:rsid w:val="472E6323"/>
    <w:rsid w:val="48EB1D78"/>
    <w:rsid w:val="490A59CB"/>
    <w:rsid w:val="4D626381"/>
    <w:rsid w:val="52630652"/>
    <w:rsid w:val="58F85DEC"/>
    <w:rsid w:val="606A103A"/>
    <w:rsid w:val="619B44B3"/>
    <w:rsid w:val="65EE47FE"/>
    <w:rsid w:val="678C42CF"/>
    <w:rsid w:val="67970C7B"/>
    <w:rsid w:val="69763488"/>
    <w:rsid w:val="70A414B6"/>
    <w:rsid w:val="75383CE8"/>
    <w:rsid w:val="7C050B63"/>
    <w:rsid w:val="7D2754F6"/>
    <w:rsid w:val="7F5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2"/>
    <w:qFormat/>
    <w:uiPriority w:val="0"/>
    <w:pPr>
      <w:jc w:val="center"/>
    </w:pPr>
    <w:rPr>
      <w:rFonts w:ascii="Arial" w:hAnsi="Arial" w:eastAsia="宋体" w:cs="Times New Roman"/>
      <w:b/>
      <w:sz w:val="72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正文文本 2 字符"/>
    <w:basedOn w:val="7"/>
    <w:link w:val="4"/>
    <w:qFormat/>
    <w:uiPriority w:val="0"/>
    <w:rPr>
      <w:rFonts w:ascii="Arial" w:hAnsi="Arial" w:eastAsia="宋体" w:cs="Times New Roman"/>
      <w:b/>
      <w:sz w:val="72"/>
      <w:szCs w:val="20"/>
    </w:rPr>
  </w:style>
  <w:style w:type="paragraph" w:customStyle="1" w:styleId="13">
    <w:name w:val="页脚1"/>
    <w:basedOn w:val="1"/>
    <w:qFormat/>
    <w:uiPriority w:val="0"/>
    <w:pPr>
      <w:widowControl/>
      <w:spacing w:line="250" w:lineRule="exact"/>
      <w:jc w:val="left"/>
    </w:pPr>
    <w:rPr>
      <w:rFonts w:ascii="Calibri" w:hAnsi="Calibri" w:eastAsia="幼圆" w:cs="Times New Roman"/>
      <w:kern w:val="0"/>
      <w:sz w:val="20"/>
      <w:lang w:eastAsia="en-US"/>
    </w:rPr>
  </w:style>
  <w:style w:type="paragraph" w:customStyle="1" w:styleId="14">
    <w:name w:val="Informational text highlighted"/>
    <w:basedOn w:val="15"/>
    <w:qFormat/>
    <w:uiPriority w:val="0"/>
    <w:rPr>
      <w:b/>
      <w:caps/>
    </w:rPr>
  </w:style>
  <w:style w:type="paragraph" w:customStyle="1" w:styleId="15">
    <w:name w:val="Informational text"/>
    <w:basedOn w:val="1"/>
    <w:qFormat/>
    <w:uiPriority w:val="0"/>
    <w:pPr>
      <w:spacing w:line="250" w:lineRule="exact"/>
    </w:pPr>
    <w:rPr>
      <w:rFonts w:eastAsia="幼圆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1DC6-69EE-4A4E-9996-354870EEA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Sika</Company>
  <Pages>1</Pages>
  <Words>729</Words>
  <Characters>887</Characters>
  <Lines>7</Lines>
  <Paragraphs>2</Paragraphs>
  <TotalTime>255</TotalTime>
  <ScaleCrop>false</ScaleCrop>
  <LinksUpToDate>false</LinksUpToDate>
  <CharactersWithSpaces>907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2023-07-21T01:57:00Z</dcterms:created>
  <dc:creator>Zhixiong Zhang</dc:creator>
  <cp:lastModifiedBy>Nic.</cp:lastModifiedBy>
  <cp:lastPrinted>2023-07-21T02:44:00Z</cp:lastPrinted>
  <dcterms:modified xsi:type="dcterms:W3CDTF">2025-04-08T09:45:56Z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13A8F99E0B2A414D9809F65BEE41E56C_12</vt:lpwstr>
  </property>
</Properties>
</file>