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3FA2BF">
      <w:pPr>
        <w:spacing w:before="780" w:beforeLines="250"/>
        <w:jc w:val="center"/>
        <w:rPr>
          <w:rFonts w:ascii="仿宋" w:hAnsi="仿宋" w:eastAsia="仿宋" w:cs="仿宋"/>
          <w:b/>
          <w:color w:val="auto"/>
          <w:sz w:val="72"/>
          <w:szCs w:val="72"/>
        </w:rPr>
      </w:pPr>
      <w:r>
        <w:rPr>
          <w:rFonts w:hint="eastAsia" w:ascii="仿宋" w:hAnsi="仿宋" w:eastAsia="仿宋" w:cs="仿宋"/>
          <w:b/>
          <w:bCs/>
          <w:color w:val="auto"/>
          <w:sz w:val="84"/>
          <w:szCs w:val="84"/>
        </w:rPr>
        <w:drawing>
          <wp:inline distT="0" distB="0" distL="114300" distR="114300">
            <wp:extent cx="2247900" cy="2247900"/>
            <wp:effectExtent l="0" t="0" r="0" b="0"/>
            <wp:docPr id="6" name="图片 1"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图片1"/>
                    <pic:cNvPicPr>
                      <a:picLocks noChangeAspect="1"/>
                    </pic:cNvPicPr>
                  </pic:nvPicPr>
                  <pic:blipFill>
                    <a:blip r:embed="rId9"/>
                    <a:stretch>
                      <a:fillRect/>
                    </a:stretch>
                  </pic:blipFill>
                  <pic:spPr>
                    <a:xfrm>
                      <a:off x="0" y="0"/>
                      <a:ext cx="2247900" cy="2247900"/>
                    </a:xfrm>
                    <a:prstGeom prst="rect">
                      <a:avLst/>
                    </a:prstGeom>
                    <a:noFill/>
                    <a:ln>
                      <a:noFill/>
                    </a:ln>
                  </pic:spPr>
                </pic:pic>
              </a:graphicData>
            </a:graphic>
          </wp:inline>
        </w:drawing>
      </w:r>
    </w:p>
    <w:p w14:paraId="547363E3">
      <w:pPr>
        <w:spacing w:before="780" w:beforeLines="250"/>
        <w:jc w:val="center"/>
        <w:rPr>
          <w:rFonts w:ascii="仿宋" w:hAnsi="仿宋" w:eastAsia="仿宋" w:cs="仿宋"/>
          <w:b/>
          <w:color w:val="auto"/>
          <w:sz w:val="72"/>
          <w:szCs w:val="72"/>
        </w:rPr>
      </w:pPr>
      <w:r>
        <w:rPr>
          <w:rFonts w:hint="eastAsia" w:ascii="仿宋" w:hAnsi="仿宋" w:eastAsia="仿宋" w:cs="仿宋"/>
          <w:b/>
          <w:color w:val="auto"/>
          <w:sz w:val="72"/>
          <w:szCs w:val="72"/>
        </w:rPr>
        <w:t>招标文件</w:t>
      </w:r>
    </w:p>
    <w:p w14:paraId="083F90E7">
      <w:pPr>
        <w:jc w:val="center"/>
        <w:rPr>
          <w:rFonts w:ascii="仿宋" w:hAnsi="仿宋" w:eastAsia="仿宋" w:cs="仿宋"/>
          <w:color w:val="auto"/>
          <w:sz w:val="28"/>
          <w:szCs w:val="28"/>
        </w:rPr>
      </w:pPr>
    </w:p>
    <w:p w14:paraId="010AF3FD">
      <w:pPr>
        <w:rPr>
          <w:rFonts w:ascii="仿宋" w:hAnsi="仿宋" w:eastAsia="仿宋" w:cs="仿宋"/>
          <w:color w:val="auto"/>
          <w:sz w:val="28"/>
          <w:szCs w:val="28"/>
        </w:rPr>
      </w:pPr>
    </w:p>
    <w:p w14:paraId="0C887E7E">
      <w:pPr>
        <w:rPr>
          <w:rFonts w:ascii="仿宋" w:hAnsi="仿宋" w:eastAsia="仿宋" w:cs="仿宋"/>
          <w:color w:val="auto"/>
        </w:rPr>
      </w:pPr>
    </w:p>
    <w:p w14:paraId="07A51BBE">
      <w:pPr>
        <w:rPr>
          <w:rFonts w:ascii="仿宋" w:hAnsi="仿宋" w:eastAsia="仿宋" w:cs="仿宋"/>
          <w:color w:val="auto"/>
          <w:sz w:val="28"/>
          <w:szCs w:val="28"/>
        </w:rPr>
      </w:pPr>
    </w:p>
    <w:p w14:paraId="6F51B71E">
      <w:pPr>
        <w:spacing w:line="360" w:lineRule="auto"/>
        <w:outlineLvl w:val="9"/>
        <w:rPr>
          <w:rFonts w:hint="eastAsia" w:ascii="仿宋" w:hAnsi="仿宋" w:eastAsia="仿宋" w:cs="仿宋"/>
          <w:color w:val="auto"/>
          <w:sz w:val="32"/>
          <w:szCs w:val="32"/>
          <w:highlight w:val="none"/>
          <w:lang w:eastAsia="zh-CN"/>
        </w:rPr>
      </w:pPr>
      <w:bookmarkStart w:id="0" w:name="_Toc31345"/>
      <w:r>
        <w:rPr>
          <w:rFonts w:hint="eastAsia" w:ascii="仿宋" w:hAnsi="仿宋" w:eastAsia="仿宋" w:cs="仿宋"/>
          <w:b/>
          <w:bCs/>
          <w:color w:val="auto"/>
          <w:sz w:val="32"/>
          <w:szCs w:val="32"/>
          <w:highlight w:val="none"/>
        </w:rPr>
        <w:t>项目名称：</w:t>
      </w:r>
      <w:bookmarkEnd w:id="0"/>
      <w:r>
        <w:rPr>
          <w:rFonts w:hint="eastAsia" w:ascii="仿宋" w:hAnsi="仿宋" w:eastAsia="仿宋" w:cs="仿宋"/>
          <w:color w:val="auto"/>
          <w:sz w:val="32"/>
          <w:szCs w:val="32"/>
          <w:highlight w:val="none"/>
          <w:lang w:eastAsia="zh-CN"/>
        </w:rPr>
        <w:t>哈尔滨马迭尔食品股份有限公司物流服务项目</w:t>
      </w:r>
    </w:p>
    <w:p w14:paraId="6DC6476D">
      <w:pPr>
        <w:spacing w:line="360" w:lineRule="auto"/>
        <w:outlineLvl w:val="9"/>
        <w:rPr>
          <w:rFonts w:hint="eastAsia" w:ascii="仿宋" w:hAnsi="仿宋" w:eastAsia="仿宋" w:cs="仿宋"/>
          <w:color w:val="auto"/>
          <w:sz w:val="32"/>
          <w:szCs w:val="32"/>
          <w:highlight w:val="none"/>
          <w:lang w:eastAsia="zh-CN"/>
        </w:rPr>
      </w:pPr>
      <w:bookmarkStart w:id="1" w:name="_Toc19628"/>
      <w:r>
        <w:rPr>
          <w:rFonts w:hint="eastAsia" w:ascii="仿宋" w:hAnsi="仿宋" w:eastAsia="仿宋" w:cs="仿宋"/>
          <w:b/>
          <w:bCs/>
          <w:color w:val="auto"/>
          <w:sz w:val="32"/>
          <w:szCs w:val="32"/>
          <w:highlight w:val="none"/>
        </w:rPr>
        <w:t>项目编号：</w:t>
      </w:r>
      <w:bookmarkEnd w:id="1"/>
      <w:r>
        <w:rPr>
          <w:rFonts w:hint="eastAsia" w:ascii="仿宋" w:hAnsi="仿宋" w:eastAsia="仿宋" w:cs="仿宋"/>
          <w:color w:val="auto"/>
          <w:sz w:val="32"/>
          <w:szCs w:val="32"/>
          <w:highlight w:val="none"/>
          <w:lang w:eastAsia="zh-CN"/>
        </w:rPr>
        <w:t>LSZX-2025-CG0063</w:t>
      </w:r>
    </w:p>
    <w:p w14:paraId="5CAA9C03">
      <w:pPr>
        <w:spacing w:line="360" w:lineRule="auto"/>
        <w:rPr>
          <w:rFonts w:hint="eastAsia" w:ascii="仿宋" w:hAnsi="仿宋" w:eastAsia="仿宋" w:cs="仿宋"/>
          <w:color w:val="auto"/>
          <w:sz w:val="32"/>
          <w:szCs w:val="32"/>
          <w:highlight w:val="none"/>
          <w:lang w:eastAsia="zh-CN"/>
        </w:rPr>
      </w:pPr>
      <w:r>
        <w:rPr>
          <w:rFonts w:hint="eastAsia" w:ascii="仿宋" w:hAnsi="仿宋" w:eastAsia="仿宋" w:cs="仿宋"/>
          <w:b/>
          <w:bCs/>
          <w:color w:val="auto"/>
          <w:sz w:val="32"/>
          <w:szCs w:val="32"/>
          <w:highlight w:val="none"/>
          <w:lang w:eastAsia="zh-CN"/>
        </w:rPr>
        <w:t>招标人</w:t>
      </w:r>
      <w:r>
        <w:rPr>
          <w:rFonts w:hint="eastAsia" w:ascii="仿宋" w:hAnsi="仿宋" w:eastAsia="仿宋" w:cs="仿宋"/>
          <w:b/>
          <w:bCs/>
          <w:color w:val="auto"/>
          <w:sz w:val="32"/>
          <w:szCs w:val="32"/>
          <w:highlight w:val="none"/>
        </w:rPr>
        <w:t>：</w:t>
      </w:r>
      <w:r>
        <w:rPr>
          <w:rFonts w:hint="eastAsia" w:ascii="仿宋" w:hAnsi="仿宋" w:eastAsia="仿宋" w:cs="仿宋"/>
          <w:color w:val="auto"/>
          <w:sz w:val="32"/>
          <w:szCs w:val="32"/>
          <w:highlight w:val="none"/>
          <w:lang w:eastAsia="zh-CN"/>
        </w:rPr>
        <w:t>马迭尔食品（浙江）有限公司</w:t>
      </w:r>
    </w:p>
    <w:p w14:paraId="76DCF0B0">
      <w:pPr>
        <w:spacing w:line="360" w:lineRule="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lang w:eastAsia="zh-CN"/>
        </w:rPr>
        <w:t>招标代理机构</w:t>
      </w:r>
      <w:r>
        <w:rPr>
          <w:rFonts w:hint="eastAsia" w:ascii="仿宋" w:hAnsi="仿宋" w:eastAsia="仿宋" w:cs="仿宋"/>
          <w:b/>
          <w:bCs/>
          <w:color w:val="auto"/>
          <w:sz w:val="32"/>
          <w:szCs w:val="32"/>
          <w:highlight w:val="none"/>
        </w:rPr>
        <w:t>：</w:t>
      </w:r>
      <w:r>
        <w:rPr>
          <w:rFonts w:hint="eastAsia" w:ascii="仿宋" w:hAnsi="仿宋" w:eastAsia="仿宋" w:cs="仿宋"/>
          <w:color w:val="auto"/>
          <w:sz w:val="32"/>
          <w:szCs w:val="32"/>
          <w:highlight w:val="none"/>
        </w:rPr>
        <w:t>衢州市两山工程咨询管理有限公司</w:t>
      </w:r>
    </w:p>
    <w:p w14:paraId="599EDDD1">
      <w:pPr>
        <w:pStyle w:val="21"/>
        <w:rPr>
          <w:rFonts w:hint="eastAsia" w:ascii="仿宋" w:hAnsi="仿宋" w:eastAsia="仿宋" w:cs="仿宋"/>
          <w:color w:val="auto"/>
          <w:sz w:val="32"/>
          <w:szCs w:val="32"/>
          <w:highlight w:val="none"/>
        </w:rPr>
      </w:pPr>
    </w:p>
    <w:p w14:paraId="46228988">
      <w:pPr>
        <w:spacing w:after="400" w:line="560" w:lineRule="exact"/>
        <w:jc w:val="center"/>
        <w:rPr>
          <w:rFonts w:hint="eastAsia" w:ascii="仿宋" w:hAnsi="仿宋" w:eastAsia="仿宋" w:cs="仿宋"/>
          <w:color w:val="auto"/>
          <w:sz w:val="32"/>
          <w:szCs w:val="32"/>
          <w:highlight w:val="yellow"/>
        </w:rPr>
      </w:pPr>
      <w:r>
        <w:rPr>
          <w:rFonts w:hint="eastAsia" w:ascii="仿宋" w:hAnsi="仿宋" w:eastAsia="仿宋" w:cs="仿宋"/>
          <w:color w:val="auto"/>
          <w:sz w:val="32"/>
          <w:szCs w:val="32"/>
          <w:highlight w:val="none"/>
        </w:rPr>
        <w:t>二〇二</w:t>
      </w:r>
      <w:r>
        <w:rPr>
          <w:rFonts w:hint="eastAsia" w:ascii="仿宋" w:hAnsi="仿宋" w:eastAsia="仿宋" w:cs="仿宋"/>
          <w:color w:val="auto"/>
          <w:sz w:val="32"/>
          <w:szCs w:val="32"/>
          <w:highlight w:val="none"/>
          <w:lang w:val="en-US" w:eastAsia="zh-CN"/>
        </w:rPr>
        <w:t>五</w:t>
      </w:r>
      <w:r>
        <w:rPr>
          <w:rFonts w:hint="eastAsia" w:ascii="仿宋" w:hAnsi="仿宋" w:eastAsia="仿宋" w:cs="仿宋"/>
          <w:color w:val="auto"/>
          <w:sz w:val="32"/>
          <w:szCs w:val="32"/>
          <w:highlight w:val="none"/>
        </w:rPr>
        <w:t>年</w:t>
      </w:r>
      <w:r>
        <w:rPr>
          <w:rFonts w:hint="eastAsia" w:ascii="仿宋" w:hAnsi="仿宋" w:eastAsia="仿宋" w:cs="仿宋"/>
          <w:color w:val="auto"/>
          <w:sz w:val="32"/>
          <w:szCs w:val="32"/>
          <w:highlight w:val="none"/>
          <w:lang w:val="en-US" w:eastAsia="zh-CN"/>
        </w:rPr>
        <w:t>四</w:t>
      </w:r>
      <w:r>
        <w:rPr>
          <w:rFonts w:hint="eastAsia" w:ascii="仿宋" w:hAnsi="仿宋" w:eastAsia="仿宋" w:cs="仿宋"/>
          <w:color w:val="auto"/>
          <w:sz w:val="32"/>
          <w:szCs w:val="32"/>
          <w:highlight w:val="none"/>
        </w:rPr>
        <w:t>月</w:t>
      </w:r>
    </w:p>
    <w:p w14:paraId="53383DB8">
      <w:pPr>
        <w:rPr>
          <w:color w:val="auto"/>
        </w:rPr>
        <w:sectPr>
          <w:pgSz w:w="11906" w:h="16838"/>
          <w:pgMar w:top="1440" w:right="1800" w:bottom="1440" w:left="1800" w:header="851" w:footer="992" w:gutter="0"/>
          <w:cols w:space="425" w:num="1"/>
          <w:docGrid w:type="lines" w:linePitch="312" w:charSpace="0"/>
        </w:sectPr>
      </w:pPr>
    </w:p>
    <w:p w14:paraId="0AED03F3">
      <w:pPr>
        <w:outlineLvl w:val="9"/>
        <w:rPr>
          <w:rFonts w:hint="eastAsia" w:ascii="仿宋" w:hAnsi="仿宋" w:eastAsia="仿宋" w:cs="仿宋"/>
          <w:color w:val="auto"/>
          <w:sz w:val="28"/>
          <w:szCs w:val="28"/>
        </w:rPr>
      </w:pPr>
      <w:r>
        <w:rPr>
          <w:rFonts w:hint="eastAsia" w:ascii="仿宋" w:hAnsi="仿宋" w:eastAsia="仿宋" w:cs="仿宋"/>
          <w:color w:val="auto"/>
          <w:sz w:val="28"/>
          <w:szCs w:val="28"/>
        </w:rPr>
        <w:t xml:space="preserve">           </w:t>
      </w:r>
    </w:p>
    <w:sdt>
      <w:sdtPr>
        <w:rPr>
          <w:rFonts w:ascii="宋体" w:hAnsi="宋体" w:eastAsia="宋体" w:cs="Times New Roman"/>
          <w:color w:val="auto"/>
          <w:kern w:val="2"/>
          <w:sz w:val="21"/>
          <w:lang w:val="en-US" w:eastAsia="zh-CN" w:bidi="ar-SA"/>
        </w:rPr>
        <w:id w:val="147463410"/>
        <w15:color w:val="DBDBDB"/>
        <w:docPartObj>
          <w:docPartGallery w:val="Table of Contents"/>
          <w:docPartUnique/>
        </w:docPartObj>
      </w:sdtPr>
      <w:sdtEndPr>
        <w:rPr>
          <w:rFonts w:ascii="宋体" w:hAnsi="宋体" w:eastAsia="宋体" w:cs="Times New Roman"/>
          <w:color w:val="auto"/>
          <w:kern w:val="2"/>
          <w:sz w:val="21"/>
          <w:lang w:val="en-US" w:eastAsia="zh-CN" w:bidi="ar-SA"/>
        </w:rPr>
      </w:sdtEndPr>
      <w:sdtContent>
        <w:p w14:paraId="3D0089E6">
          <w:pPr>
            <w:spacing w:before="0" w:beforeLines="0" w:after="0" w:afterLines="0" w:line="240" w:lineRule="auto"/>
            <w:ind w:left="0" w:leftChars="0" w:right="0" w:rightChars="0" w:firstLine="0" w:firstLineChars="0"/>
            <w:jc w:val="center"/>
            <w:rPr>
              <w:rFonts w:hint="eastAsia" w:ascii="仿宋" w:hAnsi="仿宋" w:eastAsia="仿宋" w:cs="仿宋"/>
              <w:color w:val="auto"/>
              <w:sz w:val="28"/>
              <w:szCs w:val="28"/>
            </w:rPr>
          </w:pPr>
          <w:r>
            <w:rPr>
              <w:rFonts w:hint="eastAsia" w:ascii="仿宋" w:hAnsi="仿宋" w:eastAsia="仿宋" w:cs="仿宋"/>
              <w:color w:val="auto"/>
              <w:sz w:val="32"/>
              <w:szCs w:val="32"/>
            </w:rPr>
            <w:t>目录</w:t>
          </w:r>
        </w:p>
        <w:p w14:paraId="41182743">
          <w:pPr>
            <w:pStyle w:val="16"/>
            <w:tabs>
              <w:tab w:val="right" w:leader="dot" w:pos="8306"/>
            </w:tabs>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TOC \o "1-1" \h \u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\l _Toc23564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第一章  招标公告</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_Toc23564 \h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1</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fldChar w:fldCharType="end"/>
          </w:r>
        </w:p>
        <w:p w14:paraId="014E8467">
          <w:pPr>
            <w:pStyle w:val="16"/>
            <w:tabs>
              <w:tab w:val="right" w:leader="dot" w:pos="8306"/>
            </w:tabs>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\l _Toc26282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第二章  投标人须知前附表及投标人须知</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_Toc26282 \h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5</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fldChar w:fldCharType="end"/>
          </w:r>
        </w:p>
        <w:p w14:paraId="23DCFF44">
          <w:pPr>
            <w:pStyle w:val="16"/>
            <w:tabs>
              <w:tab w:val="right" w:leader="dot" w:pos="8306"/>
            </w:tabs>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\l _Toc28925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highlight w:val="none"/>
            </w:rPr>
            <w:t xml:space="preserve">第三章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采购内容及要求</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_Toc28925 \h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23</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fldChar w:fldCharType="end"/>
          </w:r>
        </w:p>
        <w:p w14:paraId="15042A5C">
          <w:pPr>
            <w:pStyle w:val="16"/>
            <w:tabs>
              <w:tab w:val="right" w:leader="dot" w:pos="8306"/>
            </w:tabs>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\l _Toc25647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 xml:space="preserve">第四章 </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合同主要条款</w:t>
          </w:r>
          <w:r>
            <w:rPr>
              <w:rFonts w:hint="eastAsia" w:ascii="仿宋" w:hAnsi="仿宋" w:eastAsia="仿宋" w:cs="仿宋"/>
              <w:color w:val="auto"/>
              <w:sz w:val="28"/>
              <w:szCs w:val="28"/>
            </w:rPr>
            <w:tab/>
          </w: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lang w:val="en-US" w:eastAsia="zh-CN"/>
            </w:rPr>
            <w:t>6</w:t>
          </w:r>
        </w:p>
        <w:p w14:paraId="401735DB">
          <w:pPr>
            <w:pStyle w:val="16"/>
            <w:tabs>
              <w:tab w:val="right" w:leader="dot" w:pos="8306"/>
            </w:tabs>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\l _Toc25095 </w:instrText>
          </w:r>
          <w:r>
            <w:rPr>
              <w:rFonts w:hint="eastAsia" w:ascii="仿宋" w:hAnsi="仿宋" w:eastAsia="仿宋" w:cs="仿宋"/>
              <w:color w:val="auto"/>
              <w:sz w:val="28"/>
              <w:szCs w:val="28"/>
            </w:rPr>
            <w:fldChar w:fldCharType="separate"/>
          </w:r>
          <w:r>
            <w:rPr>
              <w:rFonts w:hint="eastAsia" w:ascii="仿宋" w:hAnsi="仿宋" w:eastAsia="仿宋" w:cs="仿宋"/>
              <w:bCs/>
              <w:color w:val="auto"/>
              <w:sz w:val="28"/>
              <w:szCs w:val="28"/>
              <w:lang w:val="zh-CN"/>
            </w:rPr>
            <w:t>第</w:t>
          </w:r>
          <w:r>
            <w:rPr>
              <w:rFonts w:hint="eastAsia" w:ascii="仿宋" w:hAnsi="仿宋" w:eastAsia="仿宋" w:cs="仿宋"/>
              <w:bCs/>
              <w:color w:val="auto"/>
              <w:sz w:val="28"/>
              <w:szCs w:val="28"/>
            </w:rPr>
            <w:t>五</w:t>
          </w:r>
          <w:r>
            <w:rPr>
              <w:rFonts w:hint="eastAsia" w:ascii="仿宋" w:hAnsi="仿宋" w:eastAsia="仿宋" w:cs="仿宋"/>
              <w:bCs/>
              <w:color w:val="auto"/>
              <w:sz w:val="28"/>
              <w:szCs w:val="28"/>
              <w:lang w:val="zh-CN"/>
            </w:rPr>
            <w:t>章</w:t>
          </w:r>
          <w:r>
            <w:rPr>
              <w:rFonts w:hint="eastAsia" w:ascii="仿宋" w:hAnsi="仿宋" w:eastAsia="仿宋" w:cs="仿宋"/>
              <w:bCs/>
              <w:color w:val="auto"/>
              <w:sz w:val="28"/>
              <w:szCs w:val="28"/>
            </w:rPr>
            <w:t xml:space="preserve">  </w:t>
          </w:r>
          <w:r>
            <w:rPr>
              <w:rFonts w:hint="eastAsia" w:ascii="仿宋" w:hAnsi="仿宋" w:eastAsia="仿宋" w:cs="仿宋"/>
              <w:bCs/>
              <w:color w:val="auto"/>
              <w:sz w:val="28"/>
              <w:szCs w:val="28"/>
              <w:lang w:val="zh-CN"/>
            </w:rPr>
            <w:t>评标办法</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_Toc25095 \h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32</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fldChar w:fldCharType="end"/>
          </w:r>
        </w:p>
        <w:p w14:paraId="64D448C3">
          <w:pPr>
            <w:pStyle w:val="16"/>
            <w:tabs>
              <w:tab w:val="right" w:leader="dot" w:pos="8306"/>
            </w:tabs>
            <w:rPr>
              <w:rFonts w:hint="eastAsia" w:ascii="仿宋" w:hAnsi="仿宋" w:eastAsia="仿宋" w:cs="仿宋"/>
              <w:color w:val="auto"/>
              <w:sz w:val="28"/>
              <w:szCs w:val="28"/>
            </w:rPr>
          </w:pP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HYPERLINK \l _Toc30816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第六章  应提交的有关格式范例</w:t>
          </w:r>
          <w:r>
            <w:rPr>
              <w:rFonts w:hint="eastAsia" w:ascii="仿宋" w:hAnsi="仿宋" w:eastAsia="仿宋" w:cs="仿宋"/>
              <w:color w:val="auto"/>
              <w:sz w:val="28"/>
              <w:szCs w:val="28"/>
            </w:rPr>
            <w:tab/>
          </w:r>
          <w:r>
            <w:rPr>
              <w:rFonts w:hint="eastAsia" w:ascii="仿宋" w:hAnsi="仿宋" w:eastAsia="仿宋" w:cs="仿宋"/>
              <w:color w:val="auto"/>
              <w:sz w:val="28"/>
              <w:szCs w:val="28"/>
            </w:rPr>
            <w:fldChar w:fldCharType="begin"/>
          </w:r>
          <w:r>
            <w:rPr>
              <w:rFonts w:hint="eastAsia" w:ascii="仿宋" w:hAnsi="仿宋" w:eastAsia="仿宋" w:cs="仿宋"/>
              <w:color w:val="auto"/>
              <w:sz w:val="28"/>
              <w:szCs w:val="28"/>
            </w:rPr>
            <w:instrText xml:space="preserve"> PAGEREF _Toc30816 \h </w:instrText>
          </w:r>
          <w:r>
            <w:rPr>
              <w:rFonts w:hint="eastAsia" w:ascii="仿宋" w:hAnsi="仿宋" w:eastAsia="仿宋" w:cs="仿宋"/>
              <w:color w:val="auto"/>
              <w:sz w:val="28"/>
              <w:szCs w:val="28"/>
            </w:rPr>
            <w:fldChar w:fldCharType="separate"/>
          </w:r>
          <w:r>
            <w:rPr>
              <w:rFonts w:hint="eastAsia" w:ascii="仿宋" w:hAnsi="仿宋" w:eastAsia="仿宋" w:cs="仿宋"/>
              <w:color w:val="auto"/>
              <w:sz w:val="28"/>
              <w:szCs w:val="28"/>
            </w:rPr>
            <w:t>36</w:t>
          </w:r>
          <w:r>
            <w:rPr>
              <w:rFonts w:hint="eastAsia" w:ascii="仿宋" w:hAnsi="仿宋" w:eastAsia="仿宋" w:cs="仿宋"/>
              <w:color w:val="auto"/>
              <w:sz w:val="28"/>
              <w:szCs w:val="28"/>
            </w:rPr>
            <w:fldChar w:fldCharType="end"/>
          </w:r>
          <w:r>
            <w:rPr>
              <w:rFonts w:hint="eastAsia" w:ascii="仿宋" w:hAnsi="仿宋" w:eastAsia="仿宋" w:cs="仿宋"/>
              <w:color w:val="auto"/>
              <w:sz w:val="28"/>
              <w:szCs w:val="28"/>
            </w:rPr>
            <w:fldChar w:fldCharType="end"/>
          </w:r>
        </w:p>
        <w:p w14:paraId="7399CC95">
          <w:pPr>
            <w:pStyle w:val="21"/>
            <w:rPr>
              <w:color w:val="auto"/>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color w:val="auto"/>
              <w:sz w:val="28"/>
              <w:szCs w:val="28"/>
            </w:rPr>
            <w:fldChar w:fldCharType="end"/>
          </w:r>
        </w:p>
      </w:sdtContent>
    </w:sdt>
    <w:p w14:paraId="143C6774">
      <w:pPr>
        <w:spacing w:line="360" w:lineRule="auto"/>
        <w:jc w:val="center"/>
        <w:outlineLvl w:val="0"/>
        <w:rPr>
          <w:rFonts w:ascii="仿宋" w:hAnsi="仿宋" w:eastAsia="仿宋" w:cs="仿宋"/>
          <w:b/>
          <w:color w:val="auto"/>
          <w:sz w:val="28"/>
          <w:szCs w:val="28"/>
        </w:rPr>
      </w:pPr>
      <w:r>
        <w:rPr>
          <w:rFonts w:hint="eastAsia" w:ascii="仿宋" w:hAnsi="仿宋" w:eastAsia="仿宋" w:cs="仿宋"/>
          <w:color w:val="auto"/>
          <w:sz w:val="28"/>
          <w:szCs w:val="28"/>
        </w:rPr>
        <w:tab/>
      </w:r>
      <w:bookmarkStart w:id="2" w:name="_Toc12539"/>
      <w:bookmarkStart w:id="3" w:name="_Toc16075"/>
      <w:bookmarkStart w:id="4" w:name="_Toc26090"/>
      <w:bookmarkStart w:id="5" w:name="_Toc12795"/>
      <w:bookmarkStart w:id="6" w:name="_Toc31513"/>
      <w:bookmarkStart w:id="7" w:name="_Toc7205"/>
      <w:bookmarkStart w:id="8" w:name="_Toc19326"/>
      <w:bookmarkStart w:id="9" w:name="_Toc7546"/>
      <w:bookmarkStart w:id="10" w:name="_Toc23564"/>
      <w:bookmarkStart w:id="11" w:name="_Toc20797"/>
      <w:bookmarkStart w:id="12" w:name="_Toc23211"/>
      <w:bookmarkStart w:id="13" w:name="_Toc9434"/>
      <w:r>
        <w:rPr>
          <w:rFonts w:hint="eastAsia" w:ascii="仿宋" w:hAnsi="仿宋" w:eastAsia="仿宋" w:cs="仿宋"/>
          <w:b/>
          <w:color w:val="auto"/>
          <w:sz w:val="28"/>
          <w:szCs w:val="28"/>
        </w:rPr>
        <w:t>第一章  招标公告</w:t>
      </w:r>
      <w:bookmarkEnd w:id="2"/>
      <w:bookmarkEnd w:id="3"/>
      <w:bookmarkEnd w:id="4"/>
      <w:bookmarkEnd w:id="5"/>
      <w:bookmarkEnd w:id="6"/>
      <w:bookmarkEnd w:id="7"/>
      <w:bookmarkEnd w:id="8"/>
      <w:bookmarkEnd w:id="9"/>
      <w:bookmarkEnd w:id="10"/>
      <w:bookmarkEnd w:id="11"/>
      <w:bookmarkEnd w:id="12"/>
      <w:bookmarkEnd w:id="13"/>
    </w:p>
    <w:p w14:paraId="34A4CE45">
      <w:pPr>
        <w:spacing w:line="360" w:lineRule="auto"/>
        <w:ind w:firstLine="480" w:firstLineChars="200"/>
        <w:jc w:val="left"/>
        <w:outlineLvl w:val="9"/>
        <w:rPr>
          <w:rFonts w:ascii="仿宋" w:hAnsi="仿宋" w:eastAsia="仿宋" w:cs="仿宋"/>
          <w:color w:val="auto"/>
          <w:sz w:val="24"/>
          <w:szCs w:val="24"/>
        </w:rPr>
      </w:pPr>
      <w:r>
        <w:rPr>
          <w:rFonts w:hint="eastAsia" w:ascii="仿宋" w:hAnsi="仿宋" w:eastAsia="仿宋" w:cs="仿宋"/>
          <w:color w:val="auto"/>
          <w:sz w:val="24"/>
          <w:szCs w:val="24"/>
          <w:lang w:val="en-US" w:eastAsia="zh-CN"/>
        </w:rPr>
        <w:t>参照《衢州市国有企业采购管理办法</w:t>
      </w:r>
      <w:r>
        <w:rPr>
          <w:rFonts w:hint="eastAsia" w:ascii="仿宋" w:hAnsi="仿宋" w:eastAsia="仿宋" w:cs="仿宋"/>
          <w:color w:val="auto"/>
          <w:sz w:val="24"/>
          <w:szCs w:val="24"/>
        </w:rPr>
        <w:t>（试行）》（衢国资发</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2020</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36号）等有关规定，衢州市两山工程咨询管理有限公司受</w:t>
      </w:r>
      <w:r>
        <w:rPr>
          <w:rFonts w:hint="eastAsia" w:ascii="仿宋" w:hAnsi="仿宋" w:eastAsia="仿宋" w:cs="仿宋"/>
          <w:color w:val="auto"/>
          <w:sz w:val="24"/>
          <w:szCs w:val="24"/>
          <w:lang w:eastAsia="zh-CN"/>
        </w:rPr>
        <w:t>马迭尔食品（浙江）有限公司</w:t>
      </w:r>
      <w:r>
        <w:rPr>
          <w:rFonts w:hint="eastAsia" w:ascii="仿宋" w:hAnsi="仿宋" w:eastAsia="仿宋" w:cs="仿宋"/>
          <w:color w:val="auto"/>
          <w:sz w:val="24"/>
          <w:szCs w:val="24"/>
        </w:rPr>
        <w:t>委托，就</w:t>
      </w:r>
      <w:r>
        <w:rPr>
          <w:rFonts w:hint="eastAsia" w:ascii="仿宋" w:hAnsi="仿宋" w:eastAsia="仿宋" w:cs="仿宋"/>
          <w:color w:val="auto"/>
          <w:sz w:val="24"/>
          <w:szCs w:val="24"/>
          <w:lang w:eastAsia="zh-CN"/>
        </w:rPr>
        <w:t>哈尔滨马迭尔食品股份有限公司物流服务项目</w:t>
      </w:r>
      <w:r>
        <w:rPr>
          <w:rFonts w:hint="eastAsia" w:ascii="仿宋" w:hAnsi="仿宋" w:eastAsia="仿宋" w:cs="仿宋"/>
          <w:color w:val="auto"/>
          <w:sz w:val="24"/>
          <w:szCs w:val="24"/>
        </w:rPr>
        <w:t>进行公开招标，欢迎国内合格的投标人前来投标。</w:t>
      </w:r>
    </w:p>
    <w:p w14:paraId="2929A1F6">
      <w:pPr>
        <w:spacing w:line="360" w:lineRule="auto"/>
        <w:ind w:firstLine="480" w:firstLineChars="200"/>
        <w:jc w:val="left"/>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一、项目编号：LSZX-2025-CG0063</w:t>
      </w:r>
    </w:p>
    <w:p w14:paraId="19FCE0CB">
      <w:pPr>
        <w:spacing w:line="360" w:lineRule="auto"/>
        <w:ind w:firstLine="480" w:firstLineChars="200"/>
        <w:jc w:val="left"/>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二、项目名称：哈尔滨马迭尔食品股份有限公司物流服务项目</w:t>
      </w:r>
    </w:p>
    <w:p w14:paraId="38296CF4">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三、</w:t>
      </w:r>
      <w:r>
        <w:rPr>
          <w:rFonts w:hint="eastAsia" w:ascii="仿宋" w:hAnsi="仿宋" w:eastAsia="仿宋" w:cs="仿宋"/>
          <w:color w:val="auto"/>
          <w:sz w:val="24"/>
          <w:szCs w:val="24"/>
          <w:lang w:val="en-US" w:eastAsia="zh-CN"/>
        </w:rPr>
        <w:t>招标</w:t>
      </w:r>
      <w:r>
        <w:rPr>
          <w:rFonts w:hint="eastAsia" w:ascii="仿宋" w:hAnsi="仿宋" w:eastAsia="仿宋" w:cs="仿宋"/>
          <w:color w:val="auto"/>
          <w:sz w:val="24"/>
          <w:szCs w:val="24"/>
          <w:lang w:eastAsia="zh-CN"/>
        </w:rPr>
        <w:t>方式</w:t>
      </w:r>
      <w:r>
        <w:rPr>
          <w:rFonts w:hint="eastAsia" w:ascii="仿宋" w:hAnsi="仿宋" w:eastAsia="仿宋" w:cs="仿宋"/>
          <w:color w:val="auto"/>
          <w:sz w:val="24"/>
          <w:szCs w:val="24"/>
        </w:rPr>
        <w:t>：公开招标</w:t>
      </w:r>
    </w:p>
    <w:p w14:paraId="2C99F6D8">
      <w:pPr>
        <w:snapToGrid w:val="0"/>
        <w:spacing w:line="360" w:lineRule="auto"/>
        <w:ind w:firstLine="480" w:firstLineChars="200"/>
        <w:outlineLvl w:val="9"/>
        <w:rPr>
          <w:rFonts w:ascii="仿宋" w:hAnsi="仿宋" w:eastAsia="仿宋" w:cs="仿宋"/>
          <w:color w:val="auto"/>
          <w:sz w:val="28"/>
          <w:szCs w:val="28"/>
        </w:rPr>
      </w:pPr>
      <w:r>
        <w:rPr>
          <w:rFonts w:hint="eastAsia" w:ascii="仿宋" w:hAnsi="仿宋" w:eastAsia="仿宋" w:cs="仿宋"/>
          <w:color w:val="auto"/>
          <w:sz w:val="24"/>
          <w:szCs w:val="24"/>
        </w:rPr>
        <w:t>四、招标内容及要求：</w:t>
      </w:r>
    </w:p>
    <w:tbl>
      <w:tblPr>
        <w:tblStyle w:val="23"/>
        <w:tblW w:w="960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22"/>
        <w:gridCol w:w="1544"/>
        <w:gridCol w:w="1515"/>
        <w:gridCol w:w="1635"/>
        <w:gridCol w:w="1860"/>
        <w:gridCol w:w="2130"/>
      </w:tblGrid>
      <w:tr w14:paraId="1E4643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922" w:type="dxa"/>
            <w:tcBorders>
              <w:tl2br w:val="nil"/>
              <w:tr2bl w:val="nil"/>
            </w:tcBorders>
            <w:tcMar>
              <w:top w:w="0" w:type="dxa"/>
              <w:left w:w="108" w:type="dxa"/>
              <w:bottom w:w="0" w:type="dxa"/>
              <w:right w:w="108" w:type="dxa"/>
            </w:tcMar>
            <w:vAlign w:val="center"/>
          </w:tcPr>
          <w:p w14:paraId="3AC54255">
            <w:pPr>
              <w:tabs>
                <w:tab w:val="left" w:pos="720"/>
              </w:tabs>
              <w:snapToGrid/>
              <w:spacing w:after="0" w:line="440" w:lineRule="exact"/>
              <w:jc w:val="center"/>
              <w:rPr>
                <w:rFonts w:hint="default"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序号</w:t>
            </w:r>
          </w:p>
        </w:tc>
        <w:tc>
          <w:tcPr>
            <w:tcW w:w="1544" w:type="dxa"/>
            <w:tcBorders>
              <w:tl2br w:val="nil"/>
              <w:tr2bl w:val="nil"/>
            </w:tcBorders>
            <w:tcMar>
              <w:top w:w="0" w:type="dxa"/>
              <w:left w:w="108" w:type="dxa"/>
              <w:bottom w:w="0" w:type="dxa"/>
              <w:right w:w="108" w:type="dxa"/>
            </w:tcMar>
            <w:vAlign w:val="center"/>
          </w:tcPr>
          <w:p w14:paraId="002CE338">
            <w:pPr>
              <w:tabs>
                <w:tab w:val="left" w:pos="720"/>
              </w:tabs>
              <w:snapToGrid/>
              <w:spacing w:after="0" w:line="440" w:lineRule="exact"/>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采购内容与要求</w:t>
            </w:r>
          </w:p>
        </w:tc>
        <w:tc>
          <w:tcPr>
            <w:tcW w:w="1515" w:type="dxa"/>
            <w:tcBorders>
              <w:tl2br w:val="nil"/>
              <w:tr2bl w:val="nil"/>
            </w:tcBorders>
            <w:tcMar>
              <w:top w:w="0" w:type="dxa"/>
              <w:left w:w="108" w:type="dxa"/>
              <w:bottom w:w="0" w:type="dxa"/>
              <w:right w:w="108" w:type="dxa"/>
            </w:tcMar>
            <w:vAlign w:val="center"/>
          </w:tcPr>
          <w:p w14:paraId="60F7B00B">
            <w:pPr>
              <w:tabs>
                <w:tab w:val="left" w:pos="720"/>
              </w:tabs>
              <w:snapToGrid/>
              <w:spacing w:after="0" w:line="440" w:lineRule="exact"/>
              <w:jc w:val="center"/>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val="en-US" w:eastAsia="zh-CN"/>
              </w:rPr>
              <w:t>预算价</w:t>
            </w:r>
          </w:p>
        </w:tc>
        <w:tc>
          <w:tcPr>
            <w:tcW w:w="1635" w:type="dxa"/>
            <w:tcBorders>
              <w:tl2br w:val="nil"/>
              <w:tr2bl w:val="nil"/>
            </w:tcBorders>
            <w:tcMar>
              <w:top w:w="0" w:type="dxa"/>
              <w:left w:w="108" w:type="dxa"/>
              <w:bottom w:w="0" w:type="dxa"/>
              <w:right w:w="108" w:type="dxa"/>
            </w:tcMar>
            <w:vAlign w:val="center"/>
          </w:tcPr>
          <w:p w14:paraId="2A4EEDAB">
            <w:pPr>
              <w:tabs>
                <w:tab w:val="left" w:pos="720"/>
              </w:tabs>
              <w:snapToGrid/>
              <w:spacing w:after="0" w:line="440" w:lineRule="exact"/>
              <w:jc w:val="center"/>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最高限价</w:t>
            </w:r>
          </w:p>
        </w:tc>
        <w:tc>
          <w:tcPr>
            <w:tcW w:w="1860" w:type="dxa"/>
            <w:tcBorders>
              <w:tl2br w:val="nil"/>
              <w:tr2bl w:val="nil"/>
            </w:tcBorders>
            <w:tcMar>
              <w:top w:w="0" w:type="dxa"/>
              <w:left w:w="108" w:type="dxa"/>
              <w:bottom w:w="0" w:type="dxa"/>
              <w:right w:w="108" w:type="dxa"/>
            </w:tcMar>
            <w:vAlign w:val="center"/>
          </w:tcPr>
          <w:p w14:paraId="62D621D7">
            <w:pPr>
              <w:tabs>
                <w:tab w:val="left" w:pos="720"/>
              </w:tabs>
              <w:snapToGrid/>
              <w:spacing w:after="0" w:line="440" w:lineRule="exact"/>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服务</w:t>
            </w:r>
            <w:r>
              <w:rPr>
                <w:rFonts w:hint="eastAsia" w:ascii="仿宋" w:hAnsi="仿宋" w:eastAsia="仿宋" w:cs="仿宋"/>
                <w:b/>
                <w:color w:val="auto"/>
                <w:sz w:val="24"/>
                <w:szCs w:val="24"/>
                <w:highlight w:val="none"/>
              </w:rPr>
              <w:t>期限</w:t>
            </w:r>
          </w:p>
        </w:tc>
        <w:tc>
          <w:tcPr>
            <w:tcW w:w="2130" w:type="dxa"/>
            <w:tcBorders>
              <w:tl2br w:val="nil"/>
              <w:tr2bl w:val="nil"/>
            </w:tcBorders>
            <w:tcMar>
              <w:top w:w="0" w:type="dxa"/>
              <w:left w:w="108" w:type="dxa"/>
              <w:bottom w:w="0" w:type="dxa"/>
              <w:right w:w="108" w:type="dxa"/>
            </w:tcMar>
            <w:vAlign w:val="center"/>
          </w:tcPr>
          <w:p w14:paraId="2EDF21B5">
            <w:pPr>
              <w:tabs>
                <w:tab w:val="left" w:pos="720"/>
              </w:tabs>
              <w:snapToGrid/>
              <w:spacing w:after="0" w:line="440" w:lineRule="exact"/>
              <w:jc w:val="center"/>
              <w:rPr>
                <w:rFonts w:hint="default"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合同签约主体</w:t>
            </w:r>
          </w:p>
        </w:tc>
      </w:tr>
      <w:tr w14:paraId="42543D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34" w:hRule="atLeast"/>
          <w:jc w:val="center"/>
        </w:trPr>
        <w:tc>
          <w:tcPr>
            <w:tcW w:w="922" w:type="dxa"/>
            <w:tcBorders>
              <w:tl2br w:val="nil"/>
              <w:tr2bl w:val="nil"/>
            </w:tcBorders>
            <w:tcMar>
              <w:top w:w="0" w:type="dxa"/>
              <w:left w:w="108" w:type="dxa"/>
              <w:bottom w:w="0" w:type="dxa"/>
              <w:right w:w="108" w:type="dxa"/>
            </w:tcMar>
            <w:vAlign w:val="center"/>
          </w:tcPr>
          <w:p w14:paraId="49D173F3">
            <w:pPr>
              <w:snapToGrid/>
              <w:spacing w:after="0" w:line="440" w:lineRule="exact"/>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1544" w:type="dxa"/>
            <w:tcBorders>
              <w:tl2br w:val="nil"/>
              <w:tr2bl w:val="nil"/>
            </w:tcBorders>
            <w:tcMar>
              <w:top w:w="0" w:type="dxa"/>
              <w:left w:w="108" w:type="dxa"/>
              <w:bottom w:w="0" w:type="dxa"/>
              <w:right w:w="108" w:type="dxa"/>
            </w:tcMar>
            <w:vAlign w:val="center"/>
          </w:tcPr>
          <w:p w14:paraId="08E39C63">
            <w:pPr>
              <w:keepNext w:val="0"/>
              <w:keepLines w:val="0"/>
              <w:pageBreakBefore w:val="0"/>
              <w:widowControl/>
              <w:tabs>
                <w:tab w:val="left" w:pos="720"/>
              </w:tabs>
              <w:kinsoku/>
              <w:wordWrap/>
              <w:overflowPunct/>
              <w:topLinePunct w:val="0"/>
              <w:autoSpaceDE/>
              <w:autoSpaceDN/>
              <w:bidi w:val="0"/>
              <w:snapToGrid/>
              <w:spacing w:after="0" w:line="340" w:lineRule="exact"/>
              <w:jc w:val="center"/>
              <w:textAlignment w:val="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详见</w:t>
            </w:r>
            <w:r>
              <w:rPr>
                <w:rFonts w:hint="eastAsia" w:ascii="仿宋" w:hAnsi="仿宋" w:eastAsia="仿宋" w:cs="仿宋"/>
                <w:color w:val="auto"/>
                <w:sz w:val="24"/>
                <w:szCs w:val="24"/>
                <w:highlight w:val="none"/>
                <w:lang w:val="en-US" w:eastAsia="zh-CN"/>
              </w:rPr>
              <w:t>第三章</w:t>
            </w:r>
            <w:r>
              <w:rPr>
                <w:rFonts w:hint="eastAsia" w:ascii="仿宋" w:hAnsi="仿宋" w:eastAsia="仿宋" w:cs="仿宋"/>
                <w:color w:val="auto"/>
                <w:sz w:val="24"/>
                <w:szCs w:val="24"/>
                <w:highlight w:val="none"/>
              </w:rPr>
              <w:t>采购内容</w:t>
            </w:r>
            <w:r>
              <w:rPr>
                <w:rFonts w:hint="eastAsia" w:ascii="仿宋" w:hAnsi="仿宋" w:eastAsia="仿宋" w:cs="仿宋"/>
                <w:color w:val="auto"/>
                <w:sz w:val="24"/>
                <w:szCs w:val="24"/>
                <w:highlight w:val="none"/>
                <w:lang w:val="en-US" w:eastAsia="zh-CN"/>
              </w:rPr>
              <w:t>及</w:t>
            </w:r>
            <w:r>
              <w:rPr>
                <w:rFonts w:hint="eastAsia" w:ascii="仿宋" w:hAnsi="仿宋" w:eastAsia="仿宋" w:cs="仿宋"/>
                <w:color w:val="auto"/>
                <w:sz w:val="24"/>
                <w:szCs w:val="24"/>
                <w:highlight w:val="none"/>
              </w:rPr>
              <w:t>要求</w:t>
            </w:r>
          </w:p>
        </w:tc>
        <w:tc>
          <w:tcPr>
            <w:tcW w:w="1515" w:type="dxa"/>
            <w:tcBorders>
              <w:tl2br w:val="nil"/>
              <w:tr2bl w:val="nil"/>
            </w:tcBorders>
            <w:tcMar>
              <w:top w:w="0" w:type="dxa"/>
              <w:left w:w="108" w:type="dxa"/>
              <w:bottom w:w="0" w:type="dxa"/>
              <w:right w:w="108" w:type="dxa"/>
            </w:tcMar>
            <w:vAlign w:val="center"/>
          </w:tcPr>
          <w:p w14:paraId="05EBA530">
            <w:pPr>
              <w:keepNext w:val="0"/>
              <w:keepLines w:val="0"/>
              <w:pageBreakBefore w:val="0"/>
              <w:widowControl/>
              <w:kinsoku/>
              <w:wordWrap/>
              <w:overflowPunct/>
              <w:topLinePunct w:val="0"/>
              <w:autoSpaceDE/>
              <w:autoSpaceDN/>
              <w:bidi w:val="0"/>
              <w:adjustRightInd/>
              <w:spacing w:line="34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pacing w:val="-1"/>
                <w:sz w:val="24"/>
                <w:szCs w:val="24"/>
                <w:lang w:val="en-US" w:eastAsia="zh-CN"/>
              </w:rPr>
              <w:t>450万元</w:t>
            </w:r>
          </w:p>
        </w:tc>
        <w:tc>
          <w:tcPr>
            <w:tcW w:w="1635" w:type="dxa"/>
            <w:tcBorders>
              <w:tl2br w:val="nil"/>
              <w:tr2bl w:val="nil"/>
            </w:tcBorders>
            <w:tcMar>
              <w:top w:w="0" w:type="dxa"/>
              <w:left w:w="108" w:type="dxa"/>
              <w:bottom w:w="0" w:type="dxa"/>
              <w:right w:w="108" w:type="dxa"/>
            </w:tcMar>
            <w:vAlign w:val="center"/>
          </w:tcPr>
          <w:p w14:paraId="7CBBC145">
            <w:pPr>
              <w:keepNext w:val="0"/>
              <w:keepLines w:val="0"/>
              <w:pageBreakBefore w:val="0"/>
              <w:widowControl/>
              <w:tabs>
                <w:tab w:val="left" w:pos="720"/>
              </w:tabs>
              <w:kinsoku/>
              <w:wordWrap/>
              <w:overflowPunct/>
              <w:topLinePunct w:val="0"/>
              <w:autoSpaceDE/>
              <w:autoSpaceDN/>
              <w:bidi w:val="0"/>
              <w:snapToGrid/>
              <w:spacing w:after="0" w:line="340" w:lineRule="exact"/>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详见</w:t>
            </w:r>
            <w:r>
              <w:rPr>
                <w:rFonts w:hint="eastAsia" w:ascii="仿宋" w:hAnsi="仿宋" w:eastAsia="仿宋" w:cs="仿宋"/>
                <w:color w:val="auto"/>
                <w:sz w:val="24"/>
                <w:szCs w:val="24"/>
                <w:highlight w:val="none"/>
                <w:lang w:val="en-US" w:eastAsia="zh-CN"/>
              </w:rPr>
              <w:t>第三章</w:t>
            </w:r>
            <w:r>
              <w:rPr>
                <w:rFonts w:hint="eastAsia" w:ascii="仿宋" w:hAnsi="仿宋" w:eastAsia="仿宋" w:cs="仿宋"/>
                <w:color w:val="auto"/>
                <w:sz w:val="24"/>
                <w:szCs w:val="24"/>
                <w:highlight w:val="none"/>
              </w:rPr>
              <w:t>采购内容</w:t>
            </w:r>
            <w:r>
              <w:rPr>
                <w:rFonts w:hint="eastAsia" w:ascii="仿宋" w:hAnsi="仿宋" w:eastAsia="仿宋" w:cs="仿宋"/>
                <w:color w:val="auto"/>
                <w:sz w:val="24"/>
                <w:szCs w:val="24"/>
                <w:highlight w:val="none"/>
                <w:lang w:val="en-US" w:eastAsia="zh-CN"/>
              </w:rPr>
              <w:t>及</w:t>
            </w:r>
            <w:r>
              <w:rPr>
                <w:rFonts w:hint="eastAsia" w:ascii="仿宋" w:hAnsi="仿宋" w:eastAsia="仿宋" w:cs="仿宋"/>
                <w:color w:val="auto"/>
                <w:sz w:val="24"/>
                <w:szCs w:val="24"/>
                <w:highlight w:val="none"/>
              </w:rPr>
              <w:t>要求</w:t>
            </w:r>
          </w:p>
        </w:tc>
        <w:tc>
          <w:tcPr>
            <w:tcW w:w="1860" w:type="dxa"/>
            <w:tcBorders>
              <w:tl2br w:val="nil"/>
              <w:tr2bl w:val="nil"/>
            </w:tcBorders>
            <w:tcMar>
              <w:top w:w="0" w:type="dxa"/>
              <w:left w:w="108" w:type="dxa"/>
              <w:bottom w:w="0" w:type="dxa"/>
              <w:right w:w="108" w:type="dxa"/>
            </w:tcMar>
            <w:vAlign w:val="center"/>
          </w:tcPr>
          <w:p w14:paraId="77F32E94">
            <w:pPr>
              <w:keepNext w:val="0"/>
              <w:keepLines w:val="0"/>
              <w:pageBreakBefore w:val="0"/>
              <w:widowControl/>
              <w:kinsoku/>
              <w:wordWrap/>
              <w:overflowPunct/>
              <w:topLinePunct w:val="0"/>
              <w:autoSpaceDE/>
              <w:autoSpaceDN/>
              <w:bidi w:val="0"/>
              <w:adjustRightInd w:val="0"/>
              <w:snapToGrid w:val="0"/>
              <w:spacing w:after="0" w:line="340" w:lineRule="exact"/>
              <w:ind w:firstLine="480" w:firstLineChars="200"/>
              <w:jc w:val="both"/>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szCs w:val="24"/>
                <w:highlight w:val="none"/>
                <w:lang w:val="en-US" w:eastAsia="zh-CN"/>
              </w:rPr>
              <w:t>自合同签订之日起一年。</w:t>
            </w:r>
          </w:p>
        </w:tc>
        <w:tc>
          <w:tcPr>
            <w:tcW w:w="2130" w:type="dxa"/>
            <w:tcBorders>
              <w:tl2br w:val="nil"/>
              <w:tr2bl w:val="nil"/>
            </w:tcBorders>
            <w:tcMar>
              <w:top w:w="0" w:type="dxa"/>
              <w:left w:w="108" w:type="dxa"/>
              <w:bottom w:w="0" w:type="dxa"/>
              <w:right w:w="108" w:type="dxa"/>
            </w:tcMar>
            <w:vAlign w:val="center"/>
          </w:tcPr>
          <w:p w14:paraId="44E7F888">
            <w:pPr>
              <w:keepNext w:val="0"/>
              <w:keepLines w:val="0"/>
              <w:pageBreakBefore w:val="0"/>
              <w:widowControl/>
              <w:kinsoku/>
              <w:wordWrap/>
              <w:overflowPunct/>
              <w:topLinePunct w:val="0"/>
              <w:autoSpaceDE/>
              <w:autoSpaceDN/>
              <w:bidi w:val="0"/>
              <w:adjustRightInd w:val="0"/>
              <w:snapToGrid w:val="0"/>
              <w:spacing w:after="0" w:line="340" w:lineRule="exact"/>
              <w:ind w:firstLine="476" w:firstLineChars="200"/>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pacing w:val="-1"/>
                <w:sz w:val="24"/>
                <w:szCs w:val="24"/>
                <w:highlight w:val="none"/>
                <w:lang w:val="en-US" w:eastAsia="zh-CN"/>
              </w:rPr>
              <w:t>哈尔滨马迭尔食品股份有限公司</w:t>
            </w:r>
          </w:p>
        </w:tc>
      </w:tr>
    </w:tbl>
    <w:p w14:paraId="1357BB73">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 xml:space="preserve">五、投标人资格要求： </w:t>
      </w:r>
    </w:p>
    <w:p w14:paraId="625BD7E1">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val="zh-CN"/>
        </w:rPr>
        <w:t>符合《</w:t>
      </w:r>
      <w:r>
        <w:rPr>
          <w:rFonts w:hint="eastAsia" w:ascii="仿宋" w:hAnsi="仿宋" w:eastAsia="仿宋" w:cs="仿宋"/>
          <w:color w:val="auto"/>
          <w:sz w:val="24"/>
          <w:szCs w:val="24"/>
        </w:rPr>
        <w:t>衢州市国有企业采购管理办法（试行）</w:t>
      </w:r>
      <w:r>
        <w:rPr>
          <w:rFonts w:hint="eastAsia" w:ascii="仿宋" w:hAnsi="仿宋" w:eastAsia="仿宋" w:cs="仿宋"/>
          <w:color w:val="auto"/>
          <w:sz w:val="24"/>
          <w:szCs w:val="24"/>
          <w:lang w:val="zh-CN"/>
        </w:rPr>
        <w:t>》第</w:t>
      </w:r>
      <w:r>
        <w:rPr>
          <w:rFonts w:hint="eastAsia" w:ascii="仿宋" w:hAnsi="仿宋" w:eastAsia="仿宋" w:cs="仿宋"/>
          <w:color w:val="auto"/>
          <w:sz w:val="24"/>
          <w:szCs w:val="24"/>
        </w:rPr>
        <w:t>十五</w:t>
      </w:r>
      <w:r>
        <w:rPr>
          <w:rFonts w:hint="eastAsia" w:ascii="仿宋" w:hAnsi="仿宋" w:eastAsia="仿宋" w:cs="仿宋"/>
          <w:color w:val="auto"/>
          <w:sz w:val="24"/>
          <w:szCs w:val="24"/>
          <w:lang w:val="zh-CN"/>
        </w:rPr>
        <w:t>条</w:t>
      </w:r>
      <w:r>
        <w:rPr>
          <w:rFonts w:hint="eastAsia" w:ascii="仿宋" w:hAnsi="仿宋" w:eastAsia="仿宋" w:cs="仿宋"/>
          <w:color w:val="auto"/>
          <w:sz w:val="24"/>
          <w:szCs w:val="24"/>
        </w:rPr>
        <w:t>规定：</w:t>
      </w:r>
    </w:p>
    <w:p w14:paraId="2E393674">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1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⑴</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具有独立承担民事责任的能力；</w:t>
      </w:r>
    </w:p>
    <w:p w14:paraId="328A661E">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2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⑵</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具有良好的商业信誉和健全的财务会计制度；</w:t>
      </w:r>
    </w:p>
    <w:p w14:paraId="27C1A1F9">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3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⑶</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具有履行合同所必需的设备、技术和售后保障等能力；</w:t>
      </w:r>
    </w:p>
    <w:p w14:paraId="338539DA">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4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⑷</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有依法缴纳税收和社会保障资金的良好记录；</w:t>
      </w:r>
    </w:p>
    <w:p w14:paraId="2AB68BA5">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5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⑸</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参加采购、招投标等活动前3年内，在经营活动中没有重大违法记录和行贿犯罪记录；</w:t>
      </w:r>
    </w:p>
    <w:p w14:paraId="0AC45677">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6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⑹</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具有法律法规和规范性文件规定的其他条件。</w:t>
      </w:r>
    </w:p>
    <w:p w14:paraId="77B3740D">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val="zh-CN"/>
        </w:rPr>
        <w:t>且必须为未被列入</w:t>
      </w:r>
      <w:r>
        <w:rPr>
          <w:rFonts w:hint="eastAsia" w:ascii="仿宋" w:hAnsi="仿宋" w:eastAsia="仿宋" w:cs="仿宋"/>
          <w:color w:val="auto"/>
          <w:sz w:val="24"/>
          <w:szCs w:val="24"/>
        </w:rPr>
        <w:t>“</w:t>
      </w:r>
      <w:r>
        <w:rPr>
          <w:rFonts w:hint="eastAsia" w:ascii="仿宋" w:hAnsi="仿宋" w:eastAsia="仿宋" w:cs="仿宋"/>
          <w:color w:val="auto"/>
          <w:sz w:val="24"/>
          <w:szCs w:val="24"/>
          <w:lang w:val="zh-CN"/>
        </w:rPr>
        <w:t>信用中国</w:t>
      </w:r>
      <w:r>
        <w:rPr>
          <w:rFonts w:hint="eastAsia" w:ascii="仿宋" w:hAnsi="仿宋" w:eastAsia="仿宋" w:cs="仿宋"/>
          <w:color w:val="auto"/>
          <w:sz w:val="24"/>
          <w:szCs w:val="24"/>
        </w:rPr>
        <w:t>”</w:t>
      </w:r>
      <w:r>
        <w:rPr>
          <w:rFonts w:hint="eastAsia" w:ascii="仿宋" w:hAnsi="仿宋" w:eastAsia="仿宋" w:cs="仿宋"/>
          <w:color w:val="auto"/>
          <w:sz w:val="24"/>
          <w:szCs w:val="24"/>
          <w:lang w:val="zh-CN"/>
        </w:rPr>
        <w:t>网站</w:t>
      </w:r>
      <w:r>
        <w:rPr>
          <w:rFonts w:hint="eastAsia" w:ascii="仿宋" w:hAnsi="仿宋" w:eastAsia="仿宋" w:cs="仿宋"/>
          <w:color w:val="auto"/>
          <w:sz w:val="24"/>
          <w:szCs w:val="24"/>
        </w:rPr>
        <w:t>（www.creditchina.gov.cn</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zh-CN"/>
        </w:rPr>
        <w:t>、中国政府采购网</w:t>
      </w:r>
      <w:r>
        <w:rPr>
          <w:rFonts w:hint="eastAsia" w:ascii="仿宋" w:hAnsi="仿宋" w:eastAsia="仿宋" w:cs="仿宋"/>
          <w:color w:val="auto"/>
          <w:sz w:val="24"/>
          <w:szCs w:val="24"/>
        </w:rPr>
        <w:t>（www.ccgp.gov.cn）</w:t>
      </w:r>
      <w:r>
        <w:rPr>
          <w:rFonts w:hint="eastAsia" w:ascii="仿宋" w:hAnsi="仿宋" w:eastAsia="仿宋" w:cs="仿宋"/>
          <w:color w:val="auto"/>
          <w:sz w:val="24"/>
          <w:szCs w:val="24"/>
          <w:lang w:val="zh-CN"/>
        </w:rPr>
        <w:t>渠道信用记录失信被执行人、重大税收违法案件当事人名单、政府采购严重违法失信行为记录名单的投标人。</w:t>
      </w:r>
    </w:p>
    <w:p w14:paraId="296BADC1">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3.单位负责人为同一人或者存在直接控股、管理关系的不同</w:t>
      </w:r>
      <w:r>
        <w:rPr>
          <w:rFonts w:hint="eastAsia" w:ascii="仿宋" w:hAnsi="仿宋" w:eastAsia="仿宋" w:cs="仿宋"/>
          <w:color w:val="auto"/>
          <w:sz w:val="24"/>
          <w:szCs w:val="24"/>
          <w:lang w:eastAsia="zh-CN"/>
        </w:rPr>
        <w:t>投标人</w:t>
      </w:r>
      <w:r>
        <w:rPr>
          <w:rFonts w:hint="eastAsia" w:ascii="仿宋" w:hAnsi="仿宋" w:eastAsia="仿宋" w:cs="仿宋"/>
          <w:color w:val="auto"/>
          <w:sz w:val="24"/>
          <w:szCs w:val="24"/>
        </w:rPr>
        <w:t>，不得参加同一合同项下的采购活动。</w:t>
      </w:r>
    </w:p>
    <w:p w14:paraId="238875EA">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4.投标人自投标截止时间前三年内无行贿犯罪记录（以中国裁判文书网（网址：http://wenshu.court.gov.cn/）查询到的行贿判决书为准）。</w:t>
      </w:r>
    </w:p>
    <w:p w14:paraId="3EBEFBC8">
      <w:pPr>
        <w:keepNext w:val="0"/>
        <w:keepLines w:val="0"/>
        <w:pageBreakBefore w:val="0"/>
        <w:widowControl w:val="0"/>
        <w:kinsoku/>
        <w:overflowPunct/>
        <w:topLinePunct w:val="0"/>
        <w:autoSpaceDE/>
        <w:autoSpaceDN/>
        <w:bidi w:val="0"/>
        <w:adjustRightInd/>
        <w:spacing w:line="360" w:lineRule="auto"/>
        <w:ind w:firstLine="480" w:firstLineChars="200"/>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本项目的特定资格要求：</w:t>
      </w:r>
      <w:r>
        <w:rPr>
          <w:rFonts w:hint="eastAsia" w:ascii="仿宋" w:hAnsi="仿宋" w:eastAsia="仿宋" w:cs="仿宋"/>
          <w:color w:val="auto"/>
          <w:sz w:val="24"/>
          <w:szCs w:val="24"/>
          <w:highlight w:val="none"/>
          <w:lang w:eastAsia="zh-CN"/>
        </w:rPr>
        <w:t>投标人</w:t>
      </w:r>
      <w:r>
        <w:rPr>
          <w:rFonts w:hint="eastAsia" w:ascii="仿宋" w:hAnsi="仿宋" w:eastAsia="仿宋" w:cs="仿宋"/>
          <w:color w:val="auto"/>
          <w:sz w:val="24"/>
          <w:szCs w:val="24"/>
          <w:highlight w:val="none"/>
        </w:rPr>
        <w:t>须具有有效的《道路运输许可证》</w:t>
      </w:r>
      <w:r>
        <w:rPr>
          <w:rFonts w:hint="eastAsia" w:ascii="仿宋" w:hAnsi="仿宋" w:eastAsia="仿宋" w:cs="仿宋"/>
          <w:color w:val="auto"/>
          <w:sz w:val="24"/>
          <w:szCs w:val="24"/>
          <w:highlight w:val="none"/>
          <w:lang w:eastAsia="zh-CN"/>
        </w:rPr>
        <w:t>。</w:t>
      </w:r>
    </w:p>
    <w:p w14:paraId="69034A82">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.本项目不接受联合体投标。</w:t>
      </w:r>
    </w:p>
    <w:p w14:paraId="15D02506">
      <w:pPr>
        <w:pStyle w:val="32"/>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六、</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获取</w:t>
      </w:r>
    </w:p>
    <w:p w14:paraId="5475180E">
      <w:pPr>
        <w:wordWrap w:val="0"/>
        <w:spacing w:line="360" w:lineRule="auto"/>
        <w:ind w:firstLine="480" w:firstLineChars="200"/>
        <w:outlineLvl w:val="9"/>
        <w:rPr>
          <w:rFonts w:ascii="仿宋" w:hAnsi="仿宋" w:eastAsia="仿宋" w:cs="仿宋"/>
          <w:color w:val="auto"/>
          <w:sz w:val="24"/>
          <w:szCs w:val="24"/>
        </w:rPr>
      </w:pPr>
      <w:bookmarkStart w:id="14" w:name="_Toc18255"/>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投标人</w:t>
      </w:r>
      <w:r>
        <w:rPr>
          <w:rFonts w:hint="eastAsia" w:ascii="仿宋" w:hAnsi="仿宋" w:eastAsia="仿宋" w:cs="仿宋"/>
          <w:color w:val="auto"/>
          <w:sz w:val="24"/>
          <w:szCs w:val="24"/>
        </w:rPr>
        <w:t>按下述要求获取</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，如未在“衢州市阳光交易服务平台”系统内完成相关流程，引起投标无效，责任自负。</w:t>
      </w:r>
    </w:p>
    <w:p w14:paraId="61DBC27C">
      <w:pPr>
        <w:wordWrap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2.本项目</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实行“衢州市阳光交易服务平台”在线申请获取</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，不提供纸质版</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投标人</w:t>
      </w:r>
      <w:r>
        <w:rPr>
          <w:rFonts w:hint="eastAsia" w:ascii="仿宋" w:hAnsi="仿宋" w:eastAsia="仿宋" w:cs="仿宋"/>
          <w:color w:val="auto"/>
          <w:sz w:val="24"/>
          <w:szCs w:val="24"/>
        </w:rPr>
        <w:t>获取</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前应先办理“衢州市阳光交易服务平台”</w:t>
      </w:r>
      <w:r>
        <w:rPr>
          <w:rFonts w:hint="eastAsia" w:ascii="仿宋" w:hAnsi="仿宋" w:eastAsia="仿宋" w:cs="仿宋"/>
          <w:color w:val="auto"/>
          <w:sz w:val="24"/>
          <w:szCs w:val="24"/>
          <w:lang w:eastAsia="zh-CN"/>
        </w:rPr>
        <w:t>投标人</w:t>
      </w:r>
      <w:r>
        <w:rPr>
          <w:rFonts w:hint="eastAsia" w:ascii="仿宋" w:hAnsi="仿宋" w:eastAsia="仿宋" w:cs="仿宋"/>
          <w:color w:val="auto"/>
          <w:sz w:val="24"/>
          <w:szCs w:val="24"/>
        </w:rPr>
        <w:t>信息入库备案同时办理介质CA锁。完成介质CA锁办理预计2～3个工作日，建议各</w:t>
      </w:r>
      <w:r>
        <w:rPr>
          <w:rFonts w:hint="eastAsia" w:ascii="仿宋" w:hAnsi="仿宋" w:eastAsia="仿宋" w:cs="仿宋"/>
          <w:color w:val="auto"/>
          <w:sz w:val="24"/>
          <w:szCs w:val="24"/>
          <w:lang w:eastAsia="zh-CN"/>
        </w:rPr>
        <w:t>投标人</w:t>
      </w:r>
      <w:r>
        <w:rPr>
          <w:rFonts w:hint="eastAsia" w:ascii="仿宋" w:hAnsi="仿宋" w:eastAsia="仿宋" w:cs="仿宋"/>
          <w:color w:val="auto"/>
          <w:sz w:val="24"/>
          <w:szCs w:val="24"/>
        </w:rPr>
        <w:t>合理安排办理时间。</w:t>
      </w:r>
    </w:p>
    <w:p w14:paraId="27F0B46D">
      <w:pPr>
        <w:wordWrap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3.潜在</w:t>
      </w:r>
      <w:r>
        <w:rPr>
          <w:rFonts w:hint="eastAsia" w:ascii="仿宋" w:hAnsi="仿宋" w:eastAsia="仿宋" w:cs="仿宋"/>
          <w:color w:val="auto"/>
          <w:sz w:val="24"/>
          <w:szCs w:val="24"/>
          <w:lang w:eastAsia="zh-CN"/>
        </w:rPr>
        <w:t>投标人</w:t>
      </w:r>
      <w:r>
        <w:rPr>
          <w:rFonts w:hint="eastAsia" w:ascii="仿宋" w:hAnsi="仿宋" w:eastAsia="仿宋" w:cs="仿宋"/>
          <w:color w:val="auto"/>
          <w:sz w:val="24"/>
          <w:szCs w:val="24"/>
        </w:rPr>
        <w:t>登录衢州市阳光交易服务平台（</w:t>
      </w:r>
      <w:r>
        <w:rPr>
          <w:rFonts w:hint="eastAsia" w:ascii="仿宋" w:hAnsi="仿宋" w:eastAsia="仿宋" w:cs="仿宋"/>
          <w:color w:val="auto"/>
          <w:sz w:val="24"/>
          <w:szCs w:val="24"/>
          <w:u w:val="none"/>
        </w:rPr>
        <w:t>https://qzygjy.com/）办理</w:t>
      </w:r>
      <w:r>
        <w:rPr>
          <w:rFonts w:hint="eastAsia" w:ascii="仿宋" w:hAnsi="仿宋" w:eastAsia="仿宋" w:cs="仿宋"/>
          <w:color w:val="auto"/>
          <w:sz w:val="24"/>
          <w:szCs w:val="24"/>
          <w:u w:val="none"/>
          <w:lang w:eastAsia="zh-CN"/>
        </w:rPr>
        <w:t>投标人</w:t>
      </w:r>
      <w:r>
        <w:rPr>
          <w:rFonts w:hint="eastAsia" w:ascii="仿宋" w:hAnsi="仿宋" w:eastAsia="仿宋" w:cs="仿宋"/>
          <w:color w:val="auto"/>
          <w:sz w:val="24"/>
          <w:szCs w:val="24"/>
          <w:u w:val="none"/>
        </w:rPr>
        <w:t>信息入库备案事宜</w:t>
      </w:r>
      <w:r>
        <w:rPr>
          <w:rFonts w:hint="eastAsia" w:ascii="仿宋" w:hAnsi="仿宋" w:eastAsia="仿宋" w:cs="仿宋"/>
          <w:color w:val="auto"/>
          <w:sz w:val="24"/>
          <w:szCs w:val="24"/>
        </w:rPr>
        <w:t>。</w:t>
      </w:r>
    </w:p>
    <w:p w14:paraId="37A7895C">
      <w:pPr>
        <w:wordWrap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4.未办理企业信息入库的</w:t>
      </w:r>
      <w:r>
        <w:rPr>
          <w:rFonts w:hint="eastAsia" w:ascii="仿宋" w:hAnsi="仿宋" w:eastAsia="仿宋" w:cs="仿宋"/>
          <w:color w:val="auto"/>
          <w:sz w:val="24"/>
          <w:szCs w:val="24"/>
          <w:lang w:eastAsia="zh-CN"/>
        </w:rPr>
        <w:t>投标人</w:t>
      </w:r>
      <w:r>
        <w:rPr>
          <w:rFonts w:hint="eastAsia" w:ascii="仿宋" w:hAnsi="仿宋" w:eastAsia="仿宋" w:cs="仿宋"/>
          <w:color w:val="auto"/>
          <w:sz w:val="24"/>
          <w:szCs w:val="24"/>
        </w:rPr>
        <w:t>，根据显示界面提示免费注册，填写、上传相关主体信息，带“*”号的必填，填好后“提交”。</w:t>
      </w:r>
      <w:r>
        <w:rPr>
          <w:rFonts w:hint="eastAsia" w:ascii="仿宋" w:hAnsi="仿宋" w:eastAsia="仿宋" w:cs="仿宋"/>
          <w:color w:val="auto"/>
          <w:sz w:val="24"/>
          <w:szCs w:val="24"/>
          <w:lang w:eastAsia="zh-CN"/>
        </w:rPr>
        <w:t>投标人</w:t>
      </w:r>
      <w:r>
        <w:rPr>
          <w:rFonts w:hint="eastAsia" w:ascii="仿宋" w:hAnsi="仿宋" w:eastAsia="仿宋" w:cs="仿宋"/>
          <w:color w:val="auto"/>
          <w:sz w:val="24"/>
          <w:szCs w:val="24"/>
        </w:rPr>
        <w:t>须提前申领介质CA锁及电子签章，具体操作可参考衢州市阳光交易服务平台交易乙方操作手册。</w:t>
      </w:r>
    </w:p>
    <w:p w14:paraId="2D88C03E">
      <w:pPr>
        <w:wordWrap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5. CA办理：</w:t>
      </w:r>
    </w:p>
    <w:p w14:paraId="1AB6775E">
      <w:pPr>
        <w:wordWrap w:val="0"/>
        <w:spacing w:line="360" w:lineRule="auto"/>
        <w:ind w:firstLine="480" w:firstLineChars="200"/>
        <w:outlineLvl w:val="9"/>
        <w:rPr>
          <w:rFonts w:hint="eastAsia" w:ascii="仿宋" w:hAnsi="仿宋" w:eastAsia="仿宋" w:cs="仿宋"/>
          <w:color w:val="auto"/>
          <w:sz w:val="24"/>
          <w:szCs w:val="24"/>
        </w:rPr>
      </w:pPr>
      <w:r>
        <w:rPr>
          <w:rFonts w:hint="eastAsia" w:ascii="仿宋" w:hAnsi="仿宋" w:eastAsia="仿宋" w:cs="仿宋"/>
          <w:color w:val="auto"/>
          <w:sz w:val="24"/>
          <w:szCs w:val="24"/>
        </w:rPr>
        <w:t>天谷CA：http://www.tseal.cn/tcloud/common.xhtml?projId=307 联系电话：400-087-8198</w:t>
      </w:r>
    </w:p>
    <w:p w14:paraId="4E23B5D1">
      <w:pPr>
        <w:wordWrap w:val="0"/>
        <w:spacing w:line="360" w:lineRule="auto"/>
        <w:ind w:firstLine="480" w:firstLineChars="200"/>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rPr>
        <w:t>新点标证通：https://www.ebpu.com/epbzt/index.html 联系电话：</w:t>
      </w:r>
      <w:r>
        <w:rPr>
          <w:rFonts w:hint="eastAsia" w:ascii="仿宋" w:hAnsi="仿宋" w:eastAsia="仿宋" w:cs="仿宋"/>
          <w:color w:val="auto"/>
          <w:sz w:val="24"/>
          <w:szCs w:val="24"/>
          <w:lang w:eastAsia="zh-CN"/>
        </w:rPr>
        <w:t>0512-58188591</w:t>
      </w:r>
    </w:p>
    <w:p w14:paraId="334DE21E">
      <w:pPr>
        <w:wordWrap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6.</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下载：</w:t>
      </w:r>
    </w:p>
    <w:p w14:paraId="68B921BC">
      <w:pPr>
        <w:wordWrap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1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⑴</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潜在</w:t>
      </w:r>
      <w:r>
        <w:rPr>
          <w:rFonts w:hint="eastAsia" w:ascii="仿宋" w:hAnsi="仿宋" w:eastAsia="仿宋" w:cs="仿宋"/>
          <w:color w:val="auto"/>
          <w:sz w:val="24"/>
          <w:szCs w:val="24"/>
          <w:lang w:eastAsia="zh-CN"/>
        </w:rPr>
        <w:t>投标人</w:t>
      </w:r>
      <w:r>
        <w:rPr>
          <w:rFonts w:hint="eastAsia" w:ascii="仿宋" w:hAnsi="仿宋" w:eastAsia="仿宋" w:cs="仿宋"/>
          <w:color w:val="auto"/>
          <w:sz w:val="24"/>
          <w:szCs w:val="24"/>
        </w:rPr>
        <w:t>登录“衢州市阳光交易服务平台”，在线申请获取</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（选择采购公告，进入项目，选择“交易前阶段”进入项目在获取</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菜单中选择项目，选择“交易文件下载”）。</w:t>
      </w:r>
    </w:p>
    <w:p w14:paraId="0F3C543A">
      <w:pPr>
        <w:wordWrap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2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⑵</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投标文件的解密：</w:t>
      </w:r>
      <w:r>
        <w:rPr>
          <w:rFonts w:hint="eastAsia" w:ascii="仿宋" w:hAnsi="仿宋" w:eastAsia="仿宋" w:cs="仿宋"/>
          <w:color w:val="auto"/>
          <w:sz w:val="24"/>
          <w:szCs w:val="24"/>
          <w:lang w:eastAsia="zh-CN"/>
        </w:rPr>
        <w:t>投标人</w:t>
      </w:r>
      <w:r>
        <w:rPr>
          <w:rFonts w:hint="eastAsia" w:ascii="仿宋" w:hAnsi="仿宋" w:eastAsia="仿宋" w:cs="仿宋"/>
          <w:color w:val="auto"/>
          <w:sz w:val="24"/>
          <w:szCs w:val="24"/>
        </w:rPr>
        <w:t>按照平台提示和</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的规定在30分钟内于衢州市阳光交易服务平台不见面开标大厅完成在线解密。</w:t>
      </w:r>
    </w:p>
    <w:p w14:paraId="0137ECD4">
      <w:pPr>
        <w:wordWrap w:val="0"/>
        <w:spacing w:line="360" w:lineRule="auto"/>
        <w:ind w:firstLine="480" w:firstLineChars="200"/>
        <w:outlineLvl w:val="9"/>
        <w:rPr>
          <w:rFonts w:hint="eastAsia" w:ascii="仿宋" w:hAnsi="仿宋" w:eastAsia="仿宋" w:cs="仿宋"/>
          <w:b/>
          <w:bCs/>
          <w:color w:val="auto"/>
          <w:sz w:val="24"/>
          <w:szCs w:val="24"/>
        </w:rPr>
      </w:pPr>
      <w:r>
        <w:rPr>
          <w:rFonts w:hint="eastAsia" w:ascii="仿宋" w:hAnsi="仿宋" w:eastAsia="仿宋" w:cs="仿宋"/>
          <w:color w:val="auto"/>
          <w:sz w:val="24"/>
          <w:szCs w:val="24"/>
        </w:rPr>
        <w:t>7.具体操作指南：详见衢州市阳光交易服务平台“办事指南－衢州市阳光交易服务平台</w:t>
      </w:r>
      <w:r>
        <w:rPr>
          <w:rFonts w:hint="eastAsia" w:ascii="仿宋" w:hAnsi="仿宋" w:eastAsia="仿宋" w:cs="仿宋"/>
          <w:color w:val="auto"/>
          <w:sz w:val="24"/>
          <w:szCs w:val="24"/>
          <w:lang w:eastAsia="zh-CN"/>
        </w:rPr>
        <w:t>投标人</w:t>
      </w:r>
      <w:r>
        <w:rPr>
          <w:rFonts w:hint="eastAsia" w:ascii="仿宋" w:hAnsi="仿宋" w:eastAsia="仿宋" w:cs="仿宋"/>
          <w:color w:val="auto"/>
          <w:sz w:val="24"/>
          <w:szCs w:val="24"/>
        </w:rPr>
        <w:t>操作手册”，</w:t>
      </w:r>
      <w:r>
        <w:rPr>
          <w:rFonts w:hint="eastAsia" w:ascii="仿宋" w:hAnsi="仿宋" w:eastAsia="仿宋" w:cs="仿宋"/>
          <w:b/>
          <w:bCs/>
          <w:color w:val="auto"/>
          <w:sz w:val="24"/>
          <w:szCs w:val="24"/>
        </w:rPr>
        <w:t>衢州市阳光交易服务平台技术支持电话：</w:t>
      </w:r>
      <w:r>
        <w:rPr>
          <w:rFonts w:hint="eastAsia" w:ascii="仿宋" w:hAnsi="仿宋" w:eastAsia="仿宋" w:cs="仿宋"/>
          <w:b/>
          <w:bCs/>
          <w:color w:val="auto"/>
          <w:sz w:val="24"/>
          <w:szCs w:val="24"/>
          <w:lang w:eastAsia="zh-CN"/>
        </w:rPr>
        <w:t>0512-58188591、0570-3878007</w:t>
      </w:r>
      <w:r>
        <w:rPr>
          <w:rFonts w:hint="eastAsia" w:ascii="仿宋" w:hAnsi="仿宋" w:eastAsia="仿宋" w:cs="仿宋"/>
          <w:b/>
          <w:bCs/>
          <w:color w:val="auto"/>
          <w:sz w:val="24"/>
          <w:szCs w:val="24"/>
        </w:rPr>
        <w:t>。</w:t>
      </w:r>
    </w:p>
    <w:p w14:paraId="375230BE">
      <w:pPr>
        <w:wordWrap w:val="0"/>
        <w:spacing w:line="360" w:lineRule="auto"/>
        <w:ind w:firstLine="482" w:firstLineChars="200"/>
        <w:outlineLvl w:val="9"/>
        <w:rPr>
          <w:rFonts w:ascii="仿宋" w:hAnsi="仿宋" w:eastAsia="仿宋" w:cs="仿宋"/>
          <w:b/>
          <w:bCs/>
          <w:color w:val="auto"/>
          <w:sz w:val="24"/>
          <w:szCs w:val="24"/>
        </w:rPr>
      </w:pPr>
      <w:r>
        <w:rPr>
          <w:rFonts w:hint="eastAsia" w:ascii="仿宋" w:hAnsi="仿宋" w:eastAsia="仿宋" w:cs="仿宋"/>
          <w:b/>
          <w:bCs/>
          <w:color w:val="auto"/>
          <w:sz w:val="24"/>
          <w:szCs w:val="24"/>
        </w:rPr>
        <w:t>8.投标工具一标通投标制作工具</w:t>
      </w:r>
    </w:p>
    <w:p w14:paraId="476205B1">
      <w:pPr>
        <w:pStyle w:val="10"/>
        <w:wordWrap w:val="0"/>
        <w:spacing w:after="0" w:line="360" w:lineRule="auto"/>
        <w:ind w:firstLine="480" w:firstLineChars="200"/>
        <w:outlineLvl w:val="9"/>
        <w:rPr>
          <w:rFonts w:hint="eastAsia" w:ascii="仿宋" w:hAnsi="仿宋" w:eastAsia="仿宋" w:cs="仿宋"/>
          <w:color w:val="auto"/>
          <w:szCs w:val="24"/>
        </w:rPr>
      </w:pPr>
      <w:r>
        <w:rPr>
          <w:rFonts w:hint="eastAsia" w:ascii="仿宋" w:hAnsi="仿宋" w:eastAsia="仿宋" w:cs="仿宋"/>
          <w:color w:val="auto"/>
          <w:szCs w:val="24"/>
        </w:rPr>
        <w:t>下载地址：https://download.bqpoint.com/download/downloaddetail.html?SourceFrom=Ztb&amp;ZtbSoftXiaQuCode=1155&amp;ZtbSoftType=tballinclusive</w:t>
      </w:r>
    </w:p>
    <w:p w14:paraId="162EBCC8">
      <w:pPr>
        <w:pStyle w:val="10"/>
        <w:wordWrap w:val="0"/>
        <w:spacing w:after="0" w:line="360" w:lineRule="auto"/>
        <w:ind w:firstLine="482" w:firstLineChars="200"/>
        <w:outlineLvl w:val="9"/>
        <w:rPr>
          <w:rFonts w:ascii="仿宋" w:hAnsi="仿宋" w:eastAsia="仿宋" w:cs="仿宋"/>
          <w:b/>
          <w:bCs/>
          <w:color w:val="auto"/>
          <w:szCs w:val="24"/>
        </w:rPr>
      </w:pPr>
      <w:r>
        <w:rPr>
          <w:rFonts w:hint="eastAsia" w:ascii="仿宋" w:hAnsi="仿宋" w:eastAsia="仿宋" w:cs="仿宋"/>
          <w:b/>
          <w:bCs/>
          <w:color w:val="auto"/>
          <w:szCs w:val="24"/>
        </w:rPr>
        <w:t>新点软件客服电话：</w:t>
      </w:r>
      <w:r>
        <w:rPr>
          <w:rFonts w:hint="eastAsia" w:ascii="仿宋" w:hAnsi="仿宋" w:eastAsia="仿宋" w:cs="仿宋"/>
          <w:b/>
          <w:bCs/>
          <w:color w:val="auto"/>
          <w:szCs w:val="24"/>
          <w:lang w:eastAsia="zh-CN"/>
        </w:rPr>
        <w:t>0512-58188591、0570-3878007</w:t>
      </w:r>
      <w:r>
        <w:rPr>
          <w:rFonts w:hint="eastAsia" w:ascii="仿宋" w:hAnsi="仿宋" w:eastAsia="仿宋" w:cs="仿宋"/>
          <w:b/>
          <w:bCs/>
          <w:color w:val="auto"/>
          <w:szCs w:val="24"/>
        </w:rPr>
        <w:t>。</w:t>
      </w:r>
    </w:p>
    <w:p w14:paraId="25656094">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七、提交投标文件截止时间、开标时间和地点</w:t>
      </w:r>
      <w:bookmarkEnd w:id="14"/>
    </w:p>
    <w:p w14:paraId="29DE6B51">
      <w:pPr>
        <w:pStyle w:val="33"/>
        <w:adjustRightInd w:val="0"/>
        <w:snapToGrid w:val="0"/>
        <w:spacing w:line="360" w:lineRule="auto"/>
        <w:ind w:firstLine="480" w:firstLineChars="200"/>
        <w:outlineLvl w:val="9"/>
        <w:rPr>
          <w:rFonts w:ascii="仿宋" w:hAnsi="仿宋" w:eastAsia="仿宋" w:cs="仿宋"/>
          <w:color w:val="auto"/>
          <w:sz w:val="24"/>
          <w:szCs w:val="24"/>
        </w:rPr>
      </w:pPr>
      <w:bookmarkStart w:id="15" w:name="_Toc35393794"/>
      <w:bookmarkStart w:id="16" w:name="_Toc28359007"/>
      <w:bookmarkStart w:id="17" w:name="_Toc28359084"/>
      <w:bookmarkStart w:id="18" w:name="_Toc35393625"/>
      <w:bookmarkStart w:id="19" w:name="_Toc8106"/>
      <w:r>
        <w:rPr>
          <w:rFonts w:hint="eastAsia" w:ascii="仿宋" w:hAnsi="仿宋" w:eastAsia="仿宋" w:cs="仿宋"/>
          <w:color w:val="auto"/>
          <w:sz w:val="24"/>
          <w:szCs w:val="24"/>
        </w:rPr>
        <w:t>1.投标文件递交截止时间（开标时间，下同）：</w:t>
      </w:r>
      <w:r>
        <w:rPr>
          <w:rFonts w:hint="eastAsia" w:ascii="仿宋" w:hAnsi="仿宋" w:eastAsia="仿宋" w:cs="仿宋"/>
          <w:color w:val="auto"/>
          <w:sz w:val="24"/>
          <w:szCs w:val="24"/>
          <w:lang w:eastAsia="zh-CN"/>
        </w:rPr>
        <w:t>2025年</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月</w:t>
      </w: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rPr>
        <w:t>日</w:t>
      </w:r>
      <w:r>
        <w:rPr>
          <w:rFonts w:hint="eastAsia" w:ascii="仿宋" w:hAnsi="仿宋" w:eastAsia="仿宋" w:cs="仿宋"/>
          <w:color w:val="auto"/>
          <w:sz w:val="24"/>
          <w:szCs w:val="24"/>
          <w:lang w:val="en-US" w:eastAsia="zh-CN"/>
        </w:rPr>
        <w:t>9</w:t>
      </w:r>
      <w:r>
        <w:rPr>
          <w:rFonts w:hint="eastAsia" w:ascii="仿宋" w:hAnsi="仿宋" w:eastAsia="仿宋" w:cs="仿宋"/>
          <w:color w:val="auto"/>
          <w:sz w:val="24"/>
          <w:szCs w:val="24"/>
        </w:rPr>
        <w:t>时</w:t>
      </w:r>
      <w:r>
        <w:rPr>
          <w:rFonts w:hint="eastAsia" w:ascii="仿宋" w:hAnsi="仿宋" w:eastAsia="仿宋" w:cs="仿宋"/>
          <w:color w:val="auto"/>
          <w:sz w:val="24"/>
          <w:szCs w:val="24"/>
          <w:lang w:val="en-US" w:eastAsia="zh-CN"/>
        </w:rPr>
        <w:t>30</w:t>
      </w:r>
      <w:r>
        <w:rPr>
          <w:rFonts w:hint="eastAsia" w:ascii="仿宋" w:hAnsi="仿宋" w:eastAsia="仿宋" w:cs="仿宋"/>
          <w:color w:val="auto"/>
          <w:sz w:val="24"/>
          <w:szCs w:val="24"/>
        </w:rPr>
        <w:t>分</w:t>
      </w:r>
      <w:r>
        <w:rPr>
          <w:rFonts w:hint="eastAsia" w:ascii="仿宋" w:hAnsi="仿宋" w:eastAsia="仿宋" w:cs="仿宋"/>
          <w:color w:val="auto"/>
          <w:sz w:val="24"/>
          <w:szCs w:val="24"/>
          <w:lang w:val="en-US" w:eastAsia="zh-CN"/>
        </w:rPr>
        <w:t>00</w:t>
      </w:r>
      <w:r>
        <w:rPr>
          <w:rFonts w:hint="eastAsia" w:ascii="仿宋" w:hAnsi="仿宋" w:eastAsia="仿宋" w:cs="仿宋"/>
          <w:color w:val="auto"/>
          <w:sz w:val="24"/>
          <w:szCs w:val="24"/>
        </w:rPr>
        <w:t>秒。</w:t>
      </w:r>
      <w:bookmarkStart w:id="134" w:name="_GoBack"/>
      <w:bookmarkEnd w:id="134"/>
    </w:p>
    <w:p w14:paraId="52830E64">
      <w:pPr>
        <w:pStyle w:val="33"/>
        <w:widowControl/>
        <w:adjustRightInd w:val="0"/>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2.投标文件递交方式：电子投标文件采用网上递交的方式，上传至衢州市阳光交易服务平台（https://qzygjy.com/TPBidder/memberLogin?type=13）。</w:t>
      </w:r>
    </w:p>
    <w:p w14:paraId="285DAD38">
      <w:pPr>
        <w:pStyle w:val="33"/>
        <w:adjustRightInd w:val="0"/>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3.网上开标地点：衢州市阳光交易服务平台不见面开标大厅（网址：https://qzygjy.com/BidOpening/bidopeninghallaction/hall/login）。操作手册见官网首页下载中心。</w:t>
      </w:r>
    </w:p>
    <w:p w14:paraId="79427B35">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八、公告期限</w:t>
      </w:r>
      <w:bookmarkEnd w:id="15"/>
      <w:bookmarkEnd w:id="16"/>
      <w:bookmarkEnd w:id="17"/>
      <w:bookmarkEnd w:id="18"/>
      <w:bookmarkEnd w:id="19"/>
    </w:p>
    <w:p w14:paraId="09419C7C">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自本公告发布之日起5个工作日。</w:t>
      </w:r>
      <w:bookmarkStart w:id="20" w:name="_Toc35393795"/>
      <w:bookmarkStart w:id="21" w:name="_Toc35393626"/>
    </w:p>
    <w:p w14:paraId="560DCF66">
      <w:pPr>
        <w:spacing w:line="360" w:lineRule="auto"/>
        <w:ind w:firstLine="480" w:firstLineChars="200"/>
        <w:outlineLvl w:val="9"/>
        <w:rPr>
          <w:rFonts w:ascii="仿宋" w:hAnsi="仿宋" w:eastAsia="仿宋" w:cs="仿宋"/>
          <w:color w:val="auto"/>
          <w:sz w:val="24"/>
          <w:szCs w:val="24"/>
        </w:rPr>
      </w:pPr>
      <w:bookmarkStart w:id="22" w:name="_Toc2707"/>
      <w:r>
        <w:rPr>
          <w:rFonts w:hint="eastAsia" w:ascii="仿宋" w:hAnsi="仿宋" w:eastAsia="仿宋" w:cs="仿宋"/>
          <w:color w:val="auto"/>
          <w:sz w:val="24"/>
          <w:szCs w:val="24"/>
        </w:rPr>
        <w:t>九、其他补充事宜</w:t>
      </w:r>
      <w:bookmarkEnd w:id="20"/>
      <w:bookmarkEnd w:id="21"/>
      <w:bookmarkEnd w:id="22"/>
    </w:p>
    <w:p w14:paraId="07A62FF1">
      <w:pPr>
        <w:spacing w:line="360" w:lineRule="auto"/>
        <w:ind w:firstLine="480" w:firstLineChars="200"/>
        <w:outlineLvl w:val="9"/>
        <w:rPr>
          <w:rFonts w:hint="default" w:ascii="仿宋" w:hAnsi="仿宋" w:eastAsia="仿宋" w:cs="仿宋"/>
          <w:color w:val="auto"/>
          <w:sz w:val="24"/>
          <w:szCs w:val="24"/>
        </w:rPr>
      </w:pPr>
      <w:bookmarkStart w:id="23" w:name="_Toc35393796"/>
      <w:bookmarkStart w:id="24" w:name="_Toc35393627"/>
      <w:bookmarkStart w:id="25" w:name="_Toc28359085"/>
      <w:bookmarkStart w:id="26" w:name="_Toc28359008"/>
      <w:bookmarkStart w:id="27" w:name="_Toc27354"/>
      <w:r>
        <w:rPr>
          <w:rFonts w:hint="default" w:ascii="仿宋" w:hAnsi="仿宋" w:eastAsia="仿宋" w:cs="仿宋"/>
          <w:color w:val="auto"/>
          <w:sz w:val="24"/>
          <w:szCs w:val="24"/>
          <w:lang w:val="en-US" w:eastAsia="zh-CN"/>
        </w:rPr>
        <w:t>投标人认为招标文件使自己的权益受到损害的，可以自获取招标文件之日或者招标文件公告期限届满之日（公告期限届满后获取招标文件的，以公告期限届满之日为准）起7个工作日内，向招标人和招标代理机构提出质疑，提交方式：登录衢州市阳光交易服务平台（https://qzygjy.com/bszn/sec.html）－发包公告－进入项目－异议－新增异议。质疑投标人对招标人、招标代理机构的答复不满意或者招标人、招标代理机构未在规定的时间内作出答复的，可以在答复期满后十五个工作日内向招标人监督管理部门投诉。</w:t>
      </w:r>
    </w:p>
    <w:p w14:paraId="2CA4FAC7">
      <w:pPr>
        <w:spacing w:line="360" w:lineRule="auto"/>
        <w:ind w:firstLine="480" w:firstLineChars="200"/>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十、对本次招标提出询问，请按以下方式联系。</w:t>
      </w:r>
      <w:bookmarkEnd w:id="23"/>
      <w:bookmarkEnd w:id="24"/>
      <w:bookmarkEnd w:id="25"/>
      <w:bookmarkEnd w:id="26"/>
      <w:bookmarkEnd w:id="27"/>
    </w:p>
    <w:p w14:paraId="21917192">
      <w:pPr>
        <w:spacing w:line="360" w:lineRule="auto"/>
        <w:ind w:firstLine="480" w:firstLineChars="200"/>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w:t>
      </w:r>
      <w:r>
        <w:rPr>
          <w:rFonts w:hint="eastAsia" w:ascii="仿宋" w:hAnsi="仿宋" w:eastAsia="仿宋" w:cs="仿宋"/>
          <w:color w:val="auto"/>
          <w:sz w:val="24"/>
          <w:szCs w:val="24"/>
          <w:lang w:val="en-US" w:eastAsia="zh-CN"/>
        </w:rPr>
        <w:t>招标</w:t>
      </w:r>
      <w:r>
        <w:rPr>
          <w:rFonts w:hint="eastAsia" w:ascii="仿宋" w:hAnsi="仿宋" w:eastAsia="仿宋" w:cs="仿宋"/>
          <w:color w:val="auto"/>
          <w:sz w:val="24"/>
          <w:szCs w:val="24"/>
          <w:lang w:eastAsia="zh-CN"/>
        </w:rPr>
        <w:t>人名称：马迭尔食品（浙江）有限公司</w:t>
      </w:r>
    </w:p>
    <w:p w14:paraId="77AA1597">
      <w:pPr>
        <w:keepNext w:val="0"/>
        <w:keepLines w:val="0"/>
        <w:widowControl w:val="0"/>
        <w:suppressLineNumbers w:val="0"/>
        <w:spacing w:before="0" w:beforeAutospacing="0" w:after="0" w:afterAutospacing="0" w:line="360" w:lineRule="auto"/>
        <w:ind w:left="0" w:right="0" w:firstLine="480" w:firstLineChars="200"/>
        <w:jc w:val="both"/>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联系人：姚先生，联系电话：13351688786</w:t>
      </w:r>
    </w:p>
    <w:p w14:paraId="3D21A92B">
      <w:pPr>
        <w:keepNext w:val="0"/>
        <w:keepLines w:val="0"/>
        <w:widowControl w:val="0"/>
        <w:suppressLineNumbers w:val="0"/>
        <w:spacing w:before="0" w:beforeAutospacing="0" w:after="0" w:afterAutospacing="0" w:line="360" w:lineRule="auto"/>
        <w:ind w:left="0" w:right="0" w:firstLine="480" w:firstLineChars="200"/>
        <w:jc w:val="both"/>
        <w:rPr>
          <w:rFonts w:hint="eastAsia" w:ascii="仿宋" w:hAnsi="仿宋" w:eastAsia="仿宋" w:cs="仿宋"/>
          <w:color w:val="auto"/>
          <w:kern w:val="2"/>
          <w:sz w:val="24"/>
          <w:szCs w:val="24"/>
          <w:lang w:val="en-US" w:eastAsia="zh-CN" w:bidi="ar"/>
          <w:woUserID w:val="1"/>
        </w:rPr>
      </w:pPr>
      <w:r>
        <w:rPr>
          <w:rFonts w:hint="eastAsia" w:ascii="仿宋" w:hAnsi="仿宋" w:eastAsia="仿宋" w:cs="仿宋"/>
          <w:color w:val="auto"/>
          <w:kern w:val="2"/>
          <w:sz w:val="24"/>
          <w:szCs w:val="24"/>
          <w:lang w:val="en-US" w:eastAsia="zh-CN" w:bidi="ar"/>
          <w:woUserID w:val="1"/>
        </w:rPr>
        <w:t>2.招标代理机构名称：衢州市两山工程咨询管理有限公司</w:t>
      </w:r>
    </w:p>
    <w:p w14:paraId="41D79EFF">
      <w:pPr>
        <w:keepNext w:val="0"/>
        <w:keepLines w:val="0"/>
        <w:widowControl w:val="0"/>
        <w:suppressLineNumbers w:val="0"/>
        <w:spacing w:before="0" w:beforeAutospacing="0" w:after="0" w:afterAutospacing="0" w:line="360" w:lineRule="auto"/>
        <w:ind w:left="0" w:right="0" w:firstLine="480" w:firstLineChars="200"/>
        <w:jc w:val="both"/>
        <w:rPr>
          <w:rFonts w:hint="eastAsia" w:ascii="仿宋" w:hAnsi="仿宋" w:eastAsia="仿宋" w:cs="仿宋"/>
          <w:color w:val="auto"/>
          <w:kern w:val="2"/>
          <w:sz w:val="24"/>
          <w:szCs w:val="24"/>
          <w:lang w:val="en-US" w:eastAsia="zh-CN" w:bidi="ar"/>
          <w:woUserID w:val="1"/>
        </w:rPr>
      </w:pPr>
      <w:r>
        <w:rPr>
          <w:rFonts w:hint="eastAsia" w:ascii="仿宋" w:hAnsi="仿宋" w:eastAsia="仿宋" w:cs="仿宋"/>
          <w:color w:val="auto"/>
          <w:kern w:val="2"/>
          <w:sz w:val="24"/>
          <w:szCs w:val="24"/>
          <w:lang w:val="en-US" w:eastAsia="zh-CN" w:bidi="ar"/>
          <w:woUserID w:val="1"/>
        </w:rPr>
        <w:t>联系人：舒女士，联系电话：0570-3810879</w:t>
      </w:r>
    </w:p>
    <w:p w14:paraId="4F1BD232">
      <w:pPr>
        <w:keepNext w:val="0"/>
        <w:keepLines w:val="0"/>
        <w:widowControl w:val="0"/>
        <w:suppressLineNumbers w:val="0"/>
        <w:spacing w:before="0" w:beforeAutospacing="0" w:after="0" w:afterAutospacing="0" w:line="360" w:lineRule="auto"/>
        <w:ind w:left="0" w:right="0" w:firstLine="480" w:firstLineChars="200"/>
        <w:jc w:val="both"/>
        <w:rPr>
          <w:rFonts w:hint="eastAsia" w:ascii="仿宋" w:hAnsi="仿宋" w:eastAsia="仿宋" w:cs="仿宋"/>
          <w:color w:val="auto"/>
          <w:kern w:val="2"/>
          <w:sz w:val="24"/>
          <w:szCs w:val="24"/>
          <w:lang w:val="en-US" w:eastAsia="zh-CN" w:bidi="ar"/>
          <w:woUserID w:val="1"/>
        </w:rPr>
      </w:pPr>
      <w:r>
        <w:rPr>
          <w:rFonts w:hint="eastAsia" w:ascii="仿宋" w:hAnsi="仿宋" w:eastAsia="仿宋" w:cs="仿宋"/>
          <w:color w:val="auto"/>
          <w:kern w:val="2"/>
          <w:sz w:val="24"/>
          <w:szCs w:val="24"/>
          <w:lang w:val="en-US" w:eastAsia="zh-CN" w:bidi="ar"/>
          <w:woUserID w:val="1"/>
        </w:rPr>
        <w:t>地点：衢州市柯城区芹江东路288号衢时代创新大厦1号楼14楼1416室</w:t>
      </w:r>
    </w:p>
    <w:p w14:paraId="523924B2">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eastAsia="zh-CN"/>
        </w:rPr>
        <w:t>监督联系人：李先生，联系方式：18645099477</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rPr>
        <w:t xml:space="preserve">                                 </w:t>
      </w:r>
    </w:p>
    <w:p w14:paraId="7F874F26">
      <w:pPr>
        <w:wordWrap w:val="0"/>
        <w:spacing w:line="360" w:lineRule="auto"/>
        <w:ind w:firstLine="1200" w:firstLineChars="500"/>
        <w:jc w:val="right"/>
        <w:outlineLvl w:val="9"/>
        <w:rPr>
          <w:rFonts w:ascii="仿宋" w:hAnsi="仿宋" w:eastAsia="仿宋" w:cs="仿宋"/>
          <w:color w:val="auto"/>
          <w:sz w:val="24"/>
          <w:szCs w:val="24"/>
        </w:rPr>
      </w:pPr>
      <w:r>
        <w:rPr>
          <w:rFonts w:hint="eastAsia" w:ascii="仿宋" w:hAnsi="仿宋" w:eastAsia="仿宋" w:cs="仿宋"/>
          <w:color w:val="auto"/>
          <w:sz w:val="24"/>
          <w:szCs w:val="24"/>
        </w:rPr>
        <w:t xml:space="preserve"> </w:t>
      </w:r>
    </w:p>
    <w:p w14:paraId="1F83F8E8">
      <w:pPr>
        <w:wordWrap w:val="0"/>
        <w:spacing w:line="360" w:lineRule="auto"/>
        <w:ind w:firstLine="1200" w:firstLineChars="500"/>
        <w:jc w:val="right"/>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马迭尔食品（浙江）有限公司</w:t>
      </w:r>
    </w:p>
    <w:p w14:paraId="1C045925">
      <w:pPr>
        <w:wordWrap w:val="0"/>
        <w:spacing w:line="360" w:lineRule="auto"/>
        <w:ind w:firstLine="1200" w:firstLineChars="500"/>
        <w:jc w:val="right"/>
        <w:outlineLvl w:val="9"/>
        <w:rPr>
          <w:rFonts w:ascii="仿宋" w:hAnsi="仿宋" w:eastAsia="仿宋" w:cs="仿宋"/>
          <w:color w:val="auto"/>
          <w:sz w:val="24"/>
          <w:szCs w:val="24"/>
        </w:rPr>
      </w:pPr>
      <w:bookmarkStart w:id="28" w:name="_Toc13898"/>
      <w:r>
        <w:rPr>
          <w:rFonts w:hint="eastAsia" w:ascii="仿宋" w:hAnsi="仿宋" w:eastAsia="仿宋" w:cs="仿宋"/>
          <w:color w:val="auto"/>
          <w:sz w:val="24"/>
          <w:szCs w:val="24"/>
        </w:rPr>
        <w:t>衢州市两山工程咨询管理有限公司</w:t>
      </w:r>
      <w:bookmarkEnd w:id="28"/>
    </w:p>
    <w:p w14:paraId="5E160207">
      <w:pPr>
        <w:spacing w:line="360" w:lineRule="auto"/>
        <w:ind w:firstLine="1200" w:firstLineChars="500"/>
        <w:jc w:val="right"/>
        <w:rPr>
          <w:rFonts w:ascii="仿宋" w:hAnsi="仿宋" w:eastAsia="仿宋" w:cs="仿宋"/>
          <w:color w:val="auto"/>
          <w:sz w:val="24"/>
          <w:szCs w:val="24"/>
        </w:rPr>
      </w:pPr>
      <w:r>
        <w:rPr>
          <w:rFonts w:hint="eastAsia" w:ascii="仿宋" w:hAnsi="仿宋" w:eastAsia="仿宋" w:cs="仿宋"/>
          <w:color w:val="auto"/>
          <w:sz w:val="24"/>
          <w:szCs w:val="24"/>
          <w:lang w:val="en-US" w:eastAsia="zh-CN"/>
        </w:rPr>
        <w:t>2025</w:t>
      </w:r>
      <w:r>
        <w:rPr>
          <w:rFonts w:hint="eastAsia" w:ascii="仿宋" w:hAnsi="仿宋" w:eastAsia="仿宋" w:cs="仿宋"/>
          <w:color w:val="auto"/>
          <w:sz w:val="24"/>
          <w:szCs w:val="24"/>
        </w:rPr>
        <w:t>年</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月</w:t>
      </w:r>
      <w:r>
        <w:rPr>
          <w:rFonts w:hint="eastAsia" w:ascii="仿宋" w:hAnsi="仿宋" w:eastAsia="仿宋" w:cs="仿宋"/>
          <w:color w:val="auto"/>
          <w:sz w:val="24"/>
          <w:szCs w:val="24"/>
          <w:lang w:val="en-US" w:eastAsia="zh-CN"/>
        </w:rPr>
        <w:t>14</w:t>
      </w:r>
      <w:r>
        <w:rPr>
          <w:rFonts w:hint="eastAsia" w:ascii="仿宋" w:hAnsi="仿宋" w:eastAsia="仿宋" w:cs="仿宋"/>
          <w:color w:val="auto"/>
          <w:sz w:val="24"/>
          <w:szCs w:val="24"/>
        </w:rPr>
        <w:t>日</w:t>
      </w:r>
    </w:p>
    <w:p w14:paraId="77232125">
      <w:pPr>
        <w:pStyle w:val="18"/>
        <w:ind w:left="2250" w:hanging="1200"/>
        <w:rPr>
          <w:color w:val="auto"/>
        </w:rPr>
        <w:sectPr>
          <w:footerReference r:id="rId3" w:type="default"/>
          <w:pgSz w:w="11906" w:h="16838"/>
          <w:pgMar w:top="1440" w:right="1800" w:bottom="1440" w:left="1800" w:header="851" w:footer="992" w:gutter="0"/>
          <w:pgNumType w:fmt="decimal" w:start="1"/>
          <w:cols w:space="425" w:num="1"/>
          <w:docGrid w:type="lines" w:linePitch="312" w:charSpace="0"/>
        </w:sectPr>
      </w:pPr>
    </w:p>
    <w:p w14:paraId="2046B21E">
      <w:pPr>
        <w:spacing w:line="360" w:lineRule="auto"/>
        <w:jc w:val="center"/>
        <w:outlineLvl w:val="0"/>
        <w:rPr>
          <w:rFonts w:ascii="仿宋" w:hAnsi="仿宋" w:eastAsia="仿宋" w:cs="仿宋"/>
          <w:b/>
          <w:color w:val="auto"/>
          <w:sz w:val="28"/>
          <w:szCs w:val="28"/>
        </w:rPr>
      </w:pPr>
      <w:r>
        <w:rPr>
          <w:rFonts w:hint="eastAsia" w:ascii="仿宋" w:hAnsi="仿宋" w:eastAsia="仿宋" w:cs="仿宋"/>
          <w:color w:val="auto"/>
          <w:sz w:val="28"/>
          <w:szCs w:val="28"/>
        </w:rPr>
        <w:t xml:space="preserve">     </w:t>
      </w:r>
      <w:bookmarkStart w:id="29" w:name="_Toc26282"/>
      <w:bookmarkStart w:id="30" w:name="_Toc6025"/>
      <w:r>
        <w:rPr>
          <w:rFonts w:hint="eastAsia" w:ascii="仿宋" w:hAnsi="仿宋" w:eastAsia="仿宋" w:cs="仿宋"/>
          <w:b/>
          <w:color w:val="auto"/>
          <w:sz w:val="28"/>
          <w:szCs w:val="28"/>
        </w:rPr>
        <w:t>第二章  投标人须知前附表及投标人须知</w:t>
      </w:r>
      <w:bookmarkEnd w:id="29"/>
      <w:bookmarkEnd w:id="30"/>
    </w:p>
    <w:p w14:paraId="7CF343AE">
      <w:pPr>
        <w:snapToGrid w:val="0"/>
        <w:spacing w:line="360" w:lineRule="auto"/>
        <w:ind w:firstLine="562" w:firstLineChars="200"/>
        <w:jc w:val="left"/>
        <w:outlineLvl w:val="9"/>
        <w:rPr>
          <w:rFonts w:ascii="仿宋" w:hAnsi="仿宋" w:eastAsia="仿宋" w:cs="仿宋"/>
          <w:b/>
          <w:color w:val="auto"/>
          <w:sz w:val="28"/>
          <w:szCs w:val="28"/>
        </w:rPr>
      </w:pPr>
      <w:bookmarkStart w:id="31" w:name="_Toc359856797"/>
      <w:bookmarkStart w:id="32" w:name="_Toc356371431"/>
      <w:bookmarkStart w:id="33" w:name="_Toc3387"/>
      <w:bookmarkStart w:id="34" w:name="_Toc503"/>
      <w:bookmarkStart w:id="35" w:name="_Toc25378"/>
      <w:bookmarkStart w:id="36" w:name="_Toc12214"/>
      <w:r>
        <w:rPr>
          <w:rFonts w:hint="eastAsia" w:ascii="仿宋" w:hAnsi="仿宋" w:eastAsia="仿宋" w:cs="仿宋"/>
          <w:b/>
          <w:color w:val="auto"/>
          <w:sz w:val="28"/>
          <w:szCs w:val="28"/>
        </w:rPr>
        <w:t>一、投标人须知前附表</w:t>
      </w:r>
      <w:bookmarkEnd w:id="31"/>
      <w:bookmarkEnd w:id="32"/>
      <w:bookmarkEnd w:id="33"/>
      <w:bookmarkEnd w:id="34"/>
      <w:bookmarkEnd w:id="35"/>
      <w:bookmarkEnd w:id="36"/>
    </w:p>
    <w:tbl>
      <w:tblPr>
        <w:tblStyle w:val="23"/>
        <w:tblW w:w="97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9"/>
        <w:gridCol w:w="2118"/>
        <w:gridCol w:w="6827"/>
      </w:tblGrid>
      <w:tr w14:paraId="58C1B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799" w:type="dxa"/>
            <w:vAlign w:val="center"/>
          </w:tcPr>
          <w:p w14:paraId="35146D7D">
            <w:pPr>
              <w:spacing w:line="480" w:lineRule="exact"/>
              <w:jc w:val="center"/>
              <w:outlineLvl w:val="9"/>
              <w:rPr>
                <w:rFonts w:ascii="仿宋" w:hAnsi="仿宋" w:eastAsia="仿宋" w:cs="仿宋"/>
                <w:color w:val="auto"/>
                <w:sz w:val="24"/>
                <w:szCs w:val="24"/>
              </w:rPr>
            </w:pPr>
            <w:bookmarkStart w:id="37" w:name="_Toc7610"/>
            <w:bookmarkStart w:id="38" w:name="_Toc356371433"/>
            <w:bookmarkStart w:id="39" w:name="_Toc359856798"/>
            <w:r>
              <w:rPr>
                <w:rFonts w:hint="eastAsia" w:ascii="仿宋" w:hAnsi="仿宋" w:eastAsia="仿宋" w:cs="仿宋"/>
                <w:color w:val="auto"/>
                <w:sz w:val="24"/>
                <w:szCs w:val="24"/>
              </w:rPr>
              <w:t>序号</w:t>
            </w:r>
          </w:p>
        </w:tc>
        <w:tc>
          <w:tcPr>
            <w:tcW w:w="2118" w:type="dxa"/>
            <w:vAlign w:val="center"/>
          </w:tcPr>
          <w:p w14:paraId="4B5B5E2D">
            <w:pPr>
              <w:spacing w:line="480" w:lineRule="exact"/>
              <w:jc w:val="center"/>
              <w:outlineLvl w:val="9"/>
              <w:rPr>
                <w:rFonts w:ascii="仿宋" w:hAnsi="仿宋" w:eastAsia="仿宋" w:cs="仿宋"/>
                <w:color w:val="auto"/>
                <w:sz w:val="24"/>
                <w:szCs w:val="24"/>
              </w:rPr>
            </w:pPr>
            <w:r>
              <w:rPr>
                <w:rFonts w:hint="eastAsia" w:ascii="仿宋" w:hAnsi="仿宋" w:eastAsia="仿宋" w:cs="仿宋"/>
                <w:color w:val="auto"/>
                <w:sz w:val="24"/>
                <w:szCs w:val="24"/>
              </w:rPr>
              <w:t>内  容</w:t>
            </w:r>
          </w:p>
        </w:tc>
        <w:tc>
          <w:tcPr>
            <w:tcW w:w="6827" w:type="dxa"/>
            <w:vAlign w:val="center"/>
          </w:tcPr>
          <w:p w14:paraId="51F015CA">
            <w:pPr>
              <w:spacing w:line="480" w:lineRule="exact"/>
              <w:jc w:val="center"/>
              <w:outlineLvl w:val="9"/>
              <w:rPr>
                <w:rFonts w:ascii="仿宋" w:hAnsi="仿宋" w:eastAsia="仿宋" w:cs="仿宋"/>
                <w:color w:val="auto"/>
                <w:sz w:val="24"/>
                <w:szCs w:val="24"/>
              </w:rPr>
            </w:pPr>
            <w:r>
              <w:rPr>
                <w:rFonts w:hint="eastAsia" w:ascii="仿宋" w:hAnsi="仿宋" w:eastAsia="仿宋" w:cs="仿宋"/>
                <w:color w:val="auto"/>
                <w:sz w:val="24"/>
                <w:szCs w:val="24"/>
              </w:rPr>
              <w:t>说明与要求</w:t>
            </w:r>
          </w:p>
        </w:tc>
      </w:tr>
      <w:tr w14:paraId="049D6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799" w:type="dxa"/>
            <w:vAlign w:val="center"/>
          </w:tcPr>
          <w:p w14:paraId="52D4F3E6">
            <w:pPr>
              <w:spacing w:line="480" w:lineRule="exact"/>
              <w:jc w:val="center"/>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p>
        </w:tc>
        <w:tc>
          <w:tcPr>
            <w:tcW w:w="2118" w:type="dxa"/>
            <w:vAlign w:val="center"/>
          </w:tcPr>
          <w:p w14:paraId="2755AD7F">
            <w:pPr>
              <w:spacing w:line="480" w:lineRule="exact"/>
              <w:jc w:val="center"/>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招标人</w:t>
            </w:r>
          </w:p>
        </w:tc>
        <w:tc>
          <w:tcPr>
            <w:tcW w:w="6827" w:type="dxa"/>
            <w:vAlign w:val="center"/>
          </w:tcPr>
          <w:p w14:paraId="355B002C">
            <w:pPr>
              <w:spacing w:line="480" w:lineRule="exact"/>
              <w:ind w:firstLine="480" w:firstLineChars="200"/>
              <w:jc w:val="both"/>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马迭尔食品（浙江）有限公司</w:t>
            </w:r>
          </w:p>
        </w:tc>
      </w:tr>
      <w:tr w14:paraId="15AFC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799" w:type="dxa"/>
            <w:vAlign w:val="center"/>
          </w:tcPr>
          <w:p w14:paraId="65BE3972">
            <w:pPr>
              <w:spacing w:line="480" w:lineRule="exact"/>
              <w:jc w:val="center"/>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w:t>
            </w:r>
          </w:p>
        </w:tc>
        <w:tc>
          <w:tcPr>
            <w:tcW w:w="2118" w:type="dxa"/>
            <w:vAlign w:val="center"/>
          </w:tcPr>
          <w:p w14:paraId="5FCFDEAF">
            <w:pPr>
              <w:keepNext w:val="0"/>
              <w:keepLines w:val="0"/>
              <w:pageBreakBefore w:val="0"/>
              <w:kinsoku/>
              <w:wordWrap/>
              <w:overflowPunct/>
              <w:topLinePunct w:val="0"/>
              <w:bidi w:val="0"/>
              <w:spacing w:line="240" w:lineRule="auto"/>
              <w:jc w:val="center"/>
              <w:textAlignment w:val="auto"/>
              <w:outlineLvl w:val="9"/>
              <w:rPr>
                <w:rFonts w:ascii="仿宋" w:hAnsi="仿宋" w:eastAsia="仿宋" w:cs="仿宋"/>
                <w:color w:val="auto"/>
                <w:sz w:val="24"/>
                <w:szCs w:val="24"/>
              </w:rPr>
            </w:pPr>
            <w:r>
              <w:rPr>
                <w:rFonts w:hint="eastAsia" w:ascii="仿宋" w:hAnsi="仿宋" w:eastAsia="仿宋" w:cs="仿宋"/>
                <w:color w:val="auto"/>
                <w:sz w:val="24"/>
                <w:szCs w:val="24"/>
              </w:rPr>
              <w:t>项目名称</w:t>
            </w:r>
          </w:p>
        </w:tc>
        <w:tc>
          <w:tcPr>
            <w:tcW w:w="6827" w:type="dxa"/>
            <w:vAlign w:val="center"/>
          </w:tcPr>
          <w:p w14:paraId="63E880C5">
            <w:pPr>
              <w:spacing w:line="480" w:lineRule="exact"/>
              <w:ind w:firstLine="480" w:firstLineChars="200"/>
              <w:jc w:val="left"/>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哈尔滨马迭尔食品股份有限公司物流服务项目</w:t>
            </w:r>
          </w:p>
        </w:tc>
      </w:tr>
      <w:tr w14:paraId="16449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799" w:type="dxa"/>
            <w:vAlign w:val="center"/>
          </w:tcPr>
          <w:p w14:paraId="6AB6A988">
            <w:pPr>
              <w:spacing w:line="480" w:lineRule="exact"/>
              <w:jc w:val="center"/>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w:t>
            </w:r>
          </w:p>
        </w:tc>
        <w:tc>
          <w:tcPr>
            <w:tcW w:w="2118" w:type="dxa"/>
            <w:vAlign w:val="center"/>
          </w:tcPr>
          <w:p w14:paraId="14312CDD">
            <w:pPr>
              <w:pStyle w:val="12"/>
              <w:keepNext w:val="0"/>
              <w:keepLines w:val="0"/>
              <w:pageBreakBefore w:val="0"/>
              <w:widowControl/>
              <w:kinsoku/>
              <w:wordWrap/>
              <w:topLinePunct w:val="0"/>
              <w:bidi w:val="0"/>
              <w:adjustRightInd w:val="0"/>
              <w:snapToGrid w:val="0"/>
              <w:spacing w:after="0"/>
              <w:jc w:val="center"/>
              <w:rPr>
                <w:rFonts w:hint="eastAsia" w:ascii="仿宋" w:hAnsi="仿宋" w:eastAsia="仿宋" w:cs="仿宋"/>
                <w:color w:val="auto"/>
                <w:sz w:val="24"/>
                <w:szCs w:val="24"/>
              </w:rPr>
            </w:pPr>
            <w:r>
              <w:rPr>
                <w:rFonts w:hint="eastAsia" w:ascii="仿宋" w:hAnsi="仿宋" w:eastAsia="仿宋" w:cs="仿宋"/>
                <w:color w:val="auto"/>
                <w:sz w:val="24"/>
                <w:szCs w:val="24"/>
                <w:highlight w:val="none"/>
              </w:rPr>
              <w:t>项目实施地点</w:t>
            </w:r>
          </w:p>
        </w:tc>
        <w:tc>
          <w:tcPr>
            <w:tcW w:w="6827" w:type="dxa"/>
            <w:vAlign w:val="center"/>
          </w:tcPr>
          <w:p w14:paraId="0D3E28DD">
            <w:pPr>
              <w:keepNext w:val="0"/>
              <w:keepLines w:val="0"/>
              <w:pageBreakBefore w:val="0"/>
              <w:widowControl/>
              <w:kinsoku/>
              <w:wordWrap/>
              <w:topLinePunct w:val="0"/>
              <w:bidi w:val="0"/>
              <w:adjustRightInd w:val="0"/>
              <w:snapToGrid w:val="0"/>
              <w:spacing w:after="0" w:line="440" w:lineRule="exact"/>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highlight w:val="none"/>
                <w:lang w:val="en-US" w:eastAsia="zh-CN"/>
              </w:rPr>
              <w:t>招标人</w:t>
            </w:r>
            <w:r>
              <w:rPr>
                <w:rFonts w:hint="eastAsia" w:ascii="仿宋" w:hAnsi="仿宋" w:eastAsia="仿宋" w:cs="仿宋"/>
                <w:color w:val="auto"/>
                <w:sz w:val="24"/>
                <w:szCs w:val="24"/>
                <w:highlight w:val="none"/>
              </w:rPr>
              <w:t>指定地点</w:t>
            </w:r>
          </w:p>
        </w:tc>
      </w:tr>
      <w:tr w14:paraId="2110B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799" w:type="dxa"/>
            <w:vAlign w:val="center"/>
          </w:tcPr>
          <w:p w14:paraId="521601CE">
            <w:pPr>
              <w:spacing w:line="480" w:lineRule="exact"/>
              <w:jc w:val="center"/>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w:t>
            </w:r>
          </w:p>
        </w:tc>
        <w:tc>
          <w:tcPr>
            <w:tcW w:w="2118" w:type="dxa"/>
            <w:vAlign w:val="center"/>
          </w:tcPr>
          <w:p w14:paraId="438B3E7A">
            <w:pPr>
              <w:keepNext w:val="0"/>
              <w:keepLines w:val="0"/>
              <w:pageBreakBefore w:val="0"/>
              <w:kinsoku/>
              <w:wordWrap/>
              <w:overflowPunct/>
              <w:topLinePunct w:val="0"/>
              <w:bidi w:val="0"/>
              <w:spacing w:line="240" w:lineRule="auto"/>
              <w:jc w:val="center"/>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预算价</w:t>
            </w:r>
          </w:p>
        </w:tc>
        <w:tc>
          <w:tcPr>
            <w:tcW w:w="6827" w:type="dxa"/>
            <w:vAlign w:val="center"/>
          </w:tcPr>
          <w:p w14:paraId="18056F08">
            <w:pPr>
              <w:keepNext w:val="0"/>
              <w:keepLines w:val="0"/>
              <w:pageBreakBefore w:val="0"/>
              <w:widowControl/>
              <w:kinsoku/>
              <w:wordWrap/>
              <w:overflowPunct/>
              <w:topLinePunct w:val="0"/>
              <w:autoSpaceDE/>
              <w:autoSpaceDN/>
              <w:bidi w:val="0"/>
              <w:adjustRightInd/>
              <w:spacing w:line="340" w:lineRule="exact"/>
              <w:ind w:firstLine="476"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pacing w:val="-1"/>
                <w:sz w:val="24"/>
                <w:szCs w:val="24"/>
                <w:lang w:val="en-US" w:eastAsia="zh-CN"/>
              </w:rPr>
              <w:t>450万元</w:t>
            </w:r>
          </w:p>
        </w:tc>
      </w:tr>
      <w:tr w14:paraId="75589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799" w:type="dxa"/>
            <w:vAlign w:val="center"/>
          </w:tcPr>
          <w:p w14:paraId="5A61E426">
            <w:pPr>
              <w:spacing w:line="480" w:lineRule="exact"/>
              <w:jc w:val="center"/>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w:t>
            </w:r>
          </w:p>
        </w:tc>
        <w:tc>
          <w:tcPr>
            <w:tcW w:w="2118" w:type="dxa"/>
            <w:vAlign w:val="center"/>
          </w:tcPr>
          <w:p w14:paraId="30320C2E">
            <w:pPr>
              <w:keepNext w:val="0"/>
              <w:keepLines w:val="0"/>
              <w:pageBreakBefore w:val="0"/>
              <w:kinsoku/>
              <w:wordWrap/>
              <w:overflowPunct/>
              <w:topLinePunct w:val="0"/>
              <w:bidi w:val="0"/>
              <w:spacing w:line="240" w:lineRule="auto"/>
              <w:jc w:val="center"/>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最高限价</w:t>
            </w:r>
          </w:p>
        </w:tc>
        <w:tc>
          <w:tcPr>
            <w:tcW w:w="6827" w:type="dxa"/>
            <w:vAlign w:val="center"/>
          </w:tcPr>
          <w:p w14:paraId="53C16639">
            <w:pPr>
              <w:keepNext w:val="0"/>
              <w:keepLines w:val="0"/>
              <w:pageBreakBefore w:val="0"/>
              <w:widowControl/>
              <w:tabs>
                <w:tab w:val="left" w:pos="720"/>
              </w:tabs>
              <w:kinsoku/>
              <w:wordWrap/>
              <w:overflowPunct/>
              <w:topLinePunct w:val="0"/>
              <w:autoSpaceDE/>
              <w:autoSpaceDN/>
              <w:bidi w:val="0"/>
              <w:snapToGrid/>
              <w:spacing w:after="0" w:line="340" w:lineRule="exact"/>
              <w:ind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t>详见</w:t>
            </w:r>
            <w:r>
              <w:rPr>
                <w:rFonts w:hint="eastAsia" w:ascii="仿宋" w:hAnsi="仿宋" w:eastAsia="仿宋" w:cs="仿宋"/>
                <w:color w:val="auto"/>
                <w:sz w:val="24"/>
                <w:szCs w:val="24"/>
                <w:highlight w:val="none"/>
                <w:lang w:val="en-US" w:eastAsia="zh-CN"/>
              </w:rPr>
              <w:t>第三章</w:t>
            </w:r>
            <w:r>
              <w:rPr>
                <w:rFonts w:hint="eastAsia" w:ascii="仿宋" w:hAnsi="仿宋" w:eastAsia="仿宋" w:cs="仿宋"/>
                <w:color w:val="auto"/>
                <w:sz w:val="24"/>
                <w:szCs w:val="24"/>
                <w:highlight w:val="none"/>
              </w:rPr>
              <w:t>采购内容</w:t>
            </w:r>
            <w:r>
              <w:rPr>
                <w:rFonts w:hint="eastAsia" w:ascii="仿宋" w:hAnsi="仿宋" w:eastAsia="仿宋" w:cs="仿宋"/>
                <w:color w:val="auto"/>
                <w:sz w:val="24"/>
                <w:szCs w:val="24"/>
                <w:highlight w:val="none"/>
                <w:lang w:val="en-US" w:eastAsia="zh-CN"/>
              </w:rPr>
              <w:t>及</w:t>
            </w:r>
            <w:r>
              <w:rPr>
                <w:rFonts w:hint="eastAsia" w:ascii="仿宋" w:hAnsi="仿宋" w:eastAsia="仿宋" w:cs="仿宋"/>
                <w:color w:val="auto"/>
                <w:sz w:val="24"/>
                <w:szCs w:val="24"/>
                <w:highlight w:val="none"/>
              </w:rPr>
              <w:t>要求</w:t>
            </w:r>
          </w:p>
        </w:tc>
      </w:tr>
      <w:tr w14:paraId="6A7F6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799" w:type="dxa"/>
            <w:vAlign w:val="center"/>
          </w:tcPr>
          <w:p w14:paraId="1F85B782">
            <w:pPr>
              <w:spacing w:line="480" w:lineRule="exact"/>
              <w:jc w:val="center"/>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w:t>
            </w:r>
          </w:p>
        </w:tc>
        <w:tc>
          <w:tcPr>
            <w:tcW w:w="2118" w:type="dxa"/>
            <w:vAlign w:val="center"/>
          </w:tcPr>
          <w:p w14:paraId="2997CCD6">
            <w:pPr>
              <w:keepNext w:val="0"/>
              <w:keepLines w:val="0"/>
              <w:pageBreakBefore w:val="0"/>
              <w:kinsoku/>
              <w:wordWrap/>
              <w:overflowPunct/>
              <w:topLinePunct w:val="0"/>
              <w:bidi w:val="0"/>
              <w:spacing w:line="240" w:lineRule="auto"/>
              <w:jc w:val="center"/>
              <w:textAlignment w:val="auto"/>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服务期限</w:t>
            </w:r>
          </w:p>
        </w:tc>
        <w:tc>
          <w:tcPr>
            <w:tcW w:w="6827" w:type="dxa"/>
            <w:vAlign w:val="center"/>
          </w:tcPr>
          <w:p w14:paraId="086C1EA0">
            <w:pPr>
              <w:spacing w:line="480" w:lineRule="exact"/>
              <w:ind w:firstLine="480" w:firstLineChars="200"/>
              <w:jc w:val="left"/>
              <w:outlineLvl w:val="9"/>
              <w:rPr>
                <w:rFonts w:ascii="仿宋" w:hAnsi="仿宋" w:eastAsia="仿宋" w:cs="仿宋"/>
                <w:color w:val="auto"/>
                <w:sz w:val="24"/>
                <w:szCs w:val="24"/>
              </w:rPr>
            </w:pPr>
            <w:r>
              <w:rPr>
                <w:rFonts w:hint="eastAsia" w:ascii="仿宋" w:hAnsi="仿宋" w:eastAsia="仿宋" w:cs="仿宋"/>
                <w:color w:val="auto"/>
                <w:sz w:val="24"/>
                <w:szCs w:val="24"/>
                <w:highlight w:val="none"/>
                <w:lang w:val="en-US" w:eastAsia="zh-CN"/>
              </w:rPr>
              <w:t>自合同签订之日起一年。</w:t>
            </w:r>
          </w:p>
        </w:tc>
      </w:tr>
      <w:tr w14:paraId="14332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799" w:type="dxa"/>
            <w:vAlign w:val="center"/>
          </w:tcPr>
          <w:p w14:paraId="594DC497">
            <w:pPr>
              <w:spacing w:line="480" w:lineRule="exact"/>
              <w:jc w:val="center"/>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w:t>
            </w:r>
          </w:p>
        </w:tc>
        <w:tc>
          <w:tcPr>
            <w:tcW w:w="2118" w:type="dxa"/>
            <w:vAlign w:val="center"/>
          </w:tcPr>
          <w:p w14:paraId="6D539277">
            <w:pPr>
              <w:keepNext w:val="0"/>
              <w:keepLines w:val="0"/>
              <w:pageBreakBefore w:val="0"/>
              <w:widowControl/>
              <w:kinsoku/>
              <w:wordWrap/>
              <w:overflowPunct/>
              <w:topLinePunct w:val="0"/>
              <w:bidi w:val="0"/>
              <w:adjustRightInd w:val="0"/>
              <w:snapToGrid w:val="0"/>
              <w:spacing w:line="240" w:lineRule="auto"/>
              <w:jc w:val="center"/>
              <w:textAlignment w:val="auto"/>
              <w:outlineLvl w:val="9"/>
              <w:rPr>
                <w:rFonts w:hint="eastAsia" w:ascii="仿宋" w:hAnsi="仿宋" w:eastAsia="仿宋" w:cs="仿宋"/>
                <w:b/>
                <w:bCs/>
                <w:color w:val="auto"/>
                <w:kern w:val="2"/>
                <w:sz w:val="24"/>
                <w:szCs w:val="24"/>
                <w:lang w:val="en-US" w:eastAsia="zh-CN" w:bidi="ar-SA"/>
              </w:rPr>
            </w:pPr>
            <w:r>
              <w:rPr>
                <w:rFonts w:hint="eastAsia" w:ascii="仿宋" w:hAnsi="仿宋" w:eastAsia="仿宋" w:cs="仿宋"/>
                <w:color w:val="auto"/>
                <w:sz w:val="24"/>
                <w:szCs w:val="24"/>
              </w:rPr>
              <w:t>现场踏勘</w:t>
            </w:r>
          </w:p>
        </w:tc>
        <w:tc>
          <w:tcPr>
            <w:tcW w:w="6827" w:type="dxa"/>
            <w:vAlign w:val="center"/>
          </w:tcPr>
          <w:p w14:paraId="02FCEF80">
            <w:pPr>
              <w:widowControl/>
              <w:adjustRightInd w:val="0"/>
              <w:snapToGrid w:val="0"/>
              <w:ind w:firstLine="480" w:firstLineChars="200"/>
              <w:jc w:val="left"/>
              <w:outlineLvl w:val="9"/>
              <w:rPr>
                <w:rFonts w:ascii="仿宋" w:hAnsi="仿宋" w:eastAsia="仿宋" w:cs="仿宋"/>
                <w:b/>
                <w:bCs/>
                <w:color w:val="auto"/>
                <w:kern w:val="2"/>
                <w:sz w:val="24"/>
                <w:szCs w:val="24"/>
                <w:lang w:val="en-US" w:eastAsia="zh-CN" w:bidi="ar-SA"/>
              </w:rPr>
            </w:pPr>
            <w:r>
              <w:rPr>
                <w:rFonts w:hint="eastAsia" w:ascii="仿宋" w:hAnsi="仿宋" w:eastAsia="仿宋" w:cs="仿宋"/>
                <w:color w:val="auto"/>
                <w:sz w:val="24"/>
                <w:szCs w:val="24"/>
                <w:lang w:eastAsia="zh-CN"/>
              </w:rPr>
              <w:t>招标人</w:t>
            </w:r>
            <w:r>
              <w:rPr>
                <w:rFonts w:hint="eastAsia" w:ascii="仿宋" w:hAnsi="仿宋" w:eastAsia="仿宋" w:cs="仿宋"/>
                <w:color w:val="auto"/>
                <w:sz w:val="24"/>
                <w:szCs w:val="24"/>
              </w:rPr>
              <w:t>不组织统一踏勘，投标人可自行踏勘。</w:t>
            </w:r>
          </w:p>
        </w:tc>
      </w:tr>
      <w:tr w14:paraId="615D9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799" w:type="dxa"/>
            <w:vAlign w:val="center"/>
          </w:tcPr>
          <w:p w14:paraId="68586FD4">
            <w:pPr>
              <w:spacing w:line="480" w:lineRule="exact"/>
              <w:jc w:val="center"/>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w:t>
            </w:r>
          </w:p>
        </w:tc>
        <w:tc>
          <w:tcPr>
            <w:tcW w:w="2118" w:type="dxa"/>
            <w:vAlign w:val="center"/>
          </w:tcPr>
          <w:p w14:paraId="73481EBA">
            <w:pPr>
              <w:keepNext w:val="0"/>
              <w:keepLines w:val="0"/>
              <w:pageBreakBefore w:val="0"/>
              <w:kinsoku/>
              <w:wordWrap/>
              <w:overflowPunct/>
              <w:topLinePunct w:val="0"/>
              <w:bidi w:val="0"/>
              <w:spacing w:line="240" w:lineRule="auto"/>
              <w:jc w:val="center"/>
              <w:textAlignment w:val="auto"/>
              <w:outlineLvl w:val="9"/>
              <w:rPr>
                <w:rFonts w:ascii="仿宋" w:hAnsi="仿宋" w:eastAsia="仿宋" w:cs="仿宋"/>
                <w:color w:val="auto"/>
                <w:sz w:val="24"/>
                <w:szCs w:val="24"/>
              </w:rPr>
            </w:pPr>
            <w:r>
              <w:rPr>
                <w:rFonts w:hint="eastAsia" w:ascii="仿宋" w:hAnsi="仿宋" w:eastAsia="仿宋" w:cs="仿宋"/>
                <w:color w:val="auto"/>
                <w:sz w:val="24"/>
                <w:szCs w:val="24"/>
                <w:lang w:bidi="ar"/>
              </w:rPr>
              <w:t>投标有效期</w:t>
            </w:r>
          </w:p>
        </w:tc>
        <w:tc>
          <w:tcPr>
            <w:tcW w:w="6827" w:type="dxa"/>
            <w:vAlign w:val="center"/>
          </w:tcPr>
          <w:p w14:paraId="34C89473">
            <w:pPr>
              <w:spacing w:line="480" w:lineRule="exact"/>
              <w:ind w:firstLine="480" w:firstLineChars="200"/>
              <w:jc w:val="left"/>
              <w:outlineLvl w:val="9"/>
              <w:rPr>
                <w:rFonts w:ascii="仿宋" w:hAnsi="仿宋" w:eastAsia="仿宋" w:cs="仿宋"/>
                <w:color w:val="auto"/>
                <w:sz w:val="24"/>
                <w:szCs w:val="24"/>
              </w:rPr>
            </w:pPr>
            <w:r>
              <w:rPr>
                <w:rFonts w:hint="eastAsia" w:ascii="仿宋" w:hAnsi="仿宋" w:eastAsia="仿宋" w:cs="仿宋"/>
                <w:color w:val="auto"/>
                <w:sz w:val="24"/>
                <w:szCs w:val="24"/>
              </w:rPr>
              <w:t>投标文件递交截止之日起90天。</w:t>
            </w:r>
          </w:p>
        </w:tc>
      </w:tr>
      <w:tr w14:paraId="054F5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799" w:type="dxa"/>
            <w:vAlign w:val="center"/>
          </w:tcPr>
          <w:p w14:paraId="69D55C29">
            <w:pPr>
              <w:spacing w:line="480" w:lineRule="exact"/>
              <w:jc w:val="center"/>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w:t>
            </w:r>
          </w:p>
        </w:tc>
        <w:tc>
          <w:tcPr>
            <w:tcW w:w="2118" w:type="dxa"/>
            <w:vAlign w:val="center"/>
          </w:tcPr>
          <w:p w14:paraId="6DF90101">
            <w:pPr>
              <w:keepNext w:val="0"/>
              <w:keepLines w:val="0"/>
              <w:pageBreakBefore w:val="0"/>
              <w:kinsoku/>
              <w:wordWrap/>
              <w:overflowPunct/>
              <w:topLinePunct w:val="0"/>
              <w:autoSpaceDE w:val="0"/>
              <w:autoSpaceDN w:val="0"/>
              <w:bidi w:val="0"/>
              <w:adjustRightInd w:val="0"/>
              <w:spacing w:line="240" w:lineRule="auto"/>
              <w:jc w:val="center"/>
              <w:textAlignment w:val="auto"/>
              <w:outlineLvl w:val="9"/>
              <w:rPr>
                <w:rFonts w:ascii="仿宋" w:hAnsi="仿宋" w:eastAsia="仿宋" w:cs="仿宋"/>
                <w:color w:val="auto"/>
                <w:sz w:val="24"/>
                <w:szCs w:val="24"/>
              </w:rPr>
            </w:pPr>
            <w:r>
              <w:rPr>
                <w:rFonts w:hint="eastAsia" w:ascii="仿宋" w:hAnsi="仿宋" w:eastAsia="仿宋" w:cs="仿宋"/>
                <w:color w:val="auto"/>
                <w:sz w:val="24"/>
                <w:szCs w:val="24"/>
                <w:lang w:bidi="ar"/>
              </w:rPr>
              <w:t>是否采用电子招标投标</w:t>
            </w:r>
          </w:p>
        </w:tc>
        <w:tc>
          <w:tcPr>
            <w:tcW w:w="6827" w:type="dxa"/>
            <w:vAlign w:val="center"/>
          </w:tcPr>
          <w:p w14:paraId="11E1D0DB">
            <w:pPr>
              <w:autoSpaceDE w:val="0"/>
              <w:autoSpaceDN w:val="0"/>
              <w:adjustRightInd w:val="0"/>
              <w:spacing w:line="480" w:lineRule="exact"/>
              <w:ind w:firstLine="480" w:firstLineChars="200"/>
              <w:jc w:val="left"/>
              <w:outlineLvl w:val="9"/>
              <w:rPr>
                <w:rFonts w:ascii="仿宋" w:hAnsi="仿宋" w:eastAsia="仿宋" w:cs="仿宋"/>
                <w:color w:val="auto"/>
                <w:sz w:val="24"/>
                <w:szCs w:val="24"/>
              </w:rPr>
            </w:pPr>
            <w:r>
              <w:rPr>
                <w:rFonts w:hint="eastAsia" w:ascii="仿宋" w:hAnsi="仿宋" w:eastAsia="仿宋" w:cs="仿宋"/>
                <w:color w:val="auto"/>
                <w:sz w:val="24"/>
                <w:szCs w:val="24"/>
                <w:lang w:bidi="ar"/>
              </w:rPr>
              <w:t>是，本项目实行不见面电子招投标方式。</w:t>
            </w:r>
          </w:p>
        </w:tc>
      </w:tr>
      <w:tr w14:paraId="26EAF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799" w:type="dxa"/>
            <w:vAlign w:val="center"/>
          </w:tcPr>
          <w:p w14:paraId="591A7C03">
            <w:pPr>
              <w:spacing w:line="480" w:lineRule="exact"/>
              <w:jc w:val="center"/>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w:t>
            </w:r>
          </w:p>
        </w:tc>
        <w:tc>
          <w:tcPr>
            <w:tcW w:w="2118" w:type="dxa"/>
            <w:vAlign w:val="center"/>
          </w:tcPr>
          <w:p w14:paraId="7A56C824">
            <w:pPr>
              <w:keepNext w:val="0"/>
              <w:keepLines w:val="0"/>
              <w:pageBreakBefore w:val="0"/>
              <w:kinsoku/>
              <w:wordWrap/>
              <w:overflowPunct/>
              <w:topLinePunct w:val="0"/>
              <w:bidi w:val="0"/>
              <w:spacing w:line="240" w:lineRule="auto"/>
              <w:jc w:val="center"/>
              <w:textAlignment w:val="auto"/>
              <w:outlineLvl w:val="9"/>
              <w:rPr>
                <w:rFonts w:ascii="仿宋" w:hAnsi="仿宋" w:eastAsia="仿宋" w:cs="仿宋"/>
                <w:color w:val="auto"/>
                <w:sz w:val="24"/>
                <w:szCs w:val="24"/>
              </w:rPr>
            </w:pPr>
            <w:r>
              <w:rPr>
                <w:rFonts w:hint="eastAsia" w:ascii="仿宋" w:hAnsi="仿宋" w:eastAsia="仿宋" w:cs="仿宋"/>
                <w:color w:val="auto"/>
                <w:sz w:val="24"/>
                <w:szCs w:val="24"/>
              </w:rPr>
              <w:t>投标文件份数</w:t>
            </w:r>
          </w:p>
        </w:tc>
        <w:tc>
          <w:tcPr>
            <w:tcW w:w="6827" w:type="dxa"/>
            <w:vAlign w:val="center"/>
          </w:tcPr>
          <w:p w14:paraId="3B85B979">
            <w:pPr>
              <w:spacing w:line="480" w:lineRule="exact"/>
              <w:ind w:firstLine="480" w:firstLineChars="200"/>
              <w:jc w:val="left"/>
              <w:outlineLvl w:val="9"/>
              <w:rPr>
                <w:rFonts w:ascii="仿宋" w:hAnsi="仿宋" w:eastAsia="仿宋" w:cs="仿宋"/>
                <w:color w:val="auto"/>
                <w:sz w:val="24"/>
                <w:szCs w:val="24"/>
              </w:rPr>
            </w:pPr>
            <w:r>
              <w:rPr>
                <w:rFonts w:hint="eastAsia" w:ascii="仿宋" w:hAnsi="仿宋" w:eastAsia="仿宋" w:cs="仿宋"/>
                <w:color w:val="auto"/>
                <w:sz w:val="24"/>
                <w:szCs w:val="24"/>
                <w:lang w:bidi="ar"/>
              </w:rPr>
              <w:t>加密电子投标文件一份，包括“资格审查文件”“技术商务文件”“报价文件”三个部分组成，按规定上传至衢州市阳光交易服务平台。中标人在中标结果公告结束后，按</w:t>
            </w:r>
            <w:r>
              <w:rPr>
                <w:rFonts w:hint="eastAsia" w:ascii="仿宋" w:hAnsi="仿宋" w:eastAsia="仿宋" w:cs="仿宋"/>
                <w:color w:val="auto"/>
                <w:sz w:val="24"/>
                <w:szCs w:val="24"/>
                <w:lang w:eastAsia="zh-CN" w:bidi="ar"/>
              </w:rPr>
              <w:t>招标人</w:t>
            </w:r>
            <w:r>
              <w:rPr>
                <w:rFonts w:hint="eastAsia" w:ascii="仿宋" w:hAnsi="仿宋" w:eastAsia="仿宋" w:cs="仿宋"/>
                <w:color w:val="auto"/>
                <w:sz w:val="24"/>
                <w:szCs w:val="24"/>
                <w:lang w:bidi="ar"/>
              </w:rPr>
              <w:t>或代理机构要求提供与投标时一致的投标文件。</w:t>
            </w:r>
          </w:p>
        </w:tc>
      </w:tr>
      <w:tr w14:paraId="4CBC7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799" w:type="dxa"/>
            <w:vAlign w:val="center"/>
          </w:tcPr>
          <w:p w14:paraId="10B6640F">
            <w:pPr>
              <w:spacing w:line="480" w:lineRule="exact"/>
              <w:jc w:val="center"/>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w:t>
            </w:r>
          </w:p>
        </w:tc>
        <w:tc>
          <w:tcPr>
            <w:tcW w:w="2118" w:type="dxa"/>
            <w:vAlign w:val="center"/>
          </w:tcPr>
          <w:p w14:paraId="1BB9D351">
            <w:pPr>
              <w:keepNext w:val="0"/>
              <w:keepLines w:val="0"/>
              <w:pageBreakBefore w:val="0"/>
              <w:kinsoku/>
              <w:wordWrap/>
              <w:overflowPunct/>
              <w:topLinePunct w:val="0"/>
              <w:bidi w:val="0"/>
              <w:spacing w:line="240" w:lineRule="auto"/>
              <w:jc w:val="center"/>
              <w:textAlignment w:val="auto"/>
              <w:outlineLvl w:val="9"/>
              <w:rPr>
                <w:rFonts w:ascii="仿宋" w:hAnsi="仿宋" w:eastAsia="仿宋" w:cs="仿宋"/>
                <w:color w:val="auto"/>
                <w:sz w:val="24"/>
                <w:szCs w:val="24"/>
              </w:rPr>
            </w:pPr>
            <w:r>
              <w:rPr>
                <w:rFonts w:hint="eastAsia" w:ascii="仿宋" w:hAnsi="仿宋" w:eastAsia="仿宋" w:cs="仿宋"/>
                <w:color w:val="auto"/>
                <w:sz w:val="24"/>
                <w:szCs w:val="24"/>
              </w:rPr>
              <w:t>投标文件的签章</w:t>
            </w:r>
          </w:p>
        </w:tc>
        <w:tc>
          <w:tcPr>
            <w:tcW w:w="6827" w:type="dxa"/>
            <w:vAlign w:val="center"/>
          </w:tcPr>
          <w:p w14:paraId="10A5EC03">
            <w:pPr>
              <w:spacing w:line="480" w:lineRule="exact"/>
              <w:ind w:firstLine="480" w:firstLineChars="200"/>
              <w:jc w:val="left"/>
              <w:outlineLvl w:val="9"/>
              <w:rPr>
                <w:rFonts w:ascii="仿宋" w:hAnsi="仿宋" w:eastAsia="仿宋" w:cs="仿宋"/>
                <w:color w:val="auto"/>
                <w:sz w:val="24"/>
                <w:szCs w:val="24"/>
              </w:rPr>
            </w:pPr>
            <w:r>
              <w:rPr>
                <w:rFonts w:hint="eastAsia" w:ascii="仿宋" w:hAnsi="仿宋" w:eastAsia="仿宋" w:cs="仿宋"/>
                <w:color w:val="auto"/>
                <w:sz w:val="24"/>
                <w:szCs w:val="24"/>
              </w:rPr>
              <w:t>电子签章</w:t>
            </w:r>
          </w:p>
        </w:tc>
      </w:tr>
      <w:tr w14:paraId="60C85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799" w:type="dxa"/>
            <w:vAlign w:val="center"/>
          </w:tcPr>
          <w:p w14:paraId="799F616D">
            <w:pPr>
              <w:spacing w:line="480" w:lineRule="exact"/>
              <w:jc w:val="center"/>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w:t>
            </w:r>
          </w:p>
        </w:tc>
        <w:tc>
          <w:tcPr>
            <w:tcW w:w="2118" w:type="dxa"/>
            <w:vAlign w:val="center"/>
          </w:tcPr>
          <w:p w14:paraId="791EED63">
            <w:pPr>
              <w:keepNext w:val="0"/>
              <w:keepLines w:val="0"/>
              <w:pageBreakBefore w:val="0"/>
              <w:kinsoku/>
              <w:wordWrap/>
              <w:overflowPunct/>
              <w:topLinePunct w:val="0"/>
              <w:bidi w:val="0"/>
              <w:spacing w:line="240" w:lineRule="auto"/>
              <w:jc w:val="center"/>
              <w:textAlignment w:val="auto"/>
              <w:outlineLvl w:val="9"/>
              <w:rPr>
                <w:rFonts w:ascii="仿宋" w:hAnsi="仿宋" w:eastAsia="仿宋" w:cs="仿宋"/>
                <w:color w:val="auto"/>
                <w:sz w:val="24"/>
                <w:szCs w:val="24"/>
              </w:rPr>
            </w:pPr>
            <w:r>
              <w:rPr>
                <w:rFonts w:hint="eastAsia" w:ascii="仿宋" w:hAnsi="仿宋" w:eastAsia="仿宋" w:cs="仿宋"/>
                <w:color w:val="auto"/>
                <w:sz w:val="24"/>
                <w:szCs w:val="24"/>
              </w:rPr>
              <w:t>投标文件递交截止时间及地点</w:t>
            </w:r>
          </w:p>
        </w:tc>
        <w:tc>
          <w:tcPr>
            <w:tcW w:w="6827" w:type="dxa"/>
            <w:vAlign w:val="center"/>
          </w:tcPr>
          <w:p w14:paraId="4640C43E">
            <w:pPr>
              <w:spacing w:line="480" w:lineRule="exact"/>
              <w:ind w:firstLine="480" w:firstLineChars="200"/>
              <w:jc w:val="left"/>
              <w:outlineLvl w:val="9"/>
              <w:rPr>
                <w:rFonts w:hint="eastAsia" w:ascii="仿宋" w:hAnsi="仿宋" w:eastAsia="仿宋" w:cs="仿宋"/>
                <w:color w:val="FF0000"/>
                <w:sz w:val="24"/>
                <w:szCs w:val="24"/>
                <w:lang w:bidi="ar"/>
              </w:rPr>
            </w:pPr>
            <w:r>
              <w:rPr>
                <w:rFonts w:hint="eastAsia" w:ascii="仿宋" w:hAnsi="仿宋" w:eastAsia="仿宋" w:cs="仿宋"/>
                <w:color w:val="FF0000"/>
                <w:sz w:val="24"/>
                <w:szCs w:val="24"/>
                <w:lang w:eastAsia="zh-CN"/>
              </w:rPr>
              <w:t>2025年</w:t>
            </w:r>
            <w:r>
              <w:rPr>
                <w:rFonts w:hint="eastAsia" w:ascii="仿宋" w:hAnsi="仿宋" w:eastAsia="仿宋" w:cs="仿宋"/>
                <w:color w:val="FF0000"/>
                <w:sz w:val="24"/>
                <w:szCs w:val="24"/>
                <w:lang w:val="en-US" w:eastAsia="zh-CN"/>
              </w:rPr>
              <w:t>5</w:t>
            </w:r>
            <w:r>
              <w:rPr>
                <w:rFonts w:hint="eastAsia" w:ascii="仿宋" w:hAnsi="仿宋" w:eastAsia="仿宋" w:cs="仿宋"/>
                <w:color w:val="FF0000"/>
                <w:sz w:val="24"/>
                <w:szCs w:val="24"/>
              </w:rPr>
              <w:t>月</w:t>
            </w:r>
            <w:r>
              <w:rPr>
                <w:rFonts w:hint="eastAsia" w:ascii="仿宋" w:hAnsi="仿宋" w:eastAsia="仿宋" w:cs="仿宋"/>
                <w:color w:val="FF0000"/>
                <w:sz w:val="24"/>
                <w:szCs w:val="24"/>
                <w:lang w:val="en-US" w:eastAsia="zh-CN"/>
              </w:rPr>
              <w:t>7</w:t>
            </w:r>
            <w:r>
              <w:rPr>
                <w:rFonts w:hint="eastAsia" w:ascii="仿宋" w:hAnsi="仿宋" w:eastAsia="仿宋" w:cs="仿宋"/>
                <w:color w:val="FF0000"/>
                <w:sz w:val="24"/>
                <w:szCs w:val="24"/>
              </w:rPr>
              <w:t>日</w:t>
            </w:r>
            <w:r>
              <w:rPr>
                <w:rFonts w:hint="eastAsia" w:ascii="仿宋" w:hAnsi="仿宋" w:eastAsia="仿宋" w:cs="仿宋"/>
                <w:color w:val="FF0000"/>
                <w:sz w:val="24"/>
                <w:szCs w:val="24"/>
                <w:lang w:val="en-US" w:eastAsia="zh-CN"/>
              </w:rPr>
              <w:t>9</w:t>
            </w:r>
            <w:r>
              <w:rPr>
                <w:rFonts w:hint="eastAsia" w:ascii="仿宋" w:hAnsi="仿宋" w:eastAsia="仿宋" w:cs="仿宋"/>
                <w:color w:val="FF0000"/>
                <w:sz w:val="24"/>
                <w:szCs w:val="24"/>
              </w:rPr>
              <w:t>时</w:t>
            </w:r>
            <w:r>
              <w:rPr>
                <w:rFonts w:hint="eastAsia" w:ascii="仿宋" w:hAnsi="仿宋" w:eastAsia="仿宋" w:cs="仿宋"/>
                <w:color w:val="FF0000"/>
                <w:sz w:val="24"/>
                <w:szCs w:val="24"/>
                <w:lang w:val="en-US" w:eastAsia="zh-CN"/>
              </w:rPr>
              <w:t>30</w:t>
            </w:r>
            <w:r>
              <w:rPr>
                <w:rFonts w:hint="eastAsia" w:ascii="仿宋" w:hAnsi="仿宋" w:eastAsia="仿宋" w:cs="仿宋"/>
                <w:color w:val="FF0000"/>
                <w:sz w:val="24"/>
                <w:szCs w:val="24"/>
              </w:rPr>
              <w:t>分</w:t>
            </w:r>
            <w:r>
              <w:rPr>
                <w:rFonts w:hint="eastAsia" w:ascii="仿宋" w:hAnsi="仿宋" w:eastAsia="仿宋" w:cs="仿宋"/>
                <w:color w:val="FF0000"/>
                <w:sz w:val="24"/>
                <w:szCs w:val="24"/>
                <w:lang w:val="en-US" w:eastAsia="zh-CN"/>
              </w:rPr>
              <w:t>00</w:t>
            </w:r>
            <w:r>
              <w:rPr>
                <w:rFonts w:hint="eastAsia" w:ascii="仿宋" w:hAnsi="仿宋" w:eastAsia="仿宋" w:cs="仿宋"/>
                <w:color w:val="FF0000"/>
                <w:sz w:val="24"/>
                <w:szCs w:val="24"/>
              </w:rPr>
              <w:t>秒（北京时间）</w:t>
            </w:r>
          </w:p>
          <w:p w14:paraId="00B24E09">
            <w:pPr>
              <w:spacing w:line="480" w:lineRule="exact"/>
              <w:ind w:firstLine="480" w:firstLineChars="200"/>
              <w:jc w:val="left"/>
              <w:outlineLvl w:val="9"/>
              <w:rPr>
                <w:rFonts w:ascii="仿宋" w:hAnsi="仿宋" w:eastAsia="仿宋" w:cs="仿宋"/>
                <w:color w:val="auto"/>
                <w:sz w:val="24"/>
                <w:szCs w:val="24"/>
              </w:rPr>
            </w:pPr>
            <w:r>
              <w:rPr>
                <w:rFonts w:hint="eastAsia" w:ascii="仿宋" w:hAnsi="仿宋" w:eastAsia="仿宋" w:cs="仿宋"/>
                <w:color w:val="auto"/>
                <w:sz w:val="24"/>
                <w:szCs w:val="24"/>
                <w:lang w:bidi="ar"/>
              </w:rPr>
              <w:t>将由投标文件制作工具制作生成的加密投标文件在投标截止时间前（以上传完成时间为准）上传至衢州市阳光交易服务平台（网址：https://qzygjy.com/）。</w:t>
            </w:r>
          </w:p>
        </w:tc>
      </w:tr>
      <w:tr w14:paraId="176E6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99" w:type="dxa"/>
            <w:vAlign w:val="center"/>
          </w:tcPr>
          <w:p w14:paraId="27A2FE06">
            <w:pPr>
              <w:spacing w:line="480" w:lineRule="exact"/>
              <w:jc w:val="center"/>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13</w:t>
            </w:r>
          </w:p>
        </w:tc>
        <w:tc>
          <w:tcPr>
            <w:tcW w:w="2118" w:type="dxa"/>
            <w:vAlign w:val="center"/>
          </w:tcPr>
          <w:p w14:paraId="50071D82">
            <w:pPr>
              <w:keepNext w:val="0"/>
              <w:keepLines w:val="0"/>
              <w:pageBreakBefore w:val="0"/>
              <w:kinsoku/>
              <w:wordWrap/>
              <w:overflowPunct/>
              <w:topLinePunct w:val="0"/>
              <w:bidi w:val="0"/>
              <w:spacing w:line="240" w:lineRule="auto"/>
              <w:jc w:val="center"/>
              <w:textAlignment w:val="auto"/>
              <w:outlineLvl w:val="9"/>
              <w:rPr>
                <w:rFonts w:ascii="仿宋" w:hAnsi="仿宋" w:eastAsia="仿宋" w:cs="仿宋"/>
                <w:color w:val="auto"/>
                <w:sz w:val="24"/>
                <w:szCs w:val="24"/>
              </w:rPr>
            </w:pPr>
            <w:r>
              <w:rPr>
                <w:rFonts w:hint="eastAsia" w:ascii="仿宋" w:hAnsi="仿宋" w:eastAsia="仿宋" w:cs="仿宋"/>
                <w:color w:val="auto"/>
                <w:sz w:val="24"/>
                <w:szCs w:val="24"/>
              </w:rPr>
              <w:t>开标时间</w:t>
            </w:r>
          </w:p>
        </w:tc>
        <w:tc>
          <w:tcPr>
            <w:tcW w:w="6827" w:type="dxa"/>
            <w:vAlign w:val="center"/>
          </w:tcPr>
          <w:p w14:paraId="085C29C9">
            <w:pPr>
              <w:spacing w:line="480" w:lineRule="exact"/>
              <w:ind w:firstLine="480" w:firstLineChars="200"/>
              <w:jc w:val="left"/>
              <w:outlineLvl w:val="9"/>
              <w:rPr>
                <w:rFonts w:ascii="仿宋" w:hAnsi="仿宋" w:eastAsia="仿宋" w:cs="仿宋"/>
                <w:color w:val="auto"/>
                <w:sz w:val="24"/>
                <w:szCs w:val="24"/>
              </w:rPr>
            </w:pPr>
            <w:r>
              <w:rPr>
                <w:rFonts w:hint="eastAsia" w:ascii="仿宋" w:hAnsi="仿宋" w:eastAsia="仿宋" w:cs="仿宋"/>
                <w:color w:val="FF0000"/>
                <w:sz w:val="24"/>
                <w:szCs w:val="24"/>
                <w:lang w:eastAsia="zh-CN"/>
              </w:rPr>
              <w:t>2025年</w:t>
            </w:r>
            <w:r>
              <w:rPr>
                <w:rFonts w:hint="eastAsia" w:ascii="仿宋" w:hAnsi="仿宋" w:eastAsia="仿宋" w:cs="仿宋"/>
                <w:color w:val="FF0000"/>
                <w:sz w:val="24"/>
                <w:szCs w:val="24"/>
                <w:lang w:val="en-US" w:eastAsia="zh-CN"/>
              </w:rPr>
              <w:t>5</w:t>
            </w:r>
            <w:r>
              <w:rPr>
                <w:rFonts w:hint="eastAsia" w:ascii="仿宋" w:hAnsi="仿宋" w:eastAsia="仿宋" w:cs="仿宋"/>
                <w:color w:val="FF0000"/>
                <w:sz w:val="24"/>
                <w:szCs w:val="24"/>
              </w:rPr>
              <w:t>月</w:t>
            </w:r>
            <w:r>
              <w:rPr>
                <w:rFonts w:hint="eastAsia" w:ascii="仿宋" w:hAnsi="仿宋" w:eastAsia="仿宋" w:cs="仿宋"/>
                <w:color w:val="FF0000"/>
                <w:sz w:val="24"/>
                <w:szCs w:val="24"/>
                <w:lang w:val="en-US" w:eastAsia="zh-CN"/>
              </w:rPr>
              <w:t>7</w:t>
            </w:r>
            <w:r>
              <w:rPr>
                <w:rFonts w:hint="eastAsia" w:ascii="仿宋" w:hAnsi="仿宋" w:eastAsia="仿宋" w:cs="仿宋"/>
                <w:color w:val="FF0000"/>
                <w:sz w:val="24"/>
                <w:szCs w:val="24"/>
              </w:rPr>
              <w:t>日</w:t>
            </w:r>
            <w:r>
              <w:rPr>
                <w:rFonts w:hint="eastAsia" w:ascii="仿宋" w:hAnsi="仿宋" w:eastAsia="仿宋" w:cs="仿宋"/>
                <w:color w:val="FF0000"/>
                <w:sz w:val="24"/>
                <w:szCs w:val="24"/>
                <w:lang w:val="en-US" w:eastAsia="zh-CN"/>
              </w:rPr>
              <w:t>9</w:t>
            </w:r>
            <w:r>
              <w:rPr>
                <w:rFonts w:hint="eastAsia" w:ascii="仿宋" w:hAnsi="仿宋" w:eastAsia="仿宋" w:cs="仿宋"/>
                <w:color w:val="FF0000"/>
                <w:sz w:val="24"/>
                <w:szCs w:val="24"/>
              </w:rPr>
              <w:t>时</w:t>
            </w:r>
            <w:r>
              <w:rPr>
                <w:rFonts w:hint="eastAsia" w:ascii="仿宋" w:hAnsi="仿宋" w:eastAsia="仿宋" w:cs="仿宋"/>
                <w:color w:val="FF0000"/>
                <w:sz w:val="24"/>
                <w:szCs w:val="24"/>
                <w:lang w:val="en-US" w:eastAsia="zh-CN"/>
              </w:rPr>
              <w:t>30</w:t>
            </w:r>
            <w:r>
              <w:rPr>
                <w:rFonts w:hint="eastAsia" w:ascii="仿宋" w:hAnsi="仿宋" w:eastAsia="仿宋" w:cs="仿宋"/>
                <w:color w:val="FF0000"/>
                <w:sz w:val="24"/>
                <w:szCs w:val="24"/>
              </w:rPr>
              <w:t>分</w:t>
            </w:r>
            <w:r>
              <w:rPr>
                <w:rFonts w:hint="eastAsia" w:ascii="仿宋" w:hAnsi="仿宋" w:eastAsia="仿宋" w:cs="仿宋"/>
                <w:color w:val="FF0000"/>
                <w:sz w:val="24"/>
                <w:szCs w:val="24"/>
                <w:lang w:val="en-US" w:eastAsia="zh-CN"/>
              </w:rPr>
              <w:t>00</w:t>
            </w:r>
            <w:r>
              <w:rPr>
                <w:rFonts w:hint="eastAsia" w:ascii="仿宋" w:hAnsi="仿宋" w:eastAsia="仿宋" w:cs="仿宋"/>
                <w:color w:val="FF0000"/>
                <w:sz w:val="24"/>
                <w:szCs w:val="24"/>
              </w:rPr>
              <w:t>秒（北京时间）</w:t>
            </w:r>
          </w:p>
        </w:tc>
      </w:tr>
      <w:tr w14:paraId="4BB9F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99" w:type="dxa"/>
            <w:vAlign w:val="center"/>
          </w:tcPr>
          <w:p w14:paraId="722FD676">
            <w:pPr>
              <w:spacing w:line="480" w:lineRule="exact"/>
              <w:jc w:val="center"/>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14</w:t>
            </w:r>
          </w:p>
        </w:tc>
        <w:tc>
          <w:tcPr>
            <w:tcW w:w="2118" w:type="dxa"/>
            <w:vAlign w:val="center"/>
          </w:tcPr>
          <w:p w14:paraId="257801C5">
            <w:pPr>
              <w:keepNext w:val="0"/>
              <w:keepLines w:val="0"/>
              <w:pageBreakBefore w:val="0"/>
              <w:kinsoku/>
              <w:wordWrap/>
              <w:overflowPunct/>
              <w:topLinePunct w:val="0"/>
              <w:bidi w:val="0"/>
              <w:spacing w:line="240" w:lineRule="auto"/>
              <w:jc w:val="center"/>
              <w:textAlignment w:val="auto"/>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开标地点及平台</w:t>
            </w:r>
          </w:p>
        </w:tc>
        <w:tc>
          <w:tcPr>
            <w:tcW w:w="6827" w:type="dxa"/>
            <w:vAlign w:val="center"/>
          </w:tcPr>
          <w:p w14:paraId="557C445E">
            <w:pPr>
              <w:pStyle w:val="12"/>
              <w:snapToGrid w:val="0"/>
              <w:spacing w:line="480" w:lineRule="exact"/>
              <w:ind w:firstLine="480" w:firstLineChars="200"/>
              <w:outlineLvl w:val="9"/>
              <w:rPr>
                <w:rFonts w:ascii="仿宋" w:hAnsi="仿宋" w:eastAsia="仿宋" w:cs="仿宋"/>
                <w:color w:val="auto"/>
                <w:sz w:val="24"/>
                <w:szCs w:val="24"/>
                <w:lang w:val="zh-CN"/>
              </w:rPr>
            </w:pPr>
            <w:r>
              <w:rPr>
                <w:rFonts w:hint="eastAsia" w:ascii="仿宋" w:hAnsi="仿宋" w:eastAsia="仿宋" w:cs="仿宋"/>
                <w:color w:val="auto"/>
                <w:sz w:val="24"/>
                <w:szCs w:val="24"/>
              </w:rPr>
              <w:t>地点：</w:t>
            </w:r>
            <w:r>
              <w:rPr>
                <w:rFonts w:hint="eastAsia" w:ascii="仿宋" w:hAnsi="仿宋" w:eastAsia="仿宋" w:cs="仿宋"/>
                <w:color w:val="auto"/>
                <w:sz w:val="24"/>
                <w:szCs w:val="24"/>
                <w:lang w:val="zh-CN"/>
              </w:rPr>
              <w:t>衢州市柯城区芹江东路288号衢时代创新大厦3号楼负一楼西侧（衢州市产权交易中心有限公司）</w:t>
            </w:r>
            <w:r>
              <w:rPr>
                <w:rFonts w:hint="eastAsia" w:ascii="仿宋" w:hAnsi="仿宋" w:eastAsia="仿宋" w:cs="仿宋"/>
                <w:color w:val="auto"/>
                <w:sz w:val="24"/>
                <w:szCs w:val="24"/>
              </w:rPr>
              <w:t>的</w:t>
            </w:r>
            <w:r>
              <w:rPr>
                <w:rFonts w:hint="eastAsia" w:ascii="仿宋" w:hAnsi="仿宋" w:eastAsia="仿宋" w:cs="仿宋"/>
                <w:color w:val="auto"/>
                <w:sz w:val="24"/>
                <w:szCs w:val="24"/>
                <w:lang w:val="zh-CN"/>
              </w:rPr>
              <w:t>开标厅。</w:t>
            </w:r>
          </w:p>
          <w:p w14:paraId="0AB85B00">
            <w:pPr>
              <w:spacing w:line="480" w:lineRule="exact"/>
              <w:ind w:firstLine="480" w:firstLineChars="200"/>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开标平台：衢州市阳光交易服务平台不见面开标大厅（https://qzygjy.com/BidOpening/bidopeninghallaction/hall/login）。</w:t>
            </w:r>
          </w:p>
        </w:tc>
      </w:tr>
      <w:tr w14:paraId="5CFA9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799" w:type="dxa"/>
            <w:vAlign w:val="center"/>
          </w:tcPr>
          <w:p w14:paraId="345C20B7">
            <w:pPr>
              <w:spacing w:line="480" w:lineRule="exact"/>
              <w:ind w:left="425" w:hanging="425"/>
              <w:jc w:val="center"/>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w:t>
            </w:r>
          </w:p>
        </w:tc>
        <w:tc>
          <w:tcPr>
            <w:tcW w:w="2118" w:type="dxa"/>
            <w:vAlign w:val="center"/>
          </w:tcPr>
          <w:p w14:paraId="1999E1C2">
            <w:pPr>
              <w:keepNext w:val="0"/>
              <w:keepLines w:val="0"/>
              <w:pageBreakBefore w:val="0"/>
              <w:kinsoku/>
              <w:wordWrap/>
              <w:overflowPunct/>
              <w:topLinePunct w:val="0"/>
              <w:bidi w:val="0"/>
              <w:spacing w:line="240" w:lineRule="auto"/>
              <w:jc w:val="center"/>
              <w:textAlignment w:val="auto"/>
              <w:outlineLvl w:val="9"/>
              <w:rPr>
                <w:rFonts w:ascii="仿宋" w:hAnsi="仿宋" w:eastAsia="仿宋" w:cs="仿宋"/>
                <w:color w:val="auto"/>
                <w:sz w:val="24"/>
                <w:szCs w:val="24"/>
              </w:rPr>
            </w:pPr>
            <w:r>
              <w:rPr>
                <w:rFonts w:hint="eastAsia" w:ascii="仿宋" w:hAnsi="仿宋" w:eastAsia="仿宋" w:cs="仿宋"/>
                <w:color w:val="auto"/>
                <w:sz w:val="24"/>
                <w:szCs w:val="24"/>
              </w:rPr>
              <w:t>样品</w:t>
            </w:r>
          </w:p>
        </w:tc>
        <w:tc>
          <w:tcPr>
            <w:tcW w:w="6827" w:type="dxa"/>
            <w:vAlign w:val="center"/>
          </w:tcPr>
          <w:p w14:paraId="612693D7">
            <w:pPr>
              <w:keepNext w:val="0"/>
              <w:keepLines w:val="0"/>
              <w:pageBreakBefore w:val="0"/>
              <w:widowControl w:val="0"/>
              <w:kinsoku/>
              <w:wordWrap/>
              <w:overflowPunct/>
              <w:topLinePunct w:val="0"/>
              <w:bidi w:val="0"/>
              <w:spacing w:line="480" w:lineRule="exact"/>
              <w:ind w:firstLine="480" w:firstLineChars="200"/>
              <w:jc w:val="left"/>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1.本项目是否需要样品：☑否；□是，详见“第三章 采购</w:t>
            </w:r>
            <w:r>
              <w:rPr>
                <w:rFonts w:hint="eastAsia" w:ascii="仿宋" w:hAnsi="仿宋" w:eastAsia="仿宋" w:cs="仿宋"/>
                <w:color w:val="auto"/>
                <w:sz w:val="24"/>
                <w:szCs w:val="24"/>
                <w:highlight w:val="none"/>
                <w:lang w:val="en-US" w:eastAsia="zh-CN"/>
              </w:rPr>
              <w:t>内容及要求</w:t>
            </w:r>
            <w:r>
              <w:rPr>
                <w:rFonts w:hint="eastAsia" w:ascii="仿宋" w:hAnsi="仿宋" w:eastAsia="仿宋" w:cs="仿宋"/>
                <w:color w:val="auto"/>
                <w:sz w:val="24"/>
                <w:szCs w:val="24"/>
                <w:highlight w:val="none"/>
                <w:lang w:eastAsia="zh-CN"/>
              </w:rPr>
              <w:t>”；</w:t>
            </w:r>
          </w:p>
          <w:p w14:paraId="4A8763CC">
            <w:pPr>
              <w:keepNext w:val="0"/>
              <w:keepLines w:val="0"/>
              <w:pageBreakBefore w:val="0"/>
              <w:widowControl w:val="0"/>
              <w:kinsoku/>
              <w:wordWrap/>
              <w:overflowPunct/>
              <w:topLinePunct w:val="0"/>
              <w:bidi w:val="0"/>
              <w:spacing w:line="480" w:lineRule="exact"/>
              <w:ind w:firstLine="480" w:firstLineChars="200"/>
              <w:jc w:val="left"/>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2.样品标识：□明标，□暗标；</w:t>
            </w:r>
          </w:p>
          <w:p w14:paraId="1AF79E16">
            <w:pPr>
              <w:keepNext w:val="0"/>
              <w:keepLines w:val="0"/>
              <w:pageBreakBefore w:val="0"/>
              <w:widowControl w:val="0"/>
              <w:kinsoku/>
              <w:wordWrap/>
              <w:overflowPunct/>
              <w:topLinePunct w:val="0"/>
              <w:bidi w:val="0"/>
              <w:spacing w:line="480" w:lineRule="exact"/>
              <w:ind w:firstLine="480" w:firstLineChars="200"/>
              <w:jc w:val="left"/>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3.样品送至地点： 衢州市柯城区芹江东路288号衢时代创新大厦3号楼负一楼西侧（衢州市产权交易中心有限公司）样品存放点；</w:t>
            </w:r>
          </w:p>
          <w:p w14:paraId="2DBC4842">
            <w:pPr>
              <w:spacing w:line="480" w:lineRule="exact"/>
              <w:ind w:firstLine="480" w:firstLineChars="200"/>
              <w:jc w:val="left"/>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4.样品递交截止时间：同开标时间；</w:t>
            </w:r>
          </w:p>
          <w:p w14:paraId="3F121F7D">
            <w:pPr>
              <w:keepNext w:val="0"/>
              <w:keepLines w:val="0"/>
              <w:pageBreakBefore w:val="0"/>
              <w:widowControl w:val="0"/>
              <w:kinsoku/>
              <w:wordWrap/>
              <w:overflowPunct/>
              <w:topLinePunct w:val="0"/>
              <w:bidi w:val="0"/>
              <w:spacing w:line="480" w:lineRule="exact"/>
              <w:ind w:firstLine="480" w:firstLineChars="200"/>
              <w:jc w:val="left"/>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lang w:eastAsia="zh-CN"/>
              </w:rPr>
              <w:t>.中标人样品处理：□退还，□封存至验收，□抵扣采购数量；</w:t>
            </w:r>
          </w:p>
          <w:p w14:paraId="036EEB2A">
            <w:pPr>
              <w:spacing w:line="480" w:lineRule="exact"/>
              <w:ind w:firstLine="480" w:firstLineChars="200"/>
              <w:jc w:val="left"/>
              <w:outlineLvl w:val="9"/>
              <w:rPr>
                <w:rFonts w:ascii="仿宋" w:hAnsi="仿宋" w:eastAsia="仿宋" w:cs="仿宋"/>
                <w:color w:val="auto"/>
                <w:sz w:val="24"/>
                <w:szCs w:val="24"/>
              </w:rPr>
            </w:pP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lang w:eastAsia="zh-CN"/>
              </w:rPr>
              <w:t>.其他要求：评标结束后1个工作日内，未中标投标人将其样品取回，逾期未取回的样品由招标人自行处理；中标投标人样品封存，作验收依据。</w:t>
            </w:r>
          </w:p>
        </w:tc>
      </w:tr>
      <w:tr w14:paraId="5A99E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799" w:type="dxa"/>
            <w:vAlign w:val="center"/>
          </w:tcPr>
          <w:p w14:paraId="71074CD7">
            <w:pPr>
              <w:spacing w:line="480" w:lineRule="exact"/>
              <w:ind w:left="425" w:hanging="425"/>
              <w:jc w:val="center"/>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16</w:t>
            </w:r>
          </w:p>
        </w:tc>
        <w:tc>
          <w:tcPr>
            <w:tcW w:w="2118" w:type="dxa"/>
            <w:vAlign w:val="center"/>
          </w:tcPr>
          <w:p w14:paraId="188BDC38">
            <w:pPr>
              <w:keepNext w:val="0"/>
              <w:keepLines w:val="0"/>
              <w:pageBreakBefore w:val="0"/>
              <w:kinsoku/>
              <w:wordWrap/>
              <w:overflowPunct/>
              <w:topLinePunct w:val="0"/>
              <w:bidi w:val="0"/>
              <w:spacing w:line="240" w:lineRule="auto"/>
              <w:jc w:val="center"/>
              <w:textAlignment w:val="auto"/>
              <w:outlineLvl w:val="9"/>
              <w:rPr>
                <w:rFonts w:ascii="仿宋" w:hAnsi="仿宋" w:eastAsia="仿宋" w:cs="仿宋"/>
                <w:color w:val="auto"/>
                <w:sz w:val="24"/>
                <w:szCs w:val="24"/>
              </w:rPr>
            </w:pPr>
            <w:r>
              <w:rPr>
                <w:rFonts w:hint="eastAsia" w:ascii="仿宋" w:hAnsi="仿宋" w:eastAsia="仿宋" w:cs="仿宋"/>
                <w:color w:val="auto"/>
                <w:sz w:val="24"/>
                <w:szCs w:val="24"/>
              </w:rPr>
              <w:t>现场讲解</w:t>
            </w:r>
          </w:p>
        </w:tc>
        <w:tc>
          <w:tcPr>
            <w:tcW w:w="6827" w:type="dxa"/>
            <w:vAlign w:val="center"/>
          </w:tcPr>
          <w:p w14:paraId="7145A8FE">
            <w:pPr>
              <w:keepNext w:val="0"/>
              <w:keepLines w:val="0"/>
              <w:pageBreakBefore w:val="0"/>
              <w:widowControl/>
              <w:numPr>
                <w:ilvl w:val="0"/>
                <w:numId w:val="0"/>
              </w:numPr>
              <w:kinsoku/>
              <w:wordWrap/>
              <w:overflowPunct/>
              <w:topLinePunct w:val="0"/>
              <w:bidi w:val="0"/>
              <w:spacing w:line="480" w:lineRule="exact"/>
              <w:ind w:firstLine="480" w:firstLineChars="200"/>
              <w:jc w:val="left"/>
              <w:textAlignment w:val="auto"/>
              <w:outlineLvl w:val="9"/>
              <w:rPr>
                <w:rFonts w:hint="eastAsia" w:ascii="仿宋" w:hAnsi="仿宋" w:eastAsia="仿宋" w:cs="仿宋"/>
                <w:b w:val="0"/>
                <w:bCs w:val="0"/>
                <w:i w:val="0"/>
                <w:iCs w:val="0"/>
                <w:color w:val="auto"/>
                <w:kern w:val="2"/>
                <w:sz w:val="24"/>
                <w:szCs w:val="24"/>
                <w:highlight w:val="none"/>
                <w:lang w:val="en-US" w:eastAsia="zh-CN" w:bidi="ar-SA"/>
              </w:rPr>
            </w:pPr>
            <w:r>
              <w:rPr>
                <w:rFonts w:hint="eastAsia" w:ascii="仿宋" w:hAnsi="仿宋" w:eastAsia="仿宋" w:cs="仿宋"/>
                <w:b w:val="0"/>
                <w:bCs w:val="0"/>
                <w:i w:val="0"/>
                <w:iCs w:val="0"/>
                <w:color w:val="auto"/>
                <w:kern w:val="2"/>
                <w:sz w:val="24"/>
                <w:szCs w:val="24"/>
                <w:lang w:val="en-US" w:eastAsia="zh-CN" w:bidi="ar-SA"/>
              </w:rPr>
              <w:t>1.</w:t>
            </w:r>
            <w:r>
              <w:rPr>
                <w:rFonts w:hint="eastAsia" w:ascii="仿宋" w:hAnsi="仿宋" w:eastAsia="仿宋" w:cs="仿宋"/>
                <w:color w:val="auto"/>
                <w:sz w:val="24"/>
                <w:szCs w:val="24"/>
                <w:highlight w:val="none"/>
                <w:lang w:eastAsia="zh-CN"/>
              </w:rPr>
              <w:t>本项目是否需要</w:t>
            </w:r>
            <w:r>
              <w:rPr>
                <w:rFonts w:hint="eastAsia" w:ascii="仿宋" w:hAnsi="仿宋" w:eastAsia="仿宋" w:cs="仿宋"/>
                <w:color w:val="auto"/>
                <w:sz w:val="24"/>
                <w:szCs w:val="24"/>
                <w:highlight w:val="none"/>
                <w:lang w:val="en-US" w:eastAsia="zh-CN"/>
              </w:rPr>
              <w:t>现场讲解</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eastAsia="zh-CN"/>
              </w:rPr>
              <w:sym w:font="Wingdings 2" w:char="0052"/>
            </w:r>
            <w:r>
              <w:rPr>
                <w:rFonts w:hint="eastAsia" w:ascii="仿宋" w:hAnsi="仿宋" w:eastAsia="仿宋" w:cs="仿宋"/>
                <w:color w:val="auto"/>
                <w:sz w:val="24"/>
                <w:szCs w:val="24"/>
                <w:highlight w:val="none"/>
                <w:lang w:eastAsia="zh-CN"/>
              </w:rPr>
              <w:t>否，□是；</w:t>
            </w:r>
          </w:p>
          <w:p w14:paraId="017404F0">
            <w:pPr>
              <w:keepNext w:val="0"/>
              <w:keepLines w:val="0"/>
              <w:pageBreakBefore w:val="0"/>
              <w:widowControl/>
              <w:numPr>
                <w:ilvl w:val="0"/>
                <w:numId w:val="0"/>
              </w:numPr>
              <w:kinsoku/>
              <w:wordWrap/>
              <w:overflowPunct/>
              <w:topLinePunct w:val="0"/>
              <w:bidi w:val="0"/>
              <w:spacing w:line="480" w:lineRule="exact"/>
              <w:ind w:firstLine="480" w:firstLineChars="200"/>
              <w:jc w:val="left"/>
              <w:textAlignment w:val="auto"/>
              <w:outlineLvl w:val="9"/>
              <w:rPr>
                <w:rFonts w:hint="eastAsia" w:ascii="仿宋" w:hAnsi="仿宋" w:eastAsia="仿宋" w:cs="仿宋"/>
                <w:b w:val="0"/>
                <w:bCs w:val="0"/>
                <w:i w:val="0"/>
                <w:iCs w:val="0"/>
                <w:color w:val="auto"/>
                <w:kern w:val="2"/>
                <w:sz w:val="24"/>
                <w:szCs w:val="24"/>
                <w:highlight w:val="none"/>
                <w:lang w:val="en-US" w:eastAsia="zh-CN" w:bidi="ar-SA"/>
              </w:rPr>
            </w:pPr>
            <w:r>
              <w:rPr>
                <w:rFonts w:hint="eastAsia" w:ascii="仿宋" w:hAnsi="仿宋" w:eastAsia="仿宋" w:cs="仿宋"/>
                <w:b w:val="0"/>
                <w:bCs w:val="0"/>
                <w:i w:val="0"/>
                <w:iCs w:val="0"/>
                <w:color w:val="auto"/>
                <w:kern w:val="2"/>
                <w:sz w:val="24"/>
                <w:szCs w:val="24"/>
                <w:lang w:val="en-US" w:eastAsia="zh-CN" w:bidi="ar-SA"/>
              </w:rPr>
              <w:t>2.</w:t>
            </w:r>
            <w:r>
              <w:rPr>
                <w:rFonts w:hint="eastAsia" w:ascii="仿宋" w:hAnsi="仿宋" w:eastAsia="仿宋" w:cs="仿宋"/>
                <w:color w:val="auto"/>
                <w:sz w:val="24"/>
                <w:szCs w:val="24"/>
                <w:highlight w:val="none"/>
                <w:lang w:val="en-US" w:eastAsia="zh-CN"/>
              </w:rPr>
              <w:t>讲解时间：</w:t>
            </w:r>
          </w:p>
          <w:p w14:paraId="1988D830">
            <w:pPr>
              <w:keepNext w:val="0"/>
              <w:keepLines w:val="0"/>
              <w:pageBreakBefore w:val="0"/>
              <w:widowControl/>
              <w:kinsoku/>
              <w:wordWrap/>
              <w:overflowPunct/>
              <w:topLinePunct w:val="0"/>
              <w:bidi w:val="0"/>
              <w:spacing w:line="480" w:lineRule="exact"/>
              <w:ind w:firstLine="480" w:firstLineChars="200"/>
              <w:jc w:val="left"/>
              <w:textAlignment w:val="auto"/>
              <w:outlineLvl w:val="9"/>
              <w:rPr>
                <w:rFonts w:ascii="仿宋" w:hAnsi="仿宋" w:eastAsia="仿宋" w:cs="仿宋"/>
                <w:color w:val="auto"/>
                <w:sz w:val="24"/>
                <w:szCs w:val="24"/>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现场讲解</w:t>
            </w:r>
            <w:r>
              <w:rPr>
                <w:rFonts w:hint="eastAsia" w:ascii="仿宋" w:hAnsi="仿宋" w:eastAsia="仿宋" w:cs="仿宋"/>
                <w:color w:val="auto"/>
                <w:sz w:val="24"/>
                <w:szCs w:val="24"/>
                <w:highlight w:val="none"/>
                <w:lang w:eastAsia="zh-CN"/>
              </w:rPr>
              <w:t>地点： 衢州市柯城区芹江东路288号衢时代创新大厦3号楼负一楼西侧（衢州市产权交易中心有限公司）</w:t>
            </w:r>
            <w:r>
              <w:rPr>
                <w:rFonts w:hint="eastAsia" w:ascii="仿宋" w:hAnsi="仿宋" w:eastAsia="仿宋" w:cs="仿宋"/>
                <w:color w:val="auto"/>
                <w:sz w:val="24"/>
                <w:szCs w:val="24"/>
                <w:highlight w:val="none"/>
                <w:lang w:val="en-US" w:eastAsia="zh-CN"/>
              </w:rPr>
              <w:t>。</w:t>
            </w:r>
          </w:p>
        </w:tc>
      </w:tr>
      <w:tr w14:paraId="6DE69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9" w:type="dxa"/>
            <w:vAlign w:val="center"/>
          </w:tcPr>
          <w:p w14:paraId="1EA73955">
            <w:pPr>
              <w:spacing w:line="480" w:lineRule="exact"/>
              <w:jc w:val="center"/>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17</w:t>
            </w:r>
          </w:p>
        </w:tc>
        <w:tc>
          <w:tcPr>
            <w:tcW w:w="2118" w:type="dxa"/>
            <w:vAlign w:val="center"/>
          </w:tcPr>
          <w:p w14:paraId="27797562">
            <w:pPr>
              <w:keepNext w:val="0"/>
              <w:keepLines w:val="0"/>
              <w:pageBreakBefore w:val="0"/>
              <w:kinsoku/>
              <w:wordWrap/>
              <w:overflowPunct/>
              <w:topLinePunct w:val="0"/>
              <w:bidi w:val="0"/>
              <w:spacing w:line="240" w:lineRule="auto"/>
              <w:jc w:val="center"/>
              <w:textAlignment w:val="auto"/>
              <w:outlineLvl w:val="9"/>
              <w:rPr>
                <w:rFonts w:ascii="仿宋" w:hAnsi="仿宋" w:eastAsia="仿宋" w:cs="仿宋"/>
                <w:color w:val="auto"/>
                <w:sz w:val="24"/>
                <w:szCs w:val="24"/>
              </w:rPr>
            </w:pPr>
            <w:r>
              <w:rPr>
                <w:rFonts w:hint="eastAsia" w:ascii="仿宋" w:hAnsi="仿宋" w:eastAsia="仿宋" w:cs="仿宋"/>
                <w:color w:val="auto"/>
                <w:sz w:val="24"/>
                <w:szCs w:val="24"/>
              </w:rPr>
              <w:t>投标文件开启程序</w:t>
            </w:r>
          </w:p>
        </w:tc>
        <w:tc>
          <w:tcPr>
            <w:tcW w:w="6827" w:type="dxa"/>
            <w:vAlign w:val="center"/>
          </w:tcPr>
          <w:p w14:paraId="35C42567">
            <w:pPr>
              <w:spacing w:line="480" w:lineRule="exact"/>
              <w:outlineLvl w:val="9"/>
              <w:rPr>
                <w:rFonts w:ascii="仿宋" w:hAnsi="仿宋" w:eastAsia="仿宋" w:cs="仿宋"/>
                <w:color w:val="auto"/>
                <w:sz w:val="24"/>
                <w:szCs w:val="24"/>
              </w:rPr>
            </w:pPr>
            <w:r>
              <w:rPr>
                <w:rFonts w:hint="eastAsia" w:ascii="仿宋" w:hAnsi="仿宋" w:eastAsia="仿宋" w:cs="仿宋"/>
                <w:color w:val="auto"/>
                <w:sz w:val="24"/>
                <w:szCs w:val="24"/>
              </w:rPr>
              <w:t xml:space="preserve">    ⑴投标文件开启时间到后，代理机构（或公证人员）宣布开始解密，30分钟内投标人应完成投标文件的解密。投标人解密方式：投标人自行登录衢州市阳光交易服务平台不见面开标大厅（https://qzygjy.com/BidOpening/bidopeninghallaction/hall/login）——投标人身份——我的项目——选择标段——待代理开启解密后进行解密操作投标人在规定的时间内都已完成解密，则系统自动结束解密；投标人因自身原因未在规定时间内完成解密，则默认自动放弃；</w:t>
            </w:r>
          </w:p>
          <w:p w14:paraId="594BCD62">
            <w:pPr>
              <w:spacing w:line="480" w:lineRule="exact"/>
              <w:outlineLvl w:val="9"/>
              <w:rPr>
                <w:rFonts w:ascii="仿宋" w:hAnsi="仿宋" w:eastAsia="仿宋" w:cs="仿宋"/>
                <w:color w:val="auto"/>
                <w:sz w:val="24"/>
                <w:szCs w:val="24"/>
              </w:rPr>
            </w:pPr>
            <w:r>
              <w:rPr>
                <w:rFonts w:hint="eastAsia" w:ascii="仿宋" w:hAnsi="仿宋" w:eastAsia="仿宋" w:cs="仿宋"/>
                <w:color w:val="auto"/>
                <w:sz w:val="24"/>
                <w:szCs w:val="24"/>
              </w:rPr>
              <w:t xml:space="preserve">    ⑵</w:t>
            </w:r>
            <w:r>
              <w:rPr>
                <w:rFonts w:hint="eastAsia" w:ascii="仿宋" w:hAnsi="仿宋" w:eastAsia="仿宋" w:cs="仿宋"/>
                <w:color w:val="auto"/>
                <w:sz w:val="24"/>
                <w:szCs w:val="24"/>
                <w:lang w:eastAsia="zh-CN"/>
              </w:rPr>
              <w:t>招标代理机构</w:t>
            </w:r>
            <w:r>
              <w:rPr>
                <w:rFonts w:hint="eastAsia" w:ascii="仿宋" w:hAnsi="仿宋" w:eastAsia="仿宋" w:cs="仿宋"/>
                <w:color w:val="auto"/>
                <w:sz w:val="24"/>
                <w:szCs w:val="24"/>
              </w:rPr>
              <w:t>导入投标文件成功后进入评标流程。</w:t>
            </w:r>
          </w:p>
        </w:tc>
      </w:tr>
      <w:tr w14:paraId="1F18C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99" w:type="dxa"/>
            <w:vAlign w:val="center"/>
          </w:tcPr>
          <w:p w14:paraId="5A1D260A">
            <w:pPr>
              <w:spacing w:line="480" w:lineRule="exact"/>
              <w:jc w:val="center"/>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18</w:t>
            </w:r>
          </w:p>
        </w:tc>
        <w:tc>
          <w:tcPr>
            <w:tcW w:w="2118" w:type="dxa"/>
            <w:vAlign w:val="center"/>
          </w:tcPr>
          <w:p w14:paraId="166732C5">
            <w:pPr>
              <w:keepNext w:val="0"/>
              <w:keepLines w:val="0"/>
              <w:pageBreakBefore w:val="0"/>
              <w:kinsoku/>
              <w:wordWrap/>
              <w:overflowPunct/>
              <w:topLinePunct w:val="0"/>
              <w:bidi w:val="0"/>
              <w:spacing w:line="240" w:lineRule="auto"/>
              <w:jc w:val="center"/>
              <w:textAlignment w:val="auto"/>
              <w:outlineLvl w:val="9"/>
              <w:rPr>
                <w:rFonts w:ascii="仿宋" w:hAnsi="仿宋" w:eastAsia="仿宋" w:cs="仿宋"/>
                <w:color w:val="auto"/>
                <w:sz w:val="24"/>
                <w:szCs w:val="24"/>
              </w:rPr>
            </w:pPr>
            <w:r>
              <w:rPr>
                <w:rFonts w:hint="eastAsia" w:ascii="仿宋" w:hAnsi="仿宋" w:eastAsia="仿宋" w:cs="仿宋"/>
                <w:color w:val="auto"/>
                <w:sz w:val="24"/>
                <w:szCs w:val="24"/>
              </w:rPr>
              <w:t>中标结果公告期限</w:t>
            </w:r>
          </w:p>
        </w:tc>
        <w:tc>
          <w:tcPr>
            <w:tcW w:w="6827" w:type="dxa"/>
            <w:vAlign w:val="center"/>
          </w:tcPr>
          <w:p w14:paraId="2BCB8839">
            <w:pPr>
              <w:spacing w:line="480" w:lineRule="exact"/>
              <w:ind w:firstLine="480" w:firstLineChars="200"/>
              <w:jc w:val="left"/>
              <w:outlineLvl w:val="9"/>
              <w:rPr>
                <w:rFonts w:ascii="仿宋" w:hAnsi="仿宋" w:eastAsia="仿宋" w:cs="仿宋"/>
                <w:color w:val="auto"/>
                <w:sz w:val="24"/>
                <w:szCs w:val="24"/>
              </w:rPr>
            </w:pPr>
            <w:r>
              <w:rPr>
                <w:rFonts w:hint="eastAsia" w:ascii="仿宋" w:hAnsi="仿宋" w:eastAsia="仿宋" w:cs="仿宋"/>
                <w:color w:val="auto"/>
                <w:sz w:val="24"/>
                <w:szCs w:val="24"/>
              </w:rPr>
              <w:t>1个工作日</w:t>
            </w:r>
          </w:p>
        </w:tc>
      </w:tr>
      <w:tr w14:paraId="174B8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799" w:type="dxa"/>
            <w:tcBorders>
              <w:bottom w:val="single" w:color="auto" w:sz="4" w:space="0"/>
            </w:tcBorders>
            <w:vAlign w:val="center"/>
          </w:tcPr>
          <w:p w14:paraId="1B834181">
            <w:pPr>
              <w:spacing w:line="480" w:lineRule="exact"/>
              <w:jc w:val="center"/>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19</w:t>
            </w:r>
          </w:p>
        </w:tc>
        <w:tc>
          <w:tcPr>
            <w:tcW w:w="2118" w:type="dxa"/>
            <w:tcBorders>
              <w:bottom w:val="single" w:color="auto" w:sz="4" w:space="0"/>
            </w:tcBorders>
            <w:vAlign w:val="center"/>
          </w:tcPr>
          <w:p w14:paraId="54313E19">
            <w:pPr>
              <w:keepNext w:val="0"/>
              <w:keepLines w:val="0"/>
              <w:pageBreakBefore w:val="0"/>
              <w:kinsoku/>
              <w:wordWrap/>
              <w:overflowPunct/>
              <w:topLinePunct w:val="0"/>
              <w:bidi w:val="0"/>
              <w:spacing w:line="240" w:lineRule="auto"/>
              <w:jc w:val="center"/>
              <w:textAlignment w:val="auto"/>
              <w:outlineLvl w:val="9"/>
              <w:rPr>
                <w:rFonts w:ascii="仿宋" w:hAnsi="仿宋" w:eastAsia="仿宋" w:cs="仿宋"/>
                <w:color w:val="auto"/>
                <w:sz w:val="24"/>
                <w:szCs w:val="24"/>
              </w:rPr>
            </w:pPr>
            <w:r>
              <w:rPr>
                <w:rFonts w:hint="eastAsia" w:ascii="仿宋" w:hAnsi="仿宋" w:eastAsia="仿宋" w:cs="仿宋"/>
                <w:color w:val="auto"/>
                <w:sz w:val="24"/>
                <w:szCs w:val="24"/>
              </w:rPr>
              <w:t>中标人履约保证金缴纳</w:t>
            </w:r>
          </w:p>
        </w:tc>
        <w:tc>
          <w:tcPr>
            <w:tcW w:w="6827" w:type="dxa"/>
            <w:tcBorders>
              <w:bottom w:val="single" w:color="auto" w:sz="4" w:space="0"/>
            </w:tcBorders>
            <w:vAlign w:val="center"/>
          </w:tcPr>
          <w:p w14:paraId="40DA3338">
            <w:pPr>
              <w:spacing w:line="480" w:lineRule="exact"/>
              <w:ind w:firstLine="480" w:firstLineChars="200"/>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中标人在合同签订前缴纳合同总金额1%的履约保证金。</w:t>
            </w:r>
          </w:p>
          <w:p w14:paraId="55F6888C">
            <w:pPr>
              <w:spacing w:line="480" w:lineRule="exact"/>
              <w:ind w:firstLine="480" w:firstLineChars="200"/>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履约保证金的收取：网银、汇票、电汇、转账支付，接受银行、保险公司保函。</w:t>
            </w:r>
          </w:p>
          <w:p w14:paraId="4915E3C6">
            <w:pPr>
              <w:spacing w:line="480" w:lineRule="exact"/>
              <w:ind w:firstLine="480" w:firstLineChars="200"/>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履约保证金的退回：履约保证金在服务期满后30个工作日内，扣除违约金（如有）后无息退还。采用银行或保险公司保函的须将其原件或扫描件（单位加盖公章）送（寄）至招标人指定地址。保函期限在服务期满后且无异议情况下30个工作日内自动解除。</w:t>
            </w:r>
          </w:p>
        </w:tc>
      </w:tr>
      <w:tr w14:paraId="166CC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99" w:type="dxa"/>
            <w:vAlign w:val="center"/>
          </w:tcPr>
          <w:p w14:paraId="45C705A6">
            <w:pPr>
              <w:spacing w:line="480" w:lineRule="exact"/>
              <w:jc w:val="center"/>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20</w:t>
            </w:r>
          </w:p>
        </w:tc>
        <w:tc>
          <w:tcPr>
            <w:tcW w:w="2118" w:type="dxa"/>
            <w:vAlign w:val="center"/>
          </w:tcPr>
          <w:p w14:paraId="60242E7D">
            <w:pPr>
              <w:keepNext w:val="0"/>
              <w:keepLines w:val="0"/>
              <w:pageBreakBefore w:val="0"/>
              <w:kinsoku/>
              <w:wordWrap/>
              <w:overflowPunct/>
              <w:topLinePunct w:val="0"/>
              <w:bidi w:val="0"/>
              <w:spacing w:line="240" w:lineRule="auto"/>
              <w:jc w:val="center"/>
              <w:textAlignment w:val="auto"/>
              <w:outlineLvl w:val="9"/>
              <w:rPr>
                <w:rFonts w:ascii="仿宋" w:hAnsi="仿宋" w:eastAsia="仿宋" w:cs="仿宋"/>
                <w:color w:val="auto"/>
                <w:sz w:val="24"/>
                <w:szCs w:val="24"/>
              </w:rPr>
            </w:pPr>
            <w:r>
              <w:rPr>
                <w:rFonts w:hint="eastAsia" w:ascii="仿宋" w:hAnsi="仿宋" w:eastAsia="仿宋" w:cs="仿宋"/>
                <w:color w:val="auto"/>
                <w:sz w:val="24"/>
                <w:szCs w:val="24"/>
              </w:rPr>
              <w:t>签订合同</w:t>
            </w:r>
          </w:p>
        </w:tc>
        <w:tc>
          <w:tcPr>
            <w:tcW w:w="6827" w:type="dxa"/>
            <w:vAlign w:val="center"/>
          </w:tcPr>
          <w:p w14:paraId="3AA896F2">
            <w:pPr>
              <w:spacing w:line="480" w:lineRule="exact"/>
              <w:ind w:firstLine="480" w:firstLineChars="200"/>
              <w:jc w:val="left"/>
              <w:outlineLvl w:val="9"/>
              <w:rPr>
                <w:rFonts w:ascii="仿宋" w:hAnsi="仿宋" w:eastAsia="仿宋" w:cs="仿宋"/>
                <w:color w:val="auto"/>
                <w:sz w:val="24"/>
                <w:szCs w:val="24"/>
              </w:rPr>
            </w:pPr>
            <w:r>
              <w:rPr>
                <w:rFonts w:hint="eastAsia" w:ascii="仿宋" w:hAnsi="仿宋" w:eastAsia="仿宋" w:cs="仿宋"/>
                <w:color w:val="auto"/>
                <w:sz w:val="24"/>
                <w:szCs w:val="24"/>
              </w:rPr>
              <w:t>发出中标通知书之日起</w:t>
            </w:r>
            <w:r>
              <w:rPr>
                <w:rFonts w:hint="eastAsia" w:ascii="仿宋" w:hAnsi="仿宋" w:eastAsia="仿宋" w:cs="仿宋"/>
                <w:color w:val="auto"/>
                <w:sz w:val="24"/>
                <w:szCs w:val="24"/>
                <w:lang w:val="en-US" w:eastAsia="zh-CN"/>
              </w:rPr>
              <w:t>30</w:t>
            </w:r>
            <w:r>
              <w:rPr>
                <w:rFonts w:hint="eastAsia" w:ascii="仿宋" w:hAnsi="仿宋" w:eastAsia="仿宋" w:cs="仿宋"/>
                <w:color w:val="auto"/>
                <w:sz w:val="24"/>
                <w:szCs w:val="24"/>
              </w:rPr>
              <w:t xml:space="preserve">天内。 </w:t>
            </w:r>
          </w:p>
        </w:tc>
      </w:tr>
      <w:tr w14:paraId="57184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99" w:type="dxa"/>
            <w:vAlign w:val="center"/>
          </w:tcPr>
          <w:p w14:paraId="12ED9E34">
            <w:pPr>
              <w:spacing w:line="480" w:lineRule="exact"/>
              <w:jc w:val="center"/>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w:t>
            </w:r>
          </w:p>
        </w:tc>
        <w:tc>
          <w:tcPr>
            <w:tcW w:w="2118" w:type="dxa"/>
            <w:vAlign w:val="center"/>
          </w:tcPr>
          <w:p w14:paraId="59E4ADF5">
            <w:pPr>
              <w:keepNext w:val="0"/>
              <w:keepLines w:val="0"/>
              <w:pageBreakBefore w:val="0"/>
              <w:kinsoku/>
              <w:wordWrap/>
              <w:overflowPunct/>
              <w:topLinePunct w:val="0"/>
              <w:bidi w:val="0"/>
              <w:spacing w:line="240" w:lineRule="auto"/>
              <w:jc w:val="center"/>
              <w:textAlignment w:val="auto"/>
              <w:outlineLvl w:val="9"/>
              <w:rPr>
                <w:rFonts w:ascii="仿宋" w:hAnsi="仿宋" w:eastAsia="仿宋" w:cs="仿宋"/>
                <w:color w:val="auto"/>
                <w:sz w:val="24"/>
                <w:szCs w:val="24"/>
              </w:rPr>
            </w:pPr>
            <w:r>
              <w:rPr>
                <w:rFonts w:hint="eastAsia" w:ascii="仿宋" w:hAnsi="仿宋" w:eastAsia="仿宋" w:cs="仿宋"/>
                <w:color w:val="auto"/>
                <w:sz w:val="24"/>
                <w:szCs w:val="24"/>
              </w:rPr>
              <w:t>合同备案</w:t>
            </w:r>
          </w:p>
        </w:tc>
        <w:tc>
          <w:tcPr>
            <w:tcW w:w="6827" w:type="dxa"/>
            <w:vAlign w:val="center"/>
          </w:tcPr>
          <w:p w14:paraId="4B896F4F">
            <w:pPr>
              <w:spacing w:line="480" w:lineRule="exact"/>
              <w:ind w:firstLine="480" w:firstLineChars="200"/>
              <w:jc w:val="left"/>
              <w:outlineLvl w:val="9"/>
              <w:rPr>
                <w:rFonts w:ascii="仿宋" w:hAnsi="仿宋" w:eastAsia="仿宋" w:cs="仿宋"/>
                <w:color w:val="auto"/>
                <w:sz w:val="24"/>
                <w:szCs w:val="24"/>
              </w:rPr>
            </w:pPr>
            <w:r>
              <w:rPr>
                <w:rFonts w:hint="eastAsia" w:ascii="仿宋" w:hAnsi="仿宋" w:eastAsia="仿宋" w:cs="仿宋"/>
                <w:color w:val="auto"/>
                <w:sz w:val="24"/>
                <w:szCs w:val="24"/>
              </w:rPr>
              <w:t>中标人与</w:t>
            </w:r>
            <w:r>
              <w:rPr>
                <w:rFonts w:hint="eastAsia" w:ascii="仿宋" w:hAnsi="仿宋" w:eastAsia="仿宋" w:cs="仿宋"/>
                <w:color w:val="auto"/>
                <w:sz w:val="24"/>
                <w:szCs w:val="24"/>
                <w:lang w:eastAsia="zh-CN"/>
              </w:rPr>
              <w:t>招标人</w:t>
            </w:r>
            <w:r>
              <w:rPr>
                <w:rFonts w:hint="eastAsia" w:ascii="仿宋" w:hAnsi="仿宋" w:eastAsia="仿宋" w:cs="仿宋"/>
                <w:color w:val="auto"/>
                <w:sz w:val="24"/>
                <w:szCs w:val="24"/>
              </w:rPr>
              <w:t>签订合同后，2个日历天内将合同扫描件电子版发送至邮箱：</w:t>
            </w:r>
            <w:r>
              <w:rPr>
                <w:rFonts w:hint="eastAsia" w:ascii="仿宋" w:hAnsi="仿宋" w:eastAsia="仿宋" w:cs="仿宋"/>
                <w:color w:val="auto"/>
                <w:sz w:val="24"/>
                <w:szCs w:val="24"/>
                <w:lang w:eastAsia="zh-CN"/>
              </w:rPr>
              <w:t>shuqi@qzjrkg.com.cn</w:t>
            </w:r>
            <w:r>
              <w:rPr>
                <w:rFonts w:hint="eastAsia" w:ascii="仿宋" w:hAnsi="仿宋" w:eastAsia="仿宋" w:cs="仿宋"/>
                <w:color w:val="auto"/>
                <w:sz w:val="24"/>
                <w:szCs w:val="24"/>
              </w:rPr>
              <w:t>；本项目采购合同按规定在</w:t>
            </w:r>
            <w:r>
              <w:rPr>
                <w:rFonts w:hint="eastAsia" w:ascii="仿宋" w:hAnsi="仿宋" w:eastAsia="仿宋" w:cs="仿宋"/>
                <w:color w:val="auto"/>
                <w:sz w:val="24"/>
                <w:szCs w:val="24"/>
                <w:lang w:bidi="ar"/>
              </w:rPr>
              <w:t>衢州市阳光交易服务平台（网址：https://qzygjy.com/）</w:t>
            </w:r>
            <w:r>
              <w:rPr>
                <w:rFonts w:hint="eastAsia" w:ascii="仿宋" w:hAnsi="仿宋" w:eastAsia="仿宋" w:cs="仿宋"/>
                <w:color w:val="auto"/>
                <w:sz w:val="24"/>
                <w:szCs w:val="24"/>
              </w:rPr>
              <w:t>予以备案。</w:t>
            </w:r>
          </w:p>
        </w:tc>
      </w:tr>
      <w:tr w14:paraId="1E6B6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799" w:type="dxa"/>
            <w:vAlign w:val="center"/>
          </w:tcPr>
          <w:p w14:paraId="4C866D99">
            <w:pPr>
              <w:spacing w:line="480" w:lineRule="exact"/>
              <w:jc w:val="center"/>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22</w:t>
            </w:r>
          </w:p>
        </w:tc>
        <w:tc>
          <w:tcPr>
            <w:tcW w:w="2118" w:type="dxa"/>
            <w:vAlign w:val="center"/>
          </w:tcPr>
          <w:p w14:paraId="7688CDCC">
            <w:pPr>
              <w:keepNext w:val="0"/>
              <w:keepLines w:val="0"/>
              <w:pageBreakBefore w:val="0"/>
              <w:kinsoku/>
              <w:wordWrap/>
              <w:overflowPunct/>
              <w:topLinePunct w:val="0"/>
              <w:bidi w:val="0"/>
              <w:spacing w:line="240" w:lineRule="auto"/>
              <w:jc w:val="center"/>
              <w:textAlignment w:val="auto"/>
              <w:outlineLvl w:val="9"/>
              <w:rPr>
                <w:rFonts w:ascii="仿宋" w:hAnsi="仿宋" w:eastAsia="仿宋" w:cs="仿宋"/>
                <w:color w:val="auto"/>
                <w:sz w:val="24"/>
                <w:szCs w:val="24"/>
              </w:rPr>
            </w:pPr>
            <w:r>
              <w:rPr>
                <w:rFonts w:hint="eastAsia" w:ascii="仿宋" w:hAnsi="仿宋" w:eastAsia="仿宋" w:cs="仿宋"/>
                <w:color w:val="auto"/>
                <w:sz w:val="24"/>
                <w:szCs w:val="24"/>
              </w:rPr>
              <w:t>采购公告、更正公告、中标结果公告发布网址</w:t>
            </w:r>
          </w:p>
        </w:tc>
        <w:tc>
          <w:tcPr>
            <w:tcW w:w="6827" w:type="dxa"/>
            <w:vAlign w:val="center"/>
          </w:tcPr>
          <w:p w14:paraId="7D7F6683">
            <w:pPr>
              <w:spacing w:line="480" w:lineRule="exact"/>
              <w:ind w:firstLine="480" w:firstLineChars="200"/>
              <w:jc w:val="left"/>
              <w:outlineLvl w:val="9"/>
              <w:rPr>
                <w:rFonts w:ascii="仿宋" w:hAnsi="仿宋" w:eastAsia="仿宋" w:cs="仿宋"/>
                <w:color w:val="auto"/>
                <w:sz w:val="24"/>
                <w:szCs w:val="24"/>
              </w:rPr>
            </w:pPr>
            <w:r>
              <w:rPr>
                <w:rFonts w:hint="eastAsia" w:ascii="仿宋" w:hAnsi="仿宋" w:eastAsia="仿宋" w:cs="仿宋"/>
                <w:color w:val="auto"/>
                <w:sz w:val="24"/>
                <w:szCs w:val="24"/>
              </w:rPr>
              <w:t>衢州市阳光交易服务平台（https://qzygjy.com/）</w:t>
            </w:r>
          </w:p>
        </w:tc>
      </w:tr>
      <w:tr w14:paraId="793E2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799" w:type="dxa"/>
            <w:vAlign w:val="center"/>
          </w:tcPr>
          <w:p w14:paraId="62F16C17">
            <w:pPr>
              <w:spacing w:line="480" w:lineRule="exact"/>
              <w:jc w:val="center"/>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23</w:t>
            </w:r>
          </w:p>
        </w:tc>
        <w:tc>
          <w:tcPr>
            <w:tcW w:w="2118" w:type="dxa"/>
            <w:vAlign w:val="center"/>
          </w:tcPr>
          <w:p w14:paraId="175E2DCF">
            <w:pPr>
              <w:keepNext w:val="0"/>
              <w:keepLines w:val="0"/>
              <w:pageBreakBefore w:val="0"/>
              <w:kinsoku/>
              <w:wordWrap/>
              <w:overflowPunct/>
              <w:topLinePunct w:val="0"/>
              <w:bidi w:val="0"/>
              <w:spacing w:line="240" w:lineRule="auto"/>
              <w:jc w:val="center"/>
              <w:textAlignment w:val="auto"/>
              <w:outlineLvl w:val="9"/>
              <w:rPr>
                <w:rFonts w:ascii="仿宋" w:hAnsi="仿宋" w:eastAsia="仿宋" w:cs="仿宋"/>
                <w:color w:val="auto"/>
                <w:sz w:val="24"/>
                <w:szCs w:val="24"/>
              </w:rPr>
            </w:pPr>
            <w:r>
              <w:rPr>
                <w:rFonts w:hint="eastAsia" w:ascii="仿宋" w:hAnsi="仿宋" w:eastAsia="仿宋" w:cs="仿宋"/>
                <w:color w:val="auto"/>
                <w:sz w:val="24"/>
                <w:szCs w:val="24"/>
              </w:rPr>
              <w:t>其他注意事项</w:t>
            </w:r>
          </w:p>
        </w:tc>
        <w:tc>
          <w:tcPr>
            <w:tcW w:w="6827" w:type="dxa"/>
            <w:vAlign w:val="center"/>
          </w:tcPr>
          <w:p w14:paraId="01DBF210">
            <w:pPr>
              <w:pStyle w:val="22"/>
              <w:spacing w:after="0" w:line="480" w:lineRule="exact"/>
              <w:ind w:firstLine="480"/>
              <w:outlineLvl w:val="9"/>
              <w:rPr>
                <w:rFonts w:ascii="仿宋" w:hAnsi="仿宋" w:eastAsia="仿宋" w:cs="仿宋"/>
                <w:color w:val="auto"/>
                <w:sz w:val="24"/>
              </w:rPr>
            </w:pPr>
            <w:r>
              <w:rPr>
                <w:rFonts w:hint="eastAsia" w:ascii="仿宋" w:hAnsi="仿宋" w:eastAsia="仿宋" w:cs="仿宋"/>
                <w:color w:val="auto"/>
                <w:sz w:val="24"/>
              </w:rPr>
              <w:t>⑴</w:t>
            </w:r>
            <w:r>
              <w:rPr>
                <w:rFonts w:hint="eastAsia" w:ascii="仿宋" w:hAnsi="仿宋" w:eastAsia="仿宋" w:cs="仿宋"/>
                <w:color w:val="auto"/>
                <w:sz w:val="24"/>
                <w:lang w:eastAsia="zh-CN"/>
              </w:rPr>
              <w:t>招标文件</w:t>
            </w:r>
            <w:r>
              <w:rPr>
                <w:rFonts w:hint="eastAsia" w:ascii="仿宋" w:hAnsi="仿宋" w:eastAsia="仿宋" w:cs="仿宋"/>
                <w:color w:val="auto"/>
                <w:sz w:val="24"/>
              </w:rPr>
              <w:t>中部分加“▲”的条款，属于</w:t>
            </w:r>
            <w:r>
              <w:rPr>
                <w:rFonts w:hint="eastAsia" w:ascii="仿宋" w:hAnsi="仿宋" w:eastAsia="仿宋" w:cs="仿宋"/>
                <w:color w:val="auto"/>
                <w:sz w:val="24"/>
                <w:lang w:eastAsia="zh-CN"/>
              </w:rPr>
              <w:t>招标文件</w:t>
            </w:r>
            <w:r>
              <w:rPr>
                <w:rFonts w:hint="eastAsia" w:ascii="仿宋" w:hAnsi="仿宋" w:eastAsia="仿宋" w:cs="仿宋"/>
                <w:color w:val="auto"/>
                <w:sz w:val="24"/>
              </w:rPr>
              <w:t>的实质性要求和条件，着重提醒各投标人注意，并认真查看</w:t>
            </w:r>
            <w:r>
              <w:rPr>
                <w:rFonts w:hint="eastAsia" w:ascii="仿宋" w:hAnsi="仿宋" w:eastAsia="仿宋" w:cs="仿宋"/>
                <w:color w:val="auto"/>
                <w:sz w:val="24"/>
                <w:lang w:eastAsia="zh-CN"/>
              </w:rPr>
              <w:t>招标文件</w:t>
            </w:r>
            <w:r>
              <w:rPr>
                <w:rFonts w:hint="eastAsia" w:ascii="仿宋" w:hAnsi="仿宋" w:eastAsia="仿宋" w:cs="仿宋"/>
                <w:color w:val="auto"/>
                <w:sz w:val="24"/>
              </w:rPr>
              <w:t>中的每一个条款及要求，因误读</w:t>
            </w:r>
            <w:r>
              <w:rPr>
                <w:rFonts w:hint="eastAsia" w:ascii="仿宋" w:hAnsi="仿宋" w:eastAsia="仿宋" w:cs="仿宋"/>
                <w:color w:val="auto"/>
                <w:sz w:val="24"/>
                <w:lang w:eastAsia="zh-CN"/>
              </w:rPr>
              <w:t>招标文件</w:t>
            </w:r>
            <w:r>
              <w:rPr>
                <w:rFonts w:hint="eastAsia" w:ascii="仿宋" w:hAnsi="仿宋" w:eastAsia="仿宋" w:cs="仿宋"/>
                <w:color w:val="auto"/>
                <w:sz w:val="24"/>
              </w:rPr>
              <w:t>而造成的后果，</w:t>
            </w:r>
            <w:r>
              <w:rPr>
                <w:rFonts w:hint="eastAsia" w:ascii="仿宋" w:hAnsi="仿宋" w:eastAsia="仿宋" w:cs="仿宋"/>
                <w:color w:val="auto"/>
                <w:sz w:val="24"/>
                <w:lang w:eastAsia="zh-CN"/>
              </w:rPr>
              <w:t>招标人</w:t>
            </w:r>
            <w:r>
              <w:rPr>
                <w:rFonts w:hint="eastAsia" w:ascii="仿宋" w:hAnsi="仿宋" w:eastAsia="仿宋" w:cs="仿宋"/>
                <w:color w:val="auto"/>
                <w:sz w:val="24"/>
              </w:rPr>
              <w:t>概不负责；</w:t>
            </w:r>
          </w:p>
          <w:p w14:paraId="50C519D7">
            <w:pPr>
              <w:pStyle w:val="22"/>
              <w:spacing w:after="0" w:line="480" w:lineRule="exact"/>
              <w:ind w:firstLine="480"/>
              <w:outlineLvl w:val="9"/>
              <w:rPr>
                <w:rFonts w:ascii="仿宋" w:hAnsi="仿宋" w:eastAsia="仿宋" w:cs="仿宋"/>
                <w:color w:val="auto"/>
                <w:sz w:val="24"/>
              </w:rPr>
            </w:pPr>
            <w:r>
              <w:rPr>
                <w:rFonts w:hint="eastAsia" w:ascii="仿宋" w:hAnsi="仿宋" w:eastAsia="仿宋" w:cs="仿宋"/>
                <w:color w:val="auto"/>
                <w:sz w:val="24"/>
              </w:rPr>
              <w:t>⑵本项目实行不见面电子招投标方式，投标截止时间后投标人凭CA数字证书完成投标解密等事宜。投标人的联系电话在投标当天保持通信畅通，因通信问题无法联系到投标人造成的后果由投标人自行承担。</w:t>
            </w:r>
          </w:p>
        </w:tc>
      </w:tr>
      <w:tr w14:paraId="410C0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799" w:type="dxa"/>
            <w:vAlign w:val="center"/>
          </w:tcPr>
          <w:p w14:paraId="0B721548">
            <w:pPr>
              <w:numPr>
                <w:ilvl w:val="255"/>
                <w:numId w:val="0"/>
              </w:numPr>
              <w:spacing w:line="480" w:lineRule="exact"/>
              <w:jc w:val="center"/>
              <w:outlineLvl w:val="9"/>
              <w:rPr>
                <w:rFonts w:hint="default" w:ascii="仿宋" w:hAnsi="仿宋" w:eastAsia="仿宋" w:cs="仿宋"/>
                <w:color w:val="auto"/>
                <w:sz w:val="24"/>
                <w:szCs w:val="24"/>
                <w:lang w:val="en-US" w:eastAsia="zh-CN"/>
              </w:rPr>
            </w:pPr>
            <w:bookmarkStart w:id="40" w:name="_Toc32270"/>
            <w:bookmarkStart w:id="41" w:name="_Toc5190"/>
            <w:bookmarkStart w:id="42" w:name="_Toc12944"/>
            <w:r>
              <w:rPr>
                <w:rFonts w:hint="eastAsia" w:ascii="仿宋" w:hAnsi="仿宋" w:eastAsia="仿宋" w:cs="仿宋"/>
                <w:color w:val="auto"/>
                <w:sz w:val="24"/>
                <w:szCs w:val="24"/>
                <w:lang w:val="en-US" w:eastAsia="zh-CN"/>
              </w:rPr>
              <w:t>24</w:t>
            </w:r>
          </w:p>
        </w:tc>
        <w:tc>
          <w:tcPr>
            <w:tcW w:w="2118" w:type="dxa"/>
            <w:vAlign w:val="center"/>
          </w:tcPr>
          <w:p w14:paraId="4BF318A2">
            <w:pPr>
              <w:keepNext w:val="0"/>
              <w:keepLines w:val="0"/>
              <w:pageBreakBefore w:val="0"/>
              <w:kinsoku/>
              <w:wordWrap/>
              <w:overflowPunct/>
              <w:topLinePunct w:val="0"/>
              <w:bidi w:val="0"/>
              <w:spacing w:line="240" w:lineRule="auto"/>
              <w:jc w:val="center"/>
              <w:textAlignment w:val="auto"/>
              <w:outlineLvl w:val="9"/>
              <w:rPr>
                <w:rFonts w:ascii="仿宋" w:hAnsi="仿宋" w:eastAsia="仿宋" w:cs="仿宋"/>
                <w:color w:val="auto"/>
                <w:sz w:val="24"/>
                <w:szCs w:val="24"/>
              </w:rPr>
            </w:pPr>
            <w:r>
              <w:rPr>
                <w:rFonts w:hint="eastAsia" w:ascii="仿宋" w:hAnsi="仿宋" w:eastAsia="仿宋" w:cs="仿宋"/>
                <w:color w:val="auto"/>
                <w:sz w:val="24"/>
                <w:szCs w:val="24"/>
              </w:rPr>
              <w:t>投标人信用查询</w:t>
            </w:r>
          </w:p>
        </w:tc>
        <w:tc>
          <w:tcPr>
            <w:tcW w:w="6827" w:type="dxa"/>
            <w:vAlign w:val="center"/>
          </w:tcPr>
          <w:p w14:paraId="6A323256">
            <w:pPr>
              <w:pStyle w:val="22"/>
              <w:spacing w:after="0" w:line="480" w:lineRule="exact"/>
              <w:ind w:firstLine="480"/>
              <w:outlineLvl w:val="9"/>
              <w:rPr>
                <w:rFonts w:ascii="仿宋" w:hAnsi="仿宋" w:eastAsia="仿宋" w:cs="仿宋"/>
                <w:color w:val="auto"/>
                <w:sz w:val="24"/>
              </w:rPr>
            </w:pPr>
            <w:r>
              <w:rPr>
                <w:rFonts w:hint="eastAsia" w:ascii="仿宋" w:hAnsi="仿宋" w:eastAsia="仿宋" w:cs="仿宋"/>
                <w:color w:val="auto"/>
                <w:sz w:val="24"/>
              </w:rPr>
              <w:t>⑴</w:t>
            </w:r>
            <w:r>
              <w:rPr>
                <w:rFonts w:hint="eastAsia" w:ascii="仿宋" w:hAnsi="仿宋" w:eastAsia="仿宋" w:cs="仿宋"/>
                <w:color w:val="auto"/>
                <w:sz w:val="24"/>
                <w:lang w:eastAsia="zh-CN"/>
              </w:rPr>
              <w:t>招标代理机构</w:t>
            </w:r>
            <w:r>
              <w:rPr>
                <w:rFonts w:hint="eastAsia" w:ascii="仿宋" w:hAnsi="仿宋" w:eastAsia="仿宋" w:cs="仿宋"/>
                <w:color w:val="auto"/>
                <w:sz w:val="24"/>
              </w:rPr>
              <w:t>将对本项目</w:t>
            </w:r>
            <w:r>
              <w:rPr>
                <w:rFonts w:hint="eastAsia" w:ascii="仿宋" w:hAnsi="仿宋" w:eastAsia="仿宋" w:cs="仿宋"/>
                <w:color w:val="auto"/>
                <w:sz w:val="24"/>
                <w:lang w:eastAsia="zh-CN"/>
              </w:rPr>
              <w:t>投标</w:t>
            </w:r>
            <w:r>
              <w:rPr>
                <w:rFonts w:hint="eastAsia" w:ascii="仿宋" w:hAnsi="仿宋" w:eastAsia="仿宋" w:cs="仿宋"/>
                <w:color w:val="auto"/>
                <w:sz w:val="24"/>
              </w:rPr>
              <w:t>人的信用信息进行查询和甄别，查询渠道为信用中国网站（www.creditchina.gov.cn）、中国政府采购网（www.ccgp.gov.cn）；</w:t>
            </w:r>
          </w:p>
          <w:p w14:paraId="6174F19D">
            <w:pPr>
              <w:pStyle w:val="22"/>
              <w:spacing w:after="0" w:line="480" w:lineRule="exact"/>
              <w:ind w:firstLine="480"/>
              <w:outlineLvl w:val="9"/>
              <w:rPr>
                <w:rFonts w:ascii="仿宋" w:hAnsi="仿宋" w:eastAsia="仿宋" w:cs="仿宋"/>
                <w:color w:val="auto"/>
                <w:sz w:val="24"/>
              </w:rPr>
            </w:pPr>
            <w:r>
              <w:rPr>
                <w:rFonts w:hint="eastAsia" w:ascii="仿宋" w:hAnsi="仿宋" w:eastAsia="仿宋" w:cs="仿宋"/>
                <w:color w:val="auto"/>
                <w:sz w:val="24"/>
              </w:rPr>
              <w:t>⑵截止时点：提交</w:t>
            </w:r>
            <w:r>
              <w:rPr>
                <w:rFonts w:hint="eastAsia" w:ascii="仿宋" w:hAnsi="仿宋" w:eastAsia="仿宋" w:cs="仿宋"/>
                <w:color w:val="auto"/>
                <w:sz w:val="24"/>
                <w:lang w:eastAsia="zh-CN"/>
              </w:rPr>
              <w:t>投标文件</w:t>
            </w:r>
            <w:r>
              <w:rPr>
                <w:rFonts w:hint="eastAsia" w:ascii="仿宋" w:hAnsi="仿宋" w:eastAsia="仿宋" w:cs="仿宋"/>
                <w:color w:val="auto"/>
                <w:sz w:val="24"/>
              </w:rPr>
              <w:t>截止时间前3年内；</w:t>
            </w:r>
          </w:p>
          <w:p w14:paraId="52014062">
            <w:pPr>
              <w:pStyle w:val="22"/>
              <w:spacing w:after="0" w:line="480" w:lineRule="exact"/>
              <w:ind w:firstLine="480"/>
              <w:outlineLvl w:val="9"/>
              <w:rPr>
                <w:rFonts w:ascii="仿宋" w:hAnsi="仿宋" w:eastAsia="仿宋" w:cs="仿宋"/>
                <w:color w:val="auto"/>
                <w:sz w:val="24"/>
              </w:rPr>
            </w:pPr>
            <w:r>
              <w:rPr>
                <w:rFonts w:hint="eastAsia" w:ascii="仿宋" w:hAnsi="仿宋" w:eastAsia="仿宋" w:cs="仿宋"/>
                <w:color w:val="auto"/>
                <w:sz w:val="24"/>
              </w:rPr>
              <w:t>⑶信用信息查询记录和证据以网页截图方式留存；</w:t>
            </w:r>
          </w:p>
          <w:p w14:paraId="3B5206EF">
            <w:pPr>
              <w:pStyle w:val="22"/>
              <w:spacing w:after="0" w:line="480" w:lineRule="exact"/>
              <w:ind w:firstLine="480"/>
              <w:outlineLvl w:val="9"/>
              <w:rPr>
                <w:rFonts w:ascii="仿宋" w:hAnsi="仿宋" w:eastAsia="仿宋" w:cs="仿宋"/>
                <w:color w:val="auto"/>
                <w:sz w:val="24"/>
              </w:rPr>
            </w:pP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 4 \* GB2 \* MERGEFORMAT </w:instrText>
            </w:r>
            <w:r>
              <w:rPr>
                <w:rFonts w:hint="eastAsia" w:ascii="仿宋" w:hAnsi="仿宋" w:eastAsia="仿宋" w:cs="仿宋"/>
                <w:color w:val="auto"/>
                <w:sz w:val="24"/>
              </w:rPr>
              <w:fldChar w:fldCharType="separate"/>
            </w:r>
            <w:r>
              <w:rPr>
                <w:rFonts w:hint="eastAsia" w:ascii="仿宋" w:hAnsi="仿宋" w:eastAsia="仿宋" w:cs="仿宋"/>
                <w:color w:val="auto"/>
                <w:sz w:val="24"/>
              </w:rPr>
              <w:t>⑷</w:t>
            </w:r>
            <w:r>
              <w:rPr>
                <w:rFonts w:hint="eastAsia" w:ascii="仿宋" w:hAnsi="仿宋" w:eastAsia="仿宋" w:cs="仿宋"/>
                <w:color w:val="auto"/>
                <w:sz w:val="24"/>
              </w:rPr>
              <w:fldChar w:fldCharType="end"/>
            </w:r>
            <w:r>
              <w:rPr>
                <w:rFonts w:hint="eastAsia" w:ascii="仿宋" w:hAnsi="仿宋" w:eastAsia="仿宋" w:cs="仿宋"/>
                <w:color w:val="auto"/>
                <w:sz w:val="24"/>
              </w:rPr>
              <w:t>不良信用记录指：</w:t>
            </w:r>
          </w:p>
          <w:p w14:paraId="573B3EC6">
            <w:pPr>
              <w:pStyle w:val="22"/>
              <w:spacing w:after="0" w:line="480" w:lineRule="exact"/>
              <w:ind w:firstLine="480"/>
              <w:outlineLvl w:val="9"/>
              <w:rPr>
                <w:rFonts w:ascii="仿宋" w:hAnsi="仿宋" w:eastAsia="仿宋" w:cs="仿宋"/>
                <w:color w:val="auto"/>
                <w:sz w:val="24"/>
              </w:rPr>
            </w:pP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 1 \* GB3 \* MERGEFORMAT </w:instrText>
            </w:r>
            <w:r>
              <w:rPr>
                <w:rFonts w:hint="eastAsia" w:ascii="仿宋" w:hAnsi="仿宋" w:eastAsia="仿宋" w:cs="仿宋"/>
                <w:color w:val="auto"/>
                <w:sz w:val="24"/>
              </w:rPr>
              <w:fldChar w:fldCharType="separate"/>
            </w:r>
            <w:r>
              <w:rPr>
                <w:rFonts w:hint="eastAsia" w:ascii="仿宋" w:hAnsi="仿宋" w:eastAsia="仿宋" w:cs="仿宋"/>
                <w:color w:val="auto"/>
                <w:sz w:val="24"/>
              </w:rPr>
              <w:t>①</w:t>
            </w:r>
            <w:r>
              <w:rPr>
                <w:rFonts w:hint="eastAsia" w:ascii="仿宋" w:hAnsi="仿宋" w:eastAsia="仿宋" w:cs="仿宋"/>
                <w:color w:val="auto"/>
                <w:sz w:val="24"/>
              </w:rPr>
              <w:fldChar w:fldCharType="end"/>
            </w:r>
            <w:r>
              <w:rPr>
                <w:rFonts w:hint="eastAsia" w:ascii="仿宋" w:hAnsi="仿宋" w:eastAsia="仿宋" w:cs="仿宋"/>
                <w:color w:val="auto"/>
                <w:sz w:val="24"/>
              </w:rPr>
              <w:t xml:space="preserve">被列入信用中国网站“失信被执行人”“ 重大税收违法案件当事人名单”； </w:t>
            </w:r>
          </w:p>
          <w:p w14:paraId="6383D215">
            <w:pPr>
              <w:pStyle w:val="22"/>
              <w:spacing w:after="0" w:line="480" w:lineRule="exact"/>
              <w:ind w:firstLine="480"/>
              <w:outlineLvl w:val="9"/>
              <w:rPr>
                <w:rFonts w:ascii="仿宋" w:hAnsi="仿宋" w:eastAsia="仿宋" w:cs="仿宋"/>
                <w:color w:val="auto"/>
                <w:sz w:val="24"/>
              </w:rPr>
            </w:pPr>
            <w:r>
              <w:rPr>
                <w:rFonts w:hint="eastAsia" w:ascii="仿宋" w:hAnsi="仿宋" w:eastAsia="仿宋" w:cs="仿宋"/>
                <w:color w:val="auto"/>
                <w:sz w:val="24"/>
              </w:rPr>
              <w:t>②被列入中国政府采购网政府采购严重违法失信行为记录名单；</w:t>
            </w:r>
          </w:p>
          <w:p w14:paraId="551614A0">
            <w:pPr>
              <w:pStyle w:val="22"/>
              <w:spacing w:after="0" w:line="480" w:lineRule="exact"/>
              <w:ind w:firstLine="480"/>
              <w:outlineLvl w:val="9"/>
              <w:rPr>
                <w:rFonts w:ascii="仿宋" w:hAnsi="仿宋" w:eastAsia="仿宋" w:cs="仿宋"/>
                <w:color w:val="auto"/>
                <w:sz w:val="24"/>
              </w:rPr>
            </w:pP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 5 \* GB2 \* MERGEFORMAT </w:instrText>
            </w:r>
            <w:r>
              <w:rPr>
                <w:rFonts w:hint="eastAsia" w:ascii="仿宋" w:hAnsi="仿宋" w:eastAsia="仿宋" w:cs="仿宋"/>
                <w:color w:val="auto"/>
                <w:sz w:val="24"/>
              </w:rPr>
              <w:fldChar w:fldCharType="separate"/>
            </w:r>
            <w:r>
              <w:rPr>
                <w:rFonts w:hint="eastAsia" w:ascii="仿宋" w:hAnsi="仿宋" w:eastAsia="仿宋" w:cs="仿宋"/>
                <w:color w:val="auto"/>
                <w:sz w:val="24"/>
              </w:rPr>
              <w:t>⑸</w:t>
            </w:r>
            <w:r>
              <w:rPr>
                <w:rFonts w:hint="eastAsia" w:ascii="仿宋" w:hAnsi="仿宋" w:eastAsia="仿宋" w:cs="仿宋"/>
                <w:color w:val="auto"/>
                <w:sz w:val="24"/>
              </w:rPr>
              <w:fldChar w:fldCharType="end"/>
            </w:r>
            <w:r>
              <w:rPr>
                <w:rFonts w:hint="eastAsia" w:ascii="仿宋" w:hAnsi="仿宋" w:eastAsia="仿宋" w:cs="仿宋"/>
                <w:color w:val="auto"/>
                <w:sz w:val="24"/>
              </w:rPr>
              <w:t>信用信息的使用规则：投标人存在不良信用记录的，其投标文件将被拒绝；</w:t>
            </w:r>
          </w:p>
          <w:p w14:paraId="654D84F6">
            <w:pPr>
              <w:pStyle w:val="22"/>
              <w:spacing w:after="0" w:line="480" w:lineRule="exact"/>
              <w:ind w:firstLine="480"/>
              <w:outlineLvl w:val="9"/>
              <w:rPr>
                <w:rFonts w:ascii="仿宋" w:hAnsi="仿宋" w:eastAsia="仿宋" w:cs="仿宋"/>
                <w:color w:val="auto"/>
                <w:sz w:val="24"/>
              </w:rPr>
            </w:pPr>
            <w:r>
              <w:rPr>
                <w:rFonts w:hint="eastAsia" w:ascii="仿宋" w:hAnsi="仿宋" w:eastAsia="仿宋" w:cs="仿宋"/>
                <w:color w:val="auto"/>
                <w:sz w:val="24"/>
              </w:rPr>
              <w:fldChar w:fldCharType="begin"/>
            </w:r>
            <w:r>
              <w:rPr>
                <w:rFonts w:hint="eastAsia" w:ascii="仿宋" w:hAnsi="仿宋" w:eastAsia="仿宋" w:cs="仿宋"/>
                <w:color w:val="auto"/>
                <w:sz w:val="24"/>
              </w:rPr>
              <w:instrText xml:space="preserve"> = 6 \* GB2 \* MERGEFORMAT </w:instrText>
            </w:r>
            <w:r>
              <w:rPr>
                <w:rFonts w:hint="eastAsia" w:ascii="仿宋" w:hAnsi="仿宋" w:eastAsia="仿宋" w:cs="仿宋"/>
                <w:color w:val="auto"/>
                <w:sz w:val="24"/>
              </w:rPr>
              <w:fldChar w:fldCharType="separate"/>
            </w:r>
            <w:r>
              <w:rPr>
                <w:rFonts w:hint="eastAsia" w:ascii="仿宋" w:hAnsi="仿宋" w:eastAsia="仿宋" w:cs="仿宋"/>
                <w:color w:val="auto"/>
                <w:sz w:val="24"/>
              </w:rPr>
              <w:t>⑹</w:t>
            </w:r>
            <w:r>
              <w:rPr>
                <w:rFonts w:hint="eastAsia" w:ascii="仿宋" w:hAnsi="仿宋" w:eastAsia="仿宋" w:cs="仿宋"/>
                <w:color w:val="auto"/>
                <w:sz w:val="24"/>
              </w:rPr>
              <w:fldChar w:fldCharType="end"/>
            </w:r>
            <w:r>
              <w:rPr>
                <w:rFonts w:hint="eastAsia" w:ascii="仿宋" w:hAnsi="仿宋" w:eastAsia="仿宋" w:cs="仿宋"/>
                <w:color w:val="auto"/>
                <w:sz w:val="24"/>
              </w:rPr>
              <w:t>如允许联合体投标的，联合体成员存在不良信用记录视同联合体存在不良信用记录。</w:t>
            </w:r>
          </w:p>
        </w:tc>
      </w:tr>
      <w:tr w14:paraId="365CC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799" w:type="dxa"/>
            <w:vAlign w:val="center"/>
          </w:tcPr>
          <w:p w14:paraId="1F43B193">
            <w:pPr>
              <w:spacing w:line="480" w:lineRule="exact"/>
              <w:jc w:val="center"/>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25</w:t>
            </w:r>
          </w:p>
        </w:tc>
        <w:tc>
          <w:tcPr>
            <w:tcW w:w="2118" w:type="dxa"/>
            <w:vAlign w:val="center"/>
          </w:tcPr>
          <w:p w14:paraId="5A82CBF1">
            <w:pPr>
              <w:keepNext w:val="0"/>
              <w:keepLines w:val="0"/>
              <w:pageBreakBefore w:val="0"/>
              <w:kinsoku/>
              <w:wordWrap/>
              <w:overflowPunct/>
              <w:topLinePunct w:val="0"/>
              <w:bidi w:val="0"/>
              <w:spacing w:line="240" w:lineRule="auto"/>
              <w:jc w:val="center"/>
              <w:textAlignment w:val="auto"/>
              <w:outlineLvl w:val="9"/>
              <w:rPr>
                <w:rFonts w:ascii="仿宋" w:hAnsi="仿宋" w:eastAsia="仿宋" w:cs="仿宋"/>
                <w:color w:val="auto"/>
                <w:sz w:val="24"/>
                <w:szCs w:val="24"/>
              </w:rPr>
            </w:pPr>
            <w:r>
              <w:rPr>
                <w:rFonts w:hint="eastAsia" w:ascii="仿宋" w:hAnsi="仿宋" w:eastAsia="仿宋" w:cs="仿宋"/>
                <w:color w:val="auto"/>
                <w:sz w:val="24"/>
                <w:szCs w:val="24"/>
              </w:rPr>
              <w:t>开标特别说明</w:t>
            </w:r>
          </w:p>
          <w:p w14:paraId="2E67FDB3">
            <w:pPr>
              <w:keepNext w:val="0"/>
              <w:keepLines w:val="0"/>
              <w:pageBreakBefore w:val="0"/>
              <w:kinsoku/>
              <w:wordWrap/>
              <w:overflowPunct/>
              <w:topLinePunct w:val="0"/>
              <w:bidi w:val="0"/>
              <w:spacing w:line="240" w:lineRule="auto"/>
              <w:jc w:val="center"/>
              <w:textAlignment w:val="auto"/>
              <w:outlineLvl w:val="9"/>
              <w:rPr>
                <w:rFonts w:ascii="仿宋" w:hAnsi="仿宋" w:eastAsia="仿宋" w:cs="仿宋"/>
                <w:color w:val="auto"/>
                <w:sz w:val="24"/>
                <w:szCs w:val="24"/>
              </w:rPr>
            </w:pPr>
          </w:p>
        </w:tc>
        <w:tc>
          <w:tcPr>
            <w:tcW w:w="6827" w:type="dxa"/>
            <w:vAlign w:val="center"/>
          </w:tcPr>
          <w:p w14:paraId="56BEE13F">
            <w:pPr>
              <w:spacing w:line="480" w:lineRule="exact"/>
              <w:ind w:firstLine="480" w:firstLineChars="200"/>
              <w:jc w:val="left"/>
              <w:outlineLvl w:val="9"/>
              <w:rPr>
                <w:rFonts w:ascii="仿宋" w:hAnsi="仿宋" w:eastAsia="仿宋" w:cs="仿宋"/>
                <w:color w:val="auto"/>
                <w:sz w:val="24"/>
                <w:szCs w:val="24"/>
              </w:rPr>
            </w:pPr>
            <w:r>
              <w:rPr>
                <w:rFonts w:hint="eastAsia" w:ascii="仿宋" w:hAnsi="仿宋" w:eastAsia="仿宋" w:cs="仿宋"/>
                <w:color w:val="auto"/>
                <w:sz w:val="24"/>
                <w:szCs w:val="24"/>
              </w:rPr>
              <w:t>⑴开标解密使用投标人上传的电子投标文件；</w:t>
            </w:r>
          </w:p>
          <w:p w14:paraId="0BF1FCA5">
            <w:pPr>
              <w:spacing w:line="480" w:lineRule="exact"/>
              <w:ind w:firstLine="480" w:firstLineChars="200"/>
              <w:jc w:val="left"/>
              <w:outlineLvl w:val="9"/>
              <w:rPr>
                <w:rFonts w:ascii="仿宋" w:hAnsi="仿宋" w:eastAsia="仿宋" w:cs="仿宋"/>
                <w:color w:val="auto"/>
                <w:sz w:val="24"/>
                <w:szCs w:val="24"/>
              </w:rPr>
            </w:pPr>
            <w:r>
              <w:rPr>
                <w:rFonts w:hint="eastAsia" w:ascii="仿宋" w:hAnsi="仿宋" w:eastAsia="仿宋" w:cs="仿宋"/>
                <w:color w:val="auto"/>
                <w:sz w:val="24"/>
                <w:szCs w:val="24"/>
              </w:rPr>
              <w:t xml:space="preserve">⑵因投标人原因（包括投标人自主选择的CA证书、电脑环境、网络等），造成其电子投标文件未解密的，或投标文件解密了，但投标文件无法识别、读取的，视为撤销其投标文件； </w:t>
            </w:r>
          </w:p>
          <w:p w14:paraId="41D1B554">
            <w:pPr>
              <w:spacing w:line="480" w:lineRule="exact"/>
              <w:ind w:firstLine="480" w:firstLineChars="200"/>
              <w:jc w:val="left"/>
              <w:outlineLvl w:val="9"/>
              <w:rPr>
                <w:rFonts w:ascii="仿宋" w:hAnsi="仿宋" w:eastAsia="仿宋" w:cs="仿宋"/>
                <w:color w:val="auto"/>
                <w:sz w:val="24"/>
                <w:szCs w:val="24"/>
              </w:rPr>
            </w:pPr>
            <w:r>
              <w:rPr>
                <w:rFonts w:hint="eastAsia" w:ascii="仿宋" w:hAnsi="仿宋" w:eastAsia="仿宋" w:cs="仿宋"/>
                <w:color w:val="auto"/>
                <w:sz w:val="24"/>
                <w:szCs w:val="24"/>
              </w:rPr>
              <w:t>⑶投标人必须使用生成电子投标文件的CA数字证书解密电子投标文件。</w:t>
            </w:r>
          </w:p>
        </w:tc>
      </w:tr>
      <w:tr w14:paraId="72630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799" w:type="dxa"/>
            <w:vAlign w:val="center"/>
          </w:tcPr>
          <w:p w14:paraId="14D1FF83">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26</w:t>
            </w:r>
          </w:p>
        </w:tc>
        <w:tc>
          <w:tcPr>
            <w:tcW w:w="2118" w:type="dxa"/>
            <w:vAlign w:val="center"/>
          </w:tcPr>
          <w:p w14:paraId="5237167D">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ascii="仿宋" w:hAnsi="仿宋" w:eastAsia="仿宋" w:cs="仿宋"/>
                <w:color w:val="auto"/>
                <w:sz w:val="24"/>
                <w:szCs w:val="24"/>
              </w:rPr>
            </w:pPr>
            <w:r>
              <w:rPr>
                <w:rFonts w:hint="eastAsia" w:ascii="仿宋" w:hAnsi="仿宋" w:eastAsia="仿宋" w:cs="仿宋"/>
                <w:color w:val="auto"/>
                <w:sz w:val="24"/>
                <w:szCs w:val="24"/>
              </w:rPr>
              <w:t>解释</w:t>
            </w:r>
          </w:p>
        </w:tc>
        <w:tc>
          <w:tcPr>
            <w:tcW w:w="6827" w:type="dxa"/>
            <w:vAlign w:val="center"/>
          </w:tcPr>
          <w:p w14:paraId="2DE90B32">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left"/>
              <w:textAlignment w:val="auto"/>
              <w:outlineLvl w:val="9"/>
              <w:rPr>
                <w:rFonts w:ascii="仿宋" w:hAnsi="仿宋" w:eastAsia="仿宋" w:cs="仿宋"/>
                <w:color w:val="auto"/>
                <w:sz w:val="24"/>
                <w:szCs w:val="24"/>
              </w:rPr>
            </w:pPr>
            <w:r>
              <w:rPr>
                <w:rFonts w:hint="eastAsia" w:ascii="仿宋" w:hAnsi="仿宋" w:eastAsia="仿宋" w:cs="仿宋"/>
                <w:color w:val="auto"/>
                <w:sz w:val="24"/>
                <w:szCs w:val="24"/>
              </w:rPr>
              <w:t>本</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的解释权属于</w:t>
            </w:r>
            <w:r>
              <w:rPr>
                <w:rFonts w:hint="eastAsia" w:ascii="仿宋" w:hAnsi="仿宋" w:eastAsia="仿宋" w:cs="仿宋"/>
                <w:color w:val="auto"/>
                <w:sz w:val="24"/>
                <w:szCs w:val="24"/>
                <w:lang w:eastAsia="zh-CN"/>
              </w:rPr>
              <w:t>招标人</w:t>
            </w:r>
            <w:r>
              <w:rPr>
                <w:rFonts w:hint="eastAsia" w:ascii="仿宋" w:hAnsi="仿宋" w:eastAsia="仿宋" w:cs="仿宋"/>
                <w:color w:val="auto"/>
                <w:sz w:val="24"/>
                <w:szCs w:val="24"/>
              </w:rPr>
              <w:t>和</w:t>
            </w:r>
            <w:r>
              <w:rPr>
                <w:rFonts w:hint="eastAsia" w:ascii="仿宋" w:hAnsi="仿宋" w:eastAsia="仿宋" w:cs="仿宋"/>
                <w:color w:val="auto"/>
                <w:sz w:val="24"/>
                <w:szCs w:val="24"/>
                <w:lang w:eastAsia="zh-CN"/>
              </w:rPr>
              <w:t>招标代理机构</w:t>
            </w:r>
            <w:r>
              <w:rPr>
                <w:rFonts w:hint="eastAsia" w:ascii="仿宋" w:hAnsi="仿宋" w:eastAsia="仿宋" w:cs="仿宋"/>
                <w:color w:val="auto"/>
                <w:sz w:val="24"/>
                <w:szCs w:val="24"/>
              </w:rPr>
              <w:t>所有。</w:t>
            </w:r>
          </w:p>
        </w:tc>
      </w:tr>
    </w:tbl>
    <w:p w14:paraId="1C1FEF3C">
      <w:pPr>
        <w:snapToGrid w:val="0"/>
        <w:spacing w:line="360" w:lineRule="auto"/>
        <w:ind w:firstLine="562" w:firstLineChars="200"/>
        <w:jc w:val="left"/>
        <w:outlineLvl w:val="9"/>
        <w:rPr>
          <w:rFonts w:ascii="仿宋" w:hAnsi="仿宋" w:eastAsia="仿宋" w:cs="仿宋"/>
          <w:b/>
          <w:color w:val="auto"/>
          <w:sz w:val="28"/>
          <w:szCs w:val="28"/>
        </w:rPr>
      </w:pPr>
      <w:r>
        <w:rPr>
          <w:rFonts w:hint="eastAsia" w:ascii="仿宋" w:hAnsi="仿宋" w:eastAsia="仿宋" w:cs="仿宋"/>
          <w:b/>
          <w:color w:val="auto"/>
          <w:sz w:val="28"/>
          <w:szCs w:val="28"/>
        </w:rPr>
        <w:t>二、投标人须知</w:t>
      </w:r>
      <w:bookmarkEnd w:id="37"/>
      <w:bookmarkEnd w:id="38"/>
      <w:bookmarkEnd w:id="39"/>
      <w:bookmarkEnd w:id="40"/>
      <w:bookmarkEnd w:id="41"/>
      <w:bookmarkEnd w:id="42"/>
    </w:p>
    <w:p w14:paraId="1FC79A2E">
      <w:pPr>
        <w:pStyle w:val="32"/>
        <w:tabs>
          <w:tab w:val="left" w:pos="0"/>
        </w:tabs>
        <w:spacing w:line="360" w:lineRule="auto"/>
        <w:ind w:firstLine="482" w:firstLineChars="200"/>
        <w:jc w:val="left"/>
        <w:outlineLvl w:val="9"/>
        <w:rPr>
          <w:rFonts w:ascii="仿宋" w:hAnsi="仿宋" w:eastAsia="仿宋" w:cs="仿宋"/>
          <w:b/>
          <w:color w:val="auto"/>
          <w:sz w:val="24"/>
          <w:szCs w:val="24"/>
        </w:rPr>
      </w:pPr>
      <w:r>
        <w:rPr>
          <w:rFonts w:hint="eastAsia" w:ascii="仿宋" w:hAnsi="仿宋" w:eastAsia="仿宋" w:cs="仿宋"/>
          <w:b/>
          <w:color w:val="auto"/>
          <w:sz w:val="24"/>
          <w:szCs w:val="24"/>
          <w:lang w:eastAsia="zh-CN"/>
        </w:rPr>
        <w:t>（</w:t>
      </w:r>
      <w:r>
        <w:rPr>
          <w:rFonts w:hint="eastAsia" w:ascii="仿宋" w:hAnsi="仿宋" w:eastAsia="仿宋" w:cs="仿宋"/>
          <w:b/>
          <w:color w:val="auto"/>
          <w:sz w:val="24"/>
          <w:szCs w:val="24"/>
          <w:lang w:val="en-US" w:eastAsia="zh-CN"/>
        </w:rPr>
        <w:t>一</w:t>
      </w:r>
      <w:r>
        <w:rPr>
          <w:rFonts w:hint="eastAsia" w:ascii="仿宋" w:hAnsi="仿宋" w:eastAsia="仿宋" w:cs="仿宋"/>
          <w:b/>
          <w:color w:val="auto"/>
          <w:sz w:val="24"/>
          <w:szCs w:val="24"/>
          <w:lang w:eastAsia="zh-CN"/>
        </w:rPr>
        <w:t>）</w:t>
      </w:r>
      <w:r>
        <w:rPr>
          <w:rFonts w:hint="eastAsia" w:ascii="仿宋" w:hAnsi="仿宋" w:eastAsia="仿宋" w:cs="仿宋"/>
          <w:b/>
          <w:color w:val="auto"/>
          <w:sz w:val="24"/>
          <w:szCs w:val="24"/>
        </w:rPr>
        <w:t>总则</w:t>
      </w:r>
    </w:p>
    <w:p w14:paraId="19F17490">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1.适用范围</w:t>
      </w:r>
    </w:p>
    <w:p w14:paraId="1F19754B">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本</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适用于本次采购活动中所叙述的</w:t>
      </w:r>
      <w:r>
        <w:rPr>
          <w:rFonts w:hint="eastAsia" w:ascii="仿宋" w:hAnsi="仿宋" w:eastAsia="仿宋" w:cs="仿宋"/>
          <w:color w:val="auto"/>
          <w:sz w:val="24"/>
          <w:szCs w:val="24"/>
          <w:lang w:eastAsia="zh-CN"/>
        </w:rPr>
        <w:t>哈尔滨马迭尔食品股份有限公司物流服务项目</w:t>
      </w:r>
      <w:r>
        <w:rPr>
          <w:rFonts w:hint="eastAsia" w:ascii="仿宋" w:hAnsi="仿宋" w:eastAsia="仿宋" w:cs="仿宋"/>
          <w:color w:val="auto"/>
          <w:sz w:val="24"/>
          <w:szCs w:val="24"/>
        </w:rPr>
        <w:t>。</w:t>
      </w:r>
    </w:p>
    <w:p w14:paraId="07E37168">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2.定义解释</w:t>
      </w:r>
    </w:p>
    <w:p w14:paraId="5291AE75">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1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⑴</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招标人</w:t>
      </w:r>
      <w:r>
        <w:rPr>
          <w:rFonts w:hint="eastAsia" w:ascii="仿宋" w:hAnsi="仿宋" w:eastAsia="仿宋" w:cs="仿宋"/>
          <w:color w:val="auto"/>
          <w:sz w:val="24"/>
          <w:szCs w:val="24"/>
        </w:rPr>
        <w:t>”是指</w:t>
      </w:r>
      <w:r>
        <w:rPr>
          <w:rFonts w:hint="eastAsia" w:ascii="仿宋" w:hAnsi="仿宋" w:eastAsia="仿宋" w:cs="仿宋"/>
          <w:color w:val="auto"/>
          <w:sz w:val="24"/>
          <w:szCs w:val="24"/>
          <w:lang w:eastAsia="zh-CN"/>
        </w:rPr>
        <w:t>马迭尔食品（浙江）有限公司。</w:t>
      </w:r>
    </w:p>
    <w:p w14:paraId="2417CA97">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2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⑵</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招标代理机构</w:t>
      </w:r>
      <w:r>
        <w:rPr>
          <w:rFonts w:hint="eastAsia" w:ascii="仿宋" w:hAnsi="仿宋" w:eastAsia="仿宋" w:cs="仿宋"/>
          <w:color w:val="auto"/>
          <w:sz w:val="24"/>
          <w:szCs w:val="24"/>
        </w:rPr>
        <w:t>”是指衢州市两山工程咨询管理有限公司</w:t>
      </w:r>
      <w:r>
        <w:rPr>
          <w:rFonts w:hint="eastAsia" w:ascii="仿宋" w:hAnsi="仿宋" w:eastAsia="仿宋" w:cs="仿宋"/>
          <w:color w:val="auto"/>
          <w:sz w:val="24"/>
          <w:szCs w:val="24"/>
          <w:lang w:eastAsia="zh-CN"/>
        </w:rPr>
        <w:t>。</w:t>
      </w:r>
    </w:p>
    <w:p w14:paraId="3DB63B49">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3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⑶</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“项目”系指投标人按</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规定向</w:t>
      </w:r>
      <w:r>
        <w:rPr>
          <w:rFonts w:hint="eastAsia" w:ascii="仿宋" w:hAnsi="仿宋" w:eastAsia="仿宋" w:cs="仿宋"/>
          <w:color w:val="auto"/>
          <w:sz w:val="24"/>
          <w:szCs w:val="24"/>
          <w:lang w:eastAsia="zh-CN"/>
        </w:rPr>
        <w:t>招标人</w:t>
      </w:r>
      <w:r>
        <w:rPr>
          <w:rFonts w:hint="eastAsia" w:ascii="仿宋" w:hAnsi="仿宋" w:eastAsia="仿宋" w:cs="仿宋"/>
          <w:color w:val="auto"/>
          <w:sz w:val="24"/>
          <w:szCs w:val="24"/>
        </w:rPr>
        <w:t>提供的货物或服务</w:t>
      </w:r>
      <w:r>
        <w:rPr>
          <w:rFonts w:hint="eastAsia" w:ascii="仿宋" w:hAnsi="仿宋" w:eastAsia="仿宋" w:cs="仿宋"/>
          <w:color w:val="auto"/>
          <w:sz w:val="24"/>
          <w:szCs w:val="24"/>
          <w:lang w:eastAsia="zh-CN"/>
        </w:rPr>
        <w:t>。</w:t>
      </w:r>
    </w:p>
    <w:p w14:paraId="3BEBC242">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4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⑷</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“投标人”是指获得</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并向</w:t>
      </w:r>
      <w:r>
        <w:rPr>
          <w:rFonts w:hint="eastAsia" w:ascii="仿宋" w:hAnsi="仿宋" w:eastAsia="仿宋" w:cs="仿宋"/>
          <w:color w:val="auto"/>
          <w:sz w:val="24"/>
          <w:szCs w:val="24"/>
          <w:lang w:eastAsia="zh-CN"/>
        </w:rPr>
        <w:t>招标代理机构</w:t>
      </w:r>
      <w:r>
        <w:rPr>
          <w:rFonts w:hint="eastAsia" w:ascii="仿宋" w:hAnsi="仿宋" w:eastAsia="仿宋" w:cs="仿宋"/>
          <w:color w:val="auto"/>
          <w:sz w:val="24"/>
          <w:szCs w:val="24"/>
        </w:rPr>
        <w:t>提交投标文件的投标人</w:t>
      </w:r>
      <w:r>
        <w:rPr>
          <w:rFonts w:hint="eastAsia" w:ascii="仿宋" w:hAnsi="仿宋" w:eastAsia="仿宋" w:cs="仿宋"/>
          <w:color w:val="auto"/>
          <w:sz w:val="24"/>
          <w:szCs w:val="24"/>
          <w:lang w:eastAsia="zh-CN"/>
        </w:rPr>
        <w:t>。</w:t>
      </w:r>
    </w:p>
    <w:p w14:paraId="3C41D654">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5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⑸</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“潜在投标人”是指符合本</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中投标人资格要求的合格投标人</w:t>
      </w:r>
      <w:r>
        <w:rPr>
          <w:rFonts w:hint="eastAsia" w:ascii="仿宋" w:hAnsi="仿宋" w:eastAsia="仿宋" w:cs="仿宋"/>
          <w:color w:val="auto"/>
          <w:sz w:val="24"/>
          <w:szCs w:val="24"/>
          <w:lang w:eastAsia="zh-CN"/>
        </w:rPr>
        <w:t>。</w:t>
      </w:r>
    </w:p>
    <w:p w14:paraId="370FC33C">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6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⑹</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“中标人”是指经评审小组审查通过，并经公告无异议的投标人</w:t>
      </w:r>
      <w:r>
        <w:rPr>
          <w:rFonts w:hint="eastAsia" w:ascii="仿宋" w:hAnsi="仿宋" w:eastAsia="仿宋" w:cs="仿宋"/>
          <w:color w:val="auto"/>
          <w:sz w:val="24"/>
          <w:szCs w:val="24"/>
          <w:lang w:eastAsia="zh-CN"/>
        </w:rPr>
        <w:t>。</w:t>
      </w:r>
    </w:p>
    <w:p w14:paraId="6125FE7F">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7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⑺</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“投标人代表”是指投标人</w:t>
      </w:r>
      <w:r>
        <w:rPr>
          <w:rFonts w:hint="eastAsia" w:ascii="仿宋" w:hAnsi="仿宋" w:eastAsia="仿宋" w:cs="仿宋"/>
          <w:color w:val="auto"/>
          <w:sz w:val="24"/>
          <w:szCs w:val="24"/>
          <w:lang w:eastAsia="zh-CN"/>
        </w:rPr>
        <w:t>法定代表人（负责人）</w:t>
      </w:r>
      <w:r>
        <w:rPr>
          <w:rFonts w:hint="eastAsia" w:ascii="仿宋" w:hAnsi="仿宋" w:eastAsia="仿宋" w:cs="仿宋"/>
          <w:color w:val="auto"/>
          <w:sz w:val="24"/>
          <w:szCs w:val="24"/>
        </w:rPr>
        <w:t>或被投标人</w:t>
      </w:r>
      <w:r>
        <w:rPr>
          <w:rFonts w:hint="eastAsia" w:ascii="仿宋" w:hAnsi="仿宋" w:eastAsia="仿宋" w:cs="仿宋"/>
          <w:color w:val="auto"/>
          <w:sz w:val="24"/>
          <w:szCs w:val="24"/>
          <w:lang w:eastAsia="zh-CN"/>
        </w:rPr>
        <w:t>法定代表人（负责人）</w:t>
      </w:r>
      <w:r>
        <w:rPr>
          <w:rFonts w:hint="eastAsia" w:ascii="仿宋" w:hAnsi="仿宋" w:eastAsia="仿宋" w:cs="仿宋"/>
          <w:color w:val="auto"/>
          <w:sz w:val="24"/>
          <w:szCs w:val="24"/>
        </w:rPr>
        <w:t>授权委托的人</w:t>
      </w:r>
      <w:r>
        <w:rPr>
          <w:rFonts w:hint="eastAsia" w:ascii="仿宋" w:hAnsi="仿宋" w:eastAsia="仿宋" w:cs="仿宋"/>
          <w:color w:val="auto"/>
          <w:sz w:val="24"/>
          <w:szCs w:val="24"/>
          <w:lang w:eastAsia="zh-CN"/>
        </w:rPr>
        <w:t>。</w:t>
      </w:r>
    </w:p>
    <w:p w14:paraId="158D0958">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8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⑻</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“货物”系指投标人按</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规定向</w:t>
      </w:r>
      <w:r>
        <w:rPr>
          <w:rFonts w:hint="eastAsia" w:ascii="仿宋" w:hAnsi="仿宋" w:eastAsia="仿宋" w:cs="仿宋"/>
          <w:color w:val="auto"/>
          <w:sz w:val="24"/>
          <w:szCs w:val="24"/>
          <w:lang w:eastAsia="zh-CN"/>
        </w:rPr>
        <w:t>招标人</w:t>
      </w:r>
      <w:r>
        <w:rPr>
          <w:rFonts w:hint="eastAsia" w:ascii="仿宋" w:hAnsi="仿宋" w:eastAsia="仿宋" w:cs="仿宋"/>
          <w:color w:val="auto"/>
          <w:sz w:val="24"/>
          <w:szCs w:val="24"/>
        </w:rPr>
        <w:t>提供的各类设备、软件、产品、技术资料及使用手册等</w:t>
      </w:r>
      <w:r>
        <w:rPr>
          <w:rFonts w:hint="eastAsia" w:ascii="仿宋" w:hAnsi="仿宋" w:eastAsia="仿宋" w:cs="仿宋"/>
          <w:color w:val="auto"/>
          <w:sz w:val="24"/>
          <w:szCs w:val="24"/>
          <w:lang w:eastAsia="zh-CN"/>
        </w:rPr>
        <w:t>。</w:t>
      </w:r>
    </w:p>
    <w:p w14:paraId="54097546">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9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⑼</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“服务”系指本项目采购内容本身及相关的售后技术支持、培训服务等相关服务</w:t>
      </w:r>
      <w:r>
        <w:rPr>
          <w:rFonts w:hint="eastAsia" w:ascii="仿宋" w:hAnsi="仿宋" w:eastAsia="仿宋" w:cs="仿宋"/>
          <w:color w:val="auto"/>
          <w:sz w:val="24"/>
          <w:szCs w:val="24"/>
          <w:lang w:eastAsia="zh-CN"/>
        </w:rPr>
        <w:t>。</w:t>
      </w:r>
    </w:p>
    <w:p w14:paraId="7B369341">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10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⑽</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“▲”系指按本</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要求投标人必须实质性响应的条款，有任何一项缺失或非实质性响应将取消其投标资格。</w:t>
      </w:r>
    </w:p>
    <w:p w14:paraId="1C2A1E4E">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3.项目说明</w:t>
      </w:r>
    </w:p>
    <w:p w14:paraId="53254C10">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1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⑴</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本采购项目说明详见</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投标须知前附表。</w:t>
      </w:r>
    </w:p>
    <w:p w14:paraId="17111CA5">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2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⑵</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本采购项目</w:t>
      </w:r>
      <w:r>
        <w:rPr>
          <w:rFonts w:hint="eastAsia" w:ascii="仿宋" w:hAnsi="仿宋" w:eastAsia="仿宋" w:cs="仿宋"/>
          <w:color w:val="auto"/>
          <w:sz w:val="24"/>
          <w:szCs w:val="24"/>
          <w:lang w:eastAsia="zh-CN"/>
        </w:rPr>
        <w:t>参照《衢州市国有企业采购管理办法（试行）》</w:t>
      </w:r>
      <w:r>
        <w:rPr>
          <w:rFonts w:hint="eastAsia" w:ascii="仿宋" w:hAnsi="仿宋" w:eastAsia="仿宋" w:cs="仿宋"/>
          <w:color w:val="auto"/>
          <w:sz w:val="24"/>
          <w:szCs w:val="24"/>
        </w:rPr>
        <w:t>（衢国资发</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2020</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36号）等有关法律、行政法规和部门规章，通过公开招标方式选定中标人。</w:t>
      </w:r>
    </w:p>
    <w:p w14:paraId="7A7A378A">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4.</w:t>
      </w:r>
      <w:r>
        <w:rPr>
          <w:rFonts w:hint="eastAsia" w:ascii="仿宋" w:hAnsi="仿宋" w:eastAsia="仿宋" w:cs="仿宋"/>
          <w:color w:val="auto"/>
          <w:sz w:val="24"/>
          <w:szCs w:val="24"/>
          <w:lang w:eastAsia="zh-CN"/>
        </w:rPr>
        <w:t>招标</w:t>
      </w:r>
      <w:r>
        <w:rPr>
          <w:rFonts w:hint="eastAsia" w:ascii="仿宋" w:hAnsi="仿宋" w:eastAsia="仿宋" w:cs="仿宋"/>
          <w:color w:val="auto"/>
          <w:sz w:val="24"/>
          <w:szCs w:val="24"/>
          <w:lang w:val="en-US" w:eastAsia="zh-CN"/>
        </w:rPr>
        <w:t>方</w:t>
      </w:r>
      <w:r>
        <w:rPr>
          <w:rFonts w:hint="eastAsia" w:ascii="仿宋" w:hAnsi="仿宋" w:eastAsia="仿宋" w:cs="仿宋"/>
          <w:color w:val="auto"/>
          <w:sz w:val="24"/>
          <w:szCs w:val="24"/>
        </w:rPr>
        <w:t>式</w:t>
      </w:r>
    </w:p>
    <w:p w14:paraId="09CD043D">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公开招标</w:t>
      </w:r>
    </w:p>
    <w:p w14:paraId="154C9A9D">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5.合格投标人的条件</w:t>
      </w:r>
    </w:p>
    <w:p w14:paraId="2F570CF3">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凡符合本</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第一章招标公告投标人资格要求的均为合格的投标人。</w:t>
      </w:r>
    </w:p>
    <w:p w14:paraId="180FDBFB">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6.投标费用</w:t>
      </w:r>
    </w:p>
    <w:p w14:paraId="5F2D07C3">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无论招投标过程中的做法和结果如何，投标人自行承担招投标活动中所发生的全部费用。</w:t>
      </w:r>
    </w:p>
    <w:p w14:paraId="69A29AE0">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7.知识产权</w:t>
      </w:r>
    </w:p>
    <w:p w14:paraId="4EE3E2A4">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1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⑴</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投标人应保证在本项目使用的任何产品和服务（包括部分使用），不会产生因第三方提出侵犯其专利权、商标权或其它知识产权而引起法律或经济纠纷。如因专利权、商标权或其它知识产权原因引起法律或经济纠纷的，所有相关责任由投标人承担。</w:t>
      </w:r>
    </w:p>
    <w:p w14:paraId="5E58E542">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2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⑵</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lang w:eastAsia="zh-CN"/>
        </w:rPr>
        <w:t>招标人</w:t>
      </w:r>
      <w:r>
        <w:rPr>
          <w:rFonts w:hint="eastAsia" w:ascii="仿宋" w:hAnsi="仿宋" w:eastAsia="仿宋" w:cs="仿宋"/>
          <w:color w:val="auto"/>
          <w:sz w:val="24"/>
          <w:szCs w:val="24"/>
        </w:rPr>
        <w:t>享有本项目实施过程中产生的知识成果及知识产权。</w:t>
      </w:r>
    </w:p>
    <w:p w14:paraId="5731B580">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3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⑶</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如采用投标人所不拥有的知识产权，则在投标报价中必须包括投标人合法获得该知识产权的相关费用，无论投标人是否在投标报价中单独列明，</w:t>
      </w:r>
      <w:r>
        <w:rPr>
          <w:rFonts w:hint="eastAsia" w:ascii="仿宋" w:hAnsi="仿宋" w:eastAsia="仿宋" w:cs="仿宋"/>
          <w:color w:val="auto"/>
          <w:sz w:val="24"/>
          <w:szCs w:val="24"/>
          <w:lang w:eastAsia="zh-CN"/>
        </w:rPr>
        <w:t>招标人</w:t>
      </w:r>
      <w:r>
        <w:rPr>
          <w:rFonts w:hint="eastAsia" w:ascii="仿宋" w:hAnsi="仿宋" w:eastAsia="仿宋" w:cs="仿宋"/>
          <w:color w:val="auto"/>
          <w:sz w:val="24"/>
          <w:szCs w:val="24"/>
        </w:rPr>
        <w:t>均视为投标报价已包含该部分费用。</w:t>
      </w:r>
    </w:p>
    <w:p w14:paraId="7F00B8C4">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8.转包或分包</w:t>
      </w:r>
    </w:p>
    <w:p w14:paraId="645C770F">
      <w:pPr>
        <w:snapToGrid w:val="0"/>
        <w:spacing w:line="360" w:lineRule="auto"/>
        <w:ind w:firstLine="480" w:firstLineChars="200"/>
        <w:outlineLvl w:val="9"/>
        <w:rPr>
          <w:rFonts w:hint="eastAsia" w:ascii="仿宋" w:hAnsi="仿宋" w:eastAsia="仿宋" w:cs="仿宋"/>
          <w:color w:val="auto"/>
          <w:sz w:val="24"/>
          <w:szCs w:val="24"/>
        </w:rPr>
      </w:pPr>
      <w:r>
        <w:rPr>
          <w:rFonts w:hint="eastAsia" w:ascii="仿宋" w:hAnsi="仿宋" w:eastAsia="仿宋" w:cs="仿宋"/>
          <w:color w:val="auto"/>
          <w:sz w:val="24"/>
          <w:szCs w:val="24"/>
        </w:rPr>
        <w:t>本项目不允许转包。分包须经</w:t>
      </w:r>
      <w:r>
        <w:rPr>
          <w:rFonts w:hint="eastAsia" w:ascii="仿宋" w:hAnsi="仿宋" w:eastAsia="仿宋" w:cs="仿宋"/>
          <w:color w:val="auto"/>
          <w:sz w:val="24"/>
          <w:szCs w:val="24"/>
          <w:lang w:val="en-US" w:eastAsia="zh-CN"/>
        </w:rPr>
        <w:t>招标</w:t>
      </w:r>
      <w:r>
        <w:rPr>
          <w:rFonts w:hint="eastAsia" w:ascii="仿宋" w:hAnsi="仿宋" w:eastAsia="仿宋" w:cs="仿宋"/>
          <w:color w:val="auto"/>
          <w:sz w:val="24"/>
          <w:szCs w:val="24"/>
        </w:rPr>
        <w:t>人书面同意后方可实施。</w:t>
      </w:r>
    </w:p>
    <w:p w14:paraId="66FFCBAD">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9.其他</w:t>
      </w:r>
    </w:p>
    <w:p w14:paraId="4E019B55">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1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⑴</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如发现</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及其评标办法中存在含糊不清、相互矛盾、多种含义以及歧视性不公正条款或违法违规等内容时，请在规定的询疑时间前同时向</w:t>
      </w:r>
      <w:r>
        <w:rPr>
          <w:rFonts w:hint="eastAsia" w:ascii="仿宋" w:hAnsi="仿宋" w:eastAsia="仿宋" w:cs="仿宋"/>
          <w:color w:val="auto"/>
          <w:sz w:val="24"/>
          <w:szCs w:val="24"/>
          <w:lang w:eastAsia="zh-CN"/>
        </w:rPr>
        <w:t>招标人</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招标代理机构</w:t>
      </w:r>
      <w:r>
        <w:rPr>
          <w:rFonts w:hint="eastAsia" w:ascii="仿宋" w:hAnsi="仿宋" w:eastAsia="仿宋" w:cs="仿宋"/>
          <w:color w:val="auto"/>
          <w:sz w:val="24"/>
          <w:szCs w:val="24"/>
        </w:rPr>
        <w:t>书面反映，逾期不得再对</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的条款</w:t>
      </w:r>
      <w:r>
        <w:rPr>
          <w:rFonts w:hint="eastAsia" w:ascii="仿宋" w:hAnsi="仿宋" w:eastAsia="仿宋" w:cs="仿宋"/>
          <w:color w:val="auto"/>
          <w:sz w:val="24"/>
          <w:szCs w:val="24"/>
          <w:lang w:eastAsia="zh-CN"/>
        </w:rPr>
        <w:t>质疑</w:t>
      </w:r>
      <w:r>
        <w:rPr>
          <w:rFonts w:hint="eastAsia" w:ascii="仿宋" w:hAnsi="仿宋" w:eastAsia="仿宋" w:cs="仿宋"/>
          <w:color w:val="auto"/>
          <w:sz w:val="24"/>
          <w:szCs w:val="24"/>
        </w:rPr>
        <w:t>。</w:t>
      </w:r>
    </w:p>
    <w:p w14:paraId="6F8E78C5">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2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⑵</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本</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及相应的补充文件、通知等解释权归</w:t>
      </w:r>
      <w:r>
        <w:rPr>
          <w:rFonts w:hint="eastAsia" w:ascii="仿宋" w:hAnsi="仿宋" w:eastAsia="仿宋" w:cs="仿宋"/>
          <w:color w:val="auto"/>
          <w:sz w:val="24"/>
          <w:szCs w:val="24"/>
          <w:lang w:eastAsia="zh-CN"/>
        </w:rPr>
        <w:t>招标人</w:t>
      </w:r>
      <w:r>
        <w:rPr>
          <w:rFonts w:hint="eastAsia" w:ascii="仿宋" w:hAnsi="仿宋" w:eastAsia="仿宋" w:cs="仿宋"/>
          <w:color w:val="auto"/>
          <w:sz w:val="24"/>
          <w:szCs w:val="24"/>
        </w:rPr>
        <w:t>和</w:t>
      </w:r>
      <w:r>
        <w:rPr>
          <w:rFonts w:hint="eastAsia" w:ascii="仿宋" w:hAnsi="仿宋" w:eastAsia="仿宋" w:cs="仿宋"/>
          <w:color w:val="auto"/>
          <w:sz w:val="24"/>
          <w:szCs w:val="24"/>
          <w:lang w:eastAsia="zh-CN"/>
        </w:rPr>
        <w:t>招标代理机构</w:t>
      </w:r>
      <w:r>
        <w:rPr>
          <w:rFonts w:hint="eastAsia" w:ascii="仿宋" w:hAnsi="仿宋" w:eastAsia="仿宋" w:cs="仿宋"/>
          <w:color w:val="auto"/>
          <w:sz w:val="24"/>
          <w:szCs w:val="24"/>
        </w:rPr>
        <w:t>所有。</w:t>
      </w:r>
    </w:p>
    <w:p w14:paraId="5162E758">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10.特别说明</w:t>
      </w:r>
    </w:p>
    <w:p w14:paraId="52167C7B">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▲⑴多家投标人参加投标，单位负责人为同一人或者存在直接控股、管理关系的不同投标人，不得参加同一合同项下的采购活动。</w:t>
      </w:r>
    </w:p>
    <w:p w14:paraId="04A31784">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⑵□提供相同品牌产品且通过资格审查、符合性审查的不同投标人参加同一合同项下投标的，按一家投标人计算，评审后得分最高的同品牌投标人获得中标人推荐资格；评审得分相同时，以报价低者获得中标人推荐资格。</w:t>
      </w:r>
    </w:p>
    <w:p w14:paraId="282AEB13">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⑶□非单一产品采购项目中，多家投标人提供的核心产品品牌相同的，按一家投标人认定。</w:t>
      </w:r>
    </w:p>
    <w:p w14:paraId="55EDAA93">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▲⑷投标人投标所使用的资格、信誉、荣誉、业绩与企业认证必须为本法人（负责人）所拥有或被授权使用。</w:t>
      </w:r>
    </w:p>
    <w:p w14:paraId="64DFF338">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▲⑸投标人应仔细阅读招标文件的所有内容，按照招标文件的要求提交投标文件，并对所提供的全部资料的真实性承担法律责任。</w:t>
      </w:r>
    </w:p>
    <w:p w14:paraId="443A60FD">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▲⑹投标人在投标活动中提供任何虚假材料，其投标无效，并报监管部门查处；中标后发现的，其中标无效，按照有关法律法规追究其相关责任并赔偿招标人相关损失。</w:t>
      </w:r>
    </w:p>
    <w:p w14:paraId="7A22C359">
      <w:pPr>
        <w:pStyle w:val="32"/>
        <w:tabs>
          <w:tab w:val="left" w:pos="0"/>
        </w:tabs>
        <w:spacing w:line="360" w:lineRule="auto"/>
        <w:ind w:firstLine="482" w:firstLineChars="200"/>
        <w:jc w:val="left"/>
        <w:outlineLvl w:val="9"/>
        <w:rPr>
          <w:rFonts w:hint="eastAsia" w:ascii="仿宋" w:hAnsi="仿宋" w:eastAsia="仿宋" w:cs="仿宋"/>
          <w:b/>
          <w:color w:val="auto"/>
          <w:sz w:val="24"/>
          <w:szCs w:val="24"/>
          <w:lang w:eastAsia="zh-CN"/>
        </w:rPr>
      </w:pPr>
      <w:r>
        <w:rPr>
          <w:rFonts w:hint="eastAsia" w:ascii="仿宋" w:hAnsi="仿宋" w:eastAsia="仿宋" w:cs="仿宋"/>
          <w:b/>
          <w:color w:val="auto"/>
          <w:sz w:val="24"/>
          <w:szCs w:val="24"/>
          <w:lang w:eastAsia="zh-CN"/>
        </w:rPr>
        <w:t>（</w:t>
      </w:r>
      <w:r>
        <w:rPr>
          <w:rFonts w:hint="eastAsia" w:ascii="仿宋" w:hAnsi="仿宋" w:eastAsia="仿宋" w:cs="仿宋"/>
          <w:b/>
          <w:color w:val="auto"/>
          <w:sz w:val="24"/>
          <w:szCs w:val="24"/>
          <w:lang w:val="en-US" w:eastAsia="zh-CN"/>
        </w:rPr>
        <w:t>二</w:t>
      </w:r>
      <w:r>
        <w:rPr>
          <w:rFonts w:hint="eastAsia" w:ascii="仿宋" w:hAnsi="仿宋" w:eastAsia="仿宋" w:cs="仿宋"/>
          <w:b/>
          <w:color w:val="auto"/>
          <w:sz w:val="24"/>
          <w:szCs w:val="24"/>
          <w:lang w:eastAsia="zh-CN"/>
        </w:rPr>
        <w:t>）招标文件</w:t>
      </w:r>
    </w:p>
    <w:p w14:paraId="23BE2F25">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的组成</w:t>
      </w:r>
    </w:p>
    <w:p w14:paraId="3E4E482F">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1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⑴</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共分为六部分，其内容如下：</w:t>
      </w:r>
    </w:p>
    <w:p w14:paraId="51F18108">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第一章  招标公告</w:t>
      </w:r>
    </w:p>
    <w:p w14:paraId="5E25496E">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第二章  投标须知前附表及投标须知</w:t>
      </w:r>
    </w:p>
    <w:p w14:paraId="5D11C5DA">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第三章  采购内容及要求</w:t>
      </w:r>
    </w:p>
    <w:p w14:paraId="2CD7C1FA">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第四章  合同主要条款</w:t>
      </w:r>
    </w:p>
    <w:p w14:paraId="6C1DE9C5">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第五章  评标办法</w:t>
      </w:r>
    </w:p>
    <w:p w14:paraId="1B8841F6">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第六章  投标文件相关格式</w:t>
      </w:r>
    </w:p>
    <w:p w14:paraId="6A69347C">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2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⑵</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除上条内容外，</w:t>
      </w:r>
      <w:r>
        <w:rPr>
          <w:rFonts w:hint="eastAsia" w:ascii="仿宋" w:hAnsi="仿宋" w:eastAsia="仿宋" w:cs="仿宋"/>
          <w:color w:val="auto"/>
          <w:sz w:val="24"/>
          <w:szCs w:val="24"/>
          <w:lang w:eastAsia="zh-CN"/>
        </w:rPr>
        <w:t>招标人</w:t>
      </w:r>
      <w:r>
        <w:rPr>
          <w:rFonts w:hint="eastAsia" w:ascii="仿宋" w:hAnsi="仿宋" w:eastAsia="仿宋" w:cs="仿宋"/>
          <w:color w:val="auto"/>
          <w:sz w:val="24"/>
          <w:szCs w:val="24"/>
        </w:rPr>
        <w:t>在规定时间前，以书面形式发出的对</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的澄清或修改内容，均为</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的组成部分。</w:t>
      </w:r>
    </w:p>
    <w:p w14:paraId="0E48D91A">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3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⑶</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投标人如在法律法规规定的时间内逾期对</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提出异议的，</w:t>
      </w:r>
      <w:r>
        <w:rPr>
          <w:rFonts w:hint="eastAsia" w:ascii="仿宋" w:hAnsi="仿宋" w:eastAsia="仿宋" w:cs="仿宋"/>
          <w:color w:val="auto"/>
          <w:sz w:val="24"/>
          <w:szCs w:val="24"/>
          <w:lang w:eastAsia="zh-CN"/>
        </w:rPr>
        <w:t>招标人</w:t>
      </w:r>
      <w:r>
        <w:rPr>
          <w:rFonts w:hint="eastAsia" w:ascii="仿宋" w:hAnsi="仿宋" w:eastAsia="仿宋" w:cs="仿宋"/>
          <w:color w:val="auto"/>
          <w:sz w:val="24"/>
          <w:szCs w:val="24"/>
        </w:rPr>
        <w:t>可不予受理、答复。</w:t>
      </w:r>
    </w:p>
    <w:p w14:paraId="030FA9D8">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的澄清与修改</w:t>
      </w:r>
    </w:p>
    <w:p w14:paraId="679A1047">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1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⑴</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lang w:eastAsia="zh-CN"/>
        </w:rPr>
        <w:t>招标人</w:t>
      </w:r>
      <w:r>
        <w:rPr>
          <w:rFonts w:hint="eastAsia" w:ascii="仿宋" w:hAnsi="仿宋" w:eastAsia="仿宋" w:cs="仿宋"/>
          <w:color w:val="auto"/>
          <w:sz w:val="24"/>
          <w:szCs w:val="24"/>
        </w:rPr>
        <w:t>对</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进行必要的澄清或者修改的，在发布招标公告的网站上发布更正公告。澄清或者修改的内容可能影响投标文件编制的，更正公告在投标截止时间至少15日前发出；不足15日的，顺延提交投标文件截止时间。</w:t>
      </w:r>
    </w:p>
    <w:p w14:paraId="772DDB3C">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2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⑵</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更正公告为</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的组成部分，一经在网站发布，视同已通知所有</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的收受人，不再</w:t>
      </w:r>
      <w:r>
        <w:rPr>
          <w:rFonts w:hint="eastAsia" w:ascii="仿宋" w:hAnsi="仿宋" w:eastAsia="仿宋" w:cs="仿宋"/>
          <w:color w:val="auto"/>
          <w:sz w:val="24"/>
          <w:szCs w:val="24"/>
          <w:lang w:eastAsia="zh-CN"/>
        </w:rPr>
        <w:t>采用其他方式</w:t>
      </w:r>
      <w:r>
        <w:rPr>
          <w:rFonts w:hint="eastAsia" w:ascii="仿宋" w:hAnsi="仿宋" w:eastAsia="仿宋" w:cs="仿宋"/>
          <w:color w:val="auto"/>
          <w:sz w:val="24"/>
          <w:szCs w:val="24"/>
        </w:rPr>
        <w:t>传达相关信息，若因未能及时了解到上述网站上发布的相关信息而导致的一切后果自行承担。</w:t>
      </w:r>
    </w:p>
    <w:p w14:paraId="2AF9BD19">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3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⑶</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如更正公告有重新发布电子</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的，投标人应下载最新发布的电子</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制作投标文件。</w:t>
      </w:r>
    </w:p>
    <w:p w14:paraId="3E648DCC">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4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⑷</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投标人在规定的时间内未对</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提出疑问、质疑或要求澄清的，将视其为无异议。对</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中描述有歧义或前后不一致的地方，评审小组有权进行评判，但对同一条款的评判应适用于每个投标人。</w:t>
      </w:r>
    </w:p>
    <w:p w14:paraId="7DC84243">
      <w:pPr>
        <w:pStyle w:val="32"/>
        <w:tabs>
          <w:tab w:val="left" w:pos="0"/>
        </w:tabs>
        <w:spacing w:line="360" w:lineRule="auto"/>
        <w:ind w:firstLine="482" w:firstLineChars="200"/>
        <w:jc w:val="left"/>
        <w:outlineLvl w:val="9"/>
        <w:rPr>
          <w:rFonts w:ascii="仿宋" w:hAnsi="仿宋" w:eastAsia="仿宋" w:cs="仿宋"/>
          <w:b/>
          <w:color w:val="auto"/>
          <w:sz w:val="24"/>
          <w:szCs w:val="24"/>
        </w:rPr>
      </w:pPr>
      <w:r>
        <w:rPr>
          <w:rFonts w:hint="eastAsia" w:ascii="仿宋" w:hAnsi="仿宋" w:eastAsia="仿宋" w:cs="仿宋"/>
          <w:b/>
          <w:color w:val="auto"/>
          <w:sz w:val="24"/>
          <w:szCs w:val="24"/>
          <w:lang w:eastAsia="zh-CN"/>
        </w:rPr>
        <w:t>（</w:t>
      </w:r>
      <w:r>
        <w:rPr>
          <w:rFonts w:hint="eastAsia" w:ascii="仿宋" w:hAnsi="仿宋" w:eastAsia="仿宋" w:cs="仿宋"/>
          <w:b/>
          <w:color w:val="auto"/>
          <w:sz w:val="24"/>
          <w:szCs w:val="24"/>
          <w:lang w:val="en-US" w:eastAsia="zh-CN"/>
        </w:rPr>
        <w:t>三</w:t>
      </w:r>
      <w:r>
        <w:rPr>
          <w:rFonts w:hint="eastAsia" w:ascii="仿宋" w:hAnsi="仿宋" w:eastAsia="仿宋" w:cs="仿宋"/>
          <w:b/>
          <w:color w:val="auto"/>
          <w:sz w:val="24"/>
          <w:szCs w:val="24"/>
          <w:lang w:eastAsia="zh-CN"/>
        </w:rPr>
        <w:t>）</w:t>
      </w:r>
      <w:r>
        <w:rPr>
          <w:rFonts w:hint="eastAsia" w:ascii="仿宋" w:hAnsi="仿宋" w:eastAsia="仿宋" w:cs="仿宋"/>
          <w:b/>
          <w:color w:val="auto"/>
          <w:sz w:val="24"/>
          <w:szCs w:val="24"/>
        </w:rPr>
        <w:t>投标文件</w:t>
      </w:r>
    </w:p>
    <w:p w14:paraId="5575E9E4">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1.总体要求</w:t>
      </w:r>
    </w:p>
    <w:p w14:paraId="0E80BF96">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1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⑴</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投标人应在认真阅读</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所有内容的基础上，按照</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的要求编制完整的投标文件。投标人应按本文件中提供的文件格式、内容和要求制作投标文件。投标文件内容不完整、编排混乱导致</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被误读、漏读或者查找不到相关内容的，是投标人的责任。</w:t>
      </w:r>
    </w:p>
    <w:p w14:paraId="3CC0A552">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2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⑵</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投标人必须保证投标文件所提供的全部资料真实可靠，并接受</w:t>
      </w:r>
      <w:r>
        <w:rPr>
          <w:rFonts w:hint="eastAsia" w:ascii="仿宋" w:hAnsi="仿宋" w:eastAsia="仿宋" w:cs="仿宋"/>
          <w:color w:val="auto"/>
          <w:sz w:val="24"/>
          <w:szCs w:val="24"/>
          <w:lang w:eastAsia="zh-CN"/>
        </w:rPr>
        <w:t>招标人</w:t>
      </w:r>
      <w:r>
        <w:rPr>
          <w:rFonts w:hint="eastAsia" w:ascii="仿宋" w:hAnsi="仿宋" w:eastAsia="仿宋" w:cs="仿宋"/>
          <w:color w:val="auto"/>
          <w:sz w:val="24"/>
          <w:szCs w:val="24"/>
        </w:rPr>
        <w:t>对其中任何资料进一步审查的要求。投标文件中所有复印资料都须加盖单位公章（电子签章）。</w:t>
      </w:r>
    </w:p>
    <w:p w14:paraId="100E37A2">
      <w:pPr>
        <w:pStyle w:val="10"/>
        <w:ind w:firstLine="480" w:firstLineChars="200"/>
        <w:outlineLvl w:val="9"/>
        <w:rPr>
          <w:rFonts w:ascii="仿宋" w:hAnsi="仿宋" w:eastAsia="仿宋" w:cs="仿宋"/>
          <w:color w:val="auto"/>
          <w:szCs w:val="24"/>
        </w:rPr>
      </w:pPr>
      <w:r>
        <w:rPr>
          <w:rFonts w:hint="eastAsia" w:ascii="仿宋" w:hAnsi="仿宋" w:eastAsia="仿宋" w:cs="仿宋"/>
          <w:color w:val="auto"/>
          <w:szCs w:val="24"/>
        </w:rPr>
        <w:fldChar w:fldCharType="begin"/>
      </w:r>
      <w:r>
        <w:rPr>
          <w:rFonts w:hint="eastAsia" w:ascii="仿宋" w:hAnsi="仿宋" w:eastAsia="仿宋" w:cs="仿宋"/>
          <w:color w:val="auto"/>
          <w:szCs w:val="24"/>
        </w:rPr>
        <w:instrText xml:space="preserve"> = 3 \* GB2 \* MERGEFORMAT </w:instrText>
      </w:r>
      <w:r>
        <w:rPr>
          <w:rFonts w:hint="eastAsia" w:ascii="仿宋" w:hAnsi="仿宋" w:eastAsia="仿宋" w:cs="仿宋"/>
          <w:color w:val="auto"/>
          <w:szCs w:val="24"/>
        </w:rPr>
        <w:fldChar w:fldCharType="separate"/>
      </w:r>
      <w:r>
        <w:rPr>
          <w:rFonts w:hint="eastAsia" w:ascii="仿宋" w:hAnsi="仿宋" w:eastAsia="仿宋" w:cs="仿宋"/>
          <w:color w:val="auto"/>
          <w:szCs w:val="24"/>
        </w:rPr>
        <w:t>⑶</w:t>
      </w:r>
      <w:r>
        <w:rPr>
          <w:rFonts w:hint="eastAsia" w:ascii="仿宋" w:hAnsi="仿宋" w:eastAsia="仿宋" w:cs="仿宋"/>
          <w:color w:val="auto"/>
          <w:szCs w:val="24"/>
        </w:rPr>
        <w:fldChar w:fldCharType="end"/>
      </w:r>
      <w:r>
        <w:rPr>
          <w:rFonts w:hint="eastAsia" w:ascii="仿宋" w:hAnsi="仿宋" w:eastAsia="仿宋" w:cs="仿宋"/>
          <w:color w:val="auto"/>
          <w:szCs w:val="24"/>
        </w:rPr>
        <w:t>投标文件须对</w:t>
      </w:r>
      <w:r>
        <w:rPr>
          <w:rFonts w:hint="eastAsia" w:ascii="仿宋" w:hAnsi="仿宋" w:eastAsia="仿宋" w:cs="仿宋"/>
          <w:color w:val="auto"/>
          <w:szCs w:val="24"/>
          <w:lang w:eastAsia="zh-CN"/>
        </w:rPr>
        <w:t>招标文件</w:t>
      </w:r>
      <w:r>
        <w:rPr>
          <w:rFonts w:hint="eastAsia" w:ascii="仿宋" w:hAnsi="仿宋" w:eastAsia="仿宋" w:cs="仿宋"/>
          <w:color w:val="auto"/>
          <w:szCs w:val="24"/>
        </w:rPr>
        <w:t>中的内容做出实质性和完整的响应，否则其投标将被拒绝。如果投标文件填报的内容资料不详，或没有提供</w:t>
      </w:r>
      <w:r>
        <w:rPr>
          <w:rFonts w:hint="eastAsia" w:ascii="仿宋" w:hAnsi="仿宋" w:eastAsia="仿宋" w:cs="仿宋"/>
          <w:color w:val="auto"/>
          <w:szCs w:val="24"/>
          <w:lang w:eastAsia="zh-CN"/>
        </w:rPr>
        <w:t>招标文件</w:t>
      </w:r>
      <w:r>
        <w:rPr>
          <w:rFonts w:hint="eastAsia" w:ascii="仿宋" w:hAnsi="仿宋" w:eastAsia="仿宋" w:cs="仿宋"/>
          <w:color w:val="auto"/>
          <w:szCs w:val="24"/>
        </w:rPr>
        <w:t>中所要求的全部资料及数据，将会导致投标被拒绝。</w:t>
      </w:r>
    </w:p>
    <w:p w14:paraId="54C964B7">
      <w:pPr>
        <w:pStyle w:val="10"/>
        <w:ind w:firstLine="480" w:firstLineChars="200"/>
        <w:outlineLvl w:val="9"/>
        <w:rPr>
          <w:rFonts w:ascii="仿宋" w:hAnsi="仿宋" w:eastAsia="仿宋" w:cs="仿宋"/>
          <w:color w:val="auto"/>
          <w:szCs w:val="24"/>
        </w:rPr>
      </w:pPr>
      <w:r>
        <w:rPr>
          <w:rFonts w:hint="eastAsia" w:ascii="仿宋" w:hAnsi="仿宋" w:eastAsia="仿宋" w:cs="仿宋"/>
          <w:color w:val="auto"/>
          <w:szCs w:val="24"/>
        </w:rPr>
        <w:t>⑷投标人已明知采购期间或之后企业将发生兼并改制，或提供的产品将停产、淘汰，及其他应当告知</w:t>
      </w:r>
      <w:r>
        <w:rPr>
          <w:rFonts w:hint="eastAsia" w:ascii="仿宋" w:hAnsi="仿宋" w:eastAsia="仿宋" w:cs="仿宋"/>
          <w:color w:val="auto"/>
          <w:szCs w:val="24"/>
          <w:lang w:eastAsia="zh-CN"/>
        </w:rPr>
        <w:t>招标人</w:t>
      </w:r>
      <w:r>
        <w:rPr>
          <w:rFonts w:hint="eastAsia" w:ascii="仿宋" w:hAnsi="仿宋" w:eastAsia="仿宋" w:cs="仿宋"/>
          <w:color w:val="auto"/>
          <w:szCs w:val="24"/>
        </w:rPr>
        <w:t>可能影响采购项目实施或损害</w:t>
      </w:r>
      <w:r>
        <w:rPr>
          <w:rFonts w:hint="eastAsia" w:ascii="仿宋" w:hAnsi="仿宋" w:eastAsia="仿宋" w:cs="仿宋"/>
          <w:color w:val="auto"/>
          <w:szCs w:val="24"/>
          <w:lang w:eastAsia="zh-CN"/>
        </w:rPr>
        <w:t>招标人</w:t>
      </w:r>
      <w:r>
        <w:rPr>
          <w:rFonts w:hint="eastAsia" w:ascii="仿宋" w:hAnsi="仿宋" w:eastAsia="仿宋" w:cs="仿宋"/>
          <w:color w:val="auto"/>
          <w:szCs w:val="24"/>
        </w:rPr>
        <w:t>利益的信息，必须在投标文件中予以特别说明，否则，</w:t>
      </w:r>
      <w:r>
        <w:rPr>
          <w:rFonts w:hint="eastAsia" w:ascii="仿宋" w:hAnsi="仿宋" w:eastAsia="仿宋" w:cs="仿宋"/>
          <w:color w:val="auto"/>
          <w:szCs w:val="24"/>
          <w:lang w:eastAsia="zh-CN"/>
        </w:rPr>
        <w:t>招标人</w:t>
      </w:r>
      <w:r>
        <w:rPr>
          <w:rFonts w:hint="eastAsia" w:ascii="仿宋" w:hAnsi="仿宋" w:eastAsia="仿宋" w:cs="仿宋"/>
          <w:color w:val="auto"/>
          <w:szCs w:val="24"/>
        </w:rPr>
        <w:t>可以拒绝其投标文件。</w:t>
      </w:r>
    </w:p>
    <w:p w14:paraId="2EE164D7">
      <w:pPr>
        <w:pStyle w:val="10"/>
        <w:ind w:firstLine="480" w:firstLineChars="200"/>
        <w:outlineLvl w:val="9"/>
        <w:rPr>
          <w:rFonts w:ascii="仿宋" w:hAnsi="仿宋" w:eastAsia="仿宋" w:cs="仿宋"/>
          <w:color w:val="auto"/>
          <w:szCs w:val="24"/>
        </w:rPr>
      </w:pPr>
      <w:r>
        <w:rPr>
          <w:rFonts w:hint="eastAsia" w:ascii="仿宋" w:hAnsi="仿宋" w:eastAsia="仿宋" w:cs="仿宋"/>
          <w:color w:val="auto"/>
          <w:szCs w:val="24"/>
        </w:rPr>
        <w:t>⑸由于字迹模糊或表达不清引起的后果由投标人负责。</w:t>
      </w:r>
    </w:p>
    <w:p w14:paraId="6A9407BA">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2.投标文件的语言及度量衡单位</w:t>
      </w:r>
    </w:p>
    <w:p w14:paraId="0CCF6CFF">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1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⑴</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除采购设备有关专用名称、型号外，投标文件与招标有关的所有文件说明均应使用中文。</w:t>
      </w:r>
    </w:p>
    <w:p w14:paraId="3763F3BD">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2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⑵</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除采购项目规范另有规定外，投标文件使用的度量衡单位，均采用中华人民共和国法定计量单位。</w:t>
      </w:r>
    </w:p>
    <w:p w14:paraId="3E23F027">
      <w:pPr>
        <w:snapToGrid w:val="0"/>
        <w:spacing w:line="360" w:lineRule="auto"/>
        <w:ind w:firstLine="480" w:firstLineChars="200"/>
        <w:outlineLvl w:val="9"/>
        <w:rPr>
          <w:rFonts w:ascii="仿宋" w:hAnsi="仿宋" w:eastAsia="仿宋" w:cs="仿宋"/>
          <w:color w:val="auto"/>
          <w:sz w:val="24"/>
          <w:szCs w:val="24"/>
        </w:rPr>
      </w:pPr>
      <w:bookmarkStart w:id="43" w:name="_Toc14048"/>
      <w:bookmarkStart w:id="44" w:name="_Toc22452"/>
      <w:bookmarkStart w:id="45" w:name="_Toc13231"/>
      <w:bookmarkStart w:id="46" w:name="_Toc356371435"/>
      <w:bookmarkStart w:id="47" w:name="_Toc359856800"/>
      <w:bookmarkStart w:id="48" w:name="_Toc20709"/>
      <w:r>
        <w:rPr>
          <w:rFonts w:hint="eastAsia" w:ascii="仿宋" w:hAnsi="仿宋" w:eastAsia="仿宋" w:cs="仿宋"/>
          <w:color w:val="auto"/>
          <w:sz w:val="24"/>
          <w:szCs w:val="24"/>
        </w:rPr>
        <w:t>3.投标文件的编制</w:t>
      </w:r>
      <w:bookmarkEnd w:id="43"/>
      <w:bookmarkEnd w:id="44"/>
      <w:bookmarkEnd w:id="45"/>
      <w:bookmarkEnd w:id="46"/>
      <w:bookmarkEnd w:id="47"/>
      <w:bookmarkEnd w:id="48"/>
    </w:p>
    <w:p w14:paraId="1C840AA3">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1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⑴</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投标文件由【资格审查文件】【</w:t>
      </w:r>
      <w:r>
        <w:rPr>
          <w:rFonts w:hint="eastAsia" w:ascii="仿宋" w:hAnsi="仿宋" w:eastAsia="仿宋" w:cs="仿宋"/>
          <w:color w:val="auto"/>
          <w:sz w:val="24"/>
          <w:szCs w:val="24"/>
          <w:lang w:eastAsia="zh-CN"/>
        </w:rPr>
        <w:t>技术商务文件</w:t>
      </w:r>
      <w:r>
        <w:rPr>
          <w:rFonts w:hint="eastAsia" w:ascii="仿宋" w:hAnsi="仿宋" w:eastAsia="仿宋" w:cs="仿宋"/>
          <w:color w:val="auto"/>
          <w:sz w:val="24"/>
          <w:szCs w:val="24"/>
        </w:rPr>
        <w:t>】和【报价文件】三部分组成，其中“资格审查文件”“</w:t>
      </w:r>
      <w:r>
        <w:rPr>
          <w:rFonts w:hint="eastAsia" w:ascii="仿宋" w:hAnsi="仿宋" w:eastAsia="仿宋" w:cs="仿宋"/>
          <w:color w:val="auto"/>
          <w:sz w:val="24"/>
          <w:szCs w:val="24"/>
          <w:lang w:eastAsia="zh-CN"/>
        </w:rPr>
        <w:t>技术商务文件</w:t>
      </w:r>
      <w:r>
        <w:rPr>
          <w:rFonts w:hint="eastAsia" w:ascii="仿宋" w:hAnsi="仿宋" w:eastAsia="仿宋" w:cs="仿宋"/>
          <w:color w:val="auto"/>
          <w:sz w:val="24"/>
          <w:szCs w:val="24"/>
        </w:rPr>
        <w:t>”部分不得包含与本次项目有关的报价，否则作无效标处理。电子投标文件中须加盖公章部分均</w:t>
      </w:r>
      <w:r>
        <w:rPr>
          <w:rFonts w:hint="eastAsia" w:ascii="仿宋" w:hAnsi="仿宋" w:eastAsia="仿宋" w:cs="仿宋"/>
          <w:color w:val="auto"/>
          <w:sz w:val="24"/>
          <w:szCs w:val="24"/>
          <w:lang w:val="en-US" w:eastAsia="zh-CN"/>
        </w:rPr>
        <w:t>可</w:t>
      </w:r>
      <w:r>
        <w:rPr>
          <w:rFonts w:hint="eastAsia" w:ascii="仿宋" w:hAnsi="仿宋" w:eastAsia="仿宋" w:cs="仿宋"/>
          <w:color w:val="auto"/>
          <w:sz w:val="24"/>
          <w:szCs w:val="24"/>
        </w:rPr>
        <w:t>采用CA签章。</w:t>
      </w:r>
    </w:p>
    <w:p w14:paraId="72B0158D">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2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⑵</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w:t>
      </w:r>
      <w:r>
        <w:rPr>
          <w:rFonts w:hint="eastAsia" w:ascii="仿宋" w:hAnsi="仿宋" w:eastAsia="仿宋" w:cs="仿宋"/>
          <w:b/>
          <w:bCs/>
          <w:color w:val="auto"/>
          <w:sz w:val="24"/>
          <w:szCs w:val="24"/>
        </w:rPr>
        <w:t>资格审查文件</w:t>
      </w:r>
      <w:r>
        <w:rPr>
          <w:rFonts w:hint="eastAsia" w:ascii="仿宋" w:hAnsi="仿宋" w:eastAsia="仿宋" w:cs="仿宋"/>
          <w:color w:val="auto"/>
          <w:sz w:val="24"/>
          <w:szCs w:val="24"/>
        </w:rPr>
        <w:t>】包括但不限于以下内容：</w:t>
      </w:r>
    </w:p>
    <w:p w14:paraId="07F02F1D">
      <w:pPr>
        <w:tabs>
          <w:tab w:val="left" w:pos="0"/>
        </w:tabs>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▲①投标人基本情况表；</w:t>
      </w:r>
    </w:p>
    <w:p w14:paraId="6A44AA5D">
      <w:pPr>
        <w:tabs>
          <w:tab w:val="left" w:pos="0"/>
        </w:tabs>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▲②</w:t>
      </w:r>
      <w:r>
        <w:rPr>
          <w:rFonts w:hint="eastAsia" w:ascii="仿宋" w:hAnsi="仿宋" w:eastAsia="仿宋" w:cs="仿宋"/>
          <w:color w:val="auto"/>
          <w:sz w:val="24"/>
          <w:szCs w:val="24"/>
          <w:lang w:eastAsia="zh-CN"/>
        </w:rPr>
        <w:t>法定代表人（负责人）</w:t>
      </w:r>
      <w:r>
        <w:rPr>
          <w:rFonts w:hint="eastAsia" w:ascii="仿宋" w:hAnsi="仿宋" w:eastAsia="仿宋" w:cs="仿宋"/>
          <w:color w:val="auto"/>
          <w:sz w:val="24"/>
          <w:szCs w:val="24"/>
        </w:rPr>
        <w:t>身份证明或</w:t>
      </w:r>
      <w:r>
        <w:rPr>
          <w:rFonts w:hint="eastAsia" w:ascii="仿宋" w:hAnsi="仿宋" w:eastAsia="仿宋" w:cs="仿宋"/>
          <w:color w:val="auto"/>
          <w:sz w:val="24"/>
          <w:szCs w:val="24"/>
          <w:lang w:eastAsia="zh-CN"/>
        </w:rPr>
        <w:t>法定代表人（负责人）</w:t>
      </w:r>
      <w:r>
        <w:rPr>
          <w:rFonts w:hint="eastAsia" w:ascii="仿宋" w:hAnsi="仿宋" w:eastAsia="仿宋" w:cs="仿宋"/>
          <w:color w:val="auto"/>
          <w:sz w:val="24"/>
          <w:szCs w:val="24"/>
        </w:rPr>
        <w:t>授权委托书；</w:t>
      </w:r>
    </w:p>
    <w:p w14:paraId="45BE2674">
      <w:pPr>
        <w:tabs>
          <w:tab w:val="left" w:pos="0"/>
        </w:tabs>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▲③有效期内的营业执照（或事业法人登记证书</w:t>
      </w:r>
      <w:r>
        <w:rPr>
          <w:rFonts w:hint="eastAsia" w:ascii="仿宋" w:hAnsi="仿宋" w:eastAsia="仿宋" w:cs="仿宋"/>
          <w:color w:val="auto"/>
          <w:sz w:val="24"/>
          <w:szCs w:val="24"/>
          <w:lang w:eastAsia="zh-CN"/>
        </w:rPr>
        <w:t>或其他</w:t>
      </w:r>
      <w:r>
        <w:rPr>
          <w:rFonts w:hint="eastAsia" w:ascii="仿宋" w:hAnsi="仿宋" w:eastAsia="仿宋" w:cs="仿宋"/>
          <w:color w:val="auto"/>
          <w:sz w:val="24"/>
          <w:szCs w:val="24"/>
        </w:rPr>
        <w:t>工商等登记证明材料）扫描件；</w:t>
      </w:r>
    </w:p>
    <w:p w14:paraId="20A54026">
      <w:pPr>
        <w:tabs>
          <w:tab w:val="left" w:pos="0"/>
        </w:tabs>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4 \* GB3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④</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符合参加国企采购活动应当具备的一般条件的承诺函；</w:t>
      </w:r>
    </w:p>
    <w:p w14:paraId="154DA68E">
      <w:pPr>
        <w:keepNext w:val="0"/>
        <w:keepLines w:val="0"/>
        <w:pageBreakBefore w:val="0"/>
        <w:widowControl w:val="0"/>
        <w:kinsoku/>
        <w:overflowPunct/>
        <w:topLinePunct w:val="0"/>
        <w:autoSpaceDE/>
        <w:autoSpaceDN/>
        <w:bidi w:val="0"/>
        <w:adjustRightInd/>
        <w:spacing w:line="360" w:lineRule="auto"/>
        <w:ind w:firstLine="480" w:firstLineChars="200"/>
        <w:outlineLvl w:val="9"/>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w:t>
      </w:r>
      <w:r>
        <w:rPr>
          <w:rFonts w:hint="eastAsia" w:ascii="仿宋" w:hAnsi="仿宋" w:eastAsia="仿宋" w:cs="仿宋"/>
          <w:color w:val="auto"/>
          <w:kern w:val="2"/>
          <w:sz w:val="24"/>
          <w:szCs w:val="24"/>
          <w:lang w:val="en-US" w:eastAsia="zh-CN" w:bidi="ar-SA"/>
        </w:rPr>
        <w:fldChar w:fldCharType="begin"/>
      </w:r>
      <w:r>
        <w:rPr>
          <w:rFonts w:hint="eastAsia" w:ascii="仿宋" w:hAnsi="仿宋" w:eastAsia="仿宋" w:cs="仿宋"/>
          <w:color w:val="auto"/>
          <w:kern w:val="2"/>
          <w:sz w:val="24"/>
          <w:szCs w:val="24"/>
          <w:lang w:val="en-US" w:eastAsia="zh-CN" w:bidi="ar-SA"/>
        </w:rPr>
        <w:instrText xml:space="preserve"> = 5 \* GB3 \* MERGEFORMAT </w:instrText>
      </w:r>
      <w:r>
        <w:rPr>
          <w:rFonts w:hint="eastAsia" w:ascii="仿宋" w:hAnsi="仿宋" w:eastAsia="仿宋" w:cs="仿宋"/>
          <w:color w:val="auto"/>
          <w:kern w:val="2"/>
          <w:sz w:val="24"/>
          <w:szCs w:val="24"/>
          <w:lang w:val="en-US" w:eastAsia="zh-CN" w:bidi="ar-SA"/>
        </w:rPr>
        <w:fldChar w:fldCharType="separate"/>
      </w:r>
      <w:r>
        <w:rPr>
          <w:rFonts w:hint="eastAsia" w:ascii="仿宋" w:hAnsi="仿宋" w:eastAsia="仿宋" w:cs="仿宋"/>
          <w:color w:val="auto"/>
          <w:sz w:val="24"/>
          <w:szCs w:val="24"/>
        </w:rPr>
        <w:t>⑤</w:t>
      </w:r>
      <w:r>
        <w:rPr>
          <w:rFonts w:hint="eastAsia" w:ascii="仿宋" w:hAnsi="仿宋" w:eastAsia="仿宋" w:cs="仿宋"/>
          <w:color w:val="auto"/>
          <w:kern w:val="2"/>
          <w:sz w:val="24"/>
          <w:szCs w:val="24"/>
          <w:lang w:val="en-US" w:eastAsia="zh-CN" w:bidi="ar-SA"/>
        </w:rPr>
        <w:fldChar w:fldCharType="end"/>
      </w:r>
      <w:r>
        <w:rPr>
          <w:rFonts w:hint="eastAsia" w:ascii="仿宋" w:hAnsi="仿宋" w:eastAsia="仿宋" w:cs="仿宋"/>
          <w:color w:val="auto"/>
          <w:sz w:val="24"/>
          <w:szCs w:val="24"/>
          <w:highlight w:val="none"/>
        </w:rPr>
        <w:t>有效的《道路运输许可证》</w:t>
      </w:r>
      <w:r>
        <w:rPr>
          <w:rFonts w:hint="eastAsia" w:ascii="仿宋" w:hAnsi="仿宋" w:eastAsia="仿宋" w:cs="仿宋"/>
          <w:color w:val="auto"/>
          <w:sz w:val="24"/>
          <w:szCs w:val="24"/>
          <w:highlight w:val="none"/>
          <w:lang w:val="en-US" w:eastAsia="zh-CN"/>
        </w:rPr>
        <w:t>；</w:t>
      </w:r>
    </w:p>
    <w:p w14:paraId="57324724">
      <w:pPr>
        <w:keepNext w:val="0"/>
        <w:keepLines w:val="0"/>
        <w:pageBreakBefore w:val="0"/>
        <w:widowControl w:val="0"/>
        <w:numPr>
          <w:ilvl w:val="0"/>
          <w:numId w:val="0"/>
        </w:numPr>
        <w:tabs>
          <w:tab w:val="left" w:pos="0"/>
        </w:tabs>
        <w:kinsoku/>
        <w:wordWrap/>
        <w:overflowPunct/>
        <w:topLinePunct w:val="0"/>
        <w:autoSpaceDE/>
        <w:autoSpaceDN/>
        <w:bidi w:val="0"/>
        <w:adjustRightInd/>
        <w:snapToGrid w:val="0"/>
        <w:spacing w:line="360" w:lineRule="auto"/>
        <w:ind w:firstLine="480" w:firstLineChars="200"/>
        <w:outlineLvl w:val="9"/>
        <w:rPr>
          <w:rFonts w:hint="eastAsia" w:ascii="仿宋" w:hAnsi="仿宋" w:eastAsia="仿宋" w:cs="仿宋"/>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6 \* GB3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⑥</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投标人认为需要提供的其他相关资料（如有）</w:t>
      </w:r>
      <w:r>
        <w:rPr>
          <w:rFonts w:hint="eastAsia" w:ascii="仿宋" w:hAnsi="仿宋" w:eastAsia="仿宋" w:cs="仿宋"/>
          <w:bCs/>
          <w:color w:val="auto"/>
          <w:sz w:val="24"/>
          <w:szCs w:val="24"/>
          <w:lang w:eastAsia="zh-CN"/>
        </w:rPr>
        <w:t>。</w:t>
      </w:r>
    </w:p>
    <w:p w14:paraId="1A9C8B04">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3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⑶</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w:t>
      </w:r>
      <w:r>
        <w:rPr>
          <w:rFonts w:hint="eastAsia" w:ascii="仿宋" w:hAnsi="仿宋" w:eastAsia="仿宋" w:cs="仿宋"/>
          <w:b/>
          <w:bCs/>
          <w:color w:val="auto"/>
          <w:sz w:val="24"/>
          <w:szCs w:val="24"/>
          <w:lang w:eastAsia="zh-CN"/>
        </w:rPr>
        <w:t>技术商务文件</w:t>
      </w:r>
      <w:r>
        <w:rPr>
          <w:rFonts w:hint="eastAsia" w:ascii="仿宋" w:hAnsi="仿宋" w:eastAsia="仿宋" w:cs="仿宋"/>
          <w:color w:val="auto"/>
          <w:sz w:val="24"/>
          <w:szCs w:val="24"/>
        </w:rPr>
        <w:t>】包括但不限于以下内容：</w:t>
      </w:r>
    </w:p>
    <w:p w14:paraId="49FA7575">
      <w:pPr>
        <w:tabs>
          <w:tab w:val="left" w:pos="0"/>
        </w:tabs>
        <w:snapToGrid w:val="0"/>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①评分索引表；</w:t>
      </w:r>
    </w:p>
    <w:p w14:paraId="7D22D201">
      <w:pPr>
        <w:pStyle w:val="32"/>
        <w:tabs>
          <w:tab w:val="left" w:pos="0"/>
        </w:tabs>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color w:val="auto"/>
          <w:sz w:val="24"/>
          <w:szCs w:val="24"/>
        </w:rPr>
        <w:t>▲</w:t>
      </w:r>
      <w:r>
        <w:rPr>
          <w:rFonts w:hint="eastAsia" w:ascii="仿宋" w:hAnsi="仿宋" w:eastAsia="仿宋" w:cs="仿宋"/>
          <w:bCs/>
          <w:color w:val="auto"/>
          <w:sz w:val="24"/>
          <w:szCs w:val="24"/>
        </w:rPr>
        <w:t>②投标函；</w:t>
      </w:r>
    </w:p>
    <w:p w14:paraId="30502A63">
      <w:pPr>
        <w:pStyle w:val="32"/>
        <w:tabs>
          <w:tab w:val="left" w:pos="0"/>
        </w:tabs>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③业绩一览表；</w:t>
      </w:r>
    </w:p>
    <w:p w14:paraId="06AB1D33">
      <w:pPr>
        <w:pStyle w:val="32"/>
        <w:tabs>
          <w:tab w:val="left" w:pos="0"/>
        </w:tabs>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4 \* GB3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④</w:t>
      </w:r>
      <w:r>
        <w:rPr>
          <w:rFonts w:hint="eastAsia" w:ascii="仿宋" w:hAnsi="仿宋" w:eastAsia="仿宋" w:cs="仿宋"/>
          <w:color w:val="auto"/>
          <w:sz w:val="24"/>
          <w:szCs w:val="24"/>
        </w:rPr>
        <w:fldChar w:fldCharType="end"/>
      </w:r>
      <w:r>
        <w:rPr>
          <w:rFonts w:hint="eastAsia" w:ascii="仿宋" w:hAnsi="仿宋" w:eastAsia="仿宋" w:cs="仿宋"/>
          <w:bCs/>
          <w:color w:val="auto"/>
          <w:sz w:val="24"/>
          <w:szCs w:val="24"/>
        </w:rPr>
        <w:t>投标人按照评分标准要求提供的相应资料（格式自</w:t>
      </w:r>
      <w:r>
        <w:rPr>
          <w:rFonts w:hint="eastAsia" w:ascii="仿宋" w:hAnsi="仿宋" w:eastAsia="仿宋" w:cs="仿宋"/>
          <w:color w:val="auto"/>
          <w:sz w:val="24"/>
          <w:szCs w:val="24"/>
        </w:rPr>
        <w:t>拟）</w:t>
      </w:r>
      <w:r>
        <w:rPr>
          <w:rFonts w:hint="eastAsia" w:ascii="仿宋" w:hAnsi="仿宋" w:eastAsia="仿宋" w:cs="仿宋"/>
          <w:bCs/>
          <w:color w:val="auto"/>
          <w:sz w:val="24"/>
          <w:szCs w:val="24"/>
        </w:rPr>
        <w:t>；</w:t>
      </w:r>
    </w:p>
    <w:p w14:paraId="23557282">
      <w:pPr>
        <w:pStyle w:val="32"/>
        <w:tabs>
          <w:tab w:val="left" w:pos="0"/>
        </w:tabs>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color w:val="auto"/>
          <w:kern w:val="2"/>
          <w:sz w:val="24"/>
          <w:szCs w:val="24"/>
          <w:lang w:val="en-US" w:eastAsia="zh-CN" w:bidi="ar-SA"/>
        </w:rPr>
        <w:fldChar w:fldCharType="begin"/>
      </w:r>
      <w:r>
        <w:rPr>
          <w:rFonts w:hint="eastAsia" w:ascii="仿宋" w:hAnsi="仿宋" w:eastAsia="仿宋" w:cs="仿宋"/>
          <w:color w:val="auto"/>
          <w:kern w:val="2"/>
          <w:sz w:val="24"/>
          <w:szCs w:val="24"/>
          <w:lang w:val="en-US" w:eastAsia="zh-CN" w:bidi="ar-SA"/>
        </w:rPr>
        <w:instrText xml:space="preserve"> = 5 \* GB3 \* MERGEFORMAT </w:instrText>
      </w:r>
      <w:r>
        <w:rPr>
          <w:rFonts w:hint="eastAsia" w:ascii="仿宋" w:hAnsi="仿宋" w:eastAsia="仿宋" w:cs="仿宋"/>
          <w:color w:val="auto"/>
          <w:kern w:val="2"/>
          <w:sz w:val="24"/>
          <w:szCs w:val="24"/>
          <w:lang w:val="en-US" w:eastAsia="zh-CN" w:bidi="ar-SA"/>
        </w:rPr>
        <w:fldChar w:fldCharType="separate"/>
      </w:r>
      <w:r>
        <w:rPr>
          <w:rFonts w:hint="eastAsia" w:ascii="仿宋" w:hAnsi="仿宋" w:eastAsia="仿宋" w:cs="仿宋"/>
          <w:color w:val="auto"/>
          <w:sz w:val="24"/>
          <w:szCs w:val="24"/>
        </w:rPr>
        <w:t>⑤</w:t>
      </w:r>
      <w:r>
        <w:rPr>
          <w:rFonts w:hint="eastAsia" w:ascii="仿宋" w:hAnsi="仿宋" w:eastAsia="仿宋" w:cs="仿宋"/>
          <w:color w:val="auto"/>
          <w:kern w:val="2"/>
          <w:sz w:val="24"/>
          <w:szCs w:val="24"/>
          <w:lang w:val="en-US" w:eastAsia="zh-CN" w:bidi="ar-SA"/>
        </w:rPr>
        <w:fldChar w:fldCharType="end"/>
      </w:r>
      <w:r>
        <w:rPr>
          <w:rFonts w:hint="eastAsia" w:ascii="仿宋" w:hAnsi="仿宋" w:eastAsia="仿宋" w:cs="仿宋"/>
          <w:bCs/>
          <w:color w:val="auto"/>
          <w:sz w:val="24"/>
          <w:szCs w:val="24"/>
        </w:rPr>
        <w:t>投标人认为需要的其他内容（格式自</w:t>
      </w:r>
      <w:r>
        <w:rPr>
          <w:rFonts w:hint="eastAsia" w:ascii="仿宋" w:hAnsi="仿宋" w:eastAsia="仿宋" w:cs="仿宋"/>
          <w:color w:val="auto"/>
          <w:sz w:val="24"/>
          <w:szCs w:val="24"/>
        </w:rPr>
        <w:t>拟）。</w:t>
      </w:r>
    </w:p>
    <w:p w14:paraId="1DBD9F15">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4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⑷</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w:t>
      </w:r>
      <w:r>
        <w:rPr>
          <w:rFonts w:hint="eastAsia" w:ascii="仿宋" w:hAnsi="仿宋" w:eastAsia="仿宋" w:cs="仿宋"/>
          <w:b/>
          <w:bCs/>
          <w:color w:val="auto"/>
          <w:sz w:val="24"/>
          <w:szCs w:val="24"/>
        </w:rPr>
        <w:t>报价文件</w:t>
      </w:r>
      <w:r>
        <w:rPr>
          <w:rFonts w:hint="eastAsia" w:ascii="仿宋" w:hAnsi="仿宋" w:eastAsia="仿宋" w:cs="仿宋"/>
          <w:color w:val="auto"/>
          <w:sz w:val="24"/>
          <w:szCs w:val="24"/>
        </w:rPr>
        <w:t>】包括但不限于以下内容：</w:t>
      </w:r>
    </w:p>
    <w:p w14:paraId="04AB474F">
      <w:pPr>
        <w:numPr>
          <w:ilvl w:val="255"/>
          <w:numId w:val="0"/>
        </w:num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▲①开标一览表；</w:t>
      </w:r>
    </w:p>
    <w:p w14:paraId="028E8C8F">
      <w:pPr>
        <w:pStyle w:val="32"/>
        <w:tabs>
          <w:tab w:val="left" w:pos="0"/>
        </w:tabs>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②投标人认为需要提供的其他相关资料（如有）。</w:t>
      </w:r>
    </w:p>
    <w:p w14:paraId="56068177">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4.投标文件的编制格式及说明</w:t>
      </w:r>
    </w:p>
    <w:p w14:paraId="50A7390F">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1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⑴</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请投标人在编制投标文件时仔细阅读本</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及其他辅助资料，根据本</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中评标原则及评分标准中所列内容结合自身情况据实提供相关资料。所提供的各种证书、证件、证明、执照须加盖电子签章并制作在投标文件内。</w:t>
      </w:r>
    </w:p>
    <w:p w14:paraId="2E30E24A">
      <w:pPr>
        <w:pStyle w:val="32"/>
        <w:spacing w:line="360" w:lineRule="auto"/>
        <w:ind w:firstLine="480" w:firstLineChars="200"/>
        <w:jc w:val="left"/>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2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⑵</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投标文件应包括规定的内容，投标人提交的投标文件应当按</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要求提供的格式（格式可以按同样格式扩展）编制；</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未提供标准格式的，由投标人自行编写</w:t>
      </w:r>
      <w:r>
        <w:rPr>
          <w:rFonts w:hint="eastAsia" w:ascii="仿宋" w:hAnsi="仿宋" w:eastAsia="仿宋" w:cs="仿宋"/>
          <w:color w:val="auto"/>
          <w:sz w:val="24"/>
          <w:szCs w:val="24"/>
          <w:lang w:eastAsia="zh-CN"/>
        </w:rPr>
        <w:t>。</w:t>
      </w:r>
    </w:p>
    <w:p w14:paraId="59642A9C">
      <w:pPr>
        <w:pStyle w:val="32"/>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3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⑶</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投标人应严格按照</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规定的顺序编制目录，编排混乱或未按</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所提供的统一格式编写与漏项而导致投标文件被误读或查找不到有效文件由投标人承担风险。</w:t>
      </w:r>
    </w:p>
    <w:p w14:paraId="716AAFCB">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以上内容未提供格式的，请投标人格式自拟。</w:t>
      </w:r>
    </w:p>
    <w:p w14:paraId="0C1957D8">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5.投标报价</w:t>
      </w:r>
    </w:p>
    <w:p w14:paraId="65980F94">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1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⑴</w:t>
      </w:r>
      <w:r>
        <w:rPr>
          <w:rFonts w:hint="eastAsia" w:ascii="仿宋" w:hAnsi="仿宋" w:eastAsia="仿宋" w:cs="仿宋"/>
          <w:color w:val="auto"/>
          <w:sz w:val="24"/>
          <w:szCs w:val="24"/>
        </w:rPr>
        <w:fldChar w:fldCharType="end"/>
      </w:r>
      <w:r>
        <w:rPr>
          <w:rFonts w:hint="eastAsia" w:ascii="仿宋" w:hAnsi="仿宋" w:eastAsia="仿宋" w:cs="仿宋"/>
          <w:bCs/>
          <w:color w:val="auto"/>
          <w:sz w:val="24"/>
          <w:szCs w:val="24"/>
        </w:rPr>
        <w:t>投标人报价超过最高限价的作无效标处理。</w:t>
      </w:r>
    </w:p>
    <w:p w14:paraId="65F3B9A3">
      <w:pPr>
        <w:pStyle w:val="32"/>
        <w:spacing w:line="360" w:lineRule="auto"/>
        <w:ind w:firstLine="480" w:firstLineChars="200"/>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2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⑵</w:t>
      </w:r>
      <w:r>
        <w:rPr>
          <w:rFonts w:hint="eastAsia" w:ascii="仿宋" w:hAnsi="仿宋" w:eastAsia="仿宋" w:cs="仿宋"/>
          <w:color w:val="auto"/>
          <w:sz w:val="24"/>
          <w:szCs w:val="24"/>
        </w:rPr>
        <w:fldChar w:fldCharType="end"/>
      </w:r>
      <w:r>
        <w:rPr>
          <w:rFonts w:hint="eastAsia" w:ascii="仿宋" w:hAnsi="仿宋" w:eastAsia="仿宋" w:cs="仿宋"/>
          <w:b/>
          <w:bCs/>
          <w:color w:val="auto"/>
          <w:sz w:val="24"/>
          <w:szCs w:val="24"/>
          <w:highlight w:val="none"/>
          <w:lang w:val="en-US" w:eastAsia="zh-CN"/>
        </w:rPr>
        <w:t>投标报价应包括为完成该项目全部内容所需的一切人员工资、奖金、各种加班费、节假日补贴、夜餐费、各种社会保险、劳保福利、安全保险、食宿与交通、设备及工具、器材、消耗材料、安全、仓储、搬运、管理费用、税费、利润，完成合同所需的一切本身和不可或缺的所有工作开支、政策性文件规定及合同包含的所有风险、责任等各项全部费用并承担一切风险责任。在合同服务期间内不得违反国家相关政策规定。</w:t>
      </w:r>
    </w:p>
    <w:p w14:paraId="750FCB9E">
      <w:pPr>
        <w:pStyle w:val="32"/>
        <w:spacing w:line="360" w:lineRule="auto"/>
        <w:ind w:firstLine="480" w:firstLineChars="200"/>
        <w:outlineLvl w:val="9"/>
        <w:rPr>
          <w:rFonts w:ascii="仿宋" w:hAnsi="仿宋" w:eastAsia="仿宋" w:cs="仿宋"/>
          <w:bCs/>
          <w:color w:val="auto"/>
          <w:sz w:val="24"/>
          <w:szCs w:val="24"/>
        </w:rPr>
      </w:pPr>
      <w:r>
        <w:rPr>
          <w:rFonts w:hint="eastAsia" w:ascii="仿宋" w:hAnsi="仿宋" w:eastAsia="仿宋" w:cs="仿宋"/>
          <w:bCs/>
          <w:color w:val="auto"/>
          <w:sz w:val="24"/>
          <w:szCs w:val="24"/>
        </w:rPr>
        <w:t>中标人应列入而未列入其中的费用，均视为已包含在内，风险由中标人承担。中标人不得以遗漏或疏忽为由向</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主张增加费用或开支。</w:t>
      </w:r>
    </w:p>
    <w:p w14:paraId="02D242DE">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3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⑶</w:t>
      </w:r>
      <w:r>
        <w:rPr>
          <w:rFonts w:hint="eastAsia" w:ascii="仿宋" w:hAnsi="仿宋" w:eastAsia="仿宋" w:cs="仿宋"/>
          <w:color w:val="auto"/>
          <w:sz w:val="24"/>
          <w:szCs w:val="24"/>
        </w:rPr>
        <w:fldChar w:fldCharType="end"/>
      </w:r>
      <w:r>
        <w:rPr>
          <w:rFonts w:hint="eastAsia" w:ascii="仿宋" w:hAnsi="仿宋" w:eastAsia="仿宋" w:cs="仿宋"/>
          <w:bCs/>
          <w:color w:val="auto"/>
          <w:sz w:val="24"/>
          <w:szCs w:val="24"/>
        </w:rPr>
        <w:t>投标人必须按第六章投标文件格式附件中的开标一览表（报价明细表）内容填写单价、合价和总价，并由</w:t>
      </w:r>
      <w:r>
        <w:rPr>
          <w:rFonts w:hint="eastAsia" w:ascii="仿宋" w:hAnsi="仿宋" w:eastAsia="仿宋" w:cs="仿宋"/>
          <w:bCs/>
          <w:color w:val="auto"/>
          <w:sz w:val="24"/>
          <w:szCs w:val="24"/>
          <w:lang w:eastAsia="zh-CN"/>
        </w:rPr>
        <w:t>法定代表人（负责人）</w:t>
      </w:r>
      <w:r>
        <w:rPr>
          <w:rFonts w:hint="eastAsia" w:ascii="仿宋" w:hAnsi="仿宋" w:eastAsia="仿宋" w:cs="仿宋"/>
          <w:bCs/>
          <w:color w:val="auto"/>
          <w:sz w:val="24"/>
          <w:szCs w:val="24"/>
        </w:rPr>
        <w:t>或授权代表签字或盖章。</w:t>
      </w:r>
    </w:p>
    <w:p w14:paraId="36F4E622">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4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⑷</w:t>
      </w:r>
      <w:r>
        <w:rPr>
          <w:rFonts w:hint="eastAsia" w:ascii="仿宋" w:hAnsi="仿宋" w:eastAsia="仿宋" w:cs="仿宋"/>
          <w:color w:val="auto"/>
          <w:sz w:val="24"/>
          <w:szCs w:val="24"/>
        </w:rPr>
        <w:fldChar w:fldCharType="end"/>
      </w:r>
      <w:r>
        <w:rPr>
          <w:rFonts w:hint="eastAsia" w:ascii="仿宋" w:hAnsi="仿宋" w:eastAsia="仿宋" w:cs="仿宋"/>
          <w:bCs/>
          <w:color w:val="auto"/>
          <w:sz w:val="24"/>
          <w:szCs w:val="24"/>
        </w:rPr>
        <w:t>开标一览表及报价明细表上的价格须以人民币报价，</w:t>
      </w:r>
      <w:r>
        <w:rPr>
          <w:rFonts w:hint="eastAsia" w:ascii="仿宋" w:hAnsi="仿宋" w:eastAsia="仿宋" w:cs="仿宋"/>
          <w:bCs/>
          <w:color w:val="auto"/>
          <w:sz w:val="24"/>
          <w:szCs w:val="24"/>
          <w:lang w:eastAsia="zh-CN"/>
        </w:rPr>
        <w:t>以其他</w:t>
      </w:r>
      <w:r>
        <w:rPr>
          <w:rFonts w:hint="eastAsia" w:ascii="仿宋" w:hAnsi="仿宋" w:eastAsia="仿宋" w:cs="仿宋"/>
          <w:bCs/>
          <w:color w:val="auto"/>
          <w:sz w:val="24"/>
          <w:szCs w:val="24"/>
        </w:rPr>
        <w:t>货币报价的投标将不予接受。</w:t>
      </w:r>
    </w:p>
    <w:p w14:paraId="2A27EF01">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5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⑸</w:t>
      </w:r>
      <w:r>
        <w:rPr>
          <w:rFonts w:hint="eastAsia" w:ascii="仿宋" w:hAnsi="仿宋" w:eastAsia="仿宋" w:cs="仿宋"/>
          <w:color w:val="auto"/>
          <w:sz w:val="24"/>
          <w:szCs w:val="24"/>
        </w:rPr>
        <w:fldChar w:fldCharType="end"/>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不接受任何选择报价，只允许一个报价。</w:t>
      </w:r>
    </w:p>
    <w:p w14:paraId="1648EB5F">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6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⑹</w:t>
      </w:r>
      <w:r>
        <w:rPr>
          <w:rFonts w:hint="eastAsia" w:ascii="仿宋" w:hAnsi="仿宋" w:eastAsia="仿宋" w:cs="仿宋"/>
          <w:color w:val="auto"/>
          <w:sz w:val="24"/>
          <w:szCs w:val="24"/>
        </w:rPr>
        <w:fldChar w:fldCharType="end"/>
      </w:r>
      <w:r>
        <w:rPr>
          <w:rFonts w:hint="eastAsia" w:ascii="仿宋" w:hAnsi="仿宋" w:eastAsia="仿宋" w:cs="仿宋"/>
          <w:bCs/>
          <w:color w:val="auto"/>
          <w:sz w:val="24"/>
          <w:szCs w:val="24"/>
        </w:rPr>
        <w:t>投标人应根据要求报价，报价单中不得漏填项目。</w:t>
      </w:r>
    </w:p>
    <w:p w14:paraId="0F8C9DDF">
      <w:pPr>
        <w:pStyle w:val="32"/>
        <w:spacing w:line="360" w:lineRule="auto"/>
        <w:ind w:firstLine="480" w:firstLineChars="200"/>
        <w:jc w:val="left"/>
        <w:outlineLvl w:val="9"/>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rPr>
        <w:t>6.投标文件的</w:t>
      </w:r>
      <w:r>
        <w:rPr>
          <w:rFonts w:hint="eastAsia" w:ascii="仿宋" w:hAnsi="仿宋" w:eastAsia="仿宋" w:cs="仿宋"/>
          <w:bCs/>
          <w:color w:val="auto"/>
          <w:sz w:val="24"/>
          <w:szCs w:val="24"/>
          <w:lang w:val="en-US" w:eastAsia="zh-CN"/>
        </w:rPr>
        <w:t>要求</w:t>
      </w:r>
    </w:p>
    <w:p w14:paraId="3C1153CC">
      <w:pPr>
        <w:pStyle w:val="32"/>
        <w:spacing w:line="360" w:lineRule="auto"/>
        <w:ind w:firstLine="480" w:firstLineChars="200"/>
        <w:jc w:val="left"/>
        <w:outlineLvl w:val="9"/>
        <w:rPr>
          <w:rFonts w:hint="eastAsia" w:ascii="仿宋" w:hAnsi="仿宋" w:eastAsia="仿宋" w:cs="仿宋"/>
          <w:bCs/>
          <w:color w:val="auto"/>
          <w:sz w:val="24"/>
          <w:szCs w:val="24"/>
          <w:lang w:eastAsia="zh-CN"/>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1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⑴</w:t>
      </w:r>
      <w:r>
        <w:rPr>
          <w:rFonts w:hint="eastAsia" w:ascii="仿宋" w:hAnsi="仿宋" w:eastAsia="仿宋" w:cs="仿宋"/>
          <w:color w:val="auto"/>
          <w:sz w:val="24"/>
          <w:szCs w:val="24"/>
        </w:rPr>
        <w:fldChar w:fldCharType="end"/>
      </w:r>
      <w:r>
        <w:rPr>
          <w:rFonts w:hint="eastAsia" w:ascii="仿宋" w:hAnsi="仿宋" w:eastAsia="仿宋" w:cs="仿宋"/>
          <w:bCs/>
          <w:color w:val="auto"/>
          <w:sz w:val="24"/>
          <w:szCs w:val="24"/>
        </w:rPr>
        <w:t>投标人应按本</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规定份数上传投标文件</w:t>
      </w:r>
      <w:r>
        <w:rPr>
          <w:rFonts w:hint="eastAsia" w:ascii="仿宋" w:hAnsi="仿宋" w:eastAsia="仿宋" w:cs="仿宋"/>
          <w:bCs/>
          <w:color w:val="auto"/>
          <w:sz w:val="24"/>
          <w:szCs w:val="24"/>
          <w:lang w:eastAsia="zh-CN"/>
        </w:rPr>
        <w:t>。</w:t>
      </w:r>
    </w:p>
    <w:p w14:paraId="1BC4AF36">
      <w:pPr>
        <w:pStyle w:val="32"/>
        <w:spacing w:line="360" w:lineRule="auto"/>
        <w:ind w:firstLine="480" w:firstLineChars="200"/>
        <w:jc w:val="left"/>
        <w:outlineLvl w:val="9"/>
        <w:rPr>
          <w:rFonts w:hint="eastAsia"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2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⑵</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投标人应根据</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要求，在投标文件适当的位置填写投标人全称并加盖印章，同时签署投标人代表的全名。投标文件必须由投标人代表签字或盖章。</w:t>
      </w:r>
    </w:p>
    <w:p w14:paraId="0BF7C37E">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3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⑶</w:t>
      </w:r>
      <w:r>
        <w:rPr>
          <w:rFonts w:hint="eastAsia" w:ascii="仿宋" w:hAnsi="仿宋" w:eastAsia="仿宋" w:cs="仿宋"/>
          <w:color w:val="auto"/>
          <w:sz w:val="24"/>
          <w:szCs w:val="24"/>
        </w:rPr>
        <w:fldChar w:fldCharType="end"/>
      </w:r>
      <w:r>
        <w:rPr>
          <w:rFonts w:hint="eastAsia" w:ascii="仿宋" w:hAnsi="仿宋" w:eastAsia="仿宋" w:cs="仿宋"/>
          <w:bCs/>
          <w:color w:val="auto"/>
          <w:sz w:val="24"/>
          <w:szCs w:val="24"/>
        </w:rPr>
        <w:t>投标文件不得涂改和增删，如有修改错漏处，必须由同一投标人加盖公章。</w:t>
      </w:r>
    </w:p>
    <w:p w14:paraId="1ACA7E22">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4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⑷</w:t>
      </w:r>
      <w:r>
        <w:rPr>
          <w:rFonts w:hint="eastAsia" w:ascii="仿宋" w:hAnsi="仿宋" w:eastAsia="仿宋" w:cs="仿宋"/>
          <w:color w:val="auto"/>
          <w:sz w:val="24"/>
          <w:szCs w:val="24"/>
        </w:rPr>
        <w:fldChar w:fldCharType="end"/>
      </w:r>
      <w:r>
        <w:rPr>
          <w:rFonts w:hint="eastAsia" w:ascii="仿宋" w:hAnsi="仿宋" w:eastAsia="仿宋" w:cs="仿宋"/>
          <w:bCs/>
          <w:color w:val="auto"/>
          <w:sz w:val="24"/>
          <w:szCs w:val="24"/>
        </w:rPr>
        <w:t>投标文件因字迹潦草或表达不清所引起的后果由投标人负责。</w:t>
      </w:r>
    </w:p>
    <w:p w14:paraId="26EB749E">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5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⑸</w:t>
      </w:r>
      <w:r>
        <w:rPr>
          <w:rFonts w:hint="eastAsia" w:ascii="仿宋" w:hAnsi="仿宋" w:eastAsia="仿宋" w:cs="仿宋"/>
          <w:color w:val="auto"/>
          <w:sz w:val="24"/>
          <w:szCs w:val="24"/>
        </w:rPr>
        <w:fldChar w:fldCharType="end"/>
      </w:r>
      <w:r>
        <w:rPr>
          <w:rFonts w:hint="eastAsia" w:ascii="仿宋" w:hAnsi="仿宋" w:eastAsia="仿宋" w:cs="仿宋"/>
          <w:bCs/>
          <w:color w:val="auto"/>
          <w:sz w:val="24"/>
          <w:szCs w:val="24"/>
        </w:rPr>
        <w:t>投标文件的签章：投标文件应由投标人</w:t>
      </w:r>
      <w:r>
        <w:rPr>
          <w:rFonts w:hint="eastAsia" w:ascii="仿宋" w:hAnsi="仿宋" w:eastAsia="仿宋" w:cs="仿宋"/>
          <w:bCs/>
          <w:color w:val="auto"/>
          <w:sz w:val="24"/>
          <w:szCs w:val="24"/>
          <w:lang w:eastAsia="zh-CN"/>
        </w:rPr>
        <w:t>法定代表人（负责人）</w:t>
      </w:r>
      <w:r>
        <w:rPr>
          <w:rFonts w:hint="eastAsia" w:ascii="仿宋" w:hAnsi="仿宋" w:eastAsia="仿宋" w:cs="仿宋"/>
          <w:bCs/>
          <w:color w:val="auto"/>
          <w:sz w:val="24"/>
          <w:szCs w:val="24"/>
        </w:rPr>
        <w:t>或其授权代表签字（或盖章），并加盖投标人电子签章。投标人均应使用CA数字证书加盖投标人的单位电子印章、</w:t>
      </w:r>
      <w:r>
        <w:rPr>
          <w:rFonts w:hint="eastAsia" w:ascii="仿宋" w:hAnsi="仿宋" w:eastAsia="仿宋" w:cs="仿宋"/>
          <w:bCs/>
          <w:color w:val="auto"/>
          <w:sz w:val="24"/>
          <w:szCs w:val="24"/>
          <w:lang w:eastAsia="zh-CN"/>
        </w:rPr>
        <w:t>法定代表人（负责人）</w:t>
      </w:r>
      <w:r>
        <w:rPr>
          <w:rFonts w:hint="eastAsia" w:ascii="仿宋" w:hAnsi="仿宋" w:eastAsia="仿宋" w:cs="仿宋"/>
          <w:bCs/>
          <w:color w:val="auto"/>
          <w:sz w:val="24"/>
          <w:szCs w:val="24"/>
        </w:rPr>
        <w:t>个人电子印章，上传至衢州市阳光交易服务平台，作为投标文件正本，其余详见投标人须知前附表。</w:t>
      </w:r>
    </w:p>
    <w:p w14:paraId="135176A7">
      <w:pPr>
        <w:pStyle w:val="32"/>
        <w:tabs>
          <w:tab w:val="left" w:pos="0"/>
        </w:tabs>
        <w:spacing w:line="360" w:lineRule="auto"/>
        <w:ind w:firstLine="482" w:firstLineChars="200"/>
        <w:jc w:val="left"/>
        <w:outlineLvl w:val="9"/>
        <w:rPr>
          <w:rFonts w:ascii="仿宋" w:hAnsi="仿宋" w:eastAsia="仿宋" w:cs="仿宋"/>
          <w:b/>
          <w:color w:val="auto"/>
          <w:sz w:val="24"/>
          <w:szCs w:val="24"/>
        </w:rPr>
      </w:pPr>
      <w:bookmarkStart w:id="49" w:name="_Toc8305"/>
      <w:bookmarkStart w:id="50" w:name="_Toc24664"/>
      <w:bookmarkStart w:id="51" w:name="_Toc30648"/>
      <w:r>
        <w:rPr>
          <w:rFonts w:hint="eastAsia" w:ascii="仿宋" w:hAnsi="仿宋" w:eastAsia="仿宋" w:cs="仿宋"/>
          <w:b/>
          <w:color w:val="auto"/>
          <w:sz w:val="24"/>
          <w:szCs w:val="24"/>
          <w:lang w:eastAsia="zh-CN"/>
        </w:rPr>
        <w:t>（</w:t>
      </w:r>
      <w:r>
        <w:rPr>
          <w:rFonts w:hint="eastAsia" w:ascii="仿宋" w:hAnsi="仿宋" w:eastAsia="仿宋" w:cs="仿宋"/>
          <w:b/>
          <w:color w:val="auto"/>
          <w:sz w:val="24"/>
          <w:szCs w:val="24"/>
          <w:lang w:val="en-US" w:eastAsia="zh-CN"/>
        </w:rPr>
        <w:t>四</w:t>
      </w:r>
      <w:r>
        <w:rPr>
          <w:rFonts w:hint="eastAsia" w:ascii="仿宋" w:hAnsi="仿宋" w:eastAsia="仿宋" w:cs="仿宋"/>
          <w:b/>
          <w:color w:val="auto"/>
          <w:sz w:val="24"/>
          <w:szCs w:val="24"/>
          <w:lang w:eastAsia="zh-CN"/>
        </w:rPr>
        <w:t>）</w:t>
      </w:r>
      <w:r>
        <w:rPr>
          <w:rFonts w:hint="eastAsia" w:ascii="仿宋" w:hAnsi="仿宋" w:eastAsia="仿宋" w:cs="仿宋"/>
          <w:b/>
          <w:color w:val="auto"/>
          <w:sz w:val="24"/>
          <w:szCs w:val="24"/>
        </w:rPr>
        <w:t>投标有效期</w:t>
      </w:r>
      <w:bookmarkEnd w:id="49"/>
      <w:bookmarkEnd w:id="50"/>
      <w:bookmarkEnd w:id="51"/>
    </w:p>
    <w:p w14:paraId="4DB8788C">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1.投标有效期见本</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中前附表所规定的期限，在此期限内，凡符合</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要求的投标文件均保持有效。</w:t>
      </w:r>
    </w:p>
    <w:p w14:paraId="04884EC6">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2.在特殊情况下，</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在原定投标有效期内，可以根据需要以书面形式向投标人提出延长投标有效期的要求，对此要求投标人须以书面形式予以答复。投标人可以拒绝投标</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这种要求，但同意延长投标有效期的投标人既不能要求也不允许修改其投标文件。</w:t>
      </w:r>
    </w:p>
    <w:p w14:paraId="407EE269">
      <w:pPr>
        <w:pStyle w:val="32"/>
        <w:spacing w:line="360" w:lineRule="auto"/>
        <w:ind w:firstLine="482" w:firstLineChars="200"/>
        <w:jc w:val="left"/>
        <w:outlineLvl w:val="9"/>
        <w:rPr>
          <w:rFonts w:ascii="仿宋" w:hAnsi="仿宋" w:eastAsia="仿宋" w:cs="仿宋"/>
          <w:b/>
          <w:color w:val="auto"/>
          <w:sz w:val="24"/>
          <w:szCs w:val="24"/>
        </w:rPr>
      </w:pPr>
      <w:bookmarkStart w:id="52" w:name="_Toc21844"/>
      <w:bookmarkStart w:id="53" w:name="_Toc26656"/>
      <w:bookmarkStart w:id="54" w:name="_Toc30678"/>
      <w:bookmarkStart w:id="55" w:name="_Toc6494380"/>
      <w:bookmarkStart w:id="56" w:name="_Toc91899892"/>
      <w:r>
        <w:rPr>
          <w:rFonts w:hint="eastAsia" w:ascii="仿宋" w:hAnsi="仿宋" w:eastAsia="仿宋" w:cs="仿宋"/>
          <w:b/>
          <w:color w:val="auto"/>
          <w:sz w:val="24"/>
          <w:szCs w:val="24"/>
          <w:lang w:eastAsia="zh-CN"/>
        </w:rPr>
        <w:t>（</w:t>
      </w:r>
      <w:r>
        <w:rPr>
          <w:rFonts w:hint="eastAsia" w:ascii="仿宋" w:hAnsi="仿宋" w:eastAsia="仿宋" w:cs="仿宋"/>
          <w:b/>
          <w:color w:val="auto"/>
          <w:sz w:val="24"/>
          <w:szCs w:val="24"/>
          <w:lang w:val="en-US" w:eastAsia="zh-CN"/>
        </w:rPr>
        <w:t>五</w:t>
      </w:r>
      <w:r>
        <w:rPr>
          <w:rFonts w:hint="eastAsia" w:ascii="仿宋" w:hAnsi="仿宋" w:eastAsia="仿宋" w:cs="仿宋"/>
          <w:b/>
          <w:color w:val="auto"/>
          <w:sz w:val="24"/>
          <w:szCs w:val="24"/>
          <w:lang w:eastAsia="zh-CN"/>
        </w:rPr>
        <w:t>）</w:t>
      </w:r>
      <w:r>
        <w:rPr>
          <w:rFonts w:hint="eastAsia" w:ascii="仿宋" w:hAnsi="仿宋" w:eastAsia="仿宋" w:cs="仿宋"/>
          <w:b/>
          <w:color w:val="auto"/>
          <w:sz w:val="24"/>
          <w:szCs w:val="24"/>
        </w:rPr>
        <w:t>投标响应</w:t>
      </w:r>
      <w:bookmarkEnd w:id="52"/>
      <w:bookmarkEnd w:id="53"/>
      <w:bookmarkEnd w:id="54"/>
    </w:p>
    <w:bookmarkEnd w:id="55"/>
    <w:p w14:paraId="23359C5C">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1.投标文件的上传和递交</w:t>
      </w:r>
    </w:p>
    <w:p w14:paraId="78D91A1D">
      <w:pPr>
        <w:pStyle w:val="32"/>
        <w:wordWrap w:val="0"/>
        <w:spacing w:line="360" w:lineRule="auto"/>
        <w:ind w:firstLine="480" w:firstLineChars="200"/>
        <w:jc w:val="left"/>
        <w:outlineLvl w:val="9"/>
        <w:rPr>
          <w:rFonts w:ascii="仿宋" w:hAnsi="仿宋" w:eastAsia="仿宋" w:cs="仿宋"/>
          <w:color w:val="auto"/>
          <w:sz w:val="24"/>
          <w:szCs w:val="24"/>
          <w:lang w:bidi="ar"/>
        </w:rPr>
      </w:pPr>
      <w:r>
        <w:rPr>
          <w:rFonts w:hint="eastAsia" w:ascii="仿宋" w:hAnsi="仿宋" w:eastAsia="仿宋" w:cs="仿宋"/>
          <w:bCs/>
          <w:color w:val="auto"/>
          <w:sz w:val="24"/>
          <w:szCs w:val="24"/>
        </w:rPr>
        <w:t>⑴投标人应在投标文件截止时间前</w:t>
      </w:r>
      <w:r>
        <w:rPr>
          <w:rFonts w:hint="eastAsia" w:ascii="仿宋" w:hAnsi="仿宋" w:eastAsia="仿宋" w:cs="仿宋"/>
          <w:color w:val="auto"/>
          <w:sz w:val="24"/>
          <w:szCs w:val="24"/>
          <w:lang w:bidi="ar"/>
        </w:rPr>
        <w:t>（以上传完成时间为准）将由制作工具制作生成的</w:t>
      </w:r>
      <w:r>
        <w:rPr>
          <w:rFonts w:hint="eastAsia" w:ascii="仿宋" w:hAnsi="仿宋" w:eastAsia="仿宋" w:cs="仿宋"/>
          <w:bCs/>
          <w:color w:val="auto"/>
          <w:sz w:val="24"/>
          <w:szCs w:val="24"/>
        </w:rPr>
        <w:t>电子加密投标文件</w:t>
      </w:r>
      <w:r>
        <w:rPr>
          <w:rFonts w:hint="eastAsia" w:ascii="仿宋" w:hAnsi="仿宋" w:eastAsia="仿宋" w:cs="仿宋"/>
          <w:color w:val="auto"/>
          <w:sz w:val="24"/>
          <w:szCs w:val="24"/>
          <w:lang w:bidi="ar"/>
        </w:rPr>
        <w:t>（.QZCGTF）</w:t>
      </w:r>
      <w:r>
        <w:rPr>
          <w:rFonts w:hint="eastAsia" w:ascii="仿宋" w:hAnsi="仿宋" w:eastAsia="仿宋" w:cs="仿宋"/>
          <w:bCs/>
          <w:color w:val="auto"/>
          <w:sz w:val="24"/>
          <w:szCs w:val="24"/>
        </w:rPr>
        <w:t>成功上传递交至</w:t>
      </w:r>
      <w:r>
        <w:rPr>
          <w:rFonts w:hint="eastAsia" w:ascii="仿宋" w:hAnsi="仿宋" w:eastAsia="仿宋" w:cs="仿宋"/>
          <w:color w:val="auto"/>
          <w:sz w:val="24"/>
          <w:szCs w:val="24"/>
          <w:lang w:bidi="ar"/>
        </w:rPr>
        <w:t>衢州市阳光交易服务平台（https://qzygjy.com/TPBidder/memberLogin?type=13），</w:t>
      </w:r>
      <w:r>
        <w:rPr>
          <w:rFonts w:hint="eastAsia" w:ascii="仿宋" w:hAnsi="仿宋" w:eastAsia="仿宋" w:cs="仿宋"/>
          <w:bCs/>
          <w:color w:val="auto"/>
          <w:sz w:val="24"/>
          <w:szCs w:val="24"/>
        </w:rPr>
        <w:t>否则投标无效。</w:t>
      </w:r>
    </w:p>
    <w:p w14:paraId="21E285CB">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2.投标文件的修改与撤回</w:t>
      </w:r>
    </w:p>
    <w:p w14:paraId="22E5A0CC">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⑴投标人应当在开标响应截止时间前完成投标文件的上传、递交，并可以补充、修改或者撤回投标文件。补充或者修改投标文件的，应当先行撤回原文件，补充、修改后重新上传、递交。开标响应截止时间前未完成上传、递交的，视为撤回投标文件。开标响应截止时间后递交的投标文件，“衢州市阳光交易服务平台”将予以拒收。</w:t>
      </w:r>
    </w:p>
    <w:p w14:paraId="2E83CF9B">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⑵开标响应截止时间后，投标人不得撤回、修改《投标文件》。</w:t>
      </w:r>
    </w:p>
    <w:bookmarkEnd w:id="56"/>
    <w:p w14:paraId="732D8A24">
      <w:pPr>
        <w:pStyle w:val="32"/>
        <w:spacing w:line="360" w:lineRule="auto"/>
        <w:ind w:firstLine="482" w:firstLineChars="200"/>
        <w:jc w:val="left"/>
        <w:outlineLvl w:val="9"/>
        <w:rPr>
          <w:rFonts w:ascii="仿宋" w:hAnsi="仿宋" w:eastAsia="仿宋" w:cs="仿宋"/>
          <w:b/>
          <w:color w:val="auto"/>
          <w:sz w:val="24"/>
          <w:szCs w:val="24"/>
        </w:rPr>
      </w:pPr>
      <w:bookmarkStart w:id="57" w:name="_Toc233618976"/>
      <w:bookmarkStart w:id="58" w:name="_Toc91899897"/>
      <w:bookmarkStart w:id="59" w:name="_Toc6494381"/>
      <w:r>
        <w:rPr>
          <w:rFonts w:hint="eastAsia" w:ascii="仿宋" w:hAnsi="仿宋" w:eastAsia="仿宋" w:cs="仿宋"/>
          <w:b/>
          <w:color w:val="auto"/>
          <w:sz w:val="24"/>
          <w:szCs w:val="24"/>
          <w:lang w:eastAsia="zh-CN"/>
        </w:rPr>
        <w:t>（</w:t>
      </w:r>
      <w:r>
        <w:rPr>
          <w:rFonts w:hint="eastAsia" w:ascii="仿宋" w:hAnsi="仿宋" w:eastAsia="仿宋" w:cs="仿宋"/>
          <w:b/>
          <w:color w:val="auto"/>
          <w:sz w:val="24"/>
          <w:szCs w:val="24"/>
          <w:lang w:val="en-US" w:eastAsia="zh-CN"/>
        </w:rPr>
        <w:t>六</w:t>
      </w:r>
      <w:r>
        <w:rPr>
          <w:rFonts w:hint="eastAsia" w:ascii="仿宋" w:hAnsi="仿宋" w:eastAsia="仿宋" w:cs="仿宋"/>
          <w:b/>
          <w:color w:val="auto"/>
          <w:sz w:val="24"/>
          <w:szCs w:val="24"/>
          <w:lang w:eastAsia="zh-CN"/>
        </w:rPr>
        <w:t>）</w:t>
      </w:r>
      <w:r>
        <w:rPr>
          <w:rFonts w:hint="eastAsia" w:ascii="仿宋" w:hAnsi="仿宋" w:eastAsia="仿宋" w:cs="仿宋"/>
          <w:b/>
          <w:color w:val="auto"/>
          <w:sz w:val="24"/>
          <w:szCs w:val="24"/>
        </w:rPr>
        <w:t>开标程序</w:t>
      </w:r>
    </w:p>
    <w:bookmarkEnd w:id="57"/>
    <w:bookmarkEnd w:id="58"/>
    <w:bookmarkEnd w:id="59"/>
    <w:p w14:paraId="0E10414E">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1.开标形式</w:t>
      </w:r>
    </w:p>
    <w:p w14:paraId="29A98753">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lang w:eastAsia="zh-CN"/>
        </w:rPr>
        <w:t>招标代理机构</w:t>
      </w:r>
      <w:r>
        <w:rPr>
          <w:rFonts w:hint="eastAsia" w:ascii="仿宋" w:hAnsi="仿宋" w:eastAsia="仿宋" w:cs="仿宋"/>
          <w:bCs/>
          <w:color w:val="auto"/>
          <w:sz w:val="24"/>
          <w:szCs w:val="24"/>
        </w:rPr>
        <w:t>将按照</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规定的时间通过“衢州市阳光交易服务平台”组织开标、开启投标文件，所有投标人均应当准时在线参加。</w:t>
      </w:r>
    </w:p>
    <w:p w14:paraId="75489C8C">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2.开标准备</w:t>
      </w:r>
    </w:p>
    <w:p w14:paraId="45EC88D2">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⑴开标的准备工作由</w:t>
      </w:r>
      <w:r>
        <w:rPr>
          <w:rFonts w:hint="eastAsia" w:ascii="仿宋" w:hAnsi="仿宋" w:eastAsia="仿宋" w:cs="仿宋"/>
          <w:bCs/>
          <w:color w:val="auto"/>
          <w:sz w:val="24"/>
          <w:szCs w:val="24"/>
          <w:lang w:eastAsia="zh-CN"/>
        </w:rPr>
        <w:t>招标代理机构</w:t>
      </w:r>
      <w:r>
        <w:rPr>
          <w:rFonts w:hint="eastAsia" w:ascii="仿宋" w:hAnsi="仿宋" w:eastAsia="仿宋" w:cs="仿宋"/>
          <w:bCs/>
          <w:color w:val="auto"/>
          <w:sz w:val="24"/>
          <w:szCs w:val="24"/>
        </w:rPr>
        <w:t>负责落实</w:t>
      </w:r>
      <w:r>
        <w:rPr>
          <w:rFonts w:hint="eastAsia" w:ascii="仿宋" w:hAnsi="仿宋" w:eastAsia="仿宋" w:cs="仿宋"/>
          <w:bCs/>
          <w:color w:val="auto"/>
          <w:sz w:val="24"/>
          <w:szCs w:val="24"/>
          <w:lang w:eastAsia="zh-CN"/>
        </w:rPr>
        <w:t>。</w:t>
      </w:r>
    </w:p>
    <w:p w14:paraId="07CE2DDE">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⑵</w:t>
      </w:r>
      <w:r>
        <w:rPr>
          <w:rFonts w:hint="eastAsia" w:ascii="仿宋" w:hAnsi="仿宋" w:eastAsia="仿宋" w:cs="仿宋"/>
          <w:bCs/>
          <w:color w:val="auto"/>
          <w:sz w:val="24"/>
          <w:szCs w:val="24"/>
          <w:lang w:eastAsia="zh-CN"/>
        </w:rPr>
        <w:t>招标代理机构</w:t>
      </w:r>
      <w:r>
        <w:rPr>
          <w:rFonts w:hint="eastAsia" w:ascii="仿宋" w:hAnsi="仿宋" w:eastAsia="仿宋" w:cs="仿宋"/>
          <w:bCs/>
          <w:color w:val="auto"/>
          <w:sz w:val="24"/>
          <w:szCs w:val="24"/>
        </w:rPr>
        <w:t>将按照</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规定的时间通过“衢州市阳光交易服务平台”组织开标、开启投标文件，所有投标人均应当准时在线参加。投标人如不参加开标的，视同认可开标结果，事后不得对采购相关人员、招标过程和开标结果提出异议，同时投标人因未在线参加开标而导致投标文件无法按时解密等一切后果由投标人自己承担。</w:t>
      </w:r>
    </w:p>
    <w:p w14:paraId="0BD1AC19">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3.开标原则</w:t>
      </w:r>
    </w:p>
    <w:p w14:paraId="6D4E8FAF">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1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⑴</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lang w:eastAsia="zh-CN"/>
        </w:rPr>
        <w:t>招标代理机构</w:t>
      </w:r>
      <w:r>
        <w:rPr>
          <w:rFonts w:hint="eastAsia" w:ascii="仿宋" w:hAnsi="仿宋" w:eastAsia="仿宋" w:cs="仿宋"/>
          <w:bCs/>
          <w:color w:val="auto"/>
          <w:sz w:val="24"/>
          <w:szCs w:val="24"/>
        </w:rPr>
        <w:t>按本</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投标人须知前附表规定的时间和地点开标，投标人未准时参加电子开标的，不得对采购相关人员、开标过程及结果提出异议。</w:t>
      </w:r>
    </w:p>
    <w:p w14:paraId="0A8CB07D">
      <w:pPr>
        <w:pStyle w:val="32"/>
        <w:spacing w:line="360" w:lineRule="auto"/>
        <w:ind w:firstLine="480" w:firstLineChars="200"/>
        <w:jc w:val="left"/>
        <w:outlineLvl w:val="9"/>
        <w:rPr>
          <w:color w:val="auto"/>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2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⑵</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开标时出现的无效</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，不予评标。</w:t>
      </w:r>
    </w:p>
    <w:p w14:paraId="6D8AE48B">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3.开标流程</w:t>
      </w:r>
    </w:p>
    <w:p w14:paraId="575E56FB">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⑴至投标截止时间</w:t>
      </w:r>
    </w:p>
    <w:p w14:paraId="32C6E13A">
      <w:pPr>
        <w:pStyle w:val="32"/>
        <w:spacing w:line="360" w:lineRule="auto"/>
        <w:ind w:firstLine="480" w:firstLineChars="200"/>
        <w:jc w:val="left"/>
        <w:outlineLvl w:val="9"/>
        <w:rPr>
          <w:color w:val="auto"/>
        </w:rPr>
      </w:pPr>
      <w:r>
        <w:rPr>
          <w:rFonts w:hint="eastAsia" w:ascii="仿宋" w:hAnsi="仿宋" w:eastAsia="仿宋" w:cs="仿宋"/>
          <w:bCs/>
          <w:color w:val="auto"/>
          <w:sz w:val="24"/>
          <w:szCs w:val="24"/>
          <w:lang w:eastAsia="zh-CN"/>
        </w:rPr>
        <w:t>招标代理机构</w:t>
      </w:r>
      <w:r>
        <w:rPr>
          <w:rFonts w:hint="eastAsia" w:ascii="仿宋" w:hAnsi="仿宋" w:eastAsia="仿宋" w:cs="仿宋"/>
          <w:bCs/>
          <w:color w:val="auto"/>
          <w:sz w:val="24"/>
          <w:szCs w:val="24"/>
        </w:rPr>
        <w:t>（或公证处工作人员）宣布开始开标，宣布开标项目名称等情况，公布在投标截止时间前受理的投标文件的投标人名称</w:t>
      </w:r>
      <w:r>
        <w:rPr>
          <w:rFonts w:hint="eastAsia" w:ascii="仿宋" w:hAnsi="仿宋" w:eastAsia="仿宋" w:cs="仿宋"/>
          <w:bCs/>
          <w:color w:val="auto"/>
          <w:sz w:val="24"/>
          <w:szCs w:val="24"/>
          <w:lang w:eastAsia="zh-CN"/>
        </w:rPr>
        <w:t>。</w:t>
      </w:r>
    </w:p>
    <w:p w14:paraId="5637423A">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⑵投标人解密</w:t>
      </w:r>
    </w:p>
    <w:p w14:paraId="04C89886">
      <w:pPr>
        <w:pStyle w:val="32"/>
        <w:wordWrap w:val="0"/>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投标人解密时间：</w:t>
      </w:r>
      <w:r>
        <w:rPr>
          <w:rFonts w:hint="eastAsia" w:ascii="仿宋" w:hAnsi="仿宋" w:eastAsia="仿宋" w:cs="仿宋"/>
          <w:color w:val="auto"/>
          <w:sz w:val="24"/>
          <w:szCs w:val="24"/>
        </w:rPr>
        <w:t>投标文件开启时间到后，</w:t>
      </w:r>
      <w:r>
        <w:rPr>
          <w:rFonts w:hint="eastAsia" w:ascii="仿宋" w:hAnsi="仿宋" w:eastAsia="仿宋" w:cs="仿宋"/>
          <w:bCs/>
          <w:color w:val="auto"/>
          <w:sz w:val="24"/>
          <w:szCs w:val="24"/>
          <w:lang w:eastAsia="zh-CN"/>
        </w:rPr>
        <w:t>招标代理机构</w:t>
      </w:r>
      <w:r>
        <w:rPr>
          <w:rFonts w:hint="eastAsia" w:ascii="仿宋" w:hAnsi="仿宋" w:eastAsia="仿宋" w:cs="仿宋"/>
          <w:bCs/>
          <w:color w:val="auto"/>
          <w:sz w:val="24"/>
          <w:szCs w:val="24"/>
        </w:rPr>
        <w:t>（或公证处工作人员）</w:t>
      </w:r>
      <w:r>
        <w:rPr>
          <w:rFonts w:hint="eastAsia" w:ascii="仿宋" w:hAnsi="仿宋" w:eastAsia="仿宋" w:cs="仿宋"/>
          <w:color w:val="auto"/>
          <w:sz w:val="24"/>
          <w:szCs w:val="24"/>
        </w:rPr>
        <w:t>宣布开始解密，30分钟内投标人应完成投标文件的解密。投标人解密方式：投标人自行登录衢州市阳光交易服务平台不见面开标大厅（https://qzygjy.com/BidOpening/bidopeninghallaction/hall/login）——投标人身份——我的项目——选择标段——待代理开启解密后进行解密操作，投标人在规定的时间内都已完成解密，则系统自动结束解密；投标人因自身原因未在规定时间内完成解密，则默认自动放弃。</w:t>
      </w:r>
      <w:r>
        <w:rPr>
          <w:rFonts w:hint="eastAsia" w:ascii="仿宋" w:hAnsi="仿宋" w:eastAsia="仿宋" w:cs="仿宋"/>
          <w:color w:val="auto"/>
          <w:sz w:val="24"/>
          <w:szCs w:val="24"/>
          <w:lang w:eastAsia="zh-CN"/>
        </w:rPr>
        <w:t>招标代理机构</w:t>
      </w:r>
      <w:r>
        <w:rPr>
          <w:rFonts w:hint="eastAsia" w:ascii="仿宋" w:hAnsi="仿宋" w:eastAsia="仿宋" w:cs="仿宋"/>
          <w:color w:val="auto"/>
          <w:sz w:val="24"/>
          <w:szCs w:val="24"/>
        </w:rPr>
        <w:t>导入投标文件成功后进入评标流程。</w:t>
      </w:r>
    </w:p>
    <w:p w14:paraId="28346A45">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⑶投标人使用生成电子加密投标文件的CA数字证书解密投标文件</w:t>
      </w:r>
      <w:r>
        <w:rPr>
          <w:rFonts w:hint="eastAsia" w:ascii="仿宋" w:hAnsi="仿宋" w:eastAsia="仿宋" w:cs="仿宋"/>
          <w:bCs/>
          <w:color w:val="auto"/>
          <w:sz w:val="24"/>
          <w:szCs w:val="24"/>
          <w:lang w:eastAsia="zh-CN"/>
        </w:rPr>
        <w:t>。</w:t>
      </w:r>
    </w:p>
    <w:p w14:paraId="01A1E500">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⑷</w:t>
      </w:r>
      <w:r>
        <w:rPr>
          <w:rFonts w:hint="eastAsia" w:ascii="仿宋" w:hAnsi="仿宋" w:eastAsia="仿宋" w:cs="仿宋"/>
          <w:bCs/>
          <w:color w:val="auto"/>
          <w:sz w:val="24"/>
          <w:szCs w:val="24"/>
          <w:lang w:eastAsia="zh-CN"/>
        </w:rPr>
        <w:t>投标文件</w:t>
      </w:r>
      <w:r>
        <w:rPr>
          <w:rFonts w:hint="eastAsia" w:ascii="仿宋" w:hAnsi="仿宋" w:eastAsia="仿宋" w:cs="仿宋"/>
          <w:bCs/>
          <w:color w:val="auto"/>
          <w:sz w:val="24"/>
          <w:szCs w:val="24"/>
        </w:rPr>
        <w:t>解密完成后，开标系统公布投标人名称及其他内容。投标报价将在</w:t>
      </w:r>
      <w:r>
        <w:rPr>
          <w:rFonts w:hint="eastAsia" w:ascii="仿宋" w:hAnsi="仿宋" w:eastAsia="仿宋" w:cs="仿宋"/>
          <w:bCs/>
          <w:color w:val="auto"/>
          <w:sz w:val="24"/>
          <w:szCs w:val="24"/>
          <w:lang w:eastAsia="zh-CN"/>
        </w:rPr>
        <w:t>技术商务文件</w:t>
      </w:r>
      <w:r>
        <w:rPr>
          <w:rFonts w:hint="eastAsia" w:ascii="仿宋" w:hAnsi="仿宋" w:eastAsia="仿宋" w:cs="仿宋"/>
          <w:bCs/>
          <w:color w:val="auto"/>
          <w:sz w:val="24"/>
          <w:szCs w:val="24"/>
        </w:rPr>
        <w:t>评审结束后公布。</w:t>
      </w:r>
    </w:p>
    <w:p w14:paraId="71CED311">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⑸进入评标环节，首先对解密成功的投标人进行资格审查，然后对通过资格审查的投标人进行</w:t>
      </w:r>
      <w:r>
        <w:rPr>
          <w:rFonts w:hint="eastAsia" w:ascii="仿宋" w:hAnsi="仿宋" w:eastAsia="仿宋" w:cs="仿宋"/>
          <w:bCs/>
          <w:color w:val="auto"/>
          <w:sz w:val="24"/>
          <w:szCs w:val="24"/>
          <w:lang w:eastAsia="zh-CN"/>
        </w:rPr>
        <w:t>技术商务文件</w:t>
      </w:r>
      <w:r>
        <w:rPr>
          <w:rFonts w:hint="eastAsia" w:ascii="仿宋" w:hAnsi="仿宋" w:eastAsia="仿宋" w:cs="仿宋"/>
          <w:bCs/>
          <w:color w:val="auto"/>
          <w:sz w:val="24"/>
          <w:szCs w:val="24"/>
        </w:rPr>
        <w:t>评审，公布</w:t>
      </w:r>
      <w:r>
        <w:rPr>
          <w:rFonts w:hint="eastAsia" w:ascii="仿宋" w:hAnsi="仿宋" w:eastAsia="仿宋" w:cs="仿宋"/>
          <w:bCs/>
          <w:color w:val="auto"/>
          <w:sz w:val="24"/>
          <w:szCs w:val="24"/>
          <w:lang w:eastAsia="zh-CN"/>
        </w:rPr>
        <w:t>技术商务文件</w:t>
      </w:r>
      <w:r>
        <w:rPr>
          <w:rFonts w:hint="eastAsia" w:ascii="仿宋" w:hAnsi="仿宋" w:eastAsia="仿宋" w:cs="仿宋"/>
          <w:bCs/>
          <w:color w:val="auto"/>
          <w:sz w:val="24"/>
          <w:szCs w:val="24"/>
        </w:rPr>
        <w:t>得分情况。</w:t>
      </w:r>
    </w:p>
    <w:p w14:paraId="5CA94FF3">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⑹投标人确认</w:t>
      </w:r>
    </w:p>
    <w:p w14:paraId="1A4EC250">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唱标完成后，投标人可通过衢州市阳光交易服务平台不见面开标大厅系统对唱标结果进行确认，未在开标结束前完成在线确认的投标人，衢州市阳光交易服务平台不见面开标大厅系统将视作自动确认。</w:t>
      </w:r>
    </w:p>
    <w:p w14:paraId="06C5D844">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投标人对开标过程有异议的，应通过衢州市阳光交易服务平台不见面开标大厅系统的“开标异议文字提问”按钮进行异议，</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通过衢州市阳光交易服务平台不见面开标大厅系统文字答复，投标人提出异议的时间截止至开标结果公布后5分钟。</w:t>
      </w:r>
    </w:p>
    <w:p w14:paraId="5774FE91">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⑺评标结束后，</w:t>
      </w:r>
      <w:r>
        <w:rPr>
          <w:rFonts w:hint="eastAsia" w:ascii="仿宋" w:hAnsi="仿宋" w:eastAsia="仿宋" w:cs="仿宋"/>
          <w:bCs/>
          <w:color w:val="auto"/>
          <w:sz w:val="24"/>
          <w:szCs w:val="24"/>
          <w:lang w:eastAsia="zh-CN"/>
        </w:rPr>
        <w:t>招标代理机构</w:t>
      </w:r>
      <w:r>
        <w:rPr>
          <w:rFonts w:hint="eastAsia" w:ascii="仿宋" w:hAnsi="仿宋" w:eastAsia="仿宋" w:cs="仿宋"/>
          <w:bCs/>
          <w:color w:val="auto"/>
          <w:sz w:val="24"/>
          <w:szCs w:val="24"/>
        </w:rPr>
        <w:t>（或公证处工作人员）宣布中标候选人。</w:t>
      </w:r>
      <w:r>
        <w:rPr>
          <w:rFonts w:hint="eastAsia" w:ascii="仿宋" w:hAnsi="仿宋" w:eastAsia="仿宋" w:cs="仿宋"/>
          <w:bCs/>
          <w:color w:val="auto"/>
          <w:sz w:val="24"/>
          <w:szCs w:val="24"/>
          <w:lang w:eastAsia="zh-CN"/>
        </w:rPr>
        <w:t>招标代理机构</w:t>
      </w:r>
      <w:r>
        <w:rPr>
          <w:rFonts w:hint="eastAsia" w:ascii="仿宋" w:hAnsi="仿宋" w:eastAsia="仿宋" w:cs="仿宋"/>
          <w:bCs/>
          <w:color w:val="auto"/>
          <w:sz w:val="24"/>
          <w:szCs w:val="24"/>
        </w:rPr>
        <w:t>（或公证处工作人员）宣布开标会议结束。</w:t>
      </w:r>
    </w:p>
    <w:p w14:paraId="253989D4">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4.开标特别说明</w:t>
      </w:r>
    </w:p>
    <w:p w14:paraId="405A92C6">
      <w:pPr>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⑴开标解密使用投标人上传的电子投标文件</w:t>
      </w:r>
      <w:r>
        <w:rPr>
          <w:rFonts w:hint="eastAsia" w:ascii="仿宋" w:hAnsi="仿宋" w:eastAsia="仿宋" w:cs="仿宋"/>
          <w:bCs/>
          <w:color w:val="auto"/>
          <w:sz w:val="24"/>
          <w:szCs w:val="24"/>
          <w:lang w:eastAsia="zh-CN"/>
        </w:rPr>
        <w:t>。</w:t>
      </w:r>
    </w:p>
    <w:p w14:paraId="1A04855E">
      <w:pPr>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 xml:space="preserve">⑵因投标人原因（包括投标人自主选择的CA证书、电脑环境、网络等），造成其电子投标文件未解密的，或投标文件解密了，但投标文件无法识别、读取的，视为撤销其投标文件。 </w:t>
      </w:r>
    </w:p>
    <w:p w14:paraId="09817ECB">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⑶投标人必须使用生成电子投标文件的CA数字证书解密电子投标文件</w:t>
      </w:r>
      <w:r>
        <w:rPr>
          <w:rFonts w:hint="eastAsia" w:ascii="仿宋" w:hAnsi="仿宋" w:eastAsia="仿宋" w:cs="仿宋"/>
          <w:bCs/>
          <w:color w:val="auto"/>
          <w:sz w:val="24"/>
          <w:szCs w:val="24"/>
          <w:lang w:eastAsia="zh-CN"/>
        </w:rPr>
        <w:t>。</w:t>
      </w:r>
    </w:p>
    <w:p w14:paraId="6AB00C06">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特别说明：如遇“衢州市阳光交易服务平台”电子化开标或评标程序调整的，按调整后程序执行。</w:t>
      </w:r>
    </w:p>
    <w:p w14:paraId="0A74BCD8">
      <w:pPr>
        <w:pStyle w:val="32"/>
        <w:spacing w:line="360" w:lineRule="auto"/>
        <w:ind w:firstLine="482" w:firstLineChars="200"/>
        <w:jc w:val="left"/>
        <w:outlineLvl w:val="9"/>
        <w:rPr>
          <w:rFonts w:ascii="仿宋" w:hAnsi="仿宋" w:eastAsia="仿宋" w:cs="仿宋"/>
          <w:b/>
          <w:color w:val="auto"/>
          <w:sz w:val="24"/>
          <w:szCs w:val="24"/>
        </w:rPr>
      </w:pPr>
      <w:bookmarkStart w:id="60" w:name="_Toc771"/>
      <w:bookmarkStart w:id="61" w:name="_Toc33194393"/>
      <w:bookmarkStart w:id="62" w:name="_Toc5796"/>
      <w:bookmarkStart w:id="63" w:name="_Toc24211"/>
      <w:bookmarkStart w:id="64" w:name="_Toc24550037"/>
      <w:r>
        <w:rPr>
          <w:rFonts w:hint="eastAsia" w:ascii="仿宋" w:hAnsi="仿宋" w:eastAsia="仿宋" w:cs="仿宋"/>
          <w:b/>
          <w:color w:val="auto"/>
          <w:sz w:val="24"/>
          <w:szCs w:val="24"/>
          <w:lang w:eastAsia="zh-CN"/>
        </w:rPr>
        <w:t>（</w:t>
      </w:r>
      <w:r>
        <w:rPr>
          <w:rFonts w:hint="eastAsia" w:ascii="仿宋" w:hAnsi="仿宋" w:eastAsia="仿宋" w:cs="仿宋"/>
          <w:b/>
          <w:color w:val="auto"/>
          <w:sz w:val="24"/>
          <w:szCs w:val="24"/>
          <w:lang w:val="en-US" w:eastAsia="zh-CN"/>
        </w:rPr>
        <w:t>七</w:t>
      </w:r>
      <w:r>
        <w:rPr>
          <w:rFonts w:hint="eastAsia" w:ascii="仿宋" w:hAnsi="仿宋" w:eastAsia="仿宋" w:cs="仿宋"/>
          <w:b/>
          <w:color w:val="auto"/>
          <w:sz w:val="24"/>
          <w:szCs w:val="24"/>
          <w:lang w:eastAsia="zh-CN"/>
        </w:rPr>
        <w:t>）</w:t>
      </w:r>
      <w:r>
        <w:rPr>
          <w:rFonts w:hint="eastAsia" w:ascii="仿宋" w:hAnsi="仿宋" w:eastAsia="仿宋" w:cs="仿宋"/>
          <w:b/>
          <w:color w:val="auto"/>
          <w:sz w:val="24"/>
          <w:szCs w:val="24"/>
        </w:rPr>
        <w:t>投标人资格审查</w:t>
      </w:r>
      <w:bookmarkEnd w:id="60"/>
      <w:bookmarkEnd w:id="61"/>
      <w:bookmarkEnd w:id="62"/>
      <w:bookmarkEnd w:id="63"/>
      <w:bookmarkEnd w:id="64"/>
    </w:p>
    <w:p w14:paraId="12386979">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1.评审小组首先依法对各投标人的资格进行审查，审查各投标人的资格是否满足</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的要求。评审小组对投标人所提交的资格证明材料仅负审核的责任。如发现投标人所提交的资格审查文件不合法或与事实不符，</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可取消其中标资格并追究投标人的法律责任。</w:t>
      </w:r>
    </w:p>
    <w:p w14:paraId="48F6ADF8">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2.投标人提交的资格证明材料无法证明其符合</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规定的“投标人资格要求”的，评审小组将对其</w:t>
      </w:r>
      <w:r>
        <w:rPr>
          <w:rFonts w:hint="eastAsia" w:ascii="仿宋" w:hAnsi="仿宋" w:eastAsia="仿宋" w:cs="仿宋"/>
          <w:bCs/>
          <w:color w:val="auto"/>
          <w:sz w:val="24"/>
          <w:szCs w:val="24"/>
          <w:lang w:eastAsia="zh-CN"/>
        </w:rPr>
        <w:t>做</w:t>
      </w:r>
      <w:r>
        <w:rPr>
          <w:rFonts w:hint="eastAsia" w:ascii="仿宋" w:hAnsi="仿宋" w:eastAsia="仿宋" w:cs="仿宋"/>
          <w:bCs/>
          <w:color w:val="auto"/>
          <w:sz w:val="24"/>
          <w:szCs w:val="24"/>
        </w:rPr>
        <w:t>资格审查不通过处理（无效投标），并不再将其投标进行后续评标。</w:t>
      </w:r>
    </w:p>
    <w:p w14:paraId="5C1546BF">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3.单位负责人为同一人或者存在直接控股、管理关系的不同投标人参加同一合同项下的采购活动的，相关投标人均作资格无效处理。</w:t>
      </w:r>
    </w:p>
    <w:p w14:paraId="76A41547">
      <w:pPr>
        <w:pStyle w:val="32"/>
        <w:spacing w:line="360" w:lineRule="auto"/>
        <w:ind w:firstLine="482" w:firstLineChars="200"/>
        <w:jc w:val="left"/>
        <w:outlineLvl w:val="9"/>
        <w:rPr>
          <w:rFonts w:ascii="仿宋" w:hAnsi="仿宋" w:eastAsia="仿宋" w:cs="仿宋"/>
          <w:b/>
          <w:color w:val="auto"/>
          <w:sz w:val="24"/>
          <w:szCs w:val="24"/>
        </w:rPr>
      </w:pPr>
      <w:bookmarkStart w:id="65" w:name="_Toc32498"/>
      <w:bookmarkStart w:id="66" w:name="_Toc17250"/>
      <w:bookmarkStart w:id="67" w:name="_Toc9436"/>
      <w:r>
        <w:rPr>
          <w:rFonts w:hint="eastAsia" w:ascii="仿宋" w:hAnsi="仿宋" w:eastAsia="仿宋" w:cs="仿宋"/>
          <w:b/>
          <w:color w:val="auto"/>
          <w:sz w:val="24"/>
          <w:szCs w:val="24"/>
          <w:lang w:eastAsia="zh-CN"/>
        </w:rPr>
        <w:t>（</w:t>
      </w:r>
      <w:r>
        <w:rPr>
          <w:rFonts w:hint="eastAsia" w:ascii="仿宋" w:hAnsi="仿宋" w:eastAsia="仿宋" w:cs="仿宋"/>
          <w:b/>
          <w:color w:val="auto"/>
          <w:sz w:val="24"/>
          <w:szCs w:val="24"/>
          <w:lang w:val="en-US" w:eastAsia="zh-CN"/>
        </w:rPr>
        <w:t>八</w:t>
      </w:r>
      <w:r>
        <w:rPr>
          <w:rFonts w:hint="eastAsia" w:ascii="仿宋" w:hAnsi="仿宋" w:eastAsia="仿宋" w:cs="仿宋"/>
          <w:b/>
          <w:color w:val="auto"/>
          <w:sz w:val="24"/>
          <w:szCs w:val="24"/>
          <w:lang w:eastAsia="zh-CN"/>
        </w:rPr>
        <w:t>）</w:t>
      </w:r>
      <w:r>
        <w:rPr>
          <w:rFonts w:hint="eastAsia" w:ascii="仿宋" w:hAnsi="仿宋" w:eastAsia="仿宋" w:cs="仿宋"/>
          <w:b/>
          <w:color w:val="auto"/>
          <w:sz w:val="24"/>
          <w:szCs w:val="24"/>
        </w:rPr>
        <w:t>无效</w:t>
      </w:r>
      <w:r>
        <w:rPr>
          <w:rFonts w:hint="eastAsia" w:ascii="仿宋" w:hAnsi="仿宋" w:eastAsia="仿宋" w:cs="仿宋"/>
          <w:b/>
          <w:color w:val="auto"/>
          <w:sz w:val="24"/>
          <w:szCs w:val="24"/>
          <w:lang w:eastAsia="zh-CN"/>
        </w:rPr>
        <w:t>标</w:t>
      </w:r>
      <w:r>
        <w:rPr>
          <w:rFonts w:hint="eastAsia" w:ascii="仿宋" w:hAnsi="仿宋" w:eastAsia="仿宋" w:cs="仿宋"/>
          <w:b/>
          <w:color w:val="auto"/>
          <w:sz w:val="24"/>
          <w:szCs w:val="24"/>
        </w:rPr>
        <w:t>条款</w:t>
      </w:r>
      <w:bookmarkEnd w:id="65"/>
      <w:bookmarkEnd w:id="66"/>
      <w:bookmarkEnd w:id="67"/>
    </w:p>
    <w:p w14:paraId="2D401406">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1.有下列情况之一的，对投标人作无效标处理。</w:t>
      </w:r>
    </w:p>
    <w:p w14:paraId="0CD2E343">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1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⑴</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不具备</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规</w:t>
      </w:r>
      <w:r>
        <w:rPr>
          <w:rFonts w:hint="eastAsia" w:ascii="仿宋" w:hAnsi="仿宋" w:eastAsia="仿宋" w:cs="仿宋"/>
          <w:bCs/>
          <w:color w:val="auto"/>
          <w:sz w:val="24"/>
          <w:szCs w:val="24"/>
          <w:lang w:eastAsia="zh-CN"/>
        </w:rPr>
        <w:t>定的</w:t>
      </w:r>
      <w:r>
        <w:rPr>
          <w:rFonts w:hint="eastAsia" w:ascii="仿宋" w:hAnsi="仿宋" w:eastAsia="仿宋" w:cs="仿宋"/>
          <w:bCs/>
          <w:color w:val="auto"/>
          <w:sz w:val="24"/>
          <w:szCs w:val="24"/>
        </w:rPr>
        <w:t>资格要求</w:t>
      </w:r>
      <w:r>
        <w:rPr>
          <w:rFonts w:hint="eastAsia" w:ascii="仿宋" w:hAnsi="仿宋" w:eastAsia="仿宋" w:cs="仿宋"/>
          <w:bCs/>
          <w:color w:val="auto"/>
          <w:sz w:val="24"/>
          <w:szCs w:val="24"/>
          <w:lang w:eastAsia="zh-CN"/>
        </w:rPr>
        <w:t>。</w:t>
      </w:r>
    </w:p>
    <w:p w14:paraId="049B7FDD">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2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⑵</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获取</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的投标人与参加开标投标人发生实质性变更的且未提供有效证明的</w:t>
      </w:r>
      <w:r>
        <w:rPr>
          <w:rFonts w:hint="eastAsia" w:ascii="仿宋" w:hAnsi="仿宋" w:eastAsia="仿宋" w:cs="仿宋"/>
          <w:bCs/>
          <w:color w:val="auto"/>
          <w:sz w:val="24"/>
          <w:szCs w:val="24"/>
          <w:lang w:eastAsia="zh-CN"/>
        </w:rPr>
        <w:t>。</w:t>
      </w:r>
    </w:p>
    <w:p w14:paraId="342FDD96">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3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⑶</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在“资格审查文件”“</w:t>
      </w:r>
      <w:r>
        <w:rPr>
          <w:rFonts w:hint="eastAsia" w:ascii="仿宋" w:hAnsi="仿宋" w:eastAsia="仿宋" w:cs="仿宋"/>
          <w:bCs/>
          <w:color w:val="auto"/>
          <w:sz w:val="24"/>
          <w:szCs w:val="24"/>
          <w:lang w:eastAsia="zh-CN"/>
        </w:rPr>
        <w:t>技术商务文件</w:t>
      </w:r>
      <w:r>
        <w:rPr>
          <w:rFonts w:hint="eastAsia" w:ascii="仿宋" w:hAnsi="仿宋" w:eastAsia="仿宋" w:cs="仿宋"/>
          <w:bCs/>
          <w:color w:val="auto"/>
          <w:sz w:val="24"/>
          <w:szCs w:val="24"/>
        </w:rPr>
        <w:t>”中出现投标报价的</w:t>
      </w:r>
      <w:r>
        <w:rPr>
          <w:rFonts w:hint="eastAsia" w:ascii="仿宋" w:hAnsi="仿宋" w:eastAsia="仿宋" w:cs="仿宋"/>
          <w:bCs/>
          <w:color w:val="auto"/>
          <w:sz w:val="24"/>
          <w:szCs w:val="24"/>
          <w:lang w:eastAsia="zh-CN"/>
        </w:rPr>
        <w:t>。</w:t>
      </w:r>
    </w:p>
    <w:p w14:paraId="01D04689">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4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⑷</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中有▲处条款投标人未</w:t>
      </w:r>
      <w:r>
        <w:rPr>
          <w:rFonts w:hint="eastAsia" w:ascii="仿宋" w:hAnsi="仿宋" w:eastAsia="仿宋" w:cs="仿宋"/>
          <w:bCs/>
          <w:color w:val="auto"/>
          <w:sz w:val="24"/>
          <w:szCs w:val="24"/>
          <w:lang w:eastAsia="zh-CN"/>
        </w:rPr>
        <w:t>做</w:t>
      </w:r>
      <w:r>
        <w:rPr>
          <w:rFonts w:hint="eastAsia" w:ascii="仿宋" w:hAnsi="仿宋" w:eastAsia="仿宋" w:cs="仿宋"/>
          <w:bCs/>
          <w:color w:val="auto"/>
          <w:sz w:val="24"/>
          <w:szCs w:val="24"/>
        </w:rPr>
        <w:t>实质性响应的</w:t>
      </w:r>
      <w:r>
        <w:rPr>
          <w:rFonts w:hint="eastAsia" w:ascii="仿宋" w:hAnsi="仿宋" w:eastAsia="仿宋" w:cs="仿宋"/>
          <w:bCs/>
          <w:color w:val="auto"/>
          <w:sz w:val="24"/>
          <w:szCs w:val="24"/>
          <w:lang w:eastAsia="zh-CN"/>
        </w:rPr>
        <w:t>。</w:t>
      </w:r>
    </w:p>
    <w:p w14:paraId="694EF290">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5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⑸</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提供虚假材料谋取中标的</w:t>
      </w:r>
      <w:r>
        <w:rPr>
          <w:rFonts w:hint="eastAsia" w:ascii="仿宋" w:hAnsi="仿宋" w:eastAsia="仿宋" w:cs="仿宋"/>
          <w:bCs/>
          <w:color w:val="auto"/>
          <w:sz w:val="24"/>
          <w:szCs w:val="24"/>
          <w:lang w:eastAsia="zh-CN"/>
        </w:rPr>
        <w:t>。</w:t>
      </w:r>
    </w:p>
    <w:p w14:paraId="09327CE0">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6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⑹</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投标报价超过采购预算价或最高限价的</w:t>
      </w:r>
      <w:r>
        <w:rPr>
          <w:rFonts w:hint="eastAsia" w:ascii="仿宋" w:hAnsi="仿宋" w:eastAsia="仿宋" w:cs="仿宋"/>
          <w:bCs/>
          <w:color w:val="auto"/>
          <w:sz w:val="24"/>
          <w:szCs w:val="24"/>
          <w:lang w:eastAsia="zh-CN"/>
        </w:rPr>
        <w:t>。</w:t>
      </w:r>
    </w:p>
    <w:p w14:paraId="1E4B2105">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7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⑺</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资格审查文件不全的，或者不符合</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标明的资格要求的</w:t>
      </w:r>
      <w:r>
        <w:rPr>
          <w:rFonts w:hint="eastAsia" w:ascii="仿宋" w:hAnsi="仿宋" w:eastAsia="仿宋" w:cs="仿宋"/>
          <w:bCs/>
          <w:color w:val="auto"/>
          <w:sz w:val="24"/>
          <w:szCs w:val="24"/>
          <w:lang w:eastAsia="zh-CN"/>
        </w:rPr>
        <w:t>。</w:t>
      </w:r>
    </w:p>
    <w:p w14:paraId="45C443EB">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8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⑻</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投标人在投标报价计算或表达上有错误时，投标人不接受修正后报价的</w:t>
      </w:r>
      <w:r>
        <w:rPr>
          <w:rFonts w:hint="eastAsia" w:ascii="仿宋" w:hAnsi="仿宋" w:eastAsia="仿宋" w:cs="仿宋"/>
          <w:bCs/>
          <w:color w:val="auto"/>
          <w:sz w:val="24"/>
          <w:szCs w:val="24"/>
          <w:lang w:eastAsia="zh-CN"/>
        </w:rPr>
        <w:t>。</w:t>
      </w:r>
    </w:p>
    <w:p w14:paraId="204E7C6F">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9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⑼</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明显不符合</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中主要技术规格、技术标准的（例如关于“▲”条款及特别说明的）</w:t>
      </w:r>
      <w:r>
        <w:rPr>
          <w:rFonts w:hint="eastAsia" w:ascii="仿宋" w:hAnsi="仿宋" w:eastAsia="仿宋" w:cs="仿宋"/>
          <w:bCs/>
          <w:color w:val="auto"/>
          <w:sz w:val="24"/>
          <w:szCs w:val="24"/>
          <w:lang w:eastAsia="zh-CN"/>
        </w:rPr>
        <w:t>。</w:t>
      </w:r>
    </w:p>
    <w:p w14:paraId="225ED468">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10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⑽</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投标文件含有</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不能接受的附加条件的</w:t>
      </w:r>
      <w:r>
        <w:rPr>
          <w:rFonts w:hint="eastAsia" w:ascii="仿宋" w:hAnsi="仿宋" w:eastAsia="仿宋" w:cs="仿宋"/>
          <w:bCs/>
          <w:color w:val="auto"/>
          <w:sz w:val="24"/>
          <w:szCs w:val="24"/>
          <w:lang w:eastAsia="zh-CN"/>
        </w:rPr>
        <w:t>。</w:t>
      </w:r>
    </w:p>
    <w:p w14:paraId="298C66B4">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11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⑾</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投标文件载明的采购项目完成期限超过了采购项目文件规定的期限</w:t>
      </w:r>
      <w:r>
        <w:rPr>
          <w:rFonts w:hint="eastAsia" w:ascii="仿宋" w:hAnsi="仿宋" w:eastAsia="仿宋" w:cs="仿宋"/>
          <w:bCs/>
          <w:color w:val="auto"/>
          <w:sz w:val="24"/>
          <w:szCs w:val="24"/>
          <w:lang w:eastAsia="zh-CN"/>
        </w:rPr>
        <w:t>。</w:t>
      </w:r>
    </w:p>
    <w:p w14:paraId="5902D277">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12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⑿</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投标人有围标串标行为或明显串标嫌疑的</w:t>
      </w:r>
      <w:r>
        <w:rPr>
          <w:rFonts w:hint="eastAsia" w:ascii="仿宋" w:hAnsi="仿宋" w:eastAsia="仿宋" w:cs="仿宋"/>
          <w:bCs/>
          <w:color w:val="auto"/>
          <w:sz w:val="24"/>
          <w:szCs w:val="24"/>
          <w:lang w:eastAsia="zh-CN"/>
        </w:rPr>
        <w:t>。</w:t>
      </w:r>
    </w:p>
    <w:p w14:paraId="31ED89D0">
      <w:pPr>
        <w:pStyle w:val="32"/>
        <w:spacing w:line="360" w:lineRule="auto"/>
        <w:ind w:firstLine="480" w:firstLineChars="200"/>
        <w:jc w:val="left"/>
        <w:outlineLvl w:val="9"/>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13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⒀</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不同投标人的投标文件制作机器码或创建标识码一致的（投标文件制作机器码一致是指MAC地址、CPU序列号、硬盘序列号、主板序列号全部一致或制作IP地址、上传IP地址等与此电脑相关的硬件标识号码中有一个一致）</w:t>
      </w:r>
      <w:r>
        <w:rPr>
          <w:rFonts w:hint="eastAsia" w:ascii="仿宋" w:hAnsi="仿宋" w:eastAsia="仿宋" w:cs="仿宋"/>
          <w:bCs/>
          <w:color w:val="auto"/>
          <w:sz w:val="24"/>
          <w:szCs w:val="24"/>
          <w:lang w:eastAsia="zh-CN"/>
        </w:rPr>
        <w:t>。</w:t>
      </w:r>
    </w:p>
    <w:p w14:paraId="099E3A60">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⒁不符合法律法规和</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规定的其他实质性要求的。</w:t>
      </w:r>
    </w:p>
    <w:p w14:paraId="34CFA937">
      <w:pPr>
        <w:pStyle w:val="32"/>
        <w:spacing w:line="360" w:lineRule="auto"/>
        <w:ind w:firstLine="482" w:firstLineChars="200"/>
        <w:jc w:val="left"/>
        <w:outlineLvl w:val="9"/>
        <w:rPr>
          <w:rFonts w:ascii="仿宋" w:hAnsi="仿宋" w:eastAsia="仿宋" w:cs="仿宋"/>
          <w:b/>
          <w:color w:val="auto"/>
          <w:sz w:val="24"/>
          <w:szCs w:val="24"/>
        </w:rPr>
      </w:pPr>
      <w:bookmarkStart w:id="68" w:name="_Toc2251"/>
      <w:bookmarkStart w:id="69" w:name="_Toc25302"/>
      <w:bookmarkStart w:id="70" w:name="_Toc17824"/>
      <w:r>
        <w:rPr>
          <w:rFonts w:hint="eastAsia" w:ascii="仿宋" w:hAnsi="仿宋" w:eastAsia="仿宋" w:cs="仿宋"/>
          <w:b/>
          <w:color w:val="auto"/>
          <w:sz w:val="24"/>
          <w:szCs w:val="24"/>
          <w:lang w:eastAsia="zh-CN"/>
        </w:rPr>
        <w:t>（</w:t>
      </w:r>
      <w:r>
        <w:rPr>
          <w:rFonts w:hint="eastAsia" w:ascii="仿宋" w:hAnsi="仿宋" w:eastAsia="仿宋" w:cs="仿宋"/>
          <w:b/>
          <w:color w:val="auto"/>
          <w:sz w:val="24"/>
          <w:szCs w:val="24"/>
          <w:lang w:val="en-US" w:eastAsia="zh-CN"/>
        </w:rPr>
        <w:t>九</w:t>
      </w:r>
      <w:r>
        <w:rPr>
          <w:rFonts w:hint="eastAsia" w:ascii="仿宋" w:hAnsi="仿宋" w:eastAsia="仿宋" w:cs="仿宋"/>
          <w:b/>
          <w:color w:val="auto"/>
          <w:sz w:val="24"/>
          <w:szCs w:val="24"/>
          <w:lang w:eastAsia="zh-CN"/>
        </w:rPr>
        <w:t>）</w:t>
      </w:r>
      <w:r>
        <w:rPr>
          <w:rFonts w:hint="eastAsia" w:ascii="仿宋" w:hAnsi="仿宋" w:eastAsia="仿宋" w:cs="仿宋"/>
          <w:b/>
          <w:color w:val="auto"/>
          <w:sz w:val="24"/>
          <w:szCs w:val="24"/>
        </w:rPr>
        <w:t>废标的情形</w:t>
      </w:r>
      <w:bookmarkEnd w:id="68"/>
      <w:bookmarkEnd w:id="69"/>
      <w:bookmarkEnd w:id="70"/>
    </w:p>
    <w:p w14:paraId="686D3B1B">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1.采购中，出现下列情形之一的，应予废标：</w:t>
      </w:r>
    </w:p>
    <w:p w14:paraId="3CF300B2">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1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⑴</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符合专业条件的投标人或者对</w:t>
      </w:r>
      <w:r>
        <w:rPr>
          <w:rFonts w:hint="eastAsia" w:ascii="仿宋" w:hAnsi="仿宋" w:eastAsia="仿宋" w:cs="仿宋"/>
          <w:bCs/>
          <w:color w:val="auto"/>
          <w:sz w:val="24"/>
          <w:szCs w:val="24"/>
          <w:lang w:eastAsia="zh-CN"/>
        </w:rPr>
        <w:t>招标文件做</w:t>
      </w:r>
      <w:r>
        <w:rPr>
          <w:rFonts w:hint="eastAsia" w:ascii="仿宋" w:hAnsi="仿宋" w:eastAsia="仿宋" w:cs="仿宋"/>
          <w:bCs/>
          <w:color w:val="auto"/>
          <w:sz w:val="24"/>
          <w:szCs w:val="24"/>
        </w:rPr>
        <w:t>实质响应的投标人不足3家的</w:t>
      </w:r>
      <w:r>
        <w:rPr>
          <w:rFonts w:hint="eastAsia" w:ascii="仿宋" w:hAnsi="仿宋" w:eastAsia="仿宋" w:cs="仿宋"/>
          <w:bCs/>
          <w:color w:val="auto"/>
          <w:sz w:val="24"/>
          <w:szCs w:val="24"/>
          <w:lang w:eastAsia="zh-CN"/>
        </w:rPr>
        <w:t>。</w:t>
      </w:r>
    </w:p>
    <w:p w14:paraId="44F63E21">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2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⑵</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出现影响采购公正的违法、违规行为的</w:t>
      </w:r>
      <w:r>
        <w:rPr>
          <w:rFonts w:hint="eastAsia" w:ascii="仿宋" w:hAnsi="仿宋" w:eastAsia="仿宋" w:cs="仿宋"/>
          <w:bCs/>
          <w:color w:val="auto"/>
          <w:sz w:val="24"/>
          <w:szCs w:val="24"/>
          <w:lang w:eastAsia="zh-CN"/>
        </w:rPr>
        <w:t>。</w:t>
      </w:r>
    </w:p>
    <w:p w14:paraId="6699533C">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3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⑶</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投标人的报价均超过了采购预算，</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不能支付的</w:t>
      </w:r>
      <w:r>
        <w:rPr>
          <w:rFonts w:hint="eastAsia" w:ascii="仿宋" w:hAnsi="仿宋" w:eastAsia="仿宋" w:cs="仿宋"/>
          <w:bCs/>
          <w:color w:val="auto"/>
          <w:sz w:val="24"/>
          <w:szCs w:val="24"/>
          <w:lang w:eastAsia="zh-CN"/>
        </w:rPr>
        <w:t>。</w:t>
      </w:r>
    </w:p>
    <w:p w14:paraId="1BAD0019">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4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⑷</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因重大变故，采购任务取消的。</w:t>
      </w:r>
    </w:p>
    <w:p w14:paraId="6D5A6BC2">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废标后，</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应当将废标理由通知所有投标人；除采购任务取消情形外，应当重新组织招标。</w:t>
      </w:r>
    </w:p>
    <w:p w14:paraId="62AB681A">
      <w:pPr>
        <w:pStyle w:val="32"/>
        <w:spacing w:line="360" w:lineRule="auto"/>
        <w:ind w:firstLine="482" w:firstLineChars="200"/>
        <w:jc w:val="left"/>
        <w:outlineLvl w:val="9"/>
        <w:rPr>
          <w:rFonts w:ascii="仿宋" w:hAnsi="仿宋" w:eastAsia="仿宋" w:cs="仿宋"/>
          <w:b/>
          <w:color w:val="auto"/>
          <w:sz w:val="24"/>
          <w:szCs w:val="24"/>
        </w:rPr>
      </w:pPr>
      <w:bookmarkStart w:id="71" w:name="_Toc22675"/>
      <w:bookmarkStart w:id="72" w:name="_Toc30791"/>
      <w:bookmarkStart w:id="73" w:name="_Toc22177"/>
      <w:r>
        <w:rPr>
          <w:rFonts w:hint="eastAsia" w:ascii="仿宋" w:hAnsi="仿宋" w:eastAsia="仿宋" w:cs="仿宋"/>
          <w:b/>
          <w:color w:val="auto"/>
          <w:sz w:val="24"/>
          <w:szCs w:val="24"/>
          <w:lang w:eastAsia="zh-CN"/>
        </w:rPr>
        <w:t>（</w:t>
      </w:r>
      <w:r>
        <w:rPr>
          <w:rFonts w:hint="eastAsia" w:ascii="仿宋" w:hAnsi="仿宋" w:eastAsia="仿宋" w:cs="仿宋"/>
          <w:b/>
          <w:color w:val="auto"/>
          <w:sz w:val="24"/>
          <w:szCs w:val="24"/>
          <w:lang w:val="en-US" w:eastAsia="zh-CN"/>
        </w:rPr>
        <w:t>十</w:t>
      </w:r>
      <w:r>
        <w:rPr>
          <w:rFonts w:hint="eastAsia" w:ascii="仿宋" w:hAnsi="仿宋" w:eastAsia="仿宋" w:cs="仿宋"/>
          <w:b/>
          <w:color w:val="auto"/>
          <w:sz w:val="24"/>
          <w:szCs w:val="24"/>
          <w:lang w:eastAsia="zh-CN"/>
        </w:rPr>
        <w:t>）</w:t>
      </w:r>
      <w:r>
        <w:rPr>
          <w:rFonts w:hint="eastAsia" w:ascii="仿宋" w:hAnsi="仿宋" w:eastAsia="仿宋" w:cs="仿宋"/>
          <w:b/>
          <w:color w:val="auto"/>
          <w:sz w:val="24"/>
          <w:szCs w:val="24"/>
        </w:rPr>
        <w:t>评标程序</w:t>
      </w:r>
      <w:bookmarkEnd w:id="71"/>
      <w:bookmarkEnd w:id="72"/>
      <w:bookmarkEnd w:id="73"/>
    </w:p>
    <w:p w14:paraId="3B761CAB">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1.评审小组</w:t>
      </w:r>
    </w:p>
    <w:p w14:paraId="5D359AD2">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1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⑴</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lang w:eastAsia="zh-CN"/>
        </w:rPr>
        <w:t>招标代理机构</w:t>
      </w:r>
      <w:r>
        <w:rPr>
          <w:rFonts w:hint="eastAsia" w:ascii="仿宋" w:hAnsi="仿宋" w:eastAsia="仿宋" w:cs="仿宋"/>
          <w:bCs/>
          <w:color w:val="auto"/>
          <w:sz w:val="24"/>
          <w:szCs w:val="24"/>
        </w:rPr>
        <w:t>和</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将根据采购货物或服务的特点依法组建评审小组，评审小组对</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进行审查、询标、评议和推荐中标候选人。</w:t>
      </w:r>
    </w:p>
    <w:p w14:paraId="55715995">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2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⑵</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在评标期间，若有需要投标人应派代表参加询标。</w:t>
      </w:r>
    </w:p>
    <w:p w14:paraId="1F251942">
      <w:pPr>
        <w:pStyle w:val="32"/>
        <w:spacing w:line="360" w:lineRule="auto"/>
        <w:ind w:firstLine="480" w:firstLineChars="200"/>
        <w:jc w:val="left"/>
        <w:outlineLvl w:val="9"/>
        <w:rPr>
          <w:rFonts w:ascii="仿宋" w:hAnsi="仿宋" w:eastAsia="仿宋" w:cs="仿宋"/>
          <w:bCs/>
          <w:color w:val="auto"/>
          <w:sz w:val="24"/>
          <w:szCs w:val="24"/>
        </w:rPr>
      </w:pPr>
      <w:bookmarkStart w:id="74" w:name="_Toc24550044"/>
      <w:bookmarkStart w:id="75" w:name="_Toc33194395"/>
      <w:r>
        <w:rPr>
          <w:rFonts w:hint="eastAsia" w:ascii="仿宋" w:hAnsi="仿宋" w:eastAsia="仿宋" w:cs="仿宋"/>
          <w:bCs/>
          <w:color w:val="auto"/>
          <w:sz w:val="24"/>
          <w:szCs w:val="24"/>
        </w:rPr>
        <w:t>2.评标流程及内容</w:t>
      </w:r>
      <w:bookmarkEnd w:id="74"/>
      <w:bookmarkEnd w:id="75"/>
    </w:p>
    <w:p w14:paraId="2E94525A">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本项目具体的评标事务由评审小组负责，评标流程及内容如下：</w:t>
      </w:r>
    </w:p>
    <w:p w14:paraId="044295DA">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1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⑴</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评标前准备</w:t>
      </w:r>
    </w:p>
    <w:p w14:paraId="4F8E88B2">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1 \* GB3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①</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由评标专家推选评审小组组长，</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代表不得担任评审小组组长。</w:t>
      </w:r>
    </w:p>
    <w:p w14:paraId="1994935D">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②由评审小组组长召集所有评审小组成员阅读</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及相关补充、质疑、答复文件、项目书面说明等材料，熟悉采购项目基本情况、项目技术规范和服务要求、合同主要条款、投标文件无效情形、评标办法、评标标准，以及其他与评标有关的内容。</w:t>
      </w:r>
    </w:p>
    <w:p w14:paraId="33C03109">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2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⑵</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投标文件的初步审查、符合性审查</w:t>
      </w:r>
    </w:p>
    <w:p w14:paraId="1B77D4FB">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对所有通过资格审查的投标人的投标文件进行初步审查，审查、评价投标文件是否符合</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的商务、技术、服务等实质性要求。</w:t>
      </w:r>
    </w:p>
    <w:p w14:paraId="02456976">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评审小组首先对所有通过资格审查的投标人的投标文件进行符合性审查，审查每份投标文件是否实质上响应了</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的要求（实质性响应的投标文件是指投标文件符合</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规定的实质性内容、条件和规定）。</w:t>
      </w:r>
    </w:p>
    <w:p w14:paraId="3FA87511">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3.投标文件的澄清、说明或补正</w:t>
      </w:r>
    </w:p>
    <w:p w14:paraId="1F36AC3B">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1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⑴</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对于投标文件中含义不明确、同类问题表述不一致或者有明显文字和计算错误内容的，评审小组将以书面形式（或通过“衢州市阳光交易服务平台”在线询标）的形式要求投标人在规定的时间内作出必要的澄清、说明或者补正，投标人澄清、说明或补正时间为30分钟。</w:t>
      </w:r>
    </w:p>
    <w:p w14:paraId="1E7E9AFD">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2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⑵</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投标人的澄清、说明或者补正应当采用书面（或通过“衢州市阳光交易服务平台”在线答复）形式提交，并加盖公章，或者由</w:t>
      </w:r>
      <w:r>
        <w:rPr>
          <w:rFonts w:hint="eastAsia" w:ascii="仿宋" w:hAnsi="仿宋" w:eastAsia="仿宋" w:cs="仿宋"/>
          <w:bCs/>
          <w:color w:val="auto"/>
          <w:sz w:val="24"/>
          <w:szCs w:val="24"/>
          <w:lang w:eastAsia="zh-CN"/>
        </w:rPr>
        <w:t>法定代表人（负责人）</w:t>
      </w:r>
      <w:r>
        <w:rPr>
          <w:rFonts w:hint="eastAsia" w:ascii="仿宋" w:hAnsi="仿宋" w:eastAsia="仿宋" w:cs="仿宋"/>
          <w:bCs/>
          <w:color w:val="auto"/>
          <w:sz w:val="24"/>
          <w:szCs w:val="24"/>
        </w:rPr>
        <w:t>或其授权的代表签字。投标人的澄清、说明或者补正不得超出投标文件的范围或者改变投标文件的实质性内容。</w:t>
      </w:r>
    </w:p>
    <w:p w14:paraId="17AC2FA3">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4.投标文件错误的修正</w:t>
      </w:r>
    </w:p>
    <w:p w14:paraId="5BF7BE51">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1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⑴</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投标文件如果出现计算或表达上的错误，修正错误的原则如下：</w:t>
      </w:r>
    </w:p>
    <w:p w14:paraId="191FF2C3">
      <w:pPr>
        <w:pStyle w:val="32"/>
        <w:tabs>
          <w:tab w:val="left" w:pos="0"/>
        </w:tabs>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1 \* GB3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①</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投标文件中开标一览表内容与投标文件中相应内容不一致的，以开标一览表为准。</w:t>
      </w:r>
    </w:p>
    <w:p w14:paraId="4DF485AC">
      <w:pPr>
        <w:pStyle w:val="32"/>
        <w:tabs>
          <w:tab w:val="left" w:pos="0"/>
        </w:tabs>
        <w:spacing w:line="360" w:lineRule="auto"/>
        <w:ind w:firstLine="480" w:firstLineChars="200"/>
        <w:jc w:val="left"/>
        <w:outlineLvl w:val="9"/>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rPr>
        <w:t>②投标文件的大写金额和小写金额不一致的，以大写金额为准</w:t>
      </w:r>
      <w:r>
        <w:rPr>
          <w:rFonts w:hint="eastAsia" w:ascii="仿宋" w:hAnsi="仿宋" w:eastAsia="仿宋" w:cs="仿宋"/>
          <w:bCs/>
          <w:color w:val="auto"/>
          <w:sz w:val="24"/>
          <w:szCs w:val="24"/>
          <w:lang w:eastAsia="zh-CN"/>
        </w:rPr>
        <w:t>。</w:t>
      </w:r>
    </w:p>
    <w:p w14:paraId="0BCD9D9B">
      <w:pPr>
        <w:pStyle w:val="32"/>
        <w:tabs>
          <w:tab w:val="left" w:pos="0"/>
        </w:tabs>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3 \* GB3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③</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单价金额小数点或者百分比有明显错位的，应以开标一览表的总价为准，并修改单价</w:t>
      </w:r>
      <w:r>
        <w:rPr>
          <w:rFonts w:hint="eastAsia" w:ascii="仿宋" w:hAnsi="仿宋" w:eastAsia="仿宋" w:cs="仿宋"/>
          <w:bCs/>
          <w:color w:val="auto"/>
          <w:sz w:val="24"/>
          <w:szCs w:val="24"/>
          <w:lang w:eastAsia="zh-CN"/>
        </w:rPr>
        <w:t>。</w:t>
      </w:r>
    </w:p>
    <w:p w14:paraId="47DABBC0">
      <w:pPr>
        <w:pStyle w:val="32"/>
        <w:tabs>
          <w:tab w:val="left" w:pos="0"/>
        </w:tabs>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4 \* GB3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④</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总价金额与单价汇总金额不一致的，以单价金额计算结果为准。</w:t>
      </w:r>
    </w:p>
    <w:p w14:paraId="45270CC5">
      <w:pPr>
        <w:pStyle w:val="8"/>
        <w:spacing w:line="360" w:lineRule="auto"/>
        <w:outlineLvl w:val="9"/>
        <w:rPr>
          <w:rFonts w:ascii="仿宋" w:hAnsi="仿宋" w:eastAsia="仿宋" w:cs="仿宋"/>
          <w:color w:val="auto"/>
          <w:sz w:val="24"/>
        </w:rPr>
      </w:pPr>
      <w:r>
        <w:rPr>
          <w:rFonts w:hint="eastAsia" w:ascii="仿宋" w:hAnsi="仿宋" w:eastAsia="仿宋" w:cs="仿宋"/>
          <w:color w:val="auto"/>
          <w:sz w:val="24"/>
        </w:rPr>
        <w:t xml:space="preserve">   </w:t>
      </w:r>
      <w:r>
        <w:rPr>
          <w:rFonts w:hint="eastAsia" w:ascii="仿宋" w:hAnsi="仿宋" w:eastAsia="仿宋" w:cs="仿宋"/>
          <w:b w:val="0"/>
          <w:color w:val="auto"/>
          <w:spacing w:val="0"/>
          <w:kern w:val="2"/>
          <w:sz w:val="24"/>
        </w:rPr>
        <w:t>注：同时出现两种以上不一致的，按照前款规定的顺序修正，修正后的报价需经投标人确认后产生约束力，投标人不确认的，其投标无效。</w:t>
      </w:r>
    </w:p>
    <w:p w14:paraId="289479C4">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2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⑵</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对不同文字文本投标文件的解释发生异议的，以中文文本为准。</w:t>
      </w:r>
    </w:p>
    <w:p w14:paraId="547ED81C">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5.评标</w:t>
      </w:r>
    </w:p>
    <w:p w14:paraId="7FF6356A">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1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⑴</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 xml:space="preserve">评定原则：根据符合采购需求、质量和服务等要求，综合评标确定中标人。 </w:t>
      </w:r>
    </w:p>
    <w:p w14:paraId="112E7B73">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2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⑵</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投标文件的澄清：在评标期间，评审小组可要求投标人对其投标文件进行澄清，但不得寻求、提供或允许对投标价格等实质性内容做任何更改。有关澄清的要求和答复均应以书面形式提交。</w:t>
      </w:r>
    </w:p>
    <w:p w14:paraId="3B442F96">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3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⑶</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评标报告：评审小组完成评定后，向</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提交经各评审小组成员签字的评定结果报告，并按评定办法推荐中标候选人。</w:t>
      </w:r>
    </w:p>
    <w:p w14:paraId="39F0243F">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6.可中止电子交易活动的情形</w:t>
      </w:r>
    </w:p>
    <w:p w14:paraId="4F4222F7">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采购过程中出现以下情形，导致电子交易平台无法正常运行，或者无法保证电子交易的公平、公正和安全时，</w:t>
      </w:r>
      <w:r>
        <w:rPr>
          <w:rFonts w:hint="eastAsia" w:ascii="仿宋" w:hAnsi="仿宋" w:eastAsia="仿宋" w:cs="仿宋"/>
          <w:bCs/>
          <w:color w:val="auto"/>
          <w:sz w:val="24"/>
          <w:szCs w:val="24"/>
          <w:lang w:eastAsia="zh-CN"/>
        </w:rPr>
        <w:t>招标代理机构</w:t>
      </w:r>
      <w:r>
        <w:rPr>
          <w:rFonts w:hint="eastAsia" w:ascii="仿宋" w:hAnsi="仿宋" w:eastAsia="仿宋" w:cs="仿宋"/>
          <w:bCs/>
          <w:color w:val="auto"/>
          <w:sz w:val="24"/>
          <w:szCs w:val="24"/>
        </w:rPr>
        <w:t>可中止电子交易活动：</w:t>
      </w:r>
    </w:p>
    <w:p w14:paraId="563D6CAD">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1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⑴</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电子交易平台发生故障而无法登录访问的</w:t>
      </w:r>
      <w:r>
        <w:rPr>
          <w:rFonts w:hint="eastAsia" w:ascii="仿宋" w:hAnsi="仿宋" w:eastAsia="仿宋" w:cs="仿宋"/>
          <w:bCs/>
          <w:color w:val="auto"/>
          <w:sz w:val="24"/>
          <w:szCs w:val="24"/>
          <w:lang w:eastAsia="zh-CN"/>
        </w:rPr>
        <w:t>。</w:t>
      </w:r>
    </w:p>
    <w:p w14:paraId="398744A8">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2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⑵</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电子交易平台应用或数据库出现错误，不能进行正常操作的</w:t>
      </w:r>
      <w:r>
        <w:rPr>
          <w:rFonts w:hint="eastAsia" w:ascii="仿宋" w:hAnsi="仿宋" w:eastAsia="仿宋" w:cs="仿宋"/>
          <w:bCs/>
          <w:color w:val="auto"/>
          <w:sz w:val="24"/>
          <w:szCs w:val="24"/>
          <w:lang w:eastAsia="zh-CN"/>
        </w:rPr>
        <w:t>。</w:t>
      </w:r>
    </w:p>
    <w:p w14:paraId="64516FB6">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3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⑶</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电子交易平台发现严重安全漏洞，有潜在泄密危险的</w:t>
      </w:r>
      <w:r>
        <w:rPr>
          <w:rFonts w:hint="eastAsia" w:ascii="仿宋" w:hAnsi="仿宋" w:eastAsia="仿宋" w:cs="仿宋"/>
          <w:bCs/>
          <w:color w:val="auto"/>
          <w:sz w:val="24"/>
          <w:szCs w:val="24"/>
          <w:lang w:eastAsia="zh-CN"/>
        </w:rPr>
        <w:t>。</w:t>
      </w:r>
    </w:p>
    <w:p w14:paraId="0AE2FB16">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4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⑷</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病毒发作导致不能进行正常操作的</w:t>
      </w:r>
      <w:r>
        <w:rPr>
          <w:rFonts w:hint="eastAsia" w:ascii="仿宋" w:hAnsi="仿宋" w:eastAsia="仿宋" w:cs="仿宋"/>
          <w:bCs/>
          <w:color w:val="auto"/>
          <w:sz w:val="24"/>
          <w:szCs w:val="24"/>
          <w:lang w:eastAsia="zh-CN"/>
        </w:rPr>
        <w:t>。</w:t>
      </w:r>
    </w:p>
    <w:p w14:paraId="1A6E1AC8">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5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⑸</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其他无法保证电子交易的公平、公正和安全的情况。</w:t>
      </w:r>
    </w:p>
    <w:p w14:paraId="36304775">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出现前款规定情形，不影响采购公平、公正性的，</w:t>
      </w:r>
      <w:r>
        <w:rPr>
          <w:rFonts w:hint="eastAsia" w:ascii="仿宋" w:hAnsi="仿宋" w:eastAsia="仿宋" w:cs="仿宋"/>
          <w:bCs/>
          <w:color w:val="auto"/>
          <w:sz w:val="24"/>
          <w:szCs w:val="24"/>
          <w:lang w:eastAsia="zh-CN"/>
        </w:rPr>
        <w:t>招标代理机构</w:t>
      </w:r>
      <w:r>
        <w:rPr>
          <w:rFonts w:hint="eastAsia" w:ascii="仿宋" w:hAnsi="仿宋" w:eastAsia="仿宋" w:cs="仿宋"/>
          <w:bCs/>
          <w:color w:val="auto"/>
          <w:sz w:val="24"/>
          <w:szCs w:val="24"/>
        </w:rPr>
        <w:t>可以待上述情形消除后继续组织电子交易活动；影响或可能影响采购公平、公正性的，应当重新采购。</w:t>
      </w:r>
    </w:p>
    <w:p w14:paraId="223367F1">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7.保密</w:t>
      </w:r>
    </w:p>
    <w:p w14:paraId="719048E2">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1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⑴</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公开开标后直到宣布授予中标人合同为止，凡属于审查、澄清、评估和比较投标的有关资料且与授予合同有关的信息都不得向任何投标人或与上述评标过程无关的人员透露。</w:t>
      </w:r>
    </w:p>
    <w:p w14:paraId="0C72AD4D">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2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⑵</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投标人对评标、比较或授予合同决定的过程施加影响的企图和行为，都可能导致其投标被拒绝。</w:t>
      </w:r>
    </w:p>
    <w:p w14:paraId="442AF010">
      <w:pPr>
        <w:pStyle w:val="32"/>
        <w:spacing w:line="360" w:lineRule="auto"/>
        <w:ind w:firstLine="482" w:firstLineChars="200"/>
        <w:jc w:val="left"/>
        <w:outlineLvl w:val="9"/>
        <w:rPr>
          <w:rFonts w:ascii="仿宋" w:hAnsi="仿宋" w:eastAsia="仿宋" w:cs="仿宋"/>
          <w:b/>
          <w:color w:val="auto"/>
          <w:sz w:val="24"/>
          <w:szCs w:val="24"/>
        </w:rPr>
      </w:pPr>
      <w:bookmarkStart w:id="76" w:name="_Toc23559"/>
      <w:bookmarkStart w:id="77" w:name="_Toc16478"/>
      <w:bookmarkStart w:id="78" w:name="_Toc7982"/>
      <w:r>
        <w:rPr>
          <w:rFonts w:hint="eastAsia" w:ascii="仿宋" w:hAnsi="仿宋" w:eastAsia="仿宋" w:cs="仿宋"/>
          <w:b/>
          <w:color w:val="auto"/>
          <w:sz w:val="24"/>
          <w:szCs w:val="24"/>
        </w:rPr>
        <w:t>（十一）中标结果</w:t>
      </w:r>
      <w:bookmarkEnd w:id="76"/>
      <w:bookmarkEnd w:id="77"/>
      <w:bookmarkEnd w:id="78"/>
    </w:p>
    <w:p w14:paraId="6036D234">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1.中标结果公告</w:t>
      </w:r>
    </w:p>
    <w:p w14:paraId="170AD8BC">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1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⑴</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确定中标人后，</w:t>
      </w:r>
      <w:r>
        <w:rPr>
          <w:rFonts w:hint="eastAsia" w:ascii="仿宋" w:hAnsi="仿宋" w:eastAsia="仿宋" w:cs="仿宋"/>
          <w:bCs/>
          <w:color w:val="auto"/>
          <w:sz w:val="24"/>
          <w:szCs w:val="24"/>
          <w:lang w:eastAsia="zh-CN"/>
        </w:rPr>
        <w:t>招标代理机构</w:t>
      </w:r>
      <w:r>
        <w:rPr>
          <w:rFonts w:hint="eastAsia" w:ascii="仿宋" w:hAnsi="仿宋" w:eastAsia="仿宋" w:cs="仿宋"/>
          <w:bCs/>
          <w:color w:val="auto"/>
          <w:sz w:val="24"/>
          <w:szCs w:val="24"/>
        </w:rPr>
        <w:t xml:space="preserve">在衢州市阳光交易服务平台（https://qzygjy.com/）上及公告发布的媒体中，进行中标结果公告，公告期限为1个工作日。 </w:t>
      </w:r>
    </w:p>
    <w:p w14:paraId="0BFD664A">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2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⑵</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中标人因自身原因放弃中标或因不可抗力不能履行合同的，经质疑，</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审查确定因中标人在本次采购活动中存在违规行为或其他原因使质疑成立的，</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可以与第二中标候选人签订采购合同或重新组织招标；第二中标候选人因自身原因放弃中标或因不可抗力不能履行合同的，经质疑，</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审查确定因第二中标候选人在本次采购活动中存在违规行为或其他原因使质疑成立的，</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可以与第三中标候选人签订采购合同或重新组织招标。</w:t>
      </w:r>
    </w:p>
    <w:p w14:paraId="2521CC9A">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2.质疑和投诉</w:t>
      </w:r>
    </w:p>
    <w:p w14:paraId="7E522825">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lang w:eastAsia="zh-CN"/>
        </w:rPr>
        <w:t>参照《衢州市国有企业采购管理办法（试行）》</w:t>
      </w:r>
      <w:r>
        <w:rPr>
          <w:rFonts w:hint="eastAsia" w:ascii="仿宋" w:hAnsi="仿宋" w:eastAsia="仿宋" w:cs="仿宋"/>
          <w:bCs/>
          <w:color w:val="auto"/>
          <w:sz w:val="24"/>
          <w:szCs w:val="24"/>
        </w:rPr>
        <w:t>（衢国资发</w:t>
      </w:r>
      <w:r>
        <w:rPr>
          <w:rFonts w:hint="eastAsia" w:ascii="仿宋" w:hAnsi="仿宋" w:eastAsia="仿宋" w:cs="仿宋"/>
          <w:bCs/>
          <w:color w:val="auto"/>
          <w:sz w:val="24"/>
          <w:szCs w:val="24"/>
          <w:lang w:eastAsia="zh-CN"/>
        </w:rPr>
        <w:t>〔</w:t>
      </w:r>
      <w:r>
        <w:rPr>
          <w:rFonts w:hint="eastAsia" w:ascii="仿宋" w:hAnsi="仿宋" w:eastAsia="仿宋" w:cs="仿宋"/>
          <w:bCs/>
          <w:color w:val="auto"/>
          <w:sz w:val="24"/>
          <w:szCs w:val="24"/>
        </w:rPr>
        <w:t>2020</w:t>
      </w:r>
      <w:r>
        <w:rPr>
          <w:rFonts w:hint="eastAsia" w:ascii="仿宋" w:hAnsi="仿宋" w:eastAsia="仿宋" w:cs="仿宋"/>
          <w:bCs/>
          <w:color w:val="auto"/>
          <w:sz w:val="24"/>
          <w:szCs w:val="24"/>
          <w:lang w:eastAsia="zh-CN"/>
        </w:rPr>
        <w:t>〕</w:t>
      </w:r>
      <w:r>
        <w:rPr>
          <w:rFonts w:hint="eastAsia" w:ascii="仿宋" w:hAnsi="仿宋" w:eastAsia="仿宋" w:cs="仿宋"/>
          <w:bCs/>
          <w:color w:val="auto"/>
          <w:sz w:val="24"/>
          <w:szCs w:val="24"/>
        </w:rPr>
        <w:t>36号）的规定，投标人可以依法提起质疑和投诉。</w:t>
      </w:r>
    </w:p>
    <w:p w14:paraId="2EA78D99">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2.1投标人询问</w:t>
      </w:r>
    </w:p>
    <w:p w14:paraId="4E9A4C94">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投标人对采购活动事项有疑问的，可以向招标代理机构提出询问，招标代理机构在</w:t>
      </w:r>
      <w:r>
        <w:rPr>
          <w:rFonts w:hint="eastAsia" w:ascii="仿宋" w:hAnsi="仿宋" w:eastAsia="仿宋" w:cs="仿宋"/>
          <w:bCs/>
          <w:color w:val="auto"/>
          <w:sz w:val="24"/>
          <w:szCs w:val="24"/>
          <w:lang w:val="en-US" w:eastAsia="zh-CN"/>
        </w:rPr>
        <w:t>七</w:t>
      </w:r>
      <w:r>
        <w:rPr>
          <w:rFonts w:hint="eastAsia" w:ascii="仿宋" w:hAnsi="仿宋" w:eastAsia="仿宋" w:cs="仿宋"/>
          <w:bCs/>
          <w:color w:val="auto"/>
          <w:sz w:val="24"/>
          <w:szCs w:val="24"/>
        </w:rPr>
        <w:t>个工作日内</w:t>
      </w:r>
      <w:r>
        <w:rPr>
          <w:rFonts w:hint="eastAsia" w:ascii="仿宋" w:hAnsi="仿宋" w:eastAsia="仿宋" w:cs="仿宋"/>
          <w:bCs/>
          <w:color w:val="auto"/>
          <w:sz w:val="24"/>
          <w:szCs w:val="24"/>
          <w:lang w:eastAsia="zh-CN"/>
        </w:rPr>
        <w:t>作出</w:t>
      </w:r>
      <w:r>
        <w:rPr>
          <w:rFonts w:hint="eastAsia" w:ascii="仿宋" w:hAnsi="仿宋" w:eastAsia="仿宋" w:cs="仿宋"/>
          <w:bCs/>
          <w:color w:val="auto"/>
          <w:sz w:val="24"/>
          <w:szCs w:val="24"/>
        </w:rPr>
        <w:t>答复，但答复的内容不得涉及商业秘密。</w:t>
      </w:r>
    </w:p>
    <w:p w14:paraId="11A7BDDD">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2.2投标人质疑</w:t>
      </w:r>
    </w:p>
    <w:p w14:paraId="2B6F2A5C">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2.2.1投标人认为招标文件、采购过程和中标、成交结果使自己的权益受到损害的，可以在知道或者应知其权益受到损害之日起七个工作日内，以书面形式向招标代理机构提出质疑。逾期不予受理。</w:t>
      </w:r>
    </w:p>
    <w:p w14:paraId="3B417F64">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投标人应知其权益受到损害之日，是指：</w:t>
      </w:r>
    </w:p>
    <w:p w14:paraId="0CC2D0B6">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⑴对可以质疑的</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提出质疑的，为收到</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之日或</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公告期限届满之日</w:t>
      </w:r>
      <w:r>
        <w:rPr>
          <w:rFonts w:hint="eastAsia" w:ascii="仿宋" w:hAnsi="仿宋" w:eastAsia="仿宋" w:cs="仿宋"/>
          <w:bCs/>
          <w:color w:val="auto"/>
          <w:sz w:val="24"/>
          <w:szCs w:val="24"/>
          <w:lang w:eastAsia="zh-CN"/>
        </w:rPr>
        <w:t>。</w:t>
      </w:r>
    </w:p>
    <w:p w14:paraId="52E16D56">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⑵对采购过程提出质疑的，为各采购程序环节结束之日</w:t>
      </w:r>
      <w:r>
        <w:rPr>
          <w:rFonts w:hint="eastAsia" w:ascii="仿宋" w:hAnsi="仿宋" w:eastAsia="仿宋" w:cs="仿宋"/>
          <w:bCs/>
          <w:color w:val="auto"/>
          <w:sz w:val="24"/>
          <w:szCs w:val="24"/>
          <w:lang w:eastAsia="zh-CN"/>
        </w:rPr>
        <w:t>。</w:t>
      </w:r>
    </w:p>
    <w:p w14:paraId="611FD142">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⑶对中标结果提出质疑的，为中标结果公告期限届满之日。</w:t>
      </w:r>
    </w:p>
    <w:p w14:paraId="2ABAB1F5">
      <w:pPr>
        <w:pStyle w:val="32"/>
        <w:spacing w:line="360" w:lineRule="auto"/>
        <w:ind w:firstLine="480" w:firstLineChars="200"/>
        <w:jc w:val="left"/>
        <w:outlineLvl w:val="9"/>
        <w:rPr>
          <w:rFonts w:hint="eastAsia" w:ascii="仿宋" w:hAnsi="仿宋" w:eastAsia="仿宋" w:cs="仿宋"/>
          <w:bCs/>
          <w:color w:val="auto"/>
          <w:sz w:val="24"/>
          <w:szCs w:val="24"/>
        </w:rPr>
      </w:pPr>
      <w:r>
        <w:rPr>
          <w:rFonts w:hint="eastAsia" w:ascii="仿宋" w:hAnsi="仿宋" w:eastAsia="仿宋" w:cs="仿宋"/>
          <w:bCs/>
          <w:color w:val="auto"/>
          <w:sz w:val="24"/>
          <w:szCs w:val="24"/>
        </w:rPr>
        <w:t>2.2.2投标人质疑应当有明确的请求和必要的证明材料，否则视为无效质疑，不予受理。提交方式登录：衢州市阳光交易服务平台（https://qzygjy.com/bszn/sec.html）－发包公告－进入项目－异议－新增异议。投标人提交的质疑书，由法定代表人（负责人）签字（或盖章）并加盖单位公章。质疑书至少应包括下列主要内容：</w:t>
      </w:r>
    </w:p>
    <w:p w14:paraId="10CE8EA7">
      <w:pPr>
        <w:pStyle w:val="32"/>
        <w:spacing w:line="360" w:lineRule="auto"/>
        <w:ind w:firstLine="480" w:firstLineChars="200"/>
        <w:jc w:val="left"/>
        <w:outlineLvl w:val="9"/>
        <w:rPr>
          <w:rFonts w:hint="eastAsia" w:ascii="仿宋" w:hAnsi="仿宋" w:eastAsia="仿宋" w:cs="仿宋"/>
          <w:bCs/>
          <w:color w:val="auto"/>
          <w:sz w:val="24"/>
          <w:szCs w:val="24"/>
        </w:rPr>
      </w:pPr>
      <w:r>
        <w:rPr>
          <w:rFonts w:hint="eastAsia" w:ascii="仿宋" w:hAnsi="仿宋" w:eastAsia="仿宋" w:cs="仿宋"/>
          <w:bCs/>
          <w:color w:val="auto"/>
          <w:sz w:val="24"/>
          <w:szCs w:val="24"/>
        </w:rPr>
        <w:t>⑴质疑人的名称、地址、邮政编码、联系人、联系电话，以及被质疑人名称及联系方式。</w:t>
      </w:r>
    </w:p>
    <w:p w14:paraId="7A81ABE7">
      <w:pPr>
        <w:pStyle w:val="32"/>
        <w:spacing w:line="360" w:lineRule="auto"/>
        <w:ind w:firstLine="480" w:firstLineChars="200"/>
        <w:jc w:val="left"/>
        <w:outlineLvl w:val="9"/>
        <w:rPr>
          <w:rFonts w:hint="eastAsia" w:ascii="仿宋" w:hAnsi="仿宋" w:eastAsia="仿宋" w:cs="仿宋"/>
          <w:bCs/>
          <w:color w:val="auto"/>
          <w:sz w:val="24"/>
          <w:szCs w:val="24"/>
        </w:rPr>
      </w:pPr>
      <w:r>
        <w:rPr>
          <w:rFonts w:hint="eastAsia" w:ascii="仿宋" w:hAnsi="仿宋" w:eastAsia="仿宋" w:cs="仿宋"/>
          <w:bCs/>
          <w:color w:val="auto"/>
          <w:sz w:val="24"/>
          <w:szCs w:val="24"/>
        </w:rPr>
        <w:t>⑵被质疑采购项目名称、编号及采购内容。</w:t>
      </w:r>
    </w:p>
    <w:p w14:paraId="7F0BA01D">
      <w:pPr>
        <w:pStyle w:val="32"/>
        <w:spacing w:line="360" w:lineRule="auto"/>
        <w:ind w:firstLine="480" w:firstLineChars="200"/>
        <w:jc w:val="left"/>
        <w:outlineLvl w:val="9"/>
        <w:rPr>
          <w:rFonts w:hint="eastAsia" w:ascii="仿宋" w:hAnsi="仿宋" w:eastAsia="仿宋" w:cs="仿宋"/>
          <w:bCs/>
          <w:color w:val="auto"/>
          <w:sz w:val="24"/>
          <w:szCs w:val="24"/>
        </w:rPr>
      </w:pPr>
      <w:r>
        <w:rPr>
          <w:rFonts w:hint="eastAsia" w:ascii="仿宋" w:hAnsi="仿宋" w:eastAsia="仿宋" w:cs="仿宋"/>
          <w:bCs/>
          <w:color w:val="auto"/>
          <w:sz w:val="24"/>
          <w:szCs w:val="24"/>
        </w:rPr>
        <w:t>⑶具体的质疑事项及事实依据。</w:t>
      </w:r>
    </w:p>
    <w:p w14:paraId="43054493">
      <w:pPr>
        <w:pStyle w:val="32"/>
        <w:spacing w:line="360" w:lineRule="auto"/>
        <w:ind w:firstLine="480" w:firstLineChars="200"/>
        <w:jc w:val="left"/>
        <w:outlineLvl w:val="9"/>
        <w:rPr>
          <w:rFonts w:hint="eastAsia" w:ascii="仿宋" w:hAnsi="仿宋" w:eastAsia="仿宋" w:cs="仿宋"/>
          <w:bCs/>
          <w:color w:val="auto"/>
          <w:sz w:val="24"/>
          <w:szCs w:val="24"/>
        </w:rPr>
      </w:pPr>
      <w:r>
        <w:rPr>
          <w:rFonts w:hint="eastAsia" w:ascii="仿宋" w:hAnsi="仿宋" w:eastAsia="仿宋" w:cs="仿宋"/>
          <w:bCs/>
          <w:color w:val="auto"/>
          <w:sz w:val="24"/>
          <w:szCs w:val="24"/>
        </w:rPr>
        <w:t>⑷认为自己合法权益受到损害或可能受到损害的相关证据材料。</w:t>
      </w:r>
    </w:p>
    <w:p w14:paraId="2FC2E170">
      <w:pPr>
        <w:pStyle w:val="32"/>
        <w:spacing w:line="360" w:lineRule="auto"/>
        <w:ind w:firstLine="480" w:firstLineChars="200"/>
        <w:jc w:val="left"/>
        <w:outlineLvl w:val="9"/>
        <w:rPr>
          <w:rFonts w:hint="eastAsia" w:ascii="仿宋" w:hAnsi="仿宋" w:eastAsia="仿宋" w:cs="仿宋"/>
          <w:bCs/>
          <w:color w:val="auto"/>
          <w:sz w:val="24"/>
          <w:szCs w:val="24"/>
        </w:rPr>
      </w:pPr>
      <w:r>
        <w:rPr>
          <w:rFonts w:hint="eastAsia" w:ascii="仿宋" w:hAnsi="仿宋" w:eastAsia="仿宋" w:cs="仿宋"/>
          <w:bCs/>
          <w:color w:val="auto"/>
          <w:sz w:val="24"/>
          <w:szCs w:val="24"/>
        </w:rPr>
        <w:t>⑸提出质疑的日期。</w:t>
      </w:r>
    </w:p>
    <w:p w14:paraId="5AC3863D">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2.3招标代理机构应当在收到投标人的书面质疑后七个工作日内作出答复，并以书面形式通知质疑投标人和其他与质疑处理结果有利害关系的采购当事人，但答复的内容不得涉及商业秘密。</w:t>
      </w:r>
    </w:p>
    <w:p w14:paraId="08EE015A">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2.4投标人投诉</w:t>
      </w:r>
    </w:p>
    <w:p w14:paraId="0B474D39">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质疑人对招标代理机构的答复不满意或者招标代理机构未在规定的时间内作出答复的，可以在答复期满后十五个工作日内向</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提出投诉，逾期不予受理。质疑人对招标人答复不满意的根据相关法律法规采取相关措施。</w:t>
      </w:r>
    </w:p>
    <w:p w14:paraId="36F0B96C">
      <w:pPr>
        <w:pStyle w:val="32"/>
        <w:spacing w:line="360" w:lineRule="auto"/>
        <w:ind w:firstLine="482" w:firstLineChars="200"/>
        <w:jc w:val="left"/>
        <w:outlineLvl w:val="9"/>
        <w:rPr>
          <w:rFonts w:ascii="仿宋" w:hAnsi="仿宋" w:eastAsia="仿宋" w:cs="仿宋"/>
          <w:b/>
          <w:color w:val="auto"/>
          <w:sz w:val="24"/>
          <w:szCs w:val="24"/>
        </w:rPr>
      </w:pPr>
      <w:r>
        <w:rPr>
          <w:rFonts w:hint="eastAsia" w:ascii="仿宋" w:hAnsi="仿宋" w:eastAsia="仿宋" w:cs="仿宋"/>
          <w:b/>
          <w:color w:val="auto"/>
          <w:sz w:val="24"/>
          <w:szCs w:val="24"/>
        </w:rPr>
        <w:t>（十二）法律责任</w:t>
      </w:r>
    </w:p>
    <w:p w14:paraId="1639E868">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1.投标人有下列情形之一的，招标人及招标代理机构可上报有关行政部门，由行政部门作出相应处罚</w:t>
      </w:r>
      <w:r>
        <w:rPr>
          <w:rFonts w:hint="eastAsia" w:ascii="仿宋" w:hAnsi="仿宋" w:eastAsia="仿宋" w:cs="仿宋"/>
          <w:bCs/>
          <w:color w:val="auto"/>
          <w:sz w:val="24"/>
          <w:szCs w:val="24"/>
          <w:lang w:eastAsia="zh-CN"/>
        </w:rPr>
        <w:t>，</w:t>
      </w:r>
      <w:r>
        <w:rPr>
          <w:rFonts w:hint="eastAsia" w:ascii="仿宋" w:hAnsi="仿宋" w:eastAsia="仿宋" w:cs="仿宋"/>
          <w:bCs/>
          <w:color w:val="auto"/>
          <w:sz w:val="24"/>
          <w:szCs w:val="24"/>
        </w:rPr>
        <w:t>列入不良行为记录名单，在一至三年内禁止参加采购活动，并予以公告，有违法所得的，并处没收违法所得，情节严重的，由工商行政管理机关吊销营业执照；构成犯罪的，依法追究刑事责任：</w:t>
      </w:r>
    </w:p>
    <w:p w14:paraId="253672D2">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1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⑴</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提供虚假材料谋取中标的</w:t>
      </w:r>
      <w:r>
        <w:rPr>
          <w:rFonts w:hint="eastAsia" w:ascii="仿宋" w:hAnsi="仿宋" w:eastAsia="仿宋" w:cs="仿宋"/>
          <w:bCs/>
          <w:color w:val="auto"/>
          <w:sz w:val="24"/>
          <w:szCs w:val="24"/>
          <w:lang w:eastAsia="zh-CN"/>
        </w:rPr>
        <w:t>。</w:t>
      </w:r>
    </w:p>
    <w:p w14:paraId="26146640">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2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⑵</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采取不正当手段诋毁、排挤其他投标人的</w:t>
      </w:r>
      <w:r>
        <w:rPr>
          <w:rFonts w:hint="eastAsia" w:ascii="仿宋" w:hAnsi="仿宋" w:eastAsia="仿宋" w:cs="仿宋"/>
          <w:bCs/>
          <w:color w:val="auto"/>
          <w:sz w:val="24"/>
          <w:szCs w:val="24"/>
          <w:lang w:eastAsia="zh-CN"/>
        </w:rPr>
        <w:t>。</w:t>
      </w:r>
    </w:p>
    <w:p w14:paraId="7C742D4B">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3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⑶</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与</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w:t>
      </w:r>
      <w:r>
        <w:rPr>
          <w:rFonts w:hint="eastAsia" w:ascii="仿宋" w:hAnsi="仿宋" w:eastAsia="仿宋" w:cs="仿宋"/>
          <w:bCs/>
          <w:color w:val="auto"/>
          <w:sz w:val="24"/>
          <w:szCs w:val="24"/>
          <w:lang w:eastAsia="zh-CN"/>
        </w:rPr>
        <w:t>招标代理机构</w:t>
      </w:r>
      <w:r>
        <w:rPr>
          <w:rFonts w:hint="eastAsia" w:ascii="仿宋" w:hAnsi="仿宋" w:eastAsia="仿宋" w:cs="仿宋"/>
          <w:bCs/>
          <w:color w:val="auto"/>
          <w:sz w:val="24"/>
          <w:szCs w:val="24"/>
        </w:rPr>
        <w:t>、其他投标人恶意串通的</w:t>
      </w:r>
      <w:r>
        <w:rPr>
          <w:rFonts w:hint="eastAsia" w:ascii="仿宋" w:hAnsi="仿宋" w:eastAsia="仿宋" w:cs="仿宋"/>
          <w:bCs/>
          <w:color w:val="auto"/>
          <w:sz w:val="24"/>
          <w:szCs w:val="24"/>
          <w:lang w:eastAsia="zh-CN"/>
        </w:rPr>
        <w:t>。</w:t>
      </w:r>
    </w:p>
    <w:p w14:paraId="5D92C4AD">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4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⑷</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向</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w:t>
      </w:r>
      <w:r>
        <w:rPr>
          <w:rFonts w:hint="eastAsia" w:ascii="仿宋" w:hAnsi="仿宋" w:eastAsia="仿宋" w:cs="仿宋"/>
          <w:bCs/>
          <w:color w:val="auto"/>
          <w:sz w:val="24"/>
          <w:szCs w:val="24"/>
          <w:lang w:eastAsia="zh-CN"/>
        </w:rPr>
        <w:t>招标代理机构</w:t>
      </w:r>
      <w:r>
        <w:rPr>
          <w:rFonts w:hint="eastAsia" w:ascii="仿宋" w:hAnsi="仿宋" w:eastAsia="仿宋" w:cs="仿宋"/>
          <w:bCs/>
          <w:color w:val="auto"/>
          <w:sz w:val="24"/>
          <w:szCs w:val="24"/>
        </w:rPr>
        <w:t>行贿或者提供其他不正当利益的</w:t>
      </w:r>
      <w:r>
        <w:rPr>
          <w:rFonts w:hint="eastAsia" w:ascii="仿宋" w:hAnsi="仿宋" w:eastAsia="仿宋" w:cs="仿宋"/>
          <w:bCs/>
          <w:color w:val="auto"/>
          <w:sz w:val="24"/>
          <w:szCs w:val="24"/>
          <w:lang w:eastAsia="zh-CN"/>
        </w:rPr>
        <w:t>。</w:t>
      </w:r>
    </w:p>
    <w:p w14:paraId="3E26918A">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5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⑸</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在开标过程中与</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进行协商谈判、不按照</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和中标人的投标文件订立合同，或者与</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另行订立背离合同实质性内容的协议的</w:t>
      </w:r>
      <w:r>
        <w:rPr>
          <w:rFonts w:hint="eastAsia" w:ascii="仿宋" w:hAnsi="仿宋" w:eastAsia="仿宋" w:cs="仿宋"/>
          <w:bCs/>
          <w:color w:val="auto"/>
          <w:sz w:val="24"/>
          <w:szCs w:val="24"/>
          <w:lang w:eastAsia="zh-CN"/>
        </w:rPr>
        <w:t>。</w:t>
      </w:r>
    </w:p>
    <w:p w14:paraId="23C90C25">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6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⑹</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拒绝有关部门监督检查或者提供虚假情况的</w:t>
      </w:r>
      <w:r>
        <w:rPr>
          <w:rFonts w:hint="eastAsia" w:ascii="仿宋" w:hAnsi="仿宋" w:eastAsia="仿宋" w:cs="仿宋"/>
          <w:bCs/>
          <w:color w:val="auto"/>
          <w:sz w:val="24"/>
          <w:szCs w:val="24"/>
          <w:lang w:eastAsia="zh-CN"/>
        </w:rPr>
        <w:t>。</w:t>
      </w:r>
    </w:p>
    <w:p w14:paraId="748ABAEE">
      <w:pPr>
        <w:pStyle w:val="32"/>
        <w:spacing w:line="360" w:lineRule="auto"/>
        <w:ind w:firstLine="482" w:firstLineChars="200"/>
        <w:jc w:val="left"/>
        <w:outlineLvl w:val="9"/>
        <w:rPr>
          <w:rFonts w:ascii="仿宋" w:hAnsi="仿宋" w:eastAsia="仿宋" w:cs="仿宋"/>
          <w:b/>
          <w:color w:val="auto"/>
          <w:sz w:val="24"/>
          <w:szCs w:val="24"/>
        </w:rPr>
      </w:pPr>
      <w:r>
        <w:rPr>
          <w:rFonts w:hint="eastAsia" w:ascii="仿宋" w:hAnsi="仿宋" w:eastAsia="仿宋" w:cs="仿宋"/>
          <w:b/>
          <w:color w:val="auto"/>
          <w:sz w:val="24"/>
          <w:szCs w:val="24"/>
        </w:rPr>
        <w:t>（十三）授予合同签订资格</w:t>
      </w:r>
    </w:p>
    <w:p w14:paraId="10662403">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1.中标通知书</w:t>
      </w:r>
    </w:p>
    <w:p w14:paraId="1EB3731D">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1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⑴</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在公告中标结果的同时，</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或者</w:t>
      </w:r>
      <w:r>
        <w:rPr>
          <w:rFonts w:hint="eastAsia" w:ascii="仿宋" w:hAnsi="仿宋" w:eastAsia="仿宋" w:cs="仿宋"/>
          <w:bCs/>
          <w:color w:val="auto"/>
          <w:sz w:val="24"/>
          <w:szCs w:val="24"/>
          <w:lang w:eastAsia="zh-CN"/>
        </w:rPr>
        <w:t>招标代理机构</w:t>
      </w:r>
      <w:r>
        <w:rPr>
          <w:rFonts w:hint="eastAsia" w:ascii="仿宋" w:hAnsi="仿宋" w:eastAsia="仿宋" w:cs="仿宋"/>
          <w:bCs/>
          <w:color w:val="auto"/>
          <w:sz w:val="24"/>
          <w:szCs w:val="24"/>
        </w:rPr>
        <w:t>应当向中标人发出中标通知书。</w:t>
      </w:r>
    </w:p>
    <w:p w14:paraId="7862B6A7">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2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⑵</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中标通知书是中标人与</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签订合同的凭证，是授予合同签订资格的合法依据。</w:t>
      </w:r>
    </w:p>
    <w:p w14:paraId="5A4442CB">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3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⑶</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rPr>
        <w:t>中标通知书发出后，</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不得违法改变中标结果，中标人无正当理由不得放弃中标。</w:t>
      </w:r>
    </w:p>
    <w:p w14:paraId="4E35752C">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⑷中标人按《中标通知书》指定的时间、地点与</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直接签订合同。在有合理证据证明中标人在投标过程中承诺的内容不能实质响应的，</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有权拒签合同。</w:t>
      </w:r>
    </w:p>
    <w:p w14:paraId="63953ED5">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2.合同的签订</w:t>
      </w:r>
    </w:p>
    <w:p w14:paraId="664A340C">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fldChar w:fldCharType="begin"/>
      </w:r>
      <w:r>
        <w:rPr>
          <w:rFonts w:hint="eastAsia" w:ascii="仿宋" w:hAnsi="仿宋" w:eastAsia="仿宋" w:cs="仿宋"/>
          <w:bCs/>
          <w:color w:val="auto"/>
          <w:sz w:val="24"/>
          <w:szCs w:val="24"/>
        </w:rPr>
        <w:instrText xml:space="preserve"> = 1 \* GB2 \* MERGEFORMAT </w:instrText>
      </w:r>
      <w:r>
        <w:rPr>
          <w:rFonts w:hint="eastAsia" w:ascii="仿宋" w:hAnsi="仿宋" w:eastAsia="仿宋" w:cs="仿宋"/>
          <w:bCs/>
          <w:color w:val="auto"/>
          <w:sz w:val="24"/>
          <w:szCs w:val="24"/>
        </w:rPr>
        <w:fldChar w:fldCharType="separate"/>
      </w:r>
      <w:r>
        <w:rPr>
          <w:rFonts w:hint="eastAsia" w:ascii="仿宋" w:hAnsi="仿宋" w:eastAsia="仿宋" w:cs="仿宋"/>
          <w:bCs/>
          <w:color w:val="auto"/>
          <w:sz w:val="24"/>
          <w:szCs w:val="24"/>
        </w:rPr>
        <w:t>⑴</w:t>
      </w:r>
      <w:r>
        <w:rPr>
          <w:rFonts w:hint="eastAsia" w:ascii="仿宋" w:hAnsi="仿宋" w:eastAsia="仿宋" w:cs="仿宋"/>
          <w:bCs/>
          <w:color w:val="auto"/>
          <w:sz w:val="24"/>
          <w:szCs w:val="24"/>
        </w:rPr>
        <w:fldChar w:fldCharType="end"/>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应当自中标通知书发出之日起30日内，按照</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和中标人投标文件的规定，与中标人签订书面合同。所签订的合同不得对</w:t>
      </w:r>
      <w:r>
        <w:rPr>
          <w:rFonts w:hint="eastAsia" w:ascii="仿宋" w:hAnsi="仿宋" w:eastAsia="仿宋" w:cs="仿宋"/>
          <w:bCs/>
          <w:color w:val="auto"/>
          <w:sz w:val="24"/>
          <w:szCs w:val="24"/>
          <w:lang w:eastAsia="zh-CN"/>
        </w:rPr>
        <w:t>招标文件</w:t>
      </w:r>
      <w:r>
        <w:rPr>
          <w:rFonts w:hint="eastAsia" w:ascii="仿宋" w:hAnsi="仿宋" w:eastAsia="仿宋" w:cs="仿宋"/>
          <w:bCs/>
          <w:color w:val="auto"/>
          <w:sz w:val="24"/>
          <w:szCs w:val="24"/>
        </w:rPr>
        <w:t>确定的事项和中标人投标文件作实质性修改。</w:t>
      </w:r>
    </w:p>
    <w:p w14:paraId="1DE2ABA9">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⑵采购合同应当包括</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与中标人的名称和住所、标的、数量、质量、价款或者报酬、履行期限及地点和方式、验收要求、违约责任、解决争议的方法等内容。</w:t>
      </w:r>
    </w:p>
    <w:p w14:paraId="2FA3659C">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⑶招标文件、澄清文件、投标文件等，均为签订合同的依据。中标人接到中标通知书后在规定的时间内与</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签订合同。</w:t>
      </w:r>
    </w:p>
    <w:p w14:paraId="3EF081AC">
      <w:pPr>
        <w:pStyle w:val="32"/>
        <w:spacing w:line="360" w:lineRule="auto"/>
        <w:ind w:firstLine="480" w:firstLineChars="200"/>
        <w:jc w:val="left"/>
        <w:outlineLvl w:val="9"/>
        <w:rPr>
          <w:color w:val="auto"/>
        </w:rPr>
      </w:pPr>
      <w:r>
        <w:rPr>
          <w:rFonts w:hint="eastAsia" w:ascii="仿宋" w:hAnsi="仿宋" w:eastAsia="仿宋" w:cs="仿宋"/>
          <w:bCs/>
          <w:color w:val="auto"/>
          <w:sz w:val="24"/>
          <w:szCs w:val="24"/>
        </w:rPr>
        <w:t>⑷中标人不遵守投标文件的要约、承诺，擅自修改投标文件的内容或在接到中标通知书规定的时间内，借故拖延、拒签合同者，</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将取消该投标人的中标资格。</w:t>
      </w:r>
    </w:p>
    <w:p w14:paraId="4F48C735">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⑸</w:t>
      </w:r>
      <w:r>
        <w:rPr>
          <w:rFonts w:hint="eastAsia" w:ascii="仿宋" w:hAnsi="仿宋" w:eastAsia="仿宋" w:cs="仿宋"/>
          <w:bCs/>
          <w:color w:val="auto"/>
          <w:sz w:val="24"/>
          <w:szCs w:val="24"/>
          <w:lang w:eastAsia="zh-CN"/>
        </w:rPr>
        <w:t>招标人</w:t>
      </w:r>
      <w:r>
        <w:rPr>
          <w:rFonts w:hint="eastAsia" w:ascii="仿宋" w:hAnsi="仿宋" w:eastAsia="仿宋" w:cs="仿宋"/>
          <w:bCs/>
          <w:color w:val="auto"/>
          <w:sz w:val="24"/>
          <w:szCs w:val="24"/>
        </w:rPr>
        <w:t>与中标人应当根据合同的约定依法履行合同义务。</w:t>
      </w:r>
    </w:p>
    <w:p w14:paraId="20CD4D4F">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⑹采购合同的履行、违约责任和解决争议的方法等适用《中华人民共和国民法典》。</w:t>
      </w:r>
    </w:p>
    <w:p w14:paraId="0A344189">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⑺中标人应当按照合同约定履行义务完成项目。</w:t>
      </w:r>
    </w:p>
    <w:p w14:paraId="25B6CBB2">
      <w:pPr>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3.代理服务费及其他费用（</w:t>
      </w:r>
      <w:r>
        <w:rPr>
          <w:rFonts w:hint="eastAsia" w:ascii="仿宋" w:hAnsi="仿宋" w:eastAsia="仿宋" w:cs="仿宋"/>
          <w:color w:val="auto"/>
          <w:sz w:val="24"/>
          <w:szCs w:val="24"/>
        </w:rPr>
        <w:t>以人民币元收取</w:t>
      </w:r>
      <w:r>
        <w:rPr>
          <w:rFonts w:hint="eastAsia" w:ascii="仿宋" w:hAnsi="仿宋" w:eastAsia="仿宋" w:cs="仿宋"/>
          <w:bCs/>
          <w:color w:val="auto"/>
          <w:sz w:val="24"/>
          <w:szCs w:val="24"/>
        </w:rPr>
        <w:t>）</w:t>
      </w:r>
    </w:p>
    <w:p w14:paraId="54CCB4B2">
      <w:pPr>
        <w:spacing w:line="360" w:lineRule="auto"/>
        <w:ind w:firstLine="480" w:firstLineChars="200"/>
        <w:jc w:val="left"/>
        <w:outlineLvl w:val="9"/>
        <w:rPr>
          <w:rFonts w:hint="eastAsia" w:ascii="仿宋" w:hAnsi="仿宋" w:eastAsia="仿宋" w:cs="仿宋"/>
          <w:bCs/>
          <w:color w:val="auto"/>
          <w:sz w:val="24"/>
          <w:szCs w:val="24"/>
        </w:rPr>
      </w:pPr>
      <w:bookmarkStart w:id="79" w:name="_Hlk47305225"/>
      <w:r>
        <w:rPr>
          <w:rFonts w:hint="eastAsia" w:ascii="仿宋" w:hAnsi="仿宋" w:eastAsia="仿宋" w:cs="仿宋"/>
          <w:bCs/>
          <w:color w:val="auto"/>
          <w:sz w:val="24"/>
          <w:szCs w:val="24"/>
          <w:lang w:val="en-US" w:eastAsia="zh-CN"/>
        </w:rPr>
        <w:t>⑴</w:t>
      </w:r>
      <w:r>
        <w:rPr>
          <w:rFonts w:hint="eastAsia" w:ascii="仿宋" w:hAnsi="仿宋" w:eastAsia="仿宋" w:cs="仿宋"/>
          <w:bCs/>
          <w:color w:val="auto"/>
          <w:sz w:val="24"/>
          <w:szCs w:val="24"/>
        </w:rPr>
        <w:t>本次</w:t>
      </w:r>
      <w:r>
        <w:rPr>
          <w:rFonts w:hint="eastAsia" w:ascii="仿宋" w:hAnsi="仿宋" w:eastAsia="仿宋" w:cs="仿宋"/>
          <w:bCs/>
          <w:color w:val="auto"/>
          <w:sz w:val="24"/>
          <w:szCs w:val="24"/>
          <w:lang w:val="en-US" w:eastAsia="zh-CN"/>
        </w:rPr>
        <w:t>招标</w:t>
      </w:r>
      <w:r>
        <w:rPr>
          <w:rFonts w:hint="eastAsia" w:ascii="仿宋" w:hAnsi="仿宋" w:eastAsia="仿宋" w:cs="仿宋"/>
          <w:bCs/>
          <w:color w:val="auto"/>
          <w:sz w:val="24"/>
          <w:szCs w:val="24"/>
        </w:rPr>
        <w:t>代理服务费按国家标准《计价格【2002】1980号文件》的</w:t>
      </w:r>
      <w:r>
        <w:rPr>
          <w:rFonts w:hint="eastAsia" w:ascii="仿宋" w:hAnsi="仿宋" w:eastAsia="仿宋" w:cs="仿宋"/>
          <w:bCs/>
          <w:color w:val="auto"/>
          <w:sz w:val="24"/>
          <w:szCs w:val="24"/>
          <w:lang w:val="en-US" w:eastAsia="zh-CN"/>
        </w:rPr>
        <w:t>8</w:t>
      </w:r>
      <w:r>
        <w:rPr>
          <w:rFonts w:hint="eastAsia" w:ascii="仿宋" w:hAnsi="仿宋" w:eastAsia="仿宋" w:cs="仿宋"/>
          <w:bCs/>
          <w:color w:val="auto"/>
          <w:sz w:val="24"/>
          <w:szCs w:val="24"/>
        </w:rPr>
        <w:t>0%计取，</w:t>
      </w:r>
      <w:r>
        <w:rPr>
          <w:rFonts w:hint="eastAsia" w:ascii="仿宋" w:hAnsi="仿宋" w:eastAsia="仿宋" w:cs="仿宋"/>
          <w:bCs/>
          <w:color w:val="auto"/>
          <w:sz w:val="24"/>
          <w:szCs w:val="24"/>
          <w:lang w:val="en-US" w:eastAsia="zh-CN"/>
        </w:rPr>
        <w:t>以预算价为计费基数，</w:t>
      </w:r>
      <w:r>
        <w:rPr>
          <w:rFonts w:hint="eastAsia" w:ascii="仿宋" w:hAnsi="仿宋" w:eastAsia="仿宋" w:cs="仿宋"/>
          <w:bCs/>
          <w:color w:val="auto"/>
          <w:sz w:val="24"/>
          <w:szCs w:val="24"/>
        </w:rPr>
        <w:t>按服务招标计算，不足2500元按2500元计算，由中标人领取中标通知书之前支付给</w:t>
      </w:r>
      <w:r>
        <w:rPr>
          <w:rFonts w:hint="eastAsia" w:ascii="仿宋" w:hAnsi="仿宋" w:eastAsia="仿宋" w:cs="仿宋"/>
          <w:bCs/>
          <w:color w:val="auto"/>
          <w:sz w:val="24"/>
          <w:szCs w:val="24"/>
          <w:lang w:eastAsia="zh-CN"/>
        </w:rPr>
        <w:t>招标代理机构</w:t>
      </w:r>
      <w:r>
        <w:rPr>
          <w:rFonts w:hint="eastAsia" w:ascii="仿宋" w:hAnsi="仿宋" w:eastAsia="仿宋" w:cs="仿宋"/>
          <w:bCs/>
          <w:color w:val="auto"/>
          <w:sz w:val="24"/>
          <w:szCs w:val="24"/>
        </w:rPr>
        <w:t>。收费标准如下：</w:t>
      </w:r>
    </w:p>
    <w:p w14:paraId="49D765E8">
      <w:pPr>
        <w:spacing w:line="360" w:lineRule="auto"/>
        <w:ind w:firstLine="482" w:firstLineChars="200"/>
        <w:outlineLvl w:val="9"/>
        <w:rPr>
          <w:rFonts w:ascii="仿宋" w:hAnsi="仿宋" w:eastAsia="仿宋" w:cs="仿宋"/>
          <w:color w:val="auto"/>
          <w:sz w:val="24"/>
          <w:szCs w:val="24"/>
        </w:rPr>
      </w:pPr>
      <w:r>
        <w:rPr>
          <w:rFonts w:hint="eastAsia" w:ascii="仿宋" w:hAnsi="仿宋" w:eastAsia="仿宋" w:cs="仿宋"/>
          <w:b/>
          <w:color w:val="auto"/>
          <w:sz w:val="24"/>
          <w:szCs w:val="24"/>
        </w:rPr>
        <w:drawing>
          <wp:anchor distT="0" distB="0" distL="114300" distR="114300" simplePos="0" relativeHeight="251659264" behindDoc="1" locked="0" layoutInCell="1" allowOverlap="1">
            <wp:simplePos x="0" y="0"/>
            <wp:positionH relativeFrom="column">
              <wp:posOffset>527050</wp:posOffset>
            </wp:positionH>
            <wp:positionV relativeFrom="paragraph">
              <wp:posOffset>3175</wp:posOffset>
            </wp:positionV>
            <wp:extent cx="4406265" cy="1849755"/>
            <wp:effectExtent l="0" t="0" r="51435" b="55245"/>
            <wp:wrapTight wrapText="bothSides">
              <wp:wrapPolygon>
                <wp:start x="0" y="0"/>
                <wp:lineTo x="0" y="21355"/>
                <wp:lineTo x="21479" y="21355"/>
                <wp:lineTo x="21479" y="0"/>
                <wp:lineTo x="0" y="0"/>
              </wp:wrapPolygon>
            </wp:wrapTight>
            <wp:docPr id="1" name="图片 2" descr="{DF$%WEWBEQTKGK@8J019O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DF$%WEWBEQTKGK@8J019OJ"/>
                    <pic:cNvPicPr>
                      <a:picLocks noChangeAspect="1"/>
                    </pic:cNvPicPr>
                  </pic:nvPicPr>
                  <pic:blipFill>
                    <a:blip r:embed="rId10"/>
                    <a:stretch>
                      <a:fillRect/>
                    </a:stretch>
                  </pic:blipFill>
                  <pic:spPr>
                    <a:xfrm>
                      <a:off x="0" y="0"/>
                      <a:ext cx="4406265" cy="1849755"/>
                    </a:xfrm>
                    <a:prstGeom prst="rect">
                      <a:avLst/>
                    </a:prstGeom>
                    <a:noFill/>
                    <a:ln>
                      <a:noFill/>
                    </a:ln>
                  </pic:spPr>
                </pic:pic>
              </a:graphicData>
            </a:graphic>
          </wp:anchor>
        </w:drawing>
      </w:r>
    </w:p>
    <w:p w14:paraId="2934FD05">
      <w:pPr>
        <w:numPr>
          <w:ilvl w:val="1"/>
          <w:numId w:val="0"/>
        </w:numPr>
        <w:spacing w:before="0" w:after="0"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 xml:space="preserve">  </w:t>
      </w:r>
    </w:p>
    <w:p w14:paraId="49CA4C5E">
      <w:pPr>
        <w:spacing w:line="360" w:lineRule="auto"/>
        <w:ind w:firstLine="480" w:firstLineChars="200"/>
        <w:outlineLvl w:val="9"/>
        <w:rPr>
          <w:rFonts w:ascii="仿宋" w:hAnsi="仿宋" w:eastAsia="仿宋" w:cs="仿宋"/>
          <w:color w:val="auto"/>
          <w:sz w:val="24"/>
          <w:szCs w:val="24"/>
        </w:rPr>
      </w:pPr>
    </w:p>
    <w:p w14:paraId="07469A41">
      <w:pPr>
        <w:spacing w:line="360" w:lineRule="auto"/>
        <w:ind w:firstLine="480" w:firstLineChars="200"/>
        <w:outlineLvl w:val="9"/>
        <w:rPr>
          <w:rFonts w:ascii="仿宋" w:hAnsi="仿宋" w:eastAsia="仿宋" w:cs="仿宋"/>
          <w:color w:val="auto"/>
          <w:sz w:val="24"/>
          <w:szCs w:val="24"/>
        </w:rPr>
      </w:pPr>
    </w:p>
    <w:p w14:paraId="013020F0">
      <w:pPr>
        <w:spacing w:line="360" w:lineRule="auto"/>
        <w:ind w:firstLine="464" w:firstLineChars="200"/>
        <w:outlineLvl w:val="9"/>
        <w:rPr>
          <w:rFonts w:ascii="仿宋" w:hAnsi="仿宋" w:eastAsia="仿宋" w:cs="仿宋"/>
          <w:color w:val="auto"/>
          <w:spacing w:val="-4"/>
          <w:sz w:val="24"/>
          <w:szCs w:val="24"/>
        </w:rPr>
      </w:pPr>
    </w:p>
    <w:p w14:paraId="5DB5D6AA">
      <w:pPr>
        <w:spacing w:line="360" w:lineRule="auto"/>
        <w:ind w:firstLine="480" w:firstLineChars="200"/>
        <w:outlineLvl w:val="9"/>
        <w:rPr>
          <w:rFonts w:ascii="仿宋" w:hAnsi="仿宋" w:eastAsia="仿宋" w:cs="仿宋"/>
          <w:color w:val="auto"/>
          <w:sz w:val="24"/>
          <w:szCs w:val="24"/>
        </w:rPr>
      </w:pPr>
    </w:p>
    <w:p w14:paraId="257B432F">
      <w:pPr>
        <w:spacing w:line="360" w:lineRule="auto"/>
        <w:ind w:firstLine="480" w:firstLineChars="200"/>
        <w:outlineLvl w:val="9"/>
        <w:rPr>
          <w:rFonts w:hint="eastAsia" w:ascii="仿宋" w:hAnsi="仿宋" w:eastAsia="仿宋" w:cs="仿宋"/>
          <w:color w:val="auto"/>
          <w:sz w:val="24"/>
          <w:szCs w:val="24"/>
        </w:rPr>
      </w:pPr>
    </w:p>
    <w:p w14:paraId="5EA5BDF3">
      <w:pPr>
        <w:spacing w:line="360" w:lineRule="auto"/>
        <w:ind w:firstLine="480" w:firstLineChars="200"/>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⑵</w:t>
      </w:r>
      <w:r>
        <w:rPr>
          <w:rFonts w:hint="eastAsia" w:ascii="仿宋" w:hAnsi="仿宋" w:eastAsia="仿宋" w:cs="仿宋"/>
          <w:color w:val="auto"/>
          <w:sz w:val="24"/>
          <w:szCs w:val="24"/>
        </w:rPr>
        <w:t>评审费按实计取，由中标人领取中标通知书时将这笔费用支付给</w:t>
      </w:r>
      <w:r>
        <w:rPr>
          <w:rFonts w:hint="eastAsia" w:ascii="仿宋" w:hAnsi="仿宋" w:eastAsia="仿宋" w:cs="仿宋"/>
          <w:color w:val="auto"/>
          <w:sz w:val="24"/>
          <w:szCs w:val="24"/>
          <w:lang w:eastAsia="zh-CN"/>
        </w:rPr>
        <w:t>招标代理机构</w:t>
      </w:r>
      <w:r>
        <w:rPr>
          <w:rFonts w:hint="eastAsia" w:ascii="仿宋" w:hAnsi="仿宋" w:eastAsia="仿宋" w:cs="仿宋"/>
          <w:color w:val="auto"/>
          <w:sz w:val="24"/>
          <w:szCs w:val="24"/>
        </w:rPr>
        <w:t>。</w:t>
      </w:r>
    </w:p>
    <w:p w14:paraId="415A05F5">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账户名称：衢州市两山工程咨询管理有限公司</w:t>
      </w:r>
    </w:p>
    <w:p w14:paraId="0C16EA1D">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账户号码：901000120190028568</w:t>
      </w:r>
    </w:p>
    <w:p w14:paraId="592A393C">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开户银行：温州银行衢州分行</w:t>
      </w:r>
    </w:p>
    <w:p w14:paraId="3B53D206">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bCs/>
          <w:color w:val="auto"/>
          <w:kern w:val="2"/>
          <w:sz w:val="24"/>
          <w:szCs w:val="24"/>
          <w:lang w:val="en-US" w:eastAsia="zh-CN" w:bidi="ar-SA"/>
        </w:rPr>
        <w:t>⑶</w:t>
      </w:r>
      <w:r>
        <w:rPr>
          <w:rFonts w:hint="eastAsia" w:ascii="仿宋" w:hAnsi="仿宋" w:eastAsia="仿宋" w:cs="仿宋"/>
          <w:color w:val="auto"/>
          <w:sz w:val="24"/>
          <w:szCs w:val="24"/>
        </w:rPr>
        <w:t>本次采购进场交易费用：项目的进场交易服务费（100%）由中标人支付给产权交易中心。根据衢州市产权交易中心有限公司国有企业采购进场交易费用收费标准执行。对公汇入以下账户，并备注项目名称（若个人汇入需写代缴说明加盖公章）。</w:t>
      </w:r>
    </w:p>
    <w:p w14:paraId="506F7513">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账户名称：衢州市产权交易中心有限公司</w:t>
      </w:r>
    </w:p>
    <w:p w14:paraId="4D289626">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账户号码：1209210009049028267</w:t>
      </w:r>
    </w:p>
    <w:p w14:paraId="44806895">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开户银行：中国工商银行股份有限公司衢州南湖支行</w:t>
      </w:r>
    </w:p>
    <w:tbl>
      <w:tblPr>
        <w:tblStyle w:val="23"/>
        <w:tblW w:w="9038" w:type="dxa"/>
        <w:jc w:val="center"/>
        <w:tblLayout w:type="fixed"/>
        <w:tblCellMar>
          <w:top w:w="0" w:type="dxa"/>
          <w:left w:w="0" w:type="dxa"/>
          <w:bottom w:w="0" w:type="dxa"/>
          <w:right w:w="0" w:type="dxa"/>
        </w:tblCellMar>
      </w:tblPr>
      <w:tblGrid>
        <w:gridCol w:w="2535"/>
        <w:gridCol w:w="2712"/>
        <w:gridCol w:w="3791"/>
      </w:tblGrid>
      <w:tr w14:paraId="7B59F175">
        <w:tblPrEx>
          <w:tblCellMar>
            <w:top w:w="0" w:type="dxa"/>
            <w:left w:w="0" w:type="dxa"/>
            <w:bottom w:w="0" w:type="dxa"/>
            <w:right w:w="0" w:type="dxa"/>
          </w:tblCellMar>
        </w:tblPrEx>
        <w:trPr>
          <w:trHeight w:val="446" w:hRule="atLeast"/>
          <w:jc w:val="center"/>
        </w:trPr>
        <w:tc>
          <w:tcPr>
            <w:tcW w:w="2535"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3A1A7C19">
            <w:pPr>
              <w:autoSpaceDE w:val="0"/>
              <w:spacing w:line="360" w:lineRule="auto"/>
              <w:jc w:val="center"/>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中标价</w:t>
            </w:r>
          </w:p>
        </w:tc>
        <w:tc>
          <w:tcPr>
            <w:tcW w:w="2712" w:type="dxa"/>
            <w:tcBorders>
              <w:top w:val="single" w:color="000000" w:sz="4" w:space="0"/>
              <w:left w:val="nil"/>
              <w:bottom w:val="single" w:color="000000" w:sz="4" w:space="0"/>
              <w:right w:val="single" w:color="000000" w:sz="4" w:space="0"/>
            </w:tcBorders>
            <w:tcMar>
              <w:top w:w="15" w:type="dxa"/>
              <w:left w:w="15" w:type="dxa"/>
              <w:bottom w:w="0" w:type="dxa"/>
              <w:right w:w="15" w:type="dxa"/>
            </w:tcMar>
            <w:vAlign w:val="center"/>
          </w:tcPr>
          <w:p w14:paraId="46516DED">
            <w:pPr>
              <w:autoSpaceDE w:val="0"/>
              <w:spacing w:line="360" w:lineRule="auto"/>
              <w:jc w:val="center"/>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分档收费标准</w:t>
            </w:r>
          </w:p>
        </w:tc>
        <w:tc>
          <w:tcPr>
            <w:tcW w:w="3791" w:type="dxa"/>
            <w:tcBorders>
              <w:top w:val="single" w:color="000000" w:sz="4" w:space="0"/>
              <w:left w:val="nil"/>
              <w:bottom w:val="single" w:color="000000" w:sz="4" w:space="0"/>
              <w:right w:val="single" w:color="000000" w:sz="4" w:space="0"/>
            </w:tcBorders>
            <w:noWrap/>
            <w:tcMar>
              <w:top w:w="15" w:type="dxa"/>
              <w:left w:w="15" w:type="dxa"/>
              <w:bottom w:w="0" w:type="dxa"/>
              <w:right w:w="15" w:type="dxa"/>
            </w:tcMar>
            <w:vAlign w:val="center"/>
          </w:tcPr>
          <w:p w14:paraId="135EB4C6">
            <w:pPr>
              <w:autoSpaceDE w:val="0"/>
              <w:spacing w:line="360" w:lineRule="auto"/>
              <w:jc w:val="center"/>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备注</w:t>
            </w:r>
          </w:p>
        </w:tc>
      </w:tr>
      <w:tr w14:paraId="38CBD492">
        <w:tblPrEx>
          <w:tblCellMar>
            <w:top w:w="0" w:type="dxa"/>
            <w:left w:w="0" w:type="dxa"/>
            <w:bottom w:w="0" w:type="dxa"/>
            <w:right w:w="0" w:type="dxa"/>
          </w:tblCellMar>
        </w:tblPrEx>
        <w:trPr>
          <w:trHeight w:val="703" w:hRule="atLeast"/>
          <w:jc w:val="center"/>
        </w:trPr>
        <w:tc>
          <w:tcPr>
            <w:tcW w:w="2535"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7566F2CA">
            <w:pPr>
              <w:autoSpaceDE w:val="0"/>
              <w:spacing w:line="360" w:lineRule="auto"/>
              <w:jc w:val="center"/>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100万（含）以下</w:t>
            </w:r>
          </w:p>
        </w:tc>
        <w:tc>
          <w:tcPr>
            <w:tcW w:w="2712" w:type="dxa"/>
            <w:tcBorders>
              <w:top w:val="single" w:color="000000" w:sz="4" w:space="0"/>
              <w:left w:val="nil"/>
              <w:bottom w:val="single" w:color="000000" w:sz="4" w:space="0"/>
              <w:right w:val="single" w:color="000000" w:sz="4" w:space="0"/>
            </w:tcBorders>
            <w:noWrap/>
            <w:tcMar>
              <w:top w:w="15" w:type="dxa"/>
              <w:left w:w="15" w:type="dxa"/>
              <w:bottom w:w="0" w:type="dxa"/>
              <w:right w:w="15" w:type="dxa"/>
            </w:tcMar>
            <w:vAlign w:val="center"/>
          </w:tcPr>
          <w:p w14:paraId="251130ED">
            <w:pPr>
              <w:autoSpaceDE w:val="0"/>
              <w:spacing w:line="360" w:lineRule="auto"/>
              <w:jc w:val="center"/>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1000元</w:t>
            </w:r>
          </w:p>
        </w:tc>
        <w:tc>
          <w:tcPr>
            <w:tcW w:w="3791" w:type="dxa"/>
            <w:vMerge w:val="restart"/>
            <w:tcBorders>
              <w:top w:val="nil"/>
              <w:left w:val="nil"/>
              <w:bottom w:val="single" w:color="000000" w:sz="4" w:space="0"/>
              <w:right w:val="single" w:color="000000" w:sz="4" w:space="0"/>
            </w:tcBorders>
            <w:tcMar>
              <w:top w:w="15" w:type="dxa"/>
              <w:left w:w="15" w:type="dxa"/>
              <w:bottom w:w="0" w:type="dxa"/>
              <w:right w:w="15" w:type="dxa"/>
            </w:tcMar>
            <w:vAlign w:val="center"/>
          </w:tcPr>
          <w:p w14:paraId="04984867">
            <w:pPr>
              <w:autoSpaceDE w:val="0"/>
              <w:spacing w:line="360" w:lineRule="auto"/>
              <w:ind w:firstLine="480" w:firstLineChars="200"/>
              <w:jc w:val="left"/>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1.费用由采购单位和中标单位各承担50%或按</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约定的承担比例支付给产交中心；</w:t>
            </w:r>
          </w:p>
          <w:p w14:paraId="6E62C61F">
            <w:pPr>
              <w:autoSpaceDE w:val="0"/>
              <w:spacing w:line="360" w:lineRule="auto"/>
              <w:ind w:firstLine="480" w:firstLineChars="200"/>
              <w:jc w:val="left"/>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2.项目废标后再次进场交易的由最终的中标单位及采购单位各承担50%或按</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约定的承担比例执行，废标后不再进场交易的项目由采购单位按照第二档100万-200万（含）的收费标准承担50%（即：800元）；</w:t>
            </w:r>
          </w:p>
          <w:p w14:paraId="59FC3A08">
            <w:pPr>
              <w:autoSpaceDE w:val="0"/>
              <w:spacing w:line="360" w:lineRule="auto"/>
              <w:ind w:firstLine="480" w:firstLineChars="200"/>
              <w:jc w:val="left"/>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3.项目分标段（包）的，按标段（包）进行收费，一个标段（包）收取一次费用；</w:t>
            </w:r>
          </w:p>
          <w:p w14:paraId="6D137824">
            <w:pPr>
              <w:autoSpaceDE w:val="0"/>
              <w:spacing w:line="360" w:lineRule="auto"/>
              <w:ind w:firstLine="480" w:firstLineChars="200"/>
              <w:jc w:val="left"/>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4.无法确定交易（中标）金额的项目，按照第二档100万-200万（含）的收费标准执行。</w:t>
            </w:r>
          </w:p>
        </w:tc>
      </w:tr>
      <w:tr w14:paraId="6E849391">
        <w:tblPrEx>
          <w:tblCellMar>
            <w:top w:w="0" w:type="dxa"/>
            <w:left w:w="0" w:type="dxa"/>
            <w:bottom w:w="0" w:type="dxa"/>
            <w:right w:w="0" w:type="dxa"/>
          </w:tblCellMar>
        </w:tblPrEx>
        <w:trPr>
          <w:trHeight w:val="703" w:hRule="atLeast"/>
          <w:jc w:val="center"/>
        </w:trPr>
        <w:tc>
          <w:tcPr>
            <w:tcW w:w="2535"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0E32C037">
            <w:pPr>
              <w:autoSpaceDE w:val="0"/>
              <w:spacing w:line="360" w:lineRule="auto"/>
              <w:jc w:val="center"/>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100万-200万（含）</w:t>
            </w:r>
          </w:p>
        </w:tc>
        <w:tc>
          <w:tcPr>
            <w:tcW w:w="2712" w:type="dxa"/>
            <w:tcBorders>
              <w:top w:val="single" w:color="000000" w:sz="4" w:space="0"/>
              <w:left w:val="nil"/>
              <w:bottom w:val="single" w:color="000000" w:sz="4" w:space="0"/>
              <w:right w:val="single" w:color="000000" w:sz="4" w:space="0"/>
            </w:tcBorders>
            <w:noWrap/>
            <w:tcMar>
              <w:top w:w="15" w:type="dxa"/>
              <w:left w:w="15" w:type="dxa"/>
              <w:bottom w:w="0" w:type="dxa"/>
              <w:right w:w="15" w:type="dxa"/>
            </w:tcMar>
            <w:vAlign w:val="center"/>
          </w:tcPr>
          <w:p w14:paraId="6DCC3822">
            <w:pPr>
              <w:autoSpaceDE w:val="0"/>
              <w:spacing w:line="360" w:lineRule="auto"/>
              <w:jc w:val="center"/>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1600元</w:t>
            </w:r>
          </w:p>
        </w:tc>
        <w:tc>
          <w:tcPr>
            <w:tcW w:w="3791" w:type="dxa"/>
            <w:vMerge w:val="continue"/>
            <w:tcBorders>
              <w:top w:val="nil"/>
              <w:left w:val="nil"/>
              <w:bottom w:val="single" w:color="000000" w:sz="4" w:space="0"/>
              <w:right w:val="single" w:color="000000" w:sz="4" w:space="0"/>
            </w:tcBorders>
            <w:vAlign w:val="center"/>
          </w:tcPr>
          <w:p w14:paraId="6C604E61">
            <w:pPr>
              <w:spacing w:line="360" w:lineRule="auto"/>
              <w:jc w:val="center"/>
              <w:outlineLvl w:val="9"/>
              <w:rPr>
                <w:rFonts w:ascii="仿宋" w:hAnsi="仿宋" w:eastAsia="仿宋" w:cs="仿宋"/>
                <w:bCs/>
                <w:color w:val="auto"/>
                <w:sz w:val="24"/>
                <w:szCs w:val="24"/>
              </w:rPr>
            </w:pPr>
          </w:p>
        </w:tc>
      </w:tr>
      <w:tr w14:paraId="73E84BD8">
        <w:tblPrEx>
          <w:tblCellMar>
            <w:top w:w="0" w:type="dxa"/>
            <w:left w:w="0" w:type="dxa"/>
            <w:bottom w:w="0" w:type="dxa"/>
            <w:right w:w="0" w:type="dxa"/>
          </w:tblCellMar>
        </w:tblPrEx>
        <w:trPr>
          <w:trHeight w:val="703" w:hRule="atLeast"/>
          <w:jc w:val="center"/>
        </w:trPr>
        <w:tc>
          <w:tcPr>
            <w:tcW w:w="2535"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33D06BB2">
            <w:pPr>
              <w:autoSpaceDE w:val="0"/>
              <w:spacing w:line="360" w:lineRule="auto"/>
              <w:jc w:val="center"/>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200万-500万（含）</w:t>
            </w:r>
          </w:p>
        </w:tc>
        <w:tc>
          <w:tcPr>
            <w:tcW w:w="2712" w:type="dxa"/>
            <w:tcBorders>
              <w:top w:val="single" w:color="000000" w:sz="4" w:space="0"/>
              <w:left w:val="nil"/>
              <w:bottom w:val="single" w:color="000000" w:sz="4" w:space="0"/>
              <w:right w:val="single" w:color="000000" w:sz="4" w:space="0"/>
            </w:tcBorders>
            <w:noWrap/>
            <w:tcMar>
              <w:top w:w="15" w:type="dxa"/>
              <w:left w:w="15" w:type="dxa"/>
              <w:bottom w:w="0" w:type="dxa"/>
              <w:right w:w="15" w:type="dxa"/>
            </w:tcMar>
            <w:vAlign w:val="center"/>
          </w:tcPr>
          <w:p w14:paraId="674A9CED">
            <w:pPr>
              <w:autoSpaceDE w:val="0"/>
              <w:spacing w:line="360" w:lineRule="auto"/>
              <w:jc w:val="center"/>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4000元</w:t>
            </w:r>
          </w:p>
        </w:tc>
        <w:tc>
          <w:tcPr>
            <w:tcW w:w="3791" w:type="dxa"/>
            <w:vMerge w:val="continue"/>
            <w:tcBorders>
              <w:top w:val="nil"/>
              <w:left w:val="nil"/>
              <w:bottom w:val="single" w:color="000000" w:sz="4" w:space="0"/>
              <w:right w:val="single" w:color="000000" w:sz="4" w:space="0"/>
            </w:tcBorders>
            <w:vAlign w:val="center"/>
          </w:tcPr>
          <w:p w14:paraId="2E66A4DE">
            <w:pPr>
              <w:spacing w:line="360" w:lineRule="auto"/>
              <w:jc w:val="center"/>
              <w:outlineLvl w:val="9"/>
              <w:rPr>
                <w:rFonts w:ascii="仿宋" w:hAnsi="仿宋" w:eastAsia="仿宋" w:cs="仿宋"/>
                <w:bCs/>
                <w:color w:val="auto"/>
                <w:sz w:val="24"/>
                <w:szCs w:val="24"/>
              </w:rPr>
            </w:pPr>
          </w:p>
        </w:tc>
      </w:tr>
      <w:tr w14:paraId="40EC9247">
        <w:tblPrEx>
          <w:tblCellMar>
            <w:top w:w="0" w:type="dxa"/>
            <w:left w:w="0" w:type="dxa"/>
            <w:bottom w:w="0" w:type="dxa"/>
            <w:right w:w="0" w:type="dxa"/>
          </w:tblCellMar>
        </w:tblPrEx>
        <w:trPr>
          <w:trHeight w:val="703" w:hRule="atLeast"/>
          <w:jc w:val="center"/>
        </w:trPr>
        <w:tc>
          <w:tcPr>
            <w:tcW w:w="2535"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399F21C6">
            <w:pPr>
              <w:autoSpaceDE w:val="0"/>
              <w:spacing w:line="360" w:lineRule="auto"/>
              <w:jc w:val="center"/>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500万-1000万（含）</w:t>
            </w:r>
          </w:p>
        </w:tc>
        <w:tc>
          <w:tcPr>
            <w:tcW w:w="2712" w:type="dxa"/>
            <w:tcBorders>
              <w:top w:val="single" w:color="000000" w:sz="4" w:space="0"/>
              <w:left w:val="nil"/>
              <w:bottom w:val="single" w:color="000000" w:sz="4" w:space="0"/>
              <w:right w:val="single" w:color="000000" w:sz="4" w:space="0"/>
            </w:tcBorders>
            <w:noWrap/>
            <w:tcMar>
              <w:top w:w="15" w:type="dxa"/>
              <w:left w:w="15" w:type="dxa"/>
              <w:bottom w:w="0" w:type="dxa"/>
              <w:right w:w="15" w:type="dxa"/>
            </w:tcMar>
            <w:vAlign w:val="center"/>
          </w:tcPr>
          <w:p w14:paraId="535F807E">
            <w:pPr>
              <w:autoSpaceDE w:val="0"/>
              <w:spacing w:line="360" w:lineRule="auto"/>
              <w:jc w:val="center"/>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12000元</w:t>
            </w:r>
          </w:p>
        </w:tc>
        <w:tc>
          <w:tcPr>
            <w:tcW w:w="3791" w:type="dxa"/>
            <w:vMerge w:val="continue"/>
            <w:tcBorders>
              <w:top w:val="nil"/>
              <w:left w:val="nil"/>
              <w:bottom w:val="single" w:color="000000" w:sz="4" w:space="0"/>
              <w:right w:val="single" w:color="000000" w:sz="4" w:space="0"/>
            </w:tcBorders>
            <w:vAlign w:val="center"/>
          </w:tcPr>
          <w:p w14:paraId="5AEEC05D">
            <w:pPr>
              <w:spacing w:line="360" w:lineRule="auto"/>
              <w:jc w:val="center"/>
              <w:outlineLvl w:val="9"/>
              <w:rPr>
                <w:rFonts w:ascii="仿宋" w:hAnsi="仿宋" w:eastAsia="仿宋" w:cs="仿宋"/>
                <w:bCs/>
                <w:color w:val="auto"/>
                <w:sz w:val="24"/>
                <w:szCs w:val="24"/>
              </w:rPr>
            </w:pPr>
          </w:p>
        </w:tc>
      </w:tr>
      <w:tr w14:paraId="04BFEB38">
        <w:tblPrEx>
          <w:tblCellMar>
            <w:top w:w="0" w:type="dxa"/>
            <w:left w:w="0" w:type="dxa"/>
            <w:bottom w:w="0" w:type="dxa"/>
            <w:right w:w="0" w:type="dxa"/>
          </w:tblCellMar>
        </w:tblPrEx>
        <w:trPr>
          <w:trHeight w:val="703" w:hRule="atLeast"/>
          <w:jc w:val="center"/>
        </w:trPr>
        <w:tc>
          <w:tcPr>
            <w:tcW w:w="2535"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03D27A71">
            <w:pPr>
              <w:autoSpaceDE w:val="0"/>
              <w:spacing w:line="360" w:lineRule="auto"/>
              <w:jc w:val="center"/>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1000万-2000万（含）</w:t>
            </w:r>
          </w:p>
        </w:tc>
        <w:tc>
          <w:tcPr>
            <w:tcW w:w="2712" w:type="dxa"/>
            <w:tcBorders>
              <w:top w:val="single" w:color="000000" w:sz="4" w:space="0"/>
              <w:left w:val="nil"/>
              <w:bottom w:val="single" w:color="000000" w:sz="4" w:space="0"/>
              <w:right w:val="single" w:color="000000" w:sz="4" w:space="0"/>
            </w:tcBorders>
            <w:noWrap/>
            <w:tcMar>
              <w:top w:w="15" w:type="dxa"/>
              <w:left w:w="15" w:type="dxa"/>
              <w:bottom w:w="0" w:type="dxa"/>
              <w:right w:w="15" w:type="dxa"/>
            </w:tcMar>
            <w:vAlign w:val="center"/>
          </w:tcPr>
          <w:p w14:paraId="1F90EB8F">
            <w:pPr>
              <w:autoSpaceDE w:val="0"/>
              <w:spacing w:line="360" w:lineRule="auto"/>
              <w:jc w:val="center"/>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20000元</w:t>
            </w:r>
          </w:p>
        </w:tc>
        <w:tc>
          <w:tcPr>
            <w:tcW w:w="3791" w:type="dxa"/>
            <w:vMerge w:val="continue"/>
            <w:tcBorders>
              <w:top w:val="nil"/>
              <w:left w:val="nil"/>
              <w:bottom w:val="single" w:color="000000" w:sz="4" w:space="0"/>
              <w:right w:val="single" w:color="000000" w:sz="4" w:space="0"/>
            </w:tcBorders>
            <w:vAlign w:val="center"/>
          </w:tcPr>
          <w:p w14:paraId="0E2FFC74">
            <w:pPr>
              <w:spacing w:line="360" w:lineRule="auto"/>
              <w:jc w:val="center"/>
              <w:outlineLvl w:val="9"/>
              <w:rPr>
                <w:rFonts w:ascii="仿宋" w:hAnsi="仿宋" w:eastAsia="仿宋" w:cs="仿宋"/>
                <w:bCs/>
                <w:color w:val="auto"/>
                <w:sz w:val="24"/>
                <w:szCs w:val="24"/>
              </w:rPr>
            </w:pPr>
          </w:p>
        </w:tc>
      </w:tr>
      <w:tr w14:paraId="6D539C62">
        <w:tblPrEx>
          <w:tblCellMar>
            <w:top w:w="0" w:type="dxa"/>
            <w:left w:w="0" w:type="dxa"/>
            <w:bottom w:w="0" w:type="dxa"/>
            <w:right w:w="0" w:type="dxa"/>
          </w:tblCellMar>
        </w:tblPrEx>
        <w:trPr>
          <w:trHeight w:val="703" w:hRule="atLeast"/>
          <w:jc w:val="center"/>
        </w:trPr>
        <w:tc>
          <w:tcPr>
            <w:tcW w:w="2535"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608AEDC8">
            <w:pPr>
              <w:autoSpaceDE w:val="0"/>
              <w:spacing w:line="360" w:lineRule="auto"/>
              <w:jc w:val="center"/>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2000万-5000万（含）</w:t>
            </w:r>
          </w:p>
        </w:tc>
        <w:tc>
          <w:tcPr>
            <w:tcW w:w="2712" w:type="dxa"/>
            <w:tcBorders>
              <w:top w:val="single" w:color="000000" w:sz="4" w:space="0"/>
              <w:left w:val="nil"/>
              <w:bottom w:val="single" w:color="000000" w:sz="4" w:space="0"/>
              <w:right w:val="single" w:color="000000" w:sz="4" w:space="0"/>
            </w:tcBorders>
            <w:noWrap/>
            <w:tcMar>
              <w:top w:w="15" w:type="dxa"/>
              <w:left w:w="15" w:type="dxa"/>
              <w:bottom w:w="0" w:type="dxa"/>
              <w:right w:w="15" w:type="dxa"/>
            </w:tcMar>
            <w:vAlign w:val="center"/>
          </w:tcPr>
          <w:p w14:paraId="248B919E">
            <w:pPr>
              <w:autoSpaceDE w:val="0"/>
              <w:spacing w:line="360" w:lineRule="auto"/>
              <w:jc w:val="center"/>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30000元</w:t>
            </w:r>
          </w:p>
        </w:tc>
        <w:tc>
          <w:tcPr>
            <w:tcW w:w="3791" w:type="dxa"/>
            <w:vMerge w:val="continue"/>
            <w:tcBorders>
              <w:top w:val="nil"/>
              <w:left w:val="nil"/>
              <w:bottom w:val="single" w:color="000000" w:sz="4" w:space="0"/>
              <w:right w:val="single" w:color="000000" w:sz="4" w:space="0"/>
            </w:tcBorders>
            <w:vAlign w:val="center"/>
          </w:tcPr>
          <w:p w14:paraId="2656BE5B">
            <w:pPr>
              <w:spacing w:line="360" w:lineRule="auto"/>
              <w:jc w:val="center"/>
              <w:outlineLvl w:val="9"/>
              <w:rPr>
                <w:rFonts w:ascii="仿宋" w:hAnsi="仿宋" w:eastAsia="仿宋" w:cs="仿宋"/>
                <w:bCs/>
                <w:color w:val="auto"/>
                <w:sz w:val="24"/>
                <w:szCs w:val="24"/>
              </w:rPr>
            </w:pPr>
          </w:p>
        </w:tc>
      </w:tr>
      <w:tr w14:paraId="2D01A85B">
        <w:tblPrEx>
          <w:tblCellMar>
            <w:top w:w="0" w:type="dxa"/>
            <w:left w:w="0" w:type="dxa"/>
            <w:bottom w:w="0" w:type="dxa"/>
            <w:right w:w="0" w:type="dxa"/>
          </w:tblCellMar>
        </w:tblPrEx>
        <w:trPr>
          <w:trHeight w:val="703" w:hRule="atLeast"/>
          <w:jc w:val="center"/>
        </w:trPr>
        <w:tc>
          <w:tcPr>
            <w:tcW w:w="2535"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27B2EF3B">
            <w:pPr>
              <w:autoSpaceDE w:val="0"/>
              <w:spacing w:line="360" w:lineRule="auto"/>
              <w:jc w:val="center"/>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5000万-1亿（含）</w:t>
            </w:r>
          </w:p>
        </w:tc>
        <w:tc>
          <w:tcPr>
            <w:tcW w:w="2712" w:type="dxa"/>
            <w:tcBorders>
              <w:top w:val="single" w:color="000000" w:sz="4" w:space="0"/>
              <w:left w:val="nil"/>
              <w:bottom w:val="single" w:color="000000" w:sz="4" w:space="0"/>
              <w:right w:val="single" w:color="000000" w:sz="4" w:space="0"/>
            </w:tcBorders>
            <w:noWrap/>
            <w:tcMar>
              <w:top w:w="15" w:type="dxa"/>
              <w:left w:w="15" w:type="dxa"/>
              <w:bottom w:w="0" w:type="dxa"/>
              <w:right w:w="15" w:type="dxa"/>
            </w:tcMar>
            <w:vAlign w:val="center"/>
          </w:tcPr>
          <w:p w14:paraId="2BCB97DE">
            <w:pPr>
              <w:autoSpaceDE w:val="0"/>
              <w:spacing w:line="360" w:lineRule="auto"/>
              <w:jc w:val="center"/>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40000元</w:t>
            </w:r>
          </w:p>
        </w:tc>
        <w:tc>
          <w:tcPr>
            <w:tcW w:w="3791" w:type="dxa"/>
            <w:vMerge w:val="continue"/>
            <w:tcBorders>
              <w:top w:val="nil"/>
              <w:left w:val="nil"/>
              <w:bottom w:val="single" w:color="000000" w:sz="4" w:space="0"/>
              <w:right w:val="single" w:color="000000" w:sz="4" w:space="0"/>
            </w:tcBorders>
            <w:vAlign w:val="center"/>
          </w:tcPr>
          <w:p w14:paraId="6C90CE2E">
            <w:pPr>
              <w:spacing w:line="360" w:lineRule="auto"/>
              <w:jc w:val="center"/>
              <w:outlineLvl w:val="9"/>
              <w:rPr>
                <w:rFonts w:ascii="仿宋" w:hAnsi="仿宋" w:eastAsia="仿宋" w:cs="仿宋"/>
                <w:bCs/>
                <w:color w:val="auto"/>
                <w:sz w:val="24"/>
                <w:szCs w:val="24"/>
              </w:rPr>
            </w:pPr>
          </w:p>
        </w:tc>
      </w:tr>
      <w:tr w14:paraId="6F301501">
        <w:tblPrEx>
          <w:tblCellMar>
            <w:top w:w="0" w:type="dxa"/>
            <w:left w:w="0" w:type="dxa"/>
            <w:bottom w:w="0" w:type="dxa"/>
            <w:right w:w="0" w:type="dxa"/>
          </w:tblCellMar>
        </w:tblPrEx>
        <w:trPr>
          <w:trHeight w:val="703" w:hRule="atLeast"/>
          <w:jc w:val="center"/>
        </w:trPr>
        <w:tc>
          <w:tcPr>
            <w:tcW w:w="2535"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48FD8F09">
            <w:pPr>
              <w:autoSpaceDE w:val="0"/>
              <w:spacing w:line="360" w:lineRule="auto"/>
              <w:jc w:val="center"/>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1亿-5亿（含）</w:t>
            </w:r>
          </w:p>
        </w:tc>
        <w:tc>
          <w:tcPr>
            <w:tcW w:w="2712" w:type="dxa"/>
            <w:tcBorders>
              <w:top w:val="single" w:color="000000" w:sz="4" w:space="0"/>
              <w:left w:val="nil"/>
              <w:bottom w:val="single" w:color="000000" w:sz="4" w:space="0"/>
              <w:right w:val="single" w:color="000000" w:sz="4" w:space="0"/>
            </w:tcBorders>
            <w:noWrap/>
            <w:tcMar>
              <w:top w:w="15" w:type="dxa"/>
              <w:left w:w="15" w:type="dxa"/>
              <w:bottom w:w="0" w:type="dxa"/>
              <w:right w:w="15" w:type="dxa"/>
            </w:tcMar>
            <w:vAlign w:val="center"/>
          </w:tcPr>
          <w:p w14:paraId="17147769">
            <w:pPr>
              <w:autoSpaceDE w:val="0"/>
              <w:spacing w:line="360" w:lineRule="auto"/>
              <w:jc w:val="center"/>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60000元</w:t>
            </w:r>
          </w:p>
        </w:tc>
        <w:tc>
          <w:tcPr>
            <w:tcW w:w="3791" w:type="dxa"/>
            <w:vMerge w:val="continue"/>
            <w:tcBorders>
              <w:top w:val="nil"/>
              <w:left w:val="nil"/>
              <w:bottom w:val="single" w:color="000000" w:sz="4" w:space="0"/>
              <w:right w:val="single" w:color="000000" w:sz="4" w:space="0"/>
            </w:tcBorders>
            <w:vAlign w:val="center"/>
          </w:tcPr>
          <w:p w14:paraId="42619E6A">
            <w:pPr>
              <w:spacing w:line="360" w:lineRule="auto"/>
              <w:jc w:val="center"/>
              <w:outlineLvl w:val="9"/>
              <w:rPr>
                <w:rFonts w:ascii="仿宋" w:hAnsi="仿宋" w:eastAsia="仿宋" w:cs="仿宋"/>
                <w:bCs/>
                <w:color w:val="auto"/>
                <w:sz w:val="24"/>
                <w:szCs w:val="24"/>
              </w:rPr>
            </w:pPr>
          </w:p>
        </w:tc>
      </w:tr>
      <w:tr w14:paraId="5F5912B4">
        <w:tblPrEx>
          <w:tblCellMar>
            <w:top w:w="0" w:type="dxa"/>
            <w:left w:w="0" w:type="dxa"/>
            <w:bottom w:w="0" w:type="dxa"/>
            <w:right w:w="0" w:type="dxa"/>
          </w:tblCellMar>
        </w:tblPrEx>
        <w:trPr>
          <w:trHeight w:val="703" w:hRule="atLeast"/>
          <w:jc w:val="center"/>
        </w:trPr>
        <w:tc>
          <w:tcPr>
            <w:tcW w:w="2535"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4F5B56D0">
            <w:pPr>
              <w:autoSpaceDE w:val="0"/>
              <w:spacing w:line="360" w:lineRule="auto"/>
              <w:jc w:val="center"/>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5亿-10亿（含）</w:t>
            </w:r>
          </w:p>
        </w:tc>
        <w:tc>
          <w:tcPr>
            <w:tcW w:w="2712" w:type="dxa"/>
            <w:tcBorders>
              <w:top w:val="single" w:color="000000" w:sz="4" w:space="0"/>
              <w:left w:val="nil"/>
              <w:bottom w:val="single" w:color="000000" w:sz="4" w:space="0"/>
              <w:right w:val="single" w:color="000000" w:sz="4" w:space="0"/>
            </w:tcBorders>
            <w:noWrap/>
            <w:tcMar>
              <w:top w:w="15" w:type="dxa"/>
              <w:left w:w="15" w:type="dxa"/>
              <w:bottom w:w="0" w:type="dxa"/>
              <w:right w:w="15" w:type="dxa"/>
            </w:tcMar>
            <w:vAlign w:val="center"/>
          </w:tcPr>
          <w:p w14:paraId="291768E9">
            <w:pPr>
              <w:autoSpaceDE w:val="0"/>
              <w:spacing w:line="360" w:lineRule="auto"/>
              <w:jc w:val="center"/>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80000元</w:t>
            </w:r>
          </w:p>
        </w:tc>
        <w:tc>
          <w:tcPr>
            <w:tcW w:w="3791" w:type="dxa"/>
            <w:vMerge w:val="continue"/>
            <w:tcBorders>
              <w:top w:val="nil"/>
              <w:left w:val="nil"/>
              <w:bottom w:val="single" w:color="000000" w:sz="4" w:space="0"/>
              <w:right w:val="single" w:color="000000" w:sz="4" w:space="0"/>
            </w:tcBorders>
            <w:vAlign w:val="center"/>
          </w:tcPr>
          <w:p w14:paraId="1131B939">
            <w:pPr>
              <w:spacing w:line="360" w:lineRule="auto"/>
              <w:jc w:val="center"/>
              <w:outlineLvl w:val="9"/>
              <w:rPr>
                <w:rFonts w:ascii="仿宋" w:hAnsi="仿宋" w:eastAsia="仿宋" w:cs="仿宋"/>
                <w:bCs/>
                <w:color w:val="auto"/>
                <w:sz w:val="24"/>
                <w:szCs w:val="24"/>
              </w:rPr>
            </w:pPr>
          </w:p>
        </w:tc>
      </w:tr>
      <w:tr w14:paraId="2C7B5BC8">
        <w:tblPrEx>
          <w:tblCellMar>
            <w:top w:w="0" w:type="dxa"/>
            <w:left w:w="0" w:type="dxa"/>
            <w:bottom w:w="0" w:type="dxa"/>
            <w:right w:w="0" w:type="dxa"/>
          </w:tblCellMar>
        </w:tblPrEx>
        <w:trPr>
          <w:trHeight w:val="838" w:hRule="atLeast"/>
          <w:jc w:val="center"/>
        </w:trPr>
        <w:tc>
          <w:tcPr>
            <w:tcW w:w="2535" w:type="dxa"/>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462588D4">
            <w:pPr>
              <w:autoSpaceDE w:val="0"/>
              <w:spacing w:line="360" w:lineRule="auto"/>
              <w:jc w:val="center"/>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10亿以上</w:t>
            </w:r>
          </w:p>
        </w:tc>
        <w:tc>
          <w:tcPr>
            <w:tcW w:w="2712" w:type="dxa"/>
            <w:tcBorders>
              <w:top w:val="single" w:color="000000" w:sz="4" w:space="0"/>
              <w:left w:val="nil"/>
              <w:bottom w:val="single" w:color="000000" w:sz="4" w:space="0"/>
              <w:right w:val="single" w:color="000000" w:sz="4" w:space="0"/>
            </w:tcBorders>
            <w:noWrap/>
            <w:tcMar>
              <w:top w:w="15" w:type="dxa"/>
              <w:left w:w="15" w:type="dxa"/>
              <w:bottom w:w="0" w:type="dxa"/>
              <w:right w:w="15" w:type="dxa"/>
            </w:tcMar>
            <w:vAlign w:val="center"/>
          </w:tcPr>
          <w:p w14:paraId="7B927C02">
            <w:pPr>
              <w:autoSpaceDE w:val="0"/>
              <w:spacing w:line="360" w:lineRule="auto"/>
              <w:jc w:val="center"/>
              <w:textAlignment w:val="center"/>
              <w:outlineLvl w:val="9"/>
              <w:rPr>
                <w:rFonts w:ascii="仿宋" w:hAnsi="仿宋" w:eastAsia="仿宋" w:cs="仿宋"/>
                <w:color w:val="auto"/>
                <w:sz w:val="24"/>
                <w:szCs w:val="24"/>
              </w:rPr>
            </w:pPr>
            <w:r>
              <w:rPr>
                <w:rFonts w:hint="eastAsia" w:ascii="仿宋" w:hAnsi="仿宋" w:eastAsia="仿宋" w:cs="仿宋"/>
                <w:color w:val="auto"/>
                <w:sz w:val="24"/>
                <w:szCs w:val="24"/>
              </w:rPr>
              <w:t>100000元</w:t>
            </w:r>
          </w:p>
        </w:tc>
        <w:tc>
          <w:tcPr>
            <w:tcW w:w="3791" w:type="dxa"/>
            <w:vMerge w:val="continue"/>
            <w:tcBorders>
              <w:top w:val="nil"/>
              <w:left w:val="nil"/>
              <w:bottom w:val="single" w:color="000000" w:sz="4" w:space="0"/>
              <w:right w:val="single" w:color="000000" w:sz="4" w:space="0"/>
            </w:tcBorders>
            <w:vAlign w:val="center"/>
          </w:tcPr>
          <w:p w14:paraId="68951E43">
            <w:pPr>
              <w:spacing w:line="360" w:lineRule="auto"/>
              <w:jc w:val="center"/>
              <w:outlineLvl w:val="9"/>
              <w:rPr>
                <w:rFonts w:ascii="仿宋" w:hAnsi="仿宋" w:eastAsia="仿宋" w:cs="仿宋"/>
                <w:bCs/>
                <w:color w:val="auto"/>
                <w:sz w:val="24"/>
                <w:szCs w:val="24"/>
              </w:rPr>
            </w:pPr>
          </w:p>
        </w:tc>
      </w:tr>
    </w:tbl>
    <w:p w14:paraId="0485F7E1">
      <w:pPr>
        <w:spacing w:line="360" w:lineRule="auto"/>
        <w:ind w:firstLine="480" w:firstLineChars="200"/>
        <w:outlineLvl w:val="9"/>
        <w:rPr>
          <w:rFonts w:ascii="仿宋" w:hAnsi="仿宋" w:eastAsia="仿宋" w:cs="仿宋"/>
          <w:bCs/>
          <w:color w:val="auto"/>
          <w:sz w:val="24"/>
          <w:szCs w:val="24"/>
        </w:rPr>
      </w:pPr>
      <w:r>
        <w:rPr>
          <w:rFonts w:hint="eastAsia" w:ascii="仿宋" w:hAnsi="仿宋" w:eastAsia="仿宋" w:cs="仿宋"/>
          <w:bCs/>
          <w:color w:val="auto"/>
          <w:kern w:val="2"/>
          <w:sz w:val="24"/>
          <w:szCs w:val="24"/>
          <w:lang w:val="en-US" w:eastAsia="zh-CN" w:bidi="ar-SA"/>
        </w:rPr>
        <w:t>⑷</w:t>
      </w:r>
      <w:r>
        <w:rPr>
          <w:rFonts w:hint="eastAsia" w:ascii="仿宋" w:hAnsi="仿宋" w:eastAsia="仿宋" w:cs="仿宋"/>
          <w:color w:val="auto"/>
          <w:sz w:val="24"/>
          <w:szCs w:val="24"/>
        </w:rPr>
        <w:t>以上费用不在报价中单列，请各投标人在报价时考虑。</w:t>
      </w:r>
    </w:p>
    <w:p w14:paraId="434EC6B9">
      <w:pPr>
        <w:pStyle w:val="32"/>
        <w:spacing w:line="360" w:lineRule="auto"/>
        <w:ind w:firstLine="480" w:firstLineChars="200"/>
        <w:jc w:val="left"/>
        <w:outlineLvl w:val="9"/>
        <w:rPr>
          <w:rFonts w:ascii="仿宋" w:hAnsi="仿宋" w:eastAsia="仿宋" w:cs="仿宋"/>
          <w:bCs/>
          <w:color w:val="auto"/>
          <w:sz w:val="24"/>
          <w:szCs w:val="24"/>
        </w:rPr>
      </w:pPr>
      <w:r>
        <w:rPr>
          <w:rFonts w:hint="eastAsia" w:ascii="仿宋" w:hAnsi="仿宋" w:eastAsia="仿宋" w:cs="仿宋"/>
          <w:bCs/>
          <w:color w:val="auto"/>
          <w:sz w:val="24"/>
          <w:szCs w:val="24"/>
        </w:rPr>
        <w:t>4</w:t>
      </w:r>
      <w:bookmarkEnd w:id="79"/>
      <w:r>
        <w:rPr>
          <w:rFonts w:hint="eastAsia" w:ascii="仿宋" w:hAnsi="仿宋" w:eastAsia="仿宋" w:cs="仿宋"/>
          <w:bCs/>
          <w:color w:val="auto"/>
          <w:sz w:val="24"/>
          <w:szCs w:val="24"/>
        </w:rPr>
        <w:t>.解释权</w:t>
      </w:r>
    </w:p>
    <w:p w14:paraId="24A82A24">
      <w:pPr>
        <w:pStyle w:val="32"/>
        <w:spacing w:line="360" w:lineRule="auto"/>
        <w:ind w:firstLine="480" w:firstLineChars="200"/>
        <w:jc w:val="left"/>
        <w:outlineLvl w:val="9"/>
        <w:rPr>
          <w:rFonts w:ascii="仿宋" w:hAnsi="仿宋" w:eastAsia="仿宋" w:cs="仿宋"/>
          <w:bCs/>
          <w:color w:val="auto"/>
          <w:sz w:val="24"/>
          <w:szCs w:val="24"/>
        </w:rPr>
        <w:sectPr>
          <w:footerReference r:id="rId4" w:type="default"/>
          <w:pgSz w:w="11922" w:h="16838"/>
          <w:pgMar w:top="1304" w:right="1304" w:bottom="1304" w:left="1304" w:header="397" w:footer="1037" w:gutter="0"/>
          <w:pgNumType w:fmt="decimal"/>
          <w:cols w:space="0" w:num="1"/>
        </w:sectPr>
      </w:pPr>
      <w:r>
        <w:rPr>
          <w:rFonts w:hint="eastAsia" w:ascii="仿宋" w:hAnsi="仿宋" w:eastAsia="仿宋" w:cs="仿宋"/>
          <w:bCs/>
          <w:color w:val="auto"/>
          <w:sz w:val="24"/>
          <w:szCs w:val="24"/>
        </w:rPr>
        <w:t>凡涉及本次文件的解释权均属于</w:t>
      </w:r>
      <w:r>
        <w:rPr>
          <w:rFonts w:hint="eastAsia" w:ascii="仿宋" w:hAnsi="仿宋" w:eastAsia="仿宋" w:cs="仿宋"/>
          <w:bCs/>
          <w:color w:val="auto"/>
          <w:sz w:val="24"/>
          <w:szCs w:val="24"/>
          <w:lang w:eastAsia="zh-CN"/>
        </w:rPr>
        <w:t>马迭尔食品（浙江）有限公司</w:t>
      </w:r>
      <w:r>
        <w:rPr>
          <w:rFonts w:hint="eastAsia" w:ascii="仿宋" w:hAnsi="仿宋" w:eastAsia="仿宋" w:cs="仿宋"/>
          <w:bCs/>
          <w:color w:val="auto"/>
          <w:sz w:val="24"/>
          <w:szCs w:val="24"/>
        </w:rPr>
        <w:t>和</w:t>
      </w:r>
      <w:r>
        <w:rPr>
          <w:rFonts w:hint="eastAsia" w:ascii="仿宋" w:hAnsi="仿宋" w:eastAsia="仿宋" w:cs="仿宋"/>
          <w:color w:val="auto"/>
          <w:sz w:val="24"/>
          <w:szCs w:val="24"/>
        </w:rPr>
        <w:t>衢州市两山工程咨询管理有限公司</w:t>
      </w:r>
      <w:r>
        <w:rPr>
          <w:rFonts w:hint="eastAsia" w:ascii="仿宋" w:hAnsi="仿宋" w:eastAsia="仿宋" w:cs="仿宋"/>
          <w:bCs/>
          <w:color w:val="auto"/>
          <w:sz w:val="24"/>
          <w:szCs w:val="24"/>
        </w:rPr>
        <w:t>。</w:t>
      </w:r>
    </w:p>
    <w:p w14:paraId="5B8EA842">
      <w:pPr>
        <w:spacing w:line="360" w:lineRule="auto"/>
        <w:jc w:val="center"/>
        <w:outlineLvl w:val="0"/>
        <w:rPr>
          <w:rFonts w:ascii="仿宋" w:hAnsi="仿宋" w:eastAsia="仿宋" w:cs="仿宋"/>
          <w:b/>
          <w:color w:val="auto"/>
          <w:sz w:val="28"/>
          <w:szCs w:val="28"/>
          <w:highlight w:val="none"/>
        </w:rPr>
      </w:pPr>
      <w:r>
        <w:rPr>
          <w:rFonts w:hint="eastAsia" w:ascii="仿宋" w:hAnsi="仿宋" w:eastAsia="仿宋" w:cs="仿宋"/>
          <w:color w:val="auto"/>
          <w:sz w:val="28"/>
          <w:szCs w:val="28"/>
          <w:highlight w:val="none"/>
        </w:rPr>
        <w:t xml:space="preserve">  </w:t>
      </w:r>
      <w:bookmarkStart w:id="80" w:name="_Toc18603"/>
      <w:bookmarkStart w:id="81" w:name="_Toc28925"/>
      <w:r>
        <w:rPr>
          <w:rFonts w:hint="eastAsia" w:ascii="仿宋" w:hAnsi="仿宋" w:eastAsia="仿宋" w:cs="仿宋"/>
          <w:b/>
          <w:color w:val="auto"/>
          <w:sz w:val="28"/>
          <w:szCs w:val="28"/>
          <w:highlight w:val="none"/>
        </w:rPr>
        <w:t xml:space="preserve">第三章 </w:t>
      </w:r>
      <w:bookmarkStart w:id="82" w:name="_Toc19965"/>
      <w:bookmarkStart w:id="83" w:name="_Toc12467"/>
      <w:bookmarkStart w:id="84" w:name="_Toc8579"/>
      <w:bookmarkStart w:id="85" w:name="_Toc23780"/>
      <w:bookmarkStart w:id="86" w:name="_Toc7682"/>
      <w:bookmarkStart w:id="87" w:name="_Toc1243"/>
      <w:bookmarkStart w:id="88" w:name="_Toc8641"/>
      <w:bookmarkStart w:id="89" w:name="_Toc31814"/>
      <w:bookmarkStart w:id="90" w:name="_Toc4809"/>
      <w:r>
        <w:rPr>
          <w:rFonts w:hint="eastAsia" w:ascii="仿宋" w:hAnsi="仿宋" w:eastAsia="仿宋" w:cs="仿宋"/>
          <w:b/>
          <w:color w:val="auto"/>
          <w:sz w:val="28"/>
          <w:szCs w:val="28"/>
          <w:highlight w:val="none"/>
        </w:rPr>
        <w:t>采购内容及要求</w:t>
      </w:r>
      <w:bookmarkEnd w:id="80"/>
      <w:bookmarkEnd w:id="81"/>
      <w:bookmarkEnd w:id="82"/>
      <w:bookmarkEnd w:id="83"/>
      <w:bookmarkEnd w:id="84"/>
      <w:bookmarkEnd w:id="85"/>
      <w:bookmarkEnd w:id="86"/>
      <w:bookmarkEnd w:id="87"/>
      <w:bookmarkEnd w:id="88"/>
      <w:bookmarkEnd w:id="89"/>
      <w:bookmarkEnd w:id="90"/>
    </w:p>
    <w:p w14:paraId="4CB8AEC3">
      <w:pPr>
        <w:keepNext w:val="0"/>
        <w:keepLines w:val="0"/>
        <w:pageBreakBefore w:val="0"/>
        <w:widowControl w:val="0"/>
        <w:kinsoku/>
        <w:wordWrap/>
        <w:overflowPunct/>
        <w:topLinePunct w:val="0"/>
        <w:autoSpaceDE/>
        <w:autoSpaceDN/>
        <w:bidi w:val="0"/>
        <w:adjustRightInd/>
        <w:snapToGrid/>
        <w:spacing w:line="360" w:lineRule="auto"/>
        <w:ind w:left="14" w:firstLine="464" w:firstLineChars="200"/>
        <w:textAlignment w:val="auto"/>
        <w:rPr>
          <w:rFonts w:hint="eastAsia" w:ascii="仿宋" w:hAnsi="仿宋" w:eastAsia="仿宋" w:cs="仿宋"/>
          <w:color w:val="auto"/>
          <w:sz w:val="24"/>
          <w:szCs w:val="24"/>
          <w:highlight w:val="none"/>
          <w:lang w:eastAsia="zh-CN"/>
        </w:rPr>
      </w:pPr>
      <w:r>
        <w:rPr>
          <w:rFonts w:ascii="仿宋" w:hAnsi="仿宋" w:eastAsia="仿宋" w:cs="仿宋"/>
          <w:color w:val="auto"/>
          <w:spacing w:val="-4"/>
          <w:sz w:val="24"/>
          <w:szCs w:val="24"/>
          <w:highlight w:val="none"/>
        </w:rPr>
        <w:t>一、</w:t>
      </w:r>
      <w:r>
        <w:rPr>
          <w:rFonts w:hint="eastAsia" w:ascii="仿宋" w:hAnsi="仿宋" w:eastAsia="仿宋" w:cs="仿宋"/>
          <w:b/>
          <w:bCs/>
          <w:color w:val="auto"/>
          <w:spacing w:val="-4"/>
          <w:sz w:val="24"/>
          <w:szCs w:val="24"/>
          <w:highlight w:val="none"/>
          <w:lang w:val="en-US" w:eastAsia="zh-CN"/>
        </w:rPr>
        <w:t>项目背景</w:t>
      </w:r>
    </w:p>
    <w:p w14:paraId="6A066893">
      <w:pPr>
        <w:keepNext w:val="0"/>
        <w:keepLines w:val="0"/>
        <w:pageBreakBefore w:val="0"/>
        <w:widowControl w:val="0"/>
        <w:kinsoku/>
        <w:wordWrap/>
        <w:overflowPunct/>
        <w:topLinePunct w:val="0"/>
        <w:autoSpaceDE/>
        <w:autoSpaceDN/>
        <w:bidi w:val="0"/>
        <w:adjustRightInd/>
        <w:snapToGrid/>
        <w:spacing w:line="360" w:lineRule="auto"/>
        <w:ind w:left="12" w:firstLine="479"/>
        <w:jc w:val="both"/>
        <w:textAlignment w:val="auto"/>
        <w:rPr>
          <w:rFonts w:hint="eastAsia" w:ascii="仿宋" w:hAnsi="仿宋" w:eastAsia="仿宋" w:cs="仿宋"/>
          <w:color w:val="auto"/>
          <w:sz w:val="24"/>
          <w:szCs w:val="24"/>
          <w:highlight w:val="none"/>
          <w:lang w:eastAsia="zh-CN"/>
        </w:rPr>
      </w:pPr>
      <w:r>
        <w:rPr>
          <w:rFonts w:ascii="仿宋" w:hAnsi="仿宋" w:eastAsia="仿宋" w:cs="仿宋"/>
          <w:color w:val="auto"/>
          <w:spacing w:val="-12"/>
          <w:sz w:val="24"/>
          <w:szCs w:val="24"/>
          <w:highlight w:val="none"/>
        </w:rPr>
        <w:t>根据</w:t>
      </w:r>
      <w:r>
        <w:rPr>
          <w:rFonts w:hint="eastAsia" w:ascii="仿宋" w:hAnsi="仿宋" w:eastAsia="仿宋" w:cs="仿宋"/>
          <w:color w:val="auto"/>
          <w:spacing w:val="-12"/>
          <w:sz w:val="24"/>
          <w:szCs w:val="24"/>
          <w:highlight w:val="none"/>
          <w:lang w:val="en-US" w:eastAsia="zh-CN"/>
        </w:rPr>
        <w:t>招标人</w:t>
      </w:r>
      <w:r>
        <w:rPr>
          <w:rFonts w:ascii="仿宋" w:hAnsi="仿宋" w:eastAsia="仿宋" w:cs="仿宋"/>
          <w:color w:val="auto"/>
          <w:spacing w:val="-12"/>
          <w:sz w:val="24"/>
          <w:szCs w:val="24"/>
          <w:highlight w:val="none"/>
        </w:rPr>
        <w:t>目前的运营模式，</w:t>
      </w:r>
      <w:r>
        <w:rPr>
          <w:rFonts w:hint="eastAsia" w:ascii="仿宋" w:hAnsi="仿宋" w:eastAsia="仿宋" w:cs="仿宋"/>
          <w:color w:val="auto"/>
          <w:spacing w:val="-12"/>
          <w:sz w:val="24"/>
          <w:szCs w:val="24"/>
          <w:highlight w:val="none"/>
          <w:lang w:val="en-US" w:eastAsia="zh-CN"/>
        </w:rPr>
        <w:t>马迭尔1906系列产品（冰棍、奶糕、冰淇淋、冰糕）</w:t>
      </w:r>
      <w:r>
        <w:rPr>
          <w:rFonts w:ascii="仿宋" w:hAnsi="仿宋" w:eastAsia="仿宋" w:cs="仿宋"/>
          <w:color w:val="auto"/>
          <w:spacing w:val="-1"/>
          <w:sz w:val="24"/>
          <w:szCs w:val="24"/>
          <w:highlight w:val="none"/>
        </w:rPr>
        <w:t>的仓储物流由</w:t>
      </w:r>
      <w:r>
        <w:rPr>
          <w:rFonts w:hint="eastAsia" w:ascii="仿宋" w:hAnsi="仿宋" w:eastAsia="仿宋" w:cs="仿宋"/>
          <w:color w:val="auto"/>
          <w:spacing w:val="-1"/>
          <w:sz w:val="24"/>
          <w:szCs w:val="24"/>
          <w:highlight w:val="none"/>
          <w:lang w:val="en-US" w:eastAsia="zh-CN"/>
        </w:rPr>
        <w:t>采购中心</w:t>
      </w:r>
      <w:r>
        <w:rPr>
          <w:rFonts w:ascii="仿宋" w:hAnsi="仿宋" w:eastAsia="仿宋" w:cs="仿宋"/>
          <w:color w:val="auto"/>
          <w:spacing w:val="-1"/>
          <w:sz w:val="24"/>
          <w:szCs w:val="24"/>
          <w:highlight w:val="none"/>
        </w:rPr>
        <w:t>全面</w:t>
      </w:r>
      <w:r>
        <w:rPr>
          <w:rFonts w:ascii="仿宋" w:hAnsi="仿宋" w:eastAsia="仿宋" w:cs="仿宋"/>
          <w:color w:val="auto"/>
          <w:spacing w:val="-3"/>
          <w:sz w:val="24"/>
          <w:szCs w:val="24"/>
          <w:highlight w:val="none"/>
        </w:rPr>
        <w:t>统筹，为保障202</w:t>
      </w:r>
      <w:r>
        <w:rPr>
          <w:rFonts w:hint="eastAsia" w:ascii="仿宋" w:hAnsi="仿宋" w:eastAsia="仿宋" w:cs="仿宋"/>
          <w:color w:val="auto"/>
          <w:spacing w:val="-3"/>
          <w:sz w:val="24"/>
          <w:szCs w:val="24"/>
          <w:highlight w:val="none"/>
          <w:lang w:val="en-US" w:eastAsia="zh-CN"/>
        </w:rPr>
        <w:t>5</w:t>
      </w:r>
      <w:r>
        <w:rPr>
          <w:rFonts w:ascii="仿宋" w:hAnsi="仿宋" w:eastAsia="仿宋" w:cs="仿宋"/>
          <w:color w:val="auto"/>
          <w:spacing w:val="-25"/>
          <w:sz w:val="24"/>
          <w:szCs w:val="24"/>
          <w:highlight w:val="none"/>
        </w:rPr>
        <w:t xml:space="preserve"> </w:t>
      </w:r>
      <w:r>
        <w:rPr>
          <w:rFonts w:ascii="仿宋" w:hAnsi="仿宋" w:eastAsia="仿宋" w:cs="仿宋"/>
          <w:color w:val="auto"/>
          <w:spacing w:val="-3"/>
          <w:sz w:val="24"/>
          <w:szCs w:val="24"/>
          <w:highlight w:val="none"/>
        </w:rPr>
        <w:t>业务工作顺利开展，需采购第三方公司物流服务</w:t>
      </w:r>
      <w:r>
        <w:rPr>
          <w:rFonts w:hint="eastAsia" w:ascii="仿宋" w:hAnsi="仿宋" w:eastAsia="仿宋" w:cs="仿宋"/>
          <w:color w:val="auto"/>
          <w:spacing w:val="-3"/>
          <w:sz w:val="24"/>
          <w:szCs w:val="24"/>
          <w:highlight w:val="none"/>
          <w:lang w:eastAsia="zh-CN"/>
        </w:rPr>
        <w:t>。</w:t>
      </w:r>
    </w:p>
    <w:p w14:paraId="59430F6A">
      <w:pPr>
        <w:keepNext w:val="0"/>
        <w:keepLines w:val="0"/>
        <w:pageBreakBefore w:val="0"/>
        <w:widowControl w:val="0"/>
        <w:kinsoku/>
        <w:wordWrap/>
        <w:overflowPunct/>
        <w:topLinePunct w:val="0"/>
        <w:autoSpaceDE/>
        <w:autoSpaceDN/>
        <w:bidi w:val="0"/>
        <w:adjustRightInd/>
        <w:snapToGrid/>
        <w:spacing w:line="360" w:lineRule="auto"/>
        <w:ind w:left="37" w:right="76" w:firstLine="463"/>
        <w:textAlignment w:val="auto"/>
        <w:rPr>
          <w:rFonts w:hint="eastAsia" w:ascii="仿宋" w:hAnsi="仿宋" w:eastAsia="仿宋" w:cs="仿宋"/>
          <w:b/>
          <w:bCs/>
          <w:color w:val="auto"/>
          <w:spacing w:val="-4"/>
          <w:sz w:val="24"/>
          <w:szCs w:val="24"/>
          <w:highlight w:val="none"/>
          <w:lang w:val="en-US" w:eastAsia="zh-CN"/>
        </w:rPr>
      </w:pPr>
      <w:r>
        <w:rPr>
          <w:rFonts w:hint="eastAsia" w:ascii="仿宋" w:hAnsi="仿宋" w:eastAsia="仿宋" w:cs="仿宋"/>
          <w:b/>
          <w:bCs/>
          <w:color w:val="auto"/>
          <w:spacing w:val="-4"/>
          <w:sz w:val="24"/>
          <w:szCs w:val="24"/>
          <w:highlight w:val="none"/>
          <w:lang w:val="en-US" w:eastAsia="zh-CN"/>
        </w:rPr>
        <w:t>二、服务要求</w:t>
      </w:r>
    </w:p>
    <w:p w14:paraId="2156C828">
      <w:pPr>
        <w:keepNext w:val="0"/>
        <w:keepLines w:val="0"/>
        <w:pageBreakBefore w:val="0"/>
        <w:widowControl w:val="0"/>
        <w:kinsoku/>
        <w:wordWrap/>
        <w:overflowPunct/>
        <w:topLinePunct w:val="0"/>
        <w:autoSpaceDE/>
        <w:autoSpaceDN/>
        <w:bidi w:val="0"/>
        <w:adjustRightInd/>
        <w:snapToGrid/>
        <w:spacing w:line="360" w:lineRule="auto"/>
        <w:ind w:left="37" w:right="76" w:firstLine="463"/>
        <w:textAlignment w:val="auto"/>
        <w:rPr>
          <w:rFonts w:ascii="仿宋" w:hAnsi="仿宋" w:eastAsia="仿宋" w:cs="仿宋"/>
          <w:color w:val="auto"/>
          <w:sz w:val="24"/>
          <w:szCs w:val="24"/>
          <w:highlight w:val="none"/>
        </w:rPr>
      </w:pPr>
      <w:r>
        <w:rPr>
          <w:rFonts w:ascii="仿宋" w:hAnsi="仿宋" w:eastAsia="仿宋" w:cs="仿宋"/>
          <w:color w:val="auto"/>
          <w:spacing w:val="-1"/>
          <w:sz w:val="24"/>
          <w:szCs w:val="24"/>
          <w:highlight w:val="none"/>
        </w:rPr>
        <w:t>1.</w:t>
      </w:r>
      <w:r>
        <w:rPr>
          <w:rFonts w:hint="eastAsia" w:ascii="仿宋" w:hAnsi="仿宋" w:eastAsia="仿宋" w:cs="仿宋"/>
          <w:color w:val="auto"/>
          <w:spacing w:val="-1"/>
          <w:sz w:val="24"/>
          <w:szCs w:val="24"/>
          <w:highlight w:val="none"/>
          <w:lang w:eastAsia="zh-CN"/>
        </w:rPr>
        <w:t>投标人</w:t>
      </w:r>
      <w:r>
        <w:rPr>
          <w:rFonts w:ascii="仿宋" w:hAnsi="仿宋" w:eastAsia="仿宋" w:cs="仿宋"/>
          <w:color w:val="auto"/>
          <w:spacing w:val="-1"/>
          <w:sz w:val="24"/>
          <w:szCs w:val="24"/>
          <w:highlight w:val="none"/>
        </w:rPr>
        <w:t>物流配送范围需覆盖全国各地，按照</w:t>
      </w:r>
      <w:r>
        <w:rPr>
          <w:rFonts w:hint="eastAsia" w:ascii="仿宋" w:hAnsi="仿宋" w:eastAsia="仿宋" w:cs="仿宋"/>
          <w:color w:val="auto"/>
          <w:spacing w:val="-1"/>
          <w:sz w:val="24"/>
          <w:szCs w:val="24"/>
          <w:highlight w:val="none"/>
          <w:lang w:val="en-US" w:eastAsia="zh-CN"/>
        </w:rPr>
        <w:t>哈尔滨马迭尔集团股份有限公司、哈尔滨马迭尔食品股份有限公司</w:t>
      </w:r>
      <w:r>
        <w:rPr>
          <w:rFonts w:ascii="仿宋" w:hAnsi="仿宋" w:eastAsia="仿宋" w:cs="仿宋"/>
          <w:color w:val="auto"/>
          <w:spacing w:val="-1"/>
          <w:sz w:val="24"/>
          <w:szCs w:val="24"/>
          <w:highlight w:val="none"/>
        </w:rPr>
        <w:t>提货要求，将产</w:t>
      </w:r>
      <w:r>
        <w:rPr>
          <w:rFonts w:ascii="仿宋" w:hAnsi="仿宋" w:eastAsia="仿宋" w:cs="仿宋"/>
          <w:color w:val="auto"/>
          <w:spacing w:val="-4"/>
          <w:sz w:val="24"/>
          <w:szCs w:val="24"/>
          <w:highlight w:val="none"/>
        </w:rPr>
        <w:t>品配送至指定收货地址。</w:t>
      </w:r>
    </w:p>
    <w:p w14:paraId="7BB783D1">
      <w:pPr>
        <w:keepNext w:val="0"/>
        <w:keepLines w:val="0"/>
        <w:pageBreakBefore w:val="0"/>
        <w:widowControl w:val="0"/>
        <w:kinsoku/>
        <w:wordWrap/>
        <w:overflowPunct/>
        <w:topLinePunct w:val="0"/>
        <w:autoSpaceDE/>
        <w:autoSpaceDN/>
        <w:bidi w:val="0"/>
        <w:adjustRightInd/>
        <w:snapToGrid/>
        <w:spacing w:line="360" w:lineRule="auto"/>
        <w:ind w:left="482"/>
        <w:textAlignment w:val="auto"/>
        <w:rPr>
          <w:rFonts w:ascii="仿宋" w:hAnsi="仿宋" w:eastAsia="仿宋" w:cs="仿宋"/>
          <w:color w:val="auto"/>
          <w:sz w:val="24"/>
          <w:szCs w:val="24"/>
          <w:highlight w:val="none"/>
        </w:rPr>
      </w:pPr>
      <w:r>
        <w:rPr>
          <w:rFonts w:hint="eastAsia" w:ascii="仿宋" w:hAnsi="仿宋" w:eastAsia="仿宋" w:cs="仿宋"/>
          <w:color w:val="auto"/>
          <w:spacing w:val="-1"/>
          <w:sz w:val="24"/>
          <w:szCs w:val="24"/>
          <w:highlight w:val="none"/>
          <w:lang w:val="en-US" w:eastAsia="zh-CN"/>
        </w:rPr>
        <w:t>2</w:t>
      </w:r>
      <w:r>
        <w:rPr>
          <w:rFonts w:ascii="仿宋" w:hAnsi="仿宋" w:eastAsia="仿宋" w:cs="仿宋"/>
          <w:color w:val="auto"/>
          <w:spacing w:val="-1"/>
          <w:sz w:val="24"/>
          <w:szCs w:val="24"/>
          <w:highlight w:val="none"/>
        </w:rPr>
        <w:t>.能在全国</w:t>
      </w:r>
      <w:r>
        <w:rPr>
          <w:rFonts w:hint="eastAsia" w:ascii="仿宋" w:hAnsi="仿宋" w:eastAsia="仿宋" w:cs="仿宋"/>
          <w:color w:val="auto"/>
          <w:spacing w:val="-1"/>
          <w:sz w:val="24"/>
          <w:szCs w:val="24"/>
          <w:highlight w:val="none"/>
          <w:lang w:val="en-US" w:eastAsia="zh-CN"/>
        </w:rPr>
        <w:t>指定</w:t>
      </w:r>
      <w:r>
        <w:rPr>
          <w:rFonts w:ascii="仿宋" w:hAnsi="仿宋" w:eastAsia="仿宋" w:cs="仿宋"/>
          <w:color w:val="auto"/>
          <w:spacing w:val="-1"/>
          <w:sz w:val="24"/>
          <w:szCs w:val="24"/>
          <w:highlight w:val="none"/>
        </w:rPr>
        <w:t>城市提供仓储、配送一体化服务。</w:t>
      </w:r>
    </w:p>
    <w:p w14:paraId="76C27930">
      <w:pPr>
        <w:keepNext w:val="0"/>
        <w:keepLines w:val="0"/>
        <w:pageBreakBefore w:val="0"/>
        <w:widowControl w:val="0"/>
        <w:kinsoku/>
        <w:wordWrap/>
        <w:overflowPunct/>
        <w:topLinePunct w:val="0"/>
        <w:autoSpaceDE/>
        <w:autoSpaceDN/>
        <w:bidi w:val="0"/>
        <w:adjustRightInd/>
        <w:snapToGrid/>
        <w:spacing w:line="360" w:lineRule="auto"/>
        <w:ind w:left="11" w:firstLine="477"/>
        <w:textAlignment w:val="auto"/>
        <w:rPr>
          <w:rFonts w:ascii="仿宋" w:hAnsi="仿宋" w:eastAsia="仿宋" w:cs="仿宋"/>
          <w:color w:val="auto"/>
          <w:sz w:val="24"/>
          <w:szCs w:val="24"/>
          <w:highlight w:val="none"/>
        </w:rPr>
      </w:pPr>
      <w:r>
        <w:rPr>
          <w:rFonts w:hint="eastAsia" w:ascii="仿宋" w:hAnsi="仿宋" w:eastAsia="仿宋" w:cs="仿宋"/>
          <w:color w:val="auto"/>
          <w:spacing w:val="-5"/>
          <w:sz w:val="24"/>
          <w:szCs w:val="24"/>
          <w:highlight w:val="none"/>
          <w:lang w:val="en-US" w:eastAsia="zh-CN"/>
        </w:rPr>
        <w:t>3</w:t>
      </w:r>
      <w:r>
        <w:rPr>
          <w:rFonts w:ascii="仿宋" w:hAnsi="仿宋" w:eastAsia="仿宋" w:cs="仿宋"/>
          <w:color w:val="auto"/>
          <w:spacing w:val="-5"/>
          <w:sz w:val="24"/>
          <w:szCs w:val="24"/>
          <w:highlight w:val="none"/>
        </w:rPr>
        <w:t>.在城市仓提供冰淇淋入库、出库、管理、分拣、打包、门店配送、撤销订单、</w:t>
      </w:r>
      <w:r>
        <w:rPr>
          <w:rFonts w:ascii="仿宋" w:hAnsi="仿宋" w:eastAsia="仿宋" w:cs="仿宋"/>
          <w:color w:val="auto"/>
          <w:spacing w:val="-1"/>
          <w:sz w:val="24"/>
          <w:szCs w:val="24"/>
          <w:highlight w:val="none"/>
        </w:rPr>
        <w:t>经销商及自营业务退货、不良品销毁等增值服务。</w:t>
      </w:r>
    </w:p>
    <w:p w14:paraId="07AF1956">
      <w:pPr>
        <w:keepNext w:val="0"/>
        <w:keepLines w:val="0"/>
        <w:pageBreakBefore w:val="0"/>
        <w:widowControl w:val="0"/>
        <w:kinsoku/>
        <w:wordWrap/>
        <w:overflowPunct/>
        <w:topLinePunct w:val="0"/>
        <w:autoSpaceDE/>
        <w:autoSpaceDN/>
        <w:bidi w:val="0"/>
        <w:adjustRightInd/>
        <w:snapToGrid/>
        <w:spacing w:line="360" w:lineRule="auto"/>
        <w:ind w:left="489"/>
        <w:textAlignment w:val="auto"/>
        <w:rPr>
          <w:rFonts w:ascii="仿宋" w:hAnsi="仿宋" w:eastAsia="仿宋" w:cs="仿宋"/>
          <w:color w:val="auto"/>
          <w:sz w:val="24"/>
          <w:szCs w:val="24"/>
          <w:highlight w:val="none"/>
        </w:rPr>
      </w:pPr>
      <w:r>
        <w:rPr>
          <w:rFonts w:hint="eastAsia" w:ascii="仿宋" w:hAnsi="仿宋" w:eastAsia="仿宋" w:cs="仿宋"/>
          <w:color w:val="auto"/>
          <w:spacing w:val="-1"/>
          <w:sz w:val="24"/>
          <w:szCs w:val="24"/>
          <w:highlight w:val="none"/>
          <w:lang w:val="en-US" w:eastAsia="zh-CN"/>
        </w:rPr>
        <w:t>4</w:t>
      </w:r>
      <w:r>
        <w:rPr>
          <w:rFonts w:ascii="仿宋" w:hAnsi="仿宋" w:eastAsia="仿宋" w:cs="仿宋"/>
          <w:color w:val="auto"/>
          <w:spacing w:val="-1"/>
          <w:sz w:val="24"/>
          <w:szCs w:val="24"/>
          <w:highlight w:val="none"/>
        </w:rPr>
        <w:t>.需有相关高端冰品的运输经验。</w:t>
      </w:r>
    </w:p>
    <w:p w14:paraId="51A62907">
      <w:pPr>
        <w:keepNext w:val="0"/>
        <w:keepLines w:val="0"/>
        <w:pageBreakBefore w:val="0"/>
        <w:widowControl w:val="0"/>
        <w:kinsoku/>
        <w:wordWrap/>
        <w:overflowPunct/>
        <w:topLinePunct w:val="0"/>
        <w:autoSpaceDE/>
        <w:autoSpaceDN/>
        <w:bidi w:val="0"/>
        <w:adjustRightInd/>
        <w:snapToGrid/>
        <w:spacing w:line="360" w:lineRule="auto"/>
        <w:ind w:firstLine="466" w:firstLineChars="200"/>
        <w:textAlignment w:val="auto"/>
        <w:rPr>
          <w:rFonts w:ascii="仿宋" w:hAnsi="仿宋" w:eastAsia="仿宋" w:cs="仿宋"/>
          <w:color w:val="auto"/>
          <w:sz w:val="24"/>
          <w:szCs w:val="24"/>
          <w:highlight w:val="none"/>
        </w:rPr>
      </w:pPr>
      <w:r>
        <w:rPr>
          <w:rFonts w:hint="eastAsia" w:ascii="仿宋" w:hAnsi="仿宋" w:eastAsia="仿宋" w:cs="仿宋"/>
          <w:b/>
          <w:bCs/>
          <w:color w:val="auto"/>
          <w:spacing w:val="-4"/>
          <w:sz w:val="24"/>
          <w:szCs w:val="24"/>
          <w:highlight w:val="none"/>
          <w:lang w:val="en-US" w:eastAsia="zh-CN"/>
        </w:rPr>
        <w:t>三、</w:t>
      </w:r>
      <w:r>
        <w:rPr>
          <w:rFonts w:ascii="仿宋" w:hAnsi="仿宋" w:eastAsia="仿宋" w:cs="仿宋"/>
          <w:b/>
          <w:bCs/>
          <w:color w:val="auto"/>
          <w:spacing w:val="-4"/>
          <w:sz w:val="24"/>
          <w:szCs w:val="24"/>
          <w:highlight w:val="none"/>
        </w:rPr>
        <w:t>冰淇淋储运质量要求</w:t>
      </w:r>
    </w:p>
    <w:p w14:paraId="6F6BC9D6">
      <w:pPr>
        <w:keepNext w:val="0"/>
        <w:keepLines w:val="0"/>
        <w:pageBreakBefore w:val="0"/>
        <w:widowControl w:val="0"/>
        <w:kinsoku/>
        <w:wordWrap/>
        <w:overflowPunct/>
        <w:topLinePunct w:val="0"/>
        <w:autoSpaceDE/>
        <w:autoSpaceDN/>
        <w:bidi w:val="0"/>
        <w:adjustRightInd/>
        <w:snapToGrid/>
        <w:spacing w:line="360" w:lineRule="auto"/>
        <w:ind w:left="12" w:firstLine="480"/>
        <w:textAlignment w:val="auto"/>
        <w:rPr>
          <w:rFonts w:ascii="仿宋" w:hAnsi="仿宋" w:eastAsia="仿宋" w:cs="仿宋"/>
          <w:color w:val="auto"/>
          <w:sz w:val="24"/>
          <w:szCs w:val="24"/>
          <w:highlight w:val="none"/>
        </w:rPr>
      </w:pPr>
      <w:r>
        <w:rPr>
          <w:rFonts w:hint="eastAsia" w:ascii="仿宋" w:hAnsi="仿宋" w:eastAsia="仿宋" w:cs="仿宋"/>
          <w:color w:val="auto"/>
          <w:spacing w:val="-12"/>
          <w:sz w:val="24"/>
          <w:szCs w:val="24"/>
          <w:highlight w:val="none"/>
          <w:lang w:val="en-US" w:eastAsia="zh-CN"/>
        </w:rPr>
        <w:t>马迭尔1906系列产品（冰棍、奶糕、冰淇淋、冰糕）</w:t>
      </w:r>
      <w:r>
        <w:rPr>
          <w:rFonts w:ascii="仿宋" w:hAnsi="仿宋" w:eastAsia="仿宋" w:cs="仿宋"/>
          <w:color w:val="auto"/>
          <w:spacing w:val="-5"/>
          <w:sz w:val="24"/>
          <w:szCs w:val="24"/>
          <w:highlight w:val="none"/>
        </w:rPr>
        <w:t>冷链过程中的基本要求、交接、运输配送、储存、</w:t>
      </w:r>
      <w:r>
        <w:rPr>
          <w:rFonts w:ascii="仿宋" w:hAnsi="仿宋" w:eastAsia="仿宋" w:cs="仿宋"/>
          <w:color w:val="auto"/>
          <w:spacing w:val="-6"/>
          <w:sz w:val="24"/>
          <w:szCs w:val="24"/>
          <w:highlight w:val="none"/>
        </w:rPr>
        <w:t>人员和管理制度、</w:t>
      </w:r>
      <w:r>
        <w:rPr>
          <w:rFonts w:ascii="仿宋" w:hAnsi="仿宋" w:eastAsia="仿宋" w:cs="仿宋"/>
          <w:color w:val="auto"/>
          <w:spacing w:val="-5"/>
          <w:sz w:val="24"/>
          <w:szCs w:val="24"/>
          <w:highlight w:val="none"/>
        </w:rPr>
        <w:t>追溯及文件管理等按照</w:t>
      </w:r>
      <w:r>
        <w:rPr>
          <w:rFonts w:ascii="仿宋" w:hAnsi="仿宋" w:eastAsia="仿宋" w:cs="仿宋"/>
          <w:color w:val="auto"/>
          <w:spacing w:val="-54"/>
          <w:sz w:val="24"/>
          <w:szCs w:val="24"/>
          <w:highlight w:val="none"/>
        </w:rPr>
        <w:t xml:space="preserve"> </w:t>
      </w:r>
      <w:r>
        <w:rPr>
          <w:rFonts w:ascii="仿宋" w:hAnsi="仿宋" w:eastAsia="仿宋" w:cs="仿宋"/>
          <w:color w:val="auto"/>
          <w:spacing w:val="-5"/>
          <w:sz w:val="24"/>
          <w:szCs w:val="24"/>
          <w:highlight w:val="none"/>
        </w:rPr>
        <w:t>GB</w:t>
      </w:r>
      <w:r>
        <w:rPr>
          <w:rFonts w:ascii="仿宋" w:hAnsi="仿宋" w:eastAsia="仿宋" w:cs="仿宋"/>
          <w:color w:val="auto"/>
          <w:spacing w:val="-47"/>
          <w:sz w:val="24"/>
          <w:szCs w:val="24"/>
          <w:highlight w:val="none"/>
        </w:rPr>
        <w:t xml:space="preserve"> </w:t>
      </w:r>
      <w:r>
        <w:rPr>
          <w:rFonts w:ascii="仿宋" w:hAnsi="仿宋" w:eastAsia="仿宋" w:cs="仿宋"/>
          <w:color w:val="auto"/>
          <w:spacing w:val="-5"/>
          <w:sz w:val="24"/>
          <w:szCs w:val="24"/>
          <w:highlight w:val="none"/>
        </w:rPr>
        <w:t>31605《食品安全国家标准食品冷链物流</w:t>
      </w:r>
      <w:r>
        <w:rPr>
          <w:rFonts w:ascii="仿宋" w:hAnsi="仿宋" w:eastAsia="仿宋" w:cs="仿宋"/>
          <w:color w:val="auto"/>
          <w:spacing w:val="-6"/>
          <w:sz w:val="24"/>
          <w:szCs w:val="24"/>
          <w:highlight w:val="none"/>
        </w:rPr>
        <w:t>卫生规范》执行，</w:t>
      </w:r>
      <w:r>
        <w:rPr>
          <w:rFonts w:ascii="仿宋" w:hAnsi="仿宋" w:eastAsia="仿宋" w:cs="仿宋"/>
          <w:color w:val="auto"/>
          <w:spacing w:val="-2"/>
          <w:sz w:val="24"/>
          <w:szCs w:val="24"/>
          <w:highlight w:val="none"/>
        </w:rPr>
        <w:t>全链温度不得高于-18℃</w:t>
      </w:r>
      <w:r>
        <w:rPr>
          <w:rFonts w:ascii="仿宋" w:hAnsi="仿宋" w:eastAsia="仿宋" w:cs="仿宋"/>
          <w:color w:val="auto"/>
          <w:spacing w:val="-82"/>
          <w:sz w:val="24"/>
          <w:szCs w:val="24"/>
          <w:highlight w:val="none"/>
        </w:rPr>
        <w:t xml:space="preserve"> </w:t>
      </w:r>
      <w:r>
        <w:rPr>
          <w:rFonts w:ascii="仿宋" w:hAnsi="仿宋" w:eastAsia="仿宋" w:cs="仿宋"/>
          <w:color w:val="auto"/>
          <w:spacing w:val="-2"/>
          <w:sz w:val="24"/>
          <w:szCs w:val="24"/>
          <w:highlight w:val="none"/>
        </w:rPr>
        <w:t>,需保证监控温度可实时查询，温度监控记录保存至少</w:t>
      </w:r>
      <w:r>
        <w:rPr>
          <w:rFonts w:hint="eastAsia" w:ascii="仿宋" w:hAnsi="仿宋" w:eastAsia="仿宋" w:cs="仿宋"/>
          <w:color w:val="auto"/>
          <w:spacing w:val="-2"/>
          <w:sz w:val="24"/>
          <w:szCs w:val="24"/>
          <w:highlight w:val="none"/>
          <w:lang w:val="en-US" w:eastAsia="zh-CN"/>
        </w:rPr>
        <w:t>12</w:t>
      </w:r>
      <w:r>
        <w:rPr>
          <w:rFonts w:ascii="仿宋" w:hAnsi="仿宋" w:eastAsia="仿宋" w:cs="仿宋"/>
          <w:color w:val="auto"/>
          <w:spacing w:val="-2"/>
          <w:sz w:val="24"/>
          <w:szCs w:val="24"/>
          <w:highlight w:val="none"/>
        </w:rPr>
        <w:t>个月。具体要求如下：</w:t>
      </w:r>
    </w:p>
    <w:p w14:paraId="0165EAE6">
      <w:pPr>
        <w:keepNext w:val="0"/>
        <w:keepLines w:val="0"/>
        <w:pageBreakBefore w:val="0"/>
        <w:widowControl w:val="0"/>
        <w:kinsoku/>
        <w:wordWrap/>
        <w:overflowPunct/>
        <w:topLinePunct w:val="0"/>
        <w:autoSpaceDE/>
        <w:autoSpaceDN/>
        <w:bidi w:val="0"/>
        <w:adjustRightInd/>
        <w:snapToGrid/>
        <w:spacing w:line="360" w:lineRule="auto"/>
        <w:ind w:left="486"/>
        <w:textAlignment w:val="auto"/>
        <w:rPr>
          <w:rFonts w:ascii="仿宋" w:hAnsi="仿宋" w:eastAsia="仿宋" w:cs="仿宋"/>
          <w:b/>
          <w:bCs/>
          <w:color w:val="auto"/>
          <w:sz w:val="24"/>
          <w:szCs w:val="24"/>
          <w:highlight w:val="none"/>
        </w:rPr>
      </w:pPr>
      <w:r>
        <w:rPr>
          <w:rFonts w:ascii="仿宋" w:hAnsi="仿宋" w:eastAsia="仿宋" w:cs="仿宋"/>
          <w:b/>
          <w:bCs/>
          <w:color w:val="auto"/>
          <w:sz w:val="24"/>
          <w:szCs w:val="24"/>
          <w:highlight w:val="none"/>
        </w:rPr>
        <w:fldChar w:fldCharType="begin"/>
      </w:r>
      <w:r>
        <w:rPr>
          <w:rFonts w:ascii="仿宋" w:hAnsi="仿宋" w:eastAsia="仿宋" w:cs="仿宋"/>
          <w:b/>
          <w:bCs/>
          <w:color w:val="auto"/>
          <w:sz w:val="24"/>
          <w:szCs w:val="24"/>
          <w:highlight w:val="none"/>
        </w:rPr>
        <w:instrText xml:space="preserve"> = 1 \* GB4 \* MERGEFORMAT </w:instrText>
      </w:r>
      <w:r>
        <w:rPr>
          <w:rFonts w:ascii="仿宋" w:hAnsi="仿宋" w:eastAsia="仿宋" w:cs="仿宋"/>
          <w:b/>
          <w:bCs/>
          <w:color w:val="auto"/>
          <w:sz w:val="24"/>
          <w:szCs w:val="24"/>
          <w:highlight w:val="none"/>
        </w:rPr>
        <w:fldChar w:fldCharType="separate"/>
      </w:r>
      <w:r>
        <w:rPr>
          <w:rFonts w:ascii="仿宋" w:hAnsi="仿宋" w:eastAsia="仿宋" w:cs="仿宋"/>
          <w:b/>
          <w:bCs/>
          <w:color w:val="auto"/>
          <w:sz w:val="24"/>
          <w:szCs w:val="24"/>
          <w:highlight w:val="none"/>
        </w:rPr>
        <w:t>㈠</w:t>
      </w:r>
      <w:r>
        <w:rPr>
          <w:rFonts w:ascii="仿宋" w:hAnsi="仿宋" w:eastAsia="仿宋" w:cs="仿宋"/>
          <w:b/>
          <w:bCs/>
          <w:color w:val="auto"/>
          <w:sz w:val="24"/>
          <w:szCs w:val="24"/>
          <w:highlight w:val="none"/>
        </w:rPr>
        <w:fldChar w:fldCharType="end"/>
      </w:r>
      <w:r>
        <w:rPr>
          <w:rFonts w:ascii="仿宋" w:hAnsi="仿宋" w:eastAsia="仿宋" w:cs="仿宋"/>
          <w:b/>
          <w:bCs/>
          <w:color w:val="auto"/>
          <w:sz w:val="24"/>
          <w:szCs w:val="24"/>
          <w:highlight w:val="none"/>
        </w:rPr>
        <w:t>仓储要求</w:t>
      </w:r>
    </w:p>
    <w:p w14:paraId="2F99654D">
      <w:pPr>
        <w:keepNext w:val="0"/>
        <w:keepLines w:val="0"/>
        <w:pageBreakBefore w:val="0"/>
        <w:widowControl w:val="0"/>
        <w:kinsoku/>
        <w:wordWrap/>
        <w:overflowPunct/>
        <w:topLinePunct w:val="0"/>
        <w:autoSpaceDE/>
        <w:autoSpaceDN/>
        <w:bidi w:val="0"/>
        <w:adjustRightInd/>
        <w:snapToGrid/>
        <w:spacing w:line="360" w:lineRule="auto"/>
        <w:ind w:left="6" w:right="62" w:firstLine="486"/>
        <w:textAlignment w:val="auto"/>
        <w:rPr>
          <w:rFonts w:hint="eastAsia" w:ascii="仿宋" w:hAnsi="仿宋" w:eastAsia="仿宋" w:cs="仿宋"/>
          <w:color w:val="auto"/>
          <w:sz w:val="24"/>
          <w:szCs w:val="24"/>
          <w:highlight w:val="none"/>
          <w:lang w:eastAsia="zh-CN"/>
        </w:rPr>
      </w:pPr>
      <w:r>
        <w:rPr>
          <w:rFonts w:ascii="仿宋" w:hAnsi="仿宋" w:eastAsia="仿宋" w:cs="仿宋"/>
          <w:color w:val="auto"/>
          <w:spacing w:val="-1"/>
          <w:sz w:val="24"/>
          <w:szCs w:val="24"/>
          <w:highlight w:val="none"/>
        </w:rPr>
        <w:t>1.库房温度必须达到-18℃以下，存放在库内温度波动较小区域（不得正对门</w:t>
      </w:r>
      <w:r>
        <w:rPr>
          <w:rFonts w:ascii="仿宋" w:hAnsi="仿宋" w:eastAsia="仿宋" w:cs="仿宋"/>
          <w:color w:val="auto"/>
          <w:sz w:val="24"/>
          <w:szCs w:val="24"/>
          <w:highlight w:val="none"/>
        </w:rPr>
        <w:t>口</w:t>
      </w:r>
      <w:r>
        <w:rPr>
          <w:rFonts w:ascii="仿宋" w:hAnsi="仿宋" w:eastAsia="仿宋" w:cs="仿宋"/>
          <w:color w:val="auto"/>
          <w:spacing w:val="-10"/>
          <w:sz w:val="24"/>
          <w:szCs w:val="24"/>
          <w:highlight w:val="none"/>
        </w:rPr>
        <w:t>），</w:t>
      </w:r>
      <w:r>
        <w:rPr>
          <w:rFonts w:ascii="仿宋" w:hAnsi="仿宋" w:eastAsia="仿宋" w:cs="仿宋"/>
          <w:color w:val="auto"/>
          <w:sz w:val="24"/>
          <w:szCs w:val="24"/>
          <w:highlight w:val="none"/>
        </w:rPr>
        <w:t>托盘存放缠绕膜全覆盖防护，库内存放托盘不可叠加，以免挤压变形造</w:t>
      </w:r>
      <w:r>
        <w:rPr>
          <w:rFonts w:ascii="仿宋" w:hAnsi="仿宋" w:eastAsia="仿宋" w:cs="仿宋"/>
          <w:color w:val="auto"/>
          <w:spacing w:val="-1"/>
          <w:sz w:val="24"/>
          <w:szCs w:val="24"/>
          <w:highlight w:val="none"/>
        </w:rPr>
        <w:t>成质</w:t>
      </w:r>
      <w:r>
        <w:rPr>
          <w:rFonts w:ascii="仿宋" w:hAnsi="仿宋" w:eastAsia="仿宋" w:cs="仿宋"/>
          <w:color w:val="auto"/>
          <w:spacing w:val="-5"/>
          <w:sz w:val="24"/>
          <w:szCs w:val="24"/>
          <w:highlight w:val="none"/>
        </w:rPr>
        <w:t>量事故</w:t>
      </w:r>
      <w:r>
        <w:rPr>
          <w:rFonts w:hint="eastAsia" w:ascii="仿宋" w:hAnsi="仿宋" w:eastAsia="仿宋" w:cs="仿宋"/>
          <w:color w:val="auto"/>
          <w:spacing w:val="-5"/>
          <w:sz w:val="24"/>
          <w:szCs w:val="24"/>
          <w:highlight w:val="none"/>
          <w:lang w:eastAsia="zh-CN"/>
        </w:rPr>
        <w:t>。</w:t>
      </w:r>
    </w:p>
    <w:p w14:paraId="747EE1D8">
      <w:pPr>
        <w:keepNext w:val="0"/>
        <w:keepLines w:val="0"/>
        <w:pageBreakBefore w:val="0"/>
        <w:widowControl w:val="0"/>
        <w:kinsoku/>
        <w:wordWrap/>
        <w:overflowPunct/>
        <w:topLinePunct w:val="0"/>
        <w:autoSpaceDE/>
        <w:autoSpaceDN/>
        <w:bidi w:val="0"/>
        <w:adjustRightInd/>
        <w:snapToGrid/>
        <w:spacing w:line="360" w:lineRule="auto"/>
        <w:ind w:left="478"/>
        <w:textAlignment w:val="auto"/>
        <w:rPr>
          <w:rFonts w:hint="eastAsia" w:ascii="仿宋" w:hAnsi="仿宋" w:eastAsia="仿宋" w:cs="仿宋"/>
          <w:color w:val="auto"/>
          <w:sz w:val="24"/>
          <w:szCs w:val="24"/>
          <w:highlight w:val="none"/>
          <w:lang w:eastAsia="zh-CN"/>
        </w:rPr>
      </w:pPr>
      <w:r>
        <w:rPr>
          <w:rFonts w:ascii="仿宋" w:hAnsi="仿宋" w:eastAsia="仿宋" w:cs="仿宋"/>
          <w:color w:val="auto"/>
          <w:spacing w:val="-1"/>
          <w:sz w:val="24"/>
          <w:szCs w:val="24"/>
          <w:highlight w:val="none"/>
        </w:rPr>
        <w:t>2.产品托盘需存放在货架一层，防止高空滑落，出现产品损坏</w:t>
      </w:r>
      <w:r>
        <w:rPr>
          <w:rFonts w:hint="eastAsia" w:ascii="仿宋" w:hAnsi="仿宋" w:eastAsia="仿宋" w:cs="仿宋"/>
          <w:color w:val="auto"/>
          <w:spacing w:val="-1"/>
          <w:sz w:val="24"/>
          <w:szCs w:val="24"/>
          <w:highlight w:val="none"/>
          <w:lang w:eastAsia="zh-CN"/>
        </w:rPr>
        <w:t>。</w:t>
      </w:r>
    </w:p>
    <w:p w14:paraId="3213F768">
      <w:pPr>
        <w:keepNext w:val="0"/>
        <w:keepLines w:val="0"/>
        <w:pageBreakBefore w:val="0"/>
        <w:widowControl w:val="0"/>
        <w:kinsoku/>
        <w:wordWrap/>
        <w:overflowPunct/>
        <w:topLinePunct w:val="0"/>
        <w:autoSpaceDE/>
        <w:autoSpaceDN/>
        <w:bidi w:val="0"/>
        <w:adjustRightInd/>
        <w:snapToGrid/>
        <w:spacing w:line="360" w:lineRule="auto"/>
        <w:ind w:left="3" w:right="62" w:firstLine="476"/>
        <w:textAlignment w:val="auto"/>
        <w:rPr>
          <w:rFonts w:hint="eastAsia" w:ascii="仿宋" w:hAnsi="仿宋" w:eastAsia="仿宋" w:cs="仿宋"/>
          <w:color w:val="auto"/>
          <w:sz w:val="24"/>
          <w:szCs w:val="24"/>
          <w:highlight w:val="none"/>
          <w:lang w:eastAsia="zh-CN"/>
        </w:rPr>
      </w:pPr>
      <w:r>
        <w:rPr>
          <w:rFonts w:ascii="仿宋" w:hAnsi="仿宋" w:eastAsia="仿宋" w:cs="仿宋"/>
          <w:color w:val="auto"/>
          <w:sz w:val="24"/>
          <w:szCs w:val="24"/>
          <w:highlight w:val="none"/>
        </w:rPr>
        <w:t>3.出货时不允许将产品滞留在缓存区，装车</w:t>
      </w:r>
      <w:r>
        <w:rPr>
          <w:rFonts w:ascii="仿宋" w:hAnsi="仿宋" w:eastAsia="仿宋" w:cs="仿宋"/>
          <w:color w:val="auto"/>
          <w:spacing w:val="-1"/>
          <w:sz w:val="24"/>
          <w:szCs w:val="24"/>
          <w:highlight w:val="none"/>
        </w:rPr>
        <w:t>前产品放置在库内过道，车厢码放</w:t>
      </w:r>
      <w:r>
        <w:rPr>
          <w:rFonts w:ascii="仿宋" w:hAnsi="仿宋" w:eastAsia="仿宋" w:cs="仿宋"/>
          <w:color w:val="auto"/>
          <w:spacing w:val="-2"/>
          <w:sz w:val="24"/>
          <w:szCs w:val="24"/>
          <w:highlight w:val="none"/>
        </w:rPr>
        <w:t>位置排列好后迅速装车</w:t>
      </w:r>
      <w:r>
        <w:rPr>
          <w:rFonts w:hint="eastAsia" w:ascii="仿宋" w:hAnsi="仿宋" w:eastAsia="仿宋" w:cs="仿宋"/>
          <w:color w:val="auto"/>
          <w:spacing w:val="-2"/>
          <w:sz w:val="24"/>
          <w:szCs w:val="24"/>
          <w:highlight w:val="none"/>
          <w:lang w:eastAsia="zh-CN"/>
        </w:rPr>
        <w:t>。</w:t>
      </w:r>
    </w:p>
    <w:p w14:paraId="40ECD0F1">
      <w:pPr>
        <w:keepNext w:val="0"/>
        <w:keepLines w:val="0"/>
        <w:pageBreakBefore w:val="0"/>
        <w:widowControl w:val="0"/>
        <w:kinsoku/>
        <w:wordWrap/>
        <w:overflowPunct/>
        <w:topLinePunct w:val="0"/>
        <w:autoSpaceDE/>
        <w:autoSpaceDN/>
        <w:bidi w:val="0"/>
        <w:adjustRightInd/>
        <w:snapToGrid/>
        <w:spacing w:line="360" w:lineRule="auto"/>
        <w:ind w:left="1" w:right="62" w:firstLine="472"/>
        <w:textAlignment w:val="auto"/>
        <w:rPr>
          <w:rFonts w:hint="eastAsia" w:ascii="仿宋" w:hAnsi="仿宋" w:eastAsia="仿宋" w:cs="仿宋"/>
          <w:color w:val="auto"/>
          <w:sz w:val="24"/>
          <w:szCs w:val="24"/>
          <w:highlight w:val="none"/>
          <w:lang w:eastAsia="zh-CN"/>
        </w:rPr>
      </w:pPr>
      <w:r>
        <w:rPr>
          <w:rFonts w:ascii="仿宋" w:hAnsi="仿宋" w:eastAsia="仿宋" w:cs="仿宋"/>
          <w:color w:val="auto"/>
          <w:spacing w:val="1"/>
          <w:sz w:val="24"/>
          <w:szCs w:val="24"/>
          <w:highlight w:val="none"/>
        </w:rPr>
        <w:t>4.出库及码车时间</w:t>
      </w:r>
      <w:r>
        <w:rPr>
          <w:rFonts w:hint="eastAsia" w:ascii="仿宋" w:hAnsi="仿宋" w:eastAsia="仿宋" w:cs="仿宋"/>
          <w:color w:val="auto"/>
          <w:spacing w:val="1"/>
          <w:sz w:val="24"/>
          <w:szCs w:val="24"/>
          <w:highlight w:val="none"/>
          <w:lang w:val="en-US" w:eastAsia="zh-CN"/>
        </w:rPr>
        <w:t>按照招标人要求</w:t>
      </w:r>
      <w:r>
        <w:rPr>
          <w:rFonts w:ascii="仿宋" w:hAnsi="仿宋" w:eastAsia="仿宋" w:cs="仿宋"/>
          <w:color w:val="auto"/>
          <w:spacing w:val="1"/>
          <w:sz w:val="24"/>
          <w:szCs w:val="24"/>
          <w:highlight w:val="none"/>
        </w:rPr>
        <w:t>，</w:t>
      </w:r>
      <w:r>
        <w:rPr>
          <w:rFonts w:hint="eastAsia" w:ascii="仿宋" w:hAnsi="仿宋" w:eastAsia="仿宋" w:cs="仿宋"/>
          <w:color w:val="auto"/>
          <w:spacing w:val="1"/>
          <w:sz w:val="24"/>
          <w:szCs w:val="24"/>
          <w:highlight w:val="none"/>
          <w:lang w:val="en-US" w:eastAsia="zh-CN"/>
        </w:rPr>
        <w:t>以实际签订合同为准，</w:t>
      </w:r>
      <w:r>
        <w:rPr>
          <w:rFonts w:ascii="仿宋" w:hAnsi="仿宋" w:eastAsia="仿宋" w:cs="仿宋"/>
          <w:color w:val="auto"/>
          <w:spacing w:val="1"/>
          <w:sz w:val="24"/>
          <w:szCs w:val="24"/>
          <w:highlight w:val="none"/>
        </w:rPr>
        <w:t>与其</w:t>
      </w:r>
      <w:r>
        <w:rPr>
          <w:rFonts w:ascii="仿宋" w:hAnsi="仿宋" w:eastAsia="仿宋" w:cs="仿宋"/>
          <w:color w:val="auto"/>
          <w:sz w:val="24"/>
          <w:szCs w:val="24"/>
          <w:highlight w:val="none"/>
        </w:rPr>
        <w:t>他产品混装时做好</w:t>
      </w:r>
      <w:r>
        <w:rPr>
          <w:rFonts w:hint="eastAsia" w:ascii="仿宋" w:hAnsi="仿宋" w:eastAsia="仿宋" w:cs="仿宋"/>
          <w:color w:val="auto"/>
          <w:sz w:val="24"/>
          <w:szCs w:val="24"/>
          <w:highlight w:val="none"/>
          <w:lang w:val="en-US" w:eastAsia="zh-CN"/>
        </w:rPr>
        <w:t>马迭尔1906</w:t>
      </w:r>
      <w:r>
        <w:rPr>
          <w:rFonts w:ascii="仿宋" w:hAnsi="仿宋" w:eastAsia="仿宋" w:cs="仿宋"/>
          <w:color w:val="auto"/>
          <w:sz w:val="24"/>
          <w:szCs w:val="24"/>
          <w:highlight w:val="none"/>
        </w:rPr>
        <w:t>产品的防护，装车时</w:t>
      </w:r>
      <w:r>
        <w:rPr>
          <w:rFonts w:ascii="仿宋" w:hAnsi="仿宋" w:eastAsia="仿宋" w:cs="仿宋"/>
          <w:color w:val="auto"/>
          <w:spacing w:val="-1"/>
          <w:sz w:val="24"/>
          <w:szCs w:val="24"/>
          <w:highlight w:val="none"/>
        </w:rPr>
        <w:t>最后装车，到达目的地时最先下货</w:t>
      </w:r>
      <w:r>
        <w:rPr>
          <w:rFonts w:hint="eastAsia" w:ascii="仿宋" w:hAnsi="仿宋" w:eastAsia="仿宋" w:cs="仿宋"/>
          <w:color w:val="auto"/>
          <w:spacing w:val="-1"/>
          <w:sz w:val="24"/>
          <w:szCs w:val="24"/>
          <w:highlight w:val="none"/>
          <w:lang w:eastAsia="zh-CN"/>
        </w:rPr>
        <w:t>。</w:t>
      </w:r>
    </w:p>
    <w:p w14:paraId="7D9AE97B">
      <w:pPr>
        <w:keepNext w:val="0"/>
        <w:keepLines w:val="0"/>
        <w:pageBreakBefore w:val="0"/>
        <w:widowControl w:val="0"/>
        <w:kinsoku/>
        <w:wordWrap/>
        <w:overflowPunct/>
        <w:topLinePunct w:val="0"/>
        <w:autoSpaceDE/>
        <w:autoSpaceDN/>
        <w:bidi w:val="0"/>
        <w:adjustRightInd/>
        <w:snapToGrid/>
        <w:spacing w:line="360" w:lineRule="auto"/>
        <w:ind w:left="9" w:firstLine="470"/>
        <w:textAlignment w:val="auto"/>
        <w:rPr>
          <w:rFonts w:hint="eastAsia" w:ascii="仿宋" w:hAnsi="仿宋" w:eastAsia="仿宋" w:cs="仿宋"/>
          <w:color w:val="auto"/>
          <w:sz w:val="24"/>
          <w:szCs w:val="24"/>
          <w:highlight w:val="none"/>
          <w:lang w:eastAsia="zh-CN"/>
        </w:rPr>
      </w:pPr>
      <w:r>
        <w:rPr>
          <w:rFonts w:ascii="仿宋" w:hAnsi="仿宋" w:eastAsia="仿宋" w:cs="仿宋"/>
          <w:color w:val="auto"/>
          <w:spacing w:val="-4"/>
          <w:sz w:val="24"/>
          <w:szCs w:val="24"/>
          <w:highlight w:val="none"/>
        </w:rPr>
        <w:t>5.到达分仓卸货时，分仓迅速组织叉车卸货，减少暴</w:t>
      </w:r>
      <w:r>
        <w:rPr>
          <w:rFonts w:ascii="仿宋" w:hAnsi="仿宋" w:eastAsia="仿宋" w:cs="仿宋"/>
          <w:color w:val="auto"/>
          <w:spacing w:val="-6"/>
          <w:sz w:val="24"/>
          <w:szCs w:val="24"/>
          <w:highlight w:val="none"/>
        </w:rPr>
        <w:t>露在常温下的时间</w:t>
      </w:r>
      <w:r>
        <w:rPr>
          <w:rFonts w:hint="eastAsia" w:ascii="仿宋" w:hAnsi="仿宋" w:eastAsia="仿宋" w:cs="仿宋"/>
          <w:color w:val="auto"/>
          <w:spacing w:val="-6"/>
          <w:sz w:val="24"/>
          <w:szCs w:val="24"/>
          <w:highlight w:val="none"/>
          <w:lang w:eastAsia="zh-CN"/>
        </w:rPr>
        <w:t>。</w:t>
      </w:r>
    </w:p>
    <w:p w14:paraId="7C2403A2">
      <w:pPr>
        <w:keepNext w:val="0"/>
        <w:keepLines w:val="0"/>
        <w:pageBreakBefore w:val="0"/>
        <w:widowControl w:val="0"/>
        <w:kinsoku/>
        <w:wordWrap/>
        <w:overflowPunct/>
        <w:topLinePunct w:val="0"/>
        <w:autoSpaceDE/>
        <w:autoSpaceDN/>
        <w:bidi w:val="0"/>
        <w:adjustRightInd/>
        <w:snapToGrid/>
        <w:spacing w:line="360" w:lineRule="auto"/>
        <w:ind w:left="48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1"/>
          <w:sz w:val="24"/>
          <w:szCs w:val="24"/>
          <w:highlight w:val="none"/>
          <w:lang w:val="en-US" w:eastAsia="zh-CN"/>
        </w:rPr>
        <w:t>6</w:t>
      </w:r>
      <w:r>
        <w:rPr>
          <w:rFonts w:ascii="仿宋" w:hAnsi="仿宋" w:eastAsia="仿宋" w:cs="仿宋"/>
          <w:color w:val="auto"/>
          <w:spacing w:val="-1"/>
          <w:sz w:val="24"/>
          <w:szCs w:val="24"/>
          <w:highlight w:val="none"/>
        </w:rPr>
        <w:t>.装卸货务必做到轻拿轻放，以免造成产品损坏</w:t>
      </w:r>
      <w:r>
        <w:rPr>
          <w:rFonts w:hint="eastAsia" w:ascii="仿宋" w:hAnsi="仿宋" w:eastAsia="仿宋" w:cs="仿宋"/>
          <w:color w:val="auto"/>
          <w:spacing w:val="-1"/>
          <w:sz w:val="24"/>
          <w:szCs w:val="24"/>
          <w:highlight w:val="none"/>
          <w:lang w:eastAsia="zh-CN"/>
        </w:rPr>
        <w:t>。</w:t>
      </w:r>
    </w:p>
    <w:p w14:paraId="1D00188D">
      <w:pPr>
        <w:keepNext w:val="0"/>
        <w:keepLines w:val="0"/>
        <w:pageBreakBefore w:val="0"/>
        <w:widowControl w:val="0"/>
        <w:kinsoku/>
        <w:wordWrap/>
        <w:overflowPunct/>
        <w:topLinePunct w:val="0"/>
        <w:autoSpaceDE/>
        <w:autoSpaceDN/>
        <w:bidi w:val="0"/>
        <w:adjustRightInd/>
        <w:snapToGrid/>
        <w:spacing w:line="360" w:lineRule="auto"/>
        <w:ind w:left="490"/>
        <w:textAlignment w:val="auto"/>
        <w:rPr>
          <w:rFonts w:ascii="仿宋" w:hAnsi="仿宋" w:eastAsia="仿宋" w:cs="仿宋"/>
          <w:color w:val="auto"/>
          <w:sz w:val="24"/>
          <w:szCs w:val="24"/>
          <w:highlight w:val="none"/>
        </w:rPr>
      </w:pPr>
      <w:r>
        <w:rPr>
          <w:rFonts w:ascii="仿宋" w:hAnsi="仿宋" w:eastAsia="仿宋" w:cs="仿宋"/>
          <w:b/>
          <w:bCs/>
          <w:color w:val="auto"/>
          <w:spacing w:val="-4"/>
          <w:sz w:val="24"/>
          <w:szCs w:val="24"/>
          <w:highlight w:val="none"/>
        </w:rPr>
        <w:fldChar w:fldCharType="begin"/>
      </w:r>
      <w:r>
        <w:rPr>
          <w:rFonts w:ascii="仿宋" w:hAnsi="仿宋" w:eastAsia="仿宋" w:cs="仿宋"/>
          <w:b/>
          <w:bCs/>
          <w:color w:val="auto"/>
          <w:spacing w:val="-4"/>
          <w:sz w:val="24"/>
          <w:szCs w:val="24"/>
          <w:highlight w:val="none"/>
        </w:rPr>
        <w:instrText xml:space="preserve"> = 2 \* GB4 \* MERGEFORMAT </w:instrText>
      </w:r>
      <w:r>
        <w:rPr>
          <w:rFonts w:ascii="仿宋" w:hAnsi="仿宋" w:eastAsia="仿宋" w:cs="仿宋"/>
          <w:b/>
          <w:bCs/>
          <w:color w:val="auto"/>
          <w:spacing w:val="-4"/>
          <w:sz w:val="24"/>
          <w:szCs w:val="24"/>
          <w:highlight w:val="none"/>
        </w:rPr>
        <w:fldChar w:fldCharType="separate"/>
      </w:r>
      <w:r>
        <w:rPr>
          <w:rFonts w:ascii="仿宋" w:hAnsi="仿宋" w:eastAsia="仿宋" w:cs="仿宋"/>
          <w:b/>
          <w:bCs/>
          <w:color w:val="auto"/>
          <w:spacing w:val="-4"/>
          <w:sz w:val="24"/>
          <w:szCs w:val="24"/>
          <w:highlight w:val="none"/>
        </w:rPr>
        <w:t>㈡</w:t>
      </w:r>
      <w:r>
        <w:rPr>
          <w:rFonts w:ascii="仿宋" w:hAnsi="仿宋" w:eastAsia="仿宋" w:cs="仿宋"/>
          <w:b/>
          <w:bCs/>
          <w:color w:val="auto"/>
          <w:spacing w:val="-4"/>
          <w:sz w:val="24"/>
          <w:szCs w:val="24"/>
          <w:highlight w:val="none"/>
        </w:rPr>
        <w:fldChar w:fldCharType="end"/>
      </w:r>
      <w:r>
        <w:rPr>
          <w:rFonts w:ascii="仿宋" w:hAnsi="仿宋" w:eastAsia="仿宋" w:cs="仿宋"/>
          <w:b/>
          <w:bCs/>
          <w:color w:val="auto"/>
          <w:spacing w:val="-4"/>
          <w:sz w:val="24"/>
          <w:szCs w:val="24"/>
          <w:highlight w:val="none"/>
        </w:rPr>
        <w:t>干线及分仓运输要求</w:t>
      </w:r>
    </w:p>
    <w:p w14:paraId="10DD2768">
      <w:pPr>
        <w:keepNext w:val="0"/>
        <w:keepLines w:val="0"/>
        <w:pageBreakBefore w:val="0"/>
        <w:widowControl w:val="0"/>
        <w:kinsoku/>
        <w:wordWrap/>
        <w:overflowPunct/>
        <w:topLinePunct w:val="0"/>
        <w:autoSpaceDE/>
        <w:autoSpaceDN/>
        <w:bidi w:val="0"/>
        <w:adjustRightInd/>
        <w:snapToGrid/>
        <w:spacing w:line="360" w:lineRule="auto"/>
        <w:ind w:left="5" w:right="62" w:firstLine="472"/>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7"/>
          <w:sz w:val="24"/>
          <w:szCs w:val="24"/>
          <w:highlight w:val="none"/>
          <w:lang w:val="en-US" w:eastAsia="zh-CN"/>
        </w:rPr>
        <w:t>1</w:t>
      </w:r>
      <w:r>
        <w:rPr>
          <w:rFonts w:ascii="仿宋" w:hAnsi="仿宋" w:eastAsia="仿宋" w:cs="仿宋"/>
          <w:color w:val="auto"/>
          <w:spacing w:val="-7"/>
          <w:sz w:val="24"/>
          <w:szCs w:val="24"/>
          <w:highlight w:val="none"/>
        </w:rPr>
        <w:t>.运输过程温度不高于-18℃</w:t>
      </w:r>
      <w:r>
        <w:rPr>
          <w:rFonts w:ascii="仿宋" w:hAnsi="仿宋" w:eastAsia="仿宋" w:cs="仿宋"/>
          <w:color w:val="auto"/>
          <w:spacing w:val="-87"/>
          <w:sz w:val="24"/>
          <w:szCs w:val="24"/>
          <w:highlight w:val="none"/>
        </w:rPr>
        <w:t xml:space="preserve"> </w:t>
      </w:r>
      <w:r>
        <w:rPr>
          <w:rFonts w:ascii="仿宋" w:hAnsi="仿宋" w:eastAsia="仿宋" w:cs="仿宋"/>
          <w:color w:val="auto"/>
          <w:spacing w:val="-7"/>
          <w:sz w:val="24"/>
          <w:szCs w:val="24"/>
          <w:highlight w:val="none"/>
        </w:rPr>
        <w:t>,</w:t>
      </w:r>
      <w:r>
        <w:rPr>
          <w:rFonts w:ascii="仿宋" w:hAnsi="仿宋" w:eastAsia="仿宋" w:cs="仿宋"/>
          <w:color w:val="auto"/>
          <w:spacing w:val="-49"/>
          <w:sz w:val="24"/>
          <w:szCs w:val="24"/>
          <w:highlight w:val="none"/>
        </w:rPr>
        <w:t xml:space="preserve"> </w:t>
      </w:r>
      <w:r>
        <w:rPr>
          <w:rFonts w:ascii="仿宋" w:hAnsi="仿宋" w:eastAsia="仿宋" w:cs="仿宋"/>
          <w:color w:val="auto"/>
          <w:spacing w:val="-7"/>
          <w:sz w:val="24"/>
          <w:szCs w:val="24"/>
          <w:highlight w:val="none"/>
        </w:rPr>
        <w:t>全程智能温度监控，温度记录时间间隔</w:t>
      </w:r>
      <w:r>
        <w:rPr>
          <w:rFonts w:ascii="仿宋" w:hAnsi="仿宋" w:eastAsia="仿宋" w:cs="仿宋"/>
          <w:color w:val="auto"/>
          <w:spacing w:val="-8"/>
          <w:sz w:val="24"/>
          <w:szCs w:val="24"/>
          <w:highlight w:val="none"/>
        </w:rPr>
        <w:t>为</w:t>
      </w:r>
      <w:r>
        <w:rPr>
          <w:rFonts w:ascii="仿宋" w:hAnsi="仿宋" w:eastAsia="仿宋" w:cs="仿宋"/>
          <w:color w:val="auto"/>
          <w:spacing w:val="-34"/>
          <w:sz w:val="24"/>
          <w:szCs w:val="24"/>
          <w:highlight w:val="none"/>
        </w:rPr>
        <w:t xml:space="preserve"> </w:t>
      </w:r>
      <w:r>
        <w:rPr>
          <w:rFonts w:ascii="仿宋" w:hAnsi="仿宋" w:eastAsia="仿宋" w:cs="仿宋"/>
          <w:color w:val="auto"/>
          <w:spacing w:val="-8"/>
          <w:sz w:val="24"/>
          <w:szCs w:val="24"/>
          <w:highlight w:val="none"/>
        </w:rPr>
        <w:t>1</w:t>
      </w:r>
      <w:r>
        <w:rPr>
          <w:rFonts w:ascii="仿宋" w:hAnsi="仿宋" w:eastAsia="仿宋" w:cs="仿宋"/>
          <w:color w:val="auto"/>
          <w:spacing w:val="-44"/>
          <w:sz w:val="24"/>
          <w:szCs w:val="24"/>
          <w:highlight w:val="none"/>
        </w:rPr>
        <w:t xml:space="preserve"> </w:t>
      </w:r>
      <w:r>
        <w:rPr>
          <w:rFonts w:ascii="仿宋" w:hAnsi="仿宋" w:eastAsia="仿宋" w:cs="仿宋"/>
          <w:color w:val="auto"/>
          <w:spacing w:val="-8"/>
          <w:sz w:val="24"/>
          <w:szCs w:val="24"/>
          <w:highlight w:val="none"/>
        </w:rPr>
        <w:t>次/10</w:t>
      </w:r>
      <w:r>
        <w:rPr>
          <w:rFonts w:ascii="仿宋" w:hAnsi="仿宋" w:eastAsia="仿宋" w:cs="仿宋"/>
          <w:color w:val="auto"/>
          <w:sz w:val="24"/>
          <w:szCs w:val="24"/>
          <w:highlight w:val="none"/>
        </w:rPr>
        <w:t xml:space="preserve"> </w:t>
      </w:r>
      <w:r>
        <w:rPr>
          <w:rFonts w:ascii="仿宋" w:hAnsi="仿宋" w:eastAsia="仿宋" w:cs="仿宋"/>
          <w:color w:val="auto"/>
          <w:spacing w:val="-1"/>
          <w:sz w:val="24"/>
          <w:szCs w:val="24"/>
          <w:highlight w:val="none"/>
        </w:rPr>
        <w:t>分钟，货物送达后需将车辆在途温度情况反馈至收货分仓、</w:t>
      </w:r>
      <w:r>
        <w:rPr>
          <w:rFonts w:hint="eastAsia" w:ascii="仿宋" w:hAnsi="仿宋" w:eastAsia="仿宋" w:cs="仿宋"/>
          <w:color w:val="auto"/>
          <w:spacing w:val="-1"/>
          <w:sz w:val="24"/>
          <w:szCs w:val="24"/>
          <w:highlight w:val="none"/>
          <w:lang w:val="en-US" w:eastAsia="zh-CN"/>
        </w:rPr>
        <w:t>招标人储运</w:t>
      </w:r>
      <w:r>
        <w:rPr>
          <w:rFonts w:ascii="仿宋" w:hAnsi="仿宋" w:eastAsia="仿宋" w:cs="仿宋"/>
          <w:color w:val="auto"/>
          <w:spacing w:val="-1"/>
          <w:sz w:val="24"/>
          <w:szCs w:val="24"/>
          <w:highlight w:val="none"/>
        </w:rPr>
        <w:t>部</w:t>
      </w:r>
      <w:r>
        <w:rPr>
          <w:rFonts w:hint="eastAsia" w:ascii="仿宋" w:hAnsi="仿宋" w:eastAsia="仿宋" w:cs="仿宋"/>
          <w:color w:val="auto"/>
          <w:spacing w:val="-1"/>
          <w:sz w:val="24"/>
          <w:szCs w:val="24"/>
          <w:highlight w:val="none"/>
          <w:lang w:eastAsia="zh-CN"/>
        </w:rPr>
        <w:t>。</w:t>
      </w:r>
    </w:p>
    <w:p w14:paraId="2172769B">
      <w:pPr>
        <w:keepNext w:val="0"/>
        <w:keepLines w:val="0"/>
        <w:pageBreakBefore w:val="0"/>
        <w:widowControl w:val="0"/>
        <w:kinsoku/>
        <w:wordWrap/>
        <w:overflowPunct/>
        <w:topLinePunct w:val="0"/>
        <w:autoSpaceDE/>
        <w:autoSpaceDN/>
        <w:bidi w:val="0"/>
        <w:adjustRightInd/>
        <w:snapToGrid/>
        <w:spacing w:line="360" w:lineRule="auto"/>
        <w:ind w:right="62" w:firstLine="48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2</w:t>
      </w:r>
      <w:r>
        <w:rPr>
          <w:rFonts w:ascii="仿宋" w:hAnsi="仿宋" w:eastAsia="仿宋" w:cs="仿宋"/>
          <w:color w:val="auto"/>
          <w:sz w:val="24"/>
          <w:szCs w:val="24"/>
          <w:highlight w:val="none"/>
        </w:rPr>
        <w:t>.收货分仓在车辆到达后第一时间组织卸货</w:t>
      </w:r>
      <w:r>
        <w:rPr>
          <w:rFonts w:ascii="仿宋" w:hAnsi="仿宋" w:eastAsia="仿宋" w:cs="仿宋"/>
          <w:color w:val="auto"/>
          <w:spacing w:val="-1"/>
          <w:sz w:val="24"/>
          <w:szCs w:val="24"/>
          <w:highlight w:val="none"/>
        </w:rPr>
        <w:t>，过程中与发货单位及驾驶员保持联系，确定到达时间做好接货准备，不得因其他因素延误卸货</w:t>
      </w:r>
      <w:r>
        <w:rPr>
          <w:rFonts w:hint="eastAsia" w:ascii="仿宋" w:hAnsi="仿宋" w:eastAsia="仿宋" w:cs="仿宋"/>
          <w:color w:val="auto"/>
          <w:spacing w:val="-1"/>
          <w:sz w:val="24"/>
          <w:szCs w:val="24"/>
          <w:highlight w:val="none"/>
          <w:lang w:eastAsia="zh-CN"/>
        </w:rPr>
        <w:t>。</w:t>
      </w:r>
    </w:p>
    <w:p w14:paraId="51AEE5B9">
      <w:pPr>
        <w:keepNext w:val="0"/>
        <w:keepLines w:val="0"/>
        <w:pageBreakBefore w:val="0"/>
        <w:widowControl w:val="0"/>
        <w:kinsoku/>
        <w:wordWrap/>
        <w:overflowPunct/>
        <w:topLinePunct w:val="0"/>
        <w:autoSpaceDE/>
        <w:autoSpaceDN/>
        <w:bidi w:val="0"/>
        <w:adjustRightInd/>
        <w:snapToGrid/>
        <w:spacing w:line="360" w:lineRule="auto"/>
        <w:ind w:left="3" w:right="62" w:firstLine="47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4"/>
          <w:sz w:val="24"/>
          <w:szCs w:val="24"/>
          <w:highlight w:val="none"/>
          <w:lang w:val="en-US" w:eastAsia="zh-CN"/>
        </w:rPr>
        <w:t>3</w:t>
      </w:r>
      <w:r>
        <w:rPr>
          <w:rFonts w:ascii="仿宋" w:hAnsi="仿宋" w:eastAsia="仿宋" w:cs="仿宋"/>
          <w:color w:val="auto"/>
          <w:spacing w:val="-4"/>
          <w:sz w:val="24"/>
          <w:szCs w:val="24"/>
          <w:highlight w:val="none"/>
        </w:rPr>
        <w:t>.分仓发运采取专车发运，选择车况较好的</w:t>
      </w:r>
      <w:r>
        <w:rPr>
          <w:rFonts w:ascii="仿宋" w:hAnsi="仿宋" w:eastAsia="仿宋" w:cs="仿宋"/>
          <w:color w:val="auto"/>
          <w:spacing w:val="-3"/>
          <w:sz w:val="24"/>
          <w:szCs w:val="24"/>
          <w:highlight w:val="none"/>
        </w:rPr>
        <w:t>车型，制冷效果良好的车辆进行配送，全程温度保持-18℃以下，专人</w:t>
      </w:r>
      <w:r>
        <w:rPr>
          <w:rFonts w:ascii="仿宋" w:hAnsi="仿宋" w:eastAsia="仿宋" w:cs="仿宋"/>
          <w:color w:val="auto"/>
          <w:spacing w:val="-54"/>
          <w:sz w:val="24"/>
          <w:szCs w:val="24"/>
          <w:highlight w:val="none"/>
        </w:rPr>
        <w:t xml:space="preserve"> </w:t>
      </w:r>
      <w:r>
        <w:rPr>
          <w:rFonts w:ascii="仿宋" w:hAnsi="仿宋" w:eastAsia="仿宋" w:cs="仿宋"/>
          <w:color w:val="auto"/>
          <w:spacing w:val="-3"/>
          <w:sz w:val="24"/>
          <w:szCs w:val="24"/>
          <w:highlight w:val="none"/>
        </w:rPr>
        <w:t>GPS实时在线监控</w:t>
      </w:r>
      <w:r>
        <w:rPr>
          <w:rFonts w:hint="eastAsia" w:ascii="仿宋" w:hAnsi="仿宋" w:eastAsia="仿宋" w:cs="仿宋"/>
          <w:color w:val="auto"/>
          <w:spacing w:val="-3"/>
          <w:sz w:val="24"/>
          <w:szCs w:val="24"/>
          <w:highlight w:val="none"/>
          <w:lang w:eastAsia="zh-CN"/>
        </w:rPr>
        <w:t>。</w:t>
      </w:r>
    </w:p>
    <w:p w14:paraId="687457AB">
      <w:pPr>
        <w:keepNext w:val="0"/>
        <w:keepLines w:val="0"/>
        <w:pageBreakBefore w:val="0"/>
        <w:widowControl w:val="0"/>
        <w:kinsoku/>
        <w:wordWrap/>
        <w:overflowPunct/>
        <w:topLinePunct w:val="0"/>
        <w:autoSpaceDE/>
        <w:autoSpaceDN/>
        <w:bidi w:val="0"/>
        <w:adjustRightInd/>
        <w:snapToGrid/>
        <w:spacing w:line="360" w:lineRule="auto"/>
        <w:ind w:left="15" w:right="105" w:firstLine="464"/>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2"/>
          <w:sz w:val="24"/>
          <w:szCs w:val="24"/>
          <w:highlight w:val="none"/>
          <w:lang w:val="en-US" w:eastAsia="zh-CN"/>
        </w:rPr>
        <w:t>4</w:t>
      </w:r>
      <w:r>
        <w:rPr>
          <w:rFonts w:ascii="仿宋" w:hAnsi="仿宋" w:eastAsia="仿宋" w:cs="仿宋"/>
          <w:color w:val="auto"/>
          <w:spacing w:val="-2"/>
          <w:sz w:val="24"/>
          <w:szCs w:val="24"/>
          <w:highlight w:val="none"/>
        </w:rPr>
        <w:t>.发运过程需专人跟踪车辆运行情况，发生异常立即反馈</w:t>
      </w:r>
      <w:r>
        <w:rPr>
          <w:rFonts w:hint="eastAsia" w:ascii="仿宋" w:hAnsi="仿宋" w:eastAsia="仿宋" w:cs="仿宋"/>
          <w:color w:val="auto"/>
          <w:spacing w:val="-1"/>
          <w:sz w:val="24"/>
          <w:szCs w:val="24"/>
          <w:highlight w:val="none"/>
          <w:lang w:val="en-US" w:eastAsia="zh-CN"/>
        </w:rPr>
        <w:t>招标人储运</w:t>
      </w:r>
      <w:r>
        <w:rPr>
          <w:rFonts w:ascii="仿宋" w:hAnsi="仿宋" w:eastAsia="仿宋" w:cs="仿宋"/>
          <w:color w:val="auto"/>
          <w:spacing w:val="-1"/>
          <w:sz w:val="24"/>
          <w:szCs w:val="24"/>
          <w:highlight w:val="none"/>
        </w:rPr>
        <w:t>部</w:t>
      </w:r>
      <w:r>
        <w:rPr>
          <w:rFonts w:ascii="仿宋" w:hAnsi="仿宋" w:eastAsia="仿宋" w:cs="仿宋"/>
          <w:color w:val="auto"/>
          <w:spacing w:val="-2"/>
          <w:sz w:val="24"/>
          <w:szCs w:val="24"/>
          <w:highlight w:val="none"/>
        </w:rPr>
        <w:t>、</w:t>
      </w:r>
      <w:r>
        <w:rPr>
          <w:rFonts w:ascii="仿宋" w:hAnsi="仿宋" w:eastAsia="仿宋" w:cs="仿宋"/>
          <w:color w:val="auto"/>
          <w:spacing w:val="-3"/>
          <w:sz w:val="24"/>
          <w:szCs w:val="24"/>
          <w:highlight w:val="none"/>
        </w:rPr>
        <w:t>收货方，随时共享信息</w:t>
      </w:r>
      <w:r>
        <w:rPr>
          <w:rFonts w:hint="eastAsia" w:ascii="仿宋" w:hAnsi="仿宋" w:eastAsia="仿宋" w:cs="仿宋"/>
          <w:color w:val="auto"/>
          <w:spacing w:val="-3"/>
          <w:sz w:val="24"/>
          <w:szCs w:val="24"/>
          <w:highlight w:val="none"/>
          <w:lang w:eastAsia="zh-CN"/>
        </w:rPr>
        <w:t>。</w:t>
      </w:r>
    </w:p>
    <w:p w14:paraId="3309A1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color w:val="auto"/>
          <w:highlight w:val="none"/>
        </w:rPr>
      </w:pPr>
      <w:r>
        <w:rPr>
          <w:rFonts w:hint="eastAsia" w:ascii="仿宋" w:hAnsi="仿宋" w:eastAsia="仿宋" w:cs="仿宋"/>
          <w:color w:val="auto"/>
          <w:sz w:val="24"/>
          <w:szCs w:val="24"/>
          <w:highlight w:val="none"/>
          <w:lang w:val="en-US" w:eastAsia="zh-CN"/>
        </w:rPr>
        <w:t>5</w:t>
      </w:r>
      <w:r>
        <w:rPr>
          <w:rFonts w:ascii="仿宋" w:hAnsi="仿宋" w:eastAsia="仿宋" w:cs="仿宋"/>
          <w:color w:val="auto"/>
          <w:sz w:val="24"/>
          <w:szCs w:val="24"/>
          <w:highlight w:val="none"/>
        </w:rPr>
        <w:t>.分仓发运前物流服务方与收货单位沟通，告知运</w:t>
      </w:r>
      <w:r>
        <w:rPr>
          <w:rFonts w:ascii="仿宋" w:hAnsi="仿宋" w:eastAsia="仿宋" w:cs="仿宋"/>
          <w:color w:val="auto"/>
          <w:spacing w:val="-1"/>
          <w:sz w:val="24"/>
          <w:szCs w:val="24"/>
          <w:highlight w:val="none"/>
        </w:rPr>
        <w:t>输数量、产品品类、车辆信息（车牌号、驾驶员等信息）、预计到达时间，方便收货单位组织卸货，卸货时效</w:t>
      </w:r>
      <w:r>
        <w:rPr>
          <w:rFonts w:ascii="仿宋" w:hAnsi="仿宋" w:eastAsia="仿宋" w:cs="仿宋"/>
          <w:color w:val="auto"/>
          <w:spacing w:val="1"/>
          <w:sz w:val="24"/>
          <w:szCs w:val="24"/>
          <w:highlight w:val="none"/>
        </w:rPr>
        <w:t>按每托5</w:t>
      </w:r>
      <w:r>
        <w:rPr>
          <w:rFonts w:ascii="仿宋" w:hAnsi="仿宋" w:eastAsia="仿宋" w:cs="仿宋"/>
          <w:color w:val="auto"/>
          <w:spacing w:val="-39"/>
          <w:sz w:val="24"/>
          <w:szCs w:val="24"/>
          <w:highlight w:val="none"/>
        </w:rPr>
        <w:t xml:space="preserve"> </w:t>
      </w:r>
      <w:r>
        <w:rPr>
          <w:rFonts w:ascii="仿宋" w:hAnsi="仿宋" w:eastAsia="仿宋" w:cs="仿宋"/>
          <w:color w:val="auto"/>
          <w:spacing w:val="1"/>
          <w:sz w:val="24"/>
          <w:szCs w:val="24"/>
          <w:highlight w:val="none"/>
        </w:rPr>
        <w:t>分钟的标准执行，必须一次性卸货完毕。</w:t>
      </w:r>
    </w:p>
    <w:p w14:paraId="049A22BA">
      <w:pPr>
        <w:keepNext w:val="0"/>
        <w:keepLines w:val="0"/>
        <w:pageBreakBefore w:val="0"/>
        <w:widowControl w:val="0"/>
        <w:kinsoku/>
        <w:wordWrap/>
        <w:overflowPunct/>
        <w:topLinePunct w:val="0"/>
        <w:autoSpaceDE/>
        <w:autoSpaceDN/>
        <w:bidi w:val="0"/>
        <w:adjustRightInd/>
        <w:snapToGrid/>
        <w:spacing w:line="360" w:lineRule="auto"/>
        <w:ind w:firstLine="438" w:firstLineChars="200"/>
        <w:textAlignment w:val="auto"/>
        <w:rPr>
          <w:rFonts w:ascii="仿宋" w:hAnsi="仿宋" w:eastAsia="仿宋" w:cs="仿宋"/>
          <w:color w:val="auto"/>
          <w:sz w:val="24"/>
          <w:szCs w:val="24"/>
          <w:highlight w:val="none"/>
        </w:rPr>
      </w:pPr>
      <w:r>
        <w:rPr>
          <w:rFonts w:hint="eastAsia" w:ascii="仿宋" w:hAnsi="仿宋" w:eastAsia="仿宋" w:cs="仿宋"/>
          <w:b/>
          <w:bCs/>
          <w:color w:val="auto"/>
          <w:spacing w:val="-11"/>
          <w:sz w:val="24"/>
          <w:szCs w:val="24"/>
          <w:highlight w:val="none"/>
          <w:lang w:val="en-US" w:eastAsia="zh-CN"/>
        </w:rPr>
        <w:t>四、</w:t>
      </w:r>
      <w:r>
        <w:rPr>
          <w:rFonts w:ascii="仿宋" w:hAnsi="仿宋" w:eastAsia="仿宋" w:cs="仿宋"/>
          <w:b/>
          <w:bCs/>
          <w:color w:val="auto"/>
          <w:spacing w:val="-11"/>
          <w:sz w:val="24"/>
          <w:szCs w:val="24"/>
          <w:highlight w:val="none"/>
        </w:rPr>
        <w:t>其他</w:t>
      </w:r>
    </w:p>
    <w:p w14:paraId="62DC1E26">
      <w:pPr>
        <w:keepNext w:val="0"/>
        <w:keepLines w:val="0"/>
        <w:pageBreakBefore w:val="0"/>
        <w:widowControl w:val="0"/>
        <w:kinsoku/>
        <w:wordWrap/>
        <w:overflowPunct/>
        <w:topLinePunct w:val="0"/>
        <w:autoSpaceDE/>
        <w:autoSpaceDN/>
        <w:bidi w:val="0"/>
        <w:adjustRightInd/>
        <w:snapToGrid/>
        <w:spacing w:line="360" w:lineRule="auto"/>
        <w:ind w:left="4" w:firstLine="488"/>
        <w:textAlignment w:val="auto"/>
        <w:rPr>
          <w:rFonts w:hint="default" w:ascii="仿宋" w:hAnsi="仿宋" w:eastAsia="仿宋" w:cs="仿宋"/>
          <w:color w:val="auto"/>
          <w:spacing w:val="-4"/>
          <w:sz w:val="24"/>
          <w:szCs w:val="24"/>
          <w:highlight w:val="none"/>
          <w:lang w:val="en-US" w:eastAsia="zh-CN"/>
        </w:rPr>
      </w:pPr>
      <w:r>
        <w:rPr>
          <w:rFonts w:ascii="仿宋" w:hAnsi="仿宋" w:eastAsia="仿宋" w:cs="仿宋"/>
          <w:color w:val="auto"/>
          <w:spacing w:val="-4"/>
          <w:sz w:val="24"/>
          <w:szCs w:val="24"/>
          <w:highlight w:val="none"/>
        </w:rPr>
        <w:t>除了上述要求外，应该严格遵守</w:t>
      </w:r>
      <w:r>
        <w:rPr>
          <w:rFonts w:hint="eastAsia" w:ascii="仿宋" w:hAnsi="仿宋" w:eastAsia="仿宋" w:cs="仿宋"/>
          <w:color w:val="auto"/>
          <w:spacing w:val="-1"/>
          <w:sz w:val="24"/>
          <w:szCs w:val="24"/>
          <w:highlight w:val="none"/>
          <w:lang w:val="en-US" w:eastAsia="zh-CN"/>
        </w:rPr>
        <w:t>招标人储运</w:t>
      </w:r>
      <w:r>
        <w:rPr>
          <w:rFonts w:ascii="仿宋" w:hAnsi="仿宋" w:eastAsia="仿宋" w:cs="仿宋"/>
          <w:color w:val="auto"/>
          <w:spacing w:val="-1"/>
          <w:sz w:val="24"/>
          <w:szCs w:val="24"/>
          <w:highlight w:val="none"/>
        </w:rPr>
        <w:t>部</w:t>
      </w:r>
      <w:r>
        <w:rPr>
          <w:rFonts w:ascii="仿宋" w:hAnsi="仿宋" w:eastAsia="仿宋" w:cs="仿宋"/>
          <w:color w:val="auto"/>
          <w:spacing w:val="-5"/>
          <w:sz w:val="24"/>
          <w:szCs w:val="24"/>
          <w:highlight w:val="none"/>
        </w:rPr>
        <w:t>根据产品实际需求</w:t>
      </w:r>
      <w:r>
        <w:rPr>
          <w:rFonts w:ascii="仿宋" w:hAnsi="仿宋" w:eastAsia="仿宋" w:cs="仿宋"/>
          <w:color w:val="auto"/>
          <w:spacing w:val="-1"/>
          <w:sz w:val="24"/>
          <w:szCs w:val="24"/>
          <w:highlight w:val="none"/>
        </w:rPr>
        <w:t>以书面方式提出的其他仓储、运输要求</w:t>
      </w:r>
      <w:r>
        <w:rPr>
          <w:rFonts w:hint="eastAsia" w:ascii="仿宋" w:hAnsi="仿宋" w:eastAsia="仿宋" w:cs="仿宋"/>
          <w:color w:val="auto"/>
          <w:spacing w:val="-1"/>
          <w:sz w:val="24"/>
          <w:szCs w:val="24"/>
          <w:highlight w:val="none"/>
          <w:lang w:eastAsia="zh-CN"/>
        </w:rPr>
        <w:t>。</w:t>
      </w:r>
      <w:r>
        <w:rPr>
          <w:rFonts w:hint="eastAsia" w:ascii="仿宋" w:hAnsi="仿宋" w:eastAsia="仿宋" w:cs="仿宋"/>
          <w:color w:val="auto"/>
          <w:spacing w:val="-1"/>
          <w:sz w:val="24"/>
          <w:szCs w:val="24"/>
          <w:highlight w:val="none"/>
          <w:lang w:val="en-US" w:eastAsia="zh-CN"/>
        </w:rPr>
        <w:t>招标人储运</w:t>
      </w:r>
      <w:r>
        <w:rPr>
          <w:rFonts w:ascii="仿宋" w:hAnsi="仿宋" w:eastAsia="仿宋" w:cs="仿宋"/>
          <w:color w:val="auto"/>
          <w:spacing w:val="-1"/>
          <w:sz w:val="24"/>
          <w:szCs w:val="24"/>
          <w:highlight w:val="none"/>
        </w:rPr>
        <w:t>部不定期的对产品仓库、运输服务进行检查，</w:t>
      </w:r>
      <w:r>
        <w:rPr>
          <w:rFonts w:hint="eastAsia" w:ascii="仿宋" w:hAnsi="仿宋" w:eastAsia="仿宋" w:cs="仿宋"/>
          <w:color w:val="auto"/>
          <w:spacing w:val="-1"/>
          <w:sz w:val="24"/>
          <w:szCs w:val="24"/>
          <w:highlight w:val="none"/>
          <w:lang w:val="en-US" w:eastAsia="zh-CN"/>
        </w:rPr>
        <w:t>如</w:t>
      </w:r>
      <w:r>
        <w:rPr>
          <w:rFonts w:ascii="仿宋" w:hAnsi="仿宋" w:eastAsia="仿宋" w:cs="仿宋"/>
          <w:color w:val="auto"/>
          <w:spacing w:val="-1"/>
          <w:sz w:val="24"/>
          <w:szCs w:val="24"/>
          <w:highlight w:val="none"/>
        </w:rPr>
        <w:t>发现不合格，</w:t>
      </w:r>
      <w:r>
        <w:rPr>
          <w:rFonts w:hint="eastAsia" w:ascii="仿宋" w:hAnsi="仿宋" w:eastAsia="仿宋" w:cs="仿宋"/>
          <w:color w:val="auto"/>
          <w:spacing w:val="-1"/>
          <w:sz w:val="24"/>
          <w:szCs w:val="24"/>
          <w:highlight w:val="none"/>
          <w:lang w:val="en-US" w:eastAsia="zh-CN"/>
        </w:rPr>
        <w:t>第一次招标人将</w:t>
      </w:r>
      <w:r>
        <w:rPr>
          <w:rFonts w:ascii="仿宋" w:hAnsi="仿宋" w:eastAsia="仿宋" w:cs="仿宋"/>
          <w:color w:val="auto"/>
          <w:spacing w:val="-1"/>
          <w:sz w:val="24"/>
          <w:szCs w:val="24"/>
          <w:highlight w:val="none"/>
        </w:rPr>
        <w:t>书面警告，</w:t>
      </w:r>
      <w:r>
        <w:rPr>
          <w:rFonts w:hint="eastAsia" w:ascii="仿宋" w:hAnsi="仿宋" w:eastAsia="仿宋" w:cs="仿宋"/>
          <w:color w:val="auto"/>
          <w:spacing w:val="-1"/>
          <w:sz w:val="24"/>
          <w:szCs w:val="24"/>
          <w:highlight w:val="none"/>
          <w:lang w:val="en-US" w:eastAsia="zh-CN"/>
        </w:rPr>
        <w:t>第二次发现不合格，招标人有权扣除1万元/次的违约金，第三次发现不合格，招标人有权单方面终止</w:t>
      </w:r>
      <w:r>
        <w:rPr>
          <w:rFonts w:ascii="仿宋" w:hAnsi="仿宋" w:eastAsia="仿宋" w:cs="仿宋"/>
          <w:color w:val="auto"/>
          <w:spacing w:val="-4"/>
          <w:sz w:val="24"/>
          <w:szCs w:val="24"/>
          <w:highlight w:val="none"/>
        </w:rPr>
        <w:t>合作</w:t>
      </w:r>
      <w:r>
        <w:rPr>
          <w:rFonts w:hint="eastAsia" w:ascii="仿宋" w:hAnsi="仿宋" w:eastAsia="仿宋" w:cs="仿宋"/>
          <w:color w:val="auto"/>
          <w:spacing w:val="-4"/>
          <w:sz w:val="24"/>
          <w:szCs w:val="24"/>
          <w:highlight w:val="none"/>
          <w:lang w:eastAsia="zh-CN"/>
        </w:rPr>
        <w:t>。</w:t>
      </w:r>
    </w:p>
    <w:p w14:paraId="2664E6FC">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jc w:val="both"/>
        <w:textAlignment w:val="auto"/>
        <w:outlineLvl w:val="0"/>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五、服务期限</w:t>
      </w:r>
    </w:p>
    <w:p w14:paraId="5142526F">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0"/>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自合同签订之日起一年。</w:t>
      </w:r>
    </w:p>
    <w:p w14:paraId="65FD0BD1">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jc w:val="both"/>
        <w:textAlignment w:val="auto"/>
        <w:outlineLvl w:val="0"/>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六、报价要求</w:t>
      </w:r>
    </w:p>
    <w:tbl>
      <w:tblPr>
        <w:tblStyle w:val="23"/>
        <w:tblW w:w="1111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66"/>
        <w:gridCol w:w="801"/>
        <w:gridCol w:w="814"/>
        <w:gridCol w:w="943"/>
        <w:gridCol w:w="1057"/>
        <w:gridCol w:w="943"/>
        <w:gridCol w:w="1472"/>
        <w:gridCol w:w="1471"/>
        <w:gridCol w:w="1486"/>
        <w:gridCol w:w="1362"/>
      </w:tblGrid>
      <w:tr w14:paraId="4DF19F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jc w:val="center"/>
        </w:trPr>
        <w:tc>
          <w:tcPr>
            <w:tcW w:w="11115" w:type="dxa"/>
            <w:gridSpan w:val="10"/>
            <w:tcBorders>
              <w:top w:val="nil"/>
              <w:left w:val="nil"/>
              <w:bottom w:val="nil"/>
              <w:right w:val="nil"/>
            </w:tcBorders>
            <w:shd w:val="clear" w:color="auto" w:fill="auto"/>
            <w:noWrap/>
            <w:vAlign w:val="center"/>
          </w:tcPr>
          <w:p w14:paraId="709BA170">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整车调拨报价表  </w:t>
            </w:r>
          </w:p>
        </w:tc>
      </w:tr>
      <w:tr w14:paraId="16BC48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766" w:type="dxa"/>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2D331898">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序号</w:t>
            </w:r>
          </w:p>
        </w:tc>
        <w:tc>
          <w:tcPr>
            <w:tcW w:w="801" w:type="dxa"/>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273B29D9">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性质</w:t>
            </w:r>
          </w:p>
        </w:tc>
        <w:tc>
          <w:tcPr>
            <w:tcW w:w="814" w:type="dxa"/>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2603F126">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始发省份</w:t>
            </w:r>
          </w:p>
        </w:tc>
        <w:tc>
          <w:tcPr>
            <w:tcW w:w="943" w:type="dxa"/>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2417AAF5">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始发</w:t>
            </w:r>
          </w:p>
          <w:p w14:paraId="6FEAC023">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城市</w:t>
            </w:r>
          </w:p>
        </w:tc>
        <w:tc>
          <w:tcPr>
            <w:tcW w:w="1057" w:type="dxa"/>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06C2E131">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目的</w:t>
            </w:r>
          </w:p>
          <w:p w14:paraId="34028509">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省份</w:t>
            </w:r>
          </w:p>
        </w:tc>
        <w:tc>
          <w:tcPr>
            <w:tcW w:w="943" w:type="dxa"/>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05C4FA81">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目的</w:t>
            </w:r>
          </w:p>
          <w:p w14:paraId="043B6C65">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城市</w:t>
            </w:r>
          </w:p>
        </w:tc>
        <w:tc>
          <w:tcPr>
            <w:tcW w:w="1472" w:type="dxa"/>
            <w:tcBorders>
              <w:top w:val="single" w:color="000000" w:sz="4" w:space="0"/>
              <w:left w:val="single" w:color="000000" w:sz="4" w:space="0"/>
              <w:bottom w:val="single" w:color="000000" w:sz="4" w:space="0"/>
              <w:right w:val="nil"/>
            </w:tcBorders>
            <w:shd w:val="clear" w:color="auto" w:fill="B4C6E7"/>
            <w:noWrap/>
            <w:vAlign w:val="center"/>
          </w:tcPr>
          <w:p w14:paraId="084DB78B">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4.2米</w:t>
            </w:r>
          </w:p>
          <w:p w14:paraId="51AC9891">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冷藏车型</w:t>
            </w:r>
          </w:p>
        </w:tc>
        <w:tc>
          <w:tcPr>
            <w:tcW w:w="1471" w:type="dxa"/>
            <w:tcBorders>
              <w:top w:val="single" w:color="000000" w:sz="4" w:space="0"/>
              <w:left w:val="single" w:color="000000" w:sz="4" w:space="0"/>
              <w:bottom w:val="single" w:color="000000" w:sz="4" w:space="0"/>
              <w:right w:val="nil"/>
            </w:tcBorders>
            <w:shd w:val="clear" w:color="auto" w:fill="B4C6E7"/>
            <w:noWrap/>
            <w:vAlign w:val="center"/>
          </w:tcPr>
          <w:p w14:paraId="0B2EF44B">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7.6米</w:t>
            </w:r>
          </w:p>
          <w:p w14:paraId="0713D495">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冷藏车型</w:t>
            </w:r>
          </w:p>
        </w:tc>
        <w:tc>
          <w:tcPr>
            <w:tcW w:w="1486" w:type="dxa"/>
            <w:tcBorders>
              <w:top w:val="single" w:color="000000" w:sz="4" w:space="0"/>
              <w:left w:val="single" w:color="000000" w:sz="4" w:space="0"/>
              <w:bottom w:val="single" w:color="000000" w:sz="4" w:space="0"/>
              <w:right w:val="nil"/>
            </w:tcBorders>
            <w:shd w:val="clear" w:color="auto" w:fill="B4C6E7"/>
            <w:noWrap/>
            <w:vAlign w:val="center"/>
          </w:tcPr>
          <w:p w14:paraId="6AD844D8">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9.6米</w:t>
            </w:r>
          </w:p>
          <w:p w14:paraId="361FE5A1">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冷藏车型</w:t>
            </w:r>
          </w:p>
        </w:tc>
        <w:tc>
          <w:tcPr>
            <w:tcW w:w="1362" w:type="dxa"/>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2EF815A6">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15米冷</w:t>
            </w:r>
          </w:p>
          <w:p w14:paraId="1FB0516E">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藏车型</w:t>
            </w:r>
          </w:p>
        </w:tc>
      </w:tr>
      <w:tr w14:paraId="7F5DF3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766" w:type="dxa"/>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06FE1F53">
            <w:pPr>
              <w:jc w:val="center"/>
              <w:rPr>
                <w:rFonts w:hint="eastAsia" w:ascii="仿宋" w:hAnsi="仿宋" w:eastAsia="仿宋" w:cs="仿宋"/>
                <w:b/>
                <w:bCs/>
                <w:i w:val="0"/>
                <w:iCs w:val="0"/>
                <w:color w:val="000000"/>
                <w:sz w:val="24"/>
                <w:szCs w:val="24"/>
                <w:u w:val="none"/>
              </w:rPr>
            </w:pPr>
          </w:p>
        </w:tc>
        <w:tc>
          <w:tcPr>
            <w:tcW w:w="801" w:type="dxa"/>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6EB03F57">
            <w:pPr>
              <w:jc w:val="center"/>
              <w:rPr>
                <w:rFonts w:hint="eastAsia" w:ascii="仿宋" w:hAnsi="仿宋" w:eastAsia="仿宋" w:cs="仿宋"/>
                <w:b/>
                <w:bCs/>
                <w:i w:val="0"/>
                <w:iCs w:val="0"/>
                <w:color w:val="000000"/>
                <w:sz w:val="24"/>
                <w:szCs w:val="24"/>
                <w:u w:val="none"/>
              </w:rPr>
            </w:pPr>
          </w:p>
        </w:tc>
        <w:tc>
          <w:tcPr>
            <w:tcW w:w="814" w:type="dxa"/>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7D55E646">
            <w:pPr>
              <w:jc w:val="center"/>
              <w:rPr>
                <w:rFonts w:hint="eastAsia" w:ascii="仿宋" w:hAnsi="仿宋" w:eastAsia="仿宋" w:cs="仿宋"/>
                <w:b/>
                <w:bCs/>
                <w:i w:val="0"/>
                <w:iCs w:val="0"/>
                <w:color w:val="000000"/>
                <w:sz w:val="24"/>
                <w:szCs w:val="24"/>
                <w:u w:val="none"/>
              </w:rPr>
            </w:pPr>
          </w:p>
        </w:tc>
        <w:tc>
          <w:tcPr>
            <w:tcW w:w="943" w:type="dxa"/>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63266E79">
            <w:pPr>
              <w:jc w:val="center"/>
              <w:rPr>
                <w:rFonts w:hint="eastAsia" w:ascii="仿宋" w:hAnsi="仿宋" w:eastAsia="仿宋" w:cs="仿宋"/>
                <w:b/>
                <w:bCs/>
                <w:i w:val="0"/>
                <w:iCs w:val="0"/>
                <w:color w:val="000000"/>
                <w:sz w:val="24"/>
                <w:szCs w:val="24"/>
                <w:u w:val="none"/>
              </w:rPr>
            </w:pPr>
          </w:p>
        </w:tc>
        <w:tc>
          <w:tcPr>
            <w:tcW w:w="1057" w:type="dxa"/>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13B57242">
            <w:pPr>
              <w:jc w:val="center"/>
              <w:rPr>
                <w:rFonts w:hint="eastAsia" w:ascii="仿宋" w:hAnsi="仿宋" w:eastAsia="仿宋" w:cs="仿宋"/>
                <w:b/>
                <w:bCs/>
                <w:i w:val="0"/>
                <w:iCs w:val="0"/>
                <w:color w:val="000000"/>
                <w:sz w:val="24"/>
                <w:szCs w:val="24"/>
                <w:u w:val="none"/>
              </w:rPr>
            </w:pPr>
          </w:p>
        </w:tc>
        <w:tc>
          <w:tcPr>
            <w:tcW w:w="943" w:type="dxa"/>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66105CE5">
            <w:pPr>
              <w:jc w:val="center"/>
              <w:rPr>
                <w:rFonts w:hint="eastAsia" w:ascii="仿宋" w:hAnsi="仿宋" w:eastAsia="仿宋" w:cs="仿宋"/>
                <w:b/>
                <w:bCs/>
                <w:i w:val="0"/>
                <w:iCs w:val="0"/>
                <w:color w:val="000000"/>
                <w:sz w:val="24"/>
                <w:szCs w:val="24"/>
                <w:u w:val="none"/>
              </w:rPr>
            </w:pPr>
          </w:p>
        </w:tc>
        <w:tc>
          <w:tcPr>
            <w:tcW w:w="1472" w:type="dxa"/>
            <w:tcBorders>
              <w:top w:val="single" w:color="000000" w:sz="4" w:space="0"/>
              <w:left w:val="single" w:color="000000" w:sz="4" w:space="0"/>
              <w:bottom w:val="nil"/>
              <w:right w:val="single" w:color="000000" w:sz="4" w:space="0"/>
            </w:tcBorders>
            <w:shd w:val="clear" w:color="auto" w:fill="B4C6E7"/>
            <w:noWrap/>
            <w:vAlign w:val="center"/>
          </w:tcPr>
          <w:p w14:paraId="5746D2DA">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最高限价</w:t>
            </w:r>
          </w:p>
          <w:p w14:paraId="0CABFF3E">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（元/KM）</w:t>
            </w:r>
          </w:p>
        </w:tc>
        <w:tc>
          <w:tcPr>
            <w:tcW w:w="1471" w:type="dxa"/>
            <w:tcBorders>
              <w:top w:val="single" w:color="000000" w:sz="4" w:space="0"/>
              <w:left w:val="single" w:color="000000" w:sz="4" w:space="0"/>
              <w:bottom w:val="nil"/>
              <w:right w:val="single" w:color="000000" w:sz="4" w:space="0"/>
            </w:tcBorders>
            <w:shd w:val="clear" w:color="auto" w:fill="B4C6E7"/>
            <w:noWrap/>
            <w:vAlign w:val="center"/>
          </w:tcPr>
          <w:p w14:paraId="4D11631D">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最高限价</w:t>
            </w:r>
          </w:p>
          <w:p w14:paraId="628532B9">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（元/KM）</w:t>
            </w:r>
          </w:p>
        </w:tc>
        <w:tc>
          <w:tcPr>
            <w:tcW w:w="1486" w:type="dxa"/>
            <w:tcBorders>
              <w:top w:val="single" w:color="000000" w:sz="4" w:space="0"/>
              <w:left w:val="single" w:color="000000" w:sz="4" w:space="0"/>
              <w:bottom w:val="nil"/>
              <w:right w:val="single" w:color="000000" w:sz="4" w:space="0"/>
            </w:tcBorders>
            <w:shd w:val="clear" w:color="auto" w:fill="B4C6E7"/>
            <w:noWrap/>
            <w:vAlign w:val="center"/>
          </w:tcPr>
          <w:p w14:paraId="0CD254E5">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最高限价</w:t>
            </w:r>
          </w:p>
          <w:p w14:paraId="59BFC675">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（元/KM）</w:t>
            </w:r>
          </w:p>
        </w:tc>
        <w:tc>
          <w:tcPr>
            <w:tcW w:w="1362" w:type="dxa"/>
            <w:tcBorders>
              <w:top w:val="single" w:color="000000" w:sz="4" w:space="0"/>
              <w:left w:val="single" w:color="000000" w:sz="4" w:space="0"/>
              <w:bottom w:val="nil"/>
              <w:right w:val="single" w:color="000000" w:sz="4" w:space="0"/>
            </w:tcBorders>
            <w:shd w:val="clear" w:color="auto" w:fill="B4C6E7"/>
            <w:noWrap/>
            <w:vAlign w:val="center"/>
          </w:tcPr>
          <w:p w14:paraId="52EA4F0F">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最高限价</w:t>
            </w:r>
          </w:p>
          <w:p w14:paraId="0E097CDD">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（元/KM）</w:t>
            </w:r>
          </w:p>
        </w:tc>
      </w:tr>
      <w:tr w14:paraId="24B16E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7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DBE7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8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2D8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整车</w:t>
            </w:r>
          </w:p>
        </w:tc>
        <w:tc>
          <w:tcPr>
            <w:tcW w:w="8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29E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浙江</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AB16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衢州</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4AE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黑龙江</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BAD6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哈尔滨</w:t>
            </w:r>
          </w:p>
        </w:tc>
        <w:tc>
          <w:tcPr>
            <w:tcW w:w="14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4C60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5.5</w:t>
            </w:r>
          </w:p>
        </w:tc>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2CF8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8.5</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634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9.5</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69C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w:t>
            </w:r>
          </w:p>
        </w:tc>
      </w:tr>
      <w:tr w14:paraId="7894A1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7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481D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8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FCF2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整车</w:t>
            </w:r>
          </w:p>
        </w:tc>
        <w:tc>
          <w:tcPr>
            <w:tcW w:w="8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EE31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浙江</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1F5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衢州</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7C79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北京</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7B9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北京</w:t>
            </w:r>
          </w:p>
        </w:tc>
        <w:tc>
          <w:tcPr>
            <w:tcW w:w="14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57D7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5.5</w:t>
            </w:r>
          </w:p>
        </w:tc>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112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8.5</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B8B7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9.5</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3193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w:t>
            </w:r>
          </w:p>
        </w:tc>
      </w:tr>
      <w:tr w14:paraId="5F29D7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7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4919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8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853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整车</w:t>
            </w:r>
          </w:p>
        </w:tc>
        <w:tc>
          <w:tcPr>
            <w:tcW w:w="8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E29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浙江</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3ECD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衢州</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642F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辽宁</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7E32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大连</w:t>
            </w:r>
          </w:p>
        </w:tc>
        <w:tc>
          <w:tcPr>
            <w:tcW w:w="14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C40C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5.5</w:t>
            </w:r>
          </w:p>
        </w:tc>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3D17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8.5</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BE8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9.5</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D30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w:t>
            </w:r>
          </w:p>
        </w:tc>
      </w:tr>
      <w:tr w14:paraId="196ED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7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729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8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BEDA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整车</w:t>
            </w:r>
          </w:p>
        </w:tc>
        <w:tc>
          <w:tcPr>
            <w:tcW w:w="8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6F8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浙江</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F190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衢州</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6D62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辽宁</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4E95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沈阳</w:t>
            </w:r>
          </w:p>
        </w:tc>
        <w:tc>
          <w:tcPr>
            <w:tcW w:w="14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5AE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5.5</w:t>
            </w:r>
          </w:p>
        </w:tc>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ADE6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8.5</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5A67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9.5</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2E2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w:t>
            </w:r>
          </w:p>
        </w:tc>
      </w:tr>
      <w:tr w14:paraId="7E8DFF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7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7CC6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8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E08E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整车</w:t>
            </w:r>
          </w:p>
        </w:tc>
        <w:tc>
          <w:tcPr>
            <w:tcW w:w="8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B240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浙江</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AE9C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衢州</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4C4F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上海</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DCA4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上海</w:t>
            </w:r>
          </w:p>
        </w:tc>
        <w:tc>
          <w:tcPr>
            <w:tcW w:w="14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9A3C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6.6</w:t>
            </w:r>
          </w:p>
        </w:tc>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D069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7AB9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99D4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w:t>
            </w:r>
          </w:p>
        </w:tc>
      </w:tr>
      <w:tr w14:paraId="3D86C8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7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2D9B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8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A1C5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整车</w:t>
            </w:r>
          </w:p>
        </w:tc>
        <w:tc>
          <w:tcPr>
            <w:tcW w:w="8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6BE4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浙江</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4BB8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衢州</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507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广东</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C2B4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深圳</w:t>
            </w:r>
          </w:p>
        </w:tc>
        <w:tc>
          <w:tcPr>
            <w:tcW w:w="14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1790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5.5</w:t>
            </w:r>
          </w:p>
        </w:tc>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3D49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8.5</w:t>
            </w: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3D2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9.5</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E9CB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w:t>
            </w:r>
          </w:p>
        </w:tc>
      </w:tr>
      <w:tr w14:paraId="4DD0EB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0" w:hRule="atLeast"/>
          <w:jc w:val="center"/>
        </w:trPr>
        <w:tc>
          <w:tcPr>
            <w:tcW w:w="11115"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4355843A">
            <w:pPr>
              <w:keepNext w:val="0"/>
              <w:keepLines w:val="0"/>
              <w:widowControl/>
              <w:suppressLineNumbers w:val="0"/>
              <w:jc w:val="left"/>
              <w:textAlignment w:val="center"/>
              <w:rPr>
                <w:rFonts w:hint="eastAsia" w:ascii="仿宋" w:hAnsi="仿宋" w:eastAsia="仿宋" w:cs="仿宋"/>
                <w:i w:val="0"/>
                <w:iCs w:val="0"/>
                <w:color w:val="FF0000"/>
                <w:sz w:val="24"/>
                <w:szCs w:val="24"/>
                <w:u w:val="none"/>
              </w:rPr>
            </w:pPr>
            <w:r>
              <w:rPr>
                <w:rFonts w:hint="eastAsia" w:ascii="仿宋" w:hAnsi="仿宋" w:eastAsia="仿宋" w:cs="仿宋"/>
                <w:i w:val="0"/>
                <w:iCs w:val="0"/>
                <w:color w:val="auto"/>
                <w:kern w:val="0"/>
                <w:sz w:val="24"/>
                <w:szCs w:val="24"/>
                <w:u w:val="none"/>
                <w:lang w:val="en-US" w:eastAsia="zh-CN" w:bidi="ar"/>
              </w:rPr>
              <w:t>备注：</w:t>
            </w:r>
            <w:r>
              <w:rPr>
                <w:rFonts w:hint="eastAsia" w:ascii="仿宋" w:hAnsi="仿宋" w:eastAsia="仿宋" w:cs="仿宋"/>
                <w:i w:val="0"/>
                <w:iCs w:val="0"/>
                <w:color w:val="auto"/>
                <w:kern w:val="0"/>
                <w:sz w:val="24"/>
                <w:szCs w:val="24"/>
                <w:u w:val="none"/>
                <w:lang w:val="en-US" w:eastAsia="zh-CN" w:bidi="ar"/>
              </w:rPr>
              <w:br w:type="textWrapping"/>
            </w:r>
            <w:r>
              <w:rPr>
                <w:rFonts w:hint="eastAsia" w:ascii="仿宋" w:hAnsi="仿宋" w:eastAsia="仿宋" w:cs="仿宋"/>
                <w:i w:val="0"/>
                <w:iCs w:val="0"/>
                <w:color w:val="auto"/>
                <w:kern w:val="0"/>
                <w:sz w:val="24"/>
                <w:szCs w:val="24"/>
                <w:u w:val="none"/>
                <w:lang w:val="en-US" w:eastAsia="zh-CN" w:bidi="ar"/>
              </w:rPr>
              <w:t>1.以上价格不含装、卸货等增值服务。</w:t>
            </w:r>
            <w:r>
              <w:rPr>
                <w:rFonts w:hint="eastAsia" w:ascii="仿宋" w:hAnsi="仿宋" w:eastAsia="仿宋" w:cs="仿宋"/>
                <w:i w:val="0"/>
                <w:iCs w:val="0"/>
                <w:color w:val="auto"/>
                <w:kern w:val="0"/>
                <w:sz w:val="24"/>
                <w:szCs w:val="24"/>
                <w:u w:val="none"/>
                <w:lang w:val="en-US" w:eastAsia="zh-CN" w:bidi="ar"/>
              </w:rPr>
              <w:br w:type="textWrapping"/>
            </w:r>
            <w:r>
              <w:rPr>
                <w:rFonts w:hint="eastAsia" w:ascii="仿宋" w:hAnsi="仿宋" w:eastAsia="仿宋" w:cs="仿宋"/>
                <w:i w:val="0"/>
                <w:iCs w:val="0"/>
                <w:color w:val="auto"/>
                <w:kern w:val="0"/>
                <w:sz w:val="24"/>
                <w:szCs w:val="24"/>
                <w:u w:val="none"/>
                <w:lang w:val="en-US" w:eastAsia="zh-CN" w:bidi="ar"/>
              </w:rPr>
              <w:t>2.以上价格须包含9%的增值税税点。</w:t>
            </w:r>
            <w:r>
              <w:rPr>
                <w:rFonts w:hint="eastAsia" w:ascii="仿宋" w:hAnsi="仿宋" w:eastAsia="仿宋" w:cs="仿宋"/>
                <w:i w:val="0"/>
                <w:iCs w:val="0"/>
                <w:color w:val="auto"/>
                <w:kern w:val="0"/>
                <w:sz w:val="24"/>
                <w:szCs w:val="24"/>
                <w:u w:val="none"/>
                <w:lang w:val="en-US" w:eastAsia="zh-CN" w:bidi="ar"/>
              </w:rPr>
              <w:br w:type="textWrapping"/>
            </w:r>
            <w:r>
              <w:rPr>
                <w:rFonts w:hint="eastAsia" w:ascii="仿宋" w:hAnsi="仿宋" w:eastAsia="仿宋" w:cs="仿宋"/>
                <w:i w:val="0"/>
                <w:iCs w:val="0"/>
                <w:color w:val="auto"/>
                <w:kern w:val="0"/>
                <w:sz w:val="24"/>
                <w:szCs w:val="24"/>
                <w:u w:val="none"/>
                <w:lang w:val="en-US" w:eastAsia="zh-CN" w:bidi="ar"/>
              </w:rPr>
              <w:t>3.以上价格须包含基础保价服务，按4.2米车型10万元，7.6米车型20万元，9.6米车型25万元，15米车型30万元。</w:t>
            </w:r>
            <w:r>
              <w:rPr>
                <w:rFonts w:hint="eastAsia" w:ascii="仿宋" w:hAnsi="仿宋" w:eastAsia="仿宋" w:cs="仿宋"/>
                <w:i w:val="0"/>
                <w:iCs w:val="0"/>
                <w:color w:val="auto"/>
                <w:kern w:val="0"/>
                <w:sz w:val="24"/>
                <w:szCs w:val="24"/>
                <w:u w:val="none"/>
                <w:lang w:val="en-US" w:eastAsia="zh-CN" w:bidi="ar"/>
              </w:rPr>
              <w:br w:type="textWrapping"/>
            </w:r>
            <w:r>
              <w:rPr>
                <w:rFonts w:hint="eastAsia" w:ascii="仿宋" w:hAnsi="仿宋" w:eastAsia="仿宋" w:cs="仿宋"/>
                <w:i w:val="0"/>
                <w:iCs w:val="0"/>
                <w:color w:val="auto"/>
                <w:kern w:val="0"/>
                <w:sz w:val="24"/>
                <w:szCs w:val="24"/>
                <w:u w:val="none"/>
                <w:lang w:val="en-US" w:eastAsia="zh-CN" w:bidi="ar"/>
              </w:rPr>
              <w:t>4.具有多个卸货地址的订单，以高德地图货车导航始发地至第一个卸货地距离+相邻卸货地之间的距离累加公里数为结算里程依据。</w:t>
            </w:r>
          </w:p>
        </w:tc>
      </w:tr>
    </w:tbl>
    <w:p w14:paraId="1A10B2B1">
      <w:pPr>
        <w:pStyle w:val="40"/>
        <w:keepNext w:val="0"/>
        <w:keepLines w:val="0"/>
        <w:pageBreakBefore w:val="0"/>
        <w:kinsoku/>
        <w:wordWrap/>
        <w:overflowPunct/>
        <w:topLinePunct w:val="0"/>
        <w:autoSpaceDE/>
        <w:autoSpaceDN/>
        <w:bidi w:val="0"/>
        <w:spacing w:after="0" w:line="500" w:lineRule="exact"/>
        <w:ind w:left="0" w:leftChars="0" w:firstLine="482" w:firstLineChars="200"/>
        <w:textAlignment w:val="auto"/>
        <w:rPr>
          <w:rFonts w:hint="eastAsia" w:ascii="仿宋" w:hAnsi="仿宋" w:eastAsia="仿宋" w:cs="仿宋"/>
          <w:b w:val="0"/>
          <w:bCs w:val="0"/>
          <w:i w:val="0"/>
          <w:iCs w:val="0"/>
          <w:caps w:val="0"/>
          <w:color w:val="auto"/>
          <w:spacing w:val="0"/>
          <w:kern w:val="0"/>
          <w:sz w:val="24"/>
          <w:szCs w:val="24"/>
          <w:highlight w:val="none"/>
          <w:lang w:val="en-US" w:eastAsia="zh-CN" w:bidi="ar"/>
        </w:rPr>
      </w:pPr>
      <w:r>
        <w:rPr>
          <w:rFonts w:hint="eastAsia" w:ascii="仿宋" w:hAnsi="仿宋" w:eastAsia="仿宋" w:cs="仿宋"/>
          <w:b/>
          <w:bCs/>
          <w:i w:val="0"/>
          <w:iCs w:val="0"/>
          <w:caps w:val="0"/>
          <w:color w:val="auto"/>
          <w:spacing w:val="0"/>
          <w:kern w:val="0"/>
          <w:sz w:val="24"/>
          <w:szCs w:val="24"/>
          <w:highlight w:val="none"/>
          <w:lang w:val="en-US" w:eastAsia="zh-CN" w:bidi="ar"/>
        </w:rPr>
        <w:t>七、付款方式</w:t>
      </w:r>
    </w:p>
    <w:p w14:paraId="5E7EF423">
      <w:pPr>
        <w:pStyle w:val="40"/>
        <w:keepNext w:val="0"/>
        <w:keepLines w:val="0"/>
        <w:pageBreakBefore w:val="0"/>
        <w:kinsoku/>
        <w:wordWrap/>
        <w:overflowPunct/>
        <w:topLinePunct w:val="0"/>
        <w:autoSpaceDE/>
        <w:autoSpaceDN/>
        <w:bidi w:val="0"/>
        <w:spacing w:after="0" w:line="500" w:lineRule="exact"/>
        <w:textAlignment w:val="auto"/>
        <w:rPr>
          <w:rFonts w:hint="default" w:ascii="仿宋" w:hAnsi="仿宋" w:eastAsia="仿宋" w:cs="仿宋"/>
          <w:b w:val="0"/>
          <w:bCs w:val="0"/>
          <w:i w:val="0"/>
          <w:iCs w:val="0"/>
          <w:caps w:val="0"/>
          <w:color w:val="auto"/>
          <w:spacing w:val="0"/>
          <w:kern w:val="0"/>
          <w:sz w:val="24"/>
          <w:szCs w:val="24"/>
          <w:highlight w:val="none"/>
          <w:lang w:val="en-US" w:eastAsia="zh-CN" w:bidi="ar"/>
        </w:rPr>
      </w:pPr>
      <w:r>
        <w:rPr>
          <w:rFonts w:hint="eastAsia" w:ascii="仿宋" w:hAnsi="仿宋" w:eastAsia="仿宋" w:cs="仿宋"/>
          <w:b w:val="0"/>
          <w:bCs w:val="0"/>
          <w:i w:val="0"/>
          <w:iCs w:val="0"/>
          <w:caps w:val="0"/>
          <w:color w:val="auto"/>
          <w:spacing w:val="0"/>
          <w:kern w:val="0"/>
          <w:sz w:val="24"/>
          <w:szCs w:val="24"/>
          <w:highlight w:val="none"/>
          <w:lang w:val="en-US" w:eastAsia="zh-CN" w:bidi="ar"/>
        </w:rPr>
        <w:t>按实际服务数量及中标单价按月据实结算。</w:t>
      </w:r>
    </w:p>
    <w:p w14:paraId="42A56817">
      <w:pPr>
        <w:tabs>
          <w:tab w:val="left" w:pos="648"/>
        </w:tabs>
        <w:bidi w:val="0"/>
        <w:jc w:val="left"/>
        <w:rPr>
          <w:rFonts w:hint="eastAsia"/>
          <w:lang w:val="en-US" w:eastAsia="zh-CN"/>
        </w:rPr>
        <w:sectPr>
          <w:footerReference r:id="rId5" w:type="default"/>
          <w:pgSz w:w="12240" w:h="15840"/>
          <w:pgMar w:top="1346" w:right="1376" w:bottom="1298" w:left="1375" w:header="0" w:footer="1136" w:gutter="0"/>
          <w:cols w:space="720" w:num="1"/>
        </w:sectPr>
      </w:pPr>
    </w:p>
    <w:p w14:paraId="18606DC9">
      <w:pPr>
        <w:jc w:val="center"/>
        <w:outlineLvl w:val="0"/>
        <w:rPr>
          <w:rFonts w:hint="eastAsia" w:ascii="仿宋" w:hAnsi="仿宋" w:eastAsia="仿宋" w:cs="仿宋"/>
          <w:b/>
          <w:bCs/>
          <w:color w:val="FF0000"/>
          <w:sz w:val="32"/>
          <w:szCs w:val="32"/>
          <w:lang w:eastAsia="zh-CN"/>
        </w:rPr>
      </w:pPr>
      <w:r>
        <w:rPr>
          <w:rFonts w:hint="eastAsia" w:ascii="仿宋" w:hAnsi="仿宋" w:eastAsia="仿宋" w:cs="仿宋"/>
          <w:b/>
          <w:bCs/>
          <w:color w:val="auto"/>
          <w:sz w:val="32"/>
          <w:szCs w:val="32"/>
          <w:lang w:eastAsia="zh-CN"/>
        </w:rPr>
        <w:t>第四章 合同主要条款</w:t>
      </w:r>
    </w:p>
    <w:p w14:paraId="7AAE3D8D">
      <w:pPr>
        <w:jc w:val="center"/>
        <w:outlineLvl w:val="9"/>
        <w:rPr>
          <w:rFonts w:hint="eastAsia" w:ascii="仿宋" w:hAnsi="仿宋" w:eastAsia="仿宋" w:cs="仿宋"/>
          <w:b/>
          <w:bCs/>
          <w:color w:val="auto"/>
          <w:sz w:val="32"/>
          <w:szCs w:val="32"/>
          <w:lang w:eastAsia="zh-CN"/>
        </w:rPr>
      </w:pPr>
    </w:p>
    <w:p w14:paraId="1F5521E5">
      <w:pPr>
        <w:jc w:val="center"/>
        <w:outlineLvl w:val="9"/>
        <w:rPr>
          <w:rFonts w:hint="eastAsia" w:ascii="仿宋" w:hAnsi="仿宋" w:eastAsia="仿宋" w:cs="仿宋"/>
          <w:b/>
          <w:bCs/>
          <w:color w:val="auto"/>
          <w:sz w:val="32"/>
          <w:szCs w:val="32"/>
          <w:lang w:eastAsia="zh-CN"/>
        </w:rPr>
      </w:pPr>
      <w:r>
        <w:rPr>
          <w:rFonts w:hint="eastAsia" w:ascii="仿宋" w:hAnsi="仿宋" w:eastAsia="仿宋" w:cs="仿宋"/>
          <w:b/>
          <w:bCs/>
          <w:color w:val="auto"/>
          <w:sz w:val="32"/>
          <w:szCs w:val="32"/>
          <w:lang w:eastAsia="zh-CN"/>
        </w:rPr>
        <w:t>哈尔滨马迭尔食品股份有限公司物流服务项目</w:t>
      </w:r>
    </w:p>
    <w:p w14:paraId="4F07726E">
      <w:pPr>
        <w:jc w:val="center"/>
        <w:outlineLvl w:val="9"/>
        <w:rPr>
          <w:rFonts w:ascii="仿宋" w:hAnsi="仿宋" w:eastAsia="仿宋" w:cs="仿宋"/>
          <w:b/>
          <w:bCs/>
          <w:color w:val="auto"/>
          <w:sz w:val="32"/>
          <w:szCs w:val="32"/>
        </w:rPr>
      </w:pPr>
    </w:p>
    <w:p w14:paraId="61CF7211">
      <w:pPr>
        <w:jc w:val="center"/>
        <w:outlineLvl w:val="9"/>
        <w:rPr>
          <w:rFonts w:ascii="仿宋" w:hAnsi="仿宋" w:eastAsia="仿宋" w:cs="仿宋"/>
          <w:b/>
          <w:bCs/>
          <w:color w:val="auto"/>
          <w:sz w:val="32"/>
          <w:szCs w:val="32"/>
        </w:rPr>
      </w:pPr>
      <w:r>
        <w:rPr>
          <w:rFonts w:hint="eastAsia" w:ascii="仿宋" w:hAnsi="仿宋" w:eastAsia="仿宋" w:cs="仿宋"/>
          <w:b/>
          <w:bCs/>
          <w:color w:val="auto"/>
          <w:sz w:val="32"/>
          <w:szCs w:val="32"/>
        </w:rPr>
        <w:t>（样本）</w:t>
      </w:r>
    </w:p>
    <w:p w14:paraId="1FB9F082">
      <w:pPr>
        <w:jc w:val="center"/>
        <w:outlineLvl w:val="9"/>
        <w:rPr>
          <w:rFonts w:ascii="仿宋" w:hAnsi="仿宋" w:eastAsia="仿宋" w:cs="仿宋"/>
          <w:b/>
          <w:bCs/>
          <w:color w:val="auto"/>
          <w:sz w:val="32"/>
          <w:szCs w:val="32"/>
        </w:rPr>
      </w:pPr>
    </w:p>
    <w:p w14:paraId="17157D5B">
      <w:pPr>
        <w:pStyle w:val="9"/>
        <w:spacing w:after="240" w:afterLines="100" w:line="460" w:lineRule="exact"/>
        <w:ind w:firstLine="562" w:firstLineChars="200"/>
        <w:jc w:val="center"/>
        <w:outlineLvl w:val="9"/>
        <w:rPr>
          <w:rFonts w:ascii="仿宋" w:hAnsi="仿宋" w:eastAsia="仿宋" w:cs="仿宋"/>
          <w:b/>
          <w:color w:val="auto"/>
          <w:szCs w:val="28"/>
        </w:rPr>
      </w:pPr>
      <w:r>
        <w:rPr>
          <w:rFonts w:hint="eastAsia" w:ascii="仿宋" w:hAnsi="仿宋" w:eastAsia="仿宋" w:cs="仿宋"/>
          <w:b/>
          <w:color w:val="auto"/>
          <w:szCs w:val="28"/>
        </w:rPr>
        <w:t>（本合同仅作示范文本，具体以双方签订的正式合同为准）</w:t>
      </w:r>
    </w:p>
    <w:p w14:paraId="590C987B">
      <w:pPr>
        <w:jc w:val="center"/>
        <w:outlineLvl w:val="9"/>
        <w:rPr>
          <w:rFonts w:ascii="仿宋" w:hAnsi="仿宋" w:eastAsia="仿宋" w:cs="仿宋"/>
          <w:color w:val="auto"/>
          <w:spacing w:val="24"/>
          <w:sz w:val="44"/>
          <w:szCs w:val="24"/>
        </w:rPr>
      </w:pPr>
    </w:p>
    <w:p w14:paraId="60179713">
      <w:pPr>
        <w:jc w:val="center"/>
        <w:outlineLvl w:val="9"/>
        <w:rPr>
          <w:rFonts w:ascii="仿宋" w:hAnsi="仿宋" w:eastAsia="仿宋" w:cs="仿宋"/>
          <w:color w:val="auto"/>
          <w:spacing w:val="24"/>
          <w:sz w:val="44"/>
          <w:szCs w:val="24"/>
        </w:rPr>
      </w:pPr>
    </w:p>
    <w:p w14:paraId="0282EE7F">
      <w:pPr>
        <w:jc w:val="center"/>
        <w:outlineLvl w:val="9"/>
        <w:rPr>
          <w:rFonts w:ascii="仿宋" w:hAnsi="仿宋" w:eastAsia="仿宋" w:cs="仿宋"/>
          <w:color w:val="auto"/>
          <w:spacing w:val="24"/>
          <w:sz w:val="44"/>
          <w:szCs w:val="24"/>
        </w:rPr>
      </w:pPr>
    </w:p>
    <w:p w14:paraId="4781E1C1">
      <w:pPr>
        <w:jc w:val="center"/>
        <w:outlineLvl w:val="9"/>
        <w:rPr>
          <w:rFonts w:ascii="仿宋" w:hAnsi="仿宋" w:eastAsia="仿宋" w:cs="仿宋"/>
          <w:color w:val="auto"/>
          <w:spacing w:val="24"/>
          <w:sz w:val="44"/>
          <w:szCs w:val="24"/>
        </w:rPr>
      </w:pPr>
    </w:p>
    <w:p w14:paraId="17E1CA99">
      <w:pPr>
        <w:jc w:val="center"/>
        <w:outlineLvl w:val="9"/>
        <w:rPr>
          <w:rFonts w:ascii="仿宋" w:hAnsi="仿宋" w:eastAsia="仿宋" w:cs="仿宋"/>
          <w:color w:val="auto"/>
          <w:spacing w:val="10"/>
          <w:sz w:val="36"/>
          <w:szCs w:val="24"/>
        </w:rPr>
      </w:pPr>
    </w:p>
    <w:p w14:paraId="72A5244F">
      <w:pPr>
        <w:ind w:firstLine="1260"/>
        <w:outlineLvl w:val="9"/>
        <w:rPr>
          <w:rFonts w:hint="default" w:ascii="仿宋" w:hAnsi="仿宋" w:eastAsia="仿宋" w:cs="仿宋"/>
          <w:b/>
          <w:color w:val="auto"/>
          <w:spacing w:val="10"/>
          <w:sz w:val="36"/>
          <w:szCs w:val="36"/>
          <w:u w:val="single"/>
          <w:lang w:val="en-US" w:eastAsia="zh-CN"/>
        </w:rPr>
      </w:pPr>
      <w:r>
        <w:rPr>
          <w:rFonts w:hint="eastAsia" w:ascii="仿宋" w:hAnsi="仿宋" w:eastAsia="仿宋" w:cs="仿宋"/>
          <w:b/>
          <w:color w:val="auto"/>
          <w:spacing w:val="10"/>
          <w:sz w:val="36"/>
          <w:szCs w:val="36"/>
        </w:rPr>
        <w:t>甲方</w:t>
      </w:r>
      <w:r>
        <w:rPr>
          <w:rFonts w:hint="eastAsia" w:ascii="仿宋" w:hAnsi="仿宋" w:eastAsia="仿宋" w:cs="仿宋"/>
          <w:color w:val="auto"/>
          <w:spacing w:val="10"/>
          <w:sz w:val="36"/>
          <w:szCs w:val="36"/>
        </w:rPr>
        <w:t>：</w:t>
      </w:r>
      <w:r>
        <w:rPr>
          <w:rFonts w:hint="eastAsia" w:ascii="仿宋" w:hAnsi="仿宋" w:eastAsia="仿宋" w:cs="仿宋"/>
          <w:b/>
          <w:color w:val="auto"/>
          <w:spacing w:val="10"/>
          <w:sz w:val="36"/>
          <w:szCs w:val="36"/>
          <w:u w:val="single"/>
          <w:lang w:val="en-US" w:eastAsia="zh-CN"/>
        </w:rPr>
        <w:t xml:space="preserve">                       </w:t>
      </w:r>
    </w:p>
    <w:p w14:paraId="32FC6C8B">
      <w:pPr>
        <w:jc w:val="center"/>
        <w:outlineLvl w:val="9"/>
        <w:rPr>
          <w:rFonts w:ascii="仿宋" w:hAnsi="仿宋" w:eastAsia="仿宋" w:cs="仿宋"/>
          <w:color w:val="auto"/>
          <w:spacing w:val="10"/>
          <w:sz w:val="36"/>
          <w:szCs w:val="24"/>
        </w:rPr>
      </w:pPr>
    </w:p>
    <w:p w14:paraId="12DE6BB1">
      <w:pPr>
        <w:tabs>
          <w:tab w:val="left" w:pos="1800"/>
        </w:tabs>
        <w:outlineLvl w:val="9"/>
        <w:rPr>
          <w:rFonts w:ascii="仿宋" w:hAnsi="仿宋" w:eastAsia="仿宋" w:cs="仿宋"/>
          <w:color w:val="auto"/>
          <w:spacing w:val="10"/>
          <w:sz w:val="36"/>
          <w:szCs w:val="24"/>
          <w:u w:val="single"/>
        </w:rPr>
      </w:pPr>
    </w:p>
    <w:p w14:paraId="64FCB119">
      <w:pPr>
        <w:ind w:firstLine="1260"/>
        <w:outlineLvl w:val="9"/>
        <w:rPr>
          <w:rFonts w:ascii="仿宋" w:hAnsi="仿宋" w:eastAsia="仿宋" w:cs="仿宋"/>
          <w:b/>
          <w:color w:val="auto"/>
          <w:spacing w:val="10"/>
          <w:sz w:val="36"/>
          <w:szCs w:val="36"/>
        </w:rPr>
      </w:pPr>
    </w:p>
    <w:p w14:paraId="198658A2">
      <w:pPr>
        <w:ind w:firstLine="1260"/>
        <w:outlineLvl w:val="9"/>
        <w:rPr>
          <w:rFonts w:ascii="仿宋" w:hAnsi="仿宋" w:eastAsia="仿宋" w:cs="仿宋"/>
          <w:b/>
          <w:color w:val="auto"/>
          <w:spacing w:val="10"/>
          <w:sz w:val="36"/>
          <w:szCs w:val="36"/>
        </w:rPr>
      </w:pPr>
      <w:r>
        <w:rPr>
          <w:rFonts w:hint="eastAsia" w:ascii="仿宋" w:hAnsi="仿宋" w:eastAsia="仿宋" w:cs="仿宋"/>
          <w:b/>
          <w:color w:val="auto"/>
          <w:spacing w:val="10"/>
          <w:sz w:val="36"/>
          <w:szCs w:val="36"/>
        </w:rPr>
        <w:t>乙方：</w:t>
      </w:r>
      <w:r>
        <w:rPr>
          <w:rFonts w:hint="eastAsia" w:ascii="仿宋" w:hAnsi="仿宋" w:eastAsia="仿宋" w:cs="仿宋"/>
          <w:b/>
          <w:color w:val="auto"/>
          <w:spacing w:val="10"/>
          <w:sz w:val="36"/>
          <w:szCs w:val="36"/>
          <w:u w:val="single"/>
        </w:rPr>
        <w:t xml:space="preserve">                       </w:t>
      </w:r>
    </w:p>
    <w:p w14:paraId="38FBFAFF">
      <w:pPr>
        <w:jc w:val="center"/>
        <w:outlineLvl w:val="9"/>
        <w:rPr>
          <w:rFonts w:ascii="仿宋" w:hAnsi="仿宋" w:eastAsia="仿宋" w:cs="仿宋"/>
          <w:color w:val="auto"/>
          <w:spacing w:val="10"/>
          <w:sz w:val="36"/>
          <w:szCs w:val="24"/>
        </w:rPr>
      </w:pPr>
    </w:p>
    <w:p w14:paraId="42A1D6E4">
      <w:pPr>
        <w:jc w:val="center"/>
        <w:outlineLvl w:val="9"/>
        <w:rPr>
          <w:rFonts w:ascii="仿宋" w:hAnsi="仿宋" w:eastAsia="仿宋" w:cs="仿宋"/>
          <w:color w:val="auto"/>
          <w:spacing w:val="10"/>
          <w:sz w:val="36"/>
          <w:szCs w:val="24"/>
        </w:rPr>
      </w:pPr>
    </w:p>
    <w:p w14:paraId="6E67FA4F">
      <w:pPr>
        <w:jc w:val="center"/>
        <w:outlineLvl w:val="9"/>
        <w:rPr>
          <w:rFonts w:ascii="仿宋" w:hAnsi="仿宋" w:eastAsia="仿宋" w:cs="仿宋"/>
          <w:color w:val="auto"/>
          <w:spacing w:val="10"/>
          <w:sz w:val="36"/>
          <w:szCs w:val="24"/>
        </w:rPr>
      </w:pPr>
    </w:p>
    <w:p w14:paraId="0EB579CE">
      <w:pPr>
        <w:ind w:firstLine="1204" w:firstLineChars="400"/>
        <w:jc w:val="both"/>
        <w:outlineLvl w:val="9"/>
        <w:rPr>
          <w:rFonts w:ascii="仿宋" w:hAnsi="仿宋" w:eastAsia="仿宋" w:cs="仿宋"/>
          <w:b/>
          <w:color w:val="auto"/>
          <w:spacing w:val="10"/>
          <w:sz w:val="28"/>
          <w:szCs w:val="28"/>
        </w:rPr>
      </w:pPr>
      <w:r>
        <w:rPr>
          <w:rFonts w:hint="eastAsia" w:ascii="仿宋" w:hAnsi="仿宋" w:eastAsia="仿宋" w:cs="仿宋"/>
          <w:b/>
          <w:color w:val="auto"/>
          <w:spacing w:val="10"/>
          <w:sz w:val="28"/>
          <w:szCs w:val="28"/>
        </w:rPr>
        <w:t>签订日期：</w:t>
      </w:r>
      <w:r>
        <w:rPr>
          <w:rFonts w:hint="eastAsia" w:ascii="仿宋" w:hAnsi="仿宋" w:eastAsia="仿宋" w:cs="仿宋"/>
          <w:b/>
          <w:color w:val="auto"/>
          <w:spacing w:val="10"/>
          <w:sz w:val="28"/>
          <w:szCs w:val="28"/>
          <w:u w:val="single"/>
        </w:rPr>
        <w:t xml:space="preserve">    </w:t>
      </w:r>
      <w:r>
        <w:rPr>
          <w:rFonts w:hint="eastAsia" w:ascii="仿宋" w:hAnsi="仿宋" w:eastAsia="仿宋" w:cs="仿宋"/>
          <w:b/>
          <w:color w:val="auto"/>
          <w:spacing w:val="10"/>
          <w:sz w:val="28"/>
          <w:szCs w:val="28"/>
        </w:rPr>
        <w:t>年</w:t>
      </w:r>
      <w:r>
        <w:rPr>
          <w:rFonts w:hint="eastAsia" w:ascii="仿宋" w:hAnsi="仿宋" w:eastAsia="仿宋" w:cs="仿宋"/>
          <w:b/>
          <w:color w:val="auto"/>
          <w:spacing w:val="10"/>
          <w:sz w:val="28"/>
          <w:szCs w:val="28"/>
          <w:u w:val="single"/>
        </w:rPr>
        <w:t xml:space="preserve">    </w:t>
      </w:r>
      <w:r>
        <w:rPr>
          <w:rFonts w:hint="eastAsia" w:ascii="仿宋" w:hAnsi="仿宋" w:eastAsia="仿宋" w:cs="仿宋"/>
          <w:b/>
          <w:color w:val="auto"/>
          <w:spacing w:val="10"/>
          <w:sz w:val="28"/>
          <w:szCs w:val="28"/>
        </w:rPr>
        <w:t>月</w:t>
      </w:r>
      <w:r>
        <w:rPr>
          <w:rFonts w:hint="eastAsia" w:ascii="仿宋" w:hAnsi="仿宋" w:eastAsia="仿宋" w:cs="仿宋"/>
          <w:b/>
          <w:color w:val="auto"/>
          <w:spacing w:val="10"/>
          <w:sz w:val="28"/>
          <w:szCs w:val="28"/>
          <w:u w:val="single"/>
        </w:rPr>
        <w:t xml:space="preserve">    </w:t>
      </w:r>
      <w:r>
        <w:rPr>
          <w:rFonts w:hint="eastAsia" w:ascii="仿宋" w:hAnsi="仿宋" w:eastAsia="仿宋" w:cs="仿宋"/>
          <w:b/>
          <w:color w:val="auto"/>
          <w:spacing w:val="10"/>
          <w:sz w:val="28"/>
          <w:szCs w:val="28"/>
        </w:rPr>
        <w:t>日</w:t>
      </w:r>
    </w:p>
    <w:p w14:paraId="6962BBC9">
      <w:pPr>
        <w:outlineLvl w:val="9"/>
        <w:rPr>
          <w:rFonts w:hint="eastAsia" w:ascii="仿宋" w:hAnsi="仿宋" w:eastAsia="仿宋" w:cs="仿宋"/>
          <w:b w:val="0"/>
          <w:bCs w:val="0"/>
          <w:color w:val="auto"/>
          <w:kern w:val="0"/>
          <w:sz w:val="24"/>
          <w:szCs w:val="24"/>
          <w:highlight w:val="none"/>
          <w:lang w:val="en-US" w:eastAsia="zh-CN" w:bidi="ar"/>
        </w:rPr>
      </w:pPr>
      <w:r>
        <w:rPr>
          <w:rFonts w:hint="eastAsia" w:ascii="仿宋" w:hAnsi="仿宋" w:eastAsia="仿宋" w:cs="仿宋"/>
          <w:color w:val="auto"/>
          <w:sz w:val="24"/>
          <w:szCs w:val="24"/>
        </w:rPr>
        <w:br w:type="page"/>
      </w:r>
      <w:r>
        <w:rPr>
          <w:rFonts w:hint="eastAsia" w:ascii="仿宋" w:hAnsi="仿宋" w:eastAsia="仿宋" w:cs="仿宋"/>
          <w:color w:val="auto"/>
          <w:sz w:val="24"/>
          <w:szCs w:val="24"/>
          <w:lang w:val="en-US" w:eastAsia="zh-CN"/>
        </w:rPr>
        <w:t xml:space="preserve">    </w:t>
      </w:r>
      <w:r>
        <w:rPr>
          <w:rFonts w:hint="eastAsia" w:ascii="仿宋" w:hAnsi="仿宋" w:eastAsia="仿宋" w:cs="仿宋"/>
          <w:b w:val="0"/>
          <w:bCs w:val="0"/>
          <w:color w:val="auto"/>
          <w:kern w:val="0"/>
          <w:sz w:val="24"/>
          <w:szCs w:val="24"/>
          <w:highlight w:val="none"/>
          <w:lang w:val="en-US" w:eastAsia="zh-CN" w:bidi="ar"/>
        </w:rPr>
        <w:t>甲方：</w:t>
      </w:r>
      <w:r>
        <w:rPr>
          <w:rFonts w:hint="eastAsia" w:ascii="仿宋" w:hAnsi="仿宋" w:eastAsia="仿宋" w:cs="仿宋"/>
          <w:b w:val="0"/>
          <w:bCs w:val="0"/>
          <w:color w:val="auto"/>
          <w:kern w:val="0"/>
          <w:sz w:val="24"/>
          <w:szCs w:val="24"/>
          <w:highlight w:val="none"/>
          <w:lang w:val="en-US" w:eastAsia="zh-CN" w:bidi="ar"/>
        </w:rPr>
        <w:br w:type="textWrapping"/>
      </w:r>
      <w:r>
        <w:rPr>
          <w:rFonts w:hint="eastAsia" w:ascii="仿宋" w:hAnsi="仿宋" w:eastAsia="仿宋" w:cs="仿宋"/>
          <w:b w:val="0"/>
          <w:bCs w:val="0"/>
          <w:color w:val="auto"/>
          <w:kern w:val="0"/>
          <w:sz w:val="24"/>
          <w:szCs w:val="24"/>
          <w:highlight w:val="none"/>
          <w:lang w:val="en-US" w:eastAsia="zh-CN" w:bidi="ar"/>
        </w:rPr>
        <w:t xml:space="preserve">    负责人/法定代表人：</w:t>
      </w:r>
      <w:r>
        <w:rPr>
          <w:rFonts w:hint="eastAsia" w:ascii="仿宋" w:hAnsi="仿宋" w:eastAsia="仿宋" w:cs="仿宋"/>
          <w:b w:val="0"/>
          <w:bCs w:val="0"/>
          <w:color w:val="auto"/>
          <w:kern w:val="0"/>
          <w:sz w:val="24"/>
          <w:szCs w:val="24"/>
          <w:highlight w:val="none"/>
          <w:lang w:val="en-US" w:eastAsia="zh-CN" w:bidi="ar"/>
        </w:rPr>
        <w:br w:type="textWrapping"/>
      </w:r>
      <w:r>
        <w:rPr>
          <w:rFonts w:hint="eastAsia" w:ascii="仿宋" w:hAnsi="仿宋" w:eastAsia="仿宋" w:cs="仿宋"/>
          <w:b w:val="0"/>
          <w:bCs w:val="0"/>
          <w:color w:val="auto"/>
          <w:kern w:val="0"/>
          <w:sz w:val="24"/>
          <w:szCs w:val="24"/>
          <w:highlight w:val="none"/>
          <w:lang w:val="en-US" w:eastAsia="zh-CN" w:bidi="ar"/>
        </w:rPr>
        <w:t xml:space="preserve">    地址：</w:t>
      </w:r>
      <w:r>
        <w:rPr>
          <w:rFonts w:hint="eastAsia" w:ascii="仿宋" w:hAnsi="仿宋" w:eastAsia="仿宋" w:cs="仿宋"/>
          <w:b w:val="0"/>
          <w:bCs w:val="0"/>
          <w:color w:val="auto"/>
          <w:kern w:val="0"/>
          <w:sz w:val="24"/>
          <w:szCs w:val="24"/>
          <w:highlight w:val="none"/>
          <w:lang w:val="en-US" w:eastAsia="zh-CN" w:bidi="ar"/>
        </w:rPr>
        <w:br w:type="textWrapping"/>
      </w:r>
      <w:r>
        <w:rPr>
          <w:rFonts w:hint="eastAsia" w:ascii="仿宋" w:hAnsi="仿宋" w:eastAsia="仿宋" w:cs="仿宋"/>
          <w:b w:val="0"/>
          <w:bCs w:val="0"/>
          <w:color w:val="auto"/>
          <w:kern w:val="0"/>
          <w:sz w:val="24"/>
          <w:szCs w:val="24"/>
          <w:highlight w:val="none"/>
          <w:lang w:val="en-US" w:eastAsia="zh-CN" w:bidi="ar"/>
        </w:rPr>
        <w:t xml:space="preserve">    电话：</w:t>
      </w:r>
    </w:p>
    <w:p w14:paraId="56F3B50F">
      <w:pPr>
        <w:pStyle w:val="20"/>
        <w:keepNext w:val="0"/>
        <w:keepLines w:val="0"/>
        <w:widowControl/>
        <w:suppressLineNumbers w:val="0"/>
        <w:autoSpaceDE w:val="0"/>
        <w:autoSpaceDN/>
        <w:spacing w:before="294" w:beforeLines="0" w:beforeAutospacing="0" w:after="294" w:afterLines="0" w:afterAutospacing="0" w:line="400" w:lineRule="exact"/>
        <w:ind w:left="479" w:leftChars="228" w:right="0" w:firstLine="0" w:firstLineChars="0"/>
        <w:jc w:val="left"/>
        <w:rPr>
          <w:rFonts w:hint="eastAsia" w:ascii="仿宋" w:hAnsi="仿宋" w:eastAsia="仿宋" w:cs="仿宋"/>
          <w:b w:val="0"/>
          <w:bCs w:val="0"/>
          <w:color w:val="auto"/>
          <w:kern w:val="0"/>
          <w:sz w:val="24"/>
          <w:szCs w:val="24"/>
          <w:highlight w:val="none"/>
        </w:rPr>
      </w:pPr>
      <w:r>
        <w:rPr>
          <w:rFonts w:hint="eastAsia" w:ascii="仿宋" w:hAnsi="仿宋" w:eastAsia="仿宋" w:cs="仿宋"/>
          <w:b w:val="0"/>
          <w:bCs w:val="0"/>
          <w:color w:val="auto"/>
          <w:kern w:val="0"/>
          <w:sz w:val="24"/>
          <w:szCs w:val="24"/>
          <w:highlight w:val="none"/>
          <w:lang w:val="en-US" w:eastAsia="zh-CN" w:bidi="ar"/>
        </w:rPr>
        <w:t>乙方：</w:t>
      </w:r>
      <w:r>
        <w:rPr>
          <w:rFonts w:hint="eastAsia" w:ascii="仿宋" w:hAnsi="仿宋" w:eastAsia="仿宋" w:cs="仿宋"/>
          <w:b w:val="0"/>
          <w:bCs w:val="0"/>
          <w:color w:val="auto"/>
          <w:kern w:val="0"/>
          <w:sz w:val="24"/>
          <w:szCs w:val="24"/>
          <w:highlight w:val="none"/>
          <w:lang w:val="en-US" w:eastAsia="zh-CN" w:bidi="ar"/>
        </w:rPr>
        <w:br w:type="textWrapping"/>
      </w:r>
      <w:r>
        <w:rPr>
          <w:rFonts w:hint="eastAsia" w:ascii="仿宋" w:hAnsi="仿宋" w:eastAsia="仿宋" w:cs="仿宋"/>
          <w:b w:val="0"/>
          <w:bCs w:val="0"/>
          <w:color w:val="auto"/>
          <w:kern w:val="0"/>
          <w:sz w:val="24"/>
          <w:szCs w:val="24"/>
          <w:highlight w:val="none"/>
          <w:lang w:val="en-US" w:eastAsia="zh-CN" w:bidi="ar"/>
        </w:rPr>
        <w:t>负责人/法定代表人：</w:t>
      </w:r>
      <w:r>
        <w:rPr>
          <w:rFonts w:hint="eastAsia" w:ascii="仿宋" w:hAnsi="仿宋" w:eastAsia="仿宋" w:cs="仿宋"/>
          <w:b w:val="0"/>
          <w:bCs w:val="0"/>
          <w:color w:val="auto"/>
          <w:kern w:val="0"/>
          <w:sz w:val="24"/>
          <w:szCs w:val="24"/>
          <w:highlight w:val="none"/>
          <w:lang w:val="en-US" w:eastAsia="zh-CN" w:bidi="ar"/>
        </w:rPr>
        <w:br w:type="textWrapping"/>
      </w:r>
      <w:r>
        <w:rPr>
          <w:rFonts w:hint="eastAsia" w:ascii="仿宋" w:hAnsi="仿宋" w:eastAsia="仿宋" w:cs="仿宋"/>
          <w:b w:val="0"/>
          <w:bCs w:val="0"/>
          <w:color w:val="auto"/>
          <w:kern w:val="0"/>
          <w:sz w:val="24"/>
          <w:szCs w:val="24"/>
          <w:highlight w:val="none"/>
          <w:lang w:val="en-US" w:eastAsia="zh-CN" w:bidi="ar"/>
        </w:rPr>
        <w:t>地址：</w:t>
      </w:r>
      <w:r>
        <w:rPr>
          <w:rFonts w:hint="eastAsia" w:ascii="仿宋" w:hAnsi="仿宋" w:eastAsia="仿宋" w:cs="仿宋"/>
          <w:b w:val="0"/>
          <w:bCs w:val="0"/>
          <w:color w:val="auto"/>
          <w:kern w:val="0"/>
          <w:sz w:val="24"/>
          <w:szCs w:val="24"/>
          <w:highlight w:val="none"/>
          <w:lang w:val="en-US" w:eastAsia="zh-CN" w:bidi="ar"/>
        </w:rPr>
        <w:br w:type="textWrapping"/>
      </w:r>
      <w:r>
        <w:rPr>
          <w:rFonts w:hint="eastAsia" w:ascii="仿宋" w:hAnsi="仿宋" w:eastAsia="仿宋" w:cs="仿宋"/>
          <w:b w:val="0"/>
          <w:bCs w:val="0"/>
          <w:color w:val="auto"/>
          <w:kern w:val="0"/>
          <w:sz w:val="24"/>
          <w:szCs w:val="24"/>
          <w:highlight w:val="none"/>
          <w:lang w:val="en-US" w:eastAsia="zh-CN" w:bidi="ar"/>
        </w:rPr>
        <w:t>电话：</w:t>
      </w:r>
    </w:p>
    <w:p w14:paraId="6F3108A1">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bCs/>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2"/>
          <w:sz w:val="24"/>
          <w:szCs w:val="24"/>
          <w:highlight w:val="none"/>
          <w:lang w:val="en-US" w:eastAsia="zh-CN" w:bidi="ar"/>
        </w:rPr>
        <w:t>甲乙双方经友好协商，就围绕哈尔滨马迭尔食品股份有限公司物流服务项目相关事宜，达成协议如下：</w:t>
      </w:r>
      <w:r>
        <w:rPr>
          <w:rFonts w:hint="eastAsia" w:ascii="仿宋" w:hAnsi="仿宋" w:eastAsia="仿宋" w:cs="仿宋"/>
          <w:b w:val="0"/>
          <w:bCs w:val="0"/>
          <w:i w:val="0"/>
          <w:iCs w:val="0"/>
          <w:caps w:val="0"/>
          <w:color w:val="auto"/>
          <w:spacing w:val="0"/>
          <w:kern w:val="2"/>
          <w:sz w:val="24"/>
          <w:szCs w:val="24"/>
          <w:highlight w:val="none"/>
          <w:lang w:val="en-US" w:eastAsia="zh-CN" w:bidi="ar"/>
        </w:rPr>
        <w:br w:type="textWrapping"/>
      </w:r>
      <w:r>
        <w:rPr>
          <w:rFonts w:hint="eastAsia" w:ascii="仿宋" w:hAnsi="仿宋" w:eastAsia="仿宋" w:cs="仿宋"/>
          <w:b w:val="0"/>
          <w:bCs w:val="0"/>
          <w:i w:val="0"/>
          <w:iCs w:val="0"/>
          <w:caps w:val="0"/>
          <w:color w:val="auto"/>
          <w:spacing w:val="0"/>
          <w:kern w:val="2"/>
          <w:sz w:val="24"/>
          <w:szCs w:val="24"/>
          <w:highlight w:val="none"/>
          <w:lang w:val="en-US" w:eastAsia="zh-CN" w:bidi="ar"/>
        </w:rPr>
        <w:t xml:space="preserve">    </w:t>
      </w:r>
      <w:r>
        <w:rPr>
          <w:rFonts w:hint="eastAsia" w:ascii="仿宋" w:hAnsi="仿宋" w:eastAsia="仿宋" w:cs="仿宋"/>
          <w:b/>
          <w:bCs/>
          <w:i w:val="0"/>
          <w:iCs w:val="0"/>
          <w:caps w:val="0"/>
          <w:color w:val="auto"/>
          <w:spacing w:val="0"/>
          <w:kern w:val="0"/>
          <w:sz w:val="24"/>
          <w:szCs w:val="24"/>
          <w:highlight w:val="none"/>
          <w:lang w:val="en-US" w:eastAsia="zh-CN" w:bidi="ar"/>
        </w:rPr>
        <w:t>一、采购内容及要求</w:t>
      </w:r>
    </w:p>
    <w:p w14:paraId="29556B57">
      <w:pPr>
        <w:keepNext w:val="0"/>
        <w:keepLines w:val="0"/>
        <w:widowControl w:val="0"/>
        <w:suppressLineNumbers w:val="0"/>
        <w:autoSpaceDE w:val="0"/>
        <w:autoSpaceDN/>
        <w:snapToGrid w:val="0"/>
        <w:spacing w:before="0" w:beforeAutospacing="0" w:after="0" w:afterAutospacing="0" w:line="400" w:lineRule="exact"/>
        <w:ind w:right="0" w:firstLine="480" w:firstLineChars="200"/>
        <w:jc w:val="both"/>
        <w:rPr>
          <w:rFonts w:hint="eastAsia" w:ascii="仿宋" w:hAnsi="仿宋" w:eastAsia="仿宋" w:cs="仿宋"/>
          <w:color w:val="auto"/>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详见招标文件“第三章  采购内容及要求”</w:t>
      </w:r>
    </w:p>
    <w:p w14:paraId="6755B450">
      <w:pPr>
        <w:keepNext w:val="0"/>
        <w:keepLines w:val="0"/>
        <w:widowControl w:val="0"/>
        <w:suppressLineNumbers w:val="0"/>
        <w:autoSpaceDE w:val="0"/>
        <w:autoSpaceDN/>
        <w:snapToGrid w:val="0"/>
        <w:spacing w:before="0" w:beforeAutospacing="0" w:after="0" w:afterAutospacing="0" w:line="400" w:lineRule="exact"/>
        <w:ind w:left="0" w:right="0" w:firstLine="482" w:firstLineChars="200"/>
        <w:jc w:val="both"/>
        <w:outlineLvl w:val="1"/>
        <w:rPr>
          <w:rFonts w:hint="eastAsia" w:ascii="仿宋" w:hAnsi="仿宋" w:eastAsia="仿宋" w:cs="仿宋"/>
          <w:b/>
          <w:bCs/>
          <w:i w:val="0"/>
          <w:iCs w:val="0"/>
          <w:caps w:val="0"/>
          <w:color w:val="auto"/>
          <w:spacing w:val="0"/>
          <w:kern w:val="0"/>
          <w:sz w:val="24"/>
          <w:szCs w:val="24"/>
          <w:highlight w:val="none"/>
          <w:lang w:val="en-US"/>
        </w:rPr>
      </w:pPr>
      <w:r>
        <w:rPr>
          <w:rFonts w:hint="eastAsia" w:ascii="仿宋" w:hAnsi="仿宋" w:eastAsia="仿宋" w:cs="仿宋"/>
          <w:b/>
          <w:bCs/>
          <w:i w:val="0"/>
          <w:iCs w:val="0"/>
          <w:caps w:val="0"/>
          <w:color w:val="auto"/>
          <w:spacing w:val="0"/>
          <w:kern w:val="0"/>
          <w:sz w:val="24"/>
          <w:szCs w:val="24"/>
          <w:highlight w:val="none"/>
          <w:lang w:val="en-US" w:eastAsia="zh-CN" w:bidi="ar"/>
        </w:rPr>
        <w:t>二、合同期限</w:t>
      </w:r>
    </w:p>
    <w:p w14:paraId="16DC870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20</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日至20</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日止</w:t>
      </w:r>
    </w:p>
    <w:p w14:paraId="1981A83B">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三、合同金额</w:t>
      </w:r>
    </w:p>
    <w:p w14:paraId="4069DD4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
          <w:bCs/>
          <w:i w:val="0"/>
          <w:iCs w:val="0"/>
          <w:caps w:val="0"/>
          <w:color w:val="auto"/>
          <w:spacing w:val="0"/>
          <w:kern w:val="0"/>
          <w:sz w:val="24"/>
          <w:szCs w:val="24"/>
          <w:highlight w:val="none"/>
          <w:lang w:val="en-US" w:eastAsia="zh-CN" w:bidi="ar"/>
        </w:rPr>
      </w:pPr>
      <w:r>
        <w:rPr>
          <w:rFonts w:hint="eastAsia" w:ascii="仿宋" w:hAnsi="仿宋" w:eastAsia="仿宋" w:cs="仿宋"/>
          <w:b w:val="0"/>
          <w:bCs/>
          <w:color w:val="auto"/>
          <w:kern w:val="2"/>
          <w:sz w:val="24"/>
          <w:szCs w:val="24"/>
        </w:rPr>
        <w:t>本合同金额（含税）：</w:t>
      </w:r>
    </w:p>
    <w:tbl>
      <w:tblPr>
        <w:tblStyle w:val="23"/>
        <w:tblW w:w="1056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18"/>
        <w:gridCol w:w="848"/>
        <w:gridCol w:w="818"/>
        <w:gridCol w:w="867"/>
        <w:gridCol w:w="881"/>
        <w:gridCol w:w="1014"/>
        <w:gridCol w:w="1541"/>
        <w:gridCol w:w="1397"/>
        <w:gridCol w:w="1220"/>
        <w:gridCol w:w="1265"/>
      </w:tblGrid>
      <w:tr w14:paraId="75B149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jc w:val="center"/>
        </w:trPr>
        <w:tc>
          <w:tcPr>
            <w:tcW w:w="10569" w:type="dxa"/>
            <w:gridSpan w:val="10"/>
            <w:tcBorders>
              <w:top w:val="nil"/>
              <w:left w:val="nil"/>
              <w:bottom w:val="nil"/>
              <w:right w:val="nil"/>
            </w:tcBorders>
            <w:shd w:val="clear" w:color="auto" w:fill="auto"/>
            <w:noWrap/>
            <w:vAlign w:val="center"/>
          </w:tcPr>
          <w:p w14:paraId="44D49AC0">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 xml:space="preserve">整车调拨报价表  </w:t>
            </w:r>
          </w:p>
        </w:tc>
      </w:tr>
      <w:tr w14:paraId="0EA78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718" w:type="dxa"/>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6AC65450">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序号</w:t>
            </w:r>
          </w:p>
        </w:tc>
        <w:tc>
          <w:tcPr>
            <w:tcW w:w="848" w:type="dxa"/>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70B34029">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性质</w:t>
            </w:r>
          </w:p>
        </w:tc>
        <w:tc>
          <w:tcPr>
            <w:tcW w:w="818" w:type="dxa"/>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4DB06A54">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始发省份</w:t>
            </w:r>
          </w:p>
        </w:tc>
        <w:tc>
          <w:tcPr>
            <w:tcW w:w="867" w:type="dxa"/>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7F2C9DEF">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始发城市</w:t>
            </w:r>
          </w:p>
        </w:tc>
        <w:tc>
          <w:tcPr>
            <w:tcW w:w="881" w:type="dxa"/>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4F0B9D82">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目的省份</w:t>
            </w:r>
          </w:p>
        </w:tc>
        <w:tc>
          <w:tcPr>
            <w:tcW w:w="1014" w:type="dxa"/>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715D8E18">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目的</w:t>
            </w:r>
          </w:p>
          <w:p w14:paraId="5D20AB7F">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城市</w:t>
            </w:r>
          </w:p>
        </w:tc>
        <w:tc>
          <w:tcPr>
            <w:tcW w:w="1541" w:type="dxa"/>
            <w:tcBorders>
              <w:top w:val="single" w:color="000000" w:sz="4" w:space="0"/>
              <w:left w:val="single" w:color="000000" w:sz="4" w:space="0"/>
              <w:bottom w:val="single" w:color="000000" w:sz="4" w:space="0"/>
              <w:right w:val="nil"/>
            </w:tcBorders>
            <w:shd w:val="clear" w:color="auto" w:fill="B4C6E7"/>
            <w:noWrap/>
            <w:vAlign w:val="center"/>
          </w:tcPr>
          <w:p w14:paraId="5FCB3B83">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4.2米</w:t>
            </w:r>
          </w:p>
          <w:p w14:paraId="4B7B0BCA">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冷藏车型</w:t>
            </w:r>
          </w:p>
        </w:tc>
        <w:tc>
          <w:tcPr>
            <w:tcW w:w="1397" w:type="dxa"/>
            <w:tcBorders>
              <w:top w:val="single" w:color="000000" w:sz="4" w:space="0"/>
              <w:left w:val="single" w:color="000000" w:sz="4" w:space="0"/>
              <w:bottom w:val="single" w:color="000000" w:sz="4" w:space="0"/>
              <w:right w:val="nil"/>
            </w:tcBorders>
            <w:shd w:val="clear" w:color="auto" w:fill="B4C6E7"/>
            <w:noWrap/>
            <w:vAlign w:val="center"/>
          </w:tcPr>
          <w:p w14:paraId="0CE96867">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7.6米</w:t>
            </w:r>
          </w:p>
          <w:p w14:paraId="3B20704D">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冷藏车型</w:t>
            </w:r>
          </w:p>
        </w:tc>
        <w:tc>
          <w:tcPr>
            <w:tcW w:w="1220" w:type="dxa"/>
            <w:tcBorders>
              <w:top w:val="single" w:color="000000" w:sz="4" w:space="0"/>
              <w:left w:val="single" w:color="000000" w:sz="4" w:space="0"/>
              <w:bottom w:val="single" w:color="000000" w:sz="4" w:space="0"/>
              <w:right w:val="nil"/>
            </w:tcBorders>
            <w:shd w:val="clear" w:color="auto" w:fill="B4C6E7"/>
            <w:noWrap/>
            <w:vAlign w:val="center"/>
          </w:tcPr>
          <w:p w14:paraId="1C4DE06F">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9.6米</w:t>
            </w:r>
          </w:p>
          <w:p w14:paraId="28B91506">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冷藏车型</w:t>
            </w:r>
          </w:p>
        </w:tc>
        <w:tc>
          <w:tcPr>
            <w:tcW w:w="1265" w:type="dxa"/>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2E4AAD35">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15米冷</w:t>
            </w:r>
          </w:p>
          <w:p w14:paraId="330A38CB">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藏车型</w:t>
            </w:r>
          </w:p>
        </w:tc>
      </w:tr>
      <w:tr w14:paraId="7AA47A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718" w:type="dxa"/>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06EC5ACD">
            <w:pPr>
              <w:jc w:val="center"/>
              <w:rPr>
                <w:rFonts w:hint="eastAsia" w:ascii="仿宋" w:hAnsi="仿宋" w:eastAsia="仿宋" w:cs="仿宋"/>
                <w:b/>
                <w:bCs/>
                <w:i w:val="0"/>
                <w:iCs w:val="0"/>
                <w:color w:val="000000"/>
                <w:sz w:val="24"/>
                <w:szCs w:val="24"/>
                <w:u w:val="none"/>
              </w:rPr>
            </w:pPr>
          </w:p>
        </w:tc>
        <w:tc>
          <w:tcPr>
            <w:tcW w:w="848" w:type="dxa"/>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0AF0299B">
            <w:pPr>
              <w:jc w:val="center"/>
              <w:rPr>
                <w:rFonts w:hint="eastAsia" w:ascii="仿宋" w:hAnsi="仿宋" w:eastAsia="仿宋" w:cs="仿宋"/>
                <w:b/>
                <w:bCs/>
                <w:i w:val="0"/>
                <w:iCs w:val="0"/>
                <w:color w:val="000000"/>
                <w:sz w:val="24"/>
                <w:szCs w:val="24"/>
                <w:u w:val="none"/>
              </w:rPr>
            </w:pPr>
          </w:p>
        </w:tc>
        <w:tc>
          <w:tcPr>
            <w:tcW w:w="818" w:type="dxa"/>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49FBF394">
            <w:pPr>
              <w:jc w:val="center"/>
              <w:rPr>
                <w:rFonts w:hint="eastAsia" w:ascii="仿宋" w:hAnsi="仿宋" w:eastAsia="仿宋" w:cs="仿宋"/>
                <w:b/>
                <w:bCs/>
                <w:i w:val="0"/>
                <w:iCs w:val="0"/>
                <w:color w:val="000000"/>
                <w:sz w:val="24"/>
                <w:szCs w:val="24"/>
                <w:u w:val="none"/>
              </w:rPr>
            </w:pPr>
          </w:p>
        </w:tc>
        <w:tc>
          <w:tcPr>
            <w:tcW w:w="867" w:type="dxa"/>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474FC19F">
            <w:pPr>
              <w:jc w:val="center"/>
              <w:rPr>
                <w:rFonts w:hint="eastAsia" w:ascii="仿宋" w:hAnsi="仿宋" w:eastAsia="仿宋" w:cs="仿宋"/>
                <w:b/>
                <w:bCs/>
                <w:i w:val="0"/>
                <w:iCs w:val="0"/>
                <w:color w:val="000000"/>
                <w:sz w:val="24"/>
                <w:szCs w:val="24"/>
                <w:u w:val="none"/>
              </w:rPr>
            </w:pPr>
          </w:p>
        </w:tc>
        <w:tc>
          <w:tcPr>
            <w:tcW w:w="881" w:type="dxa"/>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7D5C6551">
            <w:pPr>
              <w:jc w:val="center"/>
              <w:rPr>
                <w:rFonts w:hint="eastAsia" w:ascii="仿宋" w:hAnsi="仿宋" w:eastAsia="仿宋" w:cs="仿宋"/>
                <w:b/>
                <w:bCs/>
                <w:i w:val="0"/>
                <w:iCs w:val="0"/>
                <w:color w:val="000000"/>
                <w:sz w:val="24"/>
                <w:szCs w:val="24"/>
                <w:u w:val="none"/>
              </w:rPr>
            </w:pPr>
          </w:p>
        </w:tc>
        <w:tc>
          <w:tcPr>
            <w:tcW w:w="1014" w:type="dxa"/>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1215E84F">
            <w:pPr>
              <w:jc w:val="center"/>
              <w:rPr>
                <w:rFonts w:hint="eastAsia" w:ascii="仿宋" w:hAnsi="仿宋" w:eastAsia="仿宋" w:cs="仿宋"/>
                <w:b/>
                <w:bCs/>
                <w:i w:val="0"/>
                <w:iCs w:val="0"/>
                <w:color w:val="000000"/>
                <w:sz w:val="24"/>
                <w:szCs w:val="24"/>
                <w:u w:val="none"/>
              </w:rPr>
            </w:pPr>
          </w:p>
        </w:tc>
        <w:tc>
          <w:tcPr>
            <w:tcW w:w="1541" w:type="dxa"/>
            <w:tcBorders>
              <w:top w:val="single" w:color="000000" w:sz="4" w:space="0"/>
              <w:left w:val="single" w:color="000000" w:sz="4" w:space="0"/>
              <w:bottom w:val="nil"/>
              <w:right w:val="single" w:color="000000" w:sz="4" w:space="0"/>
            </w:tcBorders>
            <w:shd w:val="clear" w:color="auto" w:fill="B4C6E7"/>
            <w:noWrap/>
            <w:vAlign w:val="center"/>
          </w:tcPr>
          <w:p w14:paraId="0A406C7F">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单价</w:t>
            </w:r>
          </w:p>
          <w:p w14:paraId="42AB5831">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（元/KM）</w:t>
            </w:r>
          </w:p>
        </w:tc>
        <w:tc>
          <w:tcPr>
            <w:tcW w:w="1397" w:type="dxa"/>
            <w:tcBorders>
              <w:top w:val="single" w:color="000000" w:sz="4" w:space="0"/>
              <w:left w:val="single" w:color="000000" w:sz="4" w:space="0"/>
              <w:bottom w:val="nil"/>
              <w:right w:val="single" w:color="000000" w:sz="4" w:space="0"/>
            </w:tcBorders>
            <w:shd w:val="clear" w:color="auto" w:fill="B4C6E7"/>
            <w:noWrap/>
            <w:vAlign w:val="center"/>
          </w:tcPr>
          <w:p w14:paraId="6C487F03">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单价</w:t>
            </w:r>
          </w:p>
          <w:p w14:paraId="30BC1A62">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（元/KM）</w:t>
            </w:r>
          </w:p>
        </w:tc>
        <w:tc>
          <w:tcPr>
            <w:tcW w:w="1220" w:type="dxa"/>
            <w:tcBorders>
              <w:top w:val="single" w:color="000000" w:sz="4" w:space="0"/>
              <w:left w:val="single" w:color="000000" w:sz="4" w:space="0"/>
              <w:bottom w:val="nil"/>
              <w:right w:val="single" w:color="000000" w:sz="4" w:space="0"/>
            </w:tcBorders>
            <w:shd w:val="clear" w:color="auto" w:fill="B4C6E7"/>
            <w:noWrap/>
            <w:vAlign w:val="center"/>
          </w:tcPr>
          <w:p w14:paraId="55B9FD4F">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单价</w:t>
            </w:r>
          </w:p>
          <w:p w14:paraId="3FE60B42">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（元/KM）</w:t>
            </w:r>
          </w:p>
        </w:tc>
        <w:tc>
          <w:tcPr>
            <w:tcW w:w="1265" w:type="dxa"/>
            <w:tcBorders>
              <w:top w:val="single" w:color="000000" w:sz="4" w:space="0"/>
              <w:left w:val="single" w:color="000000" w:sz="4" w:space="0"/>
              <w:bottom w:val="nil"/>
              <w:right w:val="single" w:color="000000" w:sz="4" w:space="0"/>
            </w:tcBorders>
            <w:shd w:val="clear" w:color="auto" w:fill="B4C6E7"/>
            <w:noWrap/>
            <w:vAlign w:val="center"/>
          </w:tcPr>
          <w:p w14:paraId="6635E80C">
            <w:pPr>
              <w:keepNext w:val="0"/>
              <w:keepLines w:val="0"/>
              <w:widowControl/>
              <w:suppressLineNumbers w:val="0"/>
              <w:jc w:val="center"/>
              <w:textAlignment w:val="center"/>
              <w:rPr>
                <w:rFonts w:hint="eastAsia" w:ascii="仿宋" w:hAnsi="仿宋" w:eastAsia="仿宋" w:cs="仿宋"/>
                <w:b/>
                <w:bCs/>
                <w:i w:val="0"/>
                <w:iCs w:val="0"/>
                <w:color w:val="000000"/>
                <w:kern w:val="0"/>
                <w:sz w:val="24"/>
                <w:szCs w:val="24"/>
                <w:u w:val="none"/>
                <w:lang w:val="en-US" w:eastAsia="zh-CN" w:bidi="ar"/>
              </w:rPr>
            </w:pPr>
            <w:r>
              <w:rPr>
                <w:rFonts w:hint="eastAsia" w:ascii="仿宋" w:hAnsi="仿宋" w:eastAsia="仿宋" w:cs="仿宋"/>
                <w:b/>
                <w:bCs/>
                <w:i w:val="0"/>
                <w:iCs w:val="0"/>
                <w:color w:val="000000"/>
                <w:kern w:val="0"/>
                <w:sz w:val="24"/>
                <w:szCs w:val="24"/>
                <w:u w:val="none"/>
                <w:lang w:val="en-US" w:eastAsia="zh-CN" w:bidi="ar"/>
              </w:rPr>
              <w:t>单价</w:t>
            </w:r>
          </w:p>
          <w:p w14:paraId="0FFC13F5">
            <w:pPr>
              <w:keepNext w:val="0"/>
              <w:keepLines w:val="0"/>
              <w:widowControl/>
              <w:suppressLineNumbers w:val="0"/>
              <w:jc w:val="center"/>
              <w:textAlignment w:val="center"/>
              <w:rPr>
                <w:rFonts w:hint="eastAsia" w:ascii="仿宋" w:hAnsi="仿宋" w:eastAsia="仿宋" w:cs="仿宋"/>
                <w:b/>
                <w:bCs/>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（元/KM）</w:t>
            </w:r>
          </w:p>
        </w:tc>
      </w:tr>
      <w:tr w14:paraId="713D68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590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8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32C0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整车</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5030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浙江</w:t>
            </w:r>
          </w:p>
        </w:tc>
        <w:tc>
          <w:tcPr>
            <w:tcW w:w="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EB6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衢州</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2D98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黑龙江</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451D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哈尔滨</w:t>
            </w:r>
          </w:p>
        </w:tc>
        <w:tc>
          <w:tcPr>
            <w:tcW w:w="15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6DF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28CE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C6E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C068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4088BC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BB0F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8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D7AF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整车</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76A7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浙江</w:t>
            </w:r>
          </w:p>
        </w:tc>
        <w:tc>
          <w:tcPr>
            <w:tcW w:w="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8E22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衢州</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0692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北京</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C898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北京</w:t>
            </w:r>
          </w:p>
        </w:tc>
        <w:tc>
          <w:tcPr>
            <w:tcW w:w="15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F9B9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0D51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AF26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280D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11BF37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F3D4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8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6B93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整车</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1A43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浙江</w:t>
            </w:r>
          </w:p>
        </w:tc>
        <w:tc>
          <w:tcPr>
            <w:tcW w:w="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B98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衢州</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689F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辽宁</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777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大连</w:t>
            </w:r>
          </w:p>
        </w:tc>
        <w:tc>
          <w:tcPr>
            <w:tcW w:w="15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0D50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825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CBA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FF25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7B5E98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58A2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8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55A0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整车</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66A1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浙江</w:t>
            </w:r>
          </w:p>
        </w:tc>
        <w:tc>
          <w:tcPr>
            <w:tcW w:w="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B2CD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衢州</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5E49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辽宁</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A302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沈阳</w:t>
            </w:r>
          </w:p>
        </w:tc>
        <w:tc>
          <w:tcPr>
            <w:tcW w:w="15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2BD1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32D2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8A58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D628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19CF34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A1F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8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6323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整车</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EAC9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浙江</w:t>
            </w:r>
          </w:p>
        </w:tc>
        <w:tc>
          <w:tcPr>
            <w:tcW w:w="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7EA2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衢州</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29CE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上海</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7EF9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上海</w:t>
            </w:r>
          </w:p>
        </w:tc>
        <w:tc>
          <w:tcPr>
            <w:tcW w:w="15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6BFC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39BC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8A58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824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4DAF5B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7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6D1A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8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C49A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整车</w:t>
            </w:r>
          </w:p>
        </w:tc>
        <w:tc>
          <w:tcPr>
            <w:tcW w:w="8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4186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浙江</w:t>
            </w:r>
          </w:p>
        </w:tc>
        <w:tc>
          <w:tcPr>
            <w:tcW w:w="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9A27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衢州</w:t>
            </w:r>
          </w:p>
        </w:tc>
        <w:tc>
          <w:tcPr>
            <w:tcW w:w="8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9B90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广东</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1A46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深圳</w:t>
            </w:r>
          </w:p>
        </w:tc>
        <w:tc>
          <w:tcPr>
            <w:tcW w:w="15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1AB3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3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678A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B037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46C6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p>
        </w:tc>
      </w:tr>
      <w:tr w14:paraId="3D54B0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0" w:hRule="atLeast"/>
          <w:jc w:val="center"/>
        </w:trPr>
        <w:tc>
          <w:tcPr>
            <w:tcW w:w="10569"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67F1AECA">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备注：</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1.以上价格不含装、卸货等增值服务。</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2.以上价格须包含9%的增值税税点。</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3.以上价格须包含基础保价服务，按4.2米车型10万元，7.6米车型20万元，9.6米车型25万元，15米车型30万元。</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4.具有多个卸货地址的订单，以高德地图货车导航始发地至第一个卸货地距离+相邻卸货地之间的距离累加公里数为结算里程依据。</w:t>
            </w:r>
          </w:p>
        </w:tc>
      </w:tr>
    </w:tbl>
    <w:p w14:paraId="2AB19845">
      <w:pPr>
        <w:pStyle w:val="40"/>
        <w:keepNext w:val="0"/>
        <w:keepLines w:val="0"/>
        <w:pageBreakBefore w:val="0"/>
        <w:kinsoku/>
        <w:wordWrap/>
        <w:overflowPunct/>
        <w:topLinePunct w:val="0"/>
        <w:autoSpaceDE/>
        <w:autoSpaceDN/>
        <w:bidi w:val="0"/>
        <w:spacing w:after="0" w:line="500" w:lineRule="exact"/>
        <w:ind w:left="0" w:leftChars="0" w:firstLine="482" w:firstLineChars="200"/>
        <w:textAlignment w:val="auto"/>
        <w:rPr>
          <w:rFonts w:hint="eastAsia" w:ascii="仿宋" w:hAnsi="仿宋" w:eastAsia="仿宋" w:cs="仿宋"/>
          <w:color w:val="auto"/>
          <w:kern w:val="2"/>
          <w:sz w:val="24"/>
          <w:szCs w:val="24"/>
          <w:highlight w:val="none"/>
        </w:rPr>
      </w:pPr>
      <w:r>
        <w:rPr>
          <w:rFonts w:hint="eastAsia" w:ascii="仿宋" w:hAnsi="仿宋" w:eastAsia="仿宋" w:cs="仿宋"/>
          <w:b/>
          <w:bCs/>
          <w:i w:val="0"/>
          <w:iCs w:val="0"/>
          <w:caps w:val="0"/>
          <w:color w:val="auto"/>
          <w:spacing w:val="0"/>
          <w:kern w:val="0"/>
          <w:sz w:val="24"/>
          <w:szCs w:val="24"/>
          <w:highlight w:val="none"/>
          <w:lang w:val="en-US" w:eastAsia="zh-CN" w:bidi="ar"/>
        </w:rPr>
        <w:t>四、付款方式</w:t>
      </w:r>
    </w:p>
    <w:p w14:paraId="59F4B8F1">
      <w:pPr>
        <w:pStyle w:val="40"/>
        <w:keepNext w:val="0"/>
        <w:keepLines w:val="0"/>
        <w:pageBreakBefore w:val="0"/>
        <w:kinsoku/>
        <w:wordWrap/>
        <w:overflowPunct/>
        <w:topLinePunct w:val="0"/>
        <w:autoSpaceDE/>
        <w:autoSpaceDN/>
        <w:bidi w:val="0"/>
        <w:spacing w:after="0" w:line="500" w:lineRule="exact"/>
        <w:ind w:firstLine="420"/>
        <w:textAlignment w:val="auto"/>
        <w:rPr>
          <w:rFonts w:hint="default" w:ascii="仿宋" w:hAnsi="仿宋" w:eastAsia="仿宋" w:cs="仿宋"/>
          <w:b w:val="0"/>
          <w:bCs w:val="0"/>
          <w:i w:val="0"/>
          <w:iCs w:val="0"/>
          <w:caps w:val="0"/>
          <w:color w:val="auto"/>
          <w:spacing w:val="0"/>
          <w:kern w:val="0"/>
          <w:sz w:val="24"/>
          <w:szCs w:val="24"/>
          <w:highlight w:val="none"/>
          <w:lang w:val="en-US" w:eastAsia="zh-CN" w:bidi="ar"/>
        </w:rPr>
      </w:pPr>
      <w:r>
        <w:rPr>
          <w:rFonts w:hint="eastAsia" w:ascii="仿宋" w:hAnsi="仿宋" w:eastAsia="仿宋" w:cs="仿宋"/>
          <w:b w:val="0"/>
          <w:bCs w:val="0"/>
          <w:i w:val="0"/>
          <w:iCs w:val="0"/>
          <w:caps w:val="0"/>
          <w:color w:val="auto"/>
          <w:spacing w:val="0"/>
          <w:kern w:val="0"/>
          <w:sz w:val="24"/>
          <w:szCs w:val="24"/>
          <w:highlight w:val="none"/>
          <w:lang w:val="en-US" w:eastAsia="zh-CN" w:bidi="ar"/>
        </w:rPr>
        <w:t>按实际服务数量及中标单价按月据实结算。</w:t>
      </w:r>
    </w:p>
    <w:p w14:paraId="5BFC2605">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outlineLvl w:val="1"/>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bCs/>
          <w:i w:val="0"/>
          <w:iCs w:val="0"/>
          <w:caps w:val="0"/>
          <w:color w:val="auto"/>
          <w:spacing w:val="0"/>
          <w:kern w:val="0"/>
          <w:sz w:val="24"/>
          <w:szCs w:val="24"/>
          <w:highlight w:val="none"/>
          <w:lang w:val="en-US" w:eastAsia="zh-CN" w:bidi="ar"/>
        </w:rPr>
        <w:t>五、技术资料</w:t>
      </w:r>
    </w:p>
    <w:p w14:paraId="3B345B89">
      <w:pPr>
        <w:keepNext w:val="0"/>
        <w:keepLines w:val="0"/>
        <w:widowControl/>
        <w:suppressLineNumbers w:val="0"/>
        <w:autoSpaceDE/>
        <w:autoSpaceDN/>
        <w:snapToGrid/>
        <w:spacing w:before="0" w:beforeAutospacing="0" w:after="0" w:afterAutospacing="0" w:line="380" w:lineRule="exact"/>
        <w:ind w:left="0" w:right="0" w:firstLine="480" w:firstLineChars="200"/>
        <w:jc w:val="left"/>
        <w:outlineLvl w:val="2"/>
        <w:rPr>
          <w:rFonts w:hint="eastAsia" w:ascii="仿宋" w:hAnsi="仿宋" w:eastAsia="仿宋" w:cs="仿宋"/>
          <w:b w:val="0"/>
          <w:bCs w:val="0"/>
          <w:i w:val="0"/>
          <w:iCs w:val="0"/>
          <w:caps w:val="0"/>
          <w:color w:val="auto"/>
          <w:spacing w:val="0"/>
          <w:kern w:val="0"/>
          <w:sz w:val="24"/>
          <w:szCs w:val="24"/>
          <w:highlight w:val="none"/>
          <w:lang w:val="en-US" w:eastAsia="zh-CN" w:bidi="ar"/>
        </w:rPr>
      </w:pPr>
      <w:r>
        <w:rPr>
          <w:rFonts w:hint="eastAsia" w:ascii="仿宋" w:hAnsi="仿宋" w:eastAsia="仿宋" w:cs="仿宋"/>
          <w:b w:val="0"/>
          <w:bCs w:val="0"/>
          <w:i w:val="0"/>
          <w:iCs w:val="0"/>
          <w:caps w:val="0"/>
          <w:color w:val="auto"/>
          <w:spacing w:val="0"/>
          <w:kern w:val="0"/>
          <w:sz w:val="24"/>
          <w:szCs w:val="24"/>
          <w:highlight w:val="none"/>
          <w:lang w:val="en-US" w:eastAsia="zh-CN" w:bidi="ar"/>
        </w:rPr>
        <w:t>1.乙方应按招标文件规定的时间向甲方提供有关技术资料。</w:t>
      </w:r>
    </w:p>
    <w:p w14:paraId="308D9E23">
      <w:pPr>
        <w:keepNext w:val="0"/>
        <w:keepLines w:val="0"/>
        <w:widowControl/>
        <w:suppressLineNumbers w:val="0"/>
        <w:autoSpaceDE/>
        <w:autoSpaceDN/>
        <w:snapToGrid/>
        <w:spacing w:before="0" w:beforeAutospacing="0" w:after="0" w:afterAutospacing="0" w:line="380" w:lineRule="exact"/>
        <w:ind w:left="0" w:right="0" w:firstLine="480" w:firstLineChars="200"/>
        <w:jc w:val="left"/>
        <w:rPr>
          <w:rFonts w:hint="eastAsia" w:ascii="仿宋" w:hAnsi="仿宋" w:eastAsia="仿宋" w:cs="仿宋"/>
          <w:b w:val="0"/>
          <w:bCs w:val="0"/>
          <w:i w:val="0"/>
          <w:iCs w:val="0"/>
          <w:caps w:val="0"/>
          <w:color w:val="auto"/>
          <w:spacing w:val="0"/>
          <w:kern w:val="0"/>
          <w:sz w:val="24"/>
          <w:szCs w:val="24"/>
          <w:highlight w:val="none"/>
          <w:lang w:val="en-US" w:eastAsia="zh-CN" w:bidi="ar"/>
        </w:rPr>
      </w:pPr>
      <w:r>
        <w:rPr>
          <w:rFonts w:hint="eastAsia" w:ascii="仿宋" w:hAnsi="仿宋" w:eastAsia="仿宋" w:cs="仿宋"/>
          <w:b w:val="0"/>
          <w:bCs w:val="0"/>
          <w:i w:val="0"/>
          <w:iCs w:val="0"/>
          <w:caps w:val="0"/>
          <w:color w:val="auto"/>
          <w:spacing w:val="0"/>
          <w:kern w:val="0"/>
          <w:sz w:val="24"/>
          <w:szCs w:val="24"/>
          <w:highlight w:val="none"/>
          <w:lang w:val="en-US" w:eastAsia="zh-CN" w:bidi="ar"/>
        </w:rPr>
        <w:t>2.没有甲方事先书面同意，乙方不得将由甲方提供的有关合同或任何合同条文、规格、计划、图纸、样品或资料提供给予履行本合同无关的任何其他人。即使向履行本合同有关的人员提供，也应注意保密并限于履行合同的必需范围，否则视为乙方违反保密条款的约定，故意泄露商业秘密。</w:t>
      </w:r>
    </w:p>
    <w:p w14:paraId="3AD0F166">
      <w:pPr>
        <w:keepNext w:val="0"/>
        <w:keepLines w:val="0"/>
        <w:widowControl/>
        <w:suppressLineNumbers w:val="0"/>
        <w:autoSpaceDE/>
        <w:autoSpaceDN/>
        <w:snapToGrid/>
        <w:spacing w:before="0" w:beforeAutospacing="0" w:after="0" w:afterAutospacing="0" w:line="380" w:lineRule="exact"/>
        <w:ind w:left="0" w:right="0" w:firstLine="480" w:firstLineChars="200"/>
        <w:jc w:val="left"/>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3.乙方应保证所提供的服务或其任何一部分均不会侵犯任何第三方的知识产权。</w:t>
      </w:r>
      <w:r>
        <w:rPr>
          <w:rFonts w:hint="eastAsia" w:ascii="仿宋" w:hAnsi="仿宋" w:eastAsia="仿宋" w:cs="仿宋"/>
          <w:color w:val="auto"/>
          <w:sz w:val="24"/>
          <w:szCs w:val="24"/>
          <w:highlight w:val="none"/>
        </w:rPr>
        <w:t>如因乙方侵犯</w:t>
      </w:r>
      <w:r>
        <w:rPr>
          <w:rFonts w:hint="eastAsia" w:ascii="仿宋" w:hAnsi="仿宋" w:eastAsia="仿宋" w:cs="仿宋"/>
          <w:color w:val="auto"/>
          <w:sz w:val="24"/>
          <w:szCs w:val="24"/>
          <w:highlight w:val="none"/>
          <w:lang w:val="en-US" w:eastAsia="zh-CN"/>
        </w:rPr>
        <w:t>第三方</w:t>
      </w:r>
      <w:r>
        <w:rPr>
          <w:rFonts w:hint="eastAsia" w:ascii="仿宋" w:hAnsi="仿宋" w:eastAsia="仿宋" w:cs="仿宋"/>
          <w:color w:val="auto"/>
          <w:sz w:val="24"/>
          <w:szCs w:val="24"/>
          <w:highlight w:val="none"/>
        </w:rPr>
        <w:t>知识产权，</w:t>
      </w:r>
      <w:r>
        <w:rPr>
          <w:rFonts w:hint="eastAsia" w:ascii="仿宋" w:hAnsi="仿宋" w:eastAsia="仿宋" w:cs="仿宋"/>
          <w:color w:val="auto"/>
          <w:sz w:val="24"/>
          <w:szCs w:val="24"/>
          <w:highlight w:val="none"/>
          <w:lang w:val="en-US" w:eastAsia="zh-CN"/>
        </w:rPr>
        <w:t>所有法律责任均由乙方自行承担，且</w:t>
      </w:r>
      <w:r>
        <w:rPr>
          <w:rFonts w:hint="eastAsia" w:ascii="仿宋" w:hAnsi="仿宋" w:eastAsia="仿宋" w:cs="仿宋"/>
          <w:color w:val="auto"/>
          <w:sz w:val="24"/>
          <w:szCs w:val="24"/>
          <w:highlight w:val="none"/>
        </w:rPr>
        <w:t>甲方有权单方解除本合同，并有权继续追究乙方的违约责任</w:t>
      </w:r>
      <w:r>
        <w:rPr>
          <w:rFonts w:hint="eastAsia" w:ascii="仿宋" w:hAnsi="仿宋" w:eastAsia="仿宋" w:cs="仿宋"/>
          <w:color w:val="auto"/>
          <w:sz w:val="24"/>
          <w:szCs w:val="24"/>
          <w:highlight w:val="none"/>
          <w:lang w:eastAsia="zh-CN"/>
        </w:rPr>
        <w:t>。</w:t>
      </w: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 </w:t>
      </w:r>
    </w:p>
    <w:p w14:paraId="1F010CDB">
      <w:pPr>
        <w:keepNext w:val="0"/>
        <w:keepLines w:val="0"/>
        <w:widowControl w:val="0"/>
        <w:suppressLineNumbers w:val="0"/>
        <w:autoSpaceDE w:val="0"/>
        <w:autoSpaceDN/>
        <w:snapToGrid w:val="0"/>
        <w:spacing w:before="0" w:beforeAutospacing="0" w:after="0" w:afterAutospacing="0" w:line="400" w:lineRule="exact"/>
        <w:ind w:left="0" w:right="0" w:firstLine="482" w:firstLineChars="200"/>
        <w:jc w:val="both"/>
        <w:outlineLvl w:val="1"/>
        <w:rPr>
          <w:rFonts w:hint="eastAsia" w:ascii="仿宋" w:hAnsi="仿宋" w:eastAsia="仿宋" w:cs="仿宋"/>
          <w:b/>
          <w:bCs/>
          <w:i w:val="0"/>
          <w:iCs w:val="0"/>
          <w:caps w:val="0"/>
          <w:color w:val="auto"/>
          <w:spacing w:val="0"/>
          <w:kern w:val="0"/>
          <w:sz w:val="24"/>
          <w:szCs w:val="24"/>
          <w:highlight w:val="none"/>
        </w:rPr>
      </w:pPr>
      <w:r>
        <w:rPr>
          <w:rFonts w:hint="eastAsia" w:ascii="仿宋" w:hAnsi="仿宋" w:eastAsia="仿宋" w:cs="仿宋"/>
          <w:b/>
          <w:bCs/>
          <w:i w:val="0"/>
          <w:iCs w:val="0"/>
          <w:caps w:val="0"/>
          <w:color w:val="auto"/>
          <w:spacing w:val="0"/>
          <w:kern w:val="0"/>
          <w:sz w:val="24"/>
          <w:szCs w:val="24"/>
          <w:highlight w:val="none"/>
          <w:lang w:val="en-US" w:eastAsia="zh-CN" w:bidi="ar"/>
        </w:rPr>
        <w:t>六、转包或分包</w:t>
      </w:r>
    </w:p>
    <w:p w14:paraId="0E2CAF94">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outlineLvl w:val="2"/>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1.本合同范围的服务，应由乙方直接供应，不得转让他人供应；</w:t>
      </w:r>
    </w:p>
    <w:p w14:paraId="4C49C551">
      <w:pPr>
        <w:keepNext w:val="0"/>
        <w:keepLines w:val="0"/>
        <w:widowControl w:val="0"/>
        <w:suppressLineNumbers w:val="0"/>
        <w:autoSpaceDE w:val="0"/>
        <w:autoSpaceDN/>
        <w:snapToGrid w:val="0"/>
        <w:spacing w:before="0" w:beforeAutospacing="0" w:after="0" w:afterAutospacing="0" w:line="400" w:lineRule="exact"/>
        <w:ind w:left="479" w:leftChars="228" w:right="0" w:firstLine="0" w:firstLineChars="0"/>
        <w:jc w:val="both"/>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2.如有转让行为，甲方有权解除合同追究乙方的违约责任。</w:t>
      </w:r>
      <w:r>
        <w:rPr>
          <w:rFonts w:hint="eastAsia" w:ascii="仿宋" w:hAnsi="仿宋" w:eastAsia="仿宋" w:cs="仿宋"/>
          <w:b w:val="0"/>
          <w:bCs w:val="0"/>
          <w:i w:val="0"/>
          <w:iCs w:val="0"/>
          <w:caps w:val="0"/>
          <w:color w:val="auto"/>
          <w:spacing w:val="0"/>
          <w:kern w:val="0"/>
          <w:sz w:val="24"/>
          <w:szCs w:val="24"/>
          <w:highlight w:val="none"/>
          <w:lang w:val="en-US" w:eastAsia="zh-CN" w:bidi="ar"/>
        </w:rPr>
        <w:br w:type="textWrapping"/>
      </w:r>
      <w:r>
        <w:rPr>
          <w:rFonts w:hint="eastAsia" w:ascii="仿宋" w:hAnsi="仿宋" w:eastAsia="仿宋" w:cs="仿宋"/>
          <w:b/>
          <w:bCs/>
          <w:i w:val="0"/>
          <w:iCs w:val="0"/>
          <w:caps w:val="0"/>
          <w:color w:val="auto"/>
          <w:spacing w:val="0"/>
          <w:kern w:val="0"/>
          <w:sz w:val="24"/>
          <w:szCs w:val="24"/>
          <w:highlight w:val="none"/>
          <w:lang w:val="en-US" w:eastAsia="zh-CN" w:bidi="ar"/>
        </w:rPr>
        <w:t>七、税费</w:t>
      </w:r>
    </w:p>
    <w:p w14:paraId="050D37CD">
      <w:pPr>
        <w:keepNext w:val="0"/>
        <w:keepLines w:val="0"/>
        <w:widowControl w:val="0"/>
        <w:suppressLineNumbers w:val="0"/>
        <w:autoSpaceDE w:val="0"/>
        <w:autoSpaceDN/>
        <w:snapToGrid w:val="0"/>
        <w:spacing w:before="0" w:beforeAutospacing="0" w:after="0" w:afterAutospacing="0" w:line="400" w:lineRule="exact"/>
        <w:ind w:left="479" w:leftChars="228" w:right="0" w:firstLine="0" w:firstLineChars="0"/>
        <w:jc w:val="both"/>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本合同执行中相关的一切税费均由乙方负担。</w:t>
      </w:r>
      <w:r>
        <w:rPr>
          <w:rFonts w:hint="eastAsia" w:ascii="仿宋" w:hAnsi="仿宋" w:eastAsia="仿宋" w:cs="仿宋"/>
          <w:b w:val="0"/>
          <w:bCs w:val="0"/>
          <w:i w:val="0"/>
          <w:iCs w:val="0"/>
          <w:caps w:val="0"/>
          <w:color w:val="auto"/>
          <w:spacing w:val="0"/>
          <w:kern w:val="0"/>
          <w:sz w:val="24"/>
          <w:szCs w:val="24"/>
          <w:highlight w:val="none"/>
          <w:lang w:val="en-US" w:eastAsia="zh-CN" w:bidi="ar"/>
        </w:rPr>
        <w:br w:type="textWrapping"/>
      </w:r>
      <w:r>
        <w:rPr>
          <w:rFonts w:hint="eastAsia" w:ascii="仿宋" w:hAnsi="仿宋" w:eastAsia="仿宋" w:cs="仿宋"/>
          <w:b/>
          <w:bCs/>
          <w:i w:val="0"/>
          <w:iCs w:val="0"/>
          <w:caps w:val="0"/>
          <w:color w:val="auto"/>
          <w:spacing w:val="0"/>
          <w:kern w:val="0"/>
          <w:sz w:val="24"/>
          <w:szCs w:val="24"/>
          <w:highlight w:val="none"/>
          <w:lang w:val="en-US" w:eastAsia="zh-CN" w:bidi="ar"/>
        </w:rPr>
        <w:t>八、质量保证及后续服务</w:t>
      </w:r>
    </w:p>
    <w:p w14:paraId="02CAD967">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outlineLvl w:val="2"/>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1.乙方应按招标文件规定向甲方提供服务。</w:t>
      </w:r>
    </w:p>
    <w:p w14:paraId="60836A45">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2.乙方提供的服务成果在服务质量保证期内发生故障，乙方应负责免费提供后续服务。对达不到要求者，根据实际情况，经双方协商，可按以下办法处理：</w:t>
      </w:r>
    </w:p>
    <w:p w14:paraId="53366BFC">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（1）重做：由乙方承担所发生的全部费用。</w:t>
      </w:r>
    </w:p>
    <w:p w14:paraId="261AF7BD">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（2）贬值处理：由甲乙双方合议定价。</w:t>
      </w:r>
    </w:p>
    <w:p w14:paraId="39B8DFCF">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（3）解除合同。</w:t>
      </w:r>
    </w:p>
    <w:p w14:paraId="3215ECC5">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3.如在服务期间过程中发生问题，乙方在接到甲方通知后在1小时内到达甲方现场。有特殊情况双方协商决定。</w:t>
      </w:r>
    </w:p>
    <w:p w14:paraId="0CA31410">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val="0"/>
          <w:bCs w:val="0"/>
          <w:i w:val="0"/>
          <w:iCs w:val="0"/>
          <w:caps w:val="0"/>
          <w:color w:val="auto"/>
          <w:spacing w:val="0"/>
          <w:kern w:val="0"/>
          <w:sz w:val="24"/>
          <w:szCs w:val="24"/>
          <w:highlight w:val="none"/>
          <w:lang w:val="en-US" w:eastAsia="zh-CN" w:bidi="ar"/>
        </w:rPr>
      </w:pP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4.在服务质量保证期内，乙方应对服务出现的质量及安全问题负责处理解决并承担一切费用。 </w:t>
      </w:r>
      <w:r>
        <w:rPr>
          <w:rFonts w:hint="eastAsia" w:ascii="仿宋" w:hAnsi="仿宋" w:eastAsia="仿宋" w:cs="仿宋"/>
          <w:b w:val="0"/>
          <w:bCs w:val="0"/>
          <w:i w:val="0"/>
          <w:iCs w:val="0"/>
          <w:caps w:val="0"/>
          <w:color w:val="auto"/>
          <w:spacing w:val="0"/>
          <w:kern w:val="0"/>
          <w:sz w:val="24"/>
          <w:szCs w:val="24"/>
          <w:highlight w:val="none"/>
          <w:lang w:val="en-US" w:eastAsia="zh-CN" w:bidi="ar"/>
        </w:rPr>
        <w:br w:type="textWrapping"/>
      </w: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   </w:t>
      </w:r>
      <w:r>
        <w:rPr>
          <w:rFonts w:hint="eastAsia" w:ascii="仿宋" w:hAnsi="仿宋" w:eastAsia="仿宋" w:cs="仿宋"/>
          <w:b/>
          <w:bCs/>
          <w:i w:val="0"/>
          <w:iCs w:val="0"/>
          <w:caps w:val="0"/>
          <w:color w:val="auto"/>
          <w:spacing w:val="0"/>
          <w:kern w:val="0"/>
          <w:sz w:val="24"/>
          <w:szCs w:val="24"/>
          <w:highlight w:val="none"/>
          <w:lang w:val="en-US" w:eastAsia="zh-CN" w:bidi="ar"/>
        </w:rPr>
        <w:t xml:space="preserve"> 九、保密义务</w:t>
      </w:r>
      <w:r>
        <w:rPr>
          <w:rFonts w:hint="eastAsia" w:ascii="仿宋" w:hAnsi="仿宋" w:eastAsia="仿宋" w:cs="仿宋"/>
          <w:b w:val="0"/>
          <w:bCs w:val="0"/>
          <w:i w:val="0"/>
          <w:iCs w:val="0"/>
          <w:caps w:val="0"/>
          <w:color w:val="auto"/>
          <w:spacing w:val="0"/>
          <w:kern w:val="0"/>
          <w:sz w:val="24"/>
          <w:szCs w:val="24"/>
          <w:highlight w:val="none"/>
          <w:lang w:val="en-US" w:eastAsia="zh-CN" w:bidi="ar"/>
        </w:rPr>
        <w:br w:type="textWrapping"/>
      </w: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    1.本协议签订及履行过程中，</w:t>
      </w:r>
      <w:r>
        <w:rPr>
          <w:rFonts w:hint="eastAsia" w:ascii="仿宋" w:hAnsi="仿宋" w:eastAsia="仿宋" w:cs="仿宋"/>
          <w:b w:val="0"/>
          <w:bCs w:val="0"/>
          <w:i w:val="0"/>
          <w:iCs w:val="0"/>
          <w:caps w:val="0"/>
          <w:color w:val="auto"/>
          <w:spacing w:val="0"/>
          <w:kern w:val="0"/>
          <w:sz w:val="24"/>
          <w:szCs w:val="24"/>
          <w:highlight w:val="none"/>
          <w:lang w:eastAsia="zh-CN" w:bidi="ar"/>
        </w:rPr>
        <w:t>任一</w:t>
      </w:r>
      <w:r>
        <w:rPr>
          <w:rFonts w:hint="eastAsia" w:ascii="仿宋" w:hAnsi="仿宋" w:eastAsia="仿宋" w:cs="仿宋"/>
          <w:b w:val="0"/>
          <w:bCs w:val="0"/>
          <w:i w:val="0"/>
          <w:iCs w:val="0"/>
          <w:caps w:val="0"/>
          <w:color w:val="auto"/>
          <w:spacing w:val="0"/>
          <w:kern w:val="0"/>
          <w:sz w:val="24"/>
          <w:szCs w:val="24"/>
          <w:highlight w:val="none"/>
          <w:lang w:val="en-US" w:eastAsia="zh-CN" w:bidi="ar"/>
        </w:rPr>
        <w:t>方知悉的</w:t>
      </w:r>
      <w:r>
        <w:rPr>
          <w:rFonts w:hint="eastAsia" w:ascii="仿宋" w:hAnsi="仿宋" w:eastAsia="仿宋" w:cs="仿宋"/>
          <w:b w:val="0"/>
          <w:bCs w:val="0"/>
          <w:i w:val="0"/>
          <w:iCs w:val="0"/>
          <w:caps w:val="0"/>
          <w:color w:val="auto"/>
          <w:spacing w:val="0"/>
          <w:kern w:val="0"/>
          <w:sz w:val="24"/>
          <w:szCs w:val="24"/>
          <w:highlight w:val="none"/>
          <w:lang w:eastAsia="zh-CN" w:bidi="ar"/>
        </w:rPr>
        <w:t>对</w:t>
      </w:r>
      <w:r>
        <w:rPr>
          <w:rFonts w:hint="eastAsia" w:ascii="仿宋" w:hAnsi="仿宋" w:eastAsia="仿宋" w:cs="仿宋"/>
          <w:b w:val="0"/>
          <w:bCs w:val="0"/>
          <w:i w:val="0"/>
          <w:iCs w:val="0"/>
          <w:caps w:val="0"/>
          <w:color w:val="auto"/>
          <w:spacing w:val="0"/>
          <w:kern w:val="0"/>
          <w:sz w:val="24"/>
          <w:szCs w:val="24"/>
          <w:highlight w:val="none"/>
          <w:lang w:val="en-US" w:eastAsia="zh-CN" w:bidi="ar"/>
        </w:rPr>
        <w:t>方人员信息、采购需求、相关项目情况、工作安排及本合同相关内容均属于保密信息，</w:t>
      </w:r>
      <w:r>
        <w:rPr>
          <w:rFonts w:hint="eastAsia" w:ascii="仿宋" w:hAnsi="仿宋" w:eastAsia="仿宋" w:cs="仿宋"/>
          <w:b w:val="0"/>
          <w:bCs w:val="0"/>
          <w:i w:val="0"/>
          <w:iCs w:val="0"/>
          <w:caps w:val="0"/>
          <w:color w:val="auto"/>
          <w:spacing w:val="0"/>
          <w:kern w:val="0"/>
          <w:sz w:val="24"/>
          <w:szCs w:val="24"/>
          <w:highlight w:val="none"/>
          <w:lang w:eastAsia="zh-CN" w:bidi="ar"/>
        </w:rPr>
        <w:t>各</w:t>
      </w:r>
      <w:r>
        <w:rPr>
          <w:rFonts w:hint="eastAsia" w:ascii="仿宋" w:hAnsi="仿宋" w:eastAsia="仿宋" w:cs="仿宋"/>
          <w:b w:val="0"/>
          <w:bCs w:val="0"/>
          <w:i w:val="0"/>
          <w:iCs w:val="0"/>
          <w:caps w:val="0"/>
          <w:color w:val="auto"/>
          <w:spacing w:val="0"/>
          <w:kern w:val="0"/>
          <w:sz w:val="24"/>
          <w:szCs w:val="24"/>
          <w:highlight w:val="none"/>
          <w:lang w:val="en-US" w:eastAsia="zh-CN" w:bidi="ar"/>
        </w:rPr>
        <w:t>方应承担保密义务。未经</w:t>
      </w:r>
      <w:r>
        <w:rPr>
          <w:rFonts w:hint="eastAsia" w:ascii="仿宋" w:hAnsi="仿宋" w:eastAsia="仿宋" w:cs="仿宋"/>
          <w:b w:val="0"/>
          <w:bCs w:val="0"/>
          <w:i w:val="0"/>
          <w:iCs w:val="0"/>
          <w:caps w:val="0"/>
          <w:color w:val="auto"/>
          <w:spacing w:val="0"/>
          <w:kern w:val="0"/>
          <w:sz w:val="24"/>
          <w:szCs w:val="24"/>
          <w:highlight w:val="none"/>
          <w:lang w:eastAsia="zh-CN" w:bidi="ar"/>
        </w:rPr>
        <w:t>对</w:t>
      </w:r>
      <w:r>
        <w:rPr>
          <w:rFonts w:hint="eastAsia" w:ascii="仿宋" w:hAnsi="仿宋" w:eastAsia="仿宋" w:cs="仿宋"/>
          <w:b w:val="0"/>
          <w:bCs w:val="0"/>
          <w:i w:val="0"/>
          <w:iCs w:val="0"/>
          <w:caps w:val="0"/>
          <w:color w:val="auto"/>
          <w:spacing w:val="0"/>
          <w:kern w:val="0"/>
          <w:sz w:val="24"/>
          <w:szCs w:val="24"/>
          <w:highlight w:val="none"/>
          <w:lang w:val="en-US" w:eastAsia="zh-CN" w:bidi="ar"/>
        </w:rPr>
        <w:t>方事先书面确认，</w:t>
      </w:r>
      <w:r>
        <w:rPr>
          <w:rFonts w:hint="eastAsia" w:ascii="仿宋" w:hAnsi="仿宋" w:eastAsia="仿宋" w:cs="仿宋"/>
          <w:b w:val="0"/>
          <w:bCs w:val="0"/>
          <w:i w:val="0"/>
          <w:iCs w:val="0"/>
          <w:caps w:val="0"/>
          <w:color w:val="auto"/>
          <w:spacing w:val="0"/>
          <w:kern w:val="0"/>
          <w:sz w:val="24"/>
          <w:szCs w:val="24"/>
          <w:highlight w:val="none"/>
          <w:lang w:eastAsia="zh-CN" w:bidi="ar"/>
        </w:rPr>
        <w:t>任一</w:t>
      </w:r>
      <w:r>
        <w:rPr>
          <w:rFonts w:hint="eastAsia" w:ascii="仿宋" w:hAnsi="仿宋" w:eastAsia="仿宋" w:cs="仿宋"/>
          <w:b w:val="0"/>
          <w:bCs w:val="0"/>
          <w:i w:val="0"/>
          <w:iCs w:val="0"/>
          <w:caps w:val="0"/>
          <w:color w:val="auto"/>
          <w:spacing w:val="0"/>
          <w:kern w:val="0"/>
          <w:sz w:val="24"/>
          <w:szCs w:val="24"/>
          <w:highlight w:val="none"/>
          <w:lang w:val="en-US" w:eastAsia="zh-CN" w:bidi="ar"/>
        </w:rPr>
        <w:t>方不得将保密信息以任何形式披露给第三方，或用于本合同以外的目的。</w:t>
      </w:r>
      <w:r>
        <w:rPr>
          <w:rFonts w:hint="eastAsia" w:ascii="仿宋" w:hAnsi="仿宋" w:eastAsia="仿宋" w:cs="仿宋"/>
          <w:b w:val="0"/>
          <w:bCs w:val="0"/>
          <w:i w:val="0"/>
          <w:iCs w:val="0"/>
          <w:caps w:val="0"/>
          <w:color w:val="auto"/>
          <w:spacing w:val="0"/>
          <w:kern w:val="0"/>
          <w:sz w:val="24"/>
          <w:szCs w:val="24"/>
          <w:highlight w:val="none"/>
          <w:lang w:val="en-US" w:eastAsia="zh-CN" w:bidi="ar"/>
        </w:rPr>
        <w:br w:type="textWrapping"/>
      </w: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    2.未经</w:t>
      </w:r>
      <w:r>
        <w:rPr>
          <w:rFonts w:hint="eastAsia" w:ascii="仿宋" w:hAnsi="仿宋" w:eastAsia="仿宋" w:cs="仿宋"/>
          <w:b w:val="0"/>
          <w:bCs w:val="0"/>
          <w:i w:val="0"/>
          <w:iCs w:val="0"/>
          <w:caps w:val="0"/>
          <w:color w:val="auto"/>
          <w:spacing w:val="0"/>
          <w:kern w:val="0"/>
          <w:sz w:val="24"/>
          <w:szCs w:val="24"/>
          <w:highlight w:val="none"/>
          <w:lang w:eastAsia="zh-CN" w:bidi="ar"/>
        </w:rPr>
        <w:t>对</w:t>
      </w:r>
      <w:r>
        <w:rPr>
          <w:rFonts w:hint="eastAsia" w:ascii="仿宋" w:hAnsi="仿宋" w:eastAsia="仿宋" w:cs="仿宋"/>
          <w:b w:val="0"/>
          <w:bCs w:val="0"/>
          <w:i w:val="0"/>
          <w:iCs w:val="0"/>
          <w:caps w:val="0"/>
          <w:color w:val="auto"/>
          <w:spacing w:val="0"/>
          <w:kern w:val="0"/>
          <w:sz w:val="24"/>
          <w:szCs w:val="24"/>
          <w:highlight w:val="none"/>
          <w:lang w:val="en-US" w:eastAsia="zh-CN" w:bidi="ar"/>
        </w:rPr>
        <w:t>方事先书面确认，</w:t>
      </w:r>
      <w:r>
        <w:rPr>
          <w:rFonts w:hint="eastAsia" w:ascii="仿宋" w:hAnsi="仿宋" w:eastAsia="仿宋" w:cs="仿宋"/>
          <w:b w:val="0"/>
          <w:bCs w:val="0"/>
          <w:i w:val="0"/>
          <w:iCs w:val="0"/>
          <w:caps w:val="0"/>
          <w:color w:val="auto"/>
          <w:spacing w:val="0"/>
          <w:kern w:val="0"/>
          <w:sz w:val="24"/>
          <w:szCs w:val="24"/>
          <w:highlight w:val="none"/>
          <w:lang w:eastAsia="zh-CN" w:bidi="ar"/>
        </w:rPr>
        <w:t>任一</w:t>
      </w:r>
      <w:r>
        <w:rPr>
          <w:rFonts w:hint="eastAsia" w:ascii="仿宋" w:hAnsi="仿宋" w:eastAsia="仿宋" w:cs="仿宋"/>
          <w:b w:val="0"/>
          <w:bCs w:val="0"/>
          <w:i w:val="0"/>
          <w:iCs w:val="0"/>
          <w:caps w:val="0"/>
          <w:color w:val="auto"/>
          <w:spacing w:val="0"/>
          <w:kern w:val="0"/>
          <w:sz w:val="24"/>
          <w:szCs w:val="24"/>
          <w:highlight w:val="none"/>
          <w:lang w:val="en-US" w:eastAsia="zh-CN" w:bidi="ar"/>
        </w:rPr>
        <w:t>方不得利用本合同内容进行任何形式的宣传。</w:t>
      </w:r>
    </w:p>
    <w:p w14:paraId="234AE620">
      <w:pPr>
        <w:keepNext w:val="0"/>
        <w:keepLines w:val="0"/>
        <w:widowControl w:val="0"/>
        <w:suppressLineNumbers w:val="0"/>
        <w:autoSpaceDE/>
        <w:autoSpaceDN/>
        <w:snapToGrid/>
        <w:spacing w:before="0" w:beforeAutospacing="0" w:after="0" w:afterAutospacing="0" w:line="380" w:lineRule="exact"/>
        <w:ind w:left="0" w:right="0" w:firstLine="480" w:firstLineChars="200"/>
        <w:jc w:val="left"/>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eastAsia="zh-CN"/>
        </w:rPr>
        <w:t>任一</w:t>
      </w:r>
      <w:r>
        <w:rPr>
          <w:rFonts w:hint="eastAsia" w:ascii="仿宋" w:hAnsi="仿宋" w:eastAsia="仿宋" w:cs="仿宋"/>
          <w:color w:val="auto"/>
          <w:sz w:val="24"/>
          <w:szCs w:val="24"/>
          <w:highlight w:val="none"/>
          <w:lang w:val="en-US" w:eastAsia="zh-CN"/>
        </w:rPr>
        <w:t>方为本协议目的可向其确有知悉必要的</w:t>
      </w:r>
      <w:r>
        <w:rPr>
          <w:rFonts w:hint="eastAsia" w:ascii="仿宋" w:hAnsi="仿宋" w:eastAsia="仿宋" w:cs="仿宋"/>
          <w:color w:val="auto"/>
          <w:sz w:val="24"/>
          <w:szCs w:val="24"/>
          <w:highlight w:val="none"/>
          <w:lang w:eastAsia="zh-CN"/>
        </w:rPr>
        <w:t>工作人员、</w:t>
      </w:r>
      <w:r>
        <w:rPr>
          <w:rFonts w:hint="eastAsia" w:ascii="仿宋" w:hAnsi="仿宋" w:eastAsia="仿宋" w:cs="仿宋"/>
          <w:color w:val="auto"/>
          <w:sz w:val="24"/>
          <w:szCs w:val="24"/>
          <w:highlight w:val="none"/>
          <w:lang w:val="en-US" w:eastAsia="zh-CN"/>
        </w:rPr>
        <w:t>雇员、法律顾问或财务顾问披露</w:t>
      </w:r>
      <w:r>
        <w:rPr>
          <w:rFonts w:hint="eastAsia" w:ascii="仿宋" w:hAnsi="仿宋" w:eastAsia="仿宋" w:cs="仿宋"/>
          <w:color w:val="auto"/>
          <w:sz w:val="24"/>
          <w:szCs w:val="24"/>
          <w:highlight w:val="none"/>
          <w:lang w:eastAsia="zh-CN"/>
        </w:rPr>
        <w:t>对</w:t>
      </w:r>
      <w:r>
        <w:rPr>
          <w:rFonts w:hint="eastAsia" w:ascii="仿宋" w:hAnsi="仿宋" w:eastAsia="仿宋" w:cs="仿宋"/>
          <w:color w:val="auto"/>
          <w:sz w:val="24"/>
          <w:szCs w:val="24"/>
          <w:highlight w:val="none"/>
          <w:lang w:val="en-US" w:eastAsia="zh-CN"/>
        </w:rPr>
        <w:t>方提供的保密资料，但同时须指示该等人员遵守本条规定的保密义务，该等人员违反本条保密义务视为</w:t>
      </w:r>
      <w:r>
        <w:rPr>
          <w:rFonts w:hint="eastAsia" w:ascii="仿宋" w:hAnsi="仿宋" w:eastAsia="仿宋" w:cs="仿宋"/>
          <w:color w:val="auto"/>
          <w:sz w:val="24"/>
          <w:szCs w:val="24"/>
          <w:highlight w:val="none"/>
          <w:lang w:eastAsia="zh-CN"/>
        </w:rPr>
        <w:t>该</w:t>
      </w:r>
      <w:r>
        <w:rPr>
          <w:rFonts w:hint="eastAsia" w:ascii="仿宋" w:hAnsi="仿宋" w:eastAsia="仿宋" w:cs="仿宋"/>
          <w:color w:val="auto"/>
          <w:sz w:val="24"/>
          <w:szCs w:val="24"/>
          <w:highlight w:val="none"/>
          <w:lang w:val="en-US" w:eastAsia="zh-CN"/>
        </w:rPr>
        <w:t>方违反本条保密义务。</w:t>
      </w:r>
      <w:r>
        <w:rPr>
          <w:rFonts w:hint="eastAsia" w:ascii="仿宋" w:hAnsi="仿宋" w:eastAsia="仿宋" w:cs="仿宋"/>
          <w:b w:val="0"/>
          <w:bCs w:val="0"/>
          <w:i w:val="0"/>
          <w:iCs w:val="0"/>
          <w:caps w:val="0"/>
          <w:color w:val="auto"/>
          <w:spacing w:val="0"/>
          <w:kern w:val="0"/>
          <w:sz w:val="24"/>
          <w:szCs w:val="24"/>
          <w:highlight w:val="none"/>
          <w:lang w:val="en-US" w:eastAsia="zh-CN" w:bidi="ar"/>
        </w:rPr>
        <w:br w:type="textWrapping"/>
      </w: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    4.保密期限为本合同签订之日起【  】年。</w:t>
      </w:r>
      <w:r>
        <w:rPr>
          <w:rFonts w:hint="eastAsia" w:ascii="仿宋" w:hAnsi="仿宋" w:eastAsia="仿宋" w:cs="仿宋"/>
          <w:b w:val="0"/>
          <w:bCs w:val="0"/>
          <w:i w:val="0"/>
          <w:iCs w:val="0"/>
          <w:caps w:val="0"/>
          <w:color w:val="auto"/>
          <w:spacing w:val="0"/>
          <w:kern w:val="0"/>
          <w:sz w:val="24"/>
          <w:szCs w:val="24"/>
          <w:highlight w:val="none"/>
          <w:lang w:val="en-US" w:eastAsia="zh-CN" w:bidi="ar"/>
        </w:rPr>
        <w:br w:type="textWrapping"/>
      </w: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    </w:t>
      </w:r>
      <w:r>
        <w:rPr>
          <w:rFonts w:hint="eastAsia" w:ascii="仿宋" w:hAnsi="仿宋" w:eastAsia="仿宋" w:cs="仿宋"/>
          <w:b/>
          <w:bCs/>
          <w:i w:val="0"/>
          <w:iCs w:val="0"/>
          <w:caps w:val="0"/>
          <w:color w:val="auto"/>
          <w:spacing w:val="0"/>
          <w:kern w:val="0"/>
          <w:sz w:val="24"/>
          <w:szCs w:val="24"/>
          <w:highlight w:val="none"/>
          <w:lang w:val="en-US" w:eastAsia="zh-CN" w:bidi="ar"/>
        </w:rPr>
        <w:t>十、违约责任</w:t>
      </w:r>
    </w:p>
    <w:p w14:paraId="51DA1BC6">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1.甲方无正当理由拒绝接受服务的，</w:t>
      </w:r>
      <w:r>
        <w:rPr>
          <w:rFonts w:hint="eastAsia" w:ascii="仿宋" w:hAnsi="仿宋" w:eastAsia="仿宋" w:cs="仿宋"/>
          <w:b w:val="0"/>
          <w:bCs w:val="0"/>
          <w:i w:val="0"/>
          <w:iCs w:val="0"/>
          <w:caps w:val="0"/>
          <w:color w:val="auto"/>
          <w:spacing w:val="0"/>
          <w:kern w:val="0"/>
          <w:sz w:val="24"/>
          <w:szCs w:val="24"/>
          <w:highlight w:val="none"/>
          <w:lang w:eastAsia="zh-CN" w:bidi="ar"/>
        </w:rPr>
        <w:t>乙方有权单方解除本合同并要求</w:t>
      </w:r>
      <w:r>
        <w:rPr>
          <w:rFonts w:hint="eastAsia" w:ascii="仿宋" w:hAnsi="仿宋" w:eastAsia="仿宋" w:cs="仿宋"/>
          <w:b w:val="0"/>
          <w:bCs w:val="0"/>
          <w:i w:val="0"/>
          <w:iCs w:val="0"/>
          <w:caps w:val="0"/>
          <w:color w:val="auto"/>
          <w:spacing w:val="0"/>
          <w:kern w:val="0"/>
          <w:sz w:val="24"/>
          <w:szCs w:val="24"/>
          <w:highlight w:val="none"/>
          <w:lang w:val="en-US" w:eastAsia="zh-CN" w:bidi="ar"/>
        </w:rPr>
        <w:t>甲方向乙方偿付合同款项</w:t>
      </w:r>
      <w:r>
        <w:rPr>
          <w:rFonts w:hint="eastAsia" w:ascii="仿宋" w:hAnsi="仿宋" w:eastAsia="仿宋" w:cs="仿宋"/>
          <w:b w:val="0"/>
          <w:bCs w:val="0"/>
          <w:i w:val="0"/>
          <w:iCs w:val="0"/>
          <w:caps w:val="0"/>
          <w:color w:val="auto"/>
          <w:spacing w:val="0"/>
          <w:kern w:val="0"/>
          <w:sz w:val="24"/>
          <w:szCs w:val="24"/>
          <w:highlight w:val="none"/>
          <w:lang w:eastAsia="zh-CN" w:bidi="ar"/>
        </w:rPr>
        <w:t>的5%</w:t>
      </w:r>
      <w:r>
        <w:rPr>
          <w:rFonts w:hint="eastAsia" w:ascii="仿宋" w:hAnsi="仿宋" w:eastAsia="仿宋" w:cs="仿宋"/>
          <w:b w:val="0"/>
          <w:bCs w:val="0"/>
          <w:i w:val="0"/>
          <w:iCs w:val="0"/>
          <w:caps w:val="0"/>
          <w:color w:val="auto"/>
          <w:spacing w:val="0"/>
          <w:kern w:val="0"/>
          <w:sz w:val="24"/>
          <w:szCs w:val="24"/>
          <w:highlight w:val="none"/>
          <w:lang w:val="en-US" w:eastAsia="zh-CN" w:bidi="ar"/>
        </w:rPr>
        <w:t>作为违约金。</w:t>
      </w:r>
    </w:p>
    <w:p w14:paraId="64A19F05">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2.甲方无故逾期验收和办理款项支付手续的，</w:t>
      </w:r>
      <w:r>
        <w:rPr>
          <w:rFonts w:hint="eastAsia" w:ascii="仿宋" w:hAnsi="仿宋" w:eastAsia="仿宋" w:cs="仿宋"/>
          <w:b w:val="0"/>
          <w:bCs w:val="0"/>
          <w:i w:val="0"/>
          <w:iCs w:val="0"/>
          <w:caps w:val="0"/>
          <w:color w:val="auto"/>
          <w:spacing w:val="0"/>
          <w:kern w:val="0"/>
          <w:sz w:val="24"/>
          <w:szCs w:val="24"/>
          <w:highlight w:val="none"/>
          <w:lang w:eastAsia="zh-CN" w:bidi="ar"/>
        </w:rPr>
        <w:t>每逾期一日，</w:t>
      </w:r>
      <w:r>
        <w:rPr>
          <w:rFonts w:hint="eastAsia" w:ascii="仿宋" w:hAnsi="仿宋" w:eastAsia="仿宋" w:cs="仿宋"/>
          <w:b w:val="0"/>
          <w:bCs w:val="0"/>
          <w:i w:val="0"/>
          <w:iCs w:val="0"/>
          <w:caps w:val="0"/>
          <w:color w:val="auto"/>
          <w:spacing w:val="0"/>
          <w:kern w:val="0"/>
          <w:sz w:val="24"/>
          <w:szCs w:val="24"/>
          <w:highlight w:val="none"/>
          <w:lang w:val="en-US" w:eastAsia="zh-CN" w:bidi="ar"/>
        </w:rPr>
        <w:t>甲方应按逾期付款总额</w:t>
      </w:r>
      <w:r>
        <w:rPr>
          <w:rFonts w:hint="eastAsia" w:ascii="仿宋" w:hAnsi="仿宋" w:eastAsia="仿宋" w:cs="仿宋"/>
          <w:b w:val="0"/>
          <w:bCs w:val="0"/>
          <w:i w:val="0"/>
          <w:iCs w:val="0"/>
          <w:caps w:val="0"/>
          <w:color w:val="auto"/>
          <w:spacing w:val="0"/>
          <w:kern w:val="0"/>
          <w:sz w:val="24"/>
          <w:szCs w:val="24"/>
          <w:highlight w:val="none"/>
          <w:lang w:eastAsia="zh-CN" w:bidi="ar"/>
        </w:rPr>
        <w:t>的</w:t>
      </w:r>
      <w:r>
        <w:rPr>
          <w:rFonts w:hint="eastAsia" w:ascii="仿宋" w:hAnsi="仿宋" w:eastAsia="仿宋" w:cs="仿宋"/>
          <w:b w:val="0"/>
          <w:bCs w:val="0"/>
          <w:i w:val="0"/>
          <w:iCs w:val="0"/>
          <w:caps w:val="0"/>
          <w:color w:val="auto"/>
          <w:spacing w:val="0"/>
          <w:kern w:val="0"/>
          <w:sz w:val="24"/>
          <w:szCs w:val="24"/>
          <w:highlight w:val="none"/>
          <w:lang w:val="en-US" w:eastAsia="zh-CN" w:bidi="ar"/>
        </w:rPr>
        <w:t>万分之五向乙方支付违约金</w:t>
      </w:r>
      <w:r>
        <w:rPr>
          <w:rFonts w:hint="eastAsia" w:ascii="仿宋" w:hAnsi="仿宋" w:eastAsia="仿宋" w:cs="仿宋"/>
          <w:b w:val="0"/>
          <w:bCs w:val="0"/>
          <w:i w:val="0"/>
          <w:iCs w:val="0"/>
          <w:caps w:val="0"/>
          <w:color w:val="auto"/>
          <w:spacing w:val="0"/>
          <w:kern w:val="0"/>
          <w:sz w:val="24"/>
          <w:szCs w:val="24"/>
          <w:highlight w:val="none"/>
          <w:lang w:eastAsia="zh-CN" w:bidi="ar"/>
        </w:rPr>
        <w:t>。因</w:t>
      </w:r>
      <w:r>
        <w:rPr>
          <w:rFonts w:hint="eastAsia" w:ascii="仿宋" w:hAnsi="仿宋" w:eastAsia="仿宋" w:cs="仿宋"/>
          <w:b w:val="0"/>
          <w:bCs w:val="0"/>
          <w:i w:val="0"/>
          <w:iCs w:val="0"/>
          <w:caps w:val="0"/>
          <w:color w:val="auto"/>
          <w:spacing w:val="0"/>
          <w:kern w:val="0"/>
          <w:sz w:val="24"/>
          <w:szCs w:val="24"/>
          <w:highlight w:val="none"/>
          <w:lang w:val="en-US" w:eastAsia="zh-CN" w:bidi="ar"/>
        </w:rPr>
        <w:t>财政审批原因造成</w:t>
      </w:r>
      <w:r>
        <w:rPr>
          <w:rFonts w:hint="eastAsia" w:ascii="仿宋" w:hAnsi="仿宋" w:eastAsia="仿宋" w:cs="仿宋"/>
          <w:b w:val="0"/>
          <w:bCs w:val="0"/>
          <w:i w:val="0"/>
          <w:iCs w:val="0"/>
          <w:caps w:val="0"/>
          <w:color w:val="auto"/>
          <w:spacing w:val="0"/>
          <w:kern w:val="0"/>
          <w:sz w:val="24"/>
          <w:szCs w:val="24"/>
          <w:highlight w:val="none"/>
          <w:u w:val="none"/>
          <w:lang w:val="en-US" w:eastAsia="zh-CN" w:bidi="ar"/>
        </w:rPr>
        <w:t>或有正当理由</w:t>
      </w:r>
      <w:r>
        <w:rPr>
          <w:rFonts w:hint="eastAsia" w:ascii="仿宋" w:hAnsi="仿宋" w:eastAsia="仿宋" w:cs="仿宋"/>
          <w:b w:val="0"/>
          <w:bCs w:val="0"/>
          <w:i w:val="0"/>
          <w:iCs w:val="0"/>
          <w:caps w:val="0"/>
          <w:color w:val="auto"/>
          <w:spacing w:val="0"/>
          <w:kern w:val="0"/>
          <w:sz w:val="24"/>
          <w:szCs w:val="24"/>
          <w:highlight w:val="none"/>
          <w:u w:val="none"/>
          <w:lang w:eastAsia="zh-CN" w:bidi="ar"/>
        </w:rPr>
        <w:t>导致逾期验收和办理款项支付手续的，无需承担违约责任，但甲方应及时告知乙方相关情况</w:t>
      </w:r>
      <w:r>
        <w:rPr>
          <w:rFonts w:hint="eastAsia" w:ascii="仿宋" w:hAnsi="仿宋" w:eastAsia="仿宋" w:cs="仿宋"/>
          <w:b w:val="0"/>
          <w:bCs w:val="0"/>
          <w:i w:val="0"/>
          <w:iCs w:val="0"/>
          <w:caps w:val="0"/>
          <w:color w:val="auto"/>
          <w:spacing w:val="0"/>
          <w:kern w:val="0"/>
          <w:sz w:val="24"/>
          <w:szCs w:val="24"/>
          <w:highlight w:val="none"/>
          <w:lang w:val="en-US" w:eastAsia="zh-CN" w:bidi="ar"/>
        </w:rPr>
        <w:t>。</w:t>
      </w:r>
    </w:p>
    <w:p w14:paraId="5A0CB048">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3.乙方未能如期提供服务的，每</w:t>
      </w:r>
      <w:r>
        <w:rPr>
          <w:rFonts w:hint="eastAsia" w:ascii="仿宋" w:hAnsi="仿宋" w:eastAsia="仿宋" w:cs="仿宋"/>
          <w:b w:val="0"/>
          <w:bCs w:val="0"/>
          <w:i w:val="0"/>
          <w:iCs w:val="0"/>
          <w:caps w:val="0"/>
          <w:color w:val="auto"/>
          <w:spacing w:val="0"/>
          <w:kern w:val="0"/>
          <w:sz w:val="24"/>
          <w:szCs w:val="24"/>
          <w:highlight w:val="none"/>
          <w:lang w:eastAsia="zh-CN" w:bidi="ar"/>
        </w:rPr>
        <w:t>逾期一日，</w:t>
      </w:r>
      <w:r>
        <w:rPr>
          <w:rFonts w:hint="eastAsia" w:ascii="仿宋" w:hAnsi="仿宋" w:eastAsia="仿宋" w:cs="仿宋"/>
          <w:b w:val="0"/>
          <w:bCs w:val="0"/>
          <w:i w:val="0"/>
          <w:iCs w:val="0"/>
          <w:caps w:val="0"/>
          <w:color w:val="auto"/>
          <w:spacing w:val="0"/>
          <w:kern w:val="0"/>
          <w:sz w:val="24"/>
          <w:szCs w:val="24"/>
          <w:highlight w:val="none"/>
          <w:lang w:val="en-US" w:eastAsia="zh-CN" w:bidi="ar"/>
        </w:rPr>
        <w:t>向甲方支付</w:t>
      </w:r>
      <w:r>
        <w:rPr>
          <w:rFonts w:hint="eastAsia" w:ascii="仿宋" w:hAnsi="仿宋" w:eastAsia="仿宋" w:cs="仿宋"/>
          <w:b w:val="0"/>
          <w:bCs w:val="0"/>
          <w:i w:val="0"/>
          <w:iCs w:val="0"/>
          <w:caps w:val="0"/>
          <w:color w:val="auto"/>
          <w:spacing w:val="0"/>
          <w:kern w:val="0"/>
          <w:sz w:val="24"/>
          <w:szCs w:val="24"/>
          <w:highlight w:val="none"/>
          <w:lang w:eastAsia="zh-CN" w:bidi="ar"/>
        </w:rPr>
        <w:t>未如期提供的服务对应</w:t>
      </w:r>
      <w:r>
        <w:rPr>
          <w:rFonts w:hint="eastAsia" w:ascii="仿宋" w:hAnsi="仿宋" w:eastAsia="仿宋" w:cs="仿宋"/>
          <w:b w:val="0"/>
          <w:bCs w:val="0"/>
          <w:i w:val="0"/>
          <w:iCs w:val="0"/>
          <w:caps w:val="0"/>
          <w:color w:val="auto"/>
          <w:spacing w:val="0"/>
          <w:kern w:val="0"/>
          <w:sz w:val="24"/>
          <w:szCs w:val="24"/>
          <w:highlight w:val="none"/>
          <w:lang w:val="en-US" w:eastAsia="zh-CN" w:bidi="ar"/>
        </w:rPr>
        <w:t>款项的</w:t>
      </w:r>
      <w:r>
        <w:rPr>
          <w:rFonts w:hint="eastAsia" w:ascii="仿宋" w:hAnsi="仿宋" w:eastAsia="仿宋" w:cs="仿宋"/>
          <w:b w:val="0"/>
          <w:bCs w:val="0"/>
          <w:i w:val="0"/>
          <w:iCs w:val="0"/>
          <w:caps w:val="0"/>
          <w:color w:val="auto"/>
          <w:spacing w:val="0"/>
          <w:kern w:val="0"/>
          <w:sz w:val="24"/>
          <w:szCs w:val="24"/>
          <w:highlight w:val="none"/>
          <w:lang w:eastAsia="zh-CN" w:bidi="ar"/>
        </w:rPr>
        <w:t>万</w:t>
      </w:r>
      <w:r>
        <w:rPr>
          <w:rFonts w:hint="eastAsia" w:ascii="仿宋" w:hAnsi="仿宋" w:eastAsia="仿宋" w:cs="仿宋"/>
          <w:b w:val="0"/>
          <w:bCs w:val="0"/>
          <w:i w:val="0"/>
          <w:iCs w:val="0"/>
          <w:caps w:val="0"/>
          <w:color w:val="auto"/>
          <w:spacing w:val="0"/>
          <w:kern w:val="0"/>
          <w:sz w:val="24"/>
          <w:szCs w:val="24"/>
          <w:highlight w:val="none"/>
          <w:lang w:val="en-US" w:eastAsia="zh-CN" w:bidi="ar"/>
        </w:rPr>
        <w:t>分之</w:t>
      </w:r>
      <w:r>
        <w:rPr>
          <w:rFonts w:hint="eastAsia" w:ascii="仿宋" w:hAnsi="仿宋" w:eastAsia="仿宋" w:cs="仿宋"/>
          <w:b w:val="0"/>
          <w:bCs w:val="0"/>
          <w:i w:val="0"/>
          <w:iCs w:val="0"/>
          <w:caps w:val="0"/>
          <w:color w:val="auto"/>
          <w:spacing w:val="0"/>
          <w:kern w:val="0"/>
          <w:sz w:val="24"/>
          <w:szCs w:val="24"/>
          <w:highlight w:val="none"/>
          <w:lang w:eastAsia="zh-CN" w:bidi="ar"/>
        </w:rPr>
        <w:t>五</w:t>
      </w:r>
      <w:r>
        <w:rPr>
          <w:rFonts w:hint="eastAsia" w:ascii="仿宋" w:hAnsi="仿宋" w:eastAsia="仿宋" w:cs="仿宋"/>
          <w:b w:val="0"/>
          <w:bCs w:val="0"/>
          <w:i w:val="0"/>
          <w:iCs w:val="0"/>
          <w:caps w:val="0"/>
          <w:color w:val="auto"/>
          <w:spacing w:val="0"/>
          <w:kern w:val="0"/>
          <w:sz w:val="24"/>
          <w:szCs w:val="24"/>
          <w:highlight w:val="none"/>
          <w:lang w:val="en-US" w:eastAsia="zh-CN" w:bidi="ar"/>
        </w:rPr>
        <w:t>作为违约金。乙方超过约定日期</w:t>
      </w:r>
      <w:r>
        <w:rPr>
          <w:rFonts w:hint="eastAsia" w:ascii="仿宋" w:hAnsi="仿宋" w:eastAsia="仿宋" w:cs="仿宋"/>
          <w:b w:val="0"/>
          <w:bCs w:val="0"/>
          <w:i w:val="0"/>
          <w:iCs w:val="0"/>
          <w:caps w:val="0"/>
          <w:color w:val="auto"/>
          <w:spacing w:val="0"/>
          <w:kern w:val="0"/>
          <w:sz w:val="24"/>
          <w:szCs w:val="24"/>
          <w:highlight w:val="none"/>
          <w:lang w:eastAsia="zh-CN" w:bidi="ar"/>
        </w:rPr>
        <w:t>7</w:t>
      </w:r>
      <w:r>
        <w:rPr>
          <w:rFonts w:hint="eastAsia" w:ascii="仿宋" w:hAnsi="仿宋" w:eastAsia="仿宋" w:cs="仿宋"/>
          <w:b w:val="0"/>
          <w:bCs w:val="0"/>
          <w:i w:val="0"/>
          <w:iCs w:val="0"/>
          <w:caps w:val="0"/>
          <w:color w:val="auto"/>
          <w:spacing w:val="0"/>
          <w:kern w:val="0"/>
          <w:sz w:val="24"/>
          <w:szCs w:val="24"/>
          <w:highlight w:val="none"/>
          <w:lang w:val="en-US" w:eastAsia="zh-CN" w:bidi="ar"/>
        </w:rPr>
        <w:t>日仍不能提供服务的，甲方可解除本合同。乙方因未能如期提供服务或因其他违约行为导致甲方解除合同的，乙方应另行向甲方支付合同总值5%的违约金，如造成甲方损失超过违约金的，超出部分由乙方继续承担赔偿责任。</w:t>
      </w:r>
    </w:p>
    <w:p w14:paraId="54BF847D">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4.</w:t>
      </w:r>
      <w:r>
        <w:rPr>
          <w:rFonts w:hint="eastAsia" w:ascii="仿宋" w:hAnsi="仿宋" w:eastAsia="仿宋" w:cs="仿宋"/>
          <w:b w:val="0"/>
          <w:bCs w:val="0"/>
          <w:i w:val="0"/>
          <w:iCs w:val="0"/>
          <w:caps w:val="0"/>
          <w:color w:val="auto"/>
          <w:spacing w:val="0"/>
          <w:kern w:val="0"/>
          <w:sz w:val="24"/>
          <w:szCs w:val="24"/>
          <w:highlight w:val="none"/>
          <w:lang w:eastAsia="zh-CN" w:bidi="ar"/>
        </w:rPr>
        <w:t>任一</w:t>
      </w:r>
      <w:r>
        <w:rPr>
          <w:rFonts w:hint="eastAsia" w:ascii="仿宋" w:hAnsi="仿宋" w:eastAsia="仿宋" w:cs="仿宋"/>
          <w:b w:val="0"/>
          <w:bCs w:val="0"/>
          <w:i w:val="0"/>
          <w:iCs w:val="0"/>
          <w:caps w:val="0"/>
          <w:color w:val="auto"/>
          <w:spacing w:val="0"/>
          <w:kern w:val="0"/>
          <w:sz w:val="24"/>
          <w:szCs w:val="24"/>
          <w:highlight w:val="none"/>
          <w:lang w:val="en-US" w:eastAsia="zh-CN" w:bidi="ar"/>
        </w:rPr>
        <w:t>方违反保密义务的相关约定，</w:t>
      </w:r>
      <w:r>
        <w:rPr>
          <w:rFonts w:hint="eastAsia" w:ascii="仿宋" w:hAnsi="仿宋" w:eastAsia="仿宋" w:cs="仿宋"/>
          <w:b w:val="0"/>
          <w:bCs w:val="0"/>
          <w:i w:val="0"/>
          <w:iCs w:val="0"/>
          <w:caps w:val="0"/>
          <w:color w:val="auto"/>
          <w:spacing w:val="0"/>
          <w:kern w:val="0"/>
          <w:sz w:val="24"/>
          <w:szCs w:val="24"/>
          <w:highlight w:val="none"/>
          <w:lang w:eastAsia="zh-CN" w:bidi="ar"/>
        </w:rPr>
        <w:t>对</w:t>
      </w:r>
      <w:r>
        <w:rPr>
          <w:rFonts w:hint="eastAsia" w:ascii="仿宋" w:hAnsi="仿宋" w:eastAsia="仿宋" w:cs="仿宋"/>
          <w:b w:val="0"/>
          <w:bCs w:val="0"/>
          <w:i w:val="0"/>
          <w:iCs w:val="0"/>
          <w:caps w:val="0"/>
          <w:color w:val="auto"/>
          <w:spacing w:val="0"/>
          <w:kern w:val="0"/>
          <w:sz w:val="24"/>
          <w:szCs w:val="24"/>
          <w:highlight w:val="none"/>
          <w:lang w:val="en-US" w:eastAsia="zh-CN" w:bidi="ar"/>
        </w:rPr>
        <w:t>方有权单方解除合同，</w:t>
      </w:r>
      <w:r>
        <w:rPr>
          <w:rFonts w:hint="eastAsia" w:ascii="仿宋" w:hAnsi="仿宋" w:eastAsia="仿宋" w:cs="仿宋"/>
          <w:b w:val="0"/>
          <w:bCs w:val="0"/>
          <w:i w:val="0"/>
          <w:iCs w:val="0"/>
          <w:caps w:val="0"/>
          <w:color w:val="auto"/>
          <w:spacing w:val="0"/>
          <w:kern w:val="0"/>
          <w:sz w:val="24"/>
          <w:szCs w:val="24"/>
          <w:highlight w:val="none"/>
          <w:lang w:eastAsia="zh-CN" w:bidi="ar"/>
        </w:rPr>
        <w:t>违约</w:t>
      </w:r>
      <w:r>
        <w:rPr>
          <w:rFonts w:hint="eastAsia" w:ascii="仿宋" w:hAnsi="仿宋" w:eastAsia="仿宋" w:cs="仿宋"/>
          <w:b w:val="0"/>
          <w:bCs w:val="0"/>
          <w:i w:val="0"/>
          <w:iCs w:val="0"/>
          <w:caps w:val="0"/>
          <w:color w:val="auto"/>
          <w:spacing w:val="0"/>
          <w:kern w:val="0"/>
          <w:sz w:val="24"/>
          <w:szCs w:val="24"/>
          <w:highlight w:val="none"/>
          <w:lang w:val="en-US" w:eastAsia="zh-CN" w:bidi="ar"/>
        </w:rPr>
        <w:t>方应向</w:t>
      </w:r>
      <w:r>
        <w:rPr>
          <w:rFonts w:hint="eastAsia" w:ascii="仿宋" w:hAnsi="仿宋" w:eastAsia="仿宋" w:cs="仿宋"/>
          <w:b w:val="0"/>
          <w:bCs w:val="0"/>
          <w:i w:val="0"/>
          <w:iCs w:val="0"/>
          <w:caps w:val="0"/>
          <w:color w:val="auto"/>
          <w:spacing w:val="0"/>
          <w:kern w:val="0"/>
          <w:sz w:val="24"/>
          <w:szCs w:val="24"/>
          <w:highlight w:val="none"/>
          <w:lang w:eastAsia="zh-CN" w:bidi="ar"/>
        </w:rPr>
        <w:t>对</w:t>
      </w:r>
      <w:r>
        <w:rPr>
          <w:rFonts w:hint="eastAsia" w:ascii="仿宋" w:hAnsi="仿宋" w:eastAsia="仿宋" w:cs="仿宋"/>
          <w:b w:val="0"/>
          <w:bCs w:val="0"/>
          <w:i w:val="0"/>
          <w:iCs w:val="0"/>
          <w:caps w:val="0"/>
          <w:color w:val="auto"/>
          <w:spacing w:val="0"/>
          <w:kern w:val="0"/>
          <w:sz w:val="24"/>
          <w:szCs w:val="24"/>
          <w:highlight w:val="none"/>
          <w:lang w:val="en-US" w:eastAsia="zh-CN" w:bidi="ar"/>
        </w:rPr>
        <w:t>方支付合同总金额的【</w:t>
      </w:r>
      <w:r>
        <w:rPr>
          <w:rFonts w:hint="eastAsia" w:ascii="仿宋" w:hAnsi="仿宋" w:eastAsia="仿宋" w:cs="仿宋"/>
          <w:b w:val="0"/>
          <w:bCs w:val="0"/>
          <w:i w:val="0"/>
          <w:iCs w:val="0"/>
          <w:caps w:val="0"/>
          <w:color w:val="auto"/>
          <w:spacing w:val="0"/>
          <w:kern w:val="0"/>
          <w:sz w:val="24"/>
          <w:szCs w:val="24"/>
          <w:highlight w:val="none"/>
          <w:lang w:eastAsia="zh-CN" w:bidi="ar"/>
        </w:rPr>
        <w:t>5</w:t>
      </w:r>
      <w:r>
        <w:rPr>
          <w:rFonts w:hint="eastAsia" w:ascii="仿宋" w:hAnsi="仿宋" w:eastAsia="仿宋" w:cs="仿宋"/>
          <w:b w:val="0"/>
          <w:bCs w:val="0"/>
          <w:i w:val="0"/>
          <w:iCs w:val="0"/>
          <w:caps w:val="0"/>
          <w:color w:val="auto"/>
          <w:spacing w:val="0"/>
          <w:kern w:val="0"/>
          <w:sz w:val="24"/>
          <w:szCs w:val="24"/>
          <w:highlight w:val="none"/>
          <w:lang w:val="en-US" w:eastAsia="zh-CN" w:bidi="ar"/>
        </w:rPr>
        <w:t>%】作为违约金，该违约金不足以弥补</w:t>
      </w:r>
      <w:r>
        <w:rPr>
          <w:rFonts w:hint="eastAsia" w:ascii="仿宋" w:hAnsi="仿宋" w:eastAsia="仿宋" w:cs="仿宋"/>
          <w:b w:val="0"/>
          <w:bCs w:val="0"/>
          <w:i w:val="0"/>
          <w:iCs w:val="0"/>
          <w:caps w:val="0"/>
          <w:color w:val="auto"/>
          <w:spacing w:val="0"/>
          <w:kern w:val="0"/>
          <w:sz w:val="24"/>
          <w:szCs w:val="24"/>
          <w:highlight w:val="none"/>
          <w:lang w:eastAsia="zh-CN" w:bidi="ar"/>
        </w:rPr>
        <w:t>对方</w:t>
      </w:r>
      <w:r>
        <w:rPr>
          <w:rFonts w:hint="eastAsia" w:ascii="仿宋" w:hAnsi="仿宋" w:eastAsia="仿宋" w:cs="仿宋"/>
          <w:b w:val="0"/>
          <w:bCs w:val="0"/>
          <w:i w:val="0"/>
          <w:iCs w:val="0"/>
          <w:caps w:val="0"/>
          <w:color w:val="auto"/>
          <w:spacing w:val="0"/>
          <w:kern w:val="0"/>
          <w:sz w:val="24"/>
          <w:szCs w:val="24"/>
          <w:highlight w:val="none"/>
          <w:lang w:val="en-US" w:eastAsia="zh-CN" w:bidi="ar"/>
        </w:rPr>
        <w:t>损失的，</w:t>
      </w:r>
      <w:r>
        <w:rPr>
          <w:rFonts w:hint="eastAsia" w:ascii="仿宋" w:hAnsi="仿宋" w:eastAsia="仿宋" w:cs="仿宋"/>
          <w:b w:val="0"/>
          <w:bCs w:val="0"/>
          <w:i w:val="0"/>
          <w:iCs w:val="0"/>
          <w:caps w:val="0"/>
          <w:color w:val="auto"/>
          <w:spacing w:val="0"/>
          <w:kern w:val="0"/>
          <w:sz w:val="24"/>
          <w:szCs w:val="24"/>
          <w:highlight w:val="none"/>
          <w:lang w:eastAsia="zh-CN" w:bidi="ar"/>
        </w:rPr>
        <w:t>违约</w:t>
      </w:r>
      <w:r>
        <w:rPr>
          <w:rFonts w:hint="eastAsia" w:ascii="仿宋" w:hAnsi="仿宋" w:eastAsia="仿宋" w:cs="仿宋"/>
          <w:b w:val="0"/>
          <w:bCs w:val="0"/>
          <w:i w:val="0"/>
          <w:iCs w:val="0"/>
          <w:caps w:val="0"/>
          <w:color w:val="auto"/>
          <w:spacing w:val="0"/>
          <w:kern w:val="0"/>
          <w:sz w:val="24"/>
          <w:szCs w:val="24"/>
          <w:highlight w:val="none"/>
          <w:lang w:val="en-US" w:eastAsia="zh-CN" w:bidi="ar"/>
        </w:rPr>
        <w:t>方应当继续赔偿。</w:t>
      </w:r>
    </w:p>
    <w:p w14:paraId="73ABE478">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5.乙方提供的服务达不到约定的标准的，</w:t>
      </w:r>
      <w:r>
        <w:rPr>
          <w:rFonts w:hint="eastAsia" w:ascii="仿宋" w:hAnsi="仿宋" w:eastAsia="仿宋" w:cs="仿宋"/>
          <w:color w:val="auto"/>
          <w:sz w:val="24"/>
          <w:szCs w:val="24"/>
          <w:highlight w:val="none"/>
          <w:lang w:eastAsia="zh-CN"/>
        </w:rPr>
        <w:t>甲方可要求乙方重做，重做的费用由乙方承担。重做后仍达不到约定标准的，</w:t>
      </w:r>
      <w:r>
        <w:rPr>
          <w:rFonts w:hint="eastAsia" w:ascii="仿宋" w:hAnsi="仿宋" w:eastAsia="仿宋" w:cs="仿宋"/>
          <w:color w:val="auto"/>
          <w:sz w:val="24"/>
          <w:szCs w:val="24"/>
          <w:highlight w:val="none"/>
          <w:lang w:val="en-US" w:eastAsia="zh-CN"/>
        </w:rPr>
        <w:t>甲方有权追究乙方</w:t>
      </w:r>
      <w:r>
        <w:rPr>
          <w:rFonts w:hint="eastAsia" w:ascii="仿宋" w:hAnsi="仿宋" w:eastAsia="仿宋" w:cs="仿宋"/>
          <w:color w:val="auto"/>
          <w:sz w:val="24"/>
          <w:szCs w:val="24"/>
          <w:highlight w:val="none"/>
          <w:lang w:eastAsia="zh-CN"/>
        </w:rPr>
        <w:t>服务达不到标准部分款项10%的</w:t>
      </w:r>
      <w:r>
        <w:rPr>
          <w:rFonts w:hint="eastAsia" w:ascii="仿宋" w:hAnsi="仿宋" w:eastAsia="仿宋" w:cs="仿宋"/>
          <w:color w:val="auto"/>
          <w:sz w:val="24"/>
          <w:szCs w:val="24"/>
          <w:highlight w:val="none"/>
          <w:lang w:val="en-US" w:eastAsia="zh-CN"/>
        </w:rPr>
        <w:t>违约</w:t>
      </w:r>
      <w:r>
        <w:rPr>
          <w:rFonts w:hint="eastAsia" w:ascii="仿宋" w:hAnsi="仿宋" w:eastAsia="仿宋" w:cs="仿宋"/>
          <w:color w:val="auto"/>
          <w:sz w:val="24"/>
          <w:szCs w:val="24"/>
          <w:highlight w:val="none"/>
          <w:lang w:eastAsia="zh-CN"/>
        </w:rPr>
        <w:t>金。</w:t>
      </w:r>
      <w:r>
        <w:rPr>
          <w:rFonts w:hint="eastAsia" w:ascii="仿宋" w:hAnsi="仿宋" w:eastAsia="仿宋" w:cs="仿宋"/>
          <w:color w:val="auto"/>
          <w:sz w:val="24"/>
          <w:szCs w:val="24"/>
          <w:highlight w:val="none"/>
          <w:lang w:val="en-US" w:eastAsia="zh-CN"/>
        </w:rPr>
        <w:t>因乙方在提供服务期间导致甲方或者第三人受到损害的，由乙方承担赔偿责任，甲方因此遭受第三方索赔的，有权向乙方追偿。</w:t>
      </w:r>
    </w:p>
    <w:p w14:paraId="05750E83">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val="0"/>
          <w:bCs w:val="0"/>
          <w:i w:val="0"/>
          <w:iCs w:val="0"/>
          <w:caps w:val="0"/>
          <w:color w:val="auto"/>
          <w:spacing w:val="0"/>
          <w:kern w:val="0"/>
          <w:sz w:val="24"/>
          <w:szCs w:val="24"/>
          <w:highlight w:val="none"/>
          <w:lang w:val="en-US" w:eastAsia="zh-CN" w:bidi="ar"/>
        </w:rPr>
      </w:pPr>
      <w:r>
        <w:rPr>
          <w:rFonts w:hint="eastAsia" w:ascii="仿宋" w:hAnsi="仿宋" w:eastAsia="仿宋" w:cs="仿宋"/>
          <w:b w:val="0"/>
          <w:bCs w:val="0"/>
          <w:i w:val="0"/>
          <w:iCs w:val="0"/>
          <w:caps w:val="0"/>
          <w:color w:val="auto"/>
          <w:spacing w:val="0"/>
          <w:kern w:val="0"/>
          <w:sz w:val="24"/>
          <w:szCs w:val="24"/>
          <w:highlight w:val="none"/>
          <w:lang w:val="en-US" w:eastAsia="zh-CN" w:bidi="ar"/>
        </w:rPr>
        <w:t>6.在乙方提供服务期间出现问题的，乙方应当在接到甲方通知后24小时内及时赶到现场进行处理，若乙方拒绝或怠于履行该义务的，甲方有权自行委托他人处理，所有费用由乙方承担，并加收发生费用的</w:t>
      </w:r>
      <w:r>
        <w:rPr>
          <w:rFonts w:hint="eastAsia" w:ascii="仿宋" w:hAnsi="仿宋" w:eastAsia="仿宋" w:cs="仿宋"/>
          <w:b w:val="0"/>
          <w:bCs w:val="0"/>
          <w:i w:val="0"/>
          <w:iCs w:val="0"/>
          <w:caps w:val="0"/>
          <w:color w:val="auto"/>
          <w:spacing w:val="0"/>
          <w:kern w:val="0"/>
          <w:sz w:val="24"/>
          <w:szCs w:val="24"/>
          <w:highlight w:val="none"/>
          <w:lang w:eastAsia="zh-CN" w:bidi="ar"/>
        </w:rPr>
        <w:t>1</w:t>
      </w:r>
      <w:r>
        <w:rPr>
          <w:rFonts w:hint="eastAsia" w:ascii="仿宋" w:hAnsi="仿宋" w:eastAsia="仿宋" w:cs="仿宋"/>
          <w:b w:val="0"/>
          <w:bCs w:val="0"/>
          <w:i w:val="0"/>
          <w:iCs w:val="0"/>
          <w:caps w:val="0"/>
          <w:color w:val="auto"/>
          <w:spacing w:val="0"/>
          <w:kern w:val="0"/>
          <w:sz w:val="24"/>
          <w:szCs w:val="24"/>
          <w:highlight w:val="none"/>
          <w:lang w:val="en-US" w:eastAsia="zh-CN" w:bidi="ar"/>
        </w:rPr>
        <w:t>0%作为违约金。</w:t>
      </w:r>
    </w:p>
    <w:p w14:paraId="0AB21143">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val="0"/>
          <w:bCs w:val="0"/>
          <w:i w:val="0"/>
          <w:iCs w:val="0"/>
          <w:caps w:val="0"/>
          <w:color w:val="auto"/>
          <w:spacing w:val="0"/>
          <w:kern w:val="0"/>
          <w:sz w:val="24"/>
          <w:szCs w:val="24"/>
          <w:highlight w:val="none"/>
          <w:lang w:val="it-IT" w:eastAsia="zh-CN" w:bidi="ar"/>
        </w:rPr>
      </w:pPr>
      <w:r>
        <w:rPr>
          <w:rFonts w:hint="eastAsia" w:ascii="仿宋" w:hAnsi="仿宋" w:eastAsia="仿宋" w:cs="仿宋"/>
          <w:b w:val="0"/>
          <w:bCs w:val="0"/>
          <w:i w:val="0"/>
          <w:iCs w:val="0"/>
          <w:caps w:val="0"/>
          <w:color w:val="auto"/>
          <w:spacing w:val="0"/>
          <w:kern w:val="0"/>
          <w:sz w:val="24"/>
          <w:szCs w:val="24"/>
          <w:highlight w:val="none"/>
          <w:lang w:val="en-US" w:eastAsia="zh-CN" w:bidi="ar"/>
        </w:rPr>
        <w:t>7.</w:t>
      </w:r>
      <w:r>
        <w:rPr>
          <w:rFonts w:hint="eastAsia" w:ascii="仿宋" w:hAnsi="仿宋" w:eastAsia="仿宋" w:cs="仿宋"/>
          <w:b w:val="0"/>
          <w:bCs w:val="0"/>
          <w:i w:val="0"/>
          <w:iCs w:val="0"/>
          <w:caps w:val="0"/>
          <w:color w:val="auto"/>
          <w:spacing w:val="0"/>
          <w:kern w:val="0"/>
          <w:sz w:val="24"/>
          <w:szCs w:val="24"/>
          <w:highlight w:val="none"/>
          <w:lang w:val="it-IT" w:eastAsia="zh-CN" w:bidi="ar"/>
        </w:rPr>
        <w:t>因乙方违约解除合同：除法律明确规定外，出现乙方违反合同约定的违约情况时，甲方发出整改通知后，乙方在指定的合理期限内仍不纠正违约行为的，或者乙方因未能如期提供货物或服务的，或乙方因其他违约行为导致甲方解除合同的，本合同自甲方解除通知书到达后解除合同。合同解除后，甲方不免除或减轻乙方应承担的违约责任。且因乙方违约导致合同解除后，乙方应当承担的责任：</w:t>
      </w:r>
    </w:p>
    <w:p w14:paraId="3AE2D01B">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val="0"/>
          <w:bCs w:val="0"/>
          <w:i w:val="0"/>
          <w:iCs w:val="0"/>
          <w:caps w:val="0"/>
          <w:color w:val="auto"/>
          <w:spacing w:val="0"/>
          <w:kern w:val="0"/>
          <w:sz w:val="24"/>
          <w:szCs w:val="24"/>
          <w:highlight w:val="none"/>
          <w:lang w:val="it-IT" w:eastAsia="zh-CN" w:bidi="ar"/>
        </w:rPr>
      </w:pP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begin"/>
      </w:r>
      <w:r>
        <w:rPr>
          <w:rFonts w:hint="eastAsia" w:ascii="仿宋" w:hAnsi="仿宋" w:eastAsia="仿宋" w:cs="仿宋"/>
          <w:b w:val="0"/>
          <w:bCs w:val="0"/>
          <w:i w:val="0"/>
          <w:iCs w:val="0"/>
          <w:caps w:val="0"/>
          <w:color w:val="auto"/>
          <w:spacing w:val="0"/>
          <w:kern w:val="0"/>
          <w:sz w:val="24"/>
          <w:szCs w:val="24"/>
          <w:highlight w:val="none"/>
          <w:lang w:val="it-IT" w:eastAsia="zh-CN" w:bidi="ar"/>
        </w:rPr>
        <w:instrText xml:space="preserve"> = 1 \* GB2 \* MERGEFORMAT </w:instrText>
      </w: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separate"/>
      </w:r>
      <w:r>
        <w:rPr>
          <w:rFonts w:hint="eastAsia" w:ascii="仿宋" w:hAnsi="仿宋" w:eastAsia="仿宋" w:cs="仿宋"/>
          <w:b w:val="0"/>
          <w:bCs w:val="0"/>
          <w:i w:val="0"/>
          <w:iCs w:val="0"/>
          <w:caps w:val="0"/>
          <w:color w:val="auto"/>
          <w:spacing w:val="0"/>
          <w:kern w:val="0"/>
          <w:sz w:val="24"/>
          <w:szCs w:val="24"/>
          <w:highlight w:val="none"/>
          <w:lang w:val="it-IT" w:eastAsia="zh-CN" w:bidi="ar"/>
        </w:rPr>
        <w:t>⑴</w:t>
      </w: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end"/>
      </w:r>
      <w:r>
        <w:rPr>
          <w:rFonts w:hint="eastAsia" w:ascii="仿宋" w:hAnsi="仿宋" w:eastAsia="仿宋" w:cs="仿宋"/>
          <w:b w:val="0"/>
          <w:bCs w:val="0"/>
          <w:i w:val="0"/>
          <w:iCs w:val="0"/>
          <w:caps w:val="0"/>
          <w:color w:val="auto"/>
          <w:spacing w:val="0"/>
          <w:kern w:val="0"/>
          <w:sz w:val="24"/>
          <w:szCs w:val="24"/>
          <w:highlight w:val="none"/>
          <w:lang w:val="it-IT" w:eastAsia="zh-CN" w:bidi="ar"/>
        </w:rPr>
        <w:t>合同解除后，乙方应支付甲方违约金；</w:t>
      </w:r>
    </w:p>
    <w:p w14:paraId="5A423F3E">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val="0"/>
          <w:bCs w:val="0"/>
          <w:i w:val="0"/>
          <w:iCs w:val="0"/>
          <w:caps w:val="0"/>
          <w:color w:val="auto"/>
          <w:spacing w:val="0"/>
          <w:kern w:val="0"/>
          <w:sz w:val="24"/>
          <w:szCs w:val="24"/>
          <w:highlight w:val="none"/>
          <w:lang w:val="it-IT" w:eastAsia="zh-CN" w:bidi="ar"/>
        </w:rPr>
      </w:pP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begin"/>
      </w:r>
      <w:r>
        <w:rPr>
          <w:rFonts w:hint="eastAsia" w:ascii="仿宋" w:hAnsi="仿宋" w:eastAsia="仿宋" w:cs="仿宋"/>
          <w:b w:val="0"/>
          <w:bCs w:val="0"/>
          <w:i w:val="0"/>
          <w:iCs w:val="0"/>
          <w:caps w:val="0"/>
          <w:color w:val="auto"/>
          <w:spacing w:val="0"/>
          <w:kern w:val="0"/>
          <w:sz w:val="24"/>
          <w:szCs w:val="24"/>
          <w:highlight w:val="none"/>
          <w:lang w:val="it-IT" w:eastAsia="zh-CN" w:bidi="ar"/>
        </w:rPr>
        <w:instrText xml:space="preserve"> = 2 \* GB2 \* MERGEFORMAT </w:instrText>
      </w: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separate"/>
      </w:r>
      <w:r>
        <w:rPr>
          <w:rFonts w:hint="eastAsia" w:ascii="仿宋" w:hAnsi="仿宋" w:eastAsia="仿宋" w:cs="仿宋"/>
          <w:b w:val="0"/>
          <w:bCs w:val="0"/>
          <w:i w:val="0"/>
          <w:iCs w:val="0"/>
          <w:caps w:val="0"/>
          <w:color w:val="auto"/>
          <w:spacing w:val="0"/>
          <w:kern w:val="0"/>
          <w:sz w:val="24"/>
          <w:szCs w:val="24"/>
          <w:highlight w:val="none"/>
          <w:lang w:val="it-IT" w:eastAsia="zh-CN" w:bidi="ar"/>
        </w:rPr>
        <w:t>⑵</w:t>
      </w: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end"/>
      </w:r>
      <w:r>
        <w:rPr>
          <w:rFonts w:hint="eastAsia" w:ascii="仿宋" w:hAnsi="仿宋" w:eastAsia="仿宋" w:cs="仿宋"/>
          <w:b w:val="0"/>
          <w:bCs w:val="0"/>
          <w:i w:val="0"/>
          <w:iCs w:val="0"/>
          <w:caps w:val="0"/>
          <w:color w:val="auto"/>
          <w:spacing w:val="0"/>
          <w:kern w:val="0"/>
          <w:sz w:val="24"/>
          <w:szCs w:val="24"/>
          <w:highlight w:val="none"/>
          <w:lang w:val="it-IT" w:eastAsia="zh-CN" w:bidi="ar"/>
        </w:rPr>
        <w:t>合同解除后，因解除合同给甲方造成的损失；</w:t>
      </w:r>
    </w:p>
    <w:p w14:paraId="69FD1ECC">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val="0"/>
          <w:bCs w:val="0"/>
          <w:i w:val="0"/>
          <w:iCs w:val="0"/>
          <w:caps w:val="0"/>
          <w:color w:val="auto"/>
          <w:spacing w:val="0"/>
          <w:kern w:val="0"/>
          <w:sz w:val="24"/>
          <w:szCs w:val="24"/>
          <w:highlight w:val="none"/>
          <w:lang w:val="it-IT" w:eastAsia="zh-CN" w:bidi="ar"/>
        </w:rPr>
      </w:pP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begin"/>
      </w:r>
      <w:r>
        <w:rPr>
          <w:rFonts w:hint="eastAsia" w:ascii="仿宋" w:hAnsi="仿宋" w:eastAsia="仿宋" w:cs="仿宋"/>
          <w:b w:val="0"/>
          <w:bCs w:val="0"/>
          <w:i w:val="0"/>
          <w:iCs w:val="0"/>
          <w:caps w:val="0"/>
          <w:color w:val="auto"/>
          <w:spacing w:val="0"/>
          <w:kern w:val="0"/>
          <w:sz w:val="24"/>
          <w:szCs w:val="24"/>
          <w:highlight w:val="none"/>
          <w:lang w:val="it-IT" w:eastAsia="zh-CN" w:bidi="ar"/>
        </w:rPr>
        <w:instrText xml:space="preserve"> = 3 \* GB2 \* MERGEFORMAT </w:instrText>
      </w: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separate"/>
      </w:r>
      <w:r>
        <w:rPr>
          <w:rFonts w:hint="eastAsia" w:ascii="仿宋" w:hAnsi="仿宋" w:eastAsia="仿宋" w:cs="仿宋"/>
          <w:b w:val="0"/>
          <w:bCs w:val="0"/>
          <w:i w:val="0"/>
          <w:iCs w:val="0"/>
          <w:caps w:val="0"/>
          <w:color w:val="auto"/>
          <w:spacing w:val="0"/>
          <w:kern w:val="0"/>
          <w:sz w:val="24"/>
          <w:szCs w:val="24"/>
          <w:highlight w:val="none"/>
          <w:lang w:val="it-IT" w:eastAsia="zh-CN" w:bidi="ar"/>
        </w:rPr>
        <w:t>⑶</w:t>
      </w: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end"/>
      </w:r>
      <w:r>
        <w:rPr>
          <w:rFonts w:hint="eastAsia" w:ascii="仿宋" w:hAnsi="仿宋" w:eastAsia="仿宋" w:cs="仿宋"/>
          <w:b w:val="0"/>
          <w:bCs w:val="0"/>
          <w:i w:val="0"/>
          <w:iCs w:val="0"/>
          <w:caps w:val="0"/>
          <w:color w:val="auto"/>
          <w:spacing w:val="0"/>
          <w:kern w:val="0"/>
          <w:sz w:val="24"/>
          <w:szCs w:val="24"/>
          <w:highlight w:val="none"/>
          <w:lang w:val="it-IT" w:eastAsia="zh-CN" w:bidi="ar"/>
        </w:rPr>
        <w:t>甲方有权要求乙方退回已付款项；</w:t>
      </w:r>
    </w:p>
    <w:p w14:paraId="22CEDA08">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color w:val="auto"/>
          <w:sz w:val="24"/>
          <w:szCs w:val="24"/>
          <w:highlight w:val="none"/>
          <w:lang w:val="en-US" w:eastAsia="zh-CN"/>
        </w:rPr>
      </w:pP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begin"/>
      </w:r>
      <w:r>
        <w:rPr>
          <w:rFonts w:hint="eastAsia" w:ascii="仿宋" w:hAnsi="仿宋" w:eastAsia="仿宋" w:cs="仿宋"/>
          <w:b w:val="0"/>
          <w:bCs w:val="0"/>
          <w:i w:val="0"/>
          <w:iCs w:val="0"/>
          <w:caps w:val="0"/>
          <w:color w:val="auto"/>
          <w:spacing w:val="0"/>
          <w:kern w:val="0"/>
          <w:sz w:val="24"/>
          <w:szCs w:val="24"/>
          <w:highlight w:val="none"/>
          <w:lang w:val="it-IT" w:eastAsia="zh-CN" w:bidi="ar"/>
        </w:rPr>
        <w:instrText xml:space="preserve"> = 4 \* GB2 \* MERGEFORMAT </w:instrText>
      </w: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separate"/>
      </w:r>
      <w:r>
        <w:rPr>
          <w:rFonts w:hint="eastAsia" w:ascii="仿宋" w:hAnsi="仿宋" w:eastAsia="仿宋" w:cs="仿宋"/>
          <w:b w:val="0"/>
          <w:bCs w:val="0"/>
          <w:i w:val="0"/>
          <w:iCs w:val="0"/>
          <w:caps w:val="0"/>
          <w:color w:val="auto"/>
          <w:spacing w:val="0"/>
          <w:kern w:val="0"/>
          <w:sz w:val="24"/>
          <w:szCs w:val="24"/>
          <w:highlight w:val="none"/>
          <w:lang w:val="it-IT" w:eastAsia="zh-CN" w:bidi="ar"/>
        </w:rPr>
        <w:t>⑷</w:t>
      </w: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end"/>
      </w:r>
      <w:r>
        <w:rPr>
          <w:rFonts w:hint="eastAsia" w:ascii="仿宋" w:hAnsi="仿宋" w:eastAsia="仿宋" w:cs="仿宋"/>
          <w:b w:val="0"/>
          <w:bCs w:val="0"/>
          <w:i w:val="0"/>
          <w:iCs w:val="0"/>
          <w:caps w:val="0"/>
          <w:color w:val="auto"/>
          <w:spacing w:val="0"/>
          <w:kern w:val="0"/>
          <w:sz w:val="24"/>
          <w:szCs w:val="24"/>
          <w:highlight w:val="none"/>
          <w:lang w:val="it-IT" w:eastAsia="zh-CN" w:bidi="ar"/>
        </w:rPr>
        <w:t>其他乙</w:t>
      </w:r>
      <w:r>
        <w:rPr>
          <w:rFonts w:hint="eastAsia" w:ascii="仿宋" w:hAnsi="仿宋" w:eastAsia="仿宋" w:cs="仿宋"/>
          <w:color w:val="auto"/>
          <w:sz w:val="24"/>
          <w:szCs w:val="24"/>
          <w:highlight w:val="none"/>
          <w:lang w:val="it-IT"/>
        </w:rPr>
        <w:t>方依据本合同应当向甲方承担的责任。</w:t>
      </w:r>
    </w:p>
    <w:p w14:paraId="1D5EA8C4">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8.除本合同另有约定外，任何一方违反本合同，违约方应向守约方承担违约责任，赔偿因其违约行为给守约方造成的损失，如违约方不能在合理期限内采取补救措施，守约方有权解除合同，并要求违约方赔偿其由此而遭受的一切损失（包括但不限于律师费、公证费、诉讼费等合理支出）。   </w:t>
      </w:r>
    </w:p>
    <w:p w14:paraId="4EFEC9EF">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outlineLvl w:val="1"/>
        <w:rPr>
          <w:rFonts w:hint="eastAsia" w:ascii="仿宋" w:hAnsi="仿宋" w:eastAsia="仿宋" w:cs="仿宋"/>
          <w:b/>
          <w:bCs/>
          <w:i w:val="0"/>
          <w:iCs w:val="0"/>
          <w:caps w:val="0"/>
          <w:color w:val="auto"/>
          <w:spacing w:val="0"/>
          <w:kern w:val="0"/>
          <w:sz w:val="24"/>
          <w:szCs w:val="24"/>
          <w:highlight w:val="none"/>
          <w:lang w:val="en-US" w:eastAsia="zh-CN" w:bidi="ar"/>
        </w:rPr>
      </w:pPr>
      <w:r>
        <w:rPr>
          <w:rFonts w:hint="eastAsia" w:ascii="仿宋" w:hAnsi="仿宋" w:eastAsia="仿宋" w:cs="仿宋"/>
          <w:b w:val="0"/>
          <w:bCs w:val="0"/>
          <w:i w:val="0"/>
          <w:iCs w:val="0"/>
          <w:caps w:val="0"/>
          <w:color w:val="auto"/>
          <w:spacing w:val="0"/>
          <w:kern w:val="0"/>
          <w:sz w:val="24"/>
          <w:szCs w:val="24"/>
          <w:highlight w:val="none"/>
          <w:lang w:val="en-US" w:eastAsia="zh-CN" w:bidi="ar"/>
        </w:rPr>
        <w:t>9.</w:t>
      </w:r>
      <w:r>
        <w:rPr>
          <w:rFonts w:hint="eastAsia" w:ascii="仿宋" w:hAnsi="仿宋" w:eastAsia="仿宋" w:cs="仿宋"/>
          <w:color w:val="auto"/>
          <w:spacing w:val="-4"/>
          <w:sz w:val="24"/>
          <w:szCs w:val="24"/>
          <w:highlight w:val="none"/>
          <w:lang w:val="en-US" w:eastAsia="zh-CN"/>
        </w:rPr>
        <w:t>乙方</w:t>
      </w:r>
      <w:r>
        <w:rPr>
          <w:rFonts w:ascii="仿宋" w:hAnsi="仿宋" w:eastAsia="仿宋" w:cs="仿宋"/>
          <w:color w:val="auto"/>
          <w:spacing w:val="-4"/>
          <w:sz w:val="24"/>
          <w:szCs w:val="24"/>
          <w:highlight w:val="none"/>
        </w:rPr>
        <w:t>应该严格遵守</w:t>
      </w:r>
      <w:r>
        <w:rPr>
          <w:rFonts w:hint="eastAsia" w:ascii="仿宋" w:hAnsi="仿宋" w:eastAsia="仿宋" w:cs="仿宋"/>
          <w:color w:val="auto"/>
          <w:spacing w:val="-1"/>
          <w:sz w:val="24"/>
          <w:szCs w:val="24"/>
          <w:highlight w:val="none"/>
          <w:lang w:val="en-US" w:eastAsia="zh-CN"/>
        </w:rPr>
        <w:t>甲方储运</w:t>
      </w:r>
      <w:r>
        <w:rPr>
          <w:rFonts w:ascii="仿宋" w:hAnsi="仿宋" w:eastAsia="仿宋" w:cs="仿宋"/>
          <w:color w:val="auto"/>
          <w:spacing w:val="-1"/>
          <w:sz w:val="24"/>
          <w:szCs w:val="24"/>
          <w:highlight w:val="none"/>
        </w:rPr>
        <w:t>部</w:t>
      </w:r>
      <w:r>
        <w:rPr>
          <w:rFonts w:ascii="仿宋" w:hAnsi="仿宋" w:eastAsia="仿宋" w:cs="仿宋"/>
          <w:color w:val="auto"/>
          <w:spacing w:val="-5"/>
          <w:sz w:val="24"/>
          <w:szCs w:val="24"/>
          <w:highlight w:val="none"/>
        </w:rPr>
        <w:t>根据产品实际需求</w:t>
      </w:r>
      <w:r>
        <w:rPr>
          <w:rFonts w:ascii="仿宋" w:hAnsi="仿宋" w:eastAsia="仿宋" w:cs="仿宋"/>
          <w:color w:val="auto"/>
          <w:spacing w:val="-1"/>
          <w:sz w:val="24"/>
          <w:szCs w:val="24"/>
          <w:highlight w:val="none"/>
        </w:rPr>
        <w:t>以书面方式提出的其他仓储、运输要求</w:t>
      </w:r>
      <w:r>
        <w:rPr>
          <w:rFonts w:hint="eastAsia" w:ascii="仿宋" w:hAnsi="仿宋" w:eastAsia="仿宋" w:cs="仿宋"/>
          <w:color w:val="auto"/>
          <w:spacing w:val="-1"/>
          <w:sz w:val="24"/>
          <w:szCs w:val="24"/>
          <w:highlight w:val="none"/>
          <w:lang w:eastAsia="zh-CN"/>
        </w:rPr>
        <w:t>。</w:t>
      </w:r>
      <w:r>
        <w:rPr>
          <w:rFonts w:hint="eastAsia" w:ascii="仿宋" w:hAnsi="仿宋" w:eastAsia="仿宋" w:cs="仿宋"/>
          <w:color w:val="auto"/>
          <w:spacing w:val="-1"/>
          <w:sz w:val="24"/>
          <w:szCs w:val="24"/>
          <w:highlight w:val="none"/>
          <w:lang w:val="en-US" w:eastAsia="zh-CN"/>
        </w:rPr>
        <w:t>甲方储运</w:t>
      </w:r>
      <w:r>
        <w:rPr>
          <w:rFonts w:ascii="仿宋" w:hAnsi="仿宋" w:eastAsia="仿宋" w:cs="仿宋"/>
          <w:color w:val="auto"/>
          <w:spacing w:val="-1"/>
          <w:sz w:val="24"/>
          <w:szCs w:val="24"/>
          <w:highlight w:val="none"/>
        </w:rPr>
        <w:t>部不定期的对产品仓库、运输服务进行检查，</w:t>
      </w:r>
      <w:r>
        <w:rPr>
          <w:rFonts w:hint="eastAsia" w:ascii="仿宋" w:hAnsi="仿宋" w:eastAsia="仿宋" w:cs="仿宋"/>
          <w:color w:val="auto"/>
          <w:spacing w:val="-1"/>
          <w:sz w:val="24"/>
          <w:szCs w:val="24"/>
          <w:highlight w:val="none"/>
          <w:lang w:val="en-US" w:eastAsia="zh-CN"/>
        </w:rPr>
        <w:t>如</w:t>
      </w:r>
      <w:r>
        <w:rPr>
          <w:rFonts w:ascii="仿宋" w:hAnsi="仿宋" w:eastAsia="仿宋" w:cs="仿宋"/>
          <w:color w:val="auto"/>
          <w:spacing w:val="-1"/>
          <w:sz w:val="24"/>
          <w:szCs w:val="24"/>
          <w:highlight w:val="none"/>
        </w:rPr>
        <w:t>发现不合格，</w:t>
      </w:r>
      <w:r>
        <w:rPr>
          <w:rFonts w:hint="eastAsia" w:ascii="仿宋" w:hAnsi="仿宋" w:eastAsia="仿宋" w:cs="仿宋"/>
          <w:color w:val="auto"/>
          <w:spacing w:val="-1"/>
          <w:sz w:val="24"/>
          <w:szCs w:val="24"/>
          <w:highlight w:val="none"/>
          <w:lang w:val="en-US" w:eastAsia="zh-CN"/>
        </w:rPr>
        <w:t>第一次甲方将</w:t>
      </w:r>
      <w:r>
        <w:rPr>
          <w:rFonts w:ascii="仿宋" w:hAnsi="仿宋" w:eastAsia="仿宋" w:cs="仿宋"/>
          <w:color w:val="auto"/>
          <w:spacing w:val="-1"/>
          <w:sz w:val="24"/>
          <w:szCs w:val="24"/>
          <w:highlight w:val="none"/>
        </w:rPr>
        <w:t>书面警告，</w:t>
      </w:r>
      <w:r>
        <w:rPr>
          <w:rFonts w:hint="eastAsia" w:ascii="仿宋" w:hAnsi="仿宋" w:eastAsia="仿宋" w:cs="仿宋"/>
          <w:color w:val="auto"/>
          <w:spacing w:val="-1"/>
          <w:sz w:val="24"/>
          <w:szCs w:val="24"/>
          <w:highlight w:val="none"/>
          <w:lang w:val="en-US" w:eastAsia="zh-CN"/>
        </w:rPr>
        <w:t>第二次发现不合格，甲方有权扣除1万元/次的违约金，第三次发现不合格，甲方有权单方面终止</w:t>
      </w:r>
      <w:r>
        <w:rPr>
          <w:rFonts w:ascii="仿宋" w:hAnsi="仿宋" w:eastAsia="仿宋" w:cs="仿宋"/>
          <w:color w:val="auto"/>
          <w:spacing w:val="-4"/>
          <w:sz w:val="24"/>
          <w:szCs w:val="24"/>
          <w:highlight w:val="none"/>
        </w:rPr>
        <w:t>合作</w:t>
      </w:r>
      <w:r>
        <w:rPr>
          <w:rFonts w:hint="eastAsia" w:ascii="仿宋" w:hAnsi="仿宋" w:eastAsia="仿宋" w:cs="仿宋"/>
          <w:color w:val="auto"/>
          <w:spacing w:val="-4"/>
          <w:sz w:val="24"/>
          <w:szCs w:val="24"/>
          <w:highlight w:val="none"/>
          <w:lang w:eastAsia="zh-CN"/>
        </w:rPr>
        <w:t>。</w:t>
      </w:r>
    </w:p>
    <w:p w14:paraId="6854E971">
      <w:pPr>
        <w:keepNext w:val="0"/>
        <w:keepLines w:val="0"/>
        <w:widowControl w:val="0"/>
        <w:suppressLineNumbers w:val="0"/>
        <w:autoSpaceDE w:val="0"/>
        <w:autoSpaceDN/>
        <w:snapToGrid w:val="0"/>
        <w:spacing w:before="0" w:beforeAutospacing="0" w:after="0" w:afterAutospacing="0" w:line="400" w:lineRule="exact"/>
        <w:ind w:left="0" w:right="0" w:firstLine="482" w:firstLineChars="200"/>
        <w:jc w:val="both"/>
        <w:outlineLvl w:val="1"/>
        <w:rPr>
          <w:rFonts w:hint="eastAsia" w:ascii="仿宋" w:hAnsi="仿宋" w:eastAsia="仿宋" w:cs="仿宋"/>
          <w:b/>
          <w:bCs/>
          <w:i w:val="0"/>
          <w:iCs w:val="0"/>
          <w:caps w:val="0"/>
          <w:color w:val="auto"/>
          <w:spacing w:val="0"/>
          <w:kern w:val="0"/>
          <w:sz w:val="24"/>
          <w:szCs w:val="24"/>
          <w:highlight w:val="none"/>
        </w:rPr>
      </w:pPr>
      <w:r>
        <w:rPr>
          <w:rFonts w:hint="eastAsia" w:ascii="仿宋" w:hAnsi="仿宋" w:eastAsia="仿宋" w:cs="仿宋"/>
          <w:b/>
          <w:bCs/>
          <w:i w:val="0"/>
          <w:iCs w:val="0"/>
          <w:caps w:val="0"/>
          <w:color w:val="auto"/>
          <w:spacing w:val="0"/>
          <w:kern w:val="0"/>
          <w:sz w:val="24"/>
          <w:szCs w:val="24"/>
          <w:highlight w:val="none"/>
          <w:lang w:val="en-US" w:eastAsia="zh-CN" w:bidi="ar"/>
        </w:rPr>
        <w:t>十一、不可抗力</w:t>
      </w:r>
    </w:p>
    <w:p w14:paraId="0E94E1E6">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bCs/>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1.不可抗力指下列事件：战争、动乱、瘟疫、严重火灾、洪水、地震、风暴或其他自然灾害，以及本合同各方不可预见、不可防止并不能避免或克服的一切其他事件。</w:t>
      </w:r>
      <w:r>
        <w:rPr>
          <w:rFonts w:hint="eastAsia" w:ascii="仿宋" w:hAnsi="仿宋" w:eastAsia="仿宋" w:cs="仿宋"/>
          <w:b w:val="0"/>
          <w:bCs w:val="0"/>
          <w:i w:val="0"/>
          <w:iCs w:val="0"/>
          <w:caps w:val="0"/>
          <w:color w:val="auto"/>
          <w:spacing w:val="0"/>
          <w:kern w:val="0"/>
          <w:sz w:val="24"/>
          <w:szCs w:val="24"/>
          <w:highlight w:val="none"/>
          <w:lang w:val="en-US" w:eastAsia="zh-CN" w:bidi="ar"/>
        </w:rPr>
        <w:br w:type="textWrapping"/>
      </w: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    2.任何一方因不可抗力不能履行本合同规定的全部或部分义务，该方应尽快通知对方，并须在不可抗力发生后3日内以书面形式向对方提供详细情况报告及不可抗力对履行本合同的影响程度的说明。</w:t>
      </w:r>
      <w:r>
        <w:rPr>
          <w:rFonts w:hint="eastAsia" w:ascii="仿宋" w:hAnsi="仿宋" w:eastAsia="仿宋" w:cs="仿宋"/>
          <w:b w:val="0"/>
          <w:bCs w:val="0"/>
          <w:i w:val="0"/>
          <w:iCs w:val="0"/>
          <w:caps w:val="0"/>
          <w:color w:val="auto"/>
          <w:spacing w:val="0"/>
          <w:kern w:val="0"/>
          <w:sz w:val="24"/>
          <w:szCs w:val="24"/>
          <w:highlight w:val="none"/>
          <w:lang w:val="en-US" w:eastAsia="zh-CN" w:bidi="ar"/>
        </w:rPr>
        <w:br w:type="textWrapping"/>
      </w: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    3.发生不可抗力事件，任何一方均不对因不可抗力无法履行或迟延履行本合同义务而使另外一方蒙受的任何损失承担责任。但遭受不可抗力影响的一方有责任尽可能及时采取适当或必要措施减少或消除不可抗力的影响。遭受不可抗力影响的一方对因未尽本项责任而造成的相关损失承担责任。</w:t>
      </w:r>
      <w:r>
        <w:rPr>
          <w:rFonts w:hint="eastAsia" w:ascii="仿宋" w:hAnsi="仿宋" w:eastAsia="仿宋" w:cs="仿宋"/>
          <w:b w:val="0"/>
          <w:bCs w:val="0"/>
          <w:i w:val="0"/>
          <w:iCs w:val="0"/>
          <w:caps w:val="0"/>
          <w:color w:val="auto"/>
          <w:spacing w:val="0"/>
          <w:kern w:val="0"/>
          <w:sz w:val="24"/>
          <w:szCs w:val="24"/>
          <w:highlight w:val="none"/>
          <w:lang w:val="en-US" w:eastAsia="zh-CN" w:bidi="ar"/>
        </w:rPr>
        <w:br w:type="textWrapping"/>
      </w: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    4.合同双方应根据不可抗力对本合同履行的影响程度，协商确定是否终止本合同，或是继续履行本合同。</w:t>
      </w:r>
      <w:r>
        <w:rPr>
          <w:rFonts w:hint="eastAsia" w:ascii="仿宋" w:hAnsi="仿宋" w:eastAsia="仿宋" w:cs="仿宋"/>
          <w:b w:val="0"/>
          <w:bCs w:val="0"/>
          <w:i w:val="0"/>
          <w:iCs w:val="0"/>
          <w:caps w:val="0"/>
          <w:color w:val="auto"/>
          <w:spacing w:val="0"/>
          <w:kern w:val="0"/>
          <w:sz w:val="24"/>
          <w:szCs w:val="24"/>
          <w:highlight w:val="none"/>
          <w:lang w:val="en-US" w:eastAsia="zh-CN" w:bidi="ar"/>
        </w:rPr>
        <w:br w:type="textWrapping"/>
      </w: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    </w:t>
      </w:r>
      <w:r>
        <w:rPr>
          <w:rFonts w:hint="eastAsia" w:ascii="仿宋" w:hAnsi="仿宋" w:eastAsia="仿宋" w:cs="仿宋"/>
          <w:b/>
          <w:bCs/>
          <w:i w:val="0"/>
          <w:iCs w:val="0"/>
          <w:caps w:val="0"/>
          <w:color w:val="auto"/>
          <w:spacing w:val="0"/>
          <w:kern w:val="0"/>
          <w:sz w:val="24"/>
          <w:szCs w:val="24"/>
          <w:highlight w:val="none"/>
          <w:lang w:val="en-US" w:eastAsia="zh-CN" w:bidi="ar"/>
        </w:rPr>
        <w:t>十二、通知及送达</w:t>
      </w:r>
      <w:r>
        <w:rPr>
          <w:rFonts w:hint="eastAsia" w:ascii="仿宋" w:hAnsi="仿宋" w:eastAsia="仿宋" w:cs="仿宋"/>
          <w:b w:val="0"/>
          <w:bCs w:val="0"/>
          <w:i w:val="0"/>
          <w:iCs w:val="0"/>
          <w:caps w:val="0"/>
          <w:color w:val="auto"/>
          <w:spacing w:val="0"/>
          <w:kern w:val="0"/>
          <w:sz w:val="24"/>
          <w:szCs w:val="24"/>
          <w:highlight w:val="none"/>
          <w:lang w:val="en-US" w:eastAsia="zh-CN" w:bidi="ar"/>
        </w:rPr>
        <w:br w:type="textWrapping"/>
      </w: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    1.合同双方发出与本合同有关的通知或回复，应以专人送递、传真或特快专递方式发出；如果以专人送递或特快专递发送，以送达对方的住所地或通讯联络地为送达；如果以传真方式发送，发件人在收到传真报告后视为送达。</w:t>
      </w:r>
      <w:r>
        <w:rPr>
          <w:rFonts w:hint="eastAsia" w:ascii="仿宋" w:hAnsi="仿宋" w:eastAsia="仿宋" w:cs="仿宋"/>
          <w:b w:val="0"/>
          <w:bCs w:val="0"/>
          <w:i w:val="0"/>
          <w:iCs w:val="0"/>
          <w:caps w:val="0"/>
          <w:color w:val="auto"/>
          <w:spacing w:val="0"/>
          <w:kern w:val="0"/>
          <w:sz w:val="24"/>
          <w:szCs w:val="24"/>
          <w:highlight w:val="none"/>
          <w:lang w:val="en-US" w:eastAsia="zh-CN" w:bidi="ar"/>
        </w:rPr>
        <w:br w:type="textWrapping"/>
      </w: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    2.合同双方发出的与本合同有关的通知或回复均应按合同签署页所列信息发送，相关联系信息变更，应自变更之日起3个工作日内，将变更后的联系信息通知对方。变更方不履行通知义务的，应对此造成的一切后果承担法律责任。</w:t>
      </w:r>
      <w:r>
        <w:rPr>
          <w:rFonts w:hint="eastAsia" w:ascii="仿宋" w:hAnsi="仿宋" w:eastAsia="仿宋" w:cs="仿宋"/>
          <w:b w:val="0"/>
          <w:bCs w:val="0"/>
          <w:i w:val="0"/>
          <w:iCs w:val="0"/>
          <w:caps w:val="0"/>
          <w:color w:val="auto"/>
          <w:spacing w:val="0"/>
          <w:kern w:val="0"/>
          <w:sz w:val="24"/>
          <w:szCs w:val="24"/>
          <w:highlight w:val="none"/>
          <w:lang w:val="en-US" w:eastAsia="zh-CN" w:bidi="ar"/>
        </w:rPr>
        <w:br w:type="textWrapping"/>
      </w: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    </w:t>
      </w:r>
      <w:r>
        <w:rPr>
          <w:rFonts w:hint="eastAsia" w:ascii="仿宋" w:hAnsi="仿宋" w:eastAsia="仿宋" w:cs="仿宋"/>
          <w:b/>
          <w:bCs/>
          <w:i w:val="0"/>
          <w:iCs w:val="0"/>
          <w:caps w:val="0"/>
          <w:color w:val="auto"/>
          <w:spacing w:val="0"/>
          <w:kern w:val="0"/>
          <w:sz w:val="24"/>
          <w:szCs w:val="24"/>
          <w:highlight w:val="none"/>
          <w:lang w:val="en-US" w:eastAsia="zh-CN" w:bidi="ar"/>
        </w:rPr>
        <w:t>十三、合同的终止</w:t>
      </w:r>
    </w:p>
    <w:p w14:paraId="2D19E809">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1.本合同因下列原因而终止：</w:t>
      </w:r>
      <w:r>
        <w:rPr>
          <w:rFonts w:hint="eastAsia" w:ascii="仿宋" w:hAnsi="仿宋" w:eastAsia="仿宋" w:cs="仿宋"/>
          <w:b w:val="0"/>
          <w:bCs w:val="0"/>
          <w:i w:val="0"/>
          <w:iCs w:val="0"/>
          <w:caps w:val="0"/>
          <w:color w:val="auto"/>
          <w:spacing w:val="0"/>
          <w:kern w:val="0"/>
          <w:sz w:val="24"/>
          <w:szCs w:val="24"/>
          <w:highlight w:val="none"/>
          <w:lang w:val="en-US" w:eastAsia="zh-CN" w:bidi="ar"/>
        </w:rPr>
        <w:br w:type="textWrapping"/>
      </w: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    </w:t>
      </w: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begin"/>
      </w:r>
      <w:r>
        <w:rPr>
          <w:rFonts w:hint="eastAsia" w:ascii="仿宋" w:hAnsi="仿宋" w:eastAsia="仿宋" w:cs="仿宋"/>
          <w:b w:val="0"/>
          <w:bCs w:val="0"/>
          <w:i w:val="0"/>
          <w:iCs w:val="0"/>
          <w:caps w:val="0"/>
          <w:color w:val="auto"/>
          <w:spacing w:val="0"/>
          <w:kern w:val="0"/>
          <w:sz w:val="24"/>
          <w:szCs w:val="24"/>
          <w:highlight w:val="none"/>
          <w:lang w:val="it-IT" w:eastAsia="zh-CN" w:bidi="ar"/>
        </w:rPr>
        <w:instrText xml:space="preserve"> = 1 \* GB2 \* MERGEFORMAT </w:instrText>
      </w: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separate"/>
      </w:r>
      <w:r>
        <w:rPr>
          <w:rFonts w:hint="eastAsia" w:ascii="仿宋" w:hAnsi="仿宋" w:eastAsia="仿宋" w:cs="仿宋"/>
          <w:b w:val="0"/>
          <w:bCs w:val="0"/>
          <w:i w:val="0"/>
          <w:iCs w:val="0"/>
          <w:caps w:val="0"/>
          <w:color w:val="auto"/>
          <w:spacing w:val="0"/>
          <w:kern w:val="0"/>
          <w:sz w:val="24"/>
          <w:szCs w:val="24"/>
          <w:highlight w:val="none"/>
          <w:lang w:val="it-IT" w:eastAsia="zh-CN" w:bidi="ar"/>
        </w:rPr>
        <w:t>⑴</w:t>
      </w: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end"/>
      </w:r>
      <w:r>
        <w:rPr>
          <w:rFonts w:hint="eastAsia" w:ascii="仿宋" w:hAnsi="仿宋" w:eastAsia="仿宋" w:cs="仿宋"/>
          <w:b w:val="0"/>
          <w:bCs w:val="0"/>
          <w:i w:val="0"/>
          <w:iCs w:val="0"/>
          <w:caps w:val="0"/>
          <w:color w:val="auto"/>
          <w:spacing w:val="0"/>
          <w:kern w:val="0"/>
          <w:sz w:val="24"/>
          <w:szCs w:val="24"/>
          <w:highlight w:val="none"/>
          <w:lang w:val="en-US" w:eastAsia="zh-CN" w:bidi="ar"/>
        </w:rPr>
        <w:t>本合同正常履行完毕；</w:t>
      </w:r>
      <w:r>
        <w:rPr>
          <w:rFonts w:hint="eastAsia" w:ascii="仿宋" w:hAnsi="仿宋" w:eastAsia="仿宋" w:cs="仿宋"/>
          <w:b w:val="0"/>
          <w:bCs w:val="0"/>
          <w:i w:val="0"/>
          <w:iCs w:val="0"/>
          <w:caps w:val="0"/>
          <w:color w:val="auto"/>
          <w:spacing w:val="0"/>
          <w:kern w:val="0"/>
          <w:sz w:val="24"/>
          <w:szCs w:val="24"/>
          <w:highlight w:val="none"/>
          <w:lang w:val="en-US" w:eastAsia="zh-CN" w:bidi="ar"/>
        </w:rPr>
        <w:br w:type="textWrapping"/>
      </w: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    </w:t>
      </w: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begin"/>
      </w:r>
      <w:r>
        <w:rPr>
          <w:rFonts w:hint="eastAsia" w:ascii="仿宋" w:hAnsi="仿宋" w:eastAsia="仿宋" w:cs="仿宋"/>
          <w:b w:val="0"/>
          <w:bCs w:val="0"/>
          <w:i w:val="0"/>
          <w:iCs w:val="0"/>
          <w:caps w:val="0"/>
          <w:color w:val="auto"/>
          <w:spacing w:val="0"/>
          <w:kern w:val="0"/>
          <w:sz w:val="24"/>
          <w:szCs w:val="24"/>
          <w:highlight w:val="none"/>
          <w:lang w:val="it-IT" w:eastAsia="zh-CN" w:bidi="ar"/>
        </w:rPr>
        <w:instrText xml:space="preserve"> = 2 \* GB2 \* MERGEFORMAT </w:instrText>
      </w: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separate"/>
      </w:r>
      <w:r>
        <w:rPr>
          <w:rFonts w:hint="eastAsia" w:ascii="仿宋" w:hAnsi="仿宋" w:eastAsia="仿宋" w:cs="仿宋"/>
          <w:b w:val="0"/>
          <w:bCs w:val="0"/>
          <w:i w:val="0"/>
          <w:iCs w:val="0"/>
          <w:caps w:val="0"/>
          <w:color w:val="auto"/>
          <w:spacing w:val="0"/>
          <w:kern w:val="0"/>
          <w:sz w:val="24"/>
          <w:szCs w:val="24"/>
          <w:highlight w:val="none"/>
          <w:lang w:val="it-IT" w:eastAsia="zh-CN" w:bidi="ar"/>
        </w:rPr>
        <w:t>⑵</w:t>
      </w: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end"/>
      </w:r>
      <w:r>
        <w:rPr>
          <w:rFonts w:hint="eastAsia" w:ascii="仿宋" w:hAnsi="仿宋" w:eastAsia="仿宋" w:cs="仿宋"/>
          <w:b w:val="0"/>
          <w:bCs w:val="0"/>
          <w:i w:val="0"/>
          <w:iCs w:val="0"/>
          <w:caps w:val="0"/>
          <w:color w:val="auto"/>
          <w:spacing w:val="0"/>
          <w:kern w:val="0"/>
          <w:sz w:val="24"/>
          <w:szCs w:val="24"/>
          <w:highlight w:val="none"/>
          <w:lang w:val="en-US" w:eastAsia="zh-CN" w:bidi="ar"/>
        </w:rPr>
        <w:t>合同双方协议终止本合同的履行；</w:t>
      </w:r>
      <w:r>
        <w:rPr>
          <w:rFonts w:hint="eastAsia" w:ascii="仿宋" w:hAnsi="仿宋" w:eastAsia="仿宋" w:cs="仿宋"/>
          <w:b w:val="0"/>
          <w:bCs w:val="0"/>
          <w:i w:val="0"/>
          <w:iCs w:val="0"/>
          <w:caps w:val="0"/>
          <w:color w:val="auto"/>
          <w:spacing w:val="0"/>
          <w:kern w:val="0"/>
          <w:sz w:val="24"/>
          <w:szCs w:val="24"/>
          <w:highlight w:val="none"/>
          <w:lang w:val="en-US" w:eastAsia="zh-CN" w:bidi="ar"/>
        </w:rPr>
        <w:br w:type="textWrapping"/>
      </w: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    </w:t>
      </w: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begin"/>
      </w:r>
      <w:r>
        <w:rPr>
          <w:rFonts w:hint="eastAsia" w:ascii="仿宋" w:hAnsi="仿宋" w:eastAsia="仿宋" w:cs="仿宋"/>
          <w:b w:val="0"/>
          <w:bCs w:val="0"/>
          <w:i w:val="0"/>
          <w:iCs w:val="0"/>
          <w:caps w:val="0"/>
          <w:color w:val="auto"/>
          <w:spacing w:val="0"/>
          <w:kern w:val="0"/>
          <w:sz w:val="24"/>
          <w:szCs w:val="24"/>
          <w:highlight w:val="none"/>
          <w:lang w:val="it-IT" w:eastAsia="zh-CN" w:bidi="ar"/>
        </w:rPr>
        <w:instrText xml:space="preserve"> = 3 \* GB2 \* MERGEFORMAT </w:instrText>
      </w: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separate"/>
      </w:r>
      <w:r>
        <w:rPr>
          <w:rFonts w:hint="eastAsia" w:ascii="仿宋" w:hAnsi="仿宋" w:eastAsia="仿宋" w:cs="仿宋"/>
          <w:b w:val="0"/>
          <w:bCs w:val="0"/>
          <w:i w:val="0"/>
          <w:iCs w:val="0"/>
          <w:caps w:val="0"/>
          <w:color w:val="auto"/>
          <w:spacing w:val="0"/>
          <w:kern w:val="0"/>
          <w:sz w:val="24"/>
          <w:szCs w:val="24"/>
          <w:highlight w:val="none"/>
          <w:lang w:val="it-IT" w:eastAsia="zh-CN" w:bidi="ar"/>
        </w:rPr>
        <w:t>⑶</w:t>
      </w: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end"/>
      </w:r>
      <w:r>
        <w:rPr>
          <w:rFonts w:hint="eastAsia" w:ascii="仿宋" w:hAnsi="仿宋" w:eastAsia="仿宋" w:cs="仿宋"/>
          <w:b w:val="0"/>
          <w:bCs w:val="0"/>
          <w:i w:val="0"/>
          <w:iCs w:val="0"/>
          <w:caps w:val="0"/>
          <w:color w:val="auto"/>
          <w:spacing w:val="0"/>
          <w:kern w:val="0"/>
          <w:sz w:val="24"/>
          <w:szCs w:val="24"/>
          <w:highlight w:val="none"/>
          <w:lang w:val="en-US" w:eastAsia="zh-CN" w:bidi="ar"/>
        </w:rPr>
        <w:t>不可抗力事件导致本合同无法履行；</w:t>
      </w:r>
      <w:r>
        <w:rPr>
          <w:rFonts w:hint="eastAsia" w:ascii="仿宋" w:hAnsi="仿宋" w:eastAsia="仿宋" w:cs="仿宋"/>
          <w:b w:val="0"/>
          <w:bCs w:val="0"/>
          <w:i w:val="0"/>
          <w:iCs w:val="0"/>
          <w:caps w:val="0"/>
          <w:color w:val="auto"/>
          <w:spacing w:val="0"/>
          <w:kern w:val="0"/>
          <w:sz w:val="24"/>
          <w:szCs w:val="24"/>
          <w:highlight w:val="none"/>
          <w:lang w:val="en-US" w:eastAsia="zh-CN" w:bidi="ar"/>
        </w:rPr>
        <w:br w:type="textWrapping"/>
      </w: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    </w:t>
      </w: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begin"/>
      </w:r>
      <w:r>
        <w:rPr>
          <w:rFonts w:hint="eastAsia" w:ascii="仿宋" w:hAnsi="仿宋" w:eastAsia="仿宋" w:cs="仿宋"/>
          <w:b w:val="0"/>
          <w:bCs w:val="0"/>
          <w:i w:val="0"/>
          <w:iCs w:val="0"/>
          <w:caps w:val="0"/>
          <w:color w:val="auto"/>
          <w:spacing w:val="0"/>
          <w:kern w:val="0"/>
          <w:sz w:val="24"/>
          <w:szCs w:val="24"/>
          <w:highlight w:val="none"/>
          <w:lang w:val="it-IT" w:eastAsia="zh-CN" w:bidi="ar"/>
        </w:rPr>
        <w:instrText xml:space="preserve"> = 4 \* GB2 \* MERGEFORMAT </w:instrText>
      </w: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separate"/>
      </w:r>
      <w:r>
        <w:rPr>
          <w:rFonts w:hint="eastAsia" w:ascii="仿宋" w:hAnsi="仿宋" w:eastAsia="仿宋" w:cs="仿宋"/>
          <w:b w:val="0"/>
          <w:bCs w:val="0"/>
          <w:i w:val="0"/>
          <w:iCs w:val="0"/>
          <w:caps w:val="0"/>
          <w:color w:val="auto"/>
          <w:spacing w:val="0"/>
          <w:kern w:val="0"/>
          <w:sz w:val="24"/>
          <w:szCs w:val="24"/>
          <w:highlight w:val="none"/>
          <w:lang w:val="it-IT" w:eastAsia="zh-CN" w:bidi="ar"/>
        </w:rPr>
        <w:t>⑷</w:t>
      </w:r>
      <w:r>
        <w:rPr>
          <w:rFonts w:hint="eastAsia" w:ascii="仿宋" w:hAnsi="仿宋" w:eastAsia="仿宋" w:cs="仿宋"/>
          <w:b w:val="0"/>
          <w:bCs w:val="0"/>
          <w:i w:val="0"/>
          <w:iCs w:val="0"/>
          <w:caps w:val="0"/>
          <w:color w:val="auto"/>
          <w:spacing w:val="0"/>
          <w:kern w:val="0"/>
          <w:sz w:val="24"/>
          <w:szCs w:val="24"/>
          <w:highlight w:val="none"/>
          <w:lang w:val="it-IT" w:eastAsia="zh-CN" w:bidi="ar"/>
        </w:rPr>
        <w:fldChar w:fldCharType="end"/>
      </w:r>
      <w:r>
        <w:rPr>
          <w:rFonts w:hint="eastAsia" w:ascii="仿宋" w:hAnsi="仿宋" w:eastAsia="仿宋" w:cs="仿宋"/>
          <w:b w:val="0"/>
          <w:bCs w:val="0"/>
          <w:i w:val="0"/>
          <w:iCs w:val="0"/>
          <w:caps w:val="0"/>
          <w:color w:val="auto"/>
          <w:spacing w:val="0"/>
          <w:kern w:val="0"/>
          <w:sz w:val="24"/>
          <w:szCs w:val="24"/>
          <w:highlight w:val="none"/>
          <w:lang w:val="en-US" w:eastAsia="zh-CN" w:bidi="ar"/>
        </w:rPr>
        <w:t>任何一方依据法律规定或本合同约定行使解除权，解除本合同。</w:t>
      </w:r>
    </w:p>
    <w:p w14:paraId="490488E3">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outlineLvl w:val="2"/>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2.本合同因任何原因终止，保密义务条款仍然有效。</w:t>
      </w:r>
    </w:p>
    <w:p w14:paraId="3C97E8BD">
      <w:pPr>
        <w:keepNext w:val="0"/>
        <w:keepLines w:val="0"/>
        <w:widowControl w:val="0"/>
        <w:suppressLineNumbers w:val="0"/>
        <w:autoSpaceDE w:val="0"/>
        <w:autoSpaceDN/>
        <w:snapToGrid w:val="0"/>
        <w:spacing w:before="0" w:beforeAutospacing="0" w:after="0" w:afterAutospacing="0" w:line="400" w:lineRule="exact"/>
        <w:ind w:right="0" w:firstLine="482" w:firstLineChars="200"/>
        <w:jc w:val="both"/>
        <w:outlineLvl w:val="1"/>
        <w:rPr>
          <w:rFonts w:hint="eastAsia" w:ascii="仿宋" w:hAnsi="仿宋" w:eastAsia="仿宋" w:cs="仿宋"/>
          <w:b/>
          <w:bCs/>
          <w:i w:val="0"/>
          <w:iCs w:val="0"/>
          <w:caps w:val="0"/>
          <w:color w:val="auto"/>
          <w:spacing w:val="0"/>
          <w:kern w:val="0"/>
          <w:sz w:val="24"/>
          <w:szCs w:val="24"/>
          <w:highlight w:val="none"/>
        </w:rPr>
      </w:pPr>
      <w:r>
        <w:rPr>
          <w:rFonts w:hint="eastAsia" w:ascii="仿宋" w:hAnsi="仿宋" w:eastAsia="仿宋" w:cs="仿宋"/>
          <w:b/>
          <w:bCs/>
          <w:i w:val="0"/>
          <w:iCs w:val="0"/>
          <w:caps w:val="0"/>
          <w:color w:val="auto"/>
          <w:spacing w:val="0"/>
          <w:kern w:val="0"/>
          <w:sz w:val="24"/>
          <w:szCs w:val="24"/>
          <w:highlight w:val="none"/>
          <w:lang w:val="en-US" w:eastAsia="zh-CN" w:bidi="ar"/>
        </w:rPr>
        <w:t>十四、争议的解决</w:t>
      </w:r>
    </w:p>
    <w:p w14:paraId="4876D467">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1.合同双方应通过友好协商解决因解释、执行本合同所发生的和本合同有关的一切争议。如协商不成，则双方同意在甲方住所地有管辖权的人民法院提起诉讼。</w:t>
      </w:r>
      <w:r>
        <w:rPr>
          <w:rFonts w:hint="eastAsia" w:ascii="仿宋" w:hAnsi="仿宋" w:eastAsia="仿宋" w:cs="仿宋"/>
          <w:b w:val="0"/>
          <w:bCs w:val="0"/>
          <w:i w:val="0"/>
          <w:iCs w:val="0"/>
          <w:caps w:val="0"/>
          <w:color w:val="auto"/>
          <w:spacing w:val="0"/>
          <w:kern w:val="0"/>
          <w:sz w:val="24"/>
          <w:szCs w:val="24"/>
          <w:highlight w:val="none"/>
          <w:lang w:val="en-US" w:eastAsia="zh-CN" w:bidi="ar"/>
        </w:rPr>
        <w:br w:type="textWrapping"/>
      </w: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    2.在诉讼期间，除了必须在诉讼过程中进行解决的那部分问题外，合同其余部分应继续履行。</w:t>
      </w:r>
    </w:p>
    <w:p w14:paraId="7844F674">
      <w:pPr>
        <w:keepNext w:val="0"/>
        <w:keepLines w:val="0"/>
        <w:widowControl w:val="0"/>
        <w:suppressLineNumbers w:val="0"/>
        <w:autoSpaceDE w:val="0"/>
        <w:autoSpaceDN/>
        <w:snapToGrid w:val="0"/>
        <w:spacing w:before="0" w:beforeAutospacing="0" w:after="0" w:afterAutospacing="0" w:line="400" w:lineRule="exact"/>
        <w:ind w:left="0" w:right="0" w:firstLine="482" w:firstLineChars="200"/>
        <w:jc w:val="both"/>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bCs/>
          <w:i w:val="0"/>
          <w:iCs w:val="0"/>
          <w:caps w:val="0"/>
          <w:color w:val="auto"/>
          <w:spacing w:val="0"/>
          <w:kern w:val="0"/>
          <w:sz w:val="24"/>
          <w:szCs w:val="24"/>
          <w:highlight w:val="none"/>
          <w:lang w:val="en-US" w:eastAsia="zh-CN" w:bidi="ar"/>
        </w:rPr>
        <w:t>十五、合同的补充、修改和变更</w:t>
      </w:r>
      <w:r>
        <w:rPr>
          <w:rFonts w:hint="eastAsia" w:ascii="仿宋" w:hAnsi="仿宋" w:eastAsia="仿宋" w:cs="仿宋"/>
          <w:b/>
          <w:bCs/>
          <w:i w:val="0"/>
          <w:iCs w:val="0"/>
          <w:caps w:val="0"/>
          <w:color w:val="auto"/>
          <w:spacing w:val="0"/>
          <w:kern w:val="0"/>
          <w:sz w:val="24"/>
          <w:szCs w:val="24"/>
          <w:highlight w:val="none"/>
          <w:lang w:val="en-US" w:eastAsia="zh-CN" w:bidi="ar"/>
        </w:rPr>
        <w:br w:type="textWrapping"/>
      </w: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    1.双方协商一致，可以对本合同进行补充、修改或变更。</w:t>
      </w:r>
      <w:r>
        <w:rPr>
          <w:rFonts w:hint="eastAsia" w:ascii="仿宋" w:hAnsi="仿宋" w:eastAsia="仿宋" w:cs="仿宋"/>
          <w:b w:val="0"/>
          <w:bCs w:val="0"/>
          <w:i w:val="0"/>
          <w:iCs w:val="0"/>
          <w:caps w:val="0"/>
          <w:color w:val="auto"/>
          <w:spacing w:val="0"/>
          <w:kern w:val="0"/>
          <w:sz w:val="24"/>
          <w:szCs w:val="24"/>
          <w:highlight w:val="none"/>
          <w:lang w:val="en-US" w:eastAsia="zh-CN" w:bidi="ar"/>
        </w:rPr>
        <w:br w:type="textWrapping"/>
      </w: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    2.对本合同的任何补充、修改或变更必须以书面形式进行。</w:t>
      </w:r>
      <w:r>
        <w:rPr>
          <w:rFonts w:hint="eastAsia" w:ascii="仿宋" w:hAnsi="仿宋" w:eastAsia="仿宋" w:cs="仿宋"/>
          <w:b w:val="0"/>
          <w:bCs w:val="0"/>
          <w:i w:val="0"/>
          <w:iCs w:val="0"/>
          <w:caps w:val="0"/>
          <w:color w:val="auto"/>
          <w:spacing w:val="0"/>
          <w:kern w:val="0"/>
          <w:sz w:val="24"/>
          <w:szCs w:val="24"/>
          <w:highlight w:val="none"/>
          <w:lang w:val="en-US" w:eastAsia="zh-CN" w:bidi="ar"/>
        </w:rPr>
        <w:br w:type="textWrapping"/>
      </w: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    3.双方签订的补充协议以及修改或变更的条款与本合同具有同等法律效力。</w:t>
      </w:r>
    </w:p>
    <w:p w14:paraId="6FE7C0D9">
      <w:pPr>
        <w:keepNext w:val="0"/>
        <w:keepLines w:val="0"/>
        <w:widowControl w:val="0"/>
        <w:suppressLineNumbers w:val="0"/>
        <w:autoSpaceDE w:val="0"/>
        <w:autoSpaceDN/>
        <w:snapToGrid w:val="0"/>
        <w:spacing w:before="0" w:beforeAutospacing="0" w:after="0" w:afterAutospacing="0" w:line="400" w:lineRule="exact"/>
        <w:ind w:left="0" w:right="0" w:firstLine="482" w:firstLineChars="200"/>
        <w:jc w:val="both"/>
        <w:outlineLvl w:val="1"/>
        <w:rPr>
          <w:rFonts w:hint="eastAsia" w:ascii="仿宋" w:hAnsi="仿宋" w:eastAsia="仿宋" w:cs="仿宋"/>
          <w:b/>
          <w:bCs/>
          <w:i w:val="0"/>
          <w:iCs w:val="0"/>
          <w:caps w:val="0"/>
          <w:color w:val="auto"/>
          <w:spacing w:val="0"/>
          <w:kern w:val="0"/>
          <w:sz w:val="24"/>
          <w:szCs w:val="24"/>
          <w:highlight w:val="none"/>
        </w:rPr>
      </w:pPr>
      <w:r>
        <w:rPr>
          <w:rFonts w:hint="eastAsia" w:ascii="仿宋" w:hAnsi="仿宋" w:eastAsia="仿宋" w:cs="仿宋"/>
          <w:b/>
          <w:bCs/>
          <w:i w:val="0"/>
          <w:iCs w:val="0"/>
          <w:caps w:val="0"/>
          <w:color w:val="auto"/>
          <w:spacing w:val="0"/>
          <w:kern w:val="0"/>
          <w:sz w:val="24"/>
          <w:szCs w:val="24"/>
          <w:highlight w:val="none"/>
          <w:lang w:val="en-US" w:eastAsia="zh-CN" w:bidi="ar"/>
        </w:rPr>
        <w:t>十六、其他约定事项</w:t>
      </w:r>
    </w:p>
    <w:p w14:paraId="4A108486">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1.本合同经双方法定代表人（负责人）或授权代表签字并加盖单位公章后生效。</w:t>
      </w:r>
    </w:p>
    <w:p w14:paraId="5B4BA589">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2.一方当事人未经另外一方书面同意，不得将其在合同项下的权利和义务全部或部分转让给第三人。</w:t>
      </w:r>
    </w:p>
    <w:p w14:paraId="7734D572">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3.招标文件、投标文件及评审过程中形成的文字资料、询标纪要均作为本合同的组成部分，具有同等效力。本合同未尽事宜，遵照《民法典》有关条文执行。</w:t>
      </w:r>
    </w:p>
    <w:p w14:paraId="51ED5553">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val="0"/>
          <w:bCs w:val="0"/>
          <w:i w:val="0"/>
          <w:iCs w:val="0"/>
          <w:caps w:val="0"/>
          <w:color w:val="auto"/>
          <w:spacing w:val="0"/>
          <w:kern w:val="0"/>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4.特别提醒条款：如乙方在合同履行期间造成人身、财产损害、伤亡事件等，由乙方负责赔偿，所有一切后果均由乙方自行承担，与甲方无关。</w:t>
      </w:r>
    </w:p>
    <w:p w14:paraId="31834B23">
      <w:pPr>
        <w:keepNext w:val="0"/>
        <w:keepLines w:val="0"/>
        <w:widowControl w:val="0"/>
        <w:suppressLineNumbers w:val="0"/>
        <w:autoSpaceDE w:val="0"/>
        <w:autoSpaceDN/>
        <w:snapToGrid w:val="0"/>
        <w:spacing w:before="0" w:beforeAutospacing="0" w:after="0" w:afterAutospacing="0" w:line="400" w:lineRule="exact"/>
        <w:ind w:left="0" w:right="0" w:firstLine="480" w:firstLineChars="200"/>
        <w:jc w:val="both"/>
        <w:rPr>
          <w:rFonts w:hint="eastAsia" w:ascii="仿宋" w:hAnsi="仿宋" w:eastAsia="仿宋" w:cs="仿宋"/>
          <w:b w:val="0"/>
          <w:bCs w:val="0"/>
          <w:i w:val="0"/>
          <w:iCs w:val="0"/>
          <w:caps w:val="0"/>
          <w:color w:val="auto"/>
          <w:spacing w:val="0"/>
          <w:kern w:val="0"/>
          <w:sz w:val="24"/>
          <w:szCs w:val="24"/>
          <w:highlight w:val="none"/>
          <w:lang w:val="en-US" w:eastAsia="zh-CN" w:bidi="ar"/>
        </w:rPr>
      </w:pPr>
      <w:r>
        <w:rPr>
          <w:rFonts w:hint="eastAsia" w:ascii="仿宋" w:hAnsi="仿宋" w:eastAsia="仿宋" w:cs="仿宋"/>
          <w:b w:val="0"/>
          <w:bCs w:val="0"/>
          <w:i w:val="0"/>
          <w:iCs w:val="0"/>
          <w:caps w:val="0"/>
          <w:color w:val="auto"/>
          <w:spacing w:val="0"/>
          <w:kern w:val="0"/>
          <w:sz w:val="24"/>
          <w:szCs w:val="24"/>
          <w:highlight w:val="none"/>
          <w:lang w:val="en-US" w:eastAsia="zh-CN" w:bidi="ar"/>
        </w:rPr>
        <w:t>5.本合同正本一式陆份，具有同等法律效力，甲方执</w:t>
      </w:r>
      <w:r>
        <w:rPr>
          <w:rFonts w:hint="eastAsia" w:ascii="仿宋" w:hAnsi="仿宋" w:eastAsia="仿宋" w:cs="仿宋"/>
          <w:b w:val="0"/>
          <w:bCs w:val="0"/>
          <w:i w:val="0"/>
          <w:iCs w:val="0"/>
          <w:caps w:val="0"/>
          <w:color w:val="auto"/>
          <w:spacing w:val="0"/>
          <w:kern w:val="0"/>
          <w:sz w:val="24"/>
          <w:szCs w:val="24"/>
          <w:highlight w:val="none"/>
          <w:lang w:eastAsia="zh-CN" w:bidi="ar"/>
        </w:rPr>
        <w:t>肆</w:t>
      </w:r>
      <w:r>
        <w:rPr>
          <w:rFonts w:hint="eastAsia" w:ascii="仿宋" w:hAnsi="仿宋" w:eastAsia="仿宋" w:cs="仿宋"/>
          <w:b w:val="0"/>
          <w:bCs w:val="0"/>
          <w:i w:val="0"/>
          <w:iCs w:val="0"/>
          <w:caps w:val="0"/>
          <w:color w:val="auto"/>
          <w:spacing w:val="0"/>
          <w:kern w:val="0"/>
          <w:sz w:val="24"/>
          <w:szCs w:val="24"/>
          <w:highlight w:val="none"/>
          <w:lang w:val="en-US" w:eastAsia="zh-CN" w:bidi="ar"/>
        </w:rPr>
        <w:t>份，乙方执</w:t>
      </w:r>
      <w:r>
        <w:rPr>
          <w:rFonts w:hint="eastAsia" w:ascii="仿宋" w:hAnsi="仿宋" w:eastAsia="仿宋" w:cs="仿宋"/>
          <w:b w:val="0"/>
          <w:bCs w:val="0"/>
          <w:i w:val="0"/>
          <w:iCs w:val="0"/>
          <w:caps w:val="0"/>
          <w:color w:val="auto"/>
          <w:spacing w:val="0"/>
          <w:kern w:val="0"/>
          <w:sz w:val="24"/>
          <w:szCs w:val="24"/>
          <w:highlight w:val="none"/>
          <w:lang w:eastAsia="zh-CN" w:bidi="ar"/>
        </w:rPr>
        <w:t>贰</w:t>
      </w:r>
      <w:r>
        <w:rPr>
          <w:rFonts w:hint="eastAsia" w:ascii="仿宋" w:hAnsi="仿宋" w:eastAsia="仿宋" w:cs="仿宋"/>
          <w:b w:val="0"/>
          <w:bCs w:val="0"/>
          <w:i w:val="0"/>
          <w:iCs w:val="0"/>
          <w:caps w:val="0"/>
          <w:color w:val="auto"/>
          <w:spacing w:val="0"/>
          <w:kern w:val="0"/>
          <w:sz w:val="24"/>
          <w:szCs w:val="24"/>
          <w:highlight w:val="none"/>
          <w:lang w:val="en-US" w:eastAsia="zh-CN" w:bidi="ar"/>
        </w:rPr>
        <w:t>份。</w:t>
      </w:r>
      <w:r>
        <w:rPr>
          <w:rFonts w:hint="eastAsia" w:ascii="仿宋" w:hAnsi="仿宋" w:eastAsia="仿宋" w:cs="仿宋"/>
          <w:b w:val="0"/>
          <w:bCs w:val="0"/>
          <w:i w:val="0"/>
          <w:iCs w:val="0"/>
          <w:caps w:val="0"/>
          <w:color w:val="auto"/>
          <w:spacing w:val="0"/>
          <w:kern w:val="0"/>
          <w:sz w:val="24"/>
          <w:szCs w:val="24"/>
          <w:highlight w:val="none"/>
          <w:lang w:val="en-US" w:eastAsia="zh-CN" w:bidi="ar"/>
        </w:rPr>
        <w:br w:type="textWrapping"/>
      </w:r>
      <w:r>
        <w:rPr>
          <w:rFonts w:hint="eastAsia" w:ascii="仿宋" w:hAnsi="仿宋" w:eastAsia="仿宋" w:cs="仿宋"/>
          <w:b w:val="0"/>
          <w:bCs w:val="0"/>
          <w:i w:val="0"/>
          <w:iCs w:val="0"/>
          <w:caps w:val="0"/>
          <w:color w:val="auto"/>
          <w:spacing w:val="0"/>
          <w:kern w:val="0"/>
          <w:sz w:val="24"/>
          <w:szCs w:val="24"/>
          <w:highlight w:val="none"/>
          <w:lang w:val="en-US" w:eastAsia="zh-CN" w:bidi="ar"/>
        </w:rPr>
        <w:t xml:space="preserve">    6.本合同中的附件均为本合同不可分割的部分，与本合同具有相同的法律效力。</w:t>
      </w:r>
    </w:p>
    <w:p w14:paraId="51653BD7">
      <w:pPr>
        <w:keepNext w:val="0"/>
        <w:keepLines w:val="0"/>
        <w:widowControl w:val="0"/>
        <w:suppressLineNumbers w:val="0"/>
        <w:autoSpaceDE w:val="0"/>
        <w:autoSpaceDN/>
        <w:snapToGrid w:val="0"/>
        <w:spacing w:before="0" w:beforeAutospacing="0" w:after="0" w:afterAutospacing="0" w:line="400" w:lineRule="exact"/>
        <w:ind w:left="239" w:leftChars="114" w:right="0" w:firstLine="240" w:firstLineChars="100"/>
        <w:jc w:val="both"/>
        <w:rPr>
          <w:rFonts w:hint="eastAsia" w:ascii="仿宋" w:hAnsi="仿宋" w:eastAsia="仿宋" w:cs="仿宋"/>
          <w:color w:val="auto"/>
          <w:sz w:val="24"/>
          <w:szCs w:val="24"/>
          <w:highlight w:val="none"/>
        </w:rPr>
      </w:pPr>
      <w:r>
        <w:rPr>
          <w:rFonts w:hint="eastAsia" w:ascii="仿宋" w:hAnsi="仿宋" w:eastAsia="仿宋" w:cs="仿宋"/>
          <w:b w:val="0"/>
          <w:bCs w:val="0"/>
          <w:i w:val="0"/>
          <w:iCs w:val="0"/>
          <w:caps w:val="0"/>
          <w:color w:val="auto"/>
          <w:spacing w:val="0"/>
          <w:kern w:val="0"/>
          <w:sz w:val="24"/>
          <w:szCs w:val="24"/>
          <w:highlight w:val="none"/>
          <w:lang w:val="en-US" w:eastAsia="zh-CN" w:bidi="ar"/>
        </w:rPr>
        <w:t>（以下为本合同签署内容，无正文）</w:t>
      </w:r>
    </w:p>
    <w:p w14:paraId="3F36C13B">
      <w:pPr>
        <w:keepNext w:val="0"/>
        <w:keepLines w:val="0"/>
        <w:pageBreakBefore w:val="0"/>
        <w:widowControl w:val="0"/>
        <w:kinsoku/>
        <w:wordWrap/>
        <w:overflowPunct/>
        <w:topLinePunct w:val="0"/>
        <w:autoSpaceDE/>
        <w:autoSpaceDN/>
        <w:bidi w:val="0"/>
        <w:adjustRightInd/>
        <w:snapToGrid/>
        <w:spacing w:line="480" w:lineRule="auto"/>
        <w:ind w:firstLine="420"/>
        <w:textAlignment w:val="auto"/>
        <w:rPr>
          <w:rFonts w:hint="eastAsia" w:ascii="仿宋" w:hAnsi="仿宋" w:eastAsia="仿宋" w:cs="仿宋"/>
          <w:color w:val="auto"/>
          <w:sz w:val="24"/>
          <w:szCs w:val="24"/>
          <w:highlight w:val="none"/>
        </w:rPr>
      </w:pPr>
    </w:p>
    <w:p w14:paraId="0CF49E3B">
      <w:pPr>
        <w:keepNext w:val="0"/>
        <w:keepLines w:val="0"/>
        <w:pageBreakBefore w:val="0"/>
        <w:widowControl w:val="0"/>
        <w:kinsoku/>
        <w:wordWrap/>
        <w:overflowPunct/>
        <w:topLinePunct w:val="0"/>
        <w:autoSpaceDE/>
        <w:autoSpaceDN/>
        <w:bidi w:val="0"/>
        <w:adjustRightInd/>
        <w:snapToGrid/>
        <w:spacing w:line="480" w:lineRule="auto"/>
        <w:ind w:firstLine="42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甲方（盖章）：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乙方（盖章）：</w:t>
      </w:r>
    </w:p>
    <w:p w14:paraId="360C2EC0">
      <w:pPr>
        <w:keepNext w:val="0"/>
        <w:keepLines w:val="0"/>
        <w:pageBreakBefore w:val="0"/>
        <w:widowControl w:val="0"/>
        <w:kinsoku/>
        <w:wordWrap/>
        <w:overflowPunct/>
        <w:topLinePunct w:val="0"/>
        <w:autoSpaceDE/>
        <w:autoSpaceDN/>
        <w:bidi w:val="0"/>
        <w:adjustRightInd/>
        <w:snapToGrid/>
        <w:spacing w:line="480" w:lineRule="auto"/>
        <w:ind w:firstLine="42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法定代表人（或授权代表）：</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法定代表人（或授权代表）：</w:t>
      </w:r>
    </w:p>
    <w:p w14:paraId="0B279770">
      <w:pPr>
        <w:keepNext w:val="0"/>
        <w:keepLines w:val="0"/>
        <w:pageBreakBefore w:val="0"/>
        <w:widowControl w:val="0"/>
        <w:kinsoku/>
        <w:wordWrap/>
        <w:overflowPunct/>
        <w:topLinePunct w:val="0"/>
        <w:autoSpaceDE/>
        <w:autoSpaceDN/>
        <w:bidi w:val="0"/>
        <w:adjustRightInd/>
        <w:snapToGrid/>
        <w:spacing w:line="480" w:lineRule="auto"/>
        <w:ind w:firstLine="42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地址：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地址：</w:t>
      </w:r>
    </w:p>
    <w:p w14:paraId="421FCD69">
      <w:pPr>
        <w:keepNext w:val="0"/>
        <w:keepLines w:val="0"/>
        <w:pageBreakBefore w:val="0"/>
        <w:widowControl w:val="0"/>
        <w:kinsoku/>
        <w:wordWrap/>
        <w:overflowPunct/>
        <w:topLinePunct w:val="0"/>
        <w:autoSpaceDE/>
        <w:autoSpaceDN/>
        <w:bidi w:val="0"/>
        <w:adjustRightInd/>
        <w:snapToGrid/>
        <w:spacing w:line="480" w:lineRule="auto"/>
        <w:ind w:firstLine="42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联系人：                           联系人：</w:t>
      </w:r>
    </w:p>
    <w:p w14:paraId="42E97844">
      <w:pPr>
        <w:keepNext w:val="0"/>
        <w:keepLines w:val="0"/>
        <w:pageBreakBefore w:val="0"/>
        <w:widowControl w:val="0"/>
        <w:kinsoku/>
        <w:wordWrap/>
        <w:overflowPunct/>
        <w:topLinePunct w:val="0"/>
        <w:autoSpaceDE/>
        <w:autoSpaceDN/>
        <w:bidi w:val="0"/>
        <w:adjustRightInd/>
        <w:snapToGrid/>
        <w:spacing w:line="480" w:lineRule="auto"/>
        <w:ind w:firstLine="42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                         联系电话：</w:t>
      </w:r>
    </w:p>
    <w:p w14:paraId="320BB3FF">
      <w:pPr>
        <w:keepNext w:val="0"/>
        <w:keepLines w:val="0"/>
        <w:pageBreakBefore w:val="0"/>
        <w:widowControl w:val="0"/>
        <w:kinsoku/>
        <w:wordWrap/>
        <w:overflowPunct/>
        <w:topLinePunct w:val="0"/>
        <w:autoSpaceDE/>
        <w:autoSpaceDN/>
        <w:bidi w:val="0"/>
        <w:adjustRightInd/>
        <w:snapToGrid/>
        <w:spacing w:line="480" w:lineRule="auto"/>
        <w:ind w:firstLine="42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                             传真：</w:t>
      </w:r>
    </w:p>
    <w:p w14:paraId="00D8DD9F">
      <w:pPr>
        <w:keepNext w:val="0"/>
        <w:keepLines w:val="0"/>
        <w:pageBreakBefore w:val="0"/>
        <w:widowControl w:val="0"/>
        <w:kinsoku/>
        <w:wordWrap/>
        <w:overflowPunct/>
        <w:topLinePunct w:val="0"/>
        <w:autoSpaceDE/>
        <w:autoSpaceDN/>
        <w:bidi w:val="0"/>
        <w:adjustRightInd/>
        <w:snapToGrid/>
        <w:spacing w:line="480" w:lineRule="auto"/>
        <w:ind w:firstLine="42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                         开户银行：</w:t>
      </w:r>
    </w:p>
    <w:p w14:paraId="429EA476">
      <w:pPr>
        <w:keepNext w:val="0"/>
        <w:keepLines w:val="0"/>
        <w:pageBreakBefore w:val="0"/>
        <w:widowControl w:val="0"/>
        <w:kinsoku/>
        <w:wordWrap/>
        <w:overflowPunct/>
        <w:topLinePunct w:val="0"/>
        <w:autoSpaceDE/>
        <w:autoSpaceDN/>
        <w:bidi w:val="0"/>
        <w:adjustRightInd/>
        <w:snapToGrid/>
        <w:spacing w:line="480" w:lineRule="auto"/>
        <w:ind w:firstLine="42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银行账号：                         银行账号：</w:t>
      </w:r>
    </w:p>
    <w:p w14:paraId="5F8776AE">
      <w:pPr>
        <w:keepNext w:val="0"/>
        <w:keepLines w:val="0"/>
        <w:pageBreakBefore w:val="0"/>
        <w:widowControl w:val="0"/>
        <w:kinsoku/>
        <w:wordWrap/>
        <w:overflowPunct/>
        <w:topLinePunct w:val="0"/>
        <w:autoSpaceDE/>
        <w:autoSpaceDN/>
        <w:bidi w:val="0"/>
        <w:adjustRightInd/>
        <w:snapToGrid/>
        <w:spacing w:line="480" w:lineRule="auto"/>
        <w:ind w:firstLine="420"/>
        <w:textAlignment w:val="auto"/>
        <w:rPr>
          <w:rFonts w:hint="eastAsia" w:ascii="仿宋" w:hAnsi="仿宋" w:eastAsia="仿宋" w:cs="仿宋"/>
          <w:color w:val="FF0000"/>
          <w:sz w:val="24"/>
          <w:szCs w:val="24"/>
          <w:lang w:val="en-US" w:eastAsia="zh-CN" w:bidi="ar-SA"/>
        </w:rPr>
      </w:pPr>
      <w:r>
        <w:rPr>
          <w:rFonts w:hint="eastAsia" w:ascii="仿宋" w:hAnsi="仿宋" w:eastAsia="仿宋" w:cs="仿宋"/>
          <w:color w:val="auto"/>
          <w:sz w:val="24"/>
          <w:szCs w:val="24"/>
          <w:highlight w:val="none"/>
        </w:rPr>
        <w:t xml:space="preserve">签订地点：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签订日期：</w:t>
      </w:r>
    </w:p>
    <w:p w14:paraId="4ABCBC7F">
      <w:pPr>
        <w:jc w:val="center"/>
        <w:outlineLvl w:val="0"/>
        <w:rPr>
          <w:rFonts w:ascii="仿宋" w:hAnsi="仿宋" w:eastAsia="仿宋" w:cs="仿宋"/>
          <w:b/>
          <w:bCs/>
          <w:color w:val="auto"/>
          <w:sz w:val="28"/>
          <w:szCs w:val="28"/>
        </w:rPr>
      </w:pPr>
      <w:bookmarkStart w:id="91" w:name="_Toc6965"/>
      <w:bookmarkStart w:id="92" w:name="_Toc25095"/>
      <w:r>
        <w:rPr>
          <w:rFonts w:hint="eastAsia" w:ascii="仿宋" w:hAnsi="仿宋" w:eastAsia="仿宋" w:cs="仿宋"/>
          <w:b/>
          <w:bCs/>
          <w:color w:val="auto"/>
          <w:sz w:val="28"/>
          <w:szCs w:val="28"/>
          <w:lang w:val="zh-CN"/>
        </w:rPr>
        <w:t>第</w:t>
      </w:r>
      <w:r>
        <w:rPr>
          <w:rFonts w:hint="eastAsia" w:ascii="仿宋" w:hAnsi="仿宋" w:eastAsia="仿宋" w:cs="仿宋"/>
          <w:b/>
          <w:bCs/>
          <w:color w:val="auto"/>
          <w:sz w:val="28"/>
          <w:szCs w:val="28"/>
        </w:rPr>
        <w:t>五</w:t>
      </w:r>
      <w:r>
        <w:rPr>
          <w:rFonts w:hint="eastAsia" w:ascii="仿宋" w:hAnsi="仿宋" w:eastAsia="仿宋" w:cs="仿宋"/>
          <w:b/>
          <w:bCs/>
          <w:color w:val="auto"/>
          <w:sz w:val="28"/>
          <w:szCs w:val="28"/>
          <w:lang w:val="zh-CN"/>
        </w:rPr>
        <w:t>章</w:t>
      </w:r>
      <w:r>
        <w:rPr>
          <w:rFonts w:hint="eastAsia" w:ascii="仿宋" w:hAnsi="仿宋" w:eastAsia="仿宋" w:cs="仿宋"/>
          <w:b/>
          <w:bCs/>
          <w:color w:val="auto"/>
          <w:sz w:val="28"/>
          <w:szCs w:val="28"/>
        </w:rPr>
        <w:t xml:space="preserve">  </w:t>
      </w:r>
      <w:bookmarkStart w:id="93" w:name="评标办法及开标程序"/>
      <w:r>
        <w:rPr>
          <w:rFonts w:hint="eastAsia" w:ascii="仿宋" w:hAnsi="仿宋" w:eastAsia="仿宋" w:cs="仿宋"/>
          <w:b/>
          <w:bCs/>
          <w:color w:val="auto"/>
          <w:sz w:val="28"/>
          <w:szCs w:val="28"/>
          <w:lang w:val="zh-CN"/>
        </w:rPr>
        <w:t>评标办法</w:t>
      </w:r>
      <w:bookmarkEnd w:id="91"/>
      <w:bookmarkEnd w:id="92"/>
      <w:bookmarkEnd w:id="93"/>
    </w:p>
    <w:p w14:paraId="57497292">
      <w:pPr>
        <w:adjustRightInd w:val="0"/>
        <w:snapToGrid w:val="0"/>
        <w:spacing w:line="360" w:lineRule="auto"/>
        <w:ind w:left="425"/>
        <w:outlineLvl w:val="9"/>
        <w:rPr>
          <w:rFonts w:ascii="仿宋" w:hAnsi="仿宋" w:eastAsia="仿宋" w:cs="仿宋"/>
          <w:b/>
          <w:bCs/>
          <w:color w:val="auto"/>
          <w:sz w:val="24"/>
          <w:szCs w:val="24"/>
          <w:lang w:val="zh-CN"/>
        </w:rPr>
      </w:pPr>
      <w:bookmarkStart w:id="94" w:name="_Toc4144"/>
      <w:bookmarkStart w:id="95" w:name="_Toc13283"/>
      <w:bookmarkStart w:id="96" w:name="_Toc31907"/>
      <w:bookmarkStart w:id="97" w:name="_Toc359856825"/>
      <w:bookmarkStart w:id="98" w:name="_Toc3944"/>
      <w:r>
        <w:rPr>
          <w:rFonts w:hint="eastAsia" w:ascii="仿宋" w:hAnsi="仿宋" w:eastAsia="仿宋" w:cs="仿宋"/>
          <w:b/>
          <w:bCs/>
          <w:color w:val="auto"/>
          <w:sz w:val="24"/>
          <w:szCs w:val="24"/>
          <w:lang w:val="zh-CN"/>
        </w:rPr>
        <w:t>一、评审小组的组成</w:t>
      </w:r>
      <w:bookmarkEnd w:id="94"/>
      <w:bookmarkEnd w:id="95"/>
      <w:bookmarkEnd w:id="96"/>
      <w:bookmarkEnd w:id="97"/>
      <w:bookmarkEnd w:id="98"/>
    </w:p>
    <w:p w14:paraId="36CCF564">
      <w:pPr>
        <w:adjustRightInd w:val="0"/>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1.评审小组由</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人组成，由</w:t>
      </w:r>
      <w:r>
        <w:rPr>
          <w:rFonts w:hint="eastAsia" w:ascii="仿宋" w:hAnsi="仿宋" w:eastAsia="仿宋" w:cs="仿宋"/>
          <w:color w:val="auto"/>
          <w:sz w:val="24"/>
          <w:szCs w:val="24"/>
          <w:lang w:eastAsia="zh-CN"/>
        </w:rPr>
        <w:t>招标人</w:t>
      </w:r>
      <w:r>
        <w:rPr>
          <w:rFonts w:hint="eastAsia" w:ascii="仿宋" w:hAnsi="仿宋" w:eastAsia="仿宋" w:cs="仿宋"/>
          <w:color w:val="auto"/>
          <w:sz w:val="24"/>
          <w:szCs w:val="24"/>
        </w:rPr>
        <w:t>代表（</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人）和评审专家（</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人）组成，评审专家从专家库里随机抽取，评审小组对投标文件进行评审。</w:t>
      </w:r>
      <w:r>
        <w:rPr>
          <w:rFonts w:hint="eastAsia" w:ascii="仿宋" w:hAnsi="仿宋" w:eastAsia="仿宋" w:cs="仿宋"/>
          <w:color w:val="auto"/>
          <w:sz w:val="24"/>
          <w:szCs w:val="24"/>
          <w:lang w:eastAsia="zh-CN"/>
        </w:rPr>
        <w:t>招标人</w:t>
      </w:r>
      <w:r>
        <w:rPr>
          <w:rFonts w:hint="eastAsia" w:ascii="仿宋" w:hAnsi="仿宋" w:eastAsia="仿宋" w:cs="仿宋"/>
          <w:color w:val="auto"/>
          <w:sz w:val="24"/>
          <w:szCs w:val="24"/>
        </w:rPr>
        <w:t>代表负责对本项目评审质量和结果的审查，但不得担任评审小组负责人。</w:t>
      </w:r>
    </w:p>
    <w:p w14:paraId="4EF48504">
      <w:pPr>
        <w:adjustRightInd w:val="0"/>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2.询标期间，投标人法定代表人</w:t>
      </w:r>
      <w:r>
        <w:rPr>
          <w:rFonts w:hint="eastAsia" w:ascii="仿宋" w:hAnsi="仿宋" w:eastAsia="仿宋" w:cs="仿宋"/>
          <w:bCs/>
          <w:color w:val="auto"/>
          <w:sz w:val="24"/>
          <w:szCs w:val="24"/>
        </w:rPr>
        <w:t>（负责人）</w:t>
      </w:r>
      <w:r>
        <w:rPr>
          <w:rFonts w:hint="eastAsia" w:ascii="仿宋" w:hAnsi="仿宋" w:eastAsia="仿宋" w:cs="仿宋"/>
          <w:color w:val="auto"/>
          <w:sz w:val="24"/>
          <w:szCs w:val="24"/>
        </w:rPr>
        <w:t>或法定代表人</w:t>
      </w:r>
      <w:r>
        <w:rPr>
          <w:rFonts w:hint="eastAsia" w:ascii="仿宋" w:hAnsi="仿宋" w:eastAsia="仿宋" w:cs="仿宋"/>
          <w:bCs/>
          <w:color w:val="auto"/>
          <w:sz w:val="24"/>
          <w:szCs w:val="24"/>
        </w:rPr>
        <w:t>（负责人）</w:t>
      </w:r>
      <w:r>
        <w:rPr>
          <w:rFonts w:hint="eastAsia" w:ascii="仿宋" w:hAnsi="仿宋" w:eastAsia="仿宋" w:cs="仿宋"/>
          <w:color w:val="auto"/>
          <w:sz w:val="24"/>
          <w:szCs w:val="24"/>
        </w:rPr>
        <w:t>委托人必须全程在线</w:t>
      </w:r>
      <w:r>
        <w:rPr>
          <w:rFonts w:ascii="仿宋" w:hAnsi="仿宋" w:eastAsia="仿宋" w:cs="仿宋"/>
          <w:color w:val="auto"/>
          <w:sz w:val="24"/>
          <w:szCs w:val="24"/>
        </w:rPr>
        <w:t>，</w:t>
      </w:r>
      <w:r>
        <w:rPr>
          <w:rFonts w:hint="eastAsia" w:ascii="仿宋" w:hAnsi="仿宋" w:eastAsia="仿宋" w:cs="仿宋"/>
          <w:color w:val="auto"/>
          <w:sz w:val="24"/>
          <w:szCs w:val="24"/>
        </w:rPr>
        <w:t>负责解答有关事宜，确保评标顺利进行。</w:t>
      </w:r>
    </w:p>
    <w:p w14:paraId="492C324C">
      <w:pPr>
        <w:adjustRightInd w:val="0"/>
        <w:snapToGrid w:val="0"/>
        <w:spacing w:line="360" w:lineRule="auto"/>
        <w:ind w:left="425"/>
        <w:outlineLvl w:val="9"/>
        <w:rPr>
          <w:rFonts w:ascii="仿宋" w:hAnsi="仿宋" w:eastAsia="仿宋" w:cs="仿宋"/>
          <w:b/>
          <w:bCs/>
          <w:color w:val="auto"/>
          <w:sz w:val="24"/>
          <w:szCs w:val="24"/>
          <w:lang w:val="zh-CN"/>
        </w:rPr>
      </w:pPr>
      <w:bookmarkStart w:id="99" w:name="_Toc3442"/>
      <w:bookmarkStart w:id="100" w:name="_Toc10805"/>
      <w:bookmarkStart w:id="101" w:name="_Toc8502"/>
      <w:bookmarkStart w:id="102" w:name="_Toc19711"/>
      <w:bookmarkStart w:id="103" w:name="_Toc359856826"/>
      <w:r>
        <w:rPr>
          <w:rFonts w:hint="eastAsia" w:ascii="仿宋" w:hAnsi="仿宋" w:eastAsia="仿宋" w:cs="仿宋"/>
          <w:b/>
          <w:bCs/>
          <w:color w:val="auto"/>
          <w:sz w:val="24"/>
          <w:szCs w:val="24"/>
          <w:lang w:val="zh-CN"/>
        </w:rPr>
        <w:t>二、评标原则</w:t>
      </w:r>
      <w:bookmarkEnd w:id="99"/>
      <w:bookmarkEnd w:id="100"/>
      <w:bookmarkEnd w:id="101"/>
      <w:bookmarkEnd w:id="102"/>
      <w:bookmarkEnd w:id="103"/>
    </w:p>
    <w:p w14:paraId="024BF3D8">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1.投标人得分由技术商务分和报价分合计组成，满分为100分。</w:t>
      </w:r>
    </w:p>
    <w:p w14:paraId="682AEB04">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2.技术商务分与报价分合计得分最高者为第一中标候选人，得分第二高者为第二中标候选人，得分第三高者为第三中标候选人，总分相同时，价格低者优先。报价得分、技术商务得分均相同的，则现场抽签确定。</w:t>
      </w:r>
    </w:p>
    <w:p w14:paraId="0CC1FE39">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3.评审小组根据</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和投标文件，结合技术商务评分细则对各投标人的技术商务部分进行评审。评审小组各成员所评分值的算术平均值即为各投标人的技术商务分值（计算时四舍五入</w:t>
      </w:r>
      <w:r>
        <w:rPr>
          <w:rFonts w:hint="eastAsia" w:ascii="仿宋" w:hAnsi="仿宋" w:eastAsia="仿宋" w:cs="仿宋"/>
          <w:color w:val="auto"/>
          <w:sz w:val="24"/>
          <w:szCs w:val="24"/>
          <w:lang w:eastAsia="zh-CN"/>
        </w:rPr>
        <w:t>保留两位</w:t>
      </w:r>
      <w:r>
        <w:rPr>
          <w:rFonts w:hint="eastAsia" w:ascii="仿宋" w:hAnsi="仿宋" w:eastAsia="仿宋" w:cs="仿宋"/>
          <w:color w:val="auto"/>
          <w:sz w:val="24"/>
          <w:szCs w:val="24"/>
        </w:rPr>
        <w:t>小数）。</w:t>
      </w:r>
    </w:p>
    <w:p w14:paraId="19D20AFC">
      <w:pPr>
        <w:snapToGrid w:val="0"/>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4.评定结果经</w:t>
      </w:r>
      <w:r>
        <w:rPr>
          <w:rFonts w:hint="eastAsia" w:ascii="仿宋" w:hAnsi="仿宋" w:eastAsia="仿宋" w:cs="仿宋"/>
          <w:color w:val="auto"/>
          <w:sz w:val="24"/>
          <w:szCs w:val="24"/>
          <w:lang w:eastAsia="zh-CN"/>
        </w:rPr>
        <w:t>招标人</w:t>
      </w:r>
      <w:r>
        <w:rPr>
          <w:rFonts w:hint="eastAsia" w:ascii="仿宋" w:hAnsi="仿宋" w:eastAsia="仿宋" w:cs="仿宋"/>
          <w:color w:val="auto"/>
          <w:sz w:val="24"/>
          <w:szCs w:val="24"/>
        </w:rPr>
        <w:t>确定后，</w:t>
      </w:r>
      <w:r>
        <w:rPr>
          <w:rFonts w:hint="eastAsia" w:ascii="仿宋" w:hAnsi="仿宋" w:eastAsia="仿宋" w:cs="仿宋"/>
          <w:color w:val="auto"/>
          <w:sz w:val="24"/>
          <w:szCs w:val="24"/>
          <w:lang w:eastAsia="zh-CN"/>
        </w:rPr>
        <w:t>招标代理机构</w:t>
      </w:r>
      <w:r>
        <w:rPr>
          <w:rFonts w:hint="eastAsia" w:ascii="仿宋" w:hAnsi="仿宋" w:eastAsia="仿宋" w:cs="仿宋"/>
          <w:color w:val="auto"/>
          <w:sz w:val="24"/>
          <w:szCs w:val="24"/>
        </w:rPr>
        <w:t>在中标人确定之日起2个工作日内在指定的媒体上公告中标结果同时将以书面形式发出中标通知书。</w:t>
      </w:r>
    </w:p>
    <w:p w14:paraId="457DA761">
      <w:pPr>
        <w:adjustRightInd w:val="0"/>
        <w:snapToGrid w:val="0"/>
        <w:spacing w:line="360" w:lineRule="auto"/>
        <w:ind w:left="425"/>
        <w:outlineLvl w:val="9"/>
        <w:rPr>
          <w:rFonts w:ascii="仿宋" w:hAnsi="仿宋" w:eastAsia="仿宋" w:cs="仿宋"/>
          <w:b/>
          <w:bCs/>
          <w:color w:val="auto"/>
          <w:sz w:val="24"/>
          <w:szCs w:val="24"/>
          <w:lang w:val="zh-CN"/>
        </w:rPr>
      </w:pPr>
      <w:bookmarkStart w:id="104" w:name="_Toc11400"/>
      <w:bookmarkStart w:id="105" w:name="_Toc16543"/>
      <w:bookmarkStart w:id="106" w:name="_Toc7940"/>
      <w:bookmarkStart w:id="107" w:name="_Toc7984"/>
      <w:bookmarkStart w:id="108" w:name="_Toc359856827"/>
      <w:r>
        <w:rPr>
          <w:rFonts w:hint="eastAsia" w:ascii="仿宋" w:hAnsi="仿宋" w:eastAsia="仿宋" w:cs="仿宋"/>
          <w:b/>
          <w:bCs/>
          <w:color w:val="auto"/>
          <w:sz w:val="24"/>
          <w:szCs w:val="24"/>
          <w:lang w:val="zh-CN"/>
        </w:rPr>
        <w:t>三、注意事项</w:t>
      </w:r>
      <w:bookmarkEnd w:id="104"/>
      <w:bookmarkEnd w:id="105"/>
      <w:bookmarkEnd w:id="106"/>
      <w:bookmarkEnd w:id="107"/>
      <w:bookmarkEnd w:id="108"/>
    </w:p>
    <w:p w14:paraId="4928A6A6">
      <w:pPr>
        <w:snapToGrid w:val="0"/>
        <w:spacing w:line="360" w:lineRule="auto"/>
        <w:ind w:firstLine="567"/>
        <w:outlineLvl w:val="9"/>
        <w:rPr>
          <w:rFonts w:ascii="仿宋" w:hAnsi="仿宋" w:eastAsia="仿宋" w:cs="仿宋"/>
          <w:color w:val="auto"/>
          <w:sz w:val="24"/>
          <w:szCs w:val="24"/>
        </w:rPr>
      </w:pPr>
      <w:r>
        <w:rPr>
          <w:rFonts w:hint="eastAsia" w:ascii="仿宋" w:hAnsi="仿宋" w:eastAsia="仿宋" w:cs="仿宋"/>
          <w:color w:val="auto"/>
          <w:sz w:val="24"/>
          <w:szCs w:val="24"/>
        </w:rPr>
        <w:t>评审时评审小组认为投标人的报价明显低于其他通过符合性审</w:t>
      </w:r>
      <w:r>
        <w:rPr>
          <w:rFonts w:hint="eastAsia" w:ascii="仿宋" w:hAnsi="仿宋" w:eastAsia="仿宋" w:cs="仿宋"/>
          <w:color w:val="auto"/>
          <w:sz w:val="24"/>
          <w:szCs w:val="24"/>
          <w:lang w:eastAsia="zh-CN"/>
        </w:rPr>
        <w:t>查的</w:t>
      </w:r>
      <w:r>
        <w:rPr>
          <w:rFonts w:hint="eastAsia" w:ascii="仿宋" w:hAnsi="仿宋" w:eastAsia="仿宋" w:cs="仿宋"/>
          <w:color w:val="auto"/>
          <w:sz w:val="24"/>
          <w:szCs w:val="24"/>
        </w:rPr>
        <w:t>投标人的报价，有可能影响产品质量或者不能诚信履约的，应当要求其在评标现场合理的时间内提供书面说明，必要时提交相关证明材料；投标人不能证明其报价合理性的，评审小组应当将其作为无效投标处理。</w:t>
      </w:r>
    </w:p>
    <w:p w14:paraId="1D48C08C">
      <w:pPr>
        <w:adjustRightInd w:val="0"/>
        <w:snapToGrid w:val="0"/>
        <w:spacing w:line="360" w:lineRule="auto"/>
        <w:ind w:left="425"/>
        <w:outlineLvl w:val="9"/>
        <w:rPr>
          <w:rFonts w:ascii="仿宋" w:hAnsi="仿宋" w:eastAsia="仿宋" w:cs="仿宋"/>
          <w:color w:val="auto"/>
          <w:sz w:val="24"/>
          <w:szCs w:val="24"/>
          <w:lang w:val="zh-CN"/>
        </w:rPr>
      </w:pPr>
      <w:bookmarkStart w:id="109" w:name="_Toc24857"/>
      <w:bookmarkStart w:id="110" w:name="_Toc22893"/>
      <w:bookmarkStart w:id="111" w:name="_Toc7315"/>
      <w:bookmarkStart w:id="112" w:name="_Toc359856828"/>
      <w:bookmarkStart w:id="113" w:name="_Toc2712"/>
      <w:r>
        <w:rPr>
          <w:rFonts w:hint="eastAsia" w:ascii="仿宋" w:hAnsi="仿宋" w:eastAsia="仿宋" w:cs="仿宋"/>
          <w:b/>
          <w:bCs/>
          <w:color w:val="auto"/>
          <w:sz w:val="24"/>
          <w:szCs w:val="24"/>
        </w:rPr>
        <w:t>四、</w:t>
      </w:r>
      <w:r>
        <w:rPr>
          <w:rFonts w:hint="eastAsia" w:ascii="仿宋" w:hAnsi="仿宋" w:eastAsia="仿宋" w:cs="仿宋"/>
          <w:b/>
          <w:bCs/>
          <w:color w:val="auto"/>
          <w:sz w:val="24"/>
          <w:szCs w:val="24"/>
          <w:lang w:val="zh-CN"/>
        </w:rPr>
        <w:t>评分标准</w:t>
      </w:r>
      <w:bookmarkEnd w:id="109"/>
      <w:bookmarkEnd w:id="110"/>
      <w:bookmarkEnd w:id="111"/>
      <w:bookmarkEnd w:id="112"/>
      <w:bookmarkEnd w:id="113"/>
    </w:p>
    <w:p w14:paraId="5E8D7344">
      <w:pPr>
        <w:pStyle w:val="8"/>
        <w:outlineLvl w:val="9"/>
        <w:rPr>
          <w:rFonts w:ascii="仿宋" w:hAnsi="仿宋" w:eastAsia="仿宋" w:cs="仿宋"/>
          <w:b w:val="0"/>
          <w:bCs w:val="0"/>
          <w:color w:val="auto"/>
          <w:sz w:val="24"/>
          <w:lang w:val="zh-CN"/>
        </w:rPr>
      </w:pPr>
    </w:p>
    <w:tbl>
      <w:tblPr>
        <w:tblStyle w:val="23"/>
        <w:tblW w:w="112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52"/>
        <w:gridCol w:w="900"/>
        <w:gridCol w:w="567"/>
        <w:gridCol w:w="260"/>
        <w:gridCol w:w="815"/>
        <w:gridCol w:w="1057"/>
        <w:gridCol w:w="1071"/>
        <w:gridCol w:w="1500"/>
        <w:gridCol w:w="1415"/>
        <w:gridCol w:w="341"/>
        <w:gridCol w:w="1152"/>
        <w:gridCol w:w="1387"/>
      </w:tblGrid>
      <w:tr w14:paraId="239B1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87" w:type="dxa"/>
          <w:trHeight w:val="93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14:paraId="5269D35D">
            <w:pPr>
              <w:autoSpaceDE w:val="0"/>
              <w:autoSpaceDN w:val="0"/>
              <w:spacing w:after="0"/>
              <w:jc w:val="center"/>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序号</w:t>
            </w:r>
          </w:p>
        </w:tc>
        <w:tc>
          <w:tcPr>
            <w:tcW w:w="1519" w:type="dxa"/>
            <w:gridSpan w:val="3"/>
            <w:tcBorders>
              <w:top w:val="single" w:color="auto" w:sz="4" w:space="0"/>
              <w:left w:val="single" w:color="auto" w:sz="4" w:space="0"/>
              <w:bottom w:val="single" w:color="auto" w:sz="4" w:space="0"/>
              <w:right w:val="single" w:color="auto" w:sz="4" w:space="0"/>
            </w:tcBorders>
            <w:vAlign w:val="center"/>
          </w:tcPr>
          <w:p w14:paraId="15E0DF5F">
            <w:pPr>
              <w:autoSpaceDE w:val="0"/>
              <w:autoSpaceDN w:val="0"/>
              <w:spacing w:after="0"/>
              <w:jc w:val="center"/>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评分项目</w:t>
            </w:r>
          </w:p>
        </w:tc>
        <w:tc>
          <w:tcPr>
            <w:tcW w:w="6459" w:type="dxa"/>
            <w:gridSpan w:val="7"/>
            <w:tcBorders>
              <w:top w:val="single" w:color="auto" w:sz="4" w:space="0"/>
              <w:left w:val="single" w:color="auto" w:sz="4" w:space="0"/>
              <w:bottom w:val="single" w:color="auto" w:sz="4" w:space="0"/>
              <w:right w:val="single" w:color="auto" w:sz="4" w:space="0"/>
            </w:tcBorders>
            <w:vAlign w:val="center"/>
          </w:tcPr>
          <w:p w14:paraId="258C036E">
            <w:pPr>
              <w:autoSpaceDE w:val="0"/>
              <w:autoSpaceDN w:val="0"/>
              <w:spacing w:after="0"/>
              <w:jc w:val="center"/>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评审细则</w:t>
            </w:r>
          </w:p>
        </w:tc>
        <w:tc>
          <w:tcPr>
            <w:tcW w:w="1152" w:type="dxa"/>
            <w:tcBorders>
              <w:top w:val="single" w:color="auto" w:sz="4" w:space="0"/>
              <w:left w:val="single" w:color="auto" w:sz="4" w:space="0"/>
              <w:bottom w:val="single" w:color="auto" w:sz="4" w:space="0"/>
              <w:right w:val="single" w:color="auto" w:sz="4" w:space="0"/>
            </w:tcBorders>
            <w:vAlign w:val="center"/>
          </w:tcPr>
          <w:p w14:paraId="7FACF629">
            <w:pPr>
              <w:autoSpaceDE w:val="0"/>
              <w:autoSpaceDN w:val="0"/>
              <w:spacing w:after="0"/>
              <w:jc w:val="center"/>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分值</w:t>
            </w:r>
          </w:p>
        </w:tc>
      </w:tr>
      <w:tr w14:paraId="0282D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87" w:type="dxa"/>
          <w:trHeight w:val="93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14:paraId="0DB4804E">
            <w:pPr>
              <w:autoSpaceDE w:val="0"/>
              <w:autoSpaceDN w:val="0"/>
              <w:spacing w:after="0"/>
              <w:jc w:val="center"/>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en-US" w:eastAsia="zh-CN"/>
              </w:rPr>
              <w:t>1</w:t>
            </w:r>
          </w:p>
        </w:tc>
        <w:tc>
          <w:tcPr>
            <w:tcW w:w="1519" w:type="dxa"/>
            <w:gridSpan w:val="3"/>
            <w:tcBorders>
              <w:top w:val="single" w:color="auto" w:sz="4" w:space="0"/>
              <w:left w:val="single" w:color="auto" w:sz="4" w:space="0"/>
              <w:bottom w:val="single" w:color="auto" w:sz="4" w:space="0"/>
              <w:right w:val="single" w:color="auto" w:sz="4" w:space="0"/>
            </w:tcBorders>
            <w:vAlign w:val="center"/>
          </w:tcPr>
          <w:p w14:paraId="10426C4E">
            <w:pPr>
              <w:autoSpaceDE w:val="0"/>
              <w:autoSpaceDN w:val="0"/>
              <w:spacing w:after="0"/>
              <w:jc w:val="center"/>
              <w:rPr>
                <w:rFonts w:hint="eastAsia" w:ascii="仿宋" w:hAnsi="仿宋" w:eastAsia="仿宋" w:cs="仿宋"/>
                <w:color w:val="auto"/>
                <w:sz w:val="24"/>
                <w:szCs w:val="24"/>
                <w:highlight w:val="none"/>
                <w:lang w:val="zh-CN"/>
              </w:rPr>
            </w:pPr>
            <w:r>
              <w:rPr>
                <w:rFonts w:hint="eastAsia" w:ascii="仿宋" w:hAnsi="仿宋" w:eastAsia="仿宋" w:cs="仿宋"/>
                <w:b w:val="0"/>
                <w:bCs w:val="0"/>
                <w:color w:val="auto"/>
                <w:sz w:val="24"/>
                <w:szCs w:val="24"/>
                <w:highlight w:val="none"/>
              </w:rPr>
              <w:t>类似业绩</w:t>
            </w:r>
          </w:p>
        </w:tc>
        <w:tc>
          <w:tcPr>
            <w:tcW w:w="6459" w:type="dxa"/>
            <w:gridSpan w:val="7"/>
            <w:tcBorders>
              <w:top w:val="single" w:color="auto" w:sz="4" w:space="0"/>
              <w:left w:val="single" w:color="auto" w:sz="4" w:space="0"/>
              <w:bottom w:val="single" w:color="auto" w:sz="4" w:space="0"/>
              <w:right w:val="single" w:color="auto" w:sz="4" w:space="0"/>
            </w:tcBorders>
            <w:vAlign w:val="center"/>
          </w:tcPr>
          <w:p w14:paraId="7CC1AE6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eastAsia="zh-CN"/>
              </w:rPr>
              <w:t>投标人</w:t>
            </w:r>
            <w:r>
              <w:rPr>
                <w:rFonts w:hint="eastAsia" w:ascii="仿宋" w:hAnsi="仿宋" w:eastAsia="仿宋" w:cs="仿宋"/>
                <w:b w:val="0"/>
                <w:bCs w:val="0"/>
                <w:color w:val="auto"/>
                <w:sz w:val="24"/>
                <w:szCs w:val="24"/>
                <w:highlight w:val="none"/>
                <w:lang w:val="en-US" w:eastAsia="zh-CN"/>
              </w:rPr>
              <w:t>自</w:t>
            </w:r>
            <w:r>
              <w:rPr>
                <w:rFonts w:hint="eastAsia" w:ascii="仿宋" w:hAnsi="仿宋" w:eastAsia="仿宋" w:cs="仿宋"/>
                <w:b w:val="0"/>
                <w:bCs w:val="0"/>
                <w:color w:val="auto"/>
                <w:sz w:val="24"/>
                <w:szCs w:val="24"/>
                <w:highlight w:val="none"/>
              </w:rPr>
              <w:t>20</w:t>
            </w:r>
            <w:r>
              <w:rPr>
                <w:rFonts w:hint="eastAsia" w:ascii="仿宋" w:hAnsi="仿宋" w:eastAsia="仿宋" w:cs="仿宋"/>
                <w:b w:val="0"/>
                <w:bCs w:val="0"/>
                <w:color w:val="auto"/>
                <w:sz w:val="24"/>
                <w:szCs w:val="24"/>
                <w:highlight w:val="none"/>
                <w:lang w:val="en-US" w:eastAsia="zh-CN"/>
              </w:rPr>
              <w:t>23</w:t>
            </w:r>
            <w:r>
              <w:rPr>
                <w:rFonts w:hint="eastAsia" w:ascii="仿宋" w:hAnsi="仿宋" w:eastAsia="仿宋" w:cs="仿宋"/>
                <w:b w:val="0"/>
                <w:bCs w:val="0"/>
                <w:color w:val="auto"/>
                <w:sz w:val="24"/>
                <w:szCs w:val="24"/>
                <w:highlight w:val="none"/>
              </w:rPr>
              <w:t>年</w:t>
            </w:r>
            <w:r>
              <w:rPr>
                <w:rFonts w:hint="eastAsia" w:ascii="仿宋" w:hAnsi="仿宋" w:eastAsia="仿宋" w:cs="仿宋"/>
                <w:b w:val="0"/>
                <w:bCs w:val="0"/>
                <w:color w:val="auto"/>
                <w:sz w:val="24"/>
                <w:szCs w:val="24"/>
                <w:highlight w:val="none"/>
                <w:lang w:val="en-US" w:eastAsia="zh-CN"/>
              </w:rPr>
              <w:t>1</w:t>
            </w:r>
            <w:r>
              <w:rPr>
                <w:rFonts w:hint="eastAsia" w:ascii="仿宋" w:hAnsi="仿宋" w:eastAsia="仿宋" w:cs="仿宋"/>
                <w:b w:val="0"/>
                <w:bCs w:val="0"/>
                <w:color w:val="auto"/>
                <w:sz w:val="24"/>
                <w:szCs w:val="24"/>
                <w:highlight w:val="none"/>
              </w:rPr>
              <w:t>月1日起</w:t>
            </w:r>
            <w:r>
              <w:rPr>
                <w:rFonts w:hint="eastAsia" w:ascii="仿宋" w:hAnsi="仿宋" w:eastAsia="仿宋" w:cs="仿宋"/>
                <w:b w:val="0"/>
                <w:bCs w:val="0"/>
                <w:color w:val="auto"/>
                <w:sz w:val="24"/>
                <w:szCs w:val="24"/>
                <w:highlight w:val="none"/>
                <w:lang w:val="en-US" w:eastAsia="zh-CN"/>
              </w:rPr>
              <w:t>至今</w:t>
            </w:r>
            <w:r>
              <w:rPr>
                <w:rFonts w:hint="eastAsia" w:ascii="仿宋" w:hAnsi="仿宋" w:eastAsia="仿宋" w:cs="仿宋"/>
                <w:b w:val="0"/>
                <w:bCs w:val="0"/>
                <w:color w:val="auto"/>
                <w:sz w:val="24"/>
                <w:szCs w:val="24"/>
                <w:highlight w:val="none"/>
              </w:rPr>
              <w:t>（以签订合同时间为准），</w:t>
            </w:r>
            <w:r>
              <w:rPr>
                <w:rFonts w:hint="eastAsia" w:ascii="仿宋" w:hAnsi="仿宋" w:eastAsia="仿宋" w:cs="仿宋"/>
                <w:b w:val="0"/>
                <w:bCs w:val="0"/>
                <w:color w:val="auto"/>
                <w:sz w:val="24"/>
                <w:szCs w:val="24"/>
                <w:highlight w:val="none"/>
                <w:lang w:val="en-US" w:eastAsia="zh-CN"/>
              </w:rPr>
              <w:t>承担过类似冷链运输类业绩的，</w:t>
            </w:r>
            <w:r>
              <w:rPr>
                <w:rFonts w:hint="eastAsia" w:ascii="仿宋" w:hAnsi="仿宋" w:eastAsia="仿宋" w:cs="仿宋"/>
                <w:b w:val="0"/>
                <w:bCs w:val="0"/>
                <w:color w:val="auto"/>
                <w:sz w:val="24"/>
                <w:szCs w:val="24"/>
                <w:highlight w:val="none"/>
              </w:rPr>
              <w:t>每个得1分，本项最高得</w:t>
            </w:r>
            <w:r>
              <w:rPr>
                <w:rFonts w:hint="eastAsia" w:ascii="仿宋" w:hAnsi="仿宋" w:eastAsia="仿宋" w:cs="仿宋"/>
                <w:b w:val="0"/>
                <w:bCs w:val="0"/>
                <w:color w:val="auto"/>
                <w:sz w:val="24"/>
                <w:szCs w:val="24"/>
                <w:highlight w:val="none"/>
                <w:lang w:val="en-US" w:eastAsia="zh-CN"/>
              </w:rPr>
              <w:t>10</w:t>
            </w:r>
            <w:r>
              <w:rPr>
                <w:rFonts w:hint="eastAsia" w:ascii="仿宋" w:hAnsi="仿宋" w:eastAsia="仿宋" w:cs="仿宋"/>
                <w:b w:val="0"/>
                <w:bCs w:val="0"/>
                <w:color w:val="auto"/>
                <w:sz w:val="24"/>
                <w:szCs w:val="24"/>
                <w:highlight w:val="none"/>
              </w:rPr>
              <w:t>分。</w:t>
            </w:r>
          </w:p>
          <w:p w14:paraId="4AC1B3A3">
            <w:pPr>
              <w:autoSpaceDE w:val="0"/>
              <w:autoSpaceDN w:val="0"/>
              <w:spacing w:after="0"/>
              <w:ind w:firstLine="480" w:firstLineChars="200"/>
              <w:jc w:val="left"/>
              <w:rPr>
                <w:rFonts w:hint="eastAsia" w:ascii="宋体" w:hAnsi="宋体" w:eastAsia="宋体" w:cs="宋体"/>
                <w:b w:val="0"/>
                <w:bCs w:val="0"/>
                <w:color w:val="auto"/>
                <w:sz w:val="21"/>
                <w:szCs w:val="21"/>
                <w:highlight w:val="none"/>
                <w:lang w:val="zh-CN"/>
              </w:rPr>
            </w:pPr>
            <w:r>
              <w:rPr>
                <w:rFonts w:hint="eastAsia" w:ascii="仿宋" w:hAnsi="仿宋" w:eastAsia="仿宋" w:cs="仿宋"/>
                <w:b w:val="0"/>
                <w:bCs w:val="0"/>
                <w:color w:val="auto"/>
                <w:sz w:val="24"/>
                <w:szCs w:val="24"/>
                <w:highlight w:val="none"/>
                <w:lang w:val="en-US" w:eastAsia="zh-CN"/>
              </w:rPr>
              <w:t>注：</w:t>
            </w:r>
            <w:r>
              <w:rPr>
                <w:rFonts w:hint="eastAsia" w:ascii="仿宋" w:hAnsi="仿宋" w:eastAsia="仿宋" w:cs="仿宋"/>
                <w:b w:val="0"/>
                <w:bCs w:val="0"/>
                <w:color w:val="auto"/>
                <w:sz w:val="24"/>
                <w:szCs w:val="24"/>
                <w:highlight w:val="none"/>
              </w:rPr>
              <w:t>须提供合同</w:t>
            </w:r>
            <w:r>
              <w:rPr>
                <w:rFonts w:hint="eastAsia" w:ascii="仿宋" w:hAnsi="仿宋" w:eastAsia="仿宋" w:cs="仿宋"/>
                <w:b w:val="0"/>
                <w:bCs w:val="0"/>
                <w:color w:val="auto"/>
                <w:sz w:val="24"/>
                <w:szCs w:val="24"/>
                <w:highlight w:val="none"/>
                <w:lang w:val="en-US" w:eastAsia="zh-CN"/>
              </w:rPr>
              <w:t>首页及盖章页等关键页扫描件</w:t>
            </w:r>
            <w:r>
              <w:rPr>
                <w:rFonts w:hint="eastAsia" w:ascii="仿宋" w:hAnsi="仿宋" w:eastAsia="仿宋" w:cs="仿宋"/>
                <w:b w:val="0"/>
                <w:bCs w:val="0"/>
                <w:color w:val="auto"/>
                <w:sz w:val="24"/>
                <w:szCs w:val="24"/>
                <w:highlight w:val="none"/>
              </w:rPr>
              <w:t>加盖</w:t>
            </w:r>
            <w:r>
              <w:rPr>
                <w:rFonts w:hint="eastAsia" w:ascii="仿宋" w:hAnsi="仿宋" w:eastAsia="仿宋" w:cs="仿宋"/>
                <w:b w:val="0"/>
                <w:bCs w:val="0"/>
                <w:color w:val="auto"/>
                <w:sz w:val="24"/>
                <w:szCs w:val="24"/>
                <w:highlight w:val="none"/>
                <w:lang w:val="en-US" w:eastAsia="zh-CN"/>
              </w:rPr>
              <w:t>投标人</w:t>
            </w:r>
            <w:r>
              <w:rPr>
                <w:rFonts w:hint="eastAsia" w:ascii="仿宋" w:hAnsi="仿宋" w:eastAsia="仿宋" w:cs="仿宋"/>
                <w:b w:val="0"/>
                <w:bCs w:val="0"/>
                <w:color w:val="auto"/>
                <w:sz w:val="24"/>
                <w:szCs w:val="24"/>
                <w:highlight w:val="none"/>
              </w:rPr>
              <w:t>公章</w:t>
            </w:r>
            <w:r>
              <w:rPr>
                <w:rFonts w:hint="eastAsia" w:ascii="仿宋" w:hAnsi="仿宋" w:eastAsia="仿宋" w:cs="仿宋"/>
                <w:b w:val="0"/>
                <w:bCs w:val="0"/>
                <w:color w:val="auto"/>
                <w:sz w:val="24"/>
                <w:szCs w:val="24"/>
                <w:highlight w:val="none"/>
                <w:lang w:val="en-US" w:eastAsia="zh-CN"/>
              </w:rPr>
              <w:t>编入投标文件</w:t>
            </w:r>
            <w:r>
              <w:rPr>
                <w:rFonts w:hint="eastAsia" w:ascii="仿宋" w:hAnsi="仿宋" w:eastAsia="仿宋" w:cs="仿宋"/>
                <w:b w:val="0"/>
                <w:bCs w:val="0"/>
                <w:color w:val="auto"/>
                <w:sz w:val="24"/>
                <w:szCs w:val="24"/>
                <w:highlight w:val="none"/>
              </w:rPr>
              <w:t>，</w:t>
            </w:r>
            <w:r>
              <w:rPr>
                <w:rFonts w:hint="eastAsia" w:ascii="仿宋" w:hAnsi="仿宋" w:eastAsia="仿宋" w:cs="仿宋"/>
                <w:b w:val="0"/>
                <w:bCs w:val="0"/>
                <w:color w:val="auto"/>
                <w:sz w:val="24"/>
                <w:szCs w:val="24"/>
                <w:highlight w:val="none"/>
                <w:lang w:val="en-US" w:eastAsia="zh-CN"/>
              </w:rPr>
              <w:t>否则</w:t>
            </w:r>
            <w:r>
              <w:rPr>
                <w:rFonts w:hint="eastAsia" w:ascii="仿宋" w:hAnsi="仿宋" w:eastAsia="仿宋" w:cs="仿宋"/>
                <w:b w:val="0"/>
                <w:bCs w:val="0"/>
                <w:color w:val="auto"/>
                <w:sz w:val="24"/>
                <w:szCs w:val="24"/>
                <w:highlight w:val="none"/>
              </w:rPr>
              <w:t>不得分。</w:t>
            </w:r>
          </w:p>
        </w:tc>
        <w:tc>
          <w:tcPr>
            <w:tcW w:w="1152" w:type="dxa"/>
            <w:tcBorders>
              <w:top w:val="single" w:color="auto" w:sz="4" w:space="0"/>
              <w:left w:val="single" w:color="auto" w:sz="4" w:space="0"/>
              <w:bottom w:val="single" w:color="auto" w:sz="4" w:space="0"/>
              <w:right w:val="single" w:color="auto" w:sz="4" w:space="0"/>
            </w:tcBorders>
            <w:vAlign w:val="center"/>
          </w:tcPr>
          <w:p w14:paraId="4658B47E">
            <w:pPr>
              <w:autoSpaceDE w:val="0"/>
              <w:autoSpaceDN w:val="0"/>
              <w:spacing w:after="0"/>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0-10分</w:t>
            </w:r>
          </w:p>
        </w:tc>
      </w:tr>
      <w:tr w14:paraId="58C7D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87" w:type="dxa"/>
          <w:trHeight w:val="930" w:hRule="atLeast"/>
          <w:jc w:val="center"/>
        </w:trPr>
        <w:tc>
          <w:tcPr>
            <w:tcW w:w="714" w:type="dxa"/>
            <w:tcBorders>
              <w:left w:val="single" w:color="auto" w:sz="4" w:space="0"/>
              <w:bottom w:val="single" w:color="auto" w:sz="4" w:space="0"/>
              <w:right w:val="single" w:color="auto" w:sz="4" w:space="0"/>
            </w:tcBorders>
            <w:vAlign w:val="center"/>
          </w:tcPr>
          <w:p w14:paraId="30B6567F">
            <w:pPr>
              <w:autoSpaceDE w:val="0"/>
              <w:autoSpaceDN w:val="0"/>
              <w:spacing w:after="0"/>
              <w:jc w:val="center"/>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en-US" w:eastAsia="zh-CN"/>
              </w:rPr>
              <w:t>2</w:t>
            </w:r>
          </w:p>
        </w:tc>
        <w:tc>
          <w:tcPr>
            <w:tcW w:w="1519" w:type="dxa"/>
            <w:gridSpan w:val="3"/>
            <w:tcBorders>
              <w:left w:val="single" w:color="auto" w:sz="4" w:space="0"/>
              <w:bottom w:val="single" w:color="auto" w:sz="4" w:space="0"/>
              <w:right w:val="single" w:color="auto" w:sz="4" w:space="0"/>
            </w:tcBorders>
            <w:vAlign w:val="center"/>
          </w:tcPr>
          <w:p w14:paraId="0E9A1139">
            <w:pPr>
              <w:autoSpaceDE w:val="0"/>
              <w:autoSpaceDN w:val="0"/>
              <w:spacing w:after="0"/>
              <w:jc w:val="center"/>
              <w:rPr>
                <w:rFonts w:hint="eastAsia" w:ascii="仿宋" w:hAnsi="仿宋" w:eastAsia="仿宋" w:cs="仿宋"/>
                <w:color w:val="auto"/>
                <w:sz w:val="24"/>
                <w:szCs w:val="24"/>
                <w:highlight w:val="none"/>
                <w:lang w:val="en-US" w:eastAsia="zh-CN"/>
              </w:rPr>
            </w:pPr>
            <w:r>
              <w:rPr>
                <w:rFonts w:hint="eastAsia" w:ascii="仿宋" w:hAnsi="仿宋" w:eastAsia="仿宋" w:cs="仿宋"/>
                <w:b w:val="0"/>
                <w:bCs w:val="0"/>
                <w:color w:val="auto"/>
                <w:sz w:val="24"/>
                <w:szCs w:val="24"/>
                <w:highlight w:val="none"/>
              </w:rPr>
              <w:t>体系认证</w:t>
            </w:r>
          </w:p>
        </w:tc>
        <w:tc>
          <w:tcPr>
            <w:tcW w:w="6459" w:type="dxa"/>
            <w:gridSpan w:val="7"/>
            <w:tcBorders>
              <w:top w:val="single" w:color="auto" w:sz="4" w:space="0"/>
              <w:left w:val="single" w:color="auto" w:sz="4" w:space="0"/>
              <w:bottom w:val="single" w:color="auto" w:sz="4" w:space="0"/>
              <w:right w:val="single" w:color="auto" w:sz="4" w:space="0"/>
            </w:tcBorders>
            <w:vAlign w:val="center"/>
          </w:tcPr>
          <w:p w14:paraId="37C830E1">
            <w:pPr>
              <w:autoSpaceDE w:val="0"/>
              <w:autoSpaceDN w:val="0"/>
              <w:spacing w:after="0"/>
              <w:ind w:firstLine="480" w:firstLineChars="200"/>
              <w:jc w:val="left"/>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eastAsia="zh-CN"/>
              </w:rPr>
              <w:t>投标人</w:t>
            </w:r>
            <w:r>
              <w:rPr>
                <w:rFonts w:hint="eastAsia" w:ascii="仿宋" w:hAnsi="仿宋" w:eastAsia="仿宋" w:cs="仿宋"/>
                <w:b w:val="0"/>
                <w:bCs w:val="0"/>
                <w:color w:val="auto"/>
                <w:sz w:val="24"/>
                <w:szCs w:val="24"/>
                <w:highlight w:val="none"/>
              </w:rPr>
              <w:t>或其</w:t>
            </w:r>
            <w:r>
              <w:rPr>
                <w:rFonts w:hint="eastAsia" w:ascii="仿宋" w:hAnsi="仿宋" w:eastAsia="仿宋" w:cs="仿宋"/>
                <w:b w:val="0"/>
                <w:bCs w:val="0"/>
                <w:color w:val="auto"/>
                <w:sz w:val="24"/>
                <w:szCs w:val="24"/>
                <w:highlight w:val="none"/>
                <w:lang w:val="en-US" w:eastAsia="zh-CN"/>
              </w:rPr>
              <w:t>集团关联</w:t>
            </w:r>
            <w:r>
              <w:rPr>
                <w:rFonts w:hint="eastAsia" w:ascii="仿宋" w:hAnsi="仿宋" w:eastAsia="仿宋" w:cs="仿宋"/>
                <w:b w:val="0"/>
                <w:bCs w:val="0"/>
                <w:color w:val="auto"/>
                <w:sz w:val="24"/>
                <w:szCs w:val="24"/>
                <w:highlight w:val="none"/>
              </w:rPr>
              <w:t>公司具有</w:t>
            </w:r>
            <w:r>
              <w:rPr>
                <w:rFonts w:hint="eastAsia" w:ascii="仿宋" w:hAnsi="仿宋" w:eastAsia="仿宋" w:cs="仿宋"/>
                <w:b w:val="0"/>
                <w:bCs w:val="0"/>
                <w:color w:val="auto"/>
                <w:sz w:val="24"/>
                <w:szCs w:val="24"/>
                <w:highlight w:val="none"/>
                <w:lang w:val="en-US" w:eastAsia="zh-CN"/>
              </w:rPr>
              <w:t>有效的</w:t>
            </w:r>
            <w:r>
              <w:rPr>
                <w:rFonts w:hint="eastAsia" w:ascii="仿宋" w:hAnsi="仿宋" w:eastAsia="仿宋" w:cs="仿宋"/>
                <w:b w:val="0"/>
                <w:bCs w:val="0"/>
                <w:color w:val="auto"/>
                <w:sz w:val="24"/>
                <w:szCs w:val="24"/>
                <w:highlight w:val="none"/>
              </w:rPr>
              <w:t>信息安全管理体系认证的，得1分；</w:t>
            </w:r>
          </w:p>
          <w:p w14:paraId="2DBB74F7">
            <w:pPr>
              <w:autoSpaceDE w:val="0"/>
              <w:autoSpaceDN w:val="0"/>
              <w:spacing w:after="0"/>
              <w:ind w:firstLine="480" w:firstLineChars="200"/>
              <w:jc w:val="left"/>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eastAsia="zh-CN"/>
              </w:rPr>
              <w:t>投标人</w:t>
            </w:r>
            <w:r>
              <w:rPr>
                <w:rFonts w:hint="eastAsia" w:ascii="仿宋" w:hAnsi="仿宋" w:eastAsia="仿宋" w:cs="仿宋"/>
                <w:b w:val="0"/>
                <w:bCs w:val="0"/>
                <w:color w:val="auto"/>
                <w:sz w:val="24"/>
                <w:szCs w:val="24"/>
                <w:highlight w:val="none"/>
              </w:rPr>
              <w:t>或其</w:t>
            </w:r>
            <w:r>
              <w:rPr>
                <w:rFonts w:hint="eastAsia" w:ascii="仿宋" w:hAnsi="仿宋" w:eastAsia="仿宋" w:cs="仿宋"/>
                <w:b w:val="0"/>
                <w:bCs w:val="0"/>
                <w:color w:val="auto"/>
                <w:sz w:val="24"/>
                <w:szCs w:val="24"/>
                <w:highlight w:val="none"/>
                <w:lang w:val="en-US" w:eastAsia="zh-CN"/>
              </w:rPr>
              <w:t>集团关联</w:t>
            </w:r>
            <w:r>
              <w:rPr>
                <w:rFonts w:hint="eastAsia" w:ascii="仿宋" w:hAnsi="仿宋" w:eastAsia="仿宋" w:cs="仿宋"/>
                <w:b w:val="0"/>
                <w:bCs w:val="0"/>
                <w:color w:val="auto"/>
                <w:sz w:val="24"/>
                <w:szCs w:val="24"/>
                <w:highlight w:val="none"/>
              </w:rPr>
              <w:t>公司</w:t>
            </w:r>
            <w:r>
              <w:rPr>
                <w:rFonts w:hint="eastAsia" w:ascii="仿宋" w:hAnsi="仿宋" w:eastAsia="仿宋" w:cs="仿宋"/>
                <w:b w:val="0"/>
                <w:bCs w:val="0"/>
                <w:color w:val="auto"/>
                <w:sz w:val="24"/>
                <w:szCs w:val="24"/>
                <w:highlight w:val="none"/>
                <w:lang w:val="en-US" w:eastAsia="zh-CN"/>
              </w:rPr>
              <w:t>具有有效的食品安全管理体系认证证书，得2分；</w:t>
            </w:r>
          </w:p>
          <w:p w14:paraId="34FCFDAF">
            <w:pPr>
              <w:autoSpaceDE w:val="0"/>
              <w:autoSpaceDN w:val="0"/>
              <w:spacing w:after="0"/>
              <w:ind w:firstLine="480" w:firstLineChars="200"/>
              <w:jc w:val="left"/>
              <w:rPr>
                <w:rFonts w:hint="eastAsia" w:ascii="宋体" w:hAnsi="宋体" w:cs="宋体"/>
                <w:color w:val="auto"/>
                <w:kern w:val="0"/>
                <w:szCs w:val="21"/>
                <w:highlight w:val="none"/>
              </w:rPr>
            </w:pPr>
            <w:r>
              <w:rPr>
                <w:rFonts w:hint="eastAsia" w:ascii="仿宋" w:hAnsi="仿宋" w:eastAsia="仿宋" w:cs="仿宋"/>
                <w:b w:val="0"/>
                <w:bCs w:val="0"/>
                <w:color w:val="auto"/>
                <w:sz w:val="24"/>
                <w:szCs w:val="24"/>
                <w:highlight w:val="none"/>
                <w:lang w:eastAsia="zh-CN"/>
              </w:rPr>
              <w:t>投标人</w:t>
            </w:r>
            <w:r>
              <w:rPr>
                <w:rFonts w:hint="eastAsia" w:ascii="仿宋" w:hAnsi="仿宋" w:eastAsia="仿宋" w:cs="仿宋"/>
                <w:b w:val="0"/>
                <w:bCs w:val="0"/>
                <w:color w:val="auto"/>
                <w:sz w:val="24"/>
                <w:szCs w:val="24"/>
                <w:highlight w:val="none"/>
              </w:rPr>
              <w:t>或其</w:t>
            </w:r>
            <w:r>
              <w:rPr>
                <w:rFonts w:hint="eastAsia" w:ascii="仿宋" w:hAnsi="仿宋" w:eastAsia="仿宋" w:cs="仿宋"/>
                <w:b w:val="0"/>
                <w:bCs w:val="0"/>
                <w:color w:val="auto"/>
                <w:sz w:val="24"/>
                <w:szCs w:val="24"/>
                <w:highlight w:val="none"/>
                <w:lang w:val="en-US" w:eastAsia="zh-CN"/>
              </w:rPr>
              <w:t>集团关联</w:t>
            </w:r>
            <w:r>
              <w:rPr>
                <w:rFonts w:hint="eastAsia" w:ascii="仿宋" w:hAnsi="仿宋" w:eastAsia="仿宋" w:cs="仿宋"/>
                <w:b w:val="0"/>
                <w:bCs w:val="0"/>
                <w:color w:val="auto"/>
                <w:sz w:val="24"/>
                <w:szCs w:val="24"/>
                <w:highlight w:val="none"/>
              </w:rPr>
              <w:t>公司具有</w:t>
            </w:r>
            <w:r>
              <w:rPr>
                <w:rFonts w:hint="eastAsia" w:ascii="仿宋" w:hAnsi="仿宋" w:eastAsia="仿宋" w:cs="仿宋"/>
                <w:b w:val="0"/>
                <w:bCs w:val="0"/>
                <w:color w:val="auto"/>
                <w:sz w:val="24"/>
                <w:szCs w:val="24"/>
                <w:highlight w:val="none"/>
                <w:lang w:val="en-US" w:eastAsia="zh-CN"/>
              </w:rPr>
              <w:t>有效的质量管理体系认证证书得2分</w:t>
            </w:r>
            <w:r>
              <w:rPr>
                <w:rFonts w:hint="eastAsia" w:ascii="仿宋" w:hAnsi="仿宋" w:eastAsia="仿宋" w:cs="仿宋"/>
                <w:b w:val="0"/>
                <w:bCs w:val="0"/>
                <w:color w:val="auto"/>
                <w:sz w:val="24"/>
                <w:szCs w:val="24"/>
                <w:highlight w:val="none"/>
              </w:rPr>
              <w:t>。</w:t>
            </w:r>
          </w:p>
          <w:p w14:paraId="44E10A82">
            <w:pPr>
              <w:autoSpaceDE w:val="0"/>
              <w:autoSpaceDN w:val="0"/>
              <w:spacing w:after="0"/>
              <w:ind w:firstLine="480" w:firstLineChars="200"/>
              <w:jc w:val="left"/>
              <w:rPr>
                <w:rFonts w:hint="eastAsia" w:ascii="宋体" w:hAnsi="宋体" w:eastAsia="宋体" w:cs="宋体"/>
                <w:b w:val="0"/>
                <w:bCs w:val="0"/>
                <w:color w:val="auto"/>
                <w:sz w:val="21"/>
                <w:szCs w:val="21"/>
                <w:highlight w:val="none"/>
                <w:lang w:val="zh-CN"/>
              </w:rPr>
            </w:pPr>
            <w:r>
              <w:rPr>
                <w:rFonts w:hint="eastAsia" w:ascii="仿宋" w:hAnsi="仿宋" w:eastAsia="仿宋" w:cs="仿宋"/>
                <w:b w:val="0"/>
                <w:bCs w:val="0"/>
                <w:color w:val="auto"/>
                <w:sz w:val="24"/>
                <w:szCs w:val="24"/>
                <w:highlight w:val="none"/>
                <w:lang w:val="en-US" w:eastAsia="zh-CN"/>
              </w:rPr>
              <w:t>注：须</w:t>
            </w:r>
            <w:r>
              <w:rPr>
                <w:rFonts w:hint="eastAsia" w:ascii="仿宋" w:hAnsi="仿宋" w:eastAsia="仿宋" w:cs="仿宋"/>
                <w:b w:val="0"/>
                <w:bCs w:val="0"/>
                <w:color w:val="auto"/>
                <w:sz w:val="24"/>
                <w:szCs w:val="24"/>
                <w:highlight w:val="none"/>
              </w:rPr>
              <w:t>提供证书扫描件加盖</w:t>
            </w:r>
            <w:r>
              <w:rPr>
                <w:rFonts w:hint="eastAsia" w:ascii="仿宋" w:hAnsi="仿宋" w:eastAsia="仿宋" w:cs="仿宋"/>
                <w:b w:val="0"/>
                <w:bCs w:val="0"/>
                <w:color w:val="auto"/>
                <w:sz w:val="24"/>
                <w:szCs w:val="24"/>
                <w:highlight w:val="none"/>
                <w:lang w:val="en-US" w:eastAsia="zh-CN"/>
              </w:rPr>
              <w:t>投标人</w:t>
            </w:r>
            <w:r>
              <w:rPr>
                <w:rFonts w:hint="eastAsia" w:ascii="仿宋" w:hAnsi="仿宋" w:eastAsia="仿宋" w:cs="仿宋"/>
                <w:b w:val="0"/>
                <w:bCs w:val="0"/>
                <w:color w:val="auto"/>
                <w:sz w:val="24"/>
                <w:szCs w:val="24"/>
                <w:highlight w:val="none"/>
              </w:rPr>
              <w:t>公章</w:t>
            </w:r>
            <w:r>
              <w:rPr>
                <w:rFonts w:hint="eastAsia" w:ascii="仿宋" w:hAnsi="仿宋" w:eastAsia="仿宋" w:cs="仿宋"/>
                <w:b w:val="0"/>
                <w:bCs w:val="0"/>
                <w:color w:val="auto"/>
                <w:sz w:val="24"/>
                <w:szCs w:val="24"/>
                <w:highlight w:val="none"/>
                <w:lang w:val="en-US" w:eastAsia="zh-CN"/>
              </w:rPr>
              <w:t>编入投标文件</w:t>
            </w:r>
            <w:r>
              <w:rPr>
                <w:rFonts w:hint="eastAsia" w:ascii="仿宋" w:hAnsi="仿宋" w:eastAsia="仿宋" w:cs="仿宋"/>
                <w:b w:val="0"/>
                <w:bCs w:val="0"/>
                <w:color w:val="auto"/>
                <w:sz w:val="24"/>
                <w:szCs w:val="24"/>
                <w:highlight w:val="none"/>
              </w:rPr>
              <w:t>，否则不得分。</w:t>
            </w:r>
          </w:p>
        </w:tc>
        <w:tc>
          <w:tcPr>
            <w:tcW w:w="1152" w:type="dxa"/>
            <w:tcBorders>
              <w:left w:val="single" w:color="auto" w:sz="4" w:space="0"/>
              <w:bottom w:val="single" w:color="auto" w:sz="4" w:space="0"/>
              <w:right w:val="single" w:color="auto" w:sz="4" w:space="0"/>
            </w:tcBorders>
            <w:vAlign w:val="center"/>
          </w:tcPr>
          <w:p w14:paraId="37DC5868">
            <w:pPr>
              <w:autoSpaceDE w:val="0"/>
              <w:autoSpaceDN w:val="0"/>
              <w:spacing w:after="0"/>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0-5分</w:t>
            </w:r>
          </w:p>
        </w:tc>
      </w:tr>
      <w:tr w14:paraId="739F4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87" w:type="dxa"/>
          <w:trHeight w:val="930" w:hRule="atLeast"/>
          <w:jc w:val="center"/>
        </w:trPr>
        <w:tc>
          <w:tcPr>
            <w:tcW w:w="714" w:type="dxa"/>
            <w:tcBorders>
              <w:left w:val="single" w:color="auto" w:sz="4" w:space="0"/>
              <w:bottom w:val="single" w:color="auto" w:sz="4" w:space="0"/>
              <w:right w:val="single" w:color="auto" w:sz="4" w:space="0"/>
            </w:tcBorders>
            <w:vAlign w:val="center"/>
          </w:tcPr>
          <w:p w14:paraId="71D58D55">
            <w:pPr>
              <w:autoSpaceDE w:val="0"/>
              <w:autoSpaceDN w:val="0"/>
              <w:spacing w:after="0"/>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1519" w:type="dxa"/>
            <w:gridSpan w:val="3"/>
            <w:tcBorders>
              <w:left w:val="single" w:color="auto" w:sz="4" w:space="0"/>
              <w:bottom w:val="single" w:color="auto" w:sz="4" w:space="0"/>
              <w:right w:val="single" w:color="auto" w:sz="4" w:space="0"/>
            </w:tcBorders>
            <w:vAlign w:val="center"/>
          </w:tcPr>
          <w:p w14:paraId="21F31E77">
            <w:pPr>
              <w:autoSpaceDE w:val="0"/>
              <w:autoSpaceDN w:val="0"/>
              <w:spacing w:after="0"/>
              <w:ind w:firstLine="240" w:firstLineChars="100"/>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硬件设施</w:t>
            </w:r>
          </w:p>
        </w:tc>
        <w:tc>
          <w:tcPr>
            <w:tcW w:w="6459" w:type="dxa"/>
            <w:gridSpan w:val="7"/>
            <w:tcBorders>
              <w:top w:val="single" w:color="auto" w:sz="4" w:space="0"/>
              <w:left w:val="single" w:color="auto" w:sz="4" w:space="0"/>
              <w:bottom w:val="single" w:color="auto" w:sz="4" w:space="0"/>
              <w:right w:val="single" w:color="auto" w:sz="4" w:space="0"/>
            </w:tcBorders>
            <w:vAlign w:val="center"/>
          </w:tcPr>
          <w:p w14:paraId="0CE33793">
            <w:pPr>
              <w:autoSpaceDE w:val="0"/>
              <w:autoSpaceDN w:val="0"/>
              <w:spacing w:after="0"/>
              <w:ind w:firstLine="480" w:firstLineChars="200"/>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投标人具有低温封闭式仓储装卸平台的得2分。</w:t>
            </w:r>
          </w:p>
          <w:p w14:paraId="6BE57EDC">
            <w:pPr>
              <w:autoSpaceDE w:val="0"/>
              <w:autoSpaceDN w:val="0"/>
              <w:spacing w:after="0"/>
              <w:ind w:firstLine="480" w:firstLineChars="200"/>
              <w:jc w:val="left"/>
              <w:rPr>
                <w:rFonts w:hint="default"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投标人及关联集团公司名下自营食品冷仓，仓储面积≥10万平米得1分，≥15万平米得2分，≥20万平米得3分，本项最高得3分。</w:t>
            </w:r>
          </w:p>
          <w:p w14:paraId="51272F4F">
            <w:pPr>
              <w:autoSpaceDE w:val="0"/>
              <w:autoSpaceDN w:val="0"/>
              <w:spacing w:after="0"/>
              <w:ind w:firstLine="480" w:firstLineChars="200"/>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投标人自有自营冷链车≥10台得1分，≥20台得3分，≥35台得5分，本项最高得5分。</w:t>
            </w:r>
          </w:p>
          <w:p w14:paraId="7808EB29">
            <w:pPr>
              <w:autoSpaceDE w:val="0"/>
              <w:autoSpaceDN w:val="0"/>
              <w:spacing w:after="0"/>
              <w:ind w:firstLine="480" w:firstLineChars="200"/>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注：须提供相关证明材料，仓储提供产权证扫描件或租赁合同扫描件，车辆信息提供行驶证+营运证扫描件，加盖投标人公章编入投标文件，否则不得分。</w:t>
            </w:r>
          </w:p>
        </w:tc>
        <w:tc>
          <w:tcPr>
            <w:tcW w:w="1152" w:type="dxa"/>
            <w:tcBorders>
              <w:left w:val="single" w:color="auto" w:sz="4" w:space="0"/>
              <w:bottom w:val="single" w:color="auto" w:sz="4" w:space="0"/>
              <w:right w:val="single" w:color="auto" w:sz="4" w:space="0"/>
            </w:tcBorders>
            <w:vAlign w:val="center"/>
          </w:tcPr>
          <w:p w14:paraId="0FA67F10">
            <w:pPr>
              <w:autoSpaceDE w:val="0"/>
              <w:autoSpaceDN w:val="0"/>
              <w:spacing w:after="0"/>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0-10分</w:t>
            </w:r>
          </w:p>
        </w:tc>
      </w:tr>
      <w:tr w14:paraId="15BD6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87" w:type="dxa"/>
          <w:trHeight w:val="930" w:hRule="atLeast"/>
          <w:jc w:val="center"/>
        </w:trPr>
        <w:tc>
          <w:tcPr>
            <w:tcW w:w="714" w:type="dxa"/>
            <w:tcBorders>
              <w:left w:val="single" w:color="auto" w:sz="4" w:space="0"/>
              <w:bottom w:val="single" w:color="auto" w:sz="4" w:space="0"/>
              <w:right w:val="single" w:color="auto" w:sz="4" w:space="0"/>
            </w:tcBorders>
            <w:vAlign w:val="center"/>
          </w:tcPr>
          <w:p w14:paraId="39CC668C">
            <w:pPr>
              <w:autoSpaceDE w:val="0"/>
              <w:autoSpaceDN w:val="0"/>
              <w:spacing w:after="0"/>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1519" w:type="dxa"/>
            <w:gridSpan w:val="3"/>
            <w:tcBorders>
              <w:left w:val="single" w:color="auto" w:sz="4" w:space="0"/>
              <w:bottom w:val="single" w:color="auto" w:sz="4" w:space="0"/>
              <w:right w:val="single" w:color="auto" w:sz="4" w:space="0"/>
            </w:tcBorders>
            <w:vAlign w:val="center"/>
          </w:tcPr>
          <w:p w14:paraId="23F26C70">
            <w:pPr>
              <w:autoSpaceDE w:val="0"/>
              <w:autoSpaceDN w:val="0"/>
              <w:spacing w:after="0"/>
              <w:jc w:val="center"/>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保险保障</w:t>
            </w:r>
          </w:p>
        </w:tc>
        <w:tc>
          <w:tcPr>
            <w:tcW w:w="6459" w:type="dxa"/>
            <w:gridSpan w:val="7"/>
            <w:tcBorders>
              <w:top w:val="single" w:color="auto" w:sz="4" w:space="0"/>
              <w:left w:val="single" w:color="auto" w:sz="4" w:space="0"/>
              <w:bottom w:val="single" w:color="auto" w:sz="4" w:space="0"/>
              <w:right w:val="single" w:color="auto" w:sz="4" w:space="0"/>
            </w:tcBorders>
            <w:vAlign w:val="center"/>
          </w:tcPr>
          <w:p w14:paraId="2CE1AA3D">
            <w:pPr>
              <w:autoSpaceDE w:val="0"/>
              <w:autoSpaceDN w:val="0"/>
              <w:spacing w:after="0"/>
              <w:ind w:firstLine="480" w:firstLineChars="200"/>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投标人或其关联集团公司为仓储购买物资物业类及冷运仓储类保险，保险类型为财产一切险的，得5分。</w:t>
            </w:r>
          </w:p>
          <w:p w14:paraId="7888DEE5">
            <w:pPr>
              <w:autoSpaceDE w:val="0"/>
              <w:autoSpaceDN w:val="0"/>
              <w:spacing w:after="0"/>
              <w:ind w:firstLine="480" w:firstLineChars="200"/>
              <w:jc w:val="left"/>
              <w:rPr>
                <w:rFonts w:hint="default"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注：须提供相关证明材料加盖投标人公章编入投标文件，否则不得分。</w:t>
            </w:r>
          </w:p>
        </w:tc>
        <w:tc>
          <w:tcPr>
            <w:tcW w:w="1152" w:type="dxa"/>
            <w:tcBorders>
              <w:left w:val="single" w:color="auto" w:sz="4" w:space="0"/>
              <w:bottom w:val="single" w:color="auto" w:sz="4" w:space="0"/>
              <w:right w:val="single" w:color="auto" w:sz="4" w:space="0"/>
            </w:tcBorders>
            <w:vAlign w:val="center"/>
          </w:tcPr>
          <w:p w14:paraId="275A2652">
            <w:pPr>
              <w:autoSpaceDE w:val="0"/>
              <w:autoSpaceDN w:val="0"/>
              <w:spacing w:after="0"/>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0-5分</w:t>
            </w:r>
          </w:p>
        </w:tc>
      </w:tr>
      <w:tr w14:paraId="6563B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87" w:type="dxa"/>
          <w:trHeight w:val="93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14:paraId="0DE01280">
            <w:pPr>
              <w:autoSpaceDE w:val="0"/>
              <w:autoSpaceDN w:val="0"/>
              <w:spacing w:after="0"/>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1519" w:type="dxa"/>
            <w:gridSpan w:val="3"/>
            <w:tcBorders>
              <w:top w:val="single" w:color="auto" w:sz="4" w:space="0"/>
              <w:left w:val="single" w:color="auto" w:sz="4" w:space="0"/>
              <w:bottom w:val="single" w:color="auto" w:sz="4" w:space="0"/>
              <w:right w:val="single" w:color="auto" w:sz="4" w:space="0"/>
            </w:tcBorders>
            <w:vAlign w:val="center"/>
          </w:tcPr>
          <w:p w14:paraId="266B1E0D">
            <w:pPr>
              <w:autoSpaceDE w:val="0"/>
              <w:autoSpaceDN w:val="0"/>
              <w:spacing w:after="0"/>
              <w:jc w:val="center"/>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项目实施方案</w:t>
            </w:r>
          </w:p>
        </w:tc>
        <w:tc>
          <w:tcPr>
            <w:tcW w:w="6459" w:type="dxa"/>
            <w:gridSpan w:val="7"/>
            <w:tcBorders>
              <w:top w:val="single" w:color="auto" w:sz="4" w:space="0"/>
              <w:left w:val="single" w:color="auto" w:sz="4" w:space="0"/>
              <w:bottom w:val="single" w:color="auto" w:sz="4" w:space="0"/>
              <w:right w:val="single" w:color="auto" w:sz="4" w:space="0"/>
            </w:tcBorders>
            <w:vAlign w:val="center"/>
          </w:tcPr>
          <w:p w14:paraId="4CA34CE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eastAsia="zh-CN"/>
              </w:rPr>
              <w:t>投标人</w:t>
            </w:r>
            <w:r>
              <w:rPr>
                <w:rFonts w:hint="eastAsia" w:ascii="仿宋" w:hAnsi="仿宋" w:eastAsia="仿宋" w:cs="仿宋"/>
                <w:b w:val="0"/>
                <w:bCs w:val="0"/>
                <w:color w:val="auto"/>
                <w:sz w:val="24"/>
                <w:szCs w:val="24"/>
                <w:highlight w:val="none"/>
              </w:rPr>
              <w:t>根据本项目实际情况和特点，</w:t>
            </w:r>
            <w:r>
              <w:rPr>
                <w:rFonts w:hint="eastAsia" w:ascii="仿宋" w:hAnsi="仿宋" w:eastAsia="仿宋" w:cs="仿宋"/>
                <w:b w:val="0"/>
                <w:bCs w:val="0"/>
                <w:color w:val="auto"/>
                <w:sz w:val="24"/>
                <w:szCs w:val="24"/>
                <w:highlight w:val="none"/>
                <w:lang w:val="en-US" w:eastAsia="zh-CN"/>
              </w:rPr>
              <w:t>拟定项目实施方案。评审小组根据</w:t>
            </w:r>
            <w:r>
              <w:rPr>
                <w:rFonts w:hint="eastAsia" w:ascii="仿宋" w:hAnsi="仿宋" w:eastAsia="仿宋" w:cs="仿宋"/>
                <w:b w:val="0"/>
                <w:bCs w:val="0"/>
                <w:color w:val="auto"/>
                <w:sz w:val="24"/>
                <w:szCs w:val="24"/>
                <w:highlight w:val="none"/>
                <w:lang w:eastAsia="zh-CN"/>
              </w:rPr>
              <w:t>投标人</w:t>
            </w:r>
            <w:r>
              <w:rPr>
                <w:rFonts w:hint="eastAsia" w:ascii="仿宋" w:hAnsi="仿宋" w:eastAsia="仿宋" w:cs="仿宋"/>
                <w:b w:val="0"/>
                <w:bCs w:val="0"/>
                <w:color w:val="auto"/>
                <w:sz w:val="24"/>
                <w:szCs w:val="24"/>
                <w:highlight w:val="none"/>
                <w:lang w:val="en-US" w:eastAsia="zh-CN"/>
              </w:rPr>
              <w:t>提供的内容</w:t>
            </w:r>
            <w:r>
              <w:rPr>
                <w:rFonts w:hint="eastAsia" w:ascii="仿宋" w:hAnsi="仿宋" w:eastAsia="仿宋" w:cs="仿宋"/>
                <w:b w:val="0"/>
                <w:bCs w:val="0"/>
                <w:color w:val="auto"/>
                <w:sz w:val="24"/>
                <w:szCs w:val="24"/>
                <w:highlight w:val="none"/>
              </w:rPr>
              <w:t>进行</w:t>
            </w:r>
            <w:r>
              <w:rPr>
                <w:rFonts w:hint="eastAsia" w:ascii="仿宋" w:hAnsi="仿宋" w:eastAsia="仿宋" w:cs="仿宋"/>
                <w:b w:val="0"/>
                <w:bCs w:val="0"/>
                <w:color w:val="auto"/>
                <w:sz w:val="24"/>
                <w:szCs w:val="24"/>
                <w:highlight w:val="none"/>
                <w:lang w:val="en-US" w:eastAsia="zh-CN"/>
              </w:rPr>
              <w:t>综合打分：</w:t>
            </w:r>
          </w:p>
          <w:p w14:paraId="4C2945F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方案内容完整，合理，可操作性强的得10（不含）-15分；</w:t>
            </w:r>
          </w:p>
          <w:p w14:paraId="68A3D3D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方案内容基本完整，比较合理，可操作性较强的得5（不含）-10（含）分；</w:t>
            </w:r>
          </w:p>
          <w:p w14:paraId="1888BFFA">
            <w:pPr>
              <w:autoSpaceDE w:val="0"/>
              <w:autoSpaceDN w:val="0"/>
              <w:spacing w:after="0"/>
              <w:ind w:firstLine="480" w:firstLineChars="200"/>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方案内容有所欠缺不够全面，无具体说明，可操作性一般的得0-5（含）分。</w:t>
            </w:r>
          </w:p>
        </w:tc>
        <w:tc>
          <w:tcPr>
            <w:tcW w:w="1152" w:type="dxa"/>
            <w:tcBorders>
              <w:top w:val="single" w:color="auto" w:sz="4" w:space="0"/>
              <w:left w:val="single" w:color="auto" w:sz="4" w:space="0"/>
              <w:bottom w:val="single" w:color="auto" w:sz="4" w:space="0"/>
              <w:right w:val="single" w:color="auto" w:sz="4" w:space="0"/>
            </w:tcBorders>
            <w:vAlign w:val="center"/>
          </w:tcPr>
          <w:p w14:paraId="6CC21128">
            <w:pPr>
              <w:autoSpaceDE w:val="0"/>
              <w:autoSpaceDN w:val="0"/>
              <w:spacing w:after="0"/>
              <w:jc w:val="center"/>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0-15分</w:t>
            </w:r>
          </w:p>
        </w:tc>
      </w:tr>
      <w:tr w14:paraId="34BFA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87" w:type="dxa"/>
          <w:trHeight w:val="93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14:paraId="48427EA0">
            <w:pPr>
              <w:autoSpaceDE w:val="0"/>
              <w:autoSpaceDN w:val="0"/>
              <w:spacing w:after="0"/>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w:t>
            </w:r>
          </w:p>
        </w:tc>
        <w:tc>
          <w:tcPr>
            <w:tcW w:w="1519" w:type="dxa"/>
            <w:gridSpan w:val="3"/>
            <w:tcBorders>
              <w:top w:val="single" w:color="auto" w:sz="4" w:space="0"/>
              <w:left w:val="single" w:color="auto" w:sz="4" w:space="0"/>
              <w:bottom w:val="single" w:color="auto" w:sz="4" w:space="0"/>
              <w:right w:val="single" w:color="auto" w:sz="4" w:space="0"/>
            </w:tcBorders>
            <w:vAlign w:val="center"/>
          </w:tcPr>
          <w:p w14:paraId="06296834">
            <w:pPr>
              <w:autoSpaceDE w:val="0"/>
              <w:autoSpaceDN w:val="0"/>
              <w:spacing w:after="0"/>
              <w:jc w:val="center"/>
              <w:rPr>
                <w:rFonts w:hint="default" w:ascii="仿宋" w:hAnsi="仿宋" w:eastAsia="仿宋" w:cs="仿宋"/>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服务质量保障方案</w:t>
            </w:r>
          </w:p>
        </w:tc>
        <w:tc>
          <w:tcPr>
            <w:tcW w:w="6459" w:type="dxa"/>
            <w:gridSpan w:val="7"/>
            <w:tcBorders>
              <w:top w:val="single" w:color="auto" w:sz="4" w:space="0"/>
              <w:left w:val="single" w:color="auto" w:sz="4" w:space="0"/>
              <w:bottom w:val="single" w:color="auto" w:sz="4" w:space="0"/>
              <w:right w:val="single" w:color="auto" w:sz="4" w:space="0"/>
            </w:tcBorders>
            <w:vAlign w:val="center"/>
          </w:tcPr>
          <w:p w14:paraId="070F2FB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eastAsia="zh-CN"/>
              </w:rPr>
              <w:t>投标人</w:t>
            </w:r>
            <w:r>
              <w:rPr>
                <w:rFonts w:hint="eastAsia" w:ascii="仿宋" w:hAnsi="仿宋" w:eastAsia="仿宋" w:cs="仿宋"/>
                <w:b w:val="0"/>
                <w:bCs w:val="0"/>
                <w:color w:val="auto"/>
                <w:sz w:val="24"/>
                <w:szCs w:val="24"/>
                <w:highlight w:val="none"/>
              </w:rPr>
              <w:t>根据本项目实际情况和特点，</w:t>
            </w:r>
            <w:r>
              <w:rPr>
                <w:rFonts w:hint="eastAsia" w:ascii="仿宋" w:hAnsi="仿宋" w:eastAsia="仿宋" w:cs="仿宋"/>
                <w:b w:val="0"/>
                <w:bCs w:val="0"/>
                <w:color w:val="auto"/>
                <w:sz w:val="24"/>
                <w:szCs w:val="24"/>
                <w:highlight w:val="none"/>
                <w:lang w:val="en-US" w:eastAsia="zh-CN"/>
              </w:rPr>
              <w:t>拟定服务质量保障方案。评审小组根据</w:t>
            </w:r>
            <w:r>
              <w:rPr>
                <w:rFonts w:hint="eastAsia" w:ascii="仿宋" w:hAnsi="仿宋" w:eastAsia="仿宋" w:cs="仿宋"/>
                <w:b w:val="0"/>
                <w:bCs w:val="0"/>
                <w:color w:val="auto"/>
                <w:sz w:val="24"/>
                <w:szCs w:val="24"/>
                <w:highlight w:val="none"/>
                <w:lang w:eastAsia="zh-CN"/>
              </w:rPr>
              <w:t>投标人</w:t>
            </w:r>
            <w:r>
              <w:rPr>
                <w:rFonts w:hint="eastAsia" w:ascii="仿宋" w:hAnsi="仿宋" w:eastAsia="仿宋" w:cs="仿宋"/>
                <w:b w:val="0"/>
                <w:bCs w:val="0"/>
                <w:color w:val="auto"/>
                <w:sz w:val="24"/>
                <w:szCs w:val="24"/>
                <w:highlight w:val="none"/>
                <w:lang w:val="en-US" w:eastAsia="zh-CN"/>
              </w:rPr>
              <w:t>提供的内容</w:t>
            </w:r>
            <w:r>
              <w:rPr>
                <w:rFonts w:hint="eastAsia" w:ascii="仿宋" w:hAnsi="仿宋" w:eastAsia="仿宋" w:cs="仿宋"/>
                <w:b w:val="0"/>
                <w:bCs w:val="0"/>
                <w:color w:val="auto"/>
                <w:sz w:val="24"/>
                <w:szCs w:val="24"/>
                <w:highlight w:val="none"/>
              </w:rPr>
              <w:t>进行</w:t>
            </w:r>
            <w:r>
              <w:rPr>
                <w:rFonts w:hint="eastAsia" w:ascii="仿宋" w:hAnsi="仿宋" w:eastAsia="仿宋" w:cs="仿宋"/>
                <w:b w:val="0"/>
                <w:bCs w:val="0"/>
                <w:color w:val="auto"/>
                <w:sz w:val="24"/>
                <w:szCs w:val="24"/>
                <w:highlight w:val="none"/>
                <w:lang w:val="en-US" w:eastAsia="zh-CN"/>
              </w:rPr>
              <w:t>综合打分：</w:t>
            </w:r>
          </w:p>
          <w:p w14:paraId="128F9D4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方案内容完整，合理，可操作性强的得10（不含）-15分；</w:t>
            </w:r>
          </w:p>
          <w:p w14:paraId="56ABAEC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方案内容基本完整，比较合理，可操作性较强的得5（不含）-10（含）分；</w:t>
            </w:r>
          </w:p>
          <w:p w14:paraId="4511C36B">
            <w:pPr>
              <w:autoSpaceDE w:val="0"/>
              <w:autoSpaceDN w:val="0"/>
              <w:spacing w:after="0"/>
              <w:ind w:firstLine="480" w:firstLineChars="200"/>
              <w:jc w:val="left"/>
              <w:rPr>
                <w:rFonts w:hint="eastAsia" w:ascii="仿宋" w:hAnsi="仿宋" w:eastAsia="仿宋" w:cs="仿宋"/>
                <w:color w:val="auto"/>
                <w:sz w:val="24"/>
                <w:szCs w:val="24"/>
                <w:highlight w:val="none"/>
                <w:lang w:val="zh-CN" w:eastAsia="zh-CN"/>
              </w:rPr>
            </w:pPr>
            <w:r>
              <w:rPr>
                <w:rFonts w:hint="eastAsia" w:ascii="仿宋" w:hAnsi="仿宋" w:eastAsia="仿宋" w:cs="仿宋"/>
                <w:b w:val="0"/>
                <w:bCs w:val="0"/>
                <w:color w:val="auto"/>
                <w:sz w:val="24"/>
                <w:szCs w:val="24"/>
                <w:highlight w:val="none"/>
                <w:lang w:val="en-US" w:eastAsia="zh-CN"/>
              </w:rPr>
              <w:t>方案内容有所欠缺不够全面，无具体说明，可操作性一般的得0-5（含）分。</w:t>
            </w:r>
          </w:p>
        </w:tc>
        <w:tc>
          <w:tcPr>
            <w:tcW w:w="1152" w:type="dxa"/>
            <w:tcBorders>
              <w:top w:val="single" w:color="auto" w:sz="4" w:space="0"/>
              <w:left w:val="single" w:color="auto" w:sz="4" w:space="0"/>
              <w:bottom w:val="single" w:color="auto" w:sz="4" w:space="0"/>
              <w:right w:val="single" w:color="auto" w:sz="4" w:space="0"/>
            </w:tcBorders>
            <w:vAlign w:val="center"/>
          </w:tcPr>
          <w:p w14:paraId="5609A8E2">
            <w:pPr>
              <w:autoSpaceDE w:val="0"/>
              <w:autoSpaceDN w:val="0"/>
              <w:spacing w:after="0"/>
              <w:jc w:val="center"/>
              <w:rPr>
                <w:rFonts w:hint="eastAsia" w:ascii="仿宋" w:hAnsi="仿宋" w:eastAsia="仿宋" w:cs="仿宋"/>
                <w:color w:val="auto"/>
                <w:sz w:val="24"/>
                <w:szCs w:val="24"/>
                <w:highlight w:val="none"/>
                <w:lang w:val="zh-CN" w:eastAsia="zh-CN"/>
              </w:rPr>
            </w:pPr>
            <w:r>
              <w:rPr>
                <w:rFonts w:hint="eastAsia" w:ascii="仿宋" w:hAnsi="仿宋" w:eastAsia="仿宋" w:cs="仿宋"/>
                <w:b w:val="0"/>
                <w:bCs w:val="0"/>
                <w:color w:val="auto"/>
                <w:sz w:val="24"/>
                <w:szCs w:val="24"/>
                <w:highlight w:val="none"/>
                <w:lang w:val="en-US" w:eastAsia="zh-CN"/>
              </w:rPr>
              <w:t>0-15分</w:t>
            </w:r>
          </w:p>
        </w:tc>
      </w:tr>
      <w:tr w14:paraId="40E6D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87" w:type="dxa"/>
          <w:trHeight w:val="93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14:paraId="2F3BB9F5">
            <w:pPr>
              <w:autoSpaceDE w:val="0"/>
              <w:autoSpaceDN w:val="0"/>
              <w:spacing w:after="0"/>
              <w:jc w:val="center"/>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lang w:val="en-US" w:eastAsia="zh-CN"/>
              </w:rPr>
              <w:t>7</w:t>
            </w:r>
          </w:p>
        </w:tc>
        <w:tc>
          <w:tcPr>
            <w:tcW w:w="1519" w:type="dxa"/>
            <w:gridSpan w:val="3"/>
            <w:tcBorders>
              <w:top w:val="single" w:color="auto" w:sz="4" w:space="0"/>
              <w:left w:val="single" w:color="auto" w:sz="4" w:space="0"/>
              <w:bottom w:val="single" w:color="auto" w:sz="4" w:space="0"/>
              <w:right w:val="single" w:color="auto" w:sz="4" w:space="0"/>
            </w:tcBorders>
            <w:vAlign w:val="center"/>
          </w:tcPr>
          <w:p w14:paraId="66F8874E">
            <w:pPr>
              <w:autoSpaceDE w:val="0"/>
              <w:autoSpaceDN w:val="0"/>
              <w:spacing w:after="0"/>
              <w:jc w:val="center"/>
              <w:rPr>
                <w:rFonts w:hint="eastAsia" w:ascii="仿宋" w:hAnsi="仿宋" w:eastAsia="仿宋" w:cs="仿宋"/>
                <w:b w:val="0"/>
                <w:bCs w:val="0"/>
                <w:color w:val="auto"/>
                <w:sz w:val="24"/>
                <w:szCs w:val="24"/>
                <w:highlight w:val="none"/>
                <w:lang w:val="zh-CN" w:eastAsia="zh-CN"/>
              </w:rPr>
            </w:pPr>
            <w:r>
              <w:rPr>
                <w:rFonts w:hint="eastAsia" w:ascii="仿宋" w:hAnsi="仿宋" w:eastAsia="仿宋" w:cs="仿宋"/>
                <w:b w:val="0"/>
                <w:bCs w:val="0"/>
                <w:color w:val="auto"/>
                <w:sz w:val="24"/>
                <w:szCs w:val="24"/>
                <w:highlight w:val="none"/>
                <w:lang w:val="en-US" w:eastAsia="zh-CN"/>
              </w:rPr>
              <w:t>应急预案</w:t>
            </w:r>
          </w:p>
        </w:tc>
        <w:tc>
          <w:tcPr>
            <w:tcW w:w="6459" w:type="dxa"/>
            <w:gridSpan w:val="7"/>
            <w:tcBorders>
              <w:top w:val="single" w:color="auto" w:sz="4" w:space="0"/>
              <w:left w:val="single" w:color="auto" w:sz="4" w:space="0"/>
              <w:bottom w:val="single" w:color="auto" w:sz="4" w:space="0"/>
              <w:right w:val="single" w:color="auto" w:sz="4" w:space="0"/>
            </w:tcBorders>
            <w:vAlign w:val="center"/>
          </w:tcPr>
          <w:p w14:paraId="40C4757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评审小组</w:t>
            </w:r>
            <w:r>
              <w:rPr>
                <w:rFonts w:hint="eastAsia" w:ascii="仿宋" w:hAnsi="仿宋" w:eastAsia="仿宋" w:cs="仿宋"/>
                <w:b w:val="0"/>
                <w:bCs w:val="0"/>
                <w:color w:val="auto"/>
                <w:sz w:val="24"/>
                <w:szCs w:val="24"/>
                <w:highlight w:val="none"/>
              </w:rPr>
              <w:t>根据</w:t>
            </w:r>
            <w:r>
              <w:rPr>
                <w:rFonts w:hint="eastAsia" w:ascii="仿宋" w:hAnsi="仿宋" w:eastAsia="仿宋" w:cs="仿宋"/>
                <w:b w:val="0"/>
                <w:bCs w:val="0"/>
                <w:color w:val="auto"/>
                <w:sz w:val="24"/>
                <w:szCs w:val="24"/>
                <w:highlight w:val="none"/>
                <w:lang w:eastAsia="zh-CN"/>
              </w:rPr>
              <w:t>投标人</w:t>
            </w:r>
            <w:r>
              <w:rPr>
                <w:rFonts w:hint="eastAsia" w:ascii="仿宋" w:hAnsi="仿宋" w:eastAsia="仿宋" w:cs="仿宋"/>
                <w:b w:val="0"/>
                <w:bCs w:val="0"/>
                <w:color w:val="auto"/>
                <w:sz w:val="24"/>
                <w:szCs w:val="24"/>
                <w:highlight w:val="none"/>
              </w:rPr>
              <w:t>针对本项目的合理应急预案、应急保障措施、应急响应时间等</w:t>
            </w:r>
            <w:r>
              <w:rPr>
                <w:rFonts w:hint="eastAsia" w:ascii="仿宋" w:hAnsi="仿宋" w:eastAsia="仿宋" w:cs="仿宋"/>
                <w:b w:val="0"/>
                <w:bCs w:val="0"/>
                <w:color w:val="auto"/>
                <w:sz w:val="24"/>
                <w:szCs w:val="24"/>
                <w:highlight w:val="none"/>
                <w:lang w:val="en-US" w:eastAsia="zh-CN"/>
              </w:rPr>
              <w:t>综合打分：</w:t>
            </w:r>
          </w:p>
          <w:p w14:paraId="47798E0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方案内容完整，合理，可操作性强，服务目标明确的得6（不含）-10分；</w:t>
            </w:r>
          </w:p>
          <w:p w14:paraId="5D8BFAD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方案内容基本完整，比较合理，可操作性较强的得3（不含）-6（含）分；</w:t>
            </w:r>
          </w:p>
          <w:p w14:paraId="7F5BFA5F">
            <w:pPr>
              <w:autoSpaceDE w:val="0"/>
              <w:autoSpaceDN w:val="0"/>
              <w:spacing w:after="0"/>
              <w:ind w:firstLine="480" w:firstLineChars="200"/>
              <w:jc w:val="left"/>
              <w:rPr>
                <w:rFonts w:hint="eastAsia" w:ascii="仿宋" w:hAnsi="仿宋" w:eastAsia="仿宋" w:cs="仿宋"/>
                <w:color w:val="auto"/>
                <w:sz w:val="24"/>
                <w:szCs w:val="24"/>
                <w:highlight w:val="none"/>
                <w:lang w:val="zh-CN" w:eastAsia="zh-CN"/>
              </w:rPr>
            </w:pPr>
            <w:r>
              <w:rPr>
                <w:rFonts w:hint="eastAsia" w:ascii="仿宋" w:hAnsi="仿宋" w:eastAsia="仿宋" w:cs="仿宋"/>
                <w:b w:val="0"/>
                <w:bCs w:val="0"/>
                <w:color w:val="auto"/>
                <w:sz w:val="24"/>
                <w:szCs w:val="24"/>
                <w:highlight w:val="none"/>
                <w:lang w:val="en-US" w:eastAsia="zh-CN"/>
              </w:rPr>
              <w:t>方案内容有所欠缺不够全面，无具体说明，可操作性一般的得0-3（含）分。</w:t>
            </w:r>
          </w:p>
        </w:tc>
        <w:tc>
          <w:tcPr>
            <w:tcW w:w="1152" w:type="dxa"/>
            <w:tcBorders>
              <w:top w:val="single" w:color="auto" w:sz="4" w:space="0"/>
              <w:left w:val="single" w:color="auto" w:sz="4" w:space="0"/>
              <w:bottom w:val="single" w:color="auto" w:sz="4" w:space="0"/>
              <w:right w:val="single" w:color="auto" w:sz="4" w:space="0"/>
            </w:tcBorders>
            <w:vAlign w:val="center"/>
          </w:tcPr>
          <w:p w14:paraId="2BBA5481">
            <w:pPr>
              <w:autoSpaceDE w:val="0"/>
              <w:autoSpaceDN w:val="0"/>
              <w:spacing w:after="0"/>
              <w:jc w:val="center"/>
              <w:rPr>
                <w:rFonts w:hint="eastAsia" w:ascii="仿宋" w:hAnsi="仿宋" w:eastAsia="仿宋" w:cs="仿宋"/>
                <w:color w:val="auto"/>
                <w:sz w:val="24"/>
                <w:szCs w:val="24"/>
                <w:highlight w:val="none"/>
                <w:lang w:val="zh-CN" w:eastAsia="zh-CN"/>
              </w:rPr>
            </w:pPr>
            <w:r>
              <w:rPr>
                <w:rFonts w:hint="eastAsia" w:ascii="仿宋" w:hAnsi="仿宋" w:eastAsia="仿宋" w:cs="仿宋"/>
                <w:b w:val="0"/>
                <w:bCs w:val="0"/>
                <w:color w:val="auto"/>
                <w:sz w:val="24"/>
                <w:szCs w:val="24"/>
                <w:highlight w:val="none"/>
                <w:lang w:val="en-US" w:eastAsia="zh-CN"/>
              </w:rPr>
              <w:t>0-10分</w:t>
            </w:r>
          </w:p>
        </w:tc>
      </w:tr>
      <w:tr w14:paraId="57E44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87" w:type="dxa"/>
          <w:trHeight w:val="93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14:paraId="0A3678ED">
            <w:pPr>
              <w:autoSpaceDE w:val="0"/>
              <w:autoSpaceDN w:val="0"/>
              <w:spacing w:after="0"/>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w:t>
            </w:r>
          </w:p>
        </w:tc>
        <w:tc>
          <w:tcPr>
            <w:tcW w:w="1519" w:type="dxa"/>
            <w:gridSpan w:val="3"/>
            <w:tcBorders>
              <w:top w:val="single" w:color="auto" w:sz="4" w:space="0"/>
              <w:left w:val="single" w:color="auto" w:sz="4" w:space="0"/>
              <w:bottom w:val="single" w:color="auto" w:sz="4" w:space="0"/>
              <w:right w:val="single" w:color="auto" w:sz="4" w:space="0"/>
            </w:tcBorders>
            <w:vAlign w:val="center"/>
          </w:tcPr>
          <w:p w14:paraId="043EF7BC">
            <w:pPr>
              <w:autoSpaceDE w:val="0"/>
              <w:autoSpaceDN w:val="0"/>
              <w:spacing w:after="0"/>
              <w:jc w:val="center"/>
              <w:rPr>
                <w:rFonts w:hint="eastAsia" w:ascii="仿宋" w:hAnsi="仿宋" w:eastAsia="仿宋" w:cs="仿宋"/>
                <w:b w:val="0"/>
                <w:bCs w:val="0"/>
                <w:color w:val="auto"/>
                <w:sz w:val="24"/>
                <w:szCs w:val="24"/>
                <w:highlight w:val="none"/>
                <w:lang w:val="zh-CN" w:eastAsia="zh-CN"/>
              </w:rPr>
            </w:pPr>
            <w:r>
              <w:rPr>
                <w:rFonts w:hint="eastAsia" w:ascii="仿宋" w:hAnsi="仿宋" w:eastAsia="仿宋" w:cs="仿宋"/>
                <w:b w:val="0"/>
                <w:bCs w:val="0"/>
                <w:color w:val="auto"/>
                <w:sz w:val="24"/>
                <w:szCs w:val="24"/>
                <w:highlight w:val="none"/>
                <w:lang w:val="en-US" w:eastAsia="zh-CN"/>
              </w:rPr>
              <w:t>项目重点难点分析及解决方案</w:t>
            </w:r>
          </w:p>
        </w:tc>
        <w:tc>
          <w:tcPr>
            <w:tcW w:w="6459" w:type="dxa"/>
            <w:gridSpan w:val="7"/>
            <w:tcBorders>
              <w:top w:val="single" w:color="auto" w:sz="4" w:space="0"/>
              <w:left w:val="single" w:color="auto" w:sz="4" w:space="0"/>
              <w:bottom w:val="single" w:color="auto" w:sz="4" w:space="0"/>
              <w:right w:val="single" w:color="auto" w:sz="4" w:space="0"/>
            </w:tcBorders>
            <w:vAlign w:val="center"/>
          </w:tcPr>
          <w:p w14:paraId="70F1467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val="en-US" w:eastAsia="zh-CN"/>
              </w:rPr>
              <w:t>评审小组</w:t>
            </w:r>
            <w:r>
              <w:rPr>
                <w:rFonts w:hint="eastAsia" w:ascii="仿宋" w:hAnsi="仿宋" w:eastAsia="仿宋" w:cs="仿宋"/>
                <w:b w:val="0"/>
                <w:bCs w:val="0"/>
                <w:color w:val="auto"/>
                <w:sz w:val="24"/>
                <w:szCs w:val="24"/>
                <w:highlight w:val="none"/>
              </w:rPr>
              <w:t>根据</w:t>
            </w:r>
            <w:r>
              <w:rPr>
                <w:rFonts w:hint="eastAsia" w:ascii="仿宋" w:hAnsi="仿宋" w:eastAsia="仿宋" w:cs="仿宋"/>
                <w:b w:val="0"/>
                <w:bCs w:val="0"/>
                <w:color w:val="auto"/>
                <w:sz w:val="24"/>
                <w:szCs w:val="24"/>
                <w:highlight w:val="none"/>
                <w:lang w:val="en-US" w:eastAsia="zh-CN"/>
              </w:rPr>
              <w:t>投标人提供</w:t>
            </w:r>
            <w:r>
              <w:rPr>
                <w:rFonts w:hint="eastAsia" w:ascii="仿宋" w:hAnsi="仿宋" w:eastAsia="仿宋" w:cs="仿宋"/>
                <w:b w:val="0"/>
                <w:bCs w:val="0"/>
                <w:color w:val="auto"/>
                <w:sz w:val="24"/>
                <w:szCs w:val="24"/>
                <w:highlight w:val="none"/>
              </w:rPr>
              <w:t>的</w:t>
            </w:r>
            <w:r>
              <w:rPr>
                <w:rFonts w:hint="eastAsia" w:ascii="仿宋" w:hAnsi="仿宋" w:eastAsia="仿宋" w:cs="仿宋"/>
                <w:b w:val="0"/>
                <w:bCs w:val="0"/>
                <w:color w:val="auto"/>
                <w:sz w:val="24"/>
                <w:szCs w:val="24"/>
                <w:highlight w:val="none"/>
                <w:lang w:val="en-US" w:eastAsia="zh-CN"/>
              </w:rPr>
              <w:t>项目重点难点分析及解决方案综合打分：</w:t>
            </w:r>
          </w:p>
          <w:p w14:paraId="008F426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方案内容完整，合理，可操作性强，服务目标明确的得6（不含）-10分；</w:t>
            </w:r>
          </w:p>
          <w:p w14:paraId="6690E10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方案内容基本完整，比较合理，可操作性较强的得3（不含）-6（含）分；</w:t>
            </w:r>
          </w:p>
          <w:p w14:paraId="11A7253D">
            <w:pPr>
              <w:autoSpaceDE w:val="0"/>
              <w:autoSpaceDN w:val="0"/>
              <w:spacing w:after="0"/>
              <w:ind w:firstLine="480" w:firstLineChars="200"/>
              <w:jc w:val="left"/>
              <w:rPr>
                <w:rFonts w:hint="eastAsia" w:ascii="仿宋" w:hAnsi="仿宋" w:eastAsia="仿宋" w:cs="仿宋"/>
                <w:color w:val="auto"/>
                <w:sz w:val="24"/>
                <w:szCs w:val="24"/>
                <w:highlight w:val="none"/>
                <w:lang w:val="zh-CN" w:eastAsia="zh-CN"/>
              </w:rPr>
            </w:pPr>
            <w:r>
              <w:rPr>
                <w:rFonts w:hint="eastAsia" w:ascii="仿宋" w:hAnsi="仿宋" w:eastAsia="仿宋" w:cs="仿宋"/>
                <w:b w:val="0"/>
                <w:bCs w:val="0"/>
                <w:color w:val="auto"/>
                <w:sz w:val="24"/>
                <w:szCs w:val="24"/>
                <w:highlight w:val="none"/>
                <w:lang w:val="en-US" w:eastAsia="zh-CN"/>
              </w:rPr>
              <w:t>方案内容有所欠缺不够全面，无具体说明，可操作性一般的得0-3（含）分。</w:t>
            </w:r>
          </w:p>
        </w:tc>
        <w:tc>
          <w:tcPr>
            <w:tcW w:w="1152" w:type="dxa"/>
            <w:tcBorders>
              <w:top w:val="single" w:color="auto" w:sz="4" w:space="0"/>
              <w:left w:val="single" w:color="auto" w:sz="4" w:space="0"/>
              <w:bottom w:val="single" w:color="auto" w:sz="4" w:space="0"/>
              <w:right w:val="single" w:color="auto" w:sz="4" w:space="0"/>
            </w:tcBorders>
            <w:vAlign w:val="center"/>
          </w:tcPr>
          <w:p w14:paraId="7FB720EB">
            <w:pPr>
              <w:autoSpaceDE w:val="0"/>
              <w:autoSpaceDN w:val="0"/>
              <w:spacing w:after="0"/>
              <w:jc w:val="center"/>
              <w:rPr>
                <w:rFonts w:hint="eastAsia" w:ascii="仿宋" w:hAnsi="仿宋" w:eastAsia="仿宋" w:cs="仿宋"/>
                <w:color w:val="auto"/>
                <w:sz w:val="24"/>
                <w:szCs w:val="24"/>
                <w:highlight w:val="none"/>
                <w:lang w:val="zh-CN" w:eastAsia="zh-CN"/>
              </w:rPr>
            </w:pPr>
            <w:r>
              <w:rPr>
                <w:rFonts w:hint="eastAsia" w:ascii="仿宋" w:hAnsi="仿宋" w:eastAsia="仿宋" w:cs="仿宋"/>
                <w:b w:val="0"/>
                <w:bCs w:val="0"/>
                <w:color w:val="auto"/>
                <w:sz w:val="24"/>
                <w:szCs w:val="24"/>
                <w:highlight w:val="none"/>
                <w:lang w:val="en-US" w:eastAsia="zh-CN"/>
              </w:rPr>
              <w:t>0-10分</w:t>
            </w:r>
          </w:p>
        </w:tc>
      </w:tr>
      <w:tr w14:paraId="378F3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87" w:type="dxa"/>
          <w:trHeight w:val="677" w:hRule="atLeast"/>
          <w:jc w:val="center"/>
        </w:trPr>
        <w:tc>
          <w:tcPr>
            <w:tcW w:w="714" w:type="dxa"/>
            <w:vMerge w:val="restart"/>
            <w:tcBorders>
              <w:top w:val="single" w:color="auto" w:sz="4" w:space="0"/>
              <w:left w:val="single" w:color="auto" w:sz="4" w:space="0"/>
              <w:right w:val="single" w:color="auto" w:sz="4" w:space="0"/>
            </w:tcBorders>
            <w:vAlign w:val="center"/>
          </w:tcPr>
          <w:p w14:paraId="210F0632">
            <w:pPr>
              <w:autoSpaceDE w:val="0"/>
              <w:autoSpaceDN w:val="0"/>
              <w:spacing w:after="0"/>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w:t>
            </w:r>
          </w:p>
        </w:tc>
        <w:tc>
          <w:tcPr>
            <w:tcW w:w="1519" w:type="dxa"/>
            <w:gridSpan w:val="3"/>
            <w:vMerge w:val="restart"/>
            <w:tcBorders>
              <w:top w:val="single" w:color="auto" w:sz="4" w:space="0"/>
              <w:left w:val="single" w:color="auto" w:sz="4" w:space="0"/>
              <w:right w:val="single" w:color="auto" w:sz="4" w:space="0"/>
            </w:tcBorders>
            <w:vAlign w:val="center"/>
          </w:tcPr>
          <w:p w14:paraId="0E7B0490">
            <w:pPr>
              <w:autoSpaceDE w:val="0"/>
              <w:autoSpaceDN w:val="0"/>
              <w:spacing w:after="0"/>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商务报价</w:t>
            </w:r>
          </w:p>
        </w:tc>
        <w:tc>
          <w:tcPr>
            <w:tcW w:w="6459" w:type="dxa"/>
            <w:gridSpan w:val="7"/>
            <w:tcBorders>
              <w:top w:val="single" w:color="auto" w:sz="4" w:space="0"/>
              <w:left w:val="single" w:color="auto" w:sz="4" w:space="0"/>
              <w:bottom w:val="single" w:color="auto" w:sz="4" w:space="0"/>
              <w:right w:val="single" w:color="auto" w:sz="4" w:space="0"/>
            </w:tcBorders>
            <w:vAlign w:val="center"/>
          </w:tcPr>
          <w:p w14:paraId="55563623">
            <w:pPr>
              <w:autoSpaceDE w:val="0"/>
              <w:autoSpaceDN w:val="0"/>
              <w:spacing w:after="0"/>
              <w:ind w:left="479" w:leftChars="228" w:firstLine="0" w:firstLineChars="0"/>
              <w:jc w:val="left"/>
              <w:rPr>
                <w:rFonts w:hint="default"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4.2米冷藏车型6条线路合计最高限价：5.5+5.5+5.5+5.5+6.6+5.5=34.1元</w:t>
            </w:r>
          </w:p>
          <w:p w14:paraId="5D6A895E">
            <w:pPr>
              <w:autoSpaceDE w:val="0"/>
              <w:autoSpaceDN w:val="0"/>
              <w:spacing w:after="0"/>
              <w:ind w:firstLine="480" w:firstLineChars="200"/>
              <w:jc w:val="left"/>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eastAsia="zh-CN"/>
              </w:rPr>
              <w:t>基准价为满足评标要求且投标价格最低的投标报价，投标报价得分=(基准价／投标报价)×</w:t>
            </w:r>
            <w:r>
              <w:rPr>
                <w:rFonts w:hint="eastAsia" w:ascii="仿宋" w:hAnsi="仿宋" w:eastAsia="仿宋" w:cs="仿宋"/>
                <w:b w:val="0"/>
                <w:bCs w:val="0"/>
                <w:color w:val="auto"/>
                <w:sz w:val="24"/>
                <w:szCs w:val="24"/>
                <w:highlight w:val="none"/>
                <w:u w:val="none"/>
                <w:lang w:val="en-US" w:eastAsia="zh-CN"/>
              </w:rPr>
              <w:t>5</w:t>
            </w:r>
            <w:r>
              <w:rPr>
                <w:rFonts w:hint="eastAsia" w:ascii="仿宋" w:hAnsi="仿宋" w:eastAsia="仿宋" w:cs="仿宋"/>
                <w:b w:val="0"/>
                <w:bCs w:val="0"/>
                <w:color w:val="auto"/>
                <w:sz w:val="24"/>
                <w:szCs w:val="24"/>
                <w:highlight w:val="none"/>
                <w:lang w:eastAsia="zh-CN"/>
              </w:rPr>
              <w:t>，四舍五入，保留两位小数。报价高于</w:t>
            </w:r>
            <w:r>
              <w:rPr>
                <w:rFonts w:hint="eastAsia" w:ascii="仿宋" w:hAnsi="仿宋" w:eastAsia="仿宋" w:cs="仿宋"/>
                <w:b w:val="0"/>
                <w:bCs w:val="0"/>
                <w:color w:val="auto"/>
                <w:sz w:val="24"/>
                <w:szCs w:val="24"/>
                <w:highlight w:val="none"/>
                <w:lang w:val="en-US" w:eastAsia="zh-CN"/>
              </w:rPr>
              <w:t>各项单价</w:t>
            </w:r>
            <w:r>
              <w:rPr>
                <w:rFonts w:hint="eastAsia" w:ascii="仿宋" w:hAnsi="仿宋" w:eastAsia="仿宋" w:cs="仿宋"/>
                <w:b w:val="0"/>
                <w:bCs w:val="0"/>
                <w:color w:val="auto"/>
                <w:sz w:val="24"/>
                <w:szCs w:val="24"/>
                <w:highlight w:val="none"/>
                <w:lang w:eastAsia="zh-CN"/>
              </w:rPr>
              <w:t>最高限价的，其投标文件作无效处理。</w:t>
            </w:r>
          </w:p>
        </w:tc>
        <w:tc>
          <w:tcPr>
            <w:tcW w:w="1152" w:type="dxa"/>
            <w:tcBorders>
              <w:top w:val="single" w:color="auto" w:sz="4" w:space="0"/>
              <w:left w:val="single" w:color="auto" w:sz="4" w:space="0"/>
              <w:bottom w:val="single" w:color="auto" w:sz="4" w:space="0"/>
              <w:right w:val="single" w:color="auto" w:sz="4" w:space="0"/>
            </w:tcBorders>
            <w:vAlign w:val="center"/>
          </w:tcPr>
          <w:p w14:paraId="7A6BAB41">
            <w:pPr>
              <w:numPr>
                <w:ilvl w:val="0"/>
                <w:numId w:val="0"/>
              </w:numPr>
              <w:autoSpaceDE w:val="0"/>
              <w:autoSpaceDN w:val="0"/>
              <w:spacing w:after="0"/>
              <w:jc w:val="center"/>
              <w:rPr>
                <w:rFonts w:hint="default"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0-5分</w:t>
            </w:r>
          </w:p>
        </w:tc>
      </w:tr>
      <w:tr w14:paraId="37041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87" w:type="dxa"/>
          <w:trHeight w:val="677" w:hRule="atLeast"/>
          <w:jc w:val="center"/>
        </w:trPr>
        <w:tc>
          <w:tcPr>
            <w:tcW w:w="714" w:type="dxa"/>
            <w:vMerge w:val="continue"/>
            <w:tcBorders>
              <w:left w:val="single" w:color="auto" w:sz="4" w:space="0"/>
              <w:right w:val="single" w:color="auto" w:sz="4" w:space="0"/>
            </w:tcBorders>
            <w:vAlign w:val="center"/>
          </w:tcPr>
          <w:p w14:paraId="4E1A29A0">
            <w:pPr>
              <w:autoSpaceDE w:val="0"/>
              <w:autoSpaceDN w:val="0"/>
              <w:spacing w:after="0"/>
              <w:jc w:val="center"/>
              <w:rPr>
                <w:rFonts w:hint="eastAsia" w:ascii="仿宋" w:hAnsi="仿宋" w:eastAsia="仿宋" w:cs="仿宋"/>
                <w:color w:val="auto"/>
                <w:sz w:val="24"/>
                <w:szCs w:val="24"/>
                <w:highlight w:val="none"/>
                <w:lang w:val="en-US" w:eastAsia="zh-CN"/>
              </w:rPr>
            </w:pPr>
          </w:p>
        </w:tc>
        <w:tc>
          <w:tcPr>
            <w:tcW w:w="1519" w:type="dxa"/>
            <w:gridSpan w:val="3"/>
            <w:vMerge w:val="continue"/>
            <w:tcBorders>
              <w:left w:val="single" w:color="auto" w:sz="4" w:space="0"/>
              <w:right w:val="single" w:color="auto" w:sz="4" w:space="0"/>
            </w:tcBorders>
            <w:vAlign w:val="center"/>
          </w:tcPr>
          <w:p w14:paraId="35022079">
            <w:pPr>
              <w:autoSpaceDE w:val="0"/>
              <w:autoSpaceDN w:val="0"/>
              <w:spacing w:after="0"/>
              <w:jc w:val="center"/>
              <w:rPr>
                <w:rFonts w:hint="eastAsia" w:ascii="仿宋" w:hAnsi="仿宋" w:eastAsia="仿宋" w:cs="仿宋"/>
                <w:color w:val="auto"/>
                <w:sz w:val="24"/>
                <w:szCs w:val="24"/>
                <w:highlight w:val="none"/>
                <w:lang w:val="en-US" w:eastAsia="zh-CN"/>
              </w:rPr>
            </w:pPr>
          </w:p>
        </w:tc>
        <w:tc>
          <w:tcPr>
            <w:tcW w:w="6459" w:type="dxa"/>
            <w:gridSpan w:val="7"/>
            <w:tcBorders>
              <w:top w:val="single" w:color="auto" w:sz="4" w:space="0"/>
              <w:left w:val="single" w:color="auto" w:sz="4" w:space="0"/>
              <w:bottom w:val="single" w:color="auto" w:sz="4" w:space="0"/>
              <w:right w:val="single" w:color="auto" w:sz="4" w:space="0"/>
            </w:tcBorders>
            <w:vAlign w:val="center"/>
          </w:tcPr>
          <w:p w14:paraId="2C070716">
            <w:pPr>
              <w:autoSpaceDE w:val="0"/>
              <w:autoSpaceDN w:val="0"/>
              <w:spacing w:after="0"/>
              <w:ind w:left="479" w:leftChars="228" w:firstLine="0" w:firstLineChars="0"/>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7.6米冷藏车型6条线路合计最高限价：</w:t>
            </w:r>
          </w:p>
          <w:p w14:paraId="6C62CBFA">
            <w:pPr>
              <w:autoSpaceDE w:val="0"/>
              <w:autoSpaceDN w:val="0"/>
              <w:spacing w:after="0"/>
              <w:ind w:left="479" w:leftChars="228" w:firstLine="0" w:firstLineChars="0"/>
              <w:jc w:val="left"/>
              <w:rPr>
                <w:rFonts w:hint="default"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8.5+8.5+8.5+8.5+9+8.5=51.5元</w:t>
            </w:r>
          </w:p>
          <w:p w14:paraId="04C0961A">
            <w:pPr>
              <w:autoSpaceDE w:val="0"/>
              <w:autoSpaceDN w:val="0"/>
              <w:spacing w:after="0"/>
              <w:ind w:firstLine="480" w:firstLineChars="200"/>
              <w:jc w:val="left"/>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eastAsia="zh-CN"/>
              </w:rPr>
              <w:t>基准价为满足评标要求且投标价格最低的投标报价，投标报价得分=(基准价／投标报价)×</w:t>
            </w:r>
            <w:r>
              <w:rPr>
                <w:rFonts w:hint="eastAsia" w:ascii="仿宋" w:hAnsi="仿宋" w:eastAsia="仿宋" w:cs="仿宋"/>
                <w:b w:val="0"/>
                <w:bCs w:val="0"/>
                <w:color w:val="auto"/>
                <w:sz w:val="24"/>
                <w:szCs w:val="24"/>
                <w:highlight w:val="none"/>
                <w:u w:val="none"/>
                <w:lang w:val="en-US" w:eastAsia="zh-CN"/>
              </w:rPr>
              <w:t>5</w:t>
            </w:r>
            <w:r>
              <w:rPr>
                <w:rFonts w:hint="eastAsia" w:ascii="仿宋" w:hAnsi="仿宋" w:eastAsia="仿宋" w:cs="仿宋"/>
                <w:b w:val="0"/>
                <w:bCs w:val="0"/>
                <w:color w:val="auto"/>
                <w:sz w:val="24"/>
                <w:szCs w:val="24"/>
                <w:highlight w:val="none"/>
                <w:lang w:eastAsia="zh-CN"/>
              </w:rPr>
              <w:t>，四舍五入，保留两位小数。报价高于</w:t>
            </w:r>
            <w:r>
              <w:rPr>
                <w:rFonts w:hint="eastAsia" w:ascii="仿宋" w:hAnsi="仿宋" w:eastAsia="仿宋" w:cs="仿宋"/>
                <w:b w:val="0"/>
                <w:bCs w:val="0"/>
                <w:color w:val="auto"/>
                <w:sz w:val="24"/>
                <w:szCs w:val="24"/>
                <w:highlight w:val="none"/>
                <w:lang w:val="en-US" w:eastAsia="zh-CN"/>
              </w:rPr>
              <w:t>各项单价</w:t>
            </w:r>
            <w:r>
              <w:rPr>
                <w:rFonts w:hint="eastAsia" w:ascii="仿宋" w:hAnsi="仿宋" w:eastAsia="仿宋" w:cs="仿宋"/>
                <w:b w:val="0"/>
                <w:bCs w:val="0"/>
                <w:color w:val="auto"/>
                <w:sz w:val="24"/>
                <w:szCs w:val="24"/>
                <w:highlight w:val="none"/>
                <w:lang w:eastAsia="zh-CN"/>
              </w:rPr>
              <w:t>最高限价的，其投标文件作无效处理。</w:t>
            </w:r>
          </w:p>
        </w:tc>
        <w:tc>
          <w:tcPr>
            <w:tcW w:w="1152" w:type="dxa"/>
            <w:tcBorders>
              <w:top w:val="single" w:color="auto" w:sz="4" w:space="0"/>
              <w:left w:val="single" w:color="auto" w:sz="4" w:space="0"/>
              <w:bottom w:val="single" w:color="auto" w:sz="4" w:space="0"/>
              <w:right w:val="single" w:color="auto" w:sz="4" w:space="0"/>
            </w:tcBorders>
            <w:vAlign w:val="center"/>
          </w:tcPr>
          <w:p w14:paraId="5D66E8F2">
            <w:pPr>
              <w:numPr>
                <w:ilvl w:val="0"/>
                <w:numId w:val="0"/>
              </w:numPr>
              <w:autoSpaceDE w:val="0"/>
              <w:autoSpaceDN w:val="0"/>
              <w:spacing w:after="0"/>
              <w:ind w:left="0" w:leftChars="0" w:firstLine="0" w:firstLineChars="0"/>
              <w:jc w:val="center"/>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0-5分</w:t>
            </w:r>
          </w:p>
        </w:tc>
      </w:tr>
      <w:tr w14:paraId="019A9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87" w:type="dxa"/>
          <w:trHeight w:val="677" w:hRule="atLeast"/>
          <w:jc w:val="center"/>
        </w:trPr>
        <w:tc>
          <w:tcPr>
            <w:tcW w:w="714" w:type="dxa"/>
            <w:vMerge w:val="continue"/>
            <w:tcBorders>
              <w:left w:val="single" w:color="auto" w:sz="4" w:space="0"/>
              <w:right w:val="single" w:color="auto" w:sz="4" w:space="0"/>
            </w:tcBorders>
            <w:vAlign w:val="center"/>
          </w:tcPr>
          <w:p w14:paraId="5CE67653">
            <w:pPr>
              <w:autoSpaceDE w:val="0"/>
              <w:autoSpaceDN w:val="0"/>
              <w:spacing w:after="0"/>
              <w:jc w:val="center"/>
              <w:rPr>
                <w:rFonts w:hint="eastAsia" w:ascii="仿宋" w:hAnsi="仿宋" w:eastAsia="仿宋" w:cs="仿宋"/>
                <w:color w:val="auto"/>
                <w:sz w:val="24"/>
                <w:szCs w:val="24"/>
                <w:highlight w:val="none"/>
                <w:lang w:val="en-US" w:eastAsia="zh-CN"/>
              </w:rPr>
            </w:pPr>
          </w:p>
        </w:tc>
        <w:tc>
          <w:tcPr>
            <w:tcW w:w="1519" w:type="dxa"/>
            <w:gridSpan w:val="3"/>
            <w:vMerge w:val="continue"/>
            <w:tcBorders>
              <w:left w:val="single" w:color="auto" w:sz="4" w:space="0"/>
              <w:right w:val="single" w:color="auto" w:sz="4" w:space="0"/>
            </w:tcBorders>
            <w:vAlign w:val="center"/>
          </w:tcPr>
          <w:p w14:paraId="7CA6550E">
            <w:pPr>
              <w:autoSpaceDE w:val="0"/>
              <w:autoSpaceDN w:val="0"/>
              <w:spacing w:after="0"/>
              <w:jc w:val="center"/>
              <w:rPr>
                <w:rFonts w:hint="eastAsia" w:ascii="仿宋" w:hAnsi="仿宋" w:eastAsia="仿宋" w:cs="仿宋"/>
                <w:color w:val="auto"/>
                <w:sz w:val="24"/>
                <w:szCs w:val="24"/>
                <w:highlight w:val="none"/>
                <w:lang w:val="en-US" w:eastAsia="zh-CN"/>
              </w:rPr>
            </w:pPr>
          </w:p>
        </w:tc>
        <w:tc>
          <w:tcPr>
            <w:tcW w:w="6459" w:type="dxa"/>
            <w:gridSpan w:val="7"/>
            <w:tcBorders>
              <w:top w:val="single" w:color="auto" w:sz="4" w:space="0"/>
              <w:left w:val="single" w:color="auto" w:sz="4" w:space="0"/>
              <w:bottom w:val="single" w:color="auto" w:sz="4" w:space="0"/>
              <w:right w:val="single" w:color="auto" w:sz="4" w:space="0"/>
            </w:tcBorders>
            <w:vAlign w:val="center"/>
          </w:tcPr>
          <w:p w14:paraId="5C8D7A5A">
            <w:pPr>
              <w:autoSpaceDE w:val="0"/>
              <w:autoSpaceDN w:val="0"/>
              <w:spacing w:after="0"/>
              <w:ind w:left="479" w:leftChars="228" w:firstLine="0" w:firstLineChars="0"/>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9.6米冷藏车型6条线路合计最高限价：</w:t>
            </w:r>
          </w:p>
          <w:p w14:paraId="30DF6CBE">
            <w:pPr>
              <w:autoSpaceDE w:val="0"/>
              <w:autoSpaceDN w:val="0"/>
              <w:spacing w:after="0"/>
              <w:ind w:left="479" w:leftChars="228" w:firstLine="0" w:firstLineChars="0"/>
              <w:jc w:val="left"/>
              <w:rPr>
                <w:rFonts w:hint="default"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9.5+9.5+9.5+9.5+10+9.5=57.5元</w:t>
            </w:r>
          </w:p>
          <w:p w14:paraId="5F727257">
            <w:pPr>
              <w:autoSpaceDE w:val="0"/>
              <w:autoSpaceDN w:val="0"/>
              <w:spacing w:after="0"/>
              <w:ind w:firstLine="480" w:firstLineChars="200"/>
              <w:jc w:val="left"/>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eastAsia="zh-CN"/>
              </w:rPr>
              <w:t>基准价为满足评标要求且投标价格最低的投标报价，投标报价得分=(基准价／投标报价)×</w:t>
            </w:r>
            <w:r>
              <w:rPr>
                <w:rFonts w:hint="eastAsia" w:ascii="仿宋" w:hAnsi="仿宋" w:eastAsia="仿宋" w:cs="仿宋"/>
                <w:b w:val="0"/>
                <w:bCs w:val="0"/>
                <w:color w:val="auto"/>
                <w:sz w:val="24"/>
                <w:szCs w:val="24"/>
                <w:highlight w:val="none"/>
                <w:u w:val="none"/>
                <w:lang w:val="en-US" w:eastAsia="zh-CN"/>
              </w:rPr>
              <w:t>5</w:t>
            </w:r>
            <w:r>
              <w:rPr>
                <w:rFonts w:hint="eastAsia" w:ascii="仿宋" w:hAnsi="仿宋" w:eastAsia="仿宋" w:cs="仿宋"/>
                <w:b w:val="0"/>
                <w:bCs w:val="0"/>
                <w:color w:val="auto"/>
                <w:sz w:val="24"/>
                <w:szCs w:val="24"/>
                <w:highlight w:val="none"/>
                <w:lang w:eastAsia="zh-CN"/>
              </w:rPr>
              <w:t>，四舍五入，保留两位小数。报价高于</w:t>
            </w:r>
            <w:r>
              <w:rPr>
                <w:rFonts w:hint="eastAsia" w:ascii="仿宋" w:hAnsi="仿宋" w:eastAsia="仿宋" w:cs="仿宋"/>
                <w:b w:val="0"/>
                <w:bCs w:val="0"/>
                <w:color w:val="auto"/>
                <w:sz w:val="24"/>
                <w:szCs w:val="24"/>
                <w:highlight w:val="none"/>
                <w:lang w:val="en-US" w:eastAsia="zh-CN"/>
              </w:rPr>
              <w:t>各项单价</w:t>
            </w:r>
            <w:r>
              <w:rPr>
                <w:rFonts w:hint="eastAsia" w:ascii="仿宋" w:hAnsi="仿宋" w:eastAsia="仿宋" w:cs="仿宋"/>
                <w:b w:val="0"/>
                <w:bCs w:val="0"/>
                <w:color w:val="auto"/>
                <w:sz w:val="24"/>
                <w:szCs w:val="24"/>
                <w:highlight w:val="none"/>
                <w:lang w:eastAsia="zh-CN"/>
              </w:rPr>
              <w:t>最高限价的，其投标文件作无效处理。</w:t>
            </w:r>
          </w:p>
        </w:tc>
        <w:tc>
          <w:tcPr>
            <w:tcW w:w="1152" w:type="dxa"/>
            <w:tcBorders>
              <w:top w:val="single" w:color="auto" w:sz="4" w:space="0"/>
              <w:left w:val="single" w:color="auto" w:sz="4" w:space="0"/>
              <w:bottom w:val="single" w:color="auto" w:sz="4" w:space="0"/>
              <w:right w:val="single" w:color="auto" w:sz="4" w:space="0"/>
            </w:tcBorders>
            <w:vAlign w:val="center"/>
          </w:tcPr>
          <w:p w14:paraId="60B52C0F">
            <w:pPr>
              <w:numPr>
                <w:ilvl w:val="0"/>
                <w:numId w:val="0"/>
              </w:numPr>
              <w:autoSpaceDE w:val="0"/>
              <w:autoSpaceDN w:val="0"/>
              <w:spacing w:after="0"/>
              <w:ind w:left="0" w:leftChars="0" w:firstLine="0" w:firstLineChars="0"/>
              <w:jc w:val="center"/>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0-5分</w:t>
            </w:r>
          </w:p>
        </w:tc>
      </w:tr>
      <w:tr w14:paraId="2D610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387" w:type="dxa"/>
          <w:trHeight w:val="930" w:hRule="atLeast"/>
          <w:jc w:val="center"/>
        </w:trPr>
        <w:tc>
          <w:tcPr>
            <w:tcW w:w="714" w:type="dxa"/>
            <w:vMerge w:val="continue"/>
            <w:tcBorders>
              <w:left w:val="single" w:color="auto" w:sz="4" w:space="0"/>
              <w:bottom w:val="single" w:color="auto" w:sz="4" w:space="0"/>
              <w:right w:val="single" w:color="auto" w:sz="4" w:space="0"/>
            </w:tcBorders>
            <w:vAlign w:val="center"/>
          </w:tcPr>
          <w:p w14:paraId="4F6AE542">
            <w:pPr>
              <w:autoSpaceDE w:val="0"/>
              <w:autoSpaceDN w:val="0"/>
              <w:spacing w:after="0"/>
              <w:jc w:val="center"/>
              <w:rPr>
                <w:rFonts w:hint="default" w:ascii="仿宋" w:hAnsi="仿宋" w:eastAsia="仿宋" w:cs="仿宋"/>
                <w:color w:val="auto"/>
                <w:sz w:val="24"/>
                <w:szCs w:val="24"/>
                <w:highlight w:val="none"/>
                <w:lang w:val="en-US" w:eastAsia="zh-CN"/>
              </w:rPr>
            </w:pPr>
          </w:p>
        </w:tc>
        <w:tc>
          <w:tcPr>
            <w:tcW w:w="1519" w:type="dxa"/>
            <w:gridSpan w:val="3"/>
            <w:vMerge w:val="continue"/>
            <w:tcBorders>
              <w:left w:val="single" w:color="auto" w:sz="4" w:space="0"/>
              <w:bottom w:val="single" w:color="auto" w:sz="4" w:space="0"/>
              <w:right w:val="single" w:color="auto" w:sz="4" w:space="0"/>
            </w:tcBorders>
            <w:vAlign w:val="center"/>
          </w:tcPr>
          <w:p w14:paraId="3822E903">
            <w:pPr>
              <w:autoSpaceDE w:val="0"/>
              <w:autoSpaceDN w:val="0"/>
              <w:spacing w:after="0"/>
              <w:jc w:val="center"/>
              <w:rPr>
                <w:rFonts w:hint="eastAsia" w:ascii="仿宋" w:hAnsi="仿宋" w:eastAsia="仿宋" w:cs="仿宋"/>
                <w:color w:val="auto"/>
                <w:sz w:val="24"/>
                <w:szCs w:val="24"/>
                <w:highlight w:val="none"/>
                <w:lang w:val="en-US" w:eastAsia="zh-CN"/>
              </w:rPr>
            </w:pPr>
          </w:p>
        </w:tc>
        <w:tc>
          <w:tcPr>
            <w:tcW w:w="6459" w:type="dxa"/>
            <w:gridSpan w:val="7"/>
            <w:tcBorders>
              <w:top w:val="single" w:color="auto" w:sz="4" w:space="0"/>
              <w:left w:val="single" w:color="auto" w:sz="4" w:space="0"/>
              <w:bottom w:val="single" w:color="auto" w:sz="4" w:space="0"/>
              <w:right w:val="single" w:color="auto" w:sz="4" w:space="0"/>
            </w:tcBorders>
            <w:vAlign w:val="center"/>
          </w:tcPr>
          <w:p w14:paraId="7FF6A600">
            <w:pPr>
              <w:autoSpaceDE w:val="0"/>
              <w:autoSpaceDN w:val="0"/>
              <w:spacing w:after="0"/>
              <w:ind w:left="479" w:leftChars="228" w:firstLine="0" w:firstLineChars="0"/>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15米冷藏车型6条线路合计最高限价：</w:t>
            </w:r>
          </w:p>
          <w:p w14:paraId="1294C6D8">
            <w:pPr>
              <w:autoSpaceDE w:val="0"/>
              <w:autoSpaceDN w:val="0"/>
              <w:spacing w:after="0"/>
              <w:ind w:left="479" w:leftChars="228" w:firstLine="0" w:firstLineChars="0"/>
              <w:jc w:val="left"/>
              <w:rPr>
                <w:rFonts w:hint="default"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11+11+11+11+11+11=66元</w:t>
            </w:r>
          </w:p>
          <w:p w14:paraId="75598836">
            <w:pPr>
              <w:autoSpaceDE w:val="0"/>
              <w:autoSpaceDN w:val="0"/>
              <w:spacing w:after="0"/>
              <w:ind w:firstLine="480" w:firstLineChars="200"/>
              <w:jc w:val="left"/>
              <w:rPr>
                <w:rFonts w:hint="eastAsia" w:ascii="仿宋" w:hAnsi="仿宋" w:eastAsia="仿宋" w:cs="仿宋"/>
                <w:b w:val="0"/>
                <w:bCs w:val="0"/>
                <w:color w:val="auto"/>
                <w:sz w:val="24"/>
                <w:szCs w:val="24"/>
                <w:highlight w:val="none"/>
                <w:lang w:eastAsia="zh-CN"/>
              </w:rPr>
            </w:pPr>
            <w:r>
              <w:rPr>
                <w:rFonts w:hint="eastAsia" w:ascii="仿宋" w:hAnsi="仿宋" w:eastAsia="仿宋" w:cs="仿宋"/>
                <w:b w:val="0"/>
                <w:bCs w:val="0"/>
                <w:color w:val="auto"/>
                <w:sz w:val="24"/>
                <w:szCs w:val="24"/>
                <w:highlight w:val="none"/>
                <w:lang w:eastAsia="zh-CN"/>
              </w:rPr>
              <w:t>基准价为满足评标要求且投标价格最低的投标报价，投标报价得分=(基准价／投标报价)×</w:t>
            </w:r>
            <w:r>
              <w:rPr>
                <w:rFonts w:hint="eastAsia" w:ascii="仿宋" w:hAnsi="仿宋" w:eastAsia="仿宋" w:cs="仿宋"/>
                <w:b w:val="0"/>
                <w:bCs w:val="0"/>
                <w:color w:val="auto"/>
                <w:sz w:val="24"/>
                <w:szCs w:val="24"/>
                <w:highlight w:val="none"/>
                <w:u w:val="none"/>
                <w:lang w:val="en-US" w:eastAsia="zh-CN"/>
              </w:rPr>
              <w:t>5</w:t>
            </w:r>
            <w:r>
              <w:rPr>
                <w:rFonts w:hint="eastAsia" w:ascii="仿宋" w:hAnsi="仿宋" w:eastAsia="仿宋" w:cs="仿宋"/>
                <w:b w:val="0"/>
                <w:bCs w:val="0"/>
                <w:color w:val="auto"/>
                <w:sz w:val="24"/>
                <w:szCs w:val="24"/>
                <w:highlight w:val="none"/>
                <w:lang w:eastAsia="zh-CN"/>
              </w:rPr>
              <w:t>，四舍五入，保留两位小数。报价高于</w:t>
            </w:r>
            <w:r>
              <w:rPr>
                <w:rFonts w:hint="eastAsia" w:ascii="仿宋" w:hAnsi="仿宋" w:eastAsia="仿宋" w:cs="仿宋"/>
                <w:b w:val="0"/>
                <w:bCs w:val="0"/>
                <w:color w:val="auto"/>
                <w:sz w:val="24"/>
                <w:szCs w:val="24"/>
                <w:highlight w:val="none"/>
                <w:lang w:val="en-US" w:eastAsia="zh-CN"/>
              </w:rPr>
              <w:t>各项单价</w:t>
            </w:r>
            <w:r>
              <w:rPr>
                <w:rFonts w:hint="eastAsia" w:ascii="仿宋" w:hAnsi="仿宋" w:eastAsia="仿宋" w:cs="仿宋"/>
                <w:b w:val="0"/>
                <w:bCs w:val="0"/>
                <w:color w:val="auto"/>
                <w:sz w:val="24"/>
                <w:szCs w:val="24"/>
                <w:highlight w:val="none"/>
                <w:lang w:eastAsia="zh-CN"/>
              </w:rPr>
              <w:t>最高限价的，其投标文件作无效处理。</w:t>
            </w:r>
          </w:p>
        </w:tc>
        <w:tc>
          <w:tcPr>
            <w:tcW w:w="1152" w:type="dxa"/>
            <w:tcBorders>
              <w:top w:val="single" w:color="auto" w:sz="4" w:space="0"/>
              <w:left w:val="single" w:color="auto" w:sz="4" w:space="0"/>
              <w:bottom w:val="single" w:color="auto" w:sz="4" w:space="0"/>
              <w:right w:val="single" w:color="auto" w:sz="4" w:space="0"/>
            </w:tcBorders>
            <w:vAlign w:val="center"/>
          </w:tcPr>
          <w:p w14:paraId="13CE9FDA">
            <w:pPr>
              <w:numPr>
                <w:ilvl w:val="0"/>
                <w:numId w:val="0"/>
              </w:numPr>
              <w:autoSpaceDE w:val="0"/>
              <w:autoSpaceDN w:val="0"/>
              <w:spacing w:after="0"/>
              <w:ind w:left="0" w:leftChars="0" w:firstLine="0" w:firstLineChars="0"/>
              <w:jc w:val="center"/>
              <w:rPr>
                <w:rFonts w:hint="default"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0-5分</w:t>
            </w:r>
          </w:p>
        </w:tc>
      </w:tr>
      <w:tr w14:paraId="2ED1E7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766" w:type="dxa"/>
            <w:gridSpan w:val="2"/>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05A43D58">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序号</w:t>
            </w: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58A27F42">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性质</w:t>
            </w:r>
          </w:p>
        </w:tc>
        <w:tc>
          <w:tcPr>
            <w:tcW w:w="827" w:type="dxa"/>
            <w:gridSpan w:val="2"/>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0AE11875">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始发省份</w:t>
            </w:r>
          </w:p>
        </w:tc>
        <w:tc>
          <w:tcPr>
            <w:tcW w:w="815" w:type="dxa"/>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528A00C8">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始发城市</w:t>
            </w:r>
          </w:p>
        </w:tc>
        <w:tc>
          <w:tcPr>
            <w:tcW w:w="1057" w:type="dxa"/>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7B59E122">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目的省份</w:t>
            </w:r>
          </w:p>
        </w:tc>
        <w:tc>
          <w:tcPr>
            <w:tcW w:w="1071" w:type="dxa"/>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05A06F0A">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目的城市</w:t>
            </w:r>
          </w:p>
        </w:tc>
        <w:tc>
          <w:tcPr>
            <w:tcW w:w="1500" w:type="dxa"/>
            <w:tcBorders>
              <w:top w:val="single" w:color="000000" w:sz="4" w:space="0"/>
              <w:left w:val="single" w:color="000000" w:sz="4" w:space="0"/>
              <w:bottom w:val="single" w:color="000000" w:sz="4" w:space="0"/>
              <w:right w:val="nil"/>
            </w:tcBorders>
            <w:shd w:val="clear" w:color="auto" w:fill="B4C6E7"/>
            <w:noWrap/>
            <w:vAlign w:val="center"/>
          </w:tcPr>
          <w:p w14:paraId="23722D34">
            <w:pPr>
              <w:keepNext w:val="0"/>
              <w:keepLines w:val="0"/>
              <w:widowControl/>
              <w:suppressLineNumbers w:val="0"/>
              <w:jc w:val="center"/>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kern w:val="0"/>
                <w:sz w:val="24"/>
                <w:szCs w:val="24"/>
                <w:u w:val="none"/>
                <w:lang w:val="en-US" w:eastAsia="zh-CN" w:bidi="ar"/>
              </w:rPr>
              <w:t>4.2米</w:t>
            </w:r>
          </w:p>
          <w:p w14:paraId="4031D57D">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冷藏车型</w:t>
            </w:r>
          </w:p>
        </w:tc>
        <w:tc>
          <w:tcPr>
            <w:tcW w:w="1415" w:type="dxa"/>
            <w:tcBorders>
              <w:top w:val="single" w:color="000000" w:sz="4" w:space="0"/>
              <w:left w:val="single" w:color="000000" w:sz="4" w:space="0"/>
              <w:bottom w:val="single" w:color="000000" w:sz="4" w:space="0"/>
              <w:right w:val="nil"/>
            </w:tcBorders>
            <w:shd w:val="clear" w:color="auto" w:fill="B4C6E7"/>
            <w:noWrap/>
            <w:vAlign w:val="center"/>
          </w:tcPr>
          <w:p w14:paraId="0C345BA7">
            <w:pPr>
              <w:keepNext w:val="0"/>
              <w:keepLines w:val="0"/>
              <w:widowControl/>
              <w:suppressLineNumbers w:val="0"/>
              <w:jc w:val="center"/>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kern w:val="0"/>
                <w:sz w:val="24"/>
                <w:szCs w:val="24"/>
                <w:u w:val="none"/>
                <w:lang w:val="en-US" w:eastAsia="zh-CN" w:bidi="ar"/>
              </w:rPr>
              <w:t>7.6米</w:t>
            </w:r>
          </w:p>
          <w:p w14:paraId="79E31779">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冷藏车型</w:t>
            </w:r>
          </w:p>
        </w:tc>
        <w:tc>
          <w:tcPr>
            <w:tcW w:w="1493" w:type="dxa"/>
            <w:gridSpan w:val="2"/>
            <w:tcBorders>
              <w:top w:val="single" w:color="000000" w:sz="4" w:space="0"/>
              <w:left w:val="single" w:color="000000" w:sz="4" w:space="0"/>
              <w:bottom w:val="single" w:color="000000" w:sz="4" w:space="0"/>
              <w:right w:val="nil"/>
            </w:tcBorders>
            <w:shd w:val="clear" w:color="auto" w:fill="B4C6E7"/>
            <w:noWrap/>
            <w:vAlign w:val="center"/>
          </w:tcPr>
          <w:p w14:paraId="3F32F25B">
            <w:pPr>
              <w:keepNext w:val="0"/>
              <w:keepLines w:val="0"/>
              <w:widowControl/>
              <w:suppressLineNumbers w:val="0"/>
              <w:jc w:val="center"/>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kern w:val="0"/>
                <w:sz w:val="24"/>
                <w:szCs w:val="24"/>
                <w:u w:val="none"/>
                <w:lang w:val="en-US" w:eastAsia="zh-CN" w:bidi="ar"/>
              </w:rPr>
              <w:t>9.6米</w:t>
            </w:r>
          </w:p>
          <w:p w14:paraId="630C9D9D">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冷藏车型</w:t>
            </w:r>
          </w:p>
        </w:tc>
        <w:tc>
          <w:tcPr>
            <w:tcW w:w="1387" w:type="dxa"/>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1B51D09E">
            <w:pPr>
              <w:keepNext w:val="0"/>
              <w:keepLines w:val="0"/>
              <w:widowControl/>
              <w:suppressLineNumbers w:val="0"/>
              <w:jc w:val="center"/>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kern w:val="0"/>
                <w:sz w:val="24"/>
                <w:szCs w:val="24"/>
                <w:u w:val="none"/>
                <w:lang w:val="en-US" w:eastAsia="zh-CN" w:bidi="ar"/>
              </w:rPr>
              <w:t>15米冷</w:t>
            </w:r>
          </w:p>
          <w:p w14:paraId="1B774B53">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藏车型</w:t>
            </w:r>
          </w:p>
        </w:tc>
      </w:tr>
      <w:tr w14:paraId="07E962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766" w:type="dxa"/>
            <w:gridSpan w:val="2"/>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6E902C82">
            <w:pPr>
              <w:jc w:val="center"/>
              <w:rPr>
                <w:rFonts w:hint="eastAsia" w:ascii="仿宋" w:hAnsi="仿宋" w:eastAsia="仿宋" w:cs="仿宋"/>
                <w:b/>
                <w:bCs/>
                <w:i w:val="0"/>
                <w:iCs w:val="0"/>
                <w:color w:val="auto"/>
                <w:sz w:val="24"/>
                <w:szCs w:val="24"/>
                <w:u w:val="none"/>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60273A5A">
            <w:pPr>
              <w:jc w:val="center"/>
              <w:rPr>
                <w:rFonts w:hint="eastAsia" w:ascii="仿宋" w:hAnsi="仿宋" w:eastAsia="仿宋" w:cs="仿宋"/>
                <w:b/>
                <w:bCs/>
                <w:i w:val="0"/>
                <w:iCs w:val="0"/>
                <w:color w:val="auto"/>
                <w:sz w:val="24"/>
                <w:szCs w:val="24"/>
                <w:u w:val="none"/>
              </w:rPr>
            </w:pPr>
          </w:p>
        </w:tc>
        <w:tc>
          <w:tcPr>
            <w:tcW w:w="827" w:type="dxa"/>
            <w:gridSpan w:val="2"/>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2668B4B4">
            <w:pPr>
              <w:jc w:val="center"/>
              <w:rPr>
                <w:rFonts w:hint="eastAsia" w:ascii="仿宋" w:hAnsi="仿宋" w:eastAsia="仿宋" w:cs="仿宋"/>
                <w:b/>
                <w:bCs/>
                <w:i w:val="0"/>
                <w:iCs w:val="0"/>
                <w:color w:val="auto"/>
                <w:sz w:val="24"/>
                <w:szCs w:val="24"/>
                <w:u w:val="none"/>
              </w:rPr>
            </w:pPr>
          </w:p>
        </w:tc>
        <w:tc>
          <w:tcPr>
            <w:tcW w:w="815" w:type="dxa"/>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6BB7024E">
            <w:pPr>
              <w:jc w:val="center"/>
              <w:rPr>
                <w:rFonts w:hint="eastAsia" w:ascii="仿宋" w:hAnsi="仿宋" w:eastAsia="仿宋" w:cs="仿宋"/>
                <w:b/>
                <w:bCs/>
                <w:i w:val="0"/>
                <w:iCs w:val="0"/>
                <w:color w:val="auto"/>
                <w:sz w:val="24"/>
                <w:szCs w:val="24"/>
                <w:u w:val="none"/>
              </w:rPr>
            </w:pPr>
          </w:p>
        </w:tc>
        <w:tc>
          <w:tcPr>
            <w:tcW w:w="1057" w:type="dxa"/>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259B2215">
            <w:pPr>
              <w:jc w:val="center"/>
              <w:rPr>
                <w:rFonts w:hint="eastAsia" w:ascii="仿宋" w:hAnsi="仿宋" w:eastAsia="仿宋" w:cs="仿宋"/>
                <w:b/>
                <w:bCs/>
                <w:i w:val="0"/>
                <w:iCs w:val="0"/>
                <w:color w:val="auto"/>
                <w:sz w:val="24"/>
                <w:szCs w:val="24"/>
                <w:u w:val="none"/>
              </w:rPr>
            </w:pPr>
          </w:p>
        </w:tc>
        <w:tc>
          <w:tcPr>
            <w:tcW w:w="1071" w:type="dxa"/>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7E8FA0D8">
            <w:pPr>
              <w:jc w:val="center"/>
              <w:rPr>
                <w:rFonts w:hint="eastAsia" w:ascii="仿宋" w:hAnsi="仿宋" w:eastAsia="仿宋" w:cs="仿宋"/>
                <w:b/>
                <w:bCs/>
                <w:i w:val="0"/>
                <w:iCs w:val="0"/>
                <w:color w:val="auto"/>
                <w:sz w:val="24"/>
                <w:szCs w:val="24"/>
                <w:u w:val="none"/>
              </w:rPr>
            </w:pPr>
          </w:p>
        </w:tc>
        <w:tc>
          <w:tcPr>
            <w:tcW w:w="1500" w:type="dxa"/>
            <w:tcBorders>
              <w:top w:val="single" w:color="000000" w:sz="4" w:space="0"/>
              <w:left w:val="single" w:color="000000" w:sz="4" w:space="0"/>
              <w:bottom w:val="nil"/>
              <w:right w:val="single" w:color="000000" w:sz="4" w:space="0"/>
            </w:tcBorders>
            <w:shd w:val="clear" w:color="auto" w:fill="B4C6E7"/>
            <w:noWrap/>
            <w:vAlign w:val="center"/>
          </w:tcPr>
          <w:p w14:paraId="2564149F">
            <w:pPr>
              <w:keepNext w:val="0"/>
              <w:keepLines w:val="0"/>
              <w:widowControl/>
              <w:suppressLineNumbers w:val="0"/>
              <w:jc w:val="center"/>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kern w:val="0"/>
                <w:sz w:val="24"/>
                <w:szCs w:val="24"/>
                <w:u w:val="none"/>
                <w:lang w:val="en-US" w:eastAsia="zh-CN" w:bidi="ar"/>
              </w:rPr>
              <w:t>最高限价</w:t>
            </w:r>
          </w:p>
          <w:p w14:paraId="1F23A967">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（元/KM）</w:t>
            </w:r>
          </w:p>
        </w:tc>
        <w:tc>
          <w:tcPr>
            <w:tcW w:w="1415" w:type="dxa"/>
            <w:tcBorders>
              <w:top w:val="single" w:color="000000" w:sz="4" w:space="0"/>
              <w:left w:val="single" w:color="000000" w:sz="4" w:space="0"/>
              <w:bottom w:val="nil"/>
              <w:right w:val="single" w:color="000000" w:sz="4" w:space="0"/>
            </w:tcBorders>
            <w:shd w:val="clear" w:color="auto" w:fill="B4C6E7"/>
            <w:noWrap/>
            <w:vAlign w:val="center"/>
          </w:tcPr>
          <w:p w14:paraId="26BF0FA0">
            <w:pPr>
              <w:keepNext w:val="0"/>
              <w:keepLines w:val="0"/>
              <w:widowControl/>
              <w:suppressLineNumbers w:val="0"/>
              <w:jc w:val="center"/>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kern w:val="0"/>
                <w:sz w:val="24"/>
                <w:szCs w:val="24"/>
                <w:u w:val="none"/>
                <w:lang w:val="en-US" w:eastAsia="zh-CN" w:bidi="ar"/>
              </w:rPr>
              <w:t>最高限价</w:t>
            </w:r>
          </w:p>
          <w:p w14:paraId="450F802B">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（元/KM）</w:t>
            </w:r>
          </w:p>
        </w:tc>
        <w:tc>
          <w:tcPr>
            <w:tcW w:w="1493" w:type="dxa"/>
            <w:gridSpan w:val="2"/>
            <w:tcBorders>
              <w:top w:val="single" w:color="000000" w:sz="4" w:space="0"/>
              <w:left w:val="single" w:color="000000" w:sz="4" w:space="0"/>
              <w:bottom w:val="nil"/>
              <w:right w:val="single" w:color="000000" w:sz="4" w:space="0"/>
            </w:tcBorders>
            <w:shd w:val="clear" w:color="auto" w:fill="B4C6E7"/>
            <w:noWrap/>
            <w:vAlign w:val="center"/>
          </w:tcPr>
          <w:p w14:paraId="10A1EBD1">
            <w:pPr>
              <w:keepNext w:val="0"/>
              <w:keepLines w:val="0"/>
              <w:widowControl/>
              <w:suppressLineNumbers w:val="0"/>
              <w:jc w:val="center"/>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kern w:val="0"/>
                <w:sz w:val="24"/>
                <w:szCs w:val="24"/>
                <w:u w:val="none"/>
                <w:lang w:val="en-US" w:eastAsia="zh-CN" w:bidi="ar"/>
              </w:rPr>
              <w:t>最高限价</w:t>
            </w:r>
          </w:p>
          <w:p w14:paraId="1002453F">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（元/KM）</w:t>
            </w:r>
          </w:p>
        </w:tc>
        <w:tc>
          <w:tcPr>
            <w:tcW w:w="1387" w:type="dxa"/>
            <w:tcBorders>
              <w:top w:val="single" w:color="000000" w:sz="4" w:space="0"/>
              <w:left w:val="single" w:color="000000" w:sz="4" w:space="0"/>
              <w:bottom w:val="nil"/>
              <w:right w:val="single" w:color="000000" w:sz="4" w:space="0"/>
            </w:tcBorders>
            <w:shd w:val="clear" w:color="auto" w:fill="B4C6E7"/>
            <w:noWrap/>
            <w:vAlign w:val="center"/>
          </w:tcPr>
          <w:p w14:paraId="0F2C311B">
            <w:pPr>
              <w:keepNext w:val="0"/>
              <w:keepLines w:val="0"/>
              <w:widowControl/>
              <w:suppressLineNumbers w:val="0"/>
              <w:jc w:val="center"/>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kern w:val="0"/>
                <w:sz w:val="24"/>
                <w:szCs w:val="24"/>
                <w:u w:val="none"/>
                <w:lang w:val="en-US" w:eastAsia="zh-CN" w:bidi="ar"/>
              </w:rPr>
              <w:t>最高限价</w:t>
            </w:r>
          </w:p>
          <w:p w14:paraId="68E46423">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（元/KM）</w:t>
            </w:r>
          </w:p>
        </w:tc>
      </w:tr>
      <w:tr w14:paraId="3C6584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76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CDC7D">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355B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整车</w:t>
            </w:r>
          </w:p>
        </w:tc>
        <w:tc>
          <w:tcPr>
            <w:tcW w:w="8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38C27">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浙江</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F973B">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衢州</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D09A7">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黑龙江</w:t>
            </w:r>
          </w:p>
        </w:tc>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9247F">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哈尔滨</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8AEEB">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5.5</w:t>
            </w:r>
          </w:p>
        </w:tc>
        <w:tc>
          <w:tcPr>
            <w:tcW w:w="1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140F2">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8.5</w:t>
            </w:r>
          </w:p>
        </w:tc>
        <w:tc>
          <w:tcPr>
            <w:tcW w:w="149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E32CB">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9.5</w:t>
            </w:r>
          </w:p>
        </w:tc>
        <w:tc>
          <w:tcPr>
            <w:tcW w:w="13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53EF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11</w:t>
            </w:r>
          </w:p>
        </w:tc>
      </w:tr>
      <w:tr w14:paraId="1A6015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76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15AFB">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2</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74A3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整车</w:t>
            </w:r>
          </w:p>
        </w:tc>
        <w:tc>
          <w:tcPr>
            <w:tcW w:w="8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1F353">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浙江</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91705">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衢州</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E8E06">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北京</w:t>
            </w:r>
          </w:p>
        </w:tc>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8816E">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北京</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27E33">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5.5</w:t>
            </w:r>
          </w:p>
        </w:tc>
        <w:tc>
          <w:tcPr>
            <w:tcW w:w="1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70F14">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8.5</w:t>
            </w:r>
          </w:p>
        </w:tc>
        <w:tc>
          <w:tcPr>
            <w:tcW w:w="149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34EC2">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9.5</w:t>
            </w:r>
          </w:p>
        </w:tc>
        <w:tc>
          <w:tcPr>
            <w:tcW w:w="13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DD920">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11</w:t>
            </w:r>
          </w:p>
        </w:tc>
      </w:tr>
      <w:tr w14:paraId="158120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76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6F8C5">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3</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FEAAF">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整车</w:t>
            </w:r>
          </w:p>
        </w:tc>
        <w:tc>
          <w:tcPr>
            <w:tcW w:w="8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F7099">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浙江</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376F8">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衢州</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07C3F">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辽宁</w:t>
            </w:r>
          </w:p>
        </w:tc>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87FDE">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大连</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1994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5.5</w:t>
            </w:r>
          </w:p>
        </w:tc>
        <w:tc>
          <w:tcPr>
            <w:tcW w:w="1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8AC37">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8.5</w:t>
            </w:r>
          </w:p>
        </w:tc>
        <w:tc>
          <w:tcPr>
            <w:tcW w:w="149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C2103">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9.5</w:t>
            </w:r>
          </w:p>
        </w:tc>
        <w:tc>
          <w:tcPr>
            <w:tcW w:w="13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A7FE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11</w:t>
            </w:r>
          </w:p>
        </w:tc>
      </w:tr>
      <w:tr w14:paraId="77F321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76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70BF5">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4</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8ED47">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整车</w:t>
            </w:r>
          </w:p>
        </w:tc>
        <w:tc>
          <w:tcPr>
            <w:tcW w:w="8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DE605">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浙江</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20377">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衢州</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554C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辽宁</w:t>
            </w:r>
          </w:p>
        </w:tc>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0DF06">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沈阳</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1CB95">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5.5</w:t>
            </w:r>
          </w:p>
        </w:tc>
        <w:tc>
          <w:tcPr>
            <w:tcW w:w="1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A30DF">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8.5</w:t>
            </w:r>
          </w:p>
        </w:tc>
        <w:tc>
          <w:tcPr>
            <w:tcW w:w="149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C0CC8">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9.5</w:t>
            </w:r>
          </w:p>
        </w:tc>
        <w:tc>
          <w:tcPr>
            <w:tcW w:w="13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1062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11</w:t>
            </w:r>
          </w:p>
        </w:tc>
      </w:tr>
      <w:tr w14:paraId="00D250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76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CBD89">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5</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83D7E">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整车</w:t>
            </w:r>
          </w:p>
        </w:tc>
        <w:tc>
          <w:tcPr>
            <w:tcW w:w="8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8BB55">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浙江</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C03B3">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衢州</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4E315">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上海</w:t>
            </w:r>
          </w:p>
        </w:tc>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D97F3">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上海</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37F8F">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6.6</w:t>
            </w:r>
          </w:p>
        </w:tc>
        <w:tc>
          <w:tcPr>
            <w:tcW w:w="1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74C85">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9</w:t>
            </w:r>
          </w:p>
        </w:tc>
        <w:tc>
          <w:tcPr>
            <w:tcW w:w="149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2591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10</w:t>
            </w:r>
          </w:p>
        </w:tc>
        <w:tc>
          <w:tcPr>
            <w:tcW w:w="13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D13B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11</w:t>
            </w:r>
          </w:p>
        </w:tc>
      </w:tr>
      <w:tr w14:paraId="7779E5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76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44EE8">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6</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0429E">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整车</w:t>
            </w:r>
          </w:p>
        </w:tc>
        <w:tc>
          <w:tcPr>
            <w:tcW w:w="82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93ADF">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浙江</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99F78">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衢州</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0AAA5">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广东</w:t>
            </w:r>
          </w:p>
        </w:tc>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7BFBB">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深圳</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35DCE">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5.5</w:t>
            </w:r>
          </w:p>
        </w:tc>
        <w:tc>
          <w:tcPr>
            <w:tcW w:w="1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2382D">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8.5</w:t>
            </w:r>
          </w:p>
        </w:tc>
        <w:tc>
          <w:tcPr>
            <w:tcW w:w="149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241A8">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9.5</w:t>
            </w:r>
          </w:p>
        </w:tc>
        <w:tc>
          <w:tcPr>
            <w:tcW w:w="13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DA462">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11</w:t>
            </w:r>
          </w:p>
        </w:tc>
      </w:tr>
    </w:tbl>
    <w:p w14:paraId="5BD38B6D">
      <w:pPr>
        <w:keepNext/>
        <w:keepLines/>
        <w:widowControl/>
        <w:snapToGrid w:val="0"/>
        <w:spacing w:line="360" w:lineRule="auto"/>
        <w:jc w:val="center"/>
        <w:outlineLvl w:val="0"/>
        <w:rPr>
          <w:rFonts w:ascii="仿宋" w:hAnsi="仿宋" w:eastAsia="仿宋" w:cs="仿宋"/>
          <w:b/>
          <w:color w:val="auto"/>
          <w:sz w:val="28"/>
          <w:szCs w:val="28"/>
        </w:rPr>
      </w:pPr>
      <w:r>
        <w:rPr>
          <w:color w:val="auto"/>
        </w:rPr>
        <w:br w:type="page"/>
      </w:r>
      <w:bookmarkStart w:id="114" w:name="_Toc13469"/>
      <w:bookmarkStart w:id="115" w:name="_Toc30816"/>
      <w:r>
        <w:rPr>
          <w:rFonts w:hint="eastAsia" w:ascii="仿宋" w:hAnsi="仿宋" w:eastAsia="仿宋" w:cs="仿宋"/>
          <w:b/>
          <w:color w:val="auto"/>
          <w:sz w:val="28"/>
          <w:szCs w:val="28"/>
        </w:rPr>
        <w:t>第六章  应提交的有关格式范例</w:t>
      </w:r>
      <w:bookmarkEnd w:id="114"/>
      <w:bookmarkEnd w:id="115"/>
    </w:p>
    <w:p w14:paraId="55F1E3E8">
      <w:pPr>
        <w:snapToGrid w:val="0"/>
        <w:spacing w:line="360" w:lineRule="auto"/>
        <w:jc w:val="center"/>
        <w:outlineLvl w:val="9"/>
        <w:rPr>
          <w:rStyle w:val="34"/>
          <w:rFonts w:ascii="仿宋" w:hAnsi="仿宋" w:eastAsia="仿宋" w:cs="仿宋"/>
          <w:color w:val="auto"/>
          <w:sz w:val="28"/>
          <w:szCs w:val="28"/>
        </w:rPr>
      </w:pPr>
      <w:bookmarkStart w:id="116" w:name="_Toc29460"/>
    </w:p>
    <w:p w14:paraId="69EC8347">
      <w:pPr>
        <w:snapToGrid w:val="0"/>
        <w:spacing w:line="360" w:lineRule="auto"/>
        <w:jc w:val="center"/>
        <w:outlineLvl w:val="9"/>
        <w:rPr>
          <w:rFonts w:ascii="仿宋" w:hAnsi="仿宋" w:eastAsia="仿宋" w:cs="仿宋"/>
          <w:b/>
          <w:color w:val="auto"/>
          <w:sz w:val="28"/>
          <w:szCs w:val="28"/>
        </w:rPr>
      </w:pPr>
      <w:r>
        <w:rPr>
          <w:rStyle w:val="34"/>
          <w:rFonts w:hint="eastAsia" w:ascii="仿宋" w:hAnsi="仿宋" w:eastAsia="仿宋" w:cs="仿宋"/>
          <w:color w:val="auto"/>
          <w:sz w:val="28"/>
          <w:szCs w:val="28"/>
        </w:rPr>
        <w:t>一、资格审查文件封面</w:t>
      </w:r>
      <w:bookmarkEnd w:id="116"/>
    </w:p>
    <w:p w14:paraId="082679EB">
      <w:pPr>
        <w:spacing w:line="360" w:lineRule="auto"/>
        <w:jc w:val="right"/>
        <w:outlineLvl w:val="9"/>
        <w:rPr>
          <w:rFonts w:ascii="仿宋" w:hAnsi="仿宋" w:eastAsia="仿宋" w:cs="仿宋"/>
          <w:color w:val="auto"/>
          <w:sz w:val="28"/>
          <w:szCs w:val="28"/>
        </w:rPr>
      </w:pPr>
    </w:p>
    <w:p w14:paraId="69A879A0">
      <w:pPr>
        <w:spacing w:line="360" w:lineRule="auto"/>
        <w:outlineLvl w:val="9"/>
        <w:rPr>
          <w:rFonts w:ascii="仿宋" w:hAnsi="仿宋" w:eastAsia="仿宋" w:cs="仿宋"/>
          <w:color w:val="auto"/>
          <w:sz w:val="28"/>
          <w:szCs w:val="28"/>
        </w:rPr>
      </w:pPr>
      <w:r>
        <w:rPr>
          <w:rFonts w:hint="eastAsia" w:ascii="仿宋" w:hAnsi="仿宋" w:eastAsia="仿宋" w:cs="仿宋"/>
          <w:color w:val="auto"/>
          <w:sz w:val="28"/>
          <w:szCs w:val="28"/>
        </w:rPr>
        <w:t xml:space="preserve">                                                </w:t>
      </w:r>
    </w:p>
    <w:p w14:paraId="7DCCD590">
      <w:pPr>
        <w:spacing w:line="360" w:lineRule="auto"/>
        <w:outlineLvl w:val="9"/>
        <w:rPr>
          <w:rFonts w:ascii="仿宋" w:hAnsi="仿宋" w:eastAsia="仿宋" w:cs="仿宋"/>
          <w:color w:val="auto"/>
          <w:sz w:val="28"/>
          <w:szCs w:val="28"/>
        </w:rPr>
      </w:pPr>
    </w:p>
    <w:p w14:paraId="35263B1D">
      <w:pPr>
        <w:spacing w:line="360" w:lineRule="auto"/>
        <w:outlineLvl w:val="9"/>
        <w:rPr>
          <w:rFonts w:ascii="仿宋" w:hAnsi="仿宋" w:eastAsia="仿宋" w:cs="仿宋"/>
          <w:color w:val="auto"/>
          <w:sz w:val="28"/>
          <w:szCs w:val="28"/>
        </w:rPr>
      </w:pPr>
    </w:p>
    <w:p w14:paraId="3DEAE874">
      <w:pPr>
        <w:spacing w:line="360" w:lineRule="auto"/>
        <w:outlineLvl w:val="9"/>
        <w:rPr>
          <w:rFonts w:ascii="仿宋" w:hAnsi="仿宋" w:eastAsia="仿宋" w:cs="仿宋"/>
          <w:color w:val="auto"/>
          <w:sz w:val="28"/>
          <w:szCs w:val="28"/>
        </w:rPr>
      </w:pPr>
    </w:p>
    <w:p w14:paraId="1037F000">
      <w:pPr>
        <w:snapToGrid w:val="0"/>
        <w:spacing w:line="360" w:lineRule="auto"/>
        <w:jc w:val="center"/>
        <w:outlineLvl w:val="9"/>
        <w:rPr>
          <w:rFonts w:ascii="仿宋" w:hAnsi="仿宋" w:eastAsia="仿宋" w:cs="仿宋"/>
          <w:color w:val="auto"/>
          <w:sz w:val="28"/>
          <w:szCs w:val="28"/>
        </w:rPr>
      </w:pPr>
      <w:r>
        <w:rPr>
          <w:rFonts w:hint="eastAsia" w:ascii="仿宋" w:hAnsi="仿宋" w:eastAsia="仿宋" w:cs="仿宋"/>
          <w:color w:val="auto"/>
          <w:sz w:val="28"/>
          <w:szCs w:val="28"/>
        </w:rPr>
        <w:t>资格审查文件</w:t>
      </w:r>
    </w:p>
    <w:p w14:paraId="38F5DB4C">
      <w:pPr>
        <w:snapToGrid w:val="0"/>
        <w:spacing w:line="360" w:lineRule="auto"/>
        <w:jc w:val="center"/>
        <w:outlineLvl w:val="9"/>
        <w:rPr>
          <w:rFonts w:ascii="仿宋" w:hAnsi="仿宋" w:eastAsia="仿宋" w:cs="仿宋"/>
          <w:color w:val="auto"/>
          <w:sz w:val="28"/>
          <w:szCs w:val="28"/>
        </w:rPr>
      </w:pPr>
    </w:p>
    <w:p w14:paraId="43ECE8C8">
      <w:pPr>
        <w:snapToGrid w:val="0"/>
        <w:spacing w:line="360" w:lineRule="auto"/>
        <w:ind w:firstLine="1962" w:firstLineChars="698"/>
        <w:outlineLvl w:val="9"/>
        <w:rPr>
          <w:rFonts w:ascii="仿宋" w:hAnsi="仿宋" w:eastAsia="仿宋" w:cs="仿宋"/>
          <w:b/>
          <w:color w:val="auto"/>
          <w:sz w:val="28"/>
          <w:szCs w:val="28"/>
        </w:rPr>
      </w:pPr>
    </w:p>
    <w:p w14:paraId="2E01BDFC">
      <w:pPr>
        <w:snapToGrid w:val="0"/>
        <w:spacing w:line="360" w:lineRule="auto"/>
        <w:outlineLvl w:val="9"/>
        <w:rPr>
          <w:rFonts w:ascii="仿宋" w:hAnsi="仿宋" w:eastAsia="仿宋" w:cs="仿宋"/>
          <w:color w:val="auto"/>
          <w:sz w:val="28"/>
          <w:szCs w:val="28"/>
          <w:u w:val="single"/>
        </w:rPr>
      </w:pPr>
      <w:r>
        <w:rPr>
          <w:rFonts w:hint="eastAsia" w:ascii="仿宋" w:hAnsi="仿宋" w:eastAsia="仿宋" w:cs="仿宋"/>
          <w:color w:val="auto"/>
          <w:sz w:val="28"/>
          <w:szCs w:val="28"/>
        </w:rPr>
        <w:t>项目名称：</w:t>
      </w:r>
      <w:r>
        <w:rPr>
          <w:rFonts w:hint="eastAsia" w:ascii="仿宋" w:hAnsi="仿宋" w:eastAsia="仿宋" w:cs="仿宋"/>
          <w:color w:val="auto"/>
          <w:sz w:val="28"/>
          <w:szCs w:val="28"/>
          <w:u w:val="single"/>
        </w:rPr>
        <w:t xml:space="preserve">                    </w:t>
      </w:r>
    </w:p>
    <w:p w14:paraId="4E9F755E">
      <w:pPr>
        <w:snapToGrid w:val="0"/>
        <w:spacing w:line="360" w:lineRule="auto"/>
        <w:outlineLvl w:val="9"/>
        <w:rPr>
          <w:rFonts w:ascii="仿宋" w:hAnsi="仿宋" w:eastAsia="仿宋" w:cs="仿宋"/>
          <w:color w:val="auto"/>
          <w:sz w:val="28"/>
          <w:szCs w:val="28"/>
          <w:u w:val="single"/>
        </w:rPr>
      </w:pPr>
      <w:r>
        <w:rPr>
          <w:rFonts w:hint="eastAsia" w:ascii="仿宋" w:hAnsi="仿宋" w:eastAsia="仿宋" w:cs="仿宋"/>
          <w:color w:val="auto"/>
          <w:sz w:val="28"/>
          <w:szCs w:val="28"/>
        </w:rPr>
        <w:t>项目编号：</w:t>
      </w:r>
      <w:r>
        <w:rPr>
          <w:rFonts w:hint="eastAsia" w:ascii="仿宋" w:hAnsi="仿宋" w:eastAsia="仿宋" w:cs="仿宋"/>
          <w:color w:val="auto"/>
          <w:sz w:val="28"/>
          <w:szCs w:val="28"/>
          <w:u w:val="single"/>
        </w:rPr>
        <w:t xml:space="preserve">                    </w:t>
      </w:r>
    </w:p>
    <w:p w14:paraId="0C3209FA">
      <w:pPr>
        <w:snapToGrid w:val="0"/>
        <w:spacing w:line="360" w:lineRule="auto"/>
        <w:outlineLvl w:val="9"/>
        <w:rPr>
          <w:rFonts w:ascii="仿宋" w:hAnsi="仿宋" w:eastAsia="仿宋" w:cs="仿宋"/>
          <w:color w:val="auto"/>
          <w:sz w:val="28"/>
          <w:szCs w:val="28"/>
        </w:rPr>
      </w:pPr>
      <w:r>
        <w:rPr>
          <w:rFonts w:hint="eastAsia" w:ascii="仿宋" w:hAnsi="仿宋" w:eastAsia="仿宋" w:cs="仿宋"/>
          <w:color w:val="auto"/>
          <w:sz w:val="28"/>
          <w:szCs w:val="28"/>
        </w:rPr>
        <w:t>投标人：</w:t>
      </w:r>
      <w:r>
        <w:rPr>
          <w:rFonts w:hint="eastAsia" w:ascii="仿宋" w:hAnsi="仿宋" w:eastAsia="仿宋" w:cs="仿宋"/>
          <w:color w:val="auto"/>
          <w:sz w:val="28"/>
          <w:szCs w:val="28"/>
          <w:u w:val="single"/>
        </w:rPr>
        <w:t xml:space="preserve">                       （盖章）</w:t>
      </w:r>
    </w:p>
    <w:p w14:paraId="102B2184">
      <w:pPr>
        <w:snapToGrid w:val="0"/>
        <w:spacing w:line="360" w:lineRule="auto"/>
        <w:outlineLvl w:val="9"/>
        <w:rPr>
          <w:rFonts w:ascii="仿宋" w:hAnsi="仿宋" w:eastAsia="仿宋" w:cs="仿宋"/>
          <w:color w:val="auto"/>
          <w:sz w:val="28"/>
          <w:szCs w:val="28"/>
        </w:rPr>
      </w:pPr>
      <w:r>
        <w:rPr>
          <w:rFonts w:hint="eastAsia" w:ascii="仿宋" w:hAnsi="仿宋" w:eastAsia="仿宋" w:cs="仿宋"/>
          <w:color w:val="auto"/>
          <w:sz w:val="28"/>
          <w:szCs w:val="28"/>
        </w:rPr>
        <w:t>日期：</w:t>
      </w:r>
      <w:r>
        <w:rPr>
          <w:rFonts w:hint="eastAsia" w:ascii="仿宋" w:hAnsi="仿宋" w:eastAsia="仿宋" w:cs="仿宋"/>
          <w:color w:val="auto"/>
          <w:sz w:val="28"/>
          <w:szCs w:val="28"/>
          <w:u w:val="single"/>
        </w:rPr>
        <w:t xml:space="preserve">    年   月   日</w:t>
      </w:r>
    </w:p>
    <w:p w14:paraId="18B1F8F2">
      <w:pPr>
        <w:snapToGrid w:val="0"/>
        <w:spacing w:line="360" w:lineRule="auto"/>
        <w:outlineLvl w:val="9"/>
        <w:rPr>
          <w:rFonts w:ascii="仿宋" w:hAnsi="仿宋" w:eastAsia="仿宋" w:cs="仿宋"/>
          <w:color w:val="auto"/>
          <w:sz w:val="28"/>
          <w:szCs w:val="28"/>
        </w:rPr>
        <w:sectPr>
          <w:headerReference r:id="rId6" w:type="default"/>
          <w:footerReference r:id="rId7" w:type="default"/>
          <w:pgSz w:w="11922" w:h="16838"/>
          <w:pgMar w:top="1417" w:right="1304" w:bottom="1417" w:left="1304" w:header="397" w:footer="1037" w:gutter="0"/>
          <w:pgNumType w:fmt="decimal"/>
          <w:cols w:space="0" w:num="1"/>
          <w:docGrid w:linePitch="312" w:charSpace="0"/>
        </w:sectPr>
      </w:pPr>
    </w:p>
    <w:p w14:paraId="0DA4F5B1">
      <w:pPr>
        <w:pStyle w:val="22"/>
        <w:spacing w:line="420" w:lineRule="exact"/>
        <w:ind w:firstLine="0" w:firstLineChars="0"/>
        <w:jc w:val="center"/>
        <w:outlineLvl w:val="9"/>
        <w:rPr>
          <w:rStyle w:val="34"/>
          <w:rFonts w:ascii="仿宋" w:hAnsi="仿宋" w:eastAsia="仿宋" w:cs="仿宋"/>
          <w:b w:val="0"/>
          <w:bCs w:val="0"/>
          <w:color w:val="auto"/>
          <w:sz w:val="28"/>
          <w:szCs w:val="28"/>
        </w:rPr>
      </w:pPr>
      <w:bookmarkStart w:id="117" w:name="_Toc29587"/>
      <w:bookmarkStart w:id="118" w:name="_Toc21539"/>
      <w:bookmarkStart w:id="119" w:name="_Toc29565"/>
      <w:r>
        <w:rPr>
          <w:rStyle w:val="34"/>
          <w:rFonts w:hint="eastAsia" w:ascii="仿宋" w:hAnsi="仿宋" w:eastAsia="仿宋" w:cs="仿宋"/>
          <w:b w:val="0"/>
          <w:bCs w:val="0"/>
          <w:color w:val="auto"/>
          <w:sz w:val="28"/>
          <w:szCs w:val="28"/>
        </w:rPr>
        <w:t>1.投标人基本情况表</w:t>
      </w:r>
      <w:bookmarkEnd w:id="117"/>
      <w:bookmarkEnd w:id="118"/>
      <w:bookmarkEnd w:id="119"/>
    </w:p>
    <w:tbl>
      <w:tblPr>
        <w:tblStyle w:val="23"/>
        <w:tblW w:w="9566" w:type="dxa"/>
        <w:jc w:val="center"/>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157"/>
        <w:gridCol w:w="2708"/>
        <w:gridCol w:w="1735"/>
        <w:gridCol w:w="2966"/>
      </w:tblGrid>
      <w:tr w14:paraId="51900FBB">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66" w:type="dxa"/>
            <w:gridSpan w:val="4"/>
            <w:tcBorders>
              <w:top w:val="thinThickSmallGap" w:color="auto" w:sz="12" w:space="0"/>
            </w:tcBorders>
            <w:noWrap/>
            <w:vAlign w:val="center"/>
          </w:tcPr>
          <w:p w14:paraId="10713BED">
            <w:pPr>
              <w:snapToGrid w:val="0"/>
              <w:spacing w:before="93" w:after="93" w:line="400" w:lineRule="exact"/>
              <w:jc w:val="center"/>
              <w:outlineLvl w:val="9"/>
              <w:rPr>
                <w:rFonts w:ascii="仿宋" w:hAnsi="仿宋" w:eastAsia="仿宋" w:cs="仿宋"/>
                <w:color w:val="auto"/>
                <w:sz w:val="24"/>
                <w:szCs w:val="24"/>
              </w:rPr>
            </w:pPr>
            <w:r>
              <w:rPr>
                <w:rFonts w:hint="eastAsia" w:ascii="仿宋" w:hAnsi="仿宋" w:eastAsia="仿宋" w:cs="仿宋"/>
                <w:color w:val="auto"/>
                <w:sz w:val="24"/>
                <w:szCs w:val="24"/>
              </w:rPr>
              <w:t>投标人信息</w:t>
            </w:r>
          </w:p>
        </w:tc>
      </w:tr>
      <w:tr w14:paraId="62F74475">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57" w:type="dxa"/>
            <w:noWrap/>
            <w:vAlign w:val="center"/>
          </w:tcPr>
          <w:p w14:paraId="583CFB1B">
            <w:pPr>
              <w:snapToGrid w:val="0"/>
              <w:spacing w:before="93" w:after="93" w:line="400" w:lineRule="exact"/>
              <w:jc w:val="left"/>
              <w:outlineLvl w:val="9"/>
              <w:rPr>
                <w:rFonts w:ascii="仿宋" w:hAnsi="仿宋" w:eastAsia="仿宋" w:cs="仿宋"/>
                <w:color w:val="auto"/>
                <w:sz w:val="24"/>
                <w:szCs w:val="24"/>
              </w:rPr>
            </w:pPr>
            <w:r>
              <w:rPr>
                <w:rFonts w:hint="eastAsia" w:ascii="仿宋" w:hAnsi="仿宋" w:eastAsia="仿宋" w:cs="仿宋"/>
                <w:color w:val="auto"/>
                <w:sz w:val="24"/>
                <w:szCs w:val="24"/>
              </w:rPr>
              <w:t>企业名称</w:t>
            </w:r>
          </w:p>
        </w:tc>
        <w:tc>
          <w:tcPr>
            <w:tcW w:w="7409" w:type="dxa"/>
            <w:gridSpan w:val="3"/>
            <w:noWrap/>
            <w:vAlign w:val="center"/>
          </w:tcPr>
          <w:p w14:paraId="0AC83B6B">
            <w:pPr>
              <w:snapToGrid w:val="0"/>
              <w:spacing w:before="93" w:after="93" w:line="400" w:lineRule="exact"/>
              <w:outlineLvl w:val="9"/>
              <w:rPr>
                <w:rFonts w:ascii="仿宋" w:hAnsi="仿宋" w:eastAsia="仿宋" w:cs="仿宋"/>
                <w:color w:val="auto"/>
                <w:sz w:val="24"/>
                <w:szCs w:val="24"/>
              </w:rPr>
            </w:pPr>
          </w:p>
        </w:tc>
      </w:tr>
      <w:tr w14:paraId="07527B3C">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57" w:type="dxa"/>
            <w:noWrap/>
            <w:vAlign w:val="center"/>
          </w:tcPr>
          <w:p w14:paraId="0EB43F5E">
            <w:pPr>
              <w:snapToGrid w:val="0"/>
              <w:spacing w:before="93" w:after="93" w:line="400" w:lineRule="exact"/>
              <w:jc w:val="left"/>
              <w:outlineLvl w:val="9"/>
              <w:rPr>
                <w:rFonts w:ascii="仿宋" w:hAnsi="仿宋" w:eastAsia="仿宋" w:cs="仿宋"/>
                <w:color w:val="auto"/>
                <w:sz w:val="24"/>
                <w:szCs w:val="24"/>
              </w:rPr>
            </w:pPr>
            <w:r>
              <w:rPr>
                <w:rFonts w:hint="eastAsia" w:ascii="仿宋" w:hAnsi="仿宋" w:eastAsia="仿宋" w:cs="仿宋"/>
                <w:color w:val="auto"/>
                <w:sz w:val="24"/>
                <w:szCs w:val="24"/>
              </w:rPr>
              <w:t>性质</w:t>
            </w:r>
          </w:p>
        </w:tc>
        <w:tc>
          <w:tcPr>
            <w:tcW w:w="7409" w:type="dxa"/>
            <w:gridSpan w:val="3"/>
            <w:noWrap/>
            <w:vAlign w:val="center"/>
          </w:tcPr>
          <w:p w14:paraId="73FED0C4">
            <w:pPr>
              <w:snapToGrid w:val="0"/>
              <w:spacing w:before="93" w:after="93" w:line="400" w:lineRule="exact"/>
              <w:outlineLvl w:val="9"/>
              <w:rPr>
                <w:rFonts w:ascii="仿宋" w:hAnsi="仿宋" w:eastAsia="仿宋" w:cs="仿宋"/>
                <w:color w:val="auto"/>
                <w:sz w:val="24"/>
                <w:szCs w:val="24"/>
              </w:rPr>
            </w:pPr>
            <w:r>
              <w:rPr>
                <w:rFonts w:hint="eastAsia" w:ascii="仿宋" w:hAnsi="仿宋" w:eastAsia="仿宋" w:cs="仿宋"/>
                <w:color w:val="auto"/>
                <w:sz w:val="24"/>
                <w:szCs w:val="24"/>
              </w:rPr>
              <w:t>单位□                                个人□</w:t>
            </w:r>
          </w:p>
        </w:tc>
      </w:tr>
      <w:tr w14:paraId="5B49644F">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57" w:type="dxa"/>
            <w:noWrap/>
            <w:vAlign w:val="center"/>
          </w:tcPr>
          <w:p w14:paraId="26275859">
            <w:pPr>
              <w:snapToGrid w:val="0"/>
              <w:spacing w:before="93" w:after="93" w:line="400" w:lineRule="exact"/>
              <w:jc w:val="left"/>
              <w:outlineLvl w:val="9"/>
              <w:rPr>
                <w:rFonts w:ascii="仿宋" w:hAnsi="仿宋" w:eastAsia="仿宋" w:cs="仿宋"/>
                <w:color w:val="auto"/>
                <w:sz w:val="24"/>
                <w:szCs w:val="24"/>
              </w:rPr>
            </w:pPr>
            <w:r>
              <w:rPr>
                <w:rFonts w:hint="eastAsia" w:ascii="仿宋" w:hAnsi="仿宋" w:eastAsia="仿宋" w:cs="仿宋"/>
                <w:color w:val="auto"/>
                <w:sz w:val="24"/>
                <w:szCs w:val="24"/>
              </w:rPr>
              <w:t>统一社会信用代码</w:t>
            </w:r>
          </w:p>
        </w:tc>
        <w:tc>
          <w:tcPr>
            <w:tcW w:w="2708" w:type="dxa"/>
            <w:noWrap/>
            <w:vAlign w:val="center"/>
          </w:tcPr>
          <w:p w14:paraId="10EE30E4">
            <w:pPr>
              <w:snapToGrid w:val="0"/>
              <w:spacing w:before="93" w:after="93" w:line="400" w:lineRule="exact"/>
              <w:outlineLvl w:val="9"/>
              <w:rPr>
                <w:rFonts w:ascii="仿宋" w:hAnsi="仿宋" w:eastAsia="仿宋" w:cs="仿宋"/>
                <w:color w:val="auto"/>
                <w:sz w:val="24"/>
                <w:szCs w:val="24"/>
              </w:rPr>
            </w:pPr>
          </w:p>
        </w:tc>
        <w:tc>
          <w:tcPr>
            <w:tcW w:w="1735" w:type="dxa"/>
            <w:noWrap/>
            <w:vAlign w:val="center"/>
          </w:tcPr>
          <w:p w14:paraId="7C627134">
            <w:pPr>
              <w:snapToGrid w:val="0"/>
              <w:spacing w:before="93" w:after="93" w:line="400" w:lineRule="exact"/>
              <w:outlineLvl w:val="9"/>
              <w:rPr>
                <w:rFonts w:ascii="仿宋" w:hAnsi="仿宋" w:eastAsia="仿宋" w:cs="仿宋"/>
                <w:color w:val="auto"/>
                <w:sz w:val="24"/>
                <w:szCs w:val="24"/>
              </w:rPr>
            </w:pPr>
            <w:r>
              <w:rPr>
                <w:rFonts w:hint="eastAsia" w:ascii="仿宋" w:hAnsi="仿宋" w:eastAsia="仿宋" w:cs="仿宋"/>
                <w:color w:val="auto"/>
                <w:sz w:val="24"/>
                <w:szCs w:val="24"/>
              </w:rPr>
              <w:t>注册资金</w:t>
            </w:r>
          </w:p>
        </w:tc>
        <w:tc>
          <w:tcPr>
            <w:tcW w:w="2966" w:type="dxa"/>
            <w:noWrap/>
            <w:vAlign w:val="center"/>
          </w:tcPr>
          <w:p w14:paraId="704E084C">
            <w:pPr>
              <w:snapToGrid w:val="0"/>
              <w:spacing w:before="93" w:after="93" w:line="400" w:lineRule="exact"/>
              <w:outlineLvl w:val="9"/>
              <w:rPr>
                <w:rFonts w:ascii="仿宋" w:hAnsi="仿宋" w:eastAsia="仿宋" w:cs="仿宋"/>
                <w:color w:val="auto"/>
                <w:sz w:val="24"/>
                <w:szCs w:val="24"/>
              </w:rPr>
            </w:pPr>
          </w:p>
        </w:tc>
      </w:tr>
      <w:tr w14:paraId="73DABB6B">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57" w:type="dxa"/>
            <w:noWrap/>
            <w:vAlign w:val="center"/>
          </w:tcPr>
          <w:p w14:paraId="57728A30">
            <w:pPr>
              <w:snapToGrid w:val="0"/>
              <w:spacing w:before="93" w:after="93" w:line="400" w:lineRule="exact"/>
              <w:jc w:val="left"/>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法定代表人（负责人）</w:t>
            </w:r>
          </w:p>
        </w:tc>
        <w:tc>
          <w:tcPr>
            <w:tcW w:w="2708" w:type="dxa"/>
            <w:noWrap/>
            <w:vAlign w:val="center"/>
          </w:tcPr>
          <w:p w14:paraId="48E41A5A">
            <w:pPr>
              <w:snapToGrid w:val="0"/>
              <w:spacing w:before="93" w:after="93" w:line="400" w:lineRule="exact"/>
              <w:outlineLvl w:val="9"/>
              <w:rPr>
                <w:rFonts w:ascii="仿宋" w:hAnsi="仿宋" w:eastAsia="仿宋" w:cs="仿宋"/>
                <w:color w:val="auto"/>
                <w:sz w:val="24"/>
                <w:szCs w:val="24"/>
              </w:rPr>
            </w:pPr>
          </w:p>
        </w:tc>
        <w:tc>
          <w:tcPr>
            <w:tcW w:w="1735" w:type="dxa"/>
            <w:noWrap/>
            <w:vAlign w:val="center"/>
          </w:tcPr>
          <w:p w14:paraId="30540956">
            <w:pPr>
              <w:snapToGrid w:val="0"/>
              <w:spacing w:before="93" w:after="93" w:line="400" w:lineRule="exact"/>
              <w:outlineLvl w:val="9"/>
              <w:rPr>
                <w:rFonts w:ascii="仿宋" w:hAnsi="仿宋" w:eastAsia="仿宋" w:cs="仿宋"/>
                <w:color w:val="auto"/>
                <w:sz w:val="24"/>
                <w:szCs w:val="24"/>
              </w:rPr>
            </w:pPr>
            <w:r>
              <w:rPr>
                <w:rFonts w:hint="eastAsia" w:ascii="仿宋" w:hAnsi="仿宋" w:eastAsia="仿宋" w:cs="仿宋"/>
                <w:color w:val="auto"/>
                <w:sz w:val="24"/>
                <w:szCs w:val="24"/>
              </w:rPr>
              <w:t>身份证号码</w:t>
            </w:r>
          </w:p>
        </w:tc>
        <w:tc>
          <w:tcPr>
            <w:tcW w:w="2966" w:type="dxa"/>
            <w:noWrap/>
            <w:vAlign w:val="center"/>
          </w:tcPr>
          <w:p w14:paraId="3F2A0B85">
            <w:pPr>
              <w:snapToGrid w:val="0"/>
              <w:spacing w:before="93" w:after="93" w:line="400" w:lineRule="exact"/>
              <w:outlineLvl w:val="9"/>
              <w:rPr>
                <w:rFonts w:ascii="仿宋" w:hAnsi="仿宋" w:eastAsia="仿宋" w:cs="仿宋"/>
                <w:color w:val="auto"/>
                <w:sz w:val="24"/>
                <w:szCs w:val="24"/>
              </w:rPr>
            </w:pPr>
          </w:p>
        </w:tc>
      </w:tr>
      <w:tr w14:paraId="5C9AEB9E">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57" w:type="dxa"/>
            <w:noWrap/>
            <w:vAlign w:val="center"/>
          </w:tcPr>
          <w:p w14:paraId="5979BCCA">
            <w:pPr>
              <w:snapToGrid w:val="0"/>
              <w:spacing w:before="93" w:after="93" w:line="400" w:lineRule="exact"/>
              <w:jc w:val="left"/>
              <w:outlineLvl w:val="9"/>
              <w:rPr>
                <w:rFonts w:ascii="仿宋" w:hAnsi="仿宋" w:eastAsia="仿宋" w:cs="仿宋"/>
                <w:color w:val="auto"/>
                <w:sz w:val="24"/>
                <w:szCs w:val="24"/>
              </w:rPr>
            </w:pPr>
            <w:r>
              <w:rPr>
                <w:rFonts w:hint="eastAsia" w:ascii="仿宋" w:hAnsi="仿宋" w:eastAsia="仿宋" w:cs="仿宋"/>
                <w:color w:val="auto"/>
                <w:sz w:val="24"/>
                <w:szCs w:val="24"/>
              </w:rPr>
              <w:t>通信地址</w:t>
            </w:r>
          </w:p>
        </w:tc>
        <w:tc>
          <w:tcPr>
            <w:tcW w:w="2708" w:type="dxa"/>
            <w:noWrap/>
            <w:vAlign w:val="center"/>
          </w:tcPr>
          <w:p w14:paraId="28874F1A">
            <w:pPr>
              <w:snapToGrid w:val="0"/>
              <w:spacing w:before="93" w:after="93" w:line="400" w:lineRule="exact"/>
              <w:outlineLvl w:val="9"/>
              <w:rPr>
                <w:rFonts w:ascii="仿宋" w:hAnsi="仿宋" w:eastAsia="仿宋" w:cs="仿宋"/>
                <w:color w:val="auto"/>
                <w:sz w:val="24"/>
                <w:szCs w:val="24"/>
              </w:rPr>
            </w:pPr>
          </w:p>
        </w:tc>
        <w:tc>
          <w:tcPr>
            <w:tcW w:w="1735" w:type="dxa"/>
            <w:noWrap/>
            <w:vAlign w:val="center"/>
          </w:tcPr>
          <w:p w14:paraId="0C9DA39D">
            <w:pPr>
              <w:snapToGrid w:val="0"/>
              <w:spacing w:before="93" w:after="93" w:line="400" w:lineRule="exact"/>
              <w:outlineLvl w:val="9"/>
              <w:rPr>
                <w:rFonts w:ascii="仿宋" w:hAnsi="仿宋" w:eastAsia="仿宋" w:cs="仿宋"/>
                <w:color w:val="auto"/>
                <w:sz w:val="24"/>
                <w:szCs w:val="24"/>
              </w:rPr>
            </w:pPr>
            <w:r>
              <w:rPr>
                <w:rFonts w:hint="eastAsia" w:ascii="仿宋" w:hAnsi="仿宋" w:eastAsia="仿宋" w:cs="仿宋"/>
                <w:color w:val="auto"/>
                <w:sz w:val="24"/>
                <w:szCs w:val="24"/>
              </w:rPr>
              <w:t>邮政编码</w:t>
            </w:r>
          </w:p>
        </w:tc>
        <w:tc>
          <w:tcPr>
            <w:tcW w:w="2966" w:type="dxa"/>
            <w:noWrap/>
            <w:vAlign w:val="center"/>
          </w:tcPr>
          <w:p w14:paraId="4819AE3E">
            <w:pPr>
              <w:snapToGrid w:val="0"/>
              <w:spacing w:before="93" w:after="93" w:line="400" w:lineRule="exact"/>
              <w:outlineLvl w:val="9"/>
              <w:rPr>
                <w:rFonts w:ascii="仿宋" w:hAnsi="仿宋" w:eastAsia="仿宋" w:cs="仿宋"/>
                <w:color w:val="auto"/>
                <w:sz w:val="24"/>
                <w:szCs w:val="24"/>
              </w:rPr>
            </w:pPr>
          </w:p>
        </w:tc>
      </w:tr>
      <w:tr w14:paraId="25B42FE8">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57" w:type="dxa"/>
            <w:noWrap/>
            <w:vAlign w:val="center"/>
          </w:tcPr>
          <w:p w14:paraId="7BDAFE44">
            <w:pPr>
              <w:snapToGrid w:val="0"/>
              <w:spacing w:before="93" w:after="93" w:line="400" w:lineRule="exact"/>
              <w:jc w:val="left"/>
              <w:outlineLvl w:val="9"/>
              <w:rPr>
                <w:rFonts w:ascii="仿宋" w:hAnsi="仿宋" w:eastAsia="仿宋" w:cs="仿宋"/>
                <w:color w:val="auto"/>
                <w:sz w:val="24"/>
                <w:szCs w:val="24"/>
              </w:rPr>
            </w:pPr>
            <w:r>
              <w:rPr>
                <w:rFonts w:hint="eastAsia" w:ascii="仿宋" w:hAnsi="仿宋" w:eastAsia="仿宋" w:cs="仿宋"/>
                <w:color w:val="auto"/>
                <w:sz w:val="24"/>
                <w:szCs w:val="24"/>
              </w:rPr>
              <w:t>公司电话</w:t>
            </w:r>
          </w:p>
        </w:tc>
        <w:tc>
          <w:tcPr>
            <w:tcW w:w="2708" w:type="dxa"/>
            <w:noWrap/>
            <w:vAlign w:val="center"/>
          </w:tcPr>
          <w:p w14:paraId="6866E354">
            <w:pPr>
              <w:snapToGrid w:val="0"/>
              <w:spacing w:before="93" w:after="93" w:line="400" w:lineRule="exact"/>
              <w:outlineLvl w:val="9"/>
              <w:rPr>
                <w:rFonts w:ascii="仿宋" w:hAnsi="仿宋" w:eastAsia="仿宋" w:cs="仿宋"/>
                <w:color w:val="auto"/>
                <w:sz w:val="24"/>
                <w:szCs w:val="24"/>
              </w:rPr>
            </w:pPr>
          </w:p>
        </w:tc>
        <w:tc>
          <w:tcPr>
            <w:tcW w:w="1735" w:type="dxa"/>
            <w:noWrap/>
            <w:vAlign w:val="center"/>
          </w:tcPr>
          <w:p w14:paraId="3EB069ED">
            <w:pPr>
              <w:snapToGrid w:val="0"/>
              <w:spacing w:before="93" w:after="93" w:line="400" w:lineRule="exact"/>
              <w:outlineLvl w:val="9"/>
              <w:rPr>
                <w:rFonts w:ascii="仿宋" w:hAnsi="仿宋" w:eastAsia="仿宋" w:cs="仿宋"/>
                <w:color w:val="auto"/>
                <w:sz w:val="24"/>
                <w:szCs w:val="24"/>
              </w:rPr>
            </w:pPr>
            <w:r>
              <w:rPr>
                <w:rFonts w:hint="eastAsia" w:ascii="仿宋" w:hAnsi="仿宋" w:eastAsia="仿宋" w:cs="仿宋"/>
                <w:color w:val="auto"/>
                <w:sz w:val="24"/>
                <w:szCs w:val="24"/>
              </w:rPr>
              <w:t>传真</w:t>
            </w:r>
          </w:p>
        </w:tc>
        <w:tc>
          <w:tcPr>
            <w:tcW w:w="2966" w:type="dxa"/>
            <w:noWrap/>
            <w:vAlign w:val="center"/>
          </w:tcPr>
          <w:p w14:paraId="1E519F93">
            <w:pPr>
              <w:snapToGrid w:val="0"/>
              <w:spacing w:before="93" w:after="93" w:line="400" w:lineRule="exact"/>
              <w:outlineLvl w:val="9"/>
              <w:rPr>
                <w:rFonts w:ascii="仿宋" w:hAnsi="仿宋" w:eastAsia="仿宋" w:cs="仿宋"/>
                <w:color w:val="auto"/>
                <w:sz w:val="24"/>
                <w:szCs w:val="24"/>
              </w:rPr>
            </w:pPr>
          </w:p>
        </w:tc>
      </w:tr>
      <w:tr w14:paraId="10FE0729">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57" w:type="dxa"/>
            <w:noWrap/>
            <w:vAlign w:val="center"/>
          </w:tcPr>
          <w:p w14:paraId="054B8639">
            <w:pPr>
              <w:snapToGrid w:val="0"/>
              <w:spacing w:before="93" w:after="93" w:line="400" w:lineRule="exact"/>
              <w:jc w:val="left"/>
              <w:outlineLvl w:val="9"/>
              <w:rPr>
                <w:rFonts w:ascii="仿宋" w:hAnsi="仿宋" w:eastAsia="仿宋" w:cs="仿宋"/>
                <w:color w:val="auto"/>
                <w:sz w:val="24"/>
                <w:szCs w:val="24"/>
              </w:rPr>
            </w:pPr>
            <w:r>
              <w:rPr>
                <w:rFonts w:hint="eastAsia" w:ascii="仿宋" w:hAnsi="仿宋" w:eastAsia="仿宋" w:cs="仿宋"/>
                <w:color w:val="auto"/>
                <w:sz w:val="24"/>
                <w:szCs w:val="24"/>
              </w:rPr>
              <w:t>公司网址</w:t>
            </w:r>
          </w:p>
        </w:tc>
        <w:tc>
          <w:tcPr>
            <w:tcW w:w="2708" w:type="dxa"/>
            <w:noWrap/>
            <w:vAlign w:val="center"/>
          </w:tcPr>
          <w:p w14:paraId="640CB2B5">
            <w:pPr>
              <w:snapToGrid w:val="0"/>
              <w:spacing w:before="93" w:after="93" w:line="400" w:lineRule="exact"/>
              <w:outlineLvl w:val="9"/>
              <w:rPr>
                <w:rFonts w:ascii="仿宋" w:hAnsi="仿宋" w:eastAsia="仿宋" w:cs="仿宋"/>
                <w:color w:val="auto"/>
                <w:sz w:val="24"/>
                <w:szCs w:val="24"/>
              </w:rPr>
            </w:pPr>
          </w:p>
        </w:tc>
        <w:tc>
          <w:tcPr>
            <w:tcW w:w="1735" w:type="dxa"/>
            <w:noWrap/>
            <w:vAlign w:val="center"/>
          </w:tcPr>
          <w:p w14:paraId="15D18734">
            <w:pPr>
              <w:snapToGrid w:val="0"/>
              <w:spacing w:before="93" w:after="93" w:line="400" w:lineRule="exact"/>
              <w:outlineLvl w:val="9"/>
              <w:rPr>
                <w:rFonts w:ascii="仿宋" w:hAnsi="仿宋" w:eastAsia="仿宋" w:cs="仿宋"/>
                <w:color w:val="auto"/>
                <w:sz w:val="24"/>
                <w:szCs w:val="24"/>
              </w:rPr>
            </w:pPr>
            <w:r>
              <w:rPr>
                <w:rFonts w:hint="eastAsia" w:ascii="仿宋" w:hAnsi="仿宋" w:eastAsia="仿宋" w:cs="仿宋"/>
                <w:color w:val="auto"/>
                <w:sz w:val="24"/>
                <w:szCs w:val="24"/>
              </w:rPr>
              <w:t>电子邮箱</w:t>
            </w:r>
          </w:p>
        </w:tc>
        <w:tc>
          <w:tcPr>
            <w:tcW w:w="2966" w:type="dxa"/>
            <w:noWrap/>
            <w:vAlign w:val="center"/>
          </w:tcPr>
          <w:p w14:paraId="26E283B0">
            <w:pPr>
              <w:snapToGrid w:val="0"/>
              <w:spacing w:before="93" w:after="93" w:line="400" w:lineRule="exact"/>
              <w:outlineLvl w:val="9"/>
              <w:rPr>
                <w:rFonts w:ascii="仿宋" w:hAnsi="仿宋" w:eastAsia="仿宋" w:cs="仿宋"/>
                <w:color w:val="auto"/>
                <w:sz w:val="24"/>
                <w:szCs w:val="24"/>
              </w:rPr>
            </w:pPr>
          </w:p>
        </w:tc>
      </w:tr>
      <w:tr w14:paraId="3BFFCD35">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57" w:type="dxa"/>
            <w:noWrap/>
            <w:vAlign w:val="center"/>
          </w:tcPr>
          <w:p w14:paraId="5A0A426B">
            <w:pPr>
              <w:snapToGrid w:val="0"/>
              <w:spacing w:before="93" w:after="93" w:line="400" w:lineRule="exact"/>
              <w:jc w:val="left"/>
              <w:outlineLvl w:val="9"/>
              <w:rPr>
                <w:rFonts w:ascii="仿宋" w:hAnsi="仿宋" w:eastAsia="仿宋" w:cs="仿宋"/>
                <w:color w:val="auto"/>
                <w:sz w:val="24"/>
                <w:szCs w:val="24"/>
              </w:rPr>
            </w:pPr>
            <w:r>
              <w:rPr>
                <w:rFonts w:hint="eastAsia" w:ascii="仿宋" w:hAnsi="仿宋" w:eastAsia="仿宋" w:cs="仿宋"/>
                <w:color w:val="auto"/>
                <w:sz w:val="24"/>
                <w:szCs w:val="24"/>
              </w:rPr>
              <w:t>开户银行及账号</w:t>
            </w:r>
          </w:p>
        </w:tc>
        <w:tc>
          <w:tcPr>
            <w:tcW w:w="7409" w:type="dxa"/>
            <w:gridSpan w:val="3"/>
            <w:noWrap/>
            <w:vAlign w:val="center"/>
          </w:tcPr>
          <w:p w14:paraId="62EDA15B">
            <w:pPr>
              <w:snapToGrid w:val="0"/>
              <w:spacing w:before="93" w:after="93" w:line="400" w:lineRule="exact"/>
              <w:outlineLvl w:val="9"/>
              <w:rPr>
                <w:rFonts w:ascii="仿宋" w:hAnsi="仿宋" w:eastAsia="仿宋" w:cs="仿宋"/>
                <w:color w:val="auto"/>
                <w:sz w:val="24"/>
                <w:szCs w:val="24"/>
              </w:rPr>
            </w:pPr>
          </w:p>
        </w:tc>
      </w:tr>
      <w:tr w14:paraId="656FE50E">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57" w:type="dxa"/>
            <w:noWrap/>
            <w:vAlign w:val="center"/>
          </w:tcPr>
          <w:p w14:paraId="477F6EDC">
            <w:pPr>
              <w:snapToGrid w:val="0"/>
              <w:spacing w:before="93" w:after="93" w:line="400" w:lineRule="exact"/>
              <w:jc w:val="left"/>
              <w:outlineLvl w:val="9"/>
              <w:rPr>
                <w:rFonts w:ascii="仿宋" w:hAnsi="仿宋" w:eastAsia="仿宋" w:cs="仿宋"/>
                <w:color w:val="auto"/>
                <w:sz w:val="24"/>
                <w:szCs w:val="24"/>
              </w:rPr>
            </w:pPr>
            <w:r>
              <w:rPr>
                <w:rFonts w:hint="eastAsia" w:ascii="仿宋" w:hAnsi="仿宋" w:eastAsia="仿宋" w:cs="仿宋"/>
                <w:color w:val="auto"/>
                <w:sz w:val="24"/>
                <w:szCs w:val="24"/>
              </w:rPr>
              <w:t>企业资质</w:t>
            </w:r>
          </w:p>
        </w:tc>
        <w:tc>
          <w:tcPr>
            <w:tcW w:w="7409" w:type="dxa"/>
            <w:gridSpan w:val="3"/>
            <w:noWrap/>
            <w:vAlign w:val="center"/>
          </w:tcPr>
          <w:p w14:paraId="3ED9BB91">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snapToGrid w:val="0"/>
              <w:spacing w:before="156" w:after="156" w:line="400" w:lineRule="exact"/>
              <w:jc w:val="left"/>
              <w:outlineLvl w:val="9"/>
              <w:rPr>
                <w:rFonts w:ascii="仿宋" w:hAnsi="仿宋" w:eastAsia="仿宋" w:cs="仿宋"/>
                <w:b/>
                <w:color w:val="auto"/>
                <w:sz w:val="24"/>
                <w:szCs w:val="24"/>
              </w:rPr>
            </w:pPr>
          </w:p>
        </w:tc>
      </w:tr>
      <w:tr w14:paraId="4CE7423F">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2157" w:type="dxa"/>
            <w:noWrap/>
            <w:vAlign w:val="center"/>
          </w:tcPr>
          <w:p w14:paraId="3FB01548">
            <w:pPr>
              <w:snapToGrid w:val="0"/>
              <w:spacing w:before="93" w:after="93" w:line="400" w:lineRule="exact"/>
              <w:jc w:val="left"/>
              <w:outlineLvl w:val="9"/>
              <w:rPr>
                <w:rFonts w:ascii="仿宋" w:hAnsi="仿宋" w:eastAsia="仿宋" w:cs="仿宋"/>
                <w:color w:val="auto"/>
                <w:sz w:val="24"/>
                <w:szCs w:val="24"/>
              </w:rPr>
            </w:pPr>
            <w:r>
              <w:rPr>
                <w:rFonts w:hint="eastAsia" w:ascii="仿宋" w:hAnsi="仿宋" w:eastAsia="仿宋" w:cs="仿宋"/>
                <w:color w:val="auto"/>
                <w:sz w:val="24"/>
                <w:szCs w:val="24"/>
              </w:rPr>
              <w:t>权威认证</w:t>
            </w:r>
          </w:p>
        </w:tc>
        <w:tc>
          <w:tcPr>
            <w:tcW w:w="7409" w:type="dxa"/>
            <w:gridSpan w:val="3"/>
            <w:noWrap/>
            <w:vAlign w:val="center"/>
          </w:tcPr>
          <w:p w14:paraId="30DE86E1">
            <w:pPr>
              <w:snapToGrid w:val="0"/>
              <w:spacing w:before="156" w:after="156" w:line="400" w:lineRule="exact"/>
              <w:outlineLvl w:val="9"/>
              <w:rPr>
                <w:rFonts w:ascii="仿宋" w:hAnsi="仿宋" w:eastAsia="仿宋" w:cs="仿宋"/>
                <w:color w:val="auto"/>
                <w:sz w:val="24"/>
                <w:szCs w:val="24"/>
              </w:rPr>
            </w:pPr>
          </w:p>
        </w:tc>
      </w:tr>
      <w:tr w14:paraId="29862D12">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57" w:type="dxa"/>
            <w:noWrap/>
            <w:vAlign w:val="center"/>
          </w:tcPr>
          <w:p w14:paraId="10DB8062">
            <w:pPr>
              <w:snapToGrid w:val="0"/>
              <w:spacing w:before="93" w:after="93" w:line="400" w:lineRule="exact"/>
              <w:jc w:val="left"/>
              <w:outlineLvl w:val="9"/>
              <w:rPr>
                <w:rFonts w:ascii="仿宋" w:hAnsi="仿宋" w:eastAsia="仿宋" w:cs="仿宋"/>
                <w:color w:val="auto"/>
                <w:sz w:val="24"/>
                <w:szCs w:val="24"/>
              </w:rPr>
            </w:pPr>
            <w:r>
              <w:rPr>
                <w:rFonts w:hint="eastAsia" w:ascii="仿宋" w:hAnsi="仿宋" w:eastAsia="仿宋" w:cs="仿宋"/>
                <w:color w:val="auto"/>
                <w:sz w:val="24"/>
                <w:szCs w:val="24"/>
              </w:rPr>
              <w:t>企业获奖（如有）</w:t>
            </w:r>
          </w:p>
        </w:tc>
        <w:tc>
          <w:tcPr>
            <w:tcW w:w="7409" w:type="dxa"/>
            <w:gridSpan w:val="3"/>
            <w:noWrap/>
            <w:vAlign w:val="center"/>
          </w:tcPr>
          <w:p w14:paraId="40FE031E">
            <w:pPr>
              <w:snapToGrid w:val="0"/>
              <w:spacing w:before="93" w:after="93" w:line="400" w:lineRule="exact"/>
              <w:outlineLvl w:val="9"/>
              <w:rPr>
                <w:rFonts w:ascii="仿宋" w:hAnsi="仿宋" w:eastAsia="仿宋" w:cs="仿宋"/>
                <w:color w:val="auto"/>
                <w:sz w:val="24"/>
                <w:szCs w:val="24"/>
              </w:rPr>
            </w:pPr>
          </w:p>
        </w:tc>
      </w:tr>
      <w:tr w14:paraId="23494B7A">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2157" w:type="dxa"/>
            <w:noWrap/>
            <w:vAlign w:val="center"/>
          </w:tcPr>
          <w:p w14:paraId="13EC5E6B">
            <w:pPr>
              <w:snapToGrid w:val="0"/>
              <w:spacing w:before="93" w:after="93" w:line="400" w:lineRule="exact"/>
              <w:jc w:val="left"/>
              <w:outlineLvl w:val="9"/>
              <w:rPr>
                <w:rFonts w:ascii="仿宋" w:hAnsi="仿宋" w:eastAsia="仿宋" w:cs="仿宋"/>
                <w:color w:val="auto"/>
                <w:sz w:val="24"/>
                <w:szCs w:val="24"/>
              </w:rPr>
            </w:pPr>
            <w:r>
              <w:rPr>
                <w:rFonts w:hint="eastAsia" w:ascii="仿宋" w:hAnsi="仿宋" w:eastAsia="仿宋" w:cs="仿宋"/>
                <w:color w:val="auto"/>
                <w:sz w:val="24"/>
                <w:szCs w:val="24"/>
              </w:rPr>
              <w:t>备注</w:t>
            </w:r>
          </w:p>
        </w:tc>
        <w:tc>
          <w:tcPr>
            <w:tcW w:w="7409" w:type="dxa"/>
            <w:gridSpan w:val="3"/>
            <w:noWrap/>
            <w:vAlign w:val="center"/>
          </w:tcPr>
          <w:p w14:paraId="2EFC7916">
            <w:pPr>
              <w:snapToGrid w:val="0"/>
              <w:spacing w:before="93" w:after="93" w:line="400" w:lineRule="exact"/>
              <w:outlineLvl w:val="9"/>
              <w:rPr>
                <w:rFonts w:ascii="仿宋" w:hAnsi="仿宋" w:eastAsia="仿宋" w:cs="仿宋"/>
                <w:color w:val="auto"/>
                <w:sz w:val="24"/>
                <w:szCs w:val="24"/>
              </w:rPr>
            </w:pPr>
          </w:p>
        </w:tc>
      </w:tr>
      <w:tr w14:paraId="7E6ABFC4">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66" w:type="dxa"/>
            <w:gridSpan w:val="4"/>
            <w:noWrap/>
            <w:vAlign w:val="center"/>
          </w:tcPr>
          <w:p w14:paraId="5219DE55">
            <w:pPr>
              <w:snapToGrid w:val="0"/>
              <w:spacing w:before="93" w:after="93" w:line="400" w:lineRule="exact"/>
              <w:jc w:val="center"/>
              <w:outlineLvl w:val="9"/>
              <w:rPr>
                <w:rFonts w:ascii="仿宋" w:hAnsi="仿宋" w:eastAsia="仿宋" w:cs="仿宋"/>
                <w:color w:val="auto"/>
                <w:sz w:val="24"/>
                <w:szCs w:val="24"/>
              </w:rPr>
            </w:pPr>
            <w:r>
              <w:rPr>
                <w:rFonts w:hint="eastAsia" w:ascii="仿宋" w:hAnsi="仿宋" w:eastAsia="仿宋" w:cs="仿宋"/>
                <w:color w:val="auto"/>
                <w:sz w:val="24"/>
                <w:szCs w:val="24"/>
              </w:rPr>
              <w:t>投标人联系人信息</w:t>
            </w:r>
          </w:p>
        </w:tc>
      </w:tr>
      <w:tr w14:paraId="66FFC620">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57" w:type="dxa"/>
            <w:noWrap/>
            <w:vAlign w:val="center"/>
          </w:tcPr>
          <w:p w14:paraId="2F40183D">
            <w:pPr>
              <w:snapToGrid w:val="0"/>
              <w:spacing w:before="93" w:after="93" w:line="400" w:lineRule="exact"/>
              <w:outlineLvl w:val="9"/>
              <w:rPr>
                <w:rFonts w:ascii="仿宋" w:hAnsi="仿宋" w:eastAsia="仿宋" w:cs="仿宋"/>
                <w:color w:val="auto"/>
                <w:sz w:val="24"/>
                <w:szCs w:val="24"/>
              </w:rPr>
            </w:pPr>
            <w:r>
              <w:rPr>
                <w:rFonts w:hint="eastAsia" w:ascii="仿宋" w:hAnsi="仿宋" w:eastAsia="仿宋" w:cs="仿宋"/>
                <w:color w:val="auto"/>
                <w:sz w:val="24"/>
                <w:szCs w:val="24"/>
              </w:rPr>
              <w:t>姓名</w:t>
            </w:r>
          </w:p>
        </w:tc>
        <w:tc>
          <w:tcPr>
            <w:tcW w:w="2708" w:type="dxa"/>
            <w:noWrap/>
            <w:vAlign w:val="center"/>
          </w:tcPr>
          <w:p w14:paraId="4C66D6FC">
            <w:pPr>
              <w:snapToGrid w:val="0"/>
              <w:spacing w:before="93" w:after="93" w:line="400" w:lineRule="exact"/>
              <w:outlineLvl w:val="9"/>
              <w:rPr>
                <w:rFonts w:ascii="仿宋" w:hAnsi="仿宋" w:eastAsia="仿宋" w:cs="仿宋"/>
                <w:color w:val="auto"/>
                <w:sz w:val="24"/>
                <w:szCs w:val="24"/>
              </w:rPr>
            </w:pPr>
          </w:p>
        </w:tc>
        <w:tc>
          <w:tcPr>
            <w:tcW w:w="1735" w:type="dxa"/>
            <w:noWrap/>
            <w:vAlign w:val="center"/>
          </w:tcPr>
          <w:p w14:paraId="297814F6">
            <w:pPr>
              <w:snapToGrid w:val="0"/>
              <w:spacing w:before="93" w:after="93" w:line="400" w:lineRule="exact"/>
              <w:outlineLvl w:val="9"/>
              <w:rPr>
                <w:rFonts w:ascii="仿宋" w:hAnsi="仿宋" w:eastAsia="仿宋" w:cs="仿宋"/>
                <w:color w:val="auto"/>
                <w:sz w:val="24"/>
                <w:szCs w:val="24"/>
              </w:rPr>
            </w:pPr>
            <w:r>
              <w:rPr>
                <w:rFonts w:hint="eastAsia" w:ascii="仿宋" w:hAnsi="仿宋" w:eastAsia="仿宋" w:cs="仿宋"/>
                <w:color w:val="auto"/>
                <w:sz w:val="24"/>
                <w:szCs w:val="24"/>
              </w:rPr>
              <w:t>手机</w:t>
            </w:r>
          </w:p>
        </w:tc>
        <w:tc>
          <w:tcPr>
            <w:tcW w:w="2966" w:type="dxa"/>
            <w:noWrap/>
            <w:vAlign w:val="center"/>
          </w:tcPr>
          <w:p w14:paraId="5270645E">
            <w:pPr>
              <w:snapToGrid w:val="0"/>
              <w:spacing w:before="93" w:after="93" w:line="400" w:lineRule="exact"/>
              <w:outlineLvl w:val="9"/>
              <w:rPr>
                <w:rFonts w:ascii="仿宋" w:hAnsi="仿宋" w:eastAsia="仿宋" w:cs="仿宋"/>
                <w:color w:val="auto"/>
                <w:sz w:val="24"/>
                <w:szCs w:val="24"/>
              </w:rPr>
            </w:pPr>
          </w:p>
        </w:tc>
      </w:tr>
      <w:tr w14:paraId="75D8AAD9">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57" w:type="dxa"/>
            <w:noWrap/>
            <w:vAlign w:val="center"/>
          </w:tcPr>
          <w:p w14:paraId="4B54471C">
            <w:pPr>
              <w:snapToGrid w:val="0"/>
              <w:spacing w:before="93" w:after="93" w:line="400" w:lineRule="exact"/>
              <w:outlineLvl w:val="9"/>
              <w:rPr>
                <w:rFonts w:ascii="仿宋" w:hAnsi="仿宋" w:eastAsia="仿宋" w:cs="仿宋"/>
                <w:color w:val="auto"/>
                <w:sz w:val="24"/>
                <w:szCs w:val="24"/>
              </w:rPr>
            </w:pPr>
            <w:r>
              <w:rPr>
                <w:rFonts w:hint="eastAsia" w:ascii="仿宋" w:hAnsi="仿宋" w:eastAsia="仿宋" w:cs="仿宋"/>
                <w:color w:val="auto"/>
                <w:sz w:val="24"/>
                <w:szCs w:val="24"/>
              </w:rPr>
              <w:t>固定电话</w:t>
            </w:r>
          </w:p>
        </w:tc>
        <w:tc>
          <w:tcPr>
            <w:tcW w:w="2708" w:type="dxa"/>
            <w:noWrap/>
            <w:vAlign w:val="center"/>
          </w:tcPr>
          <w:p w14:paraId="30D7B037">
            <w:pPr>
              <w:snapToGrid w:val="0"/>
              <w:spacing w:before="93" w:after="93" w:line="400" w:lineRule="exact"/>
              <w:outlineLvl w:val="9"/>
              <w:rPr>
                <w:rFonts w:ascii="仿宋" w:hAnsi="仿宋" w:eastAsia="仿宋" w:cs="仿宋"/>
                <w:color w:val="auto"/>
                <w:sz w:val="24"/>
                <w:szCs w:val="24"/>
              </w:rPr>
            </w:pPr>
          </w:p>
        </w:tc>
        <w:tc>
          <w:tcPr>
            <w:tcW w:w="1735" w:type="dxa"/>
            <w:noWrap/>
            <w:vAlign w:val="center"/>
          </w:tcPr>
          <w:p w14:paraId="6F56370A">
            <w:pPr>
              <w:snapToGrid w:val="0"/>
              <w:spacing w:before="93" w:after="93" w:line="400" w:lineRule="exact"/>
              <w:outlineLvl w:val="9"/>
              <w:rPr>
                <w:rFonts w:ascii="仿宋" w:hAnsi="仿宋" w:eastAsia="仿宋" w:cs="仿宋"/>
                <w:color w:val="auto"/>
                <w:sz w:val="24"/>
                <w:szCs w:val="24"/>
              </w:rPr>
            </w:pPr>
            <w:r>
              <w:rPr>
                <w:rFonts w:hint="eastAsia" w:ascii="仿宋" w:hAnsi="仿宋" w:eastAsia="仿宋" w:cs="仿宋"/>
                <w:color w:val="auto"/>
                <w:sz w:val="24"/>
                <w:szCs w:val="24"/>
              </w:rPr>
              <w:t>电子邮箱</w:t>
            </w:r>
          </w:p>
        </w:tc>
        <w:tc>
          <w:tcPr>
            <w:tcW w:w="2966" w:type="dxa"/>
            <w:noWrap/>
            <w:vAlign w:val="center"/>
          </w:tcPr>
          <w:p w14:paraId="55D407F0">
            <w:pPr>
              <w:snapToGrid w:val="0"/>
              <w:spacing w:before="93" w:after="93" w:line="400" w:lineRule="exact"/>
              <w:outlineLvl w:val="9"/>
              <w:rPr>
                <w:rFonts w:ascii="仿宋" w:hAnsi="仿宋" w:eastAsia="仿宋" w:cs="仿宋"/>
                <w:color w:val="auto"/>
                <w:sz w:val="24"/>
                <w:szCs w:val="24"/>
              </w:rPr>
            </w:pPr>
          </w:p>
        </w:tc>
      </w:tr>
      <w:tr w14:paraId="7CF3CD47">
        <w:tblPrEx>
          <w:tblBorders>
            <w:top w:val="thinThickSmallGap" w:color="auto" w:sz="12" w:space="0"/>
            <w:left w:val="thinThickSmallGap" w:color="auto" w:sz="12" w:space="0"/>
            <w:bottom w:val="thinThickSmallGap" w:color="auto" w:sz="12" w:space="0"/>
            <w:right w:val="thinThickSmallGap"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66" w:type="dxa"/>
            <w:gridSpan w:val="4"/>
            <w:tcBorders>
              <w:bottom w:val="thinThickSmallGap" w:color="auto" w:sz="12" w:space="0"/>
            </w:tcBorders>
            <w:noWrap/>
            <w:vAlign w:val="center"/>
          </w:tcPr>
          <w:p w14:paraId="0D15F57D">
            <w:pPr>
              <w:snapToGrid w:val="0"/>
              <w:spacing w:before="93" w:after="93" w:line="400" w:lineRule="exact"/>
              <w:outlineLvl w:val="9"/>
              <w:rPr>
                <w:rFonts w:ascii="仿宋" w:hAnsi="仿宋" w:eastAsia="仿宋" w:cs="仿宋"/>
                <w:color w:val="auto"/>
                <w:sz w:val="24"/>
                <w:szCs w:val="24"/>
              </w:rPr>
            </w:pPr>
            <w:r>
              <w:rPr>
                <w:rFonts w:hint="eastAsia" w:ascii="仿宋" w:hAnsi="仿宋" w:eastAsia="仿宋" w:cs="仿宋"/>
                <w:color w:val="auto"/>
                <w:sz w:val="24"/>
                <w:szCs w:val="24"/>
              </w:rPr>
              <w:t>企业简介：（可另附页或企业对外宣传手册）</w:t>
            </w:r>
          </w:p>
        </w:tc>
      </w:tr>
    </w:tbl>
    <w:p w14:paraId="6D10B844">
      <w:pPr>
        <w:pStyle w:val="22"/>
        <w:spacing w:line="420" w:lineRule="exact"/>
        <w:ind w:firstLine="0" w:firstLineChars="0"/>
        <w:outlineLvl w:val="9"/>
        <w:rPr>
          <w:rFonts w:ascii="仿宋" w:hAnsi="仿宋" w:eastAsia="仿宋" w:cs="仿宋"/>
          <w:b/>
          <w:color w:val="auto"/>
          <w:sz w:val="24"/>
        </w:rPr>
      </w:pPr>
    </w:p>
    <w:p w14:paraId="7959D91C">
      <w:pPr>
        <w:keepNext w:val="0"/>
        <w:keepLines w:val="0"/>
        <w:pageBreakBefore w:val="0"/>
        <w:widowControl w:val="0"/>
        <w:kinsoku/>
        <w:wordWrap/>
        <w:overflowPunct/>
        <w:topLinePunct w:val="0"/>
        <w:bidi w:val="0"/>
        <w:snapToGrid w:val="0"/>
        <w:spacing w:line="360" w:lineRule="auto"/>
        <w:ind w:right="-817" w:rightChars="-389"/>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投标人名称：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盖章</w:t>
      </w:r>
      <w:r>
        <w:rPr>
          <w:rFonts w:hint="eastAsia" w:ascii="仿宋" w:hAnsi="仿宋" w:eastAsia="仿宋" w:cs="仿宋"/>
          <w:color w:val="auto"/>
          <w:sz w:val="24"/>
          <w:szCs w:val="24"/>
          <w:highlight w:val="none"/>
          <w:u w:val="single"/>
        </w:rPr>
        <w:t>）</w:t>
      </w:r>
    </w:p>
    <w:p w14:paraId="1B09F762">
      <w:pPr>
        <w:keepNext w:val="0"/>
        <w:keepLines w:val="0"/>
        <w:pageBreakBefore w:val="0"/>
        <w:widowControl w:val="0"/>
        <w:kinsoku/>
        <w:wordWrap/>
        <w:overflowPunct/>
        <w:topLinePunct w:val="0"/>
        <w:bidi w:val="0"/>
        <w:snapToGrid w:val="0"/>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法定代表人（负责人）</w:t>
      </w:r>
      <w:r>
        <w:rPr>
          <w:rFonts w:hint="eastAsia" w:ascii="仿宋" w:hAnsi="仿宋" w:eastAsia="仿宋" w:cs="仿宋"/>
          <w:color w:val="auto"/>
          <w:sz w:val="24"/>
          <w:szCs w:val="24"/>
          <w:highlight w:val="none"/>
        </w:rPr>
        <w:t>或授权代表：</w:t>
      </w:r>
      <w:r>
        <w:rPr>
          <w:rFonts w:hint="eastAsia" w:ascii="仿宋" w:hAnsi="仿宋" w:eastAsia="仿宋" w:cs="仿宋"/>
          <w:color w:val="auto"/>
          <w:sz w:val="24"/>
          <w:szCs w:val="24"/>
          <w:highlight w:val="none"/>
          <w:u w:val="single"/>
        </w:rPr>
        <w:t xml:space="preserve">       （签字或盖章）</w:t>
      </w:r>
    </w:p>
    <w:p w14:paraId="197A64E5">
      <w:pPr>
        <w:keepNext w:val="0"/>
        <w:keepLines w:val="0"/>
        <w:pageBreakBefore w:val="0"/>
        <w:widowControl w:val="0"/>
        <w:kinsoku/>
        <w:wordWrap/>
        <w:overflowPunct/>
        <w:topLinePunct w:val="0"/>
        <w:bidi w:val="0"/>
        <w:snapToGrid w:val="0"/>
        <w:spacing w:line="360" w:lineRule="auto"/>
        <w:ind w:right="-817" w:rightChars="-389"/>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rPr>
        <w:t xml:space="preserve">    年   月   日</w:t>
      </w:r>
    </w:p>
    <w:p w14:paraId="4743C6E7">
      <w:pPr>
        <w:pStyle w:val="18"/>
        <w:ind w:left="2250" w:hanging="1200"/>
        <w:outlineLvl w:val="9"/>
        <w:rPr>
          <w:color w:val="auto"/>
        </w:rPr>
        <w:sectPr>
          <w:pgSz w:w="11906" w:h="16838"/>
          <w:pgMar w:top="1440" w:right="1800" w:bottom="1440" w:left="1800" w:header="851" w:footer="992" w:gutter="0"/>
          <w:pgNumType w:fmt="decimal"/>
          <w:cols w:space="425" w:num="1"/>
          <w:docGrid w:type="lines" w:linePitch="312" w:charSpace="0"/>
        </w:sectPr>
      </w:pPr>
    </w:p>
    <w:p w14:paraId="5B747007">
      <w:pPr>
        <w:spacing w:line="360" w:lineRule="auto"/>
        <w:jc w:val="center"/>
        <w:outlineLvl w:val="9"/>
        <w:rPr>
          <w:rFonts w:hint="eastAsia" w:ascii="仿宋" w:hAnsi="仿宋" w:eastAsia="仿宋" w:cs="仿宋"/>
          <w:color w:val="auto"/>
          <w:sz w:val="28"/>
          <w:szCs w:val="28"/>
          <w:highlight w:val="none"/>
        </w:rPr>
      </w:pPr>
      <w:r>
        <w:rPr>
          <w:rFonts w:hint="eastAsia" w:ascii="仿宋" w:hAnsi="仿宋" w:eastAsia="仿宋" w:cs="仿宋"/>
          <w:bCs/>
          <w:color w:val="auto"/>
          <w:sz w:val="28"/>
          <w:szCs w:val="28"/>
          <w:highlight w:val="none"/>
        </w:rPr>
        <w:t>2.</w:t>
      </w:r>
      <w:r>
        <w:rPr>
          <w:rFonts w:hint="eastAsia" w:ascii="仿宋" w:hAnsi="仿宋" w:eastAsia="仿宋" w:cs="仿宋"/>
          <w:color w:val="auto"/>
          <w:sz w:val="28"/>
          <w:szCs w:val="28"/>
          <w:highlight w:val="none"/>
          <w:lang w:eastAsia="zh-CN"/>
        </w:rPr>
        <w:t>法定代表人（负责人）</w:t>
      </w:r>
      <w:r>
        <w:rPr>
          <w:rFonts w:hint="eastAsia" w:ascii="仿宋" w:hAnsi="仿宋" w:eastAsia="仿宋" w:cs="仿宋"/>
          <w:color w:val="auto"/>
          <w:sz w:val="28"/>
          <w:szCs w:val="28"/>
          <w:highlight w:val="none"/>
        </w:rPr>
        <w:t>身份证明</w:t>
      </w:r>
    </w:p>
    <w:p w14:paraId="41F97F25">
      <w:pPr>
        <w:pStyle w:val="12"/>
        <w:keepNext w:val="0"/>
        <w:keepLines w:val="0"/>
        <w:pageBreakBefore w:val="0"/>
        <w:widowControl w:val="0"/>
        <w:kinsoku/>
        <w:wordWrap/>
        <w:overflowPunct/>
        <w:topLinePunct w:val="0"/>
        <w:autoSpaceDE/>
        <w:autoSpaceDN/>
        <w:bidi w:val="0"/>
        <w:adjustRightInd/>
        <w:snapToGrid/>
        <w:spacing w:line="240" w:lineRule="auto"/>
        <w:ind w:firstLine="700" w:firstLineChars="250"/>
        <w:textAlignment w:val="auto"/>
        <w:outlineLvl w:val="9"/>
        <w:rPr>
          <w:rFonts w:hint="eastAsia" w:ascii="仿宋" w:hAnsi="仿宋" w:eastAsia="仿宋" w:cs="仿宋"/>
          <w:color w:val="auto"/>
          <w:sz w:val="28"/>
          <w:szCs w:val="28"/>
          <w:highlight w:val="none"/>
        </w:rPr>
      </w:pPr>
    </w:p>
    <w:p w14:paraId="04286E42">
      <w:pPr>
        <w:pStyle w:val="12"/>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投标人名称：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4B35DBF2">
      <w:pPr>
        <w:pStyle w:val="12"/>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单位性质：</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64C617B7">
      <w:pPr>
        <w:pStyle w:val="12"/>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r>
        <w:rPr>
          <w:rFonts w:hint="eastAsia" w:ascii="仿宋" w:hAnsi="仿宋" w:eastAsia="仿宋" w:cs="仿宋"/>
          <w:color w:val="auto"/>
          <w:sz w:val="24"/>
          <w:szCs w:val="24"/>
          <w:highlight w:val="none"/>
          <w:u w:val="single"/>
        </w:rPr>
        <w:t xml:space="preserve">                                      </w:t>
      </w:r>
    </w:p>
    <w:p w14:paraId="21B0F6D5">
      <w:pPr>
        <w:pStyle w:val="12"/>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成立时间：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23DB4EED">
      <w:pPr>
        <w:pStyle w:val="12"/>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经营期限：</w:t>
      </w:r>
      <w:r>
        <w:rPr>
          <w:rFonts w:hint="eastAsia" w:ascii="仿宋" w:hAnsi="仿宋" w:eastAsia="仿宋" w:cs="仿宋"/>
          <w:color w:val="auto"/>
          <w:sz w:val="24"/>
          <w:szCs w:val="24"/>
          <w:highlight w:val="none"/>
          <w:u w:val="single"/>
        </w:rPr>
        <w:t xml:space="preserve">                                 </w:t>
      </w:r>
    </w:p>
    <w:p w14:paraId="320849BC">
      <w:pPr>
        <w:pStyle w:val="12"/>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性别：</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年龄：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职务：</w:t>
      </w:r>
      <w:r>
        <w:rPr>
          <w:rFonts w:hint="eastAsia" w:ascii="仿宋" w:hAnsi="仿宋" w:eastAsia="仿宋" w:cs="仿宋"/>
          <w:color w:val="auto"/>
          <w:sz w:val="24"/>
          <w:szCs w:val="24"/>
          <w:highlight w:val="none"/>
          <w:u w:val="single"/>
        </w:rPr>
        <w:t xml:space="preserve">        </w:t>
      </w:r>
    </w:p>
    <w:p w14:paraId="5EEF6C07">
      <w:pPr>
        <w:pStyle w:val="12"/>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系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（投标人名称）的</w:t>
      </w:r>
      <w:r>
        <w:rPr>
          <w:rFonts w:hint="eastAsia" w:ascii="仿宋" w:hAnsi="仿宋" w:eastAsia="仿宋" w:cs="仿宋"/>
          <w:color w:val="auto"/>
          <w:sz w:val="24"/>
          <w:szCs w:val="24"/>
          <w:highlight w:val="none"/>
          <w:lang w:eastAsia="zh-CN"/>
        </w:rPr>
        <w:t>法定代表人（负责人）</w:t>
      </w:r>
      <w:r>
        <w:rPr>
          <w:rFonts w:hint="eastAsia" w:ascii="仿宋" w:hAnsi="仿宋" w:eastAsia="仿宋" w:cs="仿宋"/>
          <w:color w:val="auto"/>
          <w:sz w:val="24"/>
          <w:szCs w:val="24"/>
          <w:highlight w:val="none"/>
        </w:rPr>
        <w:t>。</w:t>
      </w:r>
    </w:p>
    <w:p w14:paraId="6D4020E7">
      <w:pPr>
        <w:pStyle w:val="12"/>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特此证明。</w:t>
      </w:r>
    </w:p>
    <w:p w14:paraId="3E59F1E5">
      <w:pPr>
        <w:keepNext w:val="0"/>
        <w:keepLines w:val="0"/>
        <w:pageBreakBefore w:val="0"/>
        <w:widowControl w:val="0"/>
        <w:kinsoku/>
        <w:wordWrap/>
        <w:overflowPunct/>
        <w:topLinePunct w:val="0"/>
        <w:autoSpaceDE/>
        <w:autoSpaceDN/>
        <w:bidi w:val="0"/>
        <w:adjustRightInd/>
        <w:snapToGrid/>
        <w:spacing w:line="480" w:lineRule="auto"/>
        <w:textAlignment w:val="auto"/>
        <w:outlineLvl w:val="9"/>
        <w:rPr>
          <w:rFonts w:hint="eastAsia" w:ascii="仿宋" w:hAnsi="仿宋" w:eastAsia="仿宋" w:cs="仿宋"/>
          <w:color w:val="auto"/>
          <w:sz w:val="24"/>
          <w:szCs w:val="24"/>
          <w:highlight w:val="none"/>
        </w:rPr>
      </w:pPr>
    </w:p>
    <w:p w14:paraId="586F4FBB">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投标人名称：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盖章</w:t>
      </w:r>
      <w:r>
        <w:rPr>
          <w:rFonts w:hint="eastAsia" w:ascii="仿宋" w:hAnsi="仿宋" w:eastAsia="仿宋" w:cs="仿宋"/>
          <w:color w:val="auto"/>
          <w:sz w:val="24"/>
          <w:szCs w:val="24"/>
          <w:highlight w:val="none"/>
          <w:u w:val="single"/>
        </w:rPr>
        <w:t>）</w:t>
      </w:r>
    </w:p>
    <w:p w14:paraId="11CFE2AC">
      <w:pPr>
        <w:keepNext w:val="0"/>
        <w:keepLines w:val="0"/>
        <w:pageBreakBefore w:val="0"/>
        <w:widowControl w:val="0"/>
        <w:kinsoku/>
        <w:wordWrap/>
        <w:overflowPunct/>
        <w:topLinePunct w:val="0"/>
        <w:autoSpaceDE/>
        <w:autoSpaceDN/>
        <w:bidi w:val="0"/>
        <w:adjustRightInd/>
        <w:snapToGrid w:val="0"/>
        <w:spacing w:line="480" w:lineRule="auto"/>
        <w:ind w:right="-817" w:rightChars="-389"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rPr>
        <w:t xml:space="preserve">    年   月   日</w:t>
      </w:r>
    </w:p>
    <w:p w14:paraId="257ECF5C">
      <w:pPr>
        <w:keepNext w:val="0"/>
        <w:keepLines w:val="0"/>
        <w:pageBreakBefore w:val="0"/>
        <w:widowControl w:val="0"/>
        <w:kinsoku/>
        <w:wordWrap/>
        <w:overflowPunct/>
        <w:topLinePunct w:val="0"/>
        <w:autoSpaceDE/>
        <w:autoSpaceDN/>
        <w:bidi w:val="0"/>
        <w:adjustRightInd/>
        <w:snapToGrid/>
        <w:spacing w:line="480" w:lineRule="auto"/>
        <w:jc w:val="right"/>
        <w:textAlignment w:val="auto"/>
        <w:outlineLvl w:val="9"/>
        <w:rPr>
          <w:rFonts w:hint="eastAsia" w:ascii="仿宋" w:hAnsi="仿宋" w:eastAsia="仿宋" w:cs="仿宋"/>
          <w:color w:val="auto"/>
          <w:sz w:val="24"/>
          <w:szCs w:val="24"/>
          <w:highlight w:val="none"/>
        </w:rPr>
      </w:pPr>
    </w:p>
    <w:p w14:paraId="7560006A">
      <w:pPr>
        <w:spacing w:line="360" w:lineRule="auto"/>
        <w:jc w:val="center"/>
        <w:outlineLvl w:val="9"/>
        <w:rPr>
          <w:rFonts w:hint="eastAsia" w:ascii="仿宋" w:hAnsi="仿宋" w:eastAsia="仿宋" w:cs="仿宋"/>
          <w:color w:val="auto"/>
          <w:sz w:val="24"/>
          <w:szCs w:val="24"/>
          <w:highlight w:val="none"/>
        </w:rPr>
      </w:pPr>
    </w:p>
    <w:p w14:paraId="2544BA69">
      <w:pPr>
        <w:pStyle w:val="12"/>
        <w:spacing w:line="360" w:lineRule="auto"/>
        <w:ind w:firstLine="602" w:firstLineChars="250"/>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w:t>
      </w:r>
      <w:r>
        <w:rPr>
          <w:rFonts w:hint="eastAsia" w:ascii="仿宋" w:hAnsi="仿宋" w:eastAsia="仿宋" w:cs="仿宋"/>
          <w:b/>
          <w:bCs/>
          <w:color w:val="auto"/>
          <w:sz w:val="24"/>
          <w:szCs w:val="24"/>
          <w:highlight w:val="none"/>
          <w:lang w:eastAsia="zh-CN"/>
        </w:rPr>
        <w:t>法定代表人（负责人）</w:t>
      </w:r>
      <w:r>
        <w:rPr>
          <w:rFonts w:hint="eastAsia" w:ascii="仿宋" w:hAnsi="仿宋" w:eastAsia="仿宋" w:cs="仿宋"/>
          <w:b/>
          <w:bCs/>
          <w:color w:val="auto"/>
          <w:sz w:val="24"/>
          <w:szCs w:val="24"/>
          <w:highlight w:val="none"/>
        </w:rPr>
        <w:t>身份证复印件</w:t>
      </w:r>
    </w:p>
    <w:p w14:paraId="1F2B76F2">
      <w:pPr>
        <w:outlineLvl w:val="9"/>
        <w:rPr>
          <w:rFonts w:hint="eastAsia" w:ascii="仿宋" w:hAnsi="仿宋" w:eastAsia="仿宋" w:cs="仿宋"/>
          <w:bCs/>
          <w:color w:val="auto"/>
          <w:sz w:val="28"/>
          <w:szCs w:val="28"/>
        </w:rPr>
      </w:pPr>
      <w:r>
        <w:rPr>
          <w:rFonts w:hint="eastAsia" w:ascii="仿宋" w:hAnsi="仿宋" w:eastAsia="仿宋" w:cs="仿宋"/>
          <w:bCs/>
          <w:color w:val="auto"/>
          <w:sz w:val="28"/>
          <w:szCs w:val="28"/>
        </w:rPr>
        <w:br w:type="page"/>
      </w:r>
    </w:p>
    <w:p w14:paraId="6CE72E9D">
      <w:pPr>
        <w:spacing w:line="600" w:lineRule="exact"/>
        <w:jc w:val="center"/>
        <w:outlineLvl w:val="9"/>
        <w:rPr>
          <w:rFonts w:ascii="仿宋" w:hAnsi="仿宋" w:eastAsia="仿宋" w:cs="仿宋"/>
          <w:color w:val="auto"/>
          <w:sz w:val="28"/>
          <w:szCs w:val="28"/>
        </w:rPr>
      </w:pPr>
      <w:r>
        <w:rPr>
          <w:rFonts w:hint="eastAsia" w:ascii="仿宋" w:hAnsi="仿宋" w:eastAsia="仿宋" w:cs="仿宋"/>
          <w:bCs/>
          <w:color w:val="auto"/>
          <w:sz w:val="28"/>
          <w:szCs w:val="28"/>
        </w:rPr>
        <w:t xml:space="preserve">3.法定代表人（负责人）授权书 </w:t>
      </w:r>
    </w:p>
    <w:p w14:paraId="4387800F">
      <w:pPr>
        <w:spacing w:line="360" w:lineRule="auto"/>
        <w:jc w:val="left"/>
        <w:outlineLvl w:val="9"/>
        <w:rPr>
          <w:rFonts w:hint="eastAsia" w:ascii="仿宋" w:hAnsi="仿宋" w:eastAsia="仿宋" w:cs="仿宋"/>
          <w:color w:val="auto"/>
          <w:sz w:val="24"/>
          <w:szCs w:val="24"/>
        </w:rPr>
      </w:pPr>
    </w:p>
    <w:p w14:paraId="12381672">
      <w:pPr>
        <w:spacing w:line="360" w:lineRule="auto"/>
        <w:jc w:val="left"/>
        <w:outlineLvl w:val="9"/>
        <w:rPr>
          <w:rFonts w:hint="eastAsia" w:ascii="仿宋" w:hAnsi="仿宋" w:eastAsia="仿宋" w:cs="仿宋"/>
          <w:color w:val="auto"/>
          <w:sz w:val="24"/>
          <w:szCs w:val="24"/>
        </w:rPr>
      </w:pPr>
      <w:r>
        <w:rPr>
          <w:rFonts w:hint="eastAsia" w:ascii="仿宋" w:hAnsi="仿宋" w:eastAsia="仿宋" w:cs="仿宋"/>
          <w:color w:val="auto"/>
          <w:sz w:val="24"/>
          <w:szCs w:val="24"/>
          <w:lang w:eastAsia="zh-CN"/>
        </w:rPr>
        <w:t>马迭尔食品（浙江）有限公司</w:t>
      </w:r>
      <w:r>
        <w:rPr>
          <w:rFonts w:hint="eastAsia" w:ascii="仿宋" w:hAnsi="仿宋" w:eastAsia="仿宋" w:cs="仿宋"/>
          <w:color w:val="auto"/>
          <w:sz w:val="24"/>
          <w:szCs w:val="24"/>
        </w:rPr>
        <w:t>：</w:t>
      </w:r>
    </w:p>
    <w:p w14:paraId="04A4BAB7">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（投标人全称）法定代表人（负责人）</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授权</w:t>
      </w:r>
      <w:r>
        <w:rPr>
          <w:rFonts w:hint="eastAsia" w:ascii="仿宋" w:hAnsi="仿宋" w:eastAsia="仿宋" w:cs="仿宋"/>
          <w:color w:val="auto"/>
          <w:sz w:val="24"/>
          <w:szCs w:val="24"/>
          <w:u w:val="single"/>
        </w:rPr>
        <w:t xml:space="preserve">       （全权代表姓名）</w:t>
      </w:r>
      <w:r>
        <w:rPr>
          <w:rFonts w:hint="eastAsia" w:ascii="仿宋" w:hAnsi="仿宋" w:eastAsia="仿宋" w:cs="仿宋"/>
          <w:color w:val="auto"/>
          <w:sz w:val="24"/>
          <w:szCs w:val="24"/>
        </w:rPr>
        <w:t>为全权代表，参加贵方组织的</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eastAsia="zh-CN"/>
        </w:rPr>
        <w:t>（</w:t>
      </w:r>
      <w:r>
        <w:rPr>
          <w:rFonts w:hint="eastAsia" w:ascii="仿宋" w:hAnsi="仿宋" w:eastAsia="仿宋" w:cs="仿宋"/>
          <w:color w:val="auto"/>
          <w:sz w:val="24"/>
          <w:szCs w:val="24"/>
          <w:u w:val="single"/>
        </w:rPr>
        <w:t>项目</w:t>
      </w:r>
      <w:r>
        <w:rPr>
          <w:rFonts w:hint="eastAsia" w:ascii="仿宋" w:hAnsi="仿宋" w:eastAsia="仿宋" w:cs="仿宋"/>
          <w:color w:val="auto"/>
          <w:sz w:val="24"/>
          <w:szCs w:val="24"/>
          <w:u w:val="single"/>
          <w:lang w:val="en-US" w:eastAsia="zh-CN"/>
        </w:rPr>
        <w:t>名称</w:t>
      </w:r>
      <w:r>
        <w:rPr>
          <w:rFonts w:hint="eastAsia" w:ascii="仿宋" w:hAnsi="仿宋" w:eastAsia="仿宋" w:cs="仿宋"/>
          <w:color w:val="auto"/>
          <w:sz w:val="24"/>
          <w:szCs w:val="24"/>
          <w:u w:val="single"/>
          <w:lang w:eastAsia="zh-CN"/>
        </w:rPr>
        <w:t>）</w:t>
      </w:r>
      <w:r>
        <w:rPr>
          <w:rFonts w:hint="eastAsia" w:ascii="仿宋" w:hAnsi="仿宋" w:eastAsia="仿宋" w:cs="仿宋"/>
          <w:color w:val="auto"/>
          <w:sz w:val="24"/>
          <w:szCs w:val="24"/>
        </w:rPr>
        <w:t>（项目编号：</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），并全权处理采购活动中的一切事宜。</w:t>
      </w:r>
    </w:p>
    <w:p w14:paraId="7C86F4CA">
      <w:pPr>
        <w:spacing w:line="360" w:lineRule="auto"/>
        <w:outlineLvl w:val="9"/>
        <w:rPr>
          <w:rFonts w:hint="eastAsia" w:ascii="仿宋" w:hAnsi="仿宋" w:eastAsia="仿宋" w:cs="仿宋"/>
          <w:color w:val="auto"/>
          <w:sz w:val="24"/>
          <w:szCs w:val="24"/>
        </w:rPr>
      </w:pPr>
    </w:p>
    <w:p w14:paraId="1EF777E0">
      <w:pPr>
        <w:spacing w:line="360" w:lineRule="auto"/>
        <w:outlineLvl w:val="9"/>
        <w:rPr>
          <w:rFonts w:ascii="仿宋" w:hAnsi="仿宋" w:eastAsia="仿宋" w:cs="仿宋"/>
          <w:color w:val="auto"/>
          <w:sz w:val="24"/>
          <w:szCs w:val="24"/>
        </w:rPr>
      </w:pPr>
      <w:r>
        <w:rPr>
          <w:rFonts w:hint="eastAsia" w:ascii="仿宋" w:hAnsi="仿宋" w:eastAsia="仿宋" w:cs="仿宋"/>
          <w:color w:val="auto"/>
          <w:sz w:val="24"/>
          <w:szCs w:val="24"/>
        </w:rPr>
        <w:t>投标人名称：</w:t>
      </w:r>
      <w:r>
        <w:rPr>
          <w:rFonts w:hint="eastAsia" w:ascii="仿宋" w:hAnsi="仿宋" w:eastAsia="仿宋" w:cs="仿宋"/>
          <w:color w:val="auto"/>
          <w:sz w:val="24"/>
          <w:szCs w:val="24"/>
          <w:u w:val="single"/>
        </w:rPr>
        <w:t>（</w:t>
      </w:r>
      <w:r>
        <w:rPr>
          <w:rFonts w:hint="eastAsia" w:ascii="仿宋" w:hAnsi="仿宋" w:eastAsia="仿宋" w:cs="仿宋"/>
          <w:color w:val="auto"/>
          <w:sz w:val="24"/>
          <w:szCs w:val="24"/>
          <w:u w:val="single"/>
          <w:lang w:val="en-US" w:eastAsia="zh-CN"/>
        </w:rPr>
        <w:t>盖章</w:t>
      </w:r>
      <w:r>
        <w:rPr>
          <w:rFonts w:hint="eastAsia" w:ascii="仿宋" w:hAnsi="仿宋" w:eastAsia="仿宋" w:cs="仿宋"/>
          <w:color w:val="auto"/>
          <w:sz w:val="24"/>
          <w:szCs w:val="24"/>
          <w:u w:val="single"/>
        </w:rPr>
        <w:t>）</w:t>
      </w:r>
    </w:p>
    <w:p w14:paraId="12350618">
      <w:pPr>
        <w:spacing w:line="360" w:lineRule="auto"/>
        <w:outlineLvl w:val="9"/>
        <w:rPr>
          <w:rFonts w:ascii="仿宋" w:hAnsi="仿宋" w:eastAsia="仿宋" w:cs="仿宋"/>
          <w:color w:val="auto"/>
          <w:sz w:val="24"/>
          <w:szCs w:val="24"/>
          <w:u w:val="single"/>
        </w:rPr>
      </w:pPr>
      <w:r>
        <w:rPr>
          <w:rFonts w:hint="eastAsia" w:ascii="仿宋" w:hAnsi="仿宋" w:eastAsia="仿宋" w:cs="仿宋"/>
          <w:color w:val="auto"/>
          <w:sz w:val="24"/>
          <w:szCs w:val="24"/>
        </w:rPr>
        <w:t>法定代表人</w:t>
      </w:r>
      <w:r>
        <w:rPr>
          <w:rFonts w:hint="eastAsia" w:ascii="仿宋" w:hAnsi="仿宋" w:eastAsia="仿宋" w:cs="仿宋"/>
          <w:bCs/>
          <w:color w:val="auto"/>
          <w:sz w:val="24"/>
          <w:szCs w:val="24"/>
        </w:rPr>
        <w:t>（负责人）</w:t>
      </w:r>
      <w:r>
        <w:rPr>
          <w:rFonts w:hint="eastAsia" w:ascii="仿宋" w:hAnsi="仿宋" w:eastAsia="仿宋" w:cs="仿宋"/>
          <w:color w:val="auto"/>
          <w:sz w:val="24"/>
          <w:szCs w:val="24"/>
        </w:rPr>
        <w:t>：</w:t>
      </w:r>
      <w:r>
        <w:rPr>
          <w:rFonts w:hint="eastAsia" w:ascii="仿宋" w:hAnsi="仿宋" w:eastAsia="仿宋" w:cs="仿宋"/>
          <w:color w:val="auto"/>
          <w:sz w:val="24"/>
          <w:szCs w:val="24"/>
          <w:u w:val="single"/>
          <w:lang w:eastAsia="zh-CN"/>
        </w:rPr>
        <w:t>（</w:t>
      </w:r>
      <w:r>
        <w:rPr>
          <w:rFonts w:hint="eastAsia" w:ascii="仿宋" w:hAnsi="仿宋" w:eastAsia="仿宋" w:cs="仿宋"/>
          <w:color w:val="auto"/>
          <w:sz w:val="24"/>
          <w:szCs w:val="24"/>
          <w:u w:val="single"/>
        </w:rPr>
        <w:t>签字或盖章</w:t>
      </w:r>
      <w:r>
        <w:rPr>
          <w:rFonts w:hint="eastAsia" w:ascii="仿宋" w:hAnsi="仿宋" w:eastAsia="仿宋" w:cs="仿宋"/>
          <w:color w:val="auto"/>
          <w:sz w:val="24"/>
          <w:szCs w:val="24"/>
          <w:u w:val="single"/>
          <w:lang w:eastAsia="zh-CN"/>
        </w:rPr>
        <w:t>）</w:t>
      </w:r>
    </w:p>
    <w:p w14:paraId="13F35609">
      <w:pPr>
        <w:spacing w:line="360" w:lineRule="auto"/>
        <w:outlineLvl w:val="9"/>
        <w:rPr>
          <w:rFonts w:ascii="仿宋" w:hAnsi="仿宋" w:eastAsia="仿宋" w:cs="仿宋"/>
          <w:color w:val="auto"/>
          <w:sz w:val="24"/>
          <w:szCs w:val="24"/>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single"/>
        </w:rPr>
        <w:t xml:space="preserve">    年   月   日</w:t>
      </w:r>
    </w:p>
    <w:p w14:paraId="306770E4">
      <w:pPr>
        <w:spacing w:line="360" w:lineRule="auto"/>
        <w:outlineLvl w:val="9"/>
        <w:rPr>
          <w:rFonts w:ascii="仿宋" w:hAnsi="仿宋" w:eastAsia="仿宋" w:cs="仿宋"/>
          <w:color w:val="auto"/>
          <w:sz w:val="24"/>
          <w:szCs w:val="24"/>
        </w:rPr>
      </w:pPr>
    </w:p>
    <w:p w14:paraId="2FB3E504">
      <w:pPr>
        <w:spacing w:line="360" w:lineRule="auto"/>
        <w:outlineLvl w:val="9"/>
        <w:rPr>
          <w:rFonts w:ascii="仿宋" w:hAnsi="仿宋" w:eastAsia="仿宋" w:cs="仿宋"/>
          <w:color w:val="auto"/>
          <w:sz w:val="24"/>
          <w:szCs w:val="24"/>
        </w:rPr>
      </w:pPr>
      <w:r>
        <w:rPr>
          <w:rFonts w:hint="eastAsia" w:ascii="仿宋" w:hAnsi="仿宋" w:eastAsia="仿宋" w:cs="仿宋"/>
          <w:color w:val="auto"/>
          <w:sz w:val="24"/>
          <w:szCs w:val="24"/>
        </w:rPr>
        <w:t>附：</w:t>
      </w:r>
    </w:p>
    <w:p w14:paraId="690399AE">
      <w:pPr>
        <w:spacing w:line="360" w:lineRule="auto"/>
        <w:outlineLvl w:val="9"/>
        <w:rPr>
          <w:rFonts w:ascii="仿宋" w:hAnsi="仿宋" w:eastAsia="仿宋" w:cs="仿宋"/>
          <w:color w:val="auto"/>
          <w:sz w:val="24"/>
          <w:szCs w:val="24"/>
        </w:rPr>
      </w:pPr>
      <w:r>
        <w:rPr>
          <w:rFonts w:hint="eastAsia" w:ascii="仿宋" w:hAnsi="仿宋" w:eastAsia="仿宋" w:cs="仿宋"/>
          <w:color w:val="auto"/>
          <w:sz w:val="24"/>
          <w:szCs w:val="24"/>
        </w:rPr>
        <w:t xml:space="preserve">授权代表姓名：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性别：</w:t>
      </w:r>
    </w:p>
    <w:p w14:paraId="04979008">
      <w:pPr>
        <w:spacing w:line="360" w:lineRule="auto"/>
        <w:outlineLvl w:val="9"/>
        <w:rPr>
          <w:rFonts w:ascii="仿宋" w:hAnsi="仿宋" w:eastAsia="仿宋" w:cs="仿宋"/>
          <w:color w:val="auto"/>
          <w:sz w:val="24"/>
          <w:szCs w:val="24"/>
        </w:rPr>
      </w:pPr>
      <w:r>
        <w:rPr>
          <w:rFonts w:hint="eastAsia" w:ascii="仿宋" w:hAnsi="仿宋" w:eastAsia="仿宋" w:cs="仿宋"/>
          <w:color w:val="auto"/>
          <w:sz w:val="24"/>
          <w:szCs w:val="24"/>
        </w:rPr>
        <w:t>职务：                     职称：</w:t>
      </w:r>
    </w:p>
    <w:p w14:paraId="3595CF9A">
      <w:pPr>
        <w:spacing w:line="360" w:lineRule="auto"/>
        <w:outlineLvl w:val="9"/>
        <w:rPr>
          <w:rFonts w:ascii="仿宋" w:hAnsi="仿宋" w:eastAsia="仿宋" w:cs="仿宋"/>
          <w:color w:val="auto"/>
          <w:sz w:val="24"/>
          <w:szCs w:val="24"/>
        </w:rPr>
      </w:pPr>
      <w:r>
        <w:rPr>
          <w:rFonts w:hint="eastAsia" w:ascii="仿宋" w:hAnsi="仿宋" w:eastAsia="仿宋" w:cs="仿宋"/>
          <w:color w:val="auto"/>
          <w:sz w:val="24"/>
          <w:szCs w:val="24"/>
        </w:rPr>
        <w:t>详细通讯地址：</w:t>
      </w:r>
    </w:p>
    <w:p w14:paraId="1B33318E">
      <w:pPr>
        <w:spacing w:line="360" w:lineRule="auto"/>
        <w:outlineLvl w:val="9"/>
        <w:rPr>
          <w:rFonts w:ascii="仿宋" w:hAnsi="仿宋" w:eastAsia="仿宋" w:cs="仿宋"/>
          <w:color w:val="auto"/>
          <w:sz w:val="24"/>
          <w:szCs w:val="24"/>
        </w:rPr>
      </w:pPr>
      <w:r>
        <w:rPr>
          <w:rFonts w:hint="eastAsia" w:ascii="仿宋" w:hAnsi="仿宋" w:eastAsia="仿宋" w:cs="仿宋"/>
          <w:color w:val="auto"/>
          <w:sz w:val="24"/>
          <w:szCs w:val="24"/>
        </w:rPr>
        <w:t>电话：                     传真：</w:t>
      </w:r>
    </w:p>
    <w:p w14:paraId="7501BA46">
      <w:pPr>
        <w:spacing w:line="360" w:lineRule="auto"/>
        <w:outlineLvl w:val="9"/>
        <w:rPr>
          <w:rFonts w:ascii="仿宋" w:hAnsi="仿宋" w:eastAsia="仿宋" w:cs="仿宋"/>
          <w:color w:val="auto"/>
          <w:sz w:val="24"/>
          <w:szCs w:val="24"/>
        </w:rPr>
      </w:pPr>
      <w:r>
        <w:rPr>
          <w:rFonts w:hint="eastAsia" w:ascii="仿宋" w:hAnsi="仿宋" w:eastAsia="仿宋" w:cs="仿宋"/>
          <w:color w:val="auto"/>
          <w:sz w:val="24"/>
          <w:szCs w:val="24"/>
        </w:rPr>
        <w:t>移动电话：</w:t>
      </w:r>
    </w:p>
    <w:p w14:paraId="6C2AE10F">
      <w:pPr>
        <w:spacing w:line="360" w:lineRule="auto"/>
        <w:outlineLvl w:val="9"/>
        <w:rPr>
          <w:rFonts w:ascii="仿宋" w:hAnsi="仿宋" w:eastAsia="仿宋" w:cs="仿宋"/>
          <w:color w:val="auto"/>
          <w:sz w:val="24"/>
          <w:szCs w:val="24"/>
        </w:rPr>
      </w:pPr>
      <w:r>
        <w:rPr>
          <w:rFonts w:hint="eastAsia" w:ascii="仿宋" w:hAnsi="仿宋" w:eastAsia="仿宋" w:cs="仿宋"/>
          <w:color w:val="auto"/>
          <w:sz w:val="24"/>
          <w:szCs w:val="24"/>
        </w:rPr>
        <w:t>邮政编码：</w:t>
      </w:r>
    </w:p>
    <w:p w14:paraId="79A79972">
      <w:pPr>
        <w:spacing w:line="360" w:lineRule="auto"/>
        <w:outlineLvl w:val="9"/>
        <w:rPr>
          <w:rFonts w:ascii="仿宋" w:hAnsi="仿宋" w:eastAsia="仿宋" w:cs="仿宋"/>
          <w:b/>
          <w:color w:val="auto"/>
          <w:sz w:val="24"/>
          <w:szCs w:val="24"/>
        </w:rPr>
      </w:pPr>
    </w:p>
    <w:p w14:paraId="5B132FED">
      <w:pPr>
        <w:spacing w:line="360" w:lineRule="auto"/>
        <w:outlineLvl w:val="9"/>
        <w:rPr>
          <w:rFonts w:ascii="仿宋" w:hAnsi="仿宋" w:eastAsia="仿宋" w:cs="仿宋"/>
          <w:b/>
          <w:color w:val="auto"/>
          <w:sz w:val="24"/>
          <w:szCs w:val="24"/>
        </w:rPr>
      </w:pPr>
      <w:r>
        <w:rPr>
          <w:rFonts w:hint="eastAsia" w:ascii="仿宋" w:hAnsi="仿宋" w:eastAsia="仿宋" w:cs="仿宋"/>
          <w:b/>
          <w:color w:val="auto"/>
          <w:sz w:val="24"/>
          <w:szCs w:val="24"/>
          <w:lang w:eastAsia="zh-CN"/>
        </w:rPr>
        <w:t>法定代表人（负责人）</w:t>
      </w:r>
      <w:r>
        <w:rPr>
          <w:rFonts w:hint="eastAsia" w:ascii="仿宋" w:hAnsi="仿宋" w:eastAsia="仿宋" w:cs="仿宋"/>
          <w:b/>
          <w:color w:val="auto"/>
          <w:sz w:val="24"/>
          <w:szCs w:val="24"/>
        </w:rPr>
        <w:t>身份证复印件：</w:t>
      </w:r>
    </w:p>
    <w:p w14:paraId="6AD88A01">
      <w:pPr>
        <w:spacing w:line="360" w:lineRule="auto"/>
        <w:outlineLvl w:val="9"/>
        <w:rPr>
          <w:rFonts w:ascii="仿宋" w:hAnsi="仿宋" w:eastAsia="仿宋" w:cs="仿宋"/>
          <w:b/>
          <w:color w:val="auto"/>
          <w:sz w:val="24"/>
          <w:szCs w:val="24"/>
        </w:rPr>
      </w:pPr>
    </w:p>
    <w:p w14:paraId="5CF3134E">
      <w:pPr>
        <w:spacing w:line="360" w:lineRule="auto"/>
        <w:outlineLvl w:val="9"/>
        <w:rPr>
          <w:rFonts w:ascii="仿宋" w:hAnsi="仿宋" w:eastAsia="仿宋" w:cs="仿宋"/>
          <w:b/>
          <w:color w:val="auto"/>
          <w:sz w:val="24"/>
          <w:szCs w:val="24"/>
        </w:rPr>
      </w:pPr>
      <w:r>
        <w:rPr>
          <w:rFonts w:hint="eastAsia" w:ascii="仿宋" w:hAnsi="仿宋" w:eastAsia="仿宋" w:cs="仿宋"/>
          <w:b/>
          <w:color w:val="auto"/>
          <w:sz w:val="24"/>
          <w:szCs w:val="24"/>
        </w:rPr>
        <w:t>授权</w:t>
      </w:r>
      <w:r>
        <w:rPr>
          <w:rFonts w:hint="eastAsia" w:ascii="仿宋" w:hAnsi="仿宋" w:eastAsia="仿宋" w:cs="仿宋"/>
          <w:b/>
          <w:color w:val="auto"/>
          <w:sz w:val="24"/>
          <w:szCs w:val="24"/>
          <w:lang w:val="en-US" w:eastAsia="zh-CN"/>
        </w:rPr>
        <w:t>代表</w:t>
      </w:r>
      <w:r>
        <w:rPr>
          <w:rFonts w:hint="eastAsia" w:ascii="仿宋" w:hAnsi="仿宋" w:eastAsia="仿宋" w:cs="仿宋"/>
          <w:b/>
          <w:color w:val="auto"/>
          <w:sz w:val="24"/>
          <w:szCs w:val="24"/>
        </w:rPr>
        <w:t>身份证复印件：</w:t>
      </w:r>
    </w:p>
    <w:p w14:paraId="3526C340">
      <w:pPr>
        <w:outlineLvl w:val="9"/>
        <w:rPr>
          <w:color w:val="auto"/>
        </w:rPr>
        <w:sectPr>
          <w:pgSz w:w="11906" w:h="16838"/>
          <w:pgMar w:top="1440" w:right="1800" w:bottom="1440" w:left="1800" w:header="851" w:footer="992" w:gutter="0"/>
          <w:pgNumType w:fmt="decimal"/>
          <w:cols w:space="425" w:num="1"/>
          <w:docGrid w:type="lines" w:linePitch="312" w:charSpace="0"/>
        </w:sectPr>
      </w:pPr>
    </w:p>
    <w:p w14:paraId="793DED06">
      <w:pPr>
        <w:numPr>
          <w:ilvl w:val="0"/>
          <w:numId w:val="3"/>
        </w:numPr>
        <w:adjustRightInd w:val="0"/>
        <w:jc w:val="center"/>
        <w:textAlignment w:val="baseline"/>
        <w:outlineLvl w:val="9"/>
        <w:rPr>
          <w:rFonts w:ascii="仿宋" w:hAnsi="仿宋" w:eastAsia="仿宋" w:cs="仿宋"/>
          <w:bCs/>
          <w:color w:val="auto"/>
          <w:sz w:val="28"/>
          <w:szCs w:val="28"/>
        </w:rPr>
      </w:pPr>
      <w:r>
        <w:rPr>
          <w:rFonts w:hint="eastAsia" w:ascii="仿宋" w:hAnsi="仿宋" w:eastAsia="仿宋" w:cs="仿宋"/>
          <w:bCs/>
          <w:color w:val="auto"/>
          <w:sz w:val="28"/>
          <w:szCs w:val="28"/>
        </w:rPr>
        <w:t>有效期内的营业执照（或事业法人登记证书</w:t>
      </w:r>
      <w:r>
        <w:rPr>
          <w:rFonts w:hint="eastAsia" w:ascii="仿宋" w:hAnsi="仿宋" w:eastAsia="仿宋" w:cs="仿宋"/>
          <w:bCs/>
          <w:color w:val="auto"/>
          <w:sz w:val="28"/>
          <w:szCs w:val="28"/>
          <w:lang w:eastAsia="zh-CN"/>
        </w:rPr>
        <w:t>或其他</w:t>
      </w:r>
      <w:r>
        <w:rPr>
          <w:rFonts w:hint="eastAsia" w:ascii="仿宋" w:hAnsi="仿宋" w:eastAsia="仿宋" w:cs="仿宋"/>
          <w:bCs/>
          <w:color w:val="auto"/>
          <w:sz w:val="28"/>
          <w:szCs w:val="28"/>
        </w:rPr>
        <w:t>工商等登记证明材料）扫描件</w:t>
      </w:r>
    </w:p>
    <w:p w14:paraId="63DA0B79">
      <w:pPr>
        <w:bidi w:val="0"/>
        <w:rPr>
          <w:rFonts w:ascii="Times New Roman" w:hAnsi="Times New Roman" w:eastAsia="宋体" w:cs="Times New Roman"/>
          <w:kern w:val="2"/>
          <w:sz w:val="21"/>
          <w:lang w:val="en-US" w:eastAsia="zh-CN" w:bidi="ar-SA"/>
        </w:rPr>
      </w:pPr>
    </w:p>
    <w:p w14:paraId="4C6403E9">
      <w:pPr>
        <w:bidi w:val="0"/>
        <w:rPr>
          <w:lang w:val="en-US" w:eastAsia="zh-CN"/>
        </w:rPr>
      </w:pPr>
    </w:p>
    <w:p w14:paraId="291213BB">
      <w:pPr>
        <w:bidi w:val="0"/>
        <w:rPr>
          <w:lang w:val="en-US" w:eastAsia="zh-CN"/>
        </w:rPr>
      </w:pPr>
    </w:p>
    <w:p w14:paraId="6EB85620">
      <w:pPr>
        <w:bidi w:val="0"/>
        <w:rPr>
          <w:lang w:val="en-US" w:eastAsia="zh-CN"/>
        </w:rPr>
      </w:pPr>
    </w:p>
    <w:p w14:paraId="297F0C9A">
      <w:pPr>
        <w:numPr>
          <w:ilvl w:val="0"/>
          <w:numId w:val="0"/>
        </w:numPr>
        <w:adjustRightInd w:val="0"/>
        <w:jc w:val="both"/>
        <w:textAlignment w:val="baseline"/>
        <w:outlineLvl w:val="9"/>
        <w:rPr>
          <w:rFonts w:hint="eastAsia" w:ascii="仿宋" w:hAnsi="仿宋" w:eastAsia="仿宋" w:cs="仿宋"/>
          <w:bCs/>
          <w:color w:val="auto"/>
          <w:sz w:val="28"/>
          <w:szCs w:val="28"/>
          <w:highlight w:val="none"/>
          <w:lang w:val="en-US" w:eastAsia="zh-CN"/>
        </w:rPr>
      </w:pPr>
      <w:r>
        <w:rPr>
          <w:rFonts w:hint="eastAsia" w:ascii="仿宋" w:hAnsi="仿宋" w:eastAsia="仿宋" w:cs="仿宋"/>
          <w:bCs/>
          <w:color w:val="auto"/>
          <w:sz w:val="28"/>
          <w:szCs w:val="28"/>
          <w:highlight w:val="none"/>
          <w:lang w:val="en-US" w:eastAsia="zh-CN"/>
        </w:rPr>
        <w:t>5.</w:t>
      </w:r>
      <w:r>
        <w:rPr>
          <w:rFonts w:hint="eastAsia" w:ascii="仿宋" w:hAnsi="仿宋" w:eastAsia="仿宋" w:cs="仿宋"/>
          <w:bCs/>
          <w:color w:val="auto"/>
          <w:sz w:val="28"/>
          <w:szCs w:val="28"/>
          <w:highlight w:val="none"/>
          <w:lang w:eastAsia="zh-CN"/>
        </w:rPr>
        <w:t>投标人</w:t>
      </w:r>
      <w:r>
        <w:rPr>
          <w:rFonts w:hint="eastAsia" w:ascii="仿宋" w:hAnsi="仿宋" w:eastAsia="仿宋" w:cs="仿宋"/>
          <w:bCs/>
          <w:color w:val="auto"/>
          <w:sz w:val="28"/>
          <w:szCs w:val="28"/>
          <w:highlight w:val="none"/>
        </w:rPr>
        <w:t>须具有有效的《道路运输许可证》</w:t>
      </w:r>
    </w:p>
    <w:p w14:paraId="74CBF876">
      <w:pPr>
        <w:bidi w:val="0"/>
        <w:rPr>
          <w:lang w:val="en-US" w:eastAsia="zh-CN"/>
        </w:rPr>
      </w:pPr>
    </w:p>
    <w:p w14:paraId="3E74DC66">
      <w:pPr>
        <w:bidi w:val="0"/>
        <w:rPr>
          <w:lang w:val="en-US" w:eastAsia="zh-CN"/>
        </w:rPr>
      </w:pPr>
    </w:p>
    <w:p w14:paraId="13300282">
      <w:pPr>
        <w:bidi w:val="0"/>
        <w:rPr>
          <w:lang w:val="en-US" w:eastAsia="zh-CN"/>
        </w:rPr>
      </w:pPr>
    </w:p>
    <w:p w14:paraId="5F12B97C">
      <w:pPr>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val="en-US" w:eastAsia="zh-CN"/>
        </w:rPr>
        <w:br w:type="page"/>
      </w:r>
    </w:p>
    <w:p w14:paraId="63219C73">
      <w:pPr>
        <w:adjustRightInd w:val="0"/>
        <w:jc w:val="center"/>
        <w:textAlignment w:val="baseline"/>
        <w:outlineLvl w:val="9"/>
        <w:rPr>
          <w:rFonts w:ascii="仿宋" w:hAnsi="仿宋" w:eastAsia="仿宋" w:cs="仿宋"/>
          <w:b/>
          <w:color w:val="auto"/>
          <w:sz w:val="32"/>
          <w:szCs w:val="32"/>
        </w:rPr>
      </w:pPr>
      <w:r>
        <w:rPr>
          <w:rFonts w:hint="eastAsia" w:ascii="仿宋" w:hAnsi="仿宋" w:eastAsia="仿宋" w:cs="仿宋"/>
          <w:bCs/>
          <w:color w:val="auto"/>
          <w:sz w:val="28"/>
          <w:szCs w:val="28"/>
          <w:lang w:val="en-US" w:eastAsia="zh-CN"/>
        </w:rPr>
        <w:t>6</w:t>
      </w:r>
      <w:r>
        <w:rPr>
          <w:rFonts w:hint="eastAsia" w:ascii="仿宋" w:hAnsi="仿宋" w:eastAsia="仿宋" w:cs="仿宋"/>
          <w:bCs/>
          <w:color w:val="auto"/>
          <w:sz w:val="28"/>
          <w:szCs w:val="28"/>
        </w:rPr>
        <w:t>.符合参加国企采购活动应当具备的一般条件的承诺函</w:t>
      </w:r>
    </w:p>
    <w:p w14:paraId="4D98D219">
      <w:pPr>
        <w:spacing w:line="360" w:lineRule="auto"/>
        <w:outlineLvl w:val="9"/>
        <w:rPr>
          <w:rFonts w:ascii="仿宋" w:hAnsi="仿宋" w:eastAsia="仿宋" w:cs="仿宋"/>
          <w:color w:val="auto"/>
        </w:rPr>
      </w:pPr>
    </w:p>
    <w:p w14:paraId="611D9CFC">
      <w:pPr>
        <w:spacing w:line="360" w:lineRule="auto"/>
        <w:outlineLvl w:val="9"/>
        <w:rPr>
          <w:rFonts w:ascii="仿宋" w:hAnsi="仿宋" w:eastAsia="仿宋" w:cs="仿宋"/>
          <w:color w:val="auto"/>
          <w:sz w:val="24"/>
          <w:szCs w:val="24"/>
        </w:rPr>
      </w:pPr>
      <w:r>
        <w:rPr>
          <w:rFonts w:hint="eastAsia" w:ascii="仿宋" w:hAnsi="仿宋" w:eastAsia="仿宋" w:cs="仿宋"/>
          <w:color w:val="auto"/>
          <w:sz w:val="24"/>
          <w:szCs w:val="24"/>
        </w:rPr>
        <w:t>致：</w:t>
      </w:r>
      <w:r>
        <w:rPr>
          <w:rFonts w:hint="eastAsia" w:ascii="仿宋" w:hAnsi="仿宋" w:eastAsia="仿宋" w:cs="仿宋"/>
          <w:bCs/>
          <w:color w:val="auto"/>
          <w:kern w:val="0"/>
          <w:sz w:val="24"/>
          <w:szCs w:val="24"/>
          <w:u w:val="single"/>
        </w:rPr>
        <w:t xml:space="preserve">    </w:t>
      </w:r>
      <w:r>
        <w:rPr>
          <w:rFonts w:hint="eastAsia" w:ascii="仿宋" w:hAnsi="仿宋" w:eastAsia="仿宋" w:cs="仿宋"/>
          <w:bCs/>
          <w:color w:val="auto"/>
          <w:kern w:val="0"/>
          <w:sz w:val="24"/>
          <w:szCs w:val="24"/>
          <w:u w:val="single"/>
          <w:lang w:val="en-US" w:eastAsia="zh-CN"/>
        </w:rPr>
        <w:t xml:space="preserve">    </w:t>
      </w:r>
      <w:r>
        <w:rPr>
          <w:rFonts w:hint="eastAsia" w:ascii="仿宋" w:hAnsi="仿宋" w:eastAsia="仿宋" w:cs="仿宋"/>
          <w:bCs/>
          <w:color w:val="auto"/>
          <w:kern w:val="0"/>
          <w:sz w:val="24"/>
          <w:szCs w:val="24"/>
          <w:u w:val="single"/>
        </w:rPr>
        <w:t xml:space="preserve">     </w:t>
      </w:r>
      <w:r>
        <w:rPr>
          <w:rFonts w:hint="eastAsia" w:ascii="仿宋" w:hAnsi="仿宋" w:eastAsia="仿宋" w:cs="仿宋"/>
          <w:bCs/>
          <w:color w:val="auto"/>
          <w:kern w:val="0"/>
          <w:sz w:val="24"/>
          <w:szCs w:val="24"/>
          <w:lang w:val="zh-CN"/>
        </w:rPr>
        <w:t>（招标人）</w:t>
      </w:r>
    </w:p>
    <w:p w14:paraId="4A929049">
      <w:pPr>
        <w:pStyle w:val="19"/>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t>我方参加</w:t>
      </w:r>
      <w:r>
        <w:rPr>
          <w:rFonts w:hint="eastAsia" w:ascii="仿宋" w:hAnsi="仿宋" w:eastAsia="仿宋" w:cs="仿宋"/>
          <w:color w:val="auto"/>
          <w:sz w:val="24"/>
          <w:szCs w:val="24"/>
          <w:u w:val="single"/>
        </w:rPr>
        <w:t xml:space="preserve">       项目名称（项目编号：    ）</w:t>
      </w:r>
      <w:r>
        <w:rPr>
          <w:rFonts w:hint="eastAsia" w:ascii="仿宋" w:hAnsi="仿宋" w:eastAsia="仿宋" w:cs="仿宋"/>
          <w:color w:val="auto"/>
          <w:sz w:val="24"/>
          <w:szCs w:val="24"/>
        </w:rPr>
        <w:t>采购活动，郑重承诺：</w:t>
      </w:r>
    </w:p>
    <w:p w14:paraId="36C96A26">
      <w:pPr>
        <w:spacing w:line="360" w:lineRule="auto"/>
        <w:ind w:firstLine="480" w:firstLineChars="200"/>
        <w:outlineLvl w:val="9"/>
        <w:rPr>
          <w:rFonts w:ascii="仿宋" w:hAnsi="仿宋" w:eastAsia="仿宋" w:cs="仿宋"/>
          <w:color w:val="auto"/>
          <w:sz w:val="24"/>
          <w:szCs w:val="24"/>
        </w:rPr>
      </w:pPr>
      <w:bookmarkStart w:id="120" w:name="_Toc11246"/>
      <w:bookmarkStart w:id="121" w:name="_Toc41"/>
      <w:bookmarkStart w:id="122" w:name="_Toc720"/>
      <w:bookmarkStart w:id="123" w:name="_Toc27259"/>
      <w:bookmarkStart w:id="124" w:name="_Toc26842"/>
      <w:bookmarkStart w:id="125" w:name="_Toc21843"/>
      <w:bookmarkStart w:id="126" w:name="_Toc11593"/>
      <w:bookmarkStart w:id="127" w:name="_Toc10062"/>
      <w:bookmarkStart w:id="128" w:name="_Toc7663"/>
      <w:bookmarkStart w:id="129" w:name="_Toc6784"/>
      <w:r>
        <w:rPr>
          <w:rFonts w:hint="eastAsia" w:ascii="仿宋" w:hAnsi="仿宋" w:eastAsia="仿宋" w:cs="仿宋"/>
          <w:color w:val="auto"/>
          <w:sz w:val="24"/>
          <w:szCs w:val="24"/>
        </w:rPr>
        <w:t>一、</w:t>
      </w:r>
      <w:bookmarkEnd w:id="120"/>
      <w:bookmarkEnd w:id="121"/>
      <w:bookmarkEnd w:id="122"/>
      <w:bookmarkEnd w:id="123"/>
      <w:bookmarkEnd w:id="124"/>
      <w:bookmarkEnd w:id="125"/>
      <w:bookmarkEnd w:id="126"/>
      <w:r>
        <w:rPr>
          <w:rFonts w:hint="eastAsia" w:ascii="仿宋" w:hAnsi="仿宋" w:eastAsia="仿宋" w:cs="仿宋"/>
          <w:color w:val="auto"/>
          <w:sz w:val="24"/>
          <w:szCs w:val="24"/>
          <w:lang w:val="zh-CN"/>
        </w:rPr>
        <w:t>符合《</w:t>
      </w:r>
      <w:r>
        <w:rPr>
          <w:rFonts w:hint="eastAsia" w:ascii="仿宋" w:hAnsi="仿宋" w:eastAsia="仿宋" w:cs="仿宋"/>
          <w:color w:val="auto"/>
          <w:sz w:val="24"/>
          <w:szCs w:val="24"/>
        </w:rPr>
        <w:t>衢州市国有企业采购管理办法（试行）</w:t>
      </w:r>
      <w:r>
        <w:rPr>
          <w:rFonts w:hint="eastAsia" w:ascii="仿宋" w:hAnsi="仿宋" w:eastAsia="仿宋" w:cs="仿宋"/>
          <w:color w:val="auto"/>
          <w:sz w:val="24"/>
          <w:szCs w:val="24"/>
          <w:lang w:val="zh-CN"/>
        </w:rPr>
        <w:t>》第</w:t>
      </w:r>
      <w:r>
        <w:rPr>
          <w:rFonts w:hint="eastAsia" w:ascii="仿宋" w:hAnsi="仿宋" w:eastAsia="仿宋" w:cs="仿宋"/>
          <w:color w:val="auto"/>
          <w:sz w:val="24"/>
          <w:szCs w:val="24"/>
        </w:rPr>
        <w:t>十五</w:t>
      </w:r>
      <w:r>
        <w:rPr>
          <w:rFonts w:hint="eastAsia" w:ascii="仿宋" w:hAnsi="仿宋" w:eastAsia="仿宋" w:cs="仿宋"/>
          <w:color w:val="auto"/>
          <w:sz w:val="24"/>
          <w:szCs w:val="24"/>
          <w:lang w:val="zh-CN"/>
        </w:rPr>
        <w:t>条</w:t>
      </w:r>
      <w:r>
        <w:rPr>
          <w:rFonts w:hint="eastAsia" w:ascii="仿宋" w:hAnsi="仿宋" w:eastAsia="仿宋" w:cs="仿宋"/>
          <w:color w:val="auto"/>
          <w:sz w:val="24"/>
          <w:szCs w:val="24"/>
        </w:rPr>
        <w:t>规定：</w:t>
      </w:r>
      <w:bookmarkEnd w:id="127"/>
      <w:bookmarkEnd w:id="128"/>
      <w:bookmarkEnd w:id="129"/>
    </w:p>
    <w:p w14:paraId="73E23791">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1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⑴</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具有独立承担民事责任的能力；</w:t>
      </w:r>
    </w:p>
    <w:p w14:paraId="6EE06A02">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2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⑵</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具有良好的商业信誉和健全的财务会计制度；</w:t>
      </w:r>
    </w:p>
    <w:p w14:paraId="713ECEAD">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3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⑶</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具有履行合同所必需的设备、技术和售后保障等能力；</w:t>
      </w:r>
    </w:p>
    <w:p w14:paraId="28B9108D">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4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⑷</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有依法缴纳税收和社会保障资金的良好记录；</w:t>
      </w:r>
    </w:p>
    <w:p w14:paraId="0D734AF8">
      <w:pPr>
        <w:spacing w:line="360" w:lineRule="auto"/>
        <w:ind w:firstLine="480" w:firstLineChars="20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5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⑸</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参加采购、招投标等活动前3年内，在经营活动中没有重大违法记录和行贿犯罪记录；</w:t>
      </w:r>
    </w:p>
    <w:p w14:paraId="593E157C">
      <w:pPr>
        <w:pStyle w:val="19"/>
        <w:spacing w:line="360" w:lineRule="auto"/>
        <w:ind w:firstLine="480"/>
        <w:outlineLvl w:val="9"/>
        <w:rPr>
          <w:rFonts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 6 \* GB2 \* MERGEFORMAT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⑹</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具有法律法规和规范性文件规定的其他条件。</w:t>
      </w:r>
    </w:p>
    <w:p w14:paraId="5C89AE2C">
      <w:pPr>
        <w:pStyle w:val="19"/>
        <w:spacing w:line="360" w:lineRule="auto"/>
        <w:ind w:firstLine="480"/>
        <w:outlineLvl w:val="9"/>
        <w:rPr>
          <w:rFonts w:ascii="仿宋" w:hAnsi="仿宋" w:eastAsia="仿宋" w:cs="仿宋"/>
          <w:color w:val="auto"/>
          <w:sz w:val="24"/>
          <w:szCs w:val="24"/>
        </w:rPr>
      </w:pPr>
      <w:r>
        <w:rPr>
          <w:rFonts w:hint="eastAsia" w:ascii="仿宋" w:hAnsi="仿宋" w:eastAsia="仿宋" w:cs="仿宋"/>
          <w:color w:val="auto"/>
          <w:sz w:val="24"/>
          <w:szCs w:val="24"/>
        </w:rPr>
        <w:t>二、未被“信用中国”（www.creditchina.gov.cn）、中国政府采购网（www.ccgp.gov.cn）列入失信被执行人、重大税收违法案件当事人名单、采购严重违法失信行为记录名单。</w:t>
      </w:r>
    </w:p>
    <w:p w14:paraId="59EE8625">
      <w:pPr>
        <w:pStyle w:val="19"/>
        <w:spacing w:line="360" w:lineRule="auto"/>
        <w:ind w:firstLine="480"/>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三、我方</w:t>
      </w:r>
      <w:r>
        <w:rPr>
          <w:rFonts w:hint="eastAsia" w:ascii="仿宋" w:hAnsi="仿宋" w:eastAsia="仿宋" w:cs="仿宋"/>
          <w:color w:val="auto"/>
          <w:sz w:val="24"/>
          <w:szCs w:val="24"/>
        </w:rPr>
        <w:t>自投标截止时间前三年内无行贿犯罪记录（以中国裁判文书网（网址：</w:t>
      </w:r>
      <w:r>
        <w:rPr>
          <w:rFonts w:hint="eastAsia" w:ascii="仿宋" w:hAnsi="仿宋" w:eastAsia="仿宋" w:cs="仿宋"/>
          <w:color w:val="auto"/>
          <w:sz w:val="24"/>
          <w:szCs w:val="24"/>
          <w:u w:val="none"/>
        </w:rPr>
        <w:t>http://wenshu.court.gov.cn/）查询到的行贿判决书为准）。</w:t>
      </w:r>
    </w:p>
    <w:p w14:paraId="6ED6830E">
      <w:pPr>
        <w:pStyle w:val="19"/>
        <w:spacing w:line="360" w:lineRule="auto"/>
        <w:ind w:firstLine="480"/>
        <w:outlineLvl w:val="9"/>
        <w:rPr>
          <w:rFonts w:ascii="仿宋" w:hAnsi="仿宋" w:eastAsia="仿宋" w:cs="仿宋"/>
          <w:color w:val="auto"/>
          <w:sz w:val="24"/>
          <w:szCs w:val="24"/>
        </w:rPr>
      </w:pPr>
      <w:r>
        <w:rPr>
          <w:rFonts w:hint="eastAsia" w:ascii="仿宋" w:hAnsi="仿宋" w:eastAsia="仿宋" w:cs="仿宋"/>
          <w:color w:val="auto"/>
          <w:sz w:val="24"/>
          <w:szCs w:val="24"/>
          <w:lang w:val="en-US" w:eastAsia="zh-CN"/>
        </w:rPr>
        <w:t>四</w:t>
      </w:r>
      <w:r>
        <w:rPr>
          <w:rFonts w:hint="eastAsia" w:ascii="仿宋" w:hAnsi="仿宋" w:eastAsia="仿宋" w:cs="仿宋"/>
          <w:color w:val="auto"/>
          <w:sz w:val="24"/>
          <w:szCs w:val="24"/>
        </w:rPr>
        <w:t>、没有下列情形：</w:t>
      </w:r>
    </w:p>
    <w:p w14:paraId="0DDD400B">
      <w:pPr>
        <w:pStyle w:val="19"/>
        <w:spacing w:line="360" w:lineRule="auto"/>
        <w:ind w:firstLine="480"/>
        <w:outlineLvl w:val="9"/>
        <w:rPr>
          <w:rFonts w:ascii="仿宋" w:hAnsi="仿宋" w:eastAsia="仿宋" w:cs="仿宋"/>
          <w:color w:val="auto"/>
          <w:sz w:val="24"/>
          <w:szCs w:val="24"/>
        </w:rPr>
      </w:pPr>
      <w:r>
        <w:rPr>
          <w:rFonts w:hint="eastAsia" w:ascii="仿宋" w:hAnsi="仿宋" w:eastAsia="仿宋" w:cs="仿宋"/>
          <w:color w:val="auto"/>
          <w:sz w:val="24"/>
          <w:szCs w:val="24"/>
        </w:rPr>
        <w:t>单位负责人为同一人或者存在直接控股、管理关系的不同投标人参加同一合同项下的采购活动。</w:t>
      </w:r>
    </w:p>
    <w:p w14:paraId="40E34519">
      <w:pPr>
        <w:pStyle w:val="19"/>
        <w:spacing w:line="360" w:lineRule="auto"/>
        <w:ind w:firstLine="480"/>
        <w:outlineLvl w:val="9"/>
        <w:rPr>
          <w:rFonts w:ascii="仿宋" w:hAnsi="仿宋" w:eastAsia="仿宋" w:cs="仿宋"/>
          <w:color w:val="auto"/>
          <w:sz w:val="24"/>
          <w:szCs w:val="24"/>
        </w:rPr>
      </w:pPr>
      <w:r>
        <w:rPr>
          <w:rFonts w:hint="eastAsia" w:ascii="仿宋" w:hAnsi="仿宋" w:eastAsia="仿宋" w:cs="仿宋"/>
          <w:color w:val="auto"/>
          <w:sz w:val="24"/>
          <w:szCs w:val="24"/>
        </w:rPr>
        <w:t>我方对上述承诺的内容事项真实性负责，如有虚假，由我方承担相关法律责任。</w:t>
      </w:r>
    </w:p>
    <w:p w14:paraId="4A28F1FD">
      <w:pPr>
        <w:spacing w:line="360" w:lineRule="auto"/>
        <w:ind w:firstLine="4320" w:firstLineChars="1800"/>
        <w:outlineLvl w:val="9"/>
        <w:rPr>
          <w:rFonts w:ascii="仿宋" w:hAnsi="仿宋" w:eastAsia="仿宋" w:cs="仿宋"/>
          <w:color w:val="auto"/>
          <w:sz w:val="24"/>
          <w:szCs w:val="24"/>
        </w:rPr>
      </w:pPr>
    </w:p>
    <w:p w14:paraId="285183A7">
      <w:pPr>
        <w:keepNext w:val="0"/>
        <w:keepLines w:val="0"/>
        <w:pageBreakBefore w:val="0"/>
        <w:widowControl w:val="0"/>
        <w:kinsoku/>
        <w:wordWrap/>
        <w:overflowPunct/>
        <w:topLinePunct w:val="0"/>
        <w:bidi w:val="0"/>
        <w:snapToGrid w:val="0"/>
        <w:spacing w:line="360" w:lineRule="auto"/>
        <w:ind w:right="-817" w:rightChars="-389"/>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投标人名称：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盖章</w:t>
      </w:r>
      <w:r>
        <w:rPr>
          <w:rFonts w:hint="eastAsia" w:ascii="仿宋" w:hAnsi="仿宋" w:eastAsia="仿宋" w:cs="仿宋"/>
          <w:color w:val="auto"/>
          <w:sz w:val="24"/>
          <w:szCs w:val="24"/>
          <w:highlight w:val="none"/>
          <w:u w:val="single"/>
        </w:rPr>
        <w:t>）</w:t>
      </w:r>
    </w:p>
    <w:p w14:paraId="2A5CC991">
      <w:pPr>
        <w:keepNext w:val="0"/>
        <w:keepLines w:val="0"/>
        <w:pageBreakBefore w:val="0"/>
        <w:widowControl w:val="0"/>
        <w:kinsoku/>
        <w:wordWrap/>
        <w:overflowPunct/>
        <w:topLinePunct w:val="0"/>
        <w:bidi w:val="0"/>
        <w:snapToGrid w:val="0"/>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法定代表人（负责人）</w:t>
      </w:r>
      <w:r>
        <w:rPr>
          <w:rFonts w:hint="eastAsia" w:ascii="仿宋" w:hAnsi="仿宋" w:eastAsia="仿宋" w:cs="仿宋"/>
          <w:color w:val="auto"/>
          <w:sz w:val="24"/>
          <w:szCs w:val="24"/>
          <w:highlight w:val="none"/>
        </w:rPr>
        <w:t>或授权代表：</w:t>
      </w:r>
      <w:r>
        <w:rPr>
          <w:rFonts w:hint="eastAsia" w:ascii="仿宋" w:hAnsi="仿宋" w:eastAsia="仿宋" w:cs="仿宋"/>
          <w:color w:val="auto"/>
          <w:sz w:val="24"/>
          <w:szCs w:val="24"/>
          <w:highlight w:val="none"/>
          <w:u w:val="single"/>
        </w:rPr>
        <w:t xml:space="preserve">       （签字或盖章）</w:t>
      </w:r>
    </w:p>
    <w:p w14:paraId="00C1C023">
      <w:pPr>
        <w:keepNext w:val="0"/>
        <w:keepLines w:val="0"/>
        <w:pageBreakBefore w:val="0"/>
        <w:widowControl w:val="0"/>
        <w:kinsoku/>
        <w:wordWrap/>
        <w:overflowPunct/>
        <w:topLinePunct w:val="0"/>
        <w:bidi w:val="0"/>
        <w:snapToGrid w:val="0"/>
        <w:spacing w:line="360" w:lineRule="auto"/>
        <w:ind w:right="-817" w:rightChars="-389"/>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rPr>
        <w:t xml:space="preserve">    年   月   日</w:t>
      </w:r>
    </w:p>
    <w:p w14:paraId="36A72629">
      <w:pPr>
        <w:pStyle w:val="18"/>
        <w:ind w:left="2250" w:hanging="1200"/>
        <w:outlineLvl w:val="9"/>
        <w:rPr>
          <w:color w:val="auto"/>
        </w:rPr>
        <w:sectPr>
          <w:pgSz w:w="11906" w:h="16838"/>
          <w:pgMar w:top="1440" w:right="1800" w:bottom="1440" w:left="1800" w:header="851" w:footer="992" w:gutter="0"/>
          <w:pgNumType w:fmt="decimal"/>
          <w:cols w:space="425" w:num="1"/>
          <w:docGrid w:type="lines" w:linePitch="312" w:charSpace="0"/>
        </w:sectPr>
      </w:pPr>
    </w:p>
    <w:p w14:paraId="0CE241B3">
      <w:pPr>
        <w:snapToGrid w:val="0"/>
        <w:spacing w:line="360" w:lineRule="auto"/>
        <w:jc w:val="center"/>
        <w:outlineLvl w:val="9"/>
        <w:rPr>
          <w:rFonts w:ascii="仿宋" w:hAnsi="仿宋" w:eastAsia="仿宋" w:cs="仿宋"/>
          <w:b/>
          <w:color w:val="auto"/>
          <w:sz w:val="28"/>
          <w:szCs w:val="28"/>
        </w:rPr>
      </w:pPr>
      <w:r>
        <w:rPr>
          <w:rStyle w:val="34"/>
          <w:rFonts w:hint="eastAsia" w:ascii="仿宋" w:hAnsi="仿宋" w:eastAsia="仿宋" w:cs="仿宋"/>
          <w:color w:val="auto"/>
          <w:sz w:val="28"/>
          <w:szCs w:val="28"/>
        </w:rPr>
        <w:t>二、技术商务文件封面</w:t>
      </w:r>
    </w:p>
    <w:p w14:paraId="3CA8A310">
      <w:pPr>
        <w:spacing w:line="360" w:lineRule="auto"/>
        <w:ind w:left="1800" w:leftChars="857"/>
        <w:jc w:val="right"/>
        <w:outlineLvl w:val="9"/>
        <w:rPr>
          <w:rFonts w:ascii="仿宋" w:hAnsi="仿宋" w:eastAsia="仿宋" w:cs="仿宋"/>
          <w:color w:val="auto"/>
          <w:sz w:val="28"/>
          <w:szCs w:val="28"/>
        </w:rPr>
      </w:pPr>
    </w:p>
    <w:p w14:paraId="1AA739B2">
      <w:pPr>
        <w:spacing w:line="360" w:lineRule="auto"/>
        <w:outlineLvl w:val="9"/>
        <w:rPr>
          <w:rFonts w:ascii="仿宋" w:hAnsi="仿宋" w:eastAsia="仿宋" w:cs="仿宋"/>
          <w:color w:val="auto"/>
          <w:sz w:val="28"/>
          <w:szCs w:val="28"/>
        </w:rPr>
      </w:pPr>
      <w:r>
        <w:rPr>
          <w:rFonts w:hint="eastAsia" w:ascii="仿宋" w:hAnsi="仿宋" w:eastAsia="仿宋" w:cs="仿宋"/>
          <w:color w:val="auto"/>
          <w:sz w:val="28"/>
          <w:szCs w:val="28"/>
        </w:rPr>
        <w:t xml:space="preserve">                                                </w:t>
      </w:r>
    </w:p>
    <w:p w14:paraId="2957A6CE">
      <w:pPr>
        <w:spacing w:line="360" w:lineRule="auto"/>
        <w:outlineLvl w:val="9"/>
        <w:rPr>
          <w:rFonts w:ascii="仿宋" w:hAnsi="仿宋" w:eastAsia="仿宋" w:cs="仿宋"/>
          <w:color w:val="auto"/>
          <w:sz w:val="28"/>
          <w:szCs w:val="28"/>
        </w:rPr>
      </w:pPr>
    </w:p>
    <w:p w14:paraId="5F83C64E">
      <w:pPr>
        <w:spacing w:line="360" w:lineRule="auto"/>
        <w:outlineLvl w:val="9"/>
        <w:rPr>
          <w:rFonts w:ascii="仿宋" w:hAnsi="仿宋" w:eastAsia="仿宋" w:cs="仿宋"/>
          <w:color w:val="auto"/>
          <w:sz w:val="28"/>
          <w:szCs w:val="28"/>
        </w:rPr>
      </w:pPr>
    </w:p>
    <w:p w14:paraId="2AF9B90A">
      <w:pPr>
        <w:spacing w:line="360" w:lineRule="auto"/>
        <w:outlineLvl w:val="9"/>
        <w:rPr>
          <w:rFonts w:ascii="仿宋" w:hAnsi="仿宋" w:eastAsia="仿宋" w:cs="仿宋"/>
          <w:color w:val="auto"/>
          <w:sz w:val="28"/>
          <w:szCs w:val="28"/>
        </w:rPr>
      </w:pPr>
    </w:p>
    <w:p w14:paraId="2322DAF1">
      <w:pPr>
        <w:snapToGrid w:val="0"/>
        <w:spacing w:line="360" w:lineRule="auto"/>
        <w:jc w:val="center"/>
        <w:outlineLvl w:val="9"/>
        <w:rPr>
          <w:rFonts w:ascii="仿宋" w:hAnsi="仿宋" w:eastAsia="仿宋" w:cs="仿宋"/>
          <w:color w:val="auto"/>
          <w:sz w:val="28"/>
          <w:szCs w:val="28"/>
        </w:rPr>
      </w:pPr>
      <w:r>
        <w:rPr>
          <w:rFonts w:hint="eastAsia" w:ascii="仿宋" w:hAnsi="仿宋" w:eastAsia="仿宋" w:cs="仿宋"/>
          <w:color w:val="auto"/>
          <w:sz w:val="28"/>
          <w:szCs w:val="28"/>
        </w:rPr>
        <w:t>技术商务文件</w:t>
      </w:r>
    </w:p>
    <w:p w14:paraId="613D14E9">
      <w:pPr>
        <w:snapToGrid w:val="0"/>
        <w:spacing w:line="360" w:lineRule="auto"/>
        <w:ind w:firstLine="1962" w:firstLineChars="698"/>
        <w:outlineLvl w:val="9"/>
        <w:rPr>
          <w:rFonts w:ascii="仿宋" w:hAnsi="仿宋" w:eastAsia="仿宋" w:cs="仿宋"/>
          <w:b/>
          <w:color w:val="auto"/>
          <w:sz w:val="28"/>
          <w:szCs w:val="28"/>
        </w:rPr>
      </w:pPr>
    </w:p>
    <w:p w14:paraId="3E5BD15E">
      <w:pPr>
        <w:pStyle w:val="10"/>
        <w:spacing w:line="360" w:lineRule="auto"/>
        <w:outlineLvl w:val="9"/>
        <w:rPr>
          <w:rFonts w:ascii="仿宋" w:hAnsi="仿宋" w:eastAsia="仿宋" w:cs="仿宋"/>
          <w:color w:val="auto"/>
        </w:rPr>
      </w:pPr>
    </w:p>
    <w:p w14:paraId="4D49CB5E">
      <w:pPr>
        <w:snapToGrid w:val="0"/>
        <w:spacing w:line="360" w:lineRule="auto"/>
        <w:outlineLvl w:val="9"/>
        <w:rPr>
          <w:rFonts w:ascii="仿宋" w:hAnsi="仿宋" w:eastAsia="仿宋" w:cs="仿宋"/>
          <w:color w:val="auto"/>
          <w:sz w:val="28"/>
          <w:szCs w:val="28"/>
          <w:u w:val="single"/>
        </w:rPr>
      </w:pPr>
      <w:r>
        <w:rPr>
          <w:rFonts w:hint="eastAsia" w:ascii="仿宋" w:hAnsi="仿宋" w:eastAsia="仿宋" w:cs="仿宋"/>
          <w:color w:val="auto"/>
          <w:sz w:val="28"/>
          <w:szCs w:val="28"/>
        </w:rPr>
        <w:t>项目名称：</w:t>
      </w:r>
      <w:r>
        <w:rPr>
          <w:rFonts w:hint="eastAsia" w:ascii="仿宋" w:hAnsi="仿宋" w:eastAsia="仿宋" w:cs="仿宋"/>
          <w:color w:val="auto"/>
          <w:sz w:val="28"/>
          <w:szCs w:val="28"/>
          <w:u w:val="single"/>
        </w:rPr>
        <w:t xml:space="preserve">                    </w:t>
      </w:r>
    </w:p>
    <w:p w14:paraId="616E4CC8">
      <w:pPr>
        <w:snapToGrid w:val="0"/>
        <w:spacing w:line="360" w:lineRule="auto"/>
        <w:outlineLvl w:val="9"/>
        <w:rPr>
          <w:rFonts w:ascii="仿宋" w:hAnsi="仿宋" w:eastAsia="仿宋" w:cs="仿宋"/>
          <w:color w:val="auto"/>
          <w:sz w:val="28"/>
          <w:szCs w:val="28"/>
          <w:u w:val="single"/>
        </w:rPr>
      </w:pPr>
      <w:r>
        <w:rPr>
          <w:rFonts w:hint="eastAsia" w:ascii="仿宋" w:hAnsi="仿宋" w:eastAsia="仿宋" w:cs="仿宋"/>
          <w:color w:val="auto"/>
          <w:sz w:val="28"/>
          <w:szCs w:val="28"/>
        </w:rPr>
        <w:t>项目编号：</w:t>
      </w:r>
      <w:r>
        <w:rPr>
          <w:rFonts w:hint="eastAsia" w:ascii="仿宋" w:hAnsi="仿宋" w:eastAsia="仿宋" w:cs="仿宋"/>
          <w:color w:val="auto"/>
          <w:sz w:val="28"/>
          <w:szCs w:val="28"/>
          <w:u w:val="single"/>
        </w:rPr>
        <w:t xml:space="preserve">                    </w:t>
      </w:r>
    </w:p>
    <w:p w14:paraId="3A7C166B">
      <w:pPr>
        <w:snapToGrid w:val="0"/>
        <w:spacing w:line="360" w:lineRule="auto"/>
        <w:outlineLvl w:val="9"/>
        <w:rPr>
          <w:rFonts w:ascii="仿宋" w:hAnsi="仿宋" w:eastAsia="仿宋" w:cs="仿宋"/>
          <w:color w:val="auto"/>
          <w:sz w:val="28"/>
          <w:szCs w:val="28"/>
        </w:rPr>
      </w:pPr>
      <w:r>
        <w:rPr>
          <w:rFonts w:hint="eastAsia" w:ascii="仿宋" w:hAnsi="仿宋" w:eastAsia="仿宋" w:cs="仿宋"/>
          <w:color w:val="auto"/>
          <w:sz w:val="28"/>
          <w:szCs w:val="28"/>
        </w:rPr>
        <w:t>投标人：</w:t>
      </w:r>
      <w:r>
        <w:rPr>
          <w:rFonts w:hint="eastAsia" w:ascii="仿宋" w:hAnsi="仿宋" w:eastAsia="仿宋" w:cs="仿宋"/>
          <w:color w:val="auto"/>
          <w:sz w:val="28"/>
          <w:szCs w:val="28"/>
          <w:u w:val="single"/>
        </w:rPr>
        <w:t xml:space="preserve">                       （盖章）</w:t>
      </w:r>
    </w:p>
    <w:p w14:paraId="2E8E5EE6">
      <w:pPr>
        <w:snapToGrid w:val="0"/>
        <w:spacing w:line="360" w:lineRule="auto"/>
        <w:outlineLvl w:val="9"/>
        <w:rPr>
          <w:rFonts w:ascii="仿宋" w:hAnsi="仿宋" w:eastAsia="仿宋" w:cs="仿宋"/>
          <w:color w:val="auto"/>
          <w:sz w:val="28"/>
          <w:szCs w:val="28"/>
        </w:rPr>
      </w:pPr>
      <w:r>
        <w:rPr>
          <w:rFonts w:hint="eastAsia" w:ascii="仿宋" w:hAnsi="仿宋" w:eastAsia="仿宋" w:cs="仿宋"/>
          <w:color w:val="auto"/>
          <w:sz w:val="28"/>
          <w:szCs w:val="28"/>
        </w:rPr>
        <w:t>日期：</w:t>
      </w:r>
      <w:r>
        <w:rPr>
          <w:rFonts w:hint="eastAsia" w:ascii="仿宋" w:hAnsi="仿宋" w:eastAsia="仿宋" w:cs="仿宋"/>
          <w:color w:val="auto"/>
          <w:sz w:val="28"/>
          <w:szCs w:val="28"/>
          <w:u w:val="single"/>
        </w:rPr>
        <w:t xml:space="preserve">    年   月   日</w:t>
      </w:r>
    </w:p>
    <w:p w14:paraId="16360AD4">
      <w:pPr>
        <w:snapToGrid w:val="0"/>
        <w:spacing w:line="360" w:lineRule="auto"/>
        <w:jc w:val="center"/>
        <w:outlineLvl w:val="9"/>
        <w:rPr>
          <w:rFonts w:ascii="仿宋" w:hAnsi="仿宋" w:eastAsia="仿宋" w:cs="仿宋"/>
          <w:color w:val="auto"/>
          <w:sz w:val="28"/>
          <w:szCs w:val="28"/>
        </w:rPr>
        <w:sectPr>
          <w:pgSz w:w="11922" w:h="16838"/>
          <w:pgMar w:top="1417" w:right="1304" w:bottom="1417" w:left="1304" w:header="397" w:footer="1037" w:gutter="0"/>
          <w:pgNumType w:fmt="decimal"/>
          <w:cols w:space="0" w:num="1"/>
          <w:docGrid w:linePitch="312" w:charSpace="0"/>
        </w:sectPr>
      </w:pPr>
    </w:p>
    <w:p w14:paraId="22633B13">
      <w:pPr>
        <w:adjustRightInd w:val="0"/>
        <w:spacing w:line="360" w:lineRule="auto"/>
        <w:jc w:val="center"/>
        <w:textAlignment w:val="baseline"/>
        <w:outlineLvl w:val="9"/>
        <w:rPr>
          <w:rFonts w:ascii="仿宋" w:hAnsi="仿宋" w:eastAsia="仿宋" w:cs="仿宋"/>
          <w:color w:val="auto"/>
          <w:sz w:val="28"/>
          <w:szCs w:val="28"/>
        </w:rPr>
      </w:pPr>
      <w:bookmarkStart w:id="130" w:name="_Toc9300"/>
      <w:bookmarkStart w:id="131" w:name="_Toc12567"/>
      <w:bookmarkStart w:id="132" w:name="_Toc208"/>
      <w:r>
        <w:rPr>
          <w:rFonts w:hint="eastAsia" w:ascii="仿宋" w:hAnsi="仿宋" w:eastAsia="仿宋" w:cs="仿宋"/>
          <w:bCs/>
          <w:color w:val="auto"/>
          <w:sz w:val="28"/>
          <w:szCs w:val="28"/>
        </w:rPr>
        <w:t>1. 评分索引表</w:t>
      </w:r>
      <w:bookmarkEnd w:id="130"/>
      <w:bookmarkEnd w:id="131"/>
      <w:bookmarkEnd w:id="132"/>
    </w:p>
    <w:tbl>
      <w:tblPr>
        <w:tblStyle w:val="23"/>
        <w:tblW w:w="91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5206"/>
        <w:gridCol w:w="976"/>
        <w:gridCol w:w="1249"/>
        <w:gridCol w:w="585"/>
      </w:tblGrid>
      <w:tr w14:paraId="0D49E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5" w:hRule="atLeast"/>
          <w:jc w:val="center"/>
        </w:trPr>
        <w:tc>
          <w:tcPr>
            <w:tcW w:w="1101" w:type="dxa"/>
            <w:tcBorders>
              <w:top w:val="single" w:color="auto" w:sz="4" w:space="0"/>
              <w:left w:val="single" w:color="auto" w:sz="4" w:space="0"/>
              <w:bottom w:val="single" w:color="auto" w:sz="4" w:space="0"/>
              <w:right w:val="single" w:color="auto" w:sz="4" w:space="0"/>
            </w:tcBorders>
            <w:vAlign w:val="center"/>
          </w:tcPr>
          <w:p w14:paraId="1AED2811">
            <w:pPr>
              <w:jc w:val="center"/>
              <w:outlineLvl w:val="9"/>
              <w:rPr>
                <w:rFonts w:ascii="仿宋" w:hAnsi="仿宋" w:eastAsia="仿宋" w:cs="仿宋"/>
                <w:color w:val="auto"/>
                <w:sz w:val="24"/>
                <w:szCs w:val="24"/>
              </w:rPr>
            </w:pPr>
            <w:r>
              <w:rPr>
                <w:rFonts w:hint="eastAsia" w:ascii="仿宋" w:hAnsi="仿宋" w:eastAsia="仿宋" w:cs="仿宋"/>
                <w:color w:val="auto"/>
                <w:sz w:val="24"/>
                <w:szCs w:val="24"/>
              </w:rPr>
              <w:t>评分</w:t>
            </w:r>
          </w:p>
          <w:p w14:paraId="50A31C28">
            <w:pPr>
              <w:jc w:val="center"/>
              <w:outlineLvl w:val="9"/>
              <w:rPr>
                <w:rFonts w:ascii="仿宋" w:hAnsi="仿宋" w:eastAsia="仿宋" w:cs="仿宋"/>
                <w:color w:val="auto"/>
                <w:sz w:val="24"/>
                <w:szCs w:val="24"/>
              </w:rPr>
            </w:pPr>
            <w:r>
              <w:rPr>
                <w:rFonts w:hint="eastAsia" w:ascii="仿宋" w:hAnsi="仿宋" w:eastAsia="仿宋" w:cs="仿宋"/>
                <w:color w:val="auto"/>
                <w:sz w:val="24"/>
                <w:szCs w:val="24"/>
              </w:rPr>
              <w:t>项目</w:t>
            </w:r>
          </w:p>
        </w:tc>
        <w:tc>
          <w:tcPr>
            <w:tcW w:w="5206" w:type="dxa"/>
            <w:tcBorders>
              <w:top w:val="single" w:color="auto" w:sz="4" w:space="0"/>
              <w:left w:val="single" w:color="auto" w:sz="4" w:space="0"/>
              <w:bottom w:val="single" w:color="auto" w:sz="4" w:space="0"/>
              <w:right w:val="single" w:color="auto" w:sz="4" w:space="0"/>
            </w:tcBorders>
            <w:vAlign w:val="center"/>
          </w:tcPr>
          <w:p w14:paraId="68D0E9F1">
            <w:pPr>
              <w:pStyle w:val="12"/>
              <w:adjustRightInd w:val="0"/>
              <w:snapToGrid w:val="0"/>
              <w:jc w:val="center"/>
              <w:outlineLvl w:val="9"/>
              <w:rPr>
                <w:rFonts w:ascii="仿宋" w:hAnsi="仿宋" w:eastAsia="仿宋" w:cs="仿宋"/>
                <w:color w:val="auto"/>
                <w:sz w:val="24"/>
                <w:szCs w:val="24"/>
              </w:rPr>
            </w:pPr>
            <w:r>
              <w:rPr>
                <w:rFonts w:hint="eastAsia" w:ascii="仿宋" w:hAnsi="仿宋" w:eastAsia="仿宋" w:cs="仿宋"/>
                <w:color w:val="auto"/>
                <w:sz w:val="24"/>
                <w:szCs w:val="24"/>
              </w:rPr>
              <w:t>评分内容</w:t>
            </w:r>
          </w:p>
        </w:tc>
        <w:tc>
          <w:tcPr>
            <w:tcW w:w="976" w:type="dxa"/>
            <w:tcBorders>
              <w:top w:val="single" w:color="auto" w:sz="4" w:space="0"/>
              <w:left w:val="single" w:color="auto" w:sz="4" w:space="0"/>
              <w:bottom w:val="single" w:color="auto" w:sz="4" w:space="0"/>
              <w:right w:val="single" w:color="auto" w:sz="4" w:space="0"/>
            </w:tcBorders>
            <w:vAlign w:val="center"/>
          </w:tcPr>
          <w:p w14:paraId="372115CE">
            <w:pPr>
              <w:pStyle w:val="12"/>
              <w:adjustRightInd w:val="0"/>
              <w:snapToGrid w:val="0"/>
              <w:jc w:val="center"/>
              <w:outlineLvl w:val="9"/>
              <w:rPr>
                <w:rFonts w:ascii="仿宋" w:hAnsi="仿宋" w:eastAsia="仿宋" w:cs="仿宋"/>
                <w:color w:val="auto"/>
                <w:sz w:val="24"/>
                <w:szCs w:val="24"/>
              </w:rPr>
            </w:pPr>
            <w:r>
              <w:rPr>
                <w:rFonts w:hint="eastAsia" w:ascii="仿宋" w:hAnsi="仿宋" w:eastAsia="仿宋" w:cs="仿宋"/>
                <w:color w:val="auto"/>
                <w:sz w:val="24"/>
                <w:szCs w:val="24"/>
              </w:rPr>
              <w:t>自评分</w:t>
            </w:r>
          </w:p>
        </w:tc>
        <w:tc>
          <w:tcPr>
            <w:tcW w:w="1249" w:type="dxa"/>
            <w:tcBorders>
              <w:top w:val="single" w:color="auto" w:sz="4" w:space="0"/>
              <w:left w:val="single" w:color="auto" w:sz="4" w:space="0"/>
              <w:bottom w:val="single" w:color="auto" w:sz="4" w:space="0"/>
              <w:right w:val="single" w:color="auto" w:sz="4" w:space="0"/>
            </w:tcBorders>
            <w:vAlign w:val="center"/>
          </w:tcPr>
          <w:p w14:paraId="09F53661">
            <w:pPr>
              <w:jc w:val="center"/>
              <w:outlineLvl w:val="9"/>
              <w:rPr>
                <w:rFonts w:ascii="仿宋" w:hAnsi="仿宋" w:eastAsia="仿宋" w:cs="仿宋"/>
                <w:color w:val="auto"/>
                <w:sz w:val="24"/>
                <w:szCs w:val="24"/>
              </w:rPr>
            </w:pPr>
            <w:r>
              <w:rPr>
                <w:rFonts w:hint="eastAsia" w:ascii="仿宋" w:hAnsi="仿宋" w:eastAsia="仿宋" w:cs="仿宋"/>
                <w:color w:val="auto"/>
                <w:sz w:val="24"/>
                <w:szCs w:val="24"/>
              </w:rPr>
              <w:t>资料所在页码</w:t>
            </w:r>
          </w:p>
        </w:tc>
        <w:tc>
          <w:tcPr>
            <w:tcW w:w="585" w:type="dxa"/>
            <w:tcBorders>
              <w:top w:val="single" w:color="auto" w:sz="4" w:space="0"/>
              <w:left w:val="single" w:color="auto" w:sz="4" w:space="0"/>
              <w:bottom w:val="single" w:color="auto" w:sz="4" w:space="0"/>
              <w:right w:val="single" w:color="auto" w:sz="4" w:space="0"/>
            </w:tcBorders>
            <w:vAlign w:val="center"/>
          </w:tcPr>
          <w:p w14:paraId="3E2B412E">
            <w:pPr>
              <w:jc w:val="center"/>
              <w:outlineLvl w:val="9"/>
              <w:rPr>
                <w:rFonts w:ascii="仿宋" w:hAnsi="仿宋" w:eastAsia="仿宋" w:cs="仿宋"/>
                <w:color w:val="auto"/>
                <w:sz w:val="24"/>
                <w:szCs w:val="24"/>
              </w:rPr>
            </w:pPr>
            <w:r>
              <w:rPr>
                <w:rFonts w:hint="eastAsia" w:ascii="仿宋" w:hAnsi="仿宋" w:eastAsia="仿宋" w:cs="仿宋"/>
                <w:color w:val="auto"/>
                <w:sz w:val="24"/>
                <w:szCs w:val="24"/>
              </w:rPr>
              <w:t>备注</w:t>
            </w:r>
          </w:p>
        </w:tc>
      </w:tr>
      <w:tr w14:paraId="0A70A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101" w:type="dxa"/>
            <w:tcBorders>
              <w:top w:val="single" w:color="auto" w:sz="4" w:space="0"/>
              <w:left w:val="single" w:color="auto" w:sz="4" w:space="0"/>
              <w:bottom w:val="single" w:color="auto" w:sz="4" w:space="0"/>
              <w:right w:val="single" w:color="auto" w:sz="4" w:space="0"/>
            </w:tcBorders>
            <w:vAlign w:val="center"/>
          </w:tcPr>
          <w:p w14:paraId="5B16166B">
            <w:pPr>
              <w:adjustRightInd w:val="0"/>
              <w:spacing w:line="360" w:lineRule="auto"/>
              <w:ind w:firstLine="140" w:firstLineChars="50"/>
              <w:jc w:val="center"/>
              <w:outlineLvl w:val="9"/>
              <w:rPr>
                <w:rFonts w:ascii="仿宋" w:hAnsi="仿宋" w:eastAsia="仿宋" w:cs="仿宋"/>
                <w:color w:val="auto"/>
                <w:sz w:val="28"/>
                <w:szCs w:val="28"/>
              </w:rPr>
            </w:pPr>
          </w:p>
        </w:tc>
        <w:tc>
          <w:tcPr>
            <w:tcW w:w="5206" w:type="dxa"/>
            <w:tcBorders>
              <w:top w:val="single" w:color="auto" w:sz="4" w:space="0"/>
              <w:left w:val="single" w:color="auto" w:sz="4" w:space="0"/>
              <w:bottom w:val="single" w:color="auto" w:sz="4" w:space="0"/>
              <w:right w:val="single" w:color="auto" w:sz="4" w:space="0"/>
            </w:tcBorders>
            <w:vAlign w:val="center"/>
          </w:tcPr>
          <w:p w14:paraId="5237341D">
            <w:pPr>
              <w:adjustRightInd w:val="0"/>
              <w:spacing w:line="360" w:lineRule="auto"/>
              <w:outlineLvl w:val="9"/>
              <w:rPr>
                <w:rFonts w:ascii="仿宋" w:hAnsi="仿宋" w:eastAsia="仿宋" w:cs="仿宋"/>
                <w:color w:val="auto"/>
                <w:sz w:val="28"/>
                <w:szCs w:val="28"/>
              </w:rPr>
            </w:pPr>
          </w:p>
        </w:tc>
        <w:tc>
          <w:tcPr>
            <w:tcW w:w="976" w:type="dxa"/>
            <w:tcBorders>
              <w:top w:val="single" w:color="auto" w:sz="4" w:space="0"/>
              <w:left w:val="single" w:color="auto" w:sz="4" w:space="0"/>
              <w:bottom w:val="single" w:color="auto" w:sz="4" w:space="0"/>
              <w:right w:val="single" w:color="auto" w:sz="4" w:space="0"/>
            </w:tcBorders>
            <w:vAlign w:val="center"/>
          </w:tcPr>
          <w:p w14:paraId="11CB9DED">
            <w:pPr>
              <w:adjustRightInd w:val="0"/>
              <w:spacing w:line="360" w:lineRule="auto"/>
              <w:ind w:left="-94" w:leftChars="-45" w:right="-122" w:rightChars="-58"/>
              <w:jc w:val="center"/>
              <w:outlineLvl w:val="9"/>
              <w:rPr>
                <w:rFonts w:ascii="仿宋" w:hAnsi="仿宋" w:eastAsia="仿宋" w:cs="仿宋"/>
                <w:color w:val="auto"/>
                <w:sz w:val="28"/>
                <w:szCs w:val="28"/>
              </w:rPr>
            </w:pPr>
          </w:p>
        </w:tc>
        <w:tc>
          <w:tcPr>
            <w:tcW w:w="1249" w:type="dxa"/>
            <w:tcBorders>
              <w:top w:val="single" w:color="auto" w:sz="4" w:space="0"/>
              <w:left w:val="single" w:color="auto" w:sz="4" w:space="0"/>
              <w:bottom w:val="single" w:color="auto" w:sz="4" w:space="0"/>
              <w:right w:val="single" w:color="auto" w:sz="4" w:space="0"/>
            </w:tcBorders>
            <w:vAlign w:val="center"/>
          </w:tcPr>
          <w:p w14:paraId="22F73254">
            <w:pPr>
              <w:spacing w:line="360" w:lineRule="auto"/>
              <w:jc w:val="center"/>
              <w:outlineLvl w:val="9"/>
              <w:rPr>
                <w:rFonts w:ascii="仿宋" w:hAnsi="仿宋" w:eastAsia="仿宋" w:cs="仿宋"/>
                <w:color w:val="auto"/>
                <w:sz w:val="28"/>
                <w:szCs w:val="28"/>
              </w:rPr>
            </w:pPr>
          </w:p>
        </w:tc>
        <w:tc>
          <w:tcPr>
            <w:tcW w:w="585" w:type="dxa"/>
            <w:tcBorders>
              <w:top w:val="single" w:color="auto" w:sz="4" w:space="0"/>
              <w:left w:val="single" w:color="auto" w:sz="4" w:space="0"/>
              <w:bottom w:val="single" w:color="auto" w:sz="4" w:space="0"/>
              <w:right w:val="single" w:color="auto" w:sz="4" w:space="0"/>
            </w:tcBorders>
            <w:vAlign w:val="center"/>
          </w:tcPr>
          <w:p w14:paraId="692CD268">
            <w:pPr>
              <w:spacing w:line="360" w:lineRule="auto"/>
              <w:jc w:val="center"/>
              <w:outlineLvl w:val="9"/>
              <w:rPr>
                <w:rFonts w:ascii="仿宋" w:hAnsi="仿宋" w:eastAsia="仿宋" w:cs="仿宋"/>
                <w:color w:val="auto"/>
                <w:sz w:val="28"/>
                <w:szCs w:val="28"/>
              </w:rPr>
            </w:pPr>
          </w:p>
        </w:tc>
      </w:tr>
      <w:tr w14:paraId="57F40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101" w:type="dxa"/>
            <w:tcBorders>
              <w:top w:val="single" w:color="auto" w:sz="4" w:space="0"/>
              <w:left w:val="single" w:color="auto" w:sz="4" w:space="0"/>
              <w:bottom w:val="single" w:color="auto" w:sz="4" w:space="0"/>
              <w:right w:val="single" w:color="auto" w:sz="4" w:space="0"/>
            </w:tcBorders>
            <w:vAlign w:val="center"/>
          </w:tcPr>
          <w:p w14:paraId="51DB362B">
            <w:pPr>
              <w:pStyle w:val="35"/>
              <w:outlineLvl w:val="9"/>
              <w:rPr>
                <w:rFonts w:ascii="仿宋" w:hAnsi="仿宋" w:eastAsia="仿宋" w:cs="仿宋"/>
                <w:color w:val="auto"/>
                <w:sz w:val="28"/>
                <w:szCs w:val="28"/>
              </w:rPr>
            </w:pPr>
          </w:p>
        </w:tc>
        <w:tc>
          <w:tcPr>
            <w:tcW w:w="5206" w:type="dxa"/>
            <w:tcBorders>
              <w:top w:val="single" w:color="auto" w:sz="4" w:space="0"/>
              <w:left w:val="single" w:color="auto" w:sz="4" w:space="0"/>
              <w:bottom w:val="single" w:color="auto" w:sz="4" w:space="0"/>
              <w:right w:val="single" w:color="auto" w:sz="4" w:space="0"/>
            </w:tcBorders>
            <w:vAlign w:val="center"/>
          </w:tcPr>
          <w:p w14:paraId="2DD72E70">
            <w:pPr>
              <w:pStyle w:val="35"/>
              <w:outlineLvl w:val="9"/>
              <w:rPr>
                <w:rFonts w:ascii="仿宋" w:hAnsi="仿宋" w:eastAsia="仿宋" w:cs="仿宋"/>
                <w:color w:val="auto"/>
                <w:sz w:val="28"/>
                <w:szCs w:val="28"/>
              </w:rPr>
            </w:pPr>
          </w:p>
        </w:tc>
        <w:tc>
          <w:tcPr>
            <w:tcW w:w="976" w:type="dxa"/>
            <w:tcBorders>
              <w:top w:val="single" w:color="auto" w:sz="4" w:space="0"/>
              <w:left w:val="single" w:color="auto" w:sz="4" w:space="0"/>
              <w:bottom w:val="single" w:color="auto" w:sz="4" w:space="0"/>
              <w:right w:val="single" w:color="auto" w:sz="4" w:space="0"/>
            </w:tcBorders>
            <w:vAlign w:val="center"/>
          </w:tcPr>
          <w:p w14:paraId="6214E7F3">
            <w:pPr>
              <w:pStyle w:val="35"/>
              <w:jc w:val="center"/>
              <w:outlineLvl w:val="9"/>
              <w:rPr>
                <w:rFonts w:ascii="仿宋" w:hAnsi="仿宋" w:eastAsia="仿宋" w:cs="仿宋"/>
                <w:color w:val="auto"/>
                <w:sz w:val="28"/>
                <w:szCs w:val="28"/>
              </w:rPr>
            </w:pPr>
          </w:p>
        </w:tc>
        <w:tc>
          <w:tcPr>
            <w:tcW w:w="1249" w:type="dxa"/>
            <w:tcBorders>
              <w:top w:val="single" w:color="auto" w:sz="4" w:space="0"/>
              <w:left w:val="single" w:color="auto" w:sz="4" w:space="0"/>
              <w:bottom w:val="single" w:color="auto" w:sz="4" w:space="0"/>
              <w:right w:val="single" w:color="auto" w:sz="4" w:space="0"/>
            </w:tcBorders>
            <w:vAlign w:val="center"/>
          </w:tcPr>
          <w:p w14:paraId="4E95EFBC">
            <w:pPr>
              <w:spacing w:line="360" w:lineRule="auto"/>
              <w:outlineLvl w:val="9"/>
              <w:rPr>
                <w:rFonts w:ascii="仿宋" w:hAnsi="仿宋" w:eastAsia="仿宋" w:cs="仿宋"/>
                <w:color w:val="auto"/>
                <w:sz w:val="28"/>
                <w:szCs w:val="28"/>
              </w:rPr>
            </w:pPr>
          </w:p>
        </w:tc>
        <w:tc>
          <w:tcPr>
            <w:tcW w:w="585" w:type="dxa"/>
            <w:tcBorders>
              <w:top w:val="single" w:color="auto" w:sz="4" w:space="0"/>
              <w:left w:val="single" w:color="auto" w:sz="4" w:space="0"/>
              <w:bottom w:val="single" w:color="auto" w:sz="4" w:space="0"/>
              <w:right w:val="single" w:color="auto" w:sz="4" w:space="0"/>
            </w:tcBorders>
            <w:vAlign w:val="center"/>
          </w:tcPr>
          <w:p w14:paraId="7135A8FB">
            <w:pPr>
              <w:spacing w:line="360" w:lineRule="auto"/>
              <w:outlineLvl w:val="9"/>
              <w:rPr>
                <w:rFonts w:ascii="仿宋" w:hAnsi="仿宋" w:eastAsia="仿宋" w:cs="仿宋"/>
                <w:color w:val="auto"/>
                <w:sz w:val="28"/>
                <w:szCs w:val="28"/>
              </w:rPr>
            </w:pPr>
          </w:p>
        </w:tc>
      </w:tr>
      <w:tr w14:paraId="42E7A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101" w:type="dxa"/>
            <w:tcBorders>
              <w:top w:val="single" w:color="auto" w:sz="4" w:space="0"/>
              <w:left w:val="single" w:color="auto" w:sz="4" w:space="0"/>
              <w:bottom w:val="single" w:color="auto" w:sz="4" w:space="0"/>
              <w:right w:val="single" w:color="auto" w:sz="4" w:space="0"/>
            </w:tcBorders>
            <w:vAlign w:val="center"/>
          </w:tcPr>
          <w:p w14:paraId="4F6413BF">
            <w:pPr>
              <w:widowControl/>
              <w:spacing w:line="360" w:lineRule="auto"/>
              <w:jc w:val="center"/>
              <w:outlineLvl w:val="9"/>
              <w:rPr>
                <w:rFonts w:ascii="仿宋" w:hAnsi="仿宋" w:eastAsia="仿宋" w:cs="仿宋"/>
                <w:color w:val="auto"/>
                <w:sz w:val="28"/>
                <w:szCs w:val="28"/>
              </w:rPr>
            </w:pPr>
          </w:p>
        </w:tc>
        <w:tc>
          <w:tcPr>
            <w:tcW w:w="5206" w:type="dxa"/>
            <w:tcBorders>
              <w:top w:val="single" w:color="auto" w:sz="4" w:space="0"/>
              <w:left w:val="single" w:color="auto" w:sz="4" w:space="0"/>
              <w:bottom w:val="single" w:color="auto" w:sz="4" w:space="0"/>
              <w:right w:val="single" w:color="auto" w:sz="4" w:space="0"/>
            </w:tcBorders>
            <w:vAlign w:val="center"/>
          </w:tcPr>
          <w:p w14:paraId="0509F958">
            <w:pPr>
              <w:widowControl/>
              <w:spacing w:line="360" w:lineRule="auto"/>
              <w:jc w:val="left"/>
              <w:outlineLvl w:val="9"/>
              <w:rPr>
                <w:rFonts w:ascii="仿宋" w:hAnsi="仿宋" w:eastAsia="仿宋" w:cs="仿宋"/>
                <w:color w:val="auto"/>
                <w:sz w:val="28"/>
                <w:szCs w:val="28"/>
              </w:rPr>
            </w:pPr>
          </w:p>
        </w:tc>
        <w:tc>
          <w:tcPr>
            <w:tcW w:w="976" w:type="dxa"/>
            <w:tcBorders>
              <w:top w:val="single" w:color="auto" w:sz="4" w:space="0"/>
              <w:left w:val="single" w:color="auto" w:sz="4" w:space="0"/>
              <w:bottom w:val="single" w:color="auto" w:sz="4" w:space="0"/>
              <w:right w:val="single" w:color="auto" w:sz="4" w:space="0"/>
            </w:tcBorders>
            <w:vAlign w:val="center"/>
          </w:tcPr>
          <w:p w14:paraId="1C5A2309">
            <w:pPr>
              <w:spacing w:line="360" w:lineRule="auto"/>
              <w:jc w:val="center"/>
              <w:outlineLvl w:val="9"/>
              <w:rPr>
                <w:rFonts w:ascii="仿宋" w:hAnsi="仿宋" w:eastAsia="仿宋" w:cs="仿宋"/>
                <w:color w:val="auto"/>
                <w:sz w:val="28"/>
                <w:szCs w:val="28"/>
              </w:rPr>
            </w:pPr>
          </w:p>
        </w:tc>
        <w:tc>
          <w:tcPr>
            <w:tcW w:w="1249" w:type="dxa"/>
            <w:tcBorders>
              <w:top w:val="single" w:color="auto" w:sz="4" w:space="0"/>
              <w:left w:val="single" w:color="auto" w:sz="4" w:space="0"/>
              <w:bottom w:val="single" w:color="auto" w:sz="4" w:space="0"/>
              <w:right w:val="single" w:color="auto" w:sz="4" w:space="0"/>
            </w:tcBorders>
            <w:vAlign w:val="center"/>
          </w:tcPr>
          <w:p w14:paraId="0F0C2495">
            <w:pPr>
              <w:spacing w:line="360" w:lineRule="auto"/>
              <w:jc w:val="center"/>
              <w:outlineLvl w:val="9"/>
              <w:rPr>
                <w:rFonts w:ascii="仿宋" w:hAnsi="仿宋" w:eastAsia="仿宋" w:cs="仿宋"/>
                <w:color w:val="auto"/>
                <w:sz w:val="28"/>
                <w:szCs w:val="28"/>
              </w:rPr>
            </w:pPr>
          </w:p>
        </w:tc>
        <w:tc>
          <w:tcPr>
            <w:tcW w:w="585" w:type="dxa"/>
            <w:tcBorders>
              <w:top w:val="single" w:color="auto" w:sz="4" w:space="0"/>
              <w:left w:val="single" w:color="auto" w:sz="4" w:space="0"/>
              <w:bottom w:val="single" w:color="auto" w:sz="4" w:space="0"/>
              <w:right w:val="single" w:color="auto" w:sz="4" w:space="0"/>
            </w:tcBorders>
            <w:vAlign w:val="center"/>
          </w:tcPr>
          <w:p w14:paraId="6072DD82">
            <w:pPr>
              <w:spacing w:line="360" w:lineRule="auto"/>
              <w:jc w:val="center"/>
              <w:outlineLvl w:val="9"/>
              <w:rPr>
                <w:rFonts w:ascii="仿宋" w:hAnsi="仿宋" w:eastAsia="仿宋" w:cs="仿宋"/>
                <w:color w:val="auto"/>
                <w:sz w:val="28"/>
                <w:szCs w:val="28"/>
              </w:rPr>
            </w:pPr>
          </w:p>
        </w:tc>
      </w:tr>
      <w:tr w14:paraId="34EAB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101" w:type="dxa"/>
            <w:tcBorders>
              <w:top w:val="single" w:color="auto" w:sz="4" w:space="0"/>
              <w:left w:val="single" w:color="auto" w:sz="4" w:space="0"/>
              <w:bottom w:val="single" w:color="auto" w:sz="4" w:space="0"/>
              <w:right w:val="single" w:color="auto" w:sz="4" w:space="0"/>
            </w:tcBorders>
            <w:vAlign w:val="center"/>
          </w:tcPr>
          <w:p w14:paraId="5E347B57">
            <w:pPr>
              <w:spacing w:line="360" w:lineRule="auto"/>
              <w:jc w:val="center"/>
              <w:outlineLvl w:val="9"/>
              <w:rPr>
                <w:rFonts w:ascii="仿宋" w:hAnsi="仿宋" w:eastAsia="仿宋" w:cs="仿宋"/>
                <w:color w:val="auto"/>
                <w:sz w:val="28"/>
                <w:szCs w:val="28"/>
              </w:rPr>
            </w:pPr>
          </w:p>
        </w:tc>
        <w:tc>
          <w:tcPr>
            <w:tcW w:w="5206" w:type="dxa"/>
            <w:tcBorders>
              <w:top w:val="single" w:color="auto" w:sz="4" w:space="0"/>
              <w:left w:val="single" w:color="auto" w:sz="4" w:space="0"/>
              <w:bottom w:val="single" w:color="auto" w:sz="4" w:space="0"/>
              <w:right w:val="single" w:color="auto" w:sz="4" w:space="0"/>
            </w:tcBorders>
            <w:vAlign w:val="center"/>
          </w:tcPr>
          <w:p w14:paraId="144C4712">
            <w:pPr>
              <w:spacing w:line="360" w:lineRule="auto"/>
              <w:jc w:val="left"/>
              <w:outlineLvl w:val="9"/>
              <w:rPr>
                <w:rFonts w:ascii="仿宋" w:hAnsi="仿宋" w:eastAsia="仿宋" w:cs="仿宋"/>
                <w:color w:val="auto"/>
                <w:sz w:val="28"/>
                <w:szCs w:val="28"/>
              </w:rPr>
            </w:pPr>
          </w:p>
        </w:tc>
        <w:tc>
          <w:tcPr>
            <w:tcW w:w="976" w:type="dxa"/>
            <w:tcBorders>
              <w:top w:val="single" w:color="auto" w:sz="4" w:space="0"/>
              <w:left w:val="single" w:color="auto" w:sz="4" w:space="0"/>
              <w:bottom w:val="single" w:color="auto" w:sz="4" w:space="0"/>
              <w:right w:val="single" w:color="auto" w:sz="4" w:space="0"/>
            </w:tcBorders>
            <w:vAlign w:val="center"/>
          </w:tcPr>
          <w:p w14:paraId="438494DF">
            <w:pPr>
              <w:spacing w:line="360" w:lineRule="auto"/>
              <w:jc w:val="center"/>
              <w:outlineLvl w:val="9"/>
              <w:rPr>
                <w:rFonts w:ascii="仿宋" w:hAnsi="仿宋" w:eastAsia="仿宋" w:cs="仿宋"/>
                <w:color w:val="auto"/>
                <w:sz w:val="28"/>
                <w:szCs w:val="28"/>
              </w:rPr>
            </w:pPr>
          </w:p>
        </w:tc>
        <w:tc>
          <w:tcPr>
            <w:tcW w:w="1249" w:type="dxa"/>
            <w:tcBorders>
              <w:top w:val="single" w:color="auto" w:sz="4" w:space="0"/>
              <w:left w:val="single" w:color="auto" w:sz="4" w:space="0"/>
              <w:bottom w:val="single" w:color="auto" w:sz="4" w:space="0"/>
              <w:right w:val="single" w:color="auto" w:sz="4" w:space="0"/>
            </w:tcBorders>
            <w:vAlign w:val="center"/>
          </w:tcPr>
          <w:p w14:paraId="09988D1D">
            <w:pPr>
              <w:spacing w:line="360" w:lineRule="auto"/>
              <w:outlineLvl w:val="9"/>
              <w:rPr>
                <w:rFonts w:ascii="仿宋" w:hAnsi="仿宋" w:eastAsia="仿宋" w:cs="仿宋"/>
                <w:color w:val="auto"/>
                <w:sz w:val="28"/>
                <w:szCs w:val="28"/>
              </w:rPr>
            </w:pPr>
          </w:p>
        </w:tc>
        <w:tc>
          <w:tcPr>
            <w:tcW w:w="585" w:type="dxa"/>
            <w:tcBorders>
              <w:top w:val="single" w:color="auto" w:sz="4" w:space="0"/>
              <w:left w:val="single" w:color="auto" w:sz="4" w:space="0"/>
              <w:bottom w:val="single" w:color="auto" w:sz="4" w:space="0"/>
              <w:right w:val="single" w:color="auto" w:sz="4" w:space="0"/>
            </w:tcBorders>
            <w:vAlign w:val="center"/>
          </w:tcPr>
          <w:p w14:paraId="2F1B2385">
            <w:pPr>
              <w:spacing w:line="360" w:lineRule="auto"/>
              <w:outlineLvl w:val="9"/>
              <w:rPr>
                <w:rFonts w:ascii="仿宋" w:hAnsi="仿宋" w:eastAsia="仿宋" w:cs="仿宋"/>
                <w:color w:val="auto"/>
                <w:sz w:val="28"/>
                <w:szCs w:val="28"/>
              </w:rPr>
            </w:pPr>
          </w:p>
        </w:tc>
      </w:tr>
      <w:tr w14:paraId="7DAE0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101" w:type="dxa"/>
            <w:tcBorders>
              <w:top w:val="single" w:color="auto" w:sz="4" w:space="0"/>
              <w:left w:val="single" w:color="auto" w:sz="4" w:space="0"/>
              <w:bottom w:val="single" w:color="auto" w:sz="4" w:space="0"/>
              <w:right w:val="single" w:color="auto" w:sz="4" w:space="0"/>
            </w:tcBorders>
            <w:vAlign w:val="center"/>
          </w:tcPr>
          <w:p w14:paraId="29B5369A">
            <w:pPr>
              <w:adjustRightInd w:val="0"/>
              <w:spacing w:line="360" w:lineRule="auto"/>
              <w:jc w:val="center"/>
              <w:outlineLvl w:val="9"/>
              <w:rPr>
                <w:rFonts w:ascii="仿宋" w:hAnsi="仿宋" w:eastAsia="仿宋" w:cs="仿宋"/>
                <w:color w:val="auto"/>
                <w:sz w:val="28"/>
                <w:szCs w:val="28"/>
              </w:rPr>
            </w:pPr>
          </w:p>
        </w:tc>
        <w:tc>
          <w:tcPr>
            <w:tcW w:w="5206" w:type="dxa"/>
            <w:tcBorders>
              <w:top w:val="single" w:color="auto" w:sz="4" w:space="0"/>
              <w:left w:val="single" w:color="auto" w:sz="4" w:space="0"/>
              <w:bottom w:val="single" w:color="auto" w:sz="4" w:space="0"/>
              <w:right w:val="single" w:color="auto" w:sz="4" w:space="0"/>
            </w:tcBorders>
            <w:vAlign w:val="center"/>
          </w:tcPr>
          <w:p w14:paraId="548BD1E4">
            <w:pPr>
              <w:adjustRightInd w:val="0"/>
              <w:spacing w:line="360" w:lineRule="auto"/>
              <w:jc w:val="left"/>
              <w:outlineLvl w:val="9"/>
              <w:rPr>
                <w:rFonts w:ascii="仿宋" w:hAnsi="仿宋" w:eastAsia="仿宋" w:cs="仿宋"/>
                <w:color w:val="auto"/>
                <w:sz w:val="28"/>
                <w:szCs w:val="28"/>
              </w:rPr>
            </w:pPr>
          </w:p>
        </w:tc>
        <w:tc>
          <w:tcPr>
            <w:tcW w:w="976" w:type="dxa"/>
            <w:tcBorders>
              <w:top w:val="single" w:color="auto" w:sz="4" w:space="0"/>
              <w:left w:val="single" w:color="auto" w:sz="4" w:space="0"/>
              <w:bottom w:val="single" w:color="auto" w:sz="4" w:space="0"/>
              <w:right w:val="single" w:color="auto" w:sz="4" w:space="0"/>
            </w:tcBorders>
            <w:vAlign w:val="center"/>
          </w:tcPr>
          <w:p w14:paraId="6FE6C47E">
            <w:pPr>
              <w:adjustRightInd w:val="0"/>
              <w:spacing w:line="360" w:lineRule="auto"/>
              <w:jc w:val="center"/>
              <w:outlineLvl w:val="9"/>
              <w:rPr>
                <w:rFonts w:ascii="仿宋" w:hAnsi="仿宋" w:eastAsia="仿宋" w:cs="仿宋"/>
                <w:color w:val="auto"/>
                <w:sz w:val="28"/>
                <w:szCs w:val="28"/>
              </w:rPr>
            </w:pPr>
          </w:p>
        </w:tc>
        <w:tc>
          <w:tcPr>
            <w:tcW w:w="1249" w:type="dxa"/>
            <w:tcBorders>
              <w:top w:val="single" w:color="auto" w:sz="4" w:space="0"/>
              <w:left w:val="single" w:color="auto" w:sz="4" w:space="0"/>
              <w:bottom w:val="single" w:color="auto" w:sz="4" w:space="0"/>
              <w:right w:val="single" w:color="auto" w:sz="4" w:space="0"/>
            </w:tcBorders>
            <w:vAlign w:val="center"/>
          </w:tcPr>
          <w:p w14:paraId="3E4F6EB6">
            <w:pPr>
              <w:spacing w:line="360" w:lineRule="auto"/>
              <w:outlineLvl w:val="9"/>
              <w:rPr>
                <w:rFonts w:ascii="仿宋" w:hAnsi="仿宋" w:eastAsia="仿宋" w:cs="仿宋"/>
                <w:color w:val="auto"/>
                <w:sz w:val="28"/>
                <w:szCs w:val="28"/>
              </w:rPr>
            </w:pPr>
          </w:p>
        </w:tc>
        <w:tc>
          <w:tcPr>
            <w:tcW w:w="585" w:type="dxa"/>
            <w:tcBorders>
              <w:top w:val="single" w:color="auto" w:sz="4" w:space="0"/>
              <w:left w:val="single" w:color="auto" w:sz="4" w:space="0"/>
              <w:bottom w:val="single" w:color="auto" w:sz="4" w:space="0"/>
              <w:right w:val="single" w:color="auto" w:sz="4" w:space="0"/>
            </w:tcBorders>
            <w:vAlign w:val="center"/>
          </w:tcPr>
          <w:p w14:paraId="379F2BB9">
            <w:pPr>
              <w:spacing w:line="360" w:lineRule="auto"/>
              <w:outlineLvl w:val="9"/>
              <w:rPr>
                <w:rFonts w:ascii="仿宋" w:hAnsi="仿宋" w:eastAsia="仿宋" w:cs="仿宋"/>
                <w:color w:val="auto"/>
                <w:sz w:val="28"/>
                <w:szCs w:val="28"/>
              </w:rPr>
            </w:pPr>
          </w:p>
        </w:tc>
      </w:tr>
      <w:tr w14:paraId="18BD6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101" w:type="dxa"/>
            <w:tcBorders>
              <w:top w:val="single" w:color="auto" w:sz="4" w:space="0"/>
              <w:left w:val="single" w:color="auto" w:sz="4" w:space="0"/>
              <w:bottom w:val="single" w:color="auto" w:sz="4" w:space="0"/>
              <w:right w:val="single" w:color="auto" w:sz="4" w:space="0"/>
            </w:tcBorders>
            <w:vAlign w:val="center"/>
          </w:tcPr>
          <w:p w14:paraId="42727FF0">
            <w:pPr>
              <w:spacing w:line="360" w:lineRule="auto"/>
              <w:jc w:val="center"/>
              <w:outlineLvl w:val="9"/>
              <w:rPr>
                <w:rFonts w:ascii="仿宋" w:hAnsi="仿宋" w:eastAsia="仿宋" w:cs="仿宋"/>
                <w:color w:val="auto"/>
                <w:sz w:val="28"/>
                <w:szCs w:val="28"/>
              </w:rPr>
            </w:pPr>
          </w:p>
        </w:tc>
        <w:tc>
          <w:tcPr>
            <w:tcW w:w="5206" w:type="dxa"/>
            <w:tcBorders>
              <w:top w:val="single" w:color="auto" w:sz="4" w:space="0"/>
              <w:left w:val="single" w:color="auto" w:sz="4" w:space="0"/>
              <w:bottom w:val="single" w:color="auto" w:sz="4" w:space="0"/>
              <w:right w:val="single" w:color="auto" w:sz="4" w:space="0"/>
            </w:tcBorders>
            <w:vAlign w:val="center"/>
          </w:tcPr>
          <w:p w14:paraId="076DA9BE">
            <w:pPr>
              <w:spacing w:line="360" w:lineRule="auto"/>
              <w:jc w:val="left"/>
              <w:outlineLvl w:val="9"/>
              <w:rPr>
                <w:rFonts w:ascii="仿宋" w:hAnsi="仿宋" w:eastAsia="仿宋" w:cs="仿宋"/>
                <w:color w:val="auto"/>
                <w:sz w:val="28"/>
                <w:szCs w:val="28"/>
              </w:rPr>
            </w:pPr>
          </w:p>
        </w:tc>
        <w:tc>
          <w:tcPr>
            <w:tcW w:w="976" w:type="dxa"/>
            <w:tcBorders>
              <w:top w:val="single" w:color="auto" w:sz="4" w:space="0"/>
              <w:left w:val="single" w:color="auto" w:sz="4" w:space="0"/>
              <w:bottom w:val="single" w:color="auto" w:sz="4" w:space="0"/>
              <w:right w:val="single" w:color="auto" w:sz="4" w:space="0"/>
            </w:tcBorders>
            <w:vAlign w:val="center"/>
          </w:tcPr>
          <w:p w14:paraId="3B80399B">
            <w:pPr>
              <w:spacing w:line="360" w:lineRule="auto"/>
              <w:jc w:val="center"/>
              <w:outlineLvl w:val="9"/>
              <w:rPr>
                <w:rFonts w:ascii="仿宋" w:hAnsi="仿宋" w:eastAsia="仿宋" w:cs="仿宋"/>
                <w:color w:val="auto"/>
                <w:sz w:val="28"/>
                <w:szCs w:val="28"/>
              </w:rPr>
            </w:pPr>
          </w:p>
        </w:tc>
        <w:tc>
          <w:tcPr>
            <w:tcW w:w="1249" w:type="dxa"/>
            <w:tcBorders>
              <w:top w:val="single" w:color="auto" w:sz="4" w:space="0"/>
              <w:left w:val="single" w:color="auto" w:sz="4" w:space="0"/>
              <w:bottom w:val="single" w:color="auto" w:sz="4" w:space="0"/>
              <w:right w:val="single" w:color="auto" w:sz="4" w:space="0"/>
            </w:tcBorders>
            <w:vAlign w:val="center"/>
          </w:tcPr>
          <w:p w14:paraId="2F1BB40F">
            <w:pPr>
              <w:spacing w:line="360" w:lineRule="auto"/>
              <w:outlineLvl w:val="9"/>
              <w:rPr>
                <w:rFonts w:ascii="仿宋" w:hAnsi="仿宋" w:eastAsia="仿宋" w:cs="仿宋"/>
                <w:color w:val="auto"/>
                <w:sz w:val="28"/>
                <w:szCs w:val="28"/>
              </w:rPr>
            </w:pPr>
          </w:p>
        </w:tc>
        <w:tc>
          <w:tcPr>
            <w:tcW w:w="585" w:type="dxa"/>
            <w:tcBorders>
              <w:top w:val="single" w:color="auto" w:sz="4" w:space="0"/>
              <w:left w:val="single" w:color="auto" w:sz="4" w:space="0"/>
              <w:bottom w:val="single" w:color="auto" w:sz="4" w:space="0"/>
              <w:right w:val="single" w:color="auto" w:sz="4" w:space="0"/>
            </w:tcBorders>
            <w:vAlign w:val="center"/>
          </w:tcPr>
          <w:p w14:paraId="2C3FEA1E">
            <w:pPr>
              <w:spacing w:line="360" w:lineRule="auto"/>
              <w:outlineLvl w:val="9"/>
              <w:rPr>
                <w:rFonts w:ascii="仿宋" w:hAnsi="仿宋" w:eastAsia="仿宋" w:cs="仿宋"/>
                <w:color w:val="auto"/>
                <w:sz w:val="28"/>
                <w:szCs w:val="28"/>
              </w:rPr>
            </w:pPr>
          </w:p>
        </w:tc>
      </w:tr>
      <w:tr w14:paraId="2E512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101" w:type="dxa"/>
            <w:tcBorders>
              <w:top w:val="single" w:color="auto" w:sz="4" w:space="0"/>
              <w:left w:val="single" w:color="auto" w:sz="4" w:space="0"/>
              <w:bottom w:val="single" w:color="auto" w:sz="4" w:space="0"/>
              <w:right w:val="single" w:color="auto" w:sz="4" w:space="0"/>
            </w:tcBorders>
            <w:vAlign w:val="center"/>
          </w:tcPr>
          <w:p w14:paraId="0AB1541D">
            <w:pPr>
              <w:spacing w:line="360" w:lineRule="auto"/>
              <w:jc w:val="center"/>
              <w:outlineLvl w:val="9"/>
              <w:rPr>
                <w:rFonts w:ascii="仿宋" w:hAnsi="仿宋" w:eastAsia="仿宋" w:cs="仿宋"/>
                <w:color w:val="auto"/>
                <w:sz w:val="28"/>
                <w:szCs w:val="28"/>
              </w:rPr>
            </w:pPr>
          </w:p>
        </w:tc>
        <w:tc>
          <w:tcPr>
            <w:tcW w:w="5206" w:type="dxa"/>
            <w:tcBorders>
              <w:top w:val="single" w:color="auto" w:sz="4" w:space="0"/>
              <w:left w:val="single" w:color="auto" w:sz="4" w:space="0"/>
              <w:bottom w:val="single" w:color="auto" w:sz="4" w:space="0"/>
              <w:right w:val="single" w:color="auto" w:sz="4" w:space="0"/>
            </w:tcBorders>
            <w:vAlign w:val="center"/>
          </w:tcPr>
          <w:p w14:paraId="15D0EB3C">
            <w:pPr>
              <w:spacing w:line="360" w:lineRule="auto"/>
              <w:jc w:val="left"/>
              <w:outlineLvl w:val="9"/>
              <w:rPr>
                <w:rFonts w:ascii="仿宋" w:hAnsi="仿宋" w:eastAsia="仿宋" w:cs="仿宋"/>
                <w:color w:val="auto"/>
                <w:sz w:val="28"/>
                <w:szCs w:val="28"/>
              </w:rPr>
            </w:pPr>
          </w:p>
        </w:tc>
        <w:tc>
          <w:tcPr>
            <w:tcW w:w="976" w:type="dxa"/>
            <w:tcBorders>
              <w:top w:val="single" w:color="auto" w:sz="4" w:space="0"/>
              <w:left w:val="single" w:color="auto" w:sz="4" w:space="0"/>
              <w:bottom w:val="single" w:color="auto" w:sz="4" w:space="0"/>
              <w:right w:val="single" w:color="auto" w:sz="4" w:space="0"/>
            </w:tcBorders>
            <w:vAlign w:val="center"/>
          </w:tcPr>
          <w:p w14:paraId="02441A6F">
            <w:pPr>
              <w:spacing w:line="360" w:lineRule="auto"/>
              <w:jc w:val="center"/>
              <w:outlineLvl w:val="9"/>
              <w:rPr>
                <w:rFonts w:ascii="仿宋" w:hAnsi="仿宋" w:eastAsia="仿宋" w:cs="仿宋"/>
                <w:color w:val="auto"/>
                <w:sz w:val="28"/>
                <w:szCs w:val="28"/>
              </w:rPr>
            </w:pPr>
          </w:p>
        </w:tc>
        <w:tc>
          <w:tcPr>
            <w:tcW w:w="1249" w:type="dxa"/>
            <w:tcBorders>
              <w:top w:val="single" w:color="auto" w:sz="4" w:space="0"/>
              <w:left w:val="single" w:color="auto" w:sz="4" w:space="0"/>
              <w:bottom w:val="single" w:color="auto" w:sz="4" w:space="0"/>
              <w:right w:val="single" w:color="auto" w:sz="4" w:space="0"/>
            </w:tcBorders>
            <w:vAlign w:val="center"/>
          </w:tcPr>
          <w:p w14:paraId="56E3F8F4">
            <w:pPr>
              <w:spacing w:line="360" w:lineRule="auto"/>
              <w:outlineLvl w:val="9"/>
              <w:rPr>
                <w:rFonts w:ascii="仿宋" w:hAnsi="仿宋" w:eastAsia="仿宋" w:cs="仿宋"/>
                <w:color w:val="auto"/>
                <w:sz w:val="28"/>
                <w:szCs w:val="28"/>
              </w:rPr>
            </w:pPr>
          </w:p>
        </w:tc>
        <w:tc>
          <w:tcPr>
            <w:tcW w:w="585" w:type="dxa"/>
            <w:tcBorders>
              <w:top w:val="single" w:color="auto" w:sz="4" w:space="0"/>
              <w:left w:val="single" w:color="auto" w:sz="4" w:space="0"/>
              <w:bottom w:val="single" w:color="auto" w:sz="4" w:space="0"/>
              <w:right w:val="single" w:color="auto" w:sz="4" w:space="0"/>
            </w:tcBorders>
            <w:vAlign w:val="center"/>
          </w:tcPr>
          <w:p w14:paraId="6DEA1164">
            <w:pPr>
              <w:spacing w:line="360" w:lineRule="auto"/>
              <w:outlineLvl w:val="9"/>
              <w:rPr>
                <w:rFonts w:ascii="仿宋" w:hAnsi="仿宋" w:eastAsia="仿宋" w:cs="仿宋"/>
                <w:color w:val="auto"/>
                <w:sz w:val="28"/>
                <w:szCs w:val="28"/>
              </w:rPr>
            </w:pPr>
          </w:p>
        </w:tc>
      </w:tr>
      <w:tr w14:paraId="7798E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101" w:type="dxa"/>
            <w:tcBorders>
              <w:top w:val="single" w:color="auto" w:sz="4" w:space="0"/>
              <w:left w:val="single" w:color="auto" w:sz="4" w:space="0"/>
              <w:bottom w:val="single" w:color="auto" w:sz="4" w:space="0"/>
              <w:right w:val="single" w:color="auto" w:sz="4" w:space="0"/>
            </w:tcBorders>
            <w:vAlign w:val="center"/>
          </w:tcPr>
          <w:p w14:paraId="63BEA9AD">
            <w:pPr>
              <w:pStyle w:val="35"/>
              <w:outlineLvl w:val="9"/>
              <w:rPr>
                <w:rFonts w:ascii="仿宋" w:hAnsi="仿宋" w:eastAsia="仿宋" w:cs="仿宋"/>
                <w:color w:val="auto"/>
                <w:sz w:val="28"/>
                <w:szCs w:val="28"/>
              </w:rPr>
            </w:pPr>
          </w:p>
        </w:tc>
        <w:tc>
          <w:tcPr>
            <w:tcW w:w="5206" w:type="dxa"/>
            <w:tcBorders>
              <w:top w:val="single" w:color="auto" w:sz="4" w:space="0"/>
              <w:left w:val="single" w:color="auto" w:sz="4" w:space="0"/>
              <w:bottom w:val="single" w:color="auto" w:sz="4" w:space="0"/>
              <w:right w:val="single" w:color="auto" w:sz="4" w:space="0"/>
            </w:tcBorders>
            <w:vAlign w:val="center"/>
          </w:tcPr>
          <w:p w14:paraId="4113A8AD">
            <w:pPr>
              <w:pStyle w:val="35"/>
              <w:outlineLvl w:val="9"/>
              <w:rPr>
                <w:rFonts w:ascii="仿宋" w:hAnsi="仿宋" w:eastAsia="仿宋" w:cs="仿宋"/>
                <w:color w:val="auto"/>
                <w:sz w:val="28"/>
                <w:szCs w:val="28"/>
              </w:rPr>
            </w:pPr>
          </w:p>
        </w:tc>
        <w:tc>
          <w:tcPr>
            <w:tcW w:w="976" w:type="dxa"/>
            <w:tcBorders>
              <w:top w:val="single" w:color="auto" w:sz="4" w:space="0"/>
              <w:left w:val="single" w:color="auto" w:sz="4" w:space="0"/>
              <w:bottom w:val="single" w:color="auto" w:sz="4" w:space="0"/>
              <w:right w:val="single" w:color="auto" w:sz="4" w:space="0"/>
            </w:tcBorders>
            <w:vAlign w:val="center"/>
          </w:tcPr>
          <w:p w14:paraId="3B7605E7">
            <w:pPr>
              <w:pStyle w:val="35"/>
              <w:jc w:val="center"/>
              <w:outlineLvl w:val="9"/>
              <w:rPr>
                <w:rFonts w:ascii="仿宋" w:hAnsi="仿宋" w:eastAsia="仿宋" w:cs="仿宋"/>
                <w:color w:val="auto"/>
                <w:sz w:val="28"/>
                <w:szCs w:val="28"/>
              </w:rPr>
            </w:pPr>
          </w:p>
        </w:tc>
        <w:tc>
          <w:tcPr>
            <w:tcW w:w="1249" w:type="dxa"/>
            <w:tcBorders>
              <w:top w:val="single" w:color="auto" w:sz="4" w:space="0"/>
              <w:left w:val="single" w:color="auto" w:sz="4" w:space="0"/>
              <w:bottom w:val="single" w:color="auto" w:sz="4" w:space="0"/>
              <w:right w:val="single" w:color="auto" w:sz="4" w:space="0"/>
            </w:tcBorders>
            <w:vAlign w:val="center"/>
          </w:tcPr>
          <w:p w14:paraId="709CA690">
            <w:pPr>
              <w:spacing w:line="360" w:lineRule="auto"/>
              <w:outlineLvl w:val="9"/>
              <w:rPr>
                <w:rFonts w:ascii="仿宋" w:hAnsi="仿宋" w:eastAsia="仿宋" w:cs="仿宋"/>
                <w:color w:val="auto"/>
                <w:sz w:val="28"/>
                <w:szCs w:val="28"/>
              </w:rPr>
            </w:pPr>
          </w:p>
        </w:tc>
        <w:tc>
          <w:tcPr>
            <w:tcW w:w="585" w:type="dxa"/>
            <w:tcBorders>
              <w:top w:val="single" w:color="auto" w:sz="4" w:space="0"/>
              <w:left w:val="single" w:color="auto" w:sz="4" w:space="0"/>
              <w:bottom w:val="single" w:color="auto" w:sz="4" w:space="0"/>
              <w:right w:val="single" w:color="auto" w:sz="4" w:space="0"/>
            </w:tcBorders>
            <w:vAlign w:val="center"/>
          </w:tcPr>
          <w:p w14:paraId="5C6D2630">
            <w:pPr>
              <w:spacing w:line="360" w:lineRule="auto"/>
              <w:outlineLvl w:val="9"/>
              <w:rPr>
                <w:rFonts w:ascii="仿宋" w:hAnsi="仿宋" w:eastAsia="仿宋" w:cs="仿宋"/>
                <w:color w:val="auto"/>
                <w:sz w:val="28"/>
                <w:szCs w:val="28"/>
              </w:rPr>
            </w:pPr>
          </w:p>
        </w:tc>
      </w:tr>
      <w:tr w14:paraId="04BF3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101" w:type="dxa"/>
            <w:tcBorders>
              <w:top w:val="single" w:color="auto" w:sz="4" w:space="0"/>
              <w:left w:val="single" w:color="auto" w:sz="4" w:space="0"/>
              <w:bottom w:val="single" w:color="auto" w:sz="4" w:space="0"/>
              <w:right w:val="single" w:color="auto" w:sz="4" w:space="0"/>
            </w:tcBorders>
            <w:vAlign w:val="center"/>
          </w:tcPr>
          <w:p w14:paraId="0A11CDE6">
            <w:pPr>
              <w:spacing w:line="360" w:lineRule="auto"/>
              <w:jc w:val="center"/>
              <w:outlineLvl w:val="9"/>
              <w:rPr>
                <w:rFonts w:ascii="仿宋" w:hAnsi="仿宋" w:eastAsia="仿宋" w:cs="仿宋"/>
                <w:color w:val="auto"/>
                <w:sz w:val="28"/>
                <w:szCs w:val="28"/>
              </w:rPr>
            </w:pPr>
          </w:p>
        </w:tc>
        <w:tc>
          <w:tcPr>
            <w:tcW w:w="5206" w:type="dxa"/>
            <w:tcBorders>
              <w:top w:val="single" w:color="auto" w:sz="4" w:space="0"/>
              <w:left w:val="single" w:color="auto" w:sz="4" w:space="0"/>
              <w:bottom w:val="single" w:color="auto" w:sz="4" w:space="0"/>
              <w:right w:val="single" w:color="auto" w:sz="4" w:space="0"/>
            </w:tcBorders>
            <w:vAlign w:val="center"/>
          </w:tcPr>
          <w:p w14:paraId="3EA6C38A">
            <w:pPr>
              <w:spacing w:line="360" w:lineRule="auto"/>
              <w:jc w:val="left"/>
              <w:outlineLvl w:val="9"/>
              <w:rPr>
                <w:rFonts w:ascii="仿宋" w:hAnsi="仿宋" w:eastAsia="仿宋" w:cs="仿宋"/>
                <w:color w:val="auto"/>
                <w:sz w:val="28"/>
                <w:szCs w:val="28"/>
              </w:rPr>
            </w:pPr>
          </w:p>
        </w:tc>
        <w:tc>
          <w:tcPr>
            <w:tcW w:w="976" w:type="dxa"/>
            <w:tcBorders>
              <w:top w:val="single" w:color="auto" w:sz="4" w:space="0"/>
              <w:left w:val="single" w:color="auto" w:sz="4" w:space="0"/>
              <w:bottom w:val="single" w:color="auto" w:sz="4" w:space="0"/>
              <w:right w:val="single" w:color="auto" w:sz="4" w:space="0"/>
            </w:tcBorders>
            <w:vAlign w:val="center"/>
          </w:tcPr>
          <w:p w14:paraId="4E32FAA4">
            <w:pPr>
              <w:spacing w:line="360" w:lineRule="auto"/>
              <w:jc w:val="center"/>
              <w:outlineLvl w:val="9"/>
              <w:rPr>
                <w:rFonts w:ascii="仿宋" w:hAnsi="仿宋" w:eastAsia="仿宋" w:cs="仿宋"/>
                <w:color w:val="auto"/>
                <w:sz w:val="28"/>
                <w:szCs w:val="28"/>
              </w:rPr>
            </w:pPr>
          </w:p>
        </w:tc>
        <w:tc>
          <w:tcPr>
            <w:tcW w:w="1249" w:type="dxa"/>
            <w:tcBorders>
              <w:top w:val="single" w:color="auto" w:sz="4" w:space="0"/>
              <w:left w:val="single" w:color="auto" w:sz="4" w:space="0"/>
              <w:bottom w:val="single" w:color="auto" w:sz="4" w:space="0"/>
              <w:right w:val="single" w:color="auto" w:sz="4" w:space="0"/>
            </w:tcBorders>
            <w:vAlign w:val="center"/>
          </w:tcPr>
          <w:p w14:paraId="09CBB339">
            <w:pPr>
              <w:spacing w:line="360" w:lineRule="auto"/>
              <w:outlineLvl w:val="9"/>
              <w:rPr>
                <w:rFonts w:ascii="仿宋" w:hAnsi="仿宋" w:eastAsia="仿宋" w:cs="仿宋"/>
                <w:color w:val="auto"/>
                <w:sz w:val="28"/>
                <w:szCs w:val="28"/>
              </w:rPr>
            </w:pPr>
          </w:p>
        </w:tc>
        <w:tc>
          <w:tcPr>
            <w:tcW w:w="585" w:type="dxa"/>
            <w:tcBorders>
              <w:top w:val="single" w:color="auto" w:sz="4" w:space="0"/>
              <w:left w:val="single" w:color="auto" w:sz="4" w:space="0"/>
              <w:bottom w:val="single" w:color="auto" w:sz="4" w:space="0"/>
              <w:right w:val="single" w:color="auto" w:sz="4" w:space="0"/>
            </w:tcBorders>
            <w:vAlign w:val="center"/>
          </w:tcPr>
          <w:p w14:paraId="4B73E467">
            <w:pPr>
              <w:spacing w:line="360" w:lineRule="auto"/>
              <w:outlineLvl w:val="9"/>
              <w:rPr>
                <w:rFonts w:ascii="仿宋" w:hAnsi="仿宋" w:eastAsia="仿宋" w:cs="仿宋"/>
                <w:color w:val="auto"/>
                <w:sz w:val="28"/>
                <w:szCs w:val="28"/>
              </w:rPr>
            </w:pPr>
          </w:p>
        </w:tc>
      </w:tr>
      <w:tr w14:paraId="6F77C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101" w:type="dxa"/>
            <w:tcBorders>
              <w:top w:val="single" w:color="auto" w:sz="4" w:space="0"/>
              <w:left w:val="single" w:color="auto" w:sz="4" w:space="0"/>
              <w:bottom w:val="single" w:color="auto" w:sz="4" w:space="0"/>
              <w:right w:val="single" w:color="auto" w:sz="4" w:space="0"/>
            </w:tcBorders>
            <w:vAlign w:val="center"/>
          </w:tcPr>
          <w:p w14:paraId="68AB9904">
            <w:pPr>
              <w:spacing w:line="360" w:lineRule="auto"/>
              <w:jc w:val="center"/>
              <w:outlineLvl w:val="9"/>
              <w:rPr>
                <w:rFonts w:ascii="仿宋" w:hAnsi="仿宋" w:eastAsia="仿宋" w:cs="仿宋"/>
                <w:color w:val="auto"/>
                <w:sz w:val="28"/>
                <w:szCs w:val="28"/>
              </w:rPr>
            </w:pPr>
          </w:p>
        </w:tc>
        <w:tc>
          <w:tcPr>
            <w:tcW w:w="5206" w:type="dxa"/>
            <w:tcBorders>
              <w:top w:val="single" w:color="auto" w:sz="4" w:space="0"/>
              <w:left w:val="single" w:color="auto" w:sz="4" w:space="0"/>
              <w:bottom w:val="single" w:color="auto" w:sz="4" w:space="0"/>
              <w:right w:val="single" w:color="auto" w:sz="4" w:space="0"/>
            </w:tcBorders>
            <w:vAlign w:val="center"/>
          </w:tcPr>
          <w:p w14:paraId="751DE944">
            <w:pPr>
              <w:spacing w:line="360" w:lineRule="auto"/>
              <w:jc w:val="left"/>
              <w:outlineLvl w:val="9"/>
              <w:rPr>
                <w:rFonts w:ascii="仿宋" w:hAnsi="仿宋" w:eastAsia="仿宋" w:cs="仿宋"/>
                <w:color w:val="auto"/>
                <w:sz w:val="28"/>
                <w:szCs w:val="28"/>
              </w:rPr>
            </w:pPr>
          </w:p>
        </w:tc>
        <w:tc>
          <w:tcPr>
            <w:tcW w:w="976" w:type="dxa"/>
            <w:tcBorders>
              <w:top w:val="single" w:color="auto" w:sz="4" w:space="0"/>
              <w:left w:val="single" w:color="auto" w:sz="4" w:space="0"/>
              <w:bottom w:val="single" w:color="auto" w:sz="4" w:space="0"/>
              <w:right w:val="single" w:color="auto" w:sz="4" w:space="0"/>
            </w:tcBorders>
            <w:vAlign w:val="center"/>
          </w:tcPr>
          <w:p w14:paraId="4460A5FE">
            <w:pPr>
              <w:spacing w:line="360" w:lineRule="auto"/>
              <w:jc w:val="center"/>
              <w:outlineLvl w:val="9"/>
              <w:rPr>
                <w:rFonts w:ascii="仿宋" w:hAnsi="仿宋" w:eastAsia="仿宋" w:cs="仿宋"/>
                <w:color w:val="auto"/>
                <w:sz w:val="28"/>
                <w:szCs w:val="28"/>
              </w:rPr>
            </w:pPr>
          </w:p>
        </w:tc>
        <w:tc>
          <w:tcPr>
            <w:tcW w:w="1249" w:type="dxa"/>
            <w:tcBorders>
              <w:top w:val="single" w:color="auto" w:sz="4" w:space="0"/>
              <w:left w:val="single" w:color="auto" w:sz="4" w:space="0"/>
              <w:bottom w:val="single" w:color="auto" w:sz="4" w:space="0"/>
              <w:right w:val="single" w:color="auto" w:sz="4" w:space="0"/>
            </w:tcBorders>
            <w:vAlign w:val="center"/>
          </w:tcPr>
          <w:p w14:paraId="13B17266">
            <w:pPr>
              <w:adjustRightInd w:val="0"/>
              <w:snapToGrid w:val="0"/>
              <w:spacing w:line="360" w:lineRule="auto"/>
              <w:outlineLvl w:val="9"/>
              <w:rPr>
                <w:rFonts w:ascii="仿宋" w:hAnsi="仿宋" w:eastAsia="仿宋" w:cs="仿宋"/>
                <w:color w:val="auto"/>
                <w:sz w:val="28"/>
                <w:szCs w:val="28"/>
              </w:rPr>
            </w:pPr>
          </w:p>
        </w:tc>
        <w:tc>
          <w:tcPr>
            <w:tcW w:w="585" w:type="dxa"/>
            <w:tcBorders>
              <w:top w:val="single" w:color="auto" w:sz="4" w:space="0"/>
              <w:left w:val="single" w:color="auto" w:sz="4" w:space="0"/>
              <w:bottom w:val="single" w:color="auto" w:sz="4" w:space="0"/>
              <w:right w:val="single" w:color="auto" w:sz="4" w:space="0"/>
            </w:tcBorders>
            <w:vAlign w:val="center"/>
          </w:tcPr>
          <w:p w14:paraId="29280120">
            <w:pPr>
              <w:adjustRightInd w:val="0"/>
              <w:snapToGrid w:val="0"/>
              <w:spacing w:line="360" w:lineRule="auto"/>
              <w:outlineLvl w:val="9"/>
              <w:rPr>
                <w:rFonts w:ascii="仿宋" w:hAnsi="仿宋" w:eastAsia="仿宋" w:cs="仿宋"/>
                <w:color w:val="auto"/>
                <w:sz w:val="28"/>
                <w:szCs w:val="28"/>
              </w:rPr>
            </w:pPr>
          </w:p>
        </w:tc>
      </w:tr>
      <w:tr w14:paraId="5715A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1101" w:type="dxa"/>
            <w:tcBorders>
              <w:top w:val="single" w:color="auto" w:sz="4" w:space="0"/>
              <w:left w:val="single" w:color="auto" w:sz="4" w:space="0"/>
              <w:bottom w:val="single" w:color="auto" w:sz="4" w:space="0"/>
              <w:right w:val="single" w:color="auto" w:sz="4" w:space="0"/>
            </w:tcBorders>
            <w:vAlign w:val="center"/>
          </w:tcPr>
          <w:p w14:paraId="3E370FAB">
            <w:pPr>
              <w:spacing w:line="360" w:lineRule="auto"/>
              <w:jc w:val="left"/>
              <w:outlineLvl w:val="9"/>
              <w:rPr>
                <w:rFonts w:ascii="仿宋" w:hAnsi="仿宋" w:eastAsia="仿宋" w:cs="仿宋"/>
                <w:color w:val="auto"/>
                <w:sz w:val="28"/>
                <w:szCs w:val="28"/>
              </w:rPr>
            </w:pPr>
          </w:p>
        </w:tc>
        <w:tc>
          <w:tcPr>
            <w:tcW w:w="5206" w:type="dxa"/>
            <w:tcBorders>
              <w:top w:val="single" w:color="auto" w:sz="4" w:space="0"/>
              <w:left w:val="single" w:color="auto" w:sz="4" w:space="0"/>
              <w:bottom w:val="single" w:color="auto" w:sz="4" w:space="0"/>
              <w:right w:val="single" w:color="auto" w:sz="4" w:space="0"/>
            </w:tcBorders>
            <w:vAlign w:val="center"/>
          </w:tcPr>
          <w:p w14:paraId="2D902F55">
            <w:pPr>
              <w:spacing w:line="360" w:lineRule="auto"/>
              <w:jc w:val="left"/>
              <w:outlineLvl w:val="9"/>
              <w:rPr>
                <w:rFonts w:ascii="仿宋" w:hAnsi="仿宋" w:eastAsia="仿宋" w:cs="仿宋"/>
                <w:color w:val="auto"/>
                <w:sz w:val="28"/>
                <w:szCs w:val="28"/>
              </w:rPr>
            </w:pPr>
          </w:p>
        </w:tc>
        <w:tc>
          <w:tcPr>
            <w:tcW w:w="976" w:type="dxa"/>
            <w:tcBorders>
              <w:top w:val="single" w:color="auto" w:sz="4" w:space="0"/>
              <w:left w:val="single" w:color="auto" w:sz="4" w:space="0"/>
              <w:bottom w:val="single" w:color="auto" w:sz="4" w:space="0"/>
              <w:right w:val="single" w:color="auto" w:sz="4" w:space="0"/>
            </w:tcBorders>
            <w:vAlign w:val="center"/>
          </w:tcPr>
          <w:p w14:paraId="11D1ABCB">
            <w:pPr>
              <w:spacing w:line="360" w:lineRule="auto"/>
              <w:jc w:val="left"/>
              <w:outlineLvl w:val="9"/>
              <w:rPr>
                <w:rFonts w:ascii="仿宋" w:hAnsi="仿宋" w:eastAsia="仿宋" w:cs="仿宋"/>
                <w:color w:val="auto"/>
                <w:sz w:val="28"/>
                <w:szCs w:val="28"/>
              </w:rPr>
            </w:pPr>
          </w:p>
        </w:tc>
        <w:tc>
          <w:tcPr>
            <w:tcW w:w="1249" w:type="dxa"/>
            <w:tcBorders>
              <w:top w:val="single" w:color="auto" w:sz="4" w:space="0"/>
              <w:left w:val="single" w:color="auto" w:sz="4" w:space="0"/>
              <w:bottom w:val="single" w:color="auto" w:sz="4" w:space="0"/>
              <w:right w:val="single" w:color="auto" w:sz="4" w:space="0"/>
            </w:tcBorders>
            <w:vAlign w:val="center"/>
          </w:tcPr>
          <w:p w14:paraId="32DCD527">
            <w:pPr>
              <w:adjustRightInd w:val="0"/>
              <w:snapToGrid w:val="0"/>
              <w:spacing w:line="360" w:lineRule="auto"/>
              <w:outlineLvl w:val="9"/>
              <w:rPr>
                <w:rFonts w:ascii="仿宋" w:hAnsi="仿宋" w:eastAsia="仿宋" w:cs="仿宋"/>
                <w:color w:val="auto"/>
                <w:sz w:val="28"/>
                <w:szCs w:val="28"/>
              </w:rPr>
            </w:pPr>
          </w:p>
        </w:tc>
        <w:tc>
          <w:tcPr>
            <w:tcW w:w="585" w:type="dxa"/>
            <w:tcBorders>
              <w:top w:val="single" w:color="auto" w:sz="4" w:space="0"/>
              <w:left w:val="single" w:color="auto" w:sz="4" w:space="0"/>
              <w:bottom w:val="single" w:color="auto" w:sz="4" w:space="0"/>
              <w:right w:val="single" w:color="auto" w:sz="4" w:space="0"/>
            </w:tcBorders>
            <w:vAlign w:val="center"/>
          </w:tcPr>
          <w:p w14:paraId="1290111D">
            <w:pPr>
              <w:adjustRightInd w:val="0"/>
              <w:snapToGrid w:val="0"/>
              <w:spacing w:line="360" w:lineRule="auto"/>
              <w:outlineLvl w:val="9"/>
              <w:rPr>
                <w:rFonts w:ascii="仿宋" w:hAnsi="仿宋" w:eastAsia="仿宋" w:cs="仿宋"/>
                <w:color w:val="auto"/>
                <w:sz w:val="28"/>
                <w:szCs w:val="28"/>
              </w:rPr>
            </w:pPr>
          </w:p>
        </w:tc>
      </w:tr>
    </w:tbl>
    <w:p w14:paraId="0F69C021">
      <w:pPr>
        <w:spacing w:line="360" w:lineRule="auto"/>
        <w:outlineLvl w:val="9"/>
        <w:rPr>
          <w:rFonts w:ascii="仿宋" w:hAnsi="仿宋" w:eastAsia="仿宋" w:cs="仿宋"/>
          <w:color w:val="auto"/>
          <w:sz w:val="28"/>
          <w:szCs w:val="28"/>
        </w:rPr>
      </w:pPr>
    </w:p>
    <w:p w14:paraId="2618D689">
      <w:pPr>
        <w:spacing w:line="360" w:lineRule="auto"/>
        <w:outlineLvl w:val="9"/>
        <w:rPr>
          <w:rFonts w:ascii="仿宋" w:hAnsi="仿宋" w:eastAsia="仿宋" w:cs="仿宋"/>
          <w:color w:val="auto"/>
          <w:sz w:val="24"/>
          <w:szCs w:val="24"/>
        </w:rPr>
      </w:pPr>
      <w:r>
        <w:rPr>
          <w:rFonts w:hint="eastAsia" w:ascii="仿宋" w:hAnsi="仿宋" w:eastAsia="仿宋" w:cs="仿宋"/>
          <w:color w:val="auto"/>
          <w:sz w:val="24"/>
          <w:szCs w:val="24"/>
        </w:rPr>
        <w:t>注：投标人须填写此表，并附在技术商务文件目录之后。</w:t>
      </w:r>
    </w:p>
    <w:p w14:paraId="382F9CCF">
      <w:pPr>
        <w:spacing w:line="360" w:lineRule="auto"/>
        <w:jc w:val="center"/>
        <w:outlineLvl w:val="9"/>
        <w:rPr>
          <w:rFonts w:ascii="仿宋" w:hAnsi="仿宋" w:eastAsia="仿宋" w:cs="仿宋"/>
          <w:color w:val="auto"/>
          <w:sz w:val="24"/>
          <w:szCs w:val="24"/>
        </w:rPr>
      </w:pPr>
      <w:r>
        <w:rPr>
          <w:rFonts w:hint="eastAsia" w:ascii="仿宋" w:hAnsi="仿宋" w:eastAsia="仿宋" w:cs="仿宋"/>
          <w:color w:val="auto"/>
          <w:sz w:val="24"/>
          <w:szCs w:val="24"/>
        </w:rPr>
        <w:t xml:space="preserve">                                             </w:t>
      </w:r>
    </w:p>
    <w:p w14:paraId="7CB8AB43">
      <w:pPr>
        <w:snapToGrid w:val="0"/>
        <w:spacing w:line="360" w:lineRule="auto"/>
        <w:outlineLvl w:val="9"/>
        <w:rPr>
          <w:rFonts w:ascii="仿宋" w:hAnsi="仿宋" w:eastAsia="仿宋" w:cs="仿宋"/>
          <w:color w:val="auto"/>
          <w:sz w:val="24"/>
          <w:szCs w:val="24"/>
        </w:rPr>
      </w:pPr>
    </w:p>
    <w:p w14:paraId="7291B62F">
      <w:pPr>
        <w:keepNext w:val="0"/>
        <w:keepLines w:val="0"/>
        <w:pageBreakBefore w:val="0"/>
        <w:widowControl w:val="0"/>
        <w:kinsoku/>
        <w:wordWrap/>
        <w:overflowPunct/>
        <w:topLinePunct w:val="0"/>
        <w:bidi w:val="0"/>
        <w:snapToGrid w:val="0"/>
        <w:spacing w:line="360" w:lineRule="auto"/>
        <w:ind w:right="-817" w:rightChars="-389"/>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投标人名称：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盖章</w:t>
      </w:r>
      <w:r>
        <w:rPr>
          <w:rFonts w:hint="eastAsia" w:ascii="仿宋" w:hAnsi="仿宋" w:eastAsia="仿宋" w:cs="仿宋"/>
          <w:color w:val="auto"/>
          <w:sz w:val="24"/>
          <w:szCs w:val="24"/>
          <w:highlight w:val="none"/>
          <w:u w:val="single"/>
        </w:rPr>
        <w:t>）</w:t>
      </w:r>
    </w:p>
    <w:p w14:paraId="2C8ECB0F">
      <w:pPr>
        <w:keepNext w:val="0"/>
        <w:keepLines w:val="0"/>
        <w:pageBreakBefore w:val="0"/>
        <w:widowControl w:val="0"/>
        <w:kinsoku/>
        <w:wordWrap/>
        <w:overflowPunct/>
        <w:topLinePunct w:val="0"/>
        <w:bidi w:val="0"/>
        <w:snapToGrid w:val="0"/>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法定代表人（负责人）</w:t>
      </w:r>
      <w:r>
        <w:rPr>
          <w:rFonts w:hint="eastAsia" w:ascii="仿宋" w:hAnsi="仿宋" w:eastAsia="仿宋" w:cs="仿宋"/>
          <w:color w:val="auto"/>
          <w:sz w:val="24"/>
          <w:szCs w:val="24"/>
          <w:highlight w:val="none"/>
        </w:rPr>
        <w:t>或授权代表：</w:t>
      </w:r>
      <w:r>
        <w:rPr>
          <w:rFonts w:hint="eastAsia" w:ascii="仿宋" w:hAnsi="仿宋" w:eastAsia="仿宋" w:cs="仿宋"/>
          <w:color w:val="auto"/>
          <w:sz w:val="24"/>
          <w:szCs w:val="24"/>
          <w:highlight w:val="none"/>
          <w:u w:val="single"/>
        </w:rPr>
        <w:t xml:space="preserve">       （签字或盖章）</w:t>
      </w:r>
    </w:p>
    <w:p w14:paraId="1874A473">
      <w:pPr>
        <w:keepNext w:val="0"/>
        <w:keepLines w:val="0"/>
        <w:pageBreakBefore w:val="0"/>
        <w:widowControl w:val="0"/>
        <w:kinsoku/>
        <w:wordWrap/>
        <w:overflowPunct/>
        <w:topLinePunct w:val="0"/>
        <w:bidi w:val="0"/>
        <w:snapToGrid w:val="0"/>
        <w:spacing w:line="360" w:lineRule="auto"/>
        <w:ind w:right="-817" w:rightChars="-389"/>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rPr>
        <w:t xml:space="preserve">    年   月   日</w:t>
      </w:r>
    </w:p>
    <w:p w14:paraId="6BC62A56">
      <w:pPr>
        <w:pStyle w:val="18"/>
        <w:ind w:left="2250" w:hanging="1200"/>
        <w:outlineLvl w:val="9"/>
        <w:rPr>
          <w:color w:val="auto"/>
        </w:rPr>
        <w:sectPr>
          <w:pgSz w:w="11906" w:h="16838"/>
          <w:pgMar w:top="1440" w:right="1800" w:bottom="1440" w:left="1800" w:header="851" w:footer="992" w:gutter="0"/>
          <w:pgNumType w:fmt="decimal"/>
          <w:cols w:space="425" w:num="1"/>
          <w:docGrid w:type="lines" w:linePitch="312" w:charSpace="0"/>
        </w:sectPr>
      </w:pPr>
    </w:p>
    <w:p w14:paraId="3FDBF899">
      <w:pPr>
        <w:jc w:val="center"/>
        <w:rPr>
          <w:rStyle w:val="34"/>
          <w:rFonts w:hint="eastAsia" w:ascii="仿宋" w:hAnsi="仿宋" w:eastAsia="仿宋" w:cs="仿宋"/>
          <w:b w:val="0"/>
          <w:color w:val="auto"/>
          <w:sz w:val="28"/>
          <w:szCs w:val="28"/>
          <w:highlight w:val="none"/>
        </w:rPr>
      </w:pPr>
      <w:r>
        <w:rPr>
          <w:rFonts w:hint="eastAsia" w:ascii="仿宋" w:hAnsi="仿宋" w:eastAsia="仿宋" w:cs="仿宋"/>
          <w:bCs/>
          <w:color w:val="auto"/>
          <w:sz w:val="28"/>
          <w:szCs w:val="28"/>
          <w:highlight w:val="none"/>
        </w:rPr>
        <w:t>2.</w:t>
      </w:r>
      <w:r>
        <w:rPr>
          <w:rStyle w:val="25"/>
          <w:rFonts w:hint="eastAsia" w:ascii="仿宋" w:hAnsi="仿宋" w:eastAsia="仿宋" w:cs="仿宋"/>
          <w:b w:val="0"/>
          <w:bCs/>
          <w:color w:val="auto"/>
          <w:sz w:val="28"/>
          <w:szCs w:val="28"/>
          <w:highlight w:val="none"/>
        </w:rPr>
        <w:t>投标函</w:t>
      </w:r>
    </w:p>
    <w:p w14:paraId="7D0A8E06">
      <w:pPr>
        <w:spacing w:line="360" w:lineRule="auto"/>
        <w:ind w:firstLine="3920"/>
        <w:rPr>
          <w:rFonts w:hint="eastAsia" w:ascii="仿宋" w:hAnsi="仿宋" w:eastAsia="仿宋" w:cs="仿宋"/>
          <w:color w:val="auto"/>
          <w:sz w:val="28"/>
          <w:szCs w:val="28"/>
          <w:highlight w:val="none"/>
        </w:rPr>
      </w:pPr>
    </w:p>
    <w:p w14:paraId="7A82BFF4">
      <w:pPr>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lang w:eastAsia="zh-CN"/>
        </w:rPr>
        <w:t>马迭尔食品（浙江）有限公司</w:t>
      </w:r>
    </w:p>
    <w:p w14:paraId="7A5C8329">
      <w:pPr>
        <w:snapToGrid w:val="0"/>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根据贵方</w:t>
      </w:r>
      <w:r>
        <w:rPr>
          <w:rFonts w:hint="eastAsia" w:ascii="仿宋" w:hAnsi="仿宋" w:eastAsia="仿宋" w:cs="仿宋"/>
          <w:i w:val="0"/>
          <w:iCs w:val="0"/>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u w:val="single"/>
          <w:lang w:val="en-US" w:eastAsia="zh-CN"/>
        </w:rPr>
        <w:t xml:space="preserve">项目名称）  </w:t>
      </w:r>
      <w:r>
        <w:rPr>
          <w:rFonts w:hint="eastAsia" w:ascii="仿宋" w:hAnsi="仿宋" w:eastAsia="仿宋" w:cs="仿宋"/>
          <w:color w:val="auto"/>
          <w:sz w:val="24"/>
          <w:szCs w:val="24"/>
          <w:highlight w:val="none"/>
        </w:rPr>
        <w:t>的招标公告（项目编号：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投标人</w:t>
      </w:r>
      <w:r>
        <w:rPr>
          <w:rFonts w:hint="eastAsia" w:ascii="仿宋" w:hAnsi="仿宋" w:eastAsia="仿宋" w:cs="仿宋"/>
          <w:color w:val="auto"/>
          <w:sz w:val="24"/>
          <w:szCs w:val="24"/>
          <w:highlight w:val="none"/>
          <w:u w:val="single"/>
        </w:rPr>
        <w:t>全称）</w:t>
      </w:r>
      <w:r>
        <w:rPr>
          <w:rFonts w:hint="eastAsia" w:ascii="仿宋" w:hAnsi="仿宋" w:eastAsia="仿宋" w:cs="仿宋"/>
          <w:color w:val="auto"/>
          <w:sz w:val="24"/>
          <w:szCs w:val="24"/>
          <w:highlight w:val="none"/>
        </w:rPr>
        <w:t>正式授权</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全名</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rPr>
        <w:t>为授权代表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代表本单位参加贵方组织的此次招标的有关活动，并</w:t>
      </w:r>
      <w:r>
        <w:rPr>
          <w:rFonts w:hint="eastAsia" w:ascii="仿宋" w:hAnsi="仿宋" w:eastAsia="仿宋" w:cs="仿宋"/>
          <w:color w:val="auto"/>
          <w:sz w:val="24"/>
          <w:szCs w:val="24"/>
          <w:highlight w:val="none"/>
        </w:rPr>
        <w:t>提交资格审查文件、</w:t>
      </w:r>
      <w:r>
        <w:rPr>
          <w:rFonts w:hint="eastAsia" w:ascii="仿宋" w:hAnsi="仿宋" w:eastAsia="仿宋" w:cs="仿宋"/>
          <w:color w:val="auto"/>
          <w:sz w:val="24"/>
          <w:szCs w:val="24"/>
          <w:highlight w:val="none"/>
          <w:lang w:eastAsia="zh-CN"/>
        </w:rPr>
        <w:t>技术商务</w:t>
      </w:r>
      <w:r>
        <w:rPr>
          <w:rFonts w:hint="eastAsia" w:ascii="仿宋" w:hAnsi="仿宋" w:eastAsia="仿宋" w:cs="仿宋"/>
          <w:color w:val="auto"/>
          <w:sz w:val="24"/>
          <w:szCs w:val="24"/>
          <w:highlight w:val="none"/>
        </w:rPr>
        <w:t>文件、报价文件各一份。</w:t>
      </w:r>
    </w:p>
    <w:p w14:paraId="59194AA7">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据此函，</w:t>
      </w:r>
      <w:r>
        <w:rPr>
          <w:rFonts w:hint="eastAsia" w:ascii="仿宋" w:hAnsi="仿宋" w:eastAsia="仿宋" w:cs="仿宋"/>
          <w:color w:val="auto"/>
          <w:sz w:val="24"/>
          <w:szCs w:val="24"/>
          <w:highlight w:val="none"/>
          <w:lang w:val="en-US" w:eastAsia="zh-CN"/>
        </w:rPr>
        <w:t>授权</w:t>
      </w:r>
      <w:r>
        <w:rPr>
          <w:rFonts w:hint="eastAsia" w:ascii="仿宋" w:hAnsi="仿宋" w:eastAsia="仿宋" w:cs="仿宋"/>
          <w:color w:val="auto"/>
          <w:sz w:val="24"/>
          <w:szCs w:val="24"/>
          <w:highlight w:val="none"/>
        </w:rPr>
        <w:t>代表宣布同意如下：</w:t>
      </w:r>
    </w:p>
    <w:p w14:paraId="4B392755">
      <w:pPr>
        <w:pStyle w:val="12"/>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1.我方向贵方提交的所有投标文件、资料都是准确的和真实的。</w:t>
      </w:r>
    </w:p>
    <w:p w14:paraId="6222CEB0">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2.我方已详细审查全部“</w:t>
      </w:r>
      <w:r>
        <w:rPr>
          <w:rFonts w:hint="eastAsia" w:ascii="仿宋" w:hAnsi="仿宋" w:eastAsia="仿宋" w:cs="仿宋"/>
          <w:color w:val="auto"/>
          <w:sz w:val="24"/>
          <w:szCs w:val="24"/>
          <w:highlight w:val="none"/>
          <w:lang w:eastAsia="zh-CN"/>
        </w:rPr>
        <w:t>招标文件</w:t>
      </w:r>
      <w:r>
        <w:rPr>
          <w:rFonts w:hint="eastAsia" w:ascii="仿宋" w:hAnsi="仿宋" w:eastAsia="仿宋" w:cs="仿宋"/>
          <w:color w:val="auto"/>
          <w:sz w:val="24"/>
          <w:szCs w:val="24"/>
          <w:highlight w:val="none"/>
        </w:rPr>
        <w:t>”，包括修改文件（如有）以及全部参考资料和有关附件，已经了解我方对于</w:t>
      </w:r>
      <w:r>
        <w:rPr>
          <w:rFonts w:hint="eastAsia" w:ascii="仿宋" w:hAnsi="仿宋" w:eastAsia="仿宋" w:cs="仿宋"/>
          <w:color w:val="auto"/>
          <w:sz w:val="24"/>
          <w:szCs w:val="24"/>
          <w:highlight w:val="none"/>
          <w:lang w:eastAsia="zh-CN"/>
        </w:rPr>
        <w:t>招标文件</w:t>
      </w:r>
      <w:r>
        <w:rPr>
          <w:rFonts w:hint="eastAsia" w:ascii="仿宋" w:hAnsi="仿宋" w:eastAsia="仿宋" w:cs="仿宋"/>
          <w:color w:val="auto"/>
          <w:sz w:val="24"/>
          <w:szCs w:val="24"/>
          <w:highlight w:val="none"/>
        </w:rPr>
        <w:t>、采购过程、采购结果有依法进行询问、质疑、投诉的权利及相关渠道和要求。</w:t>
      </w:r>
    </w:p>
    <w:p w14:paraId="22E95210">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3.我方在投标之前已经完全理解并接受</w:t>
      </w:r>
      <w:r>
        <w:rPr>
          <w:rFonts w:hint="eastAsia" w:ascii="仿宋" w:hAnsi="仿宋" w:eastAsia="仿宋" w:cs="仿宋"/>
          <w:color w:val="auto"/>
          <w:sz w:val="24"/>
          <w:szCs w:val="24"/>
          <w:highlight w:val="none"/>
          <w:lang w:eastAsia="zh-CN"/>
        </w:rPr>
        <w:t>招标文件</w:t>
      </w:r>
      <w:r>
        <w:rPr>
          <w:rFonts w:hint="eastAsia" w:ascii="仿宋" w:hAnsi="仿宋" w:eastAsia="仿宋" w:cs="仿宋"/>
          <w:color w:val="auto"/>
          <w:sz w:val="24"/>
          <w:szCs w:val="24"/>
          <w:highlight w:val="none"/>
        </w:rPr>
        <w:t>的各项规定和要求，对</w:t>
      </w:r>
      <w:r>
        <w:rPr>
          <w:rFonts w:hint="eastAsia" w:ascii="仿宋" w:hAnsi="仿宋" w:eastAsia="仿宋" w:cs="仿宋"/>
          <w:color w:val="auto"/>
          <w:sz w:val="24"/>
          <w:szCs w:val="24"/>
          <w:highlight w:val="none"/>
          <w:lang w:eastAsia="zh-CN"/>
        </w:rPr>
        <w:t>招标文件</w:t>
      </w:r>
      <w:r>
        <w:rPr>
          <w:rFonts w:hint="eastAsia" w:ascii="仿宋" w:hAnsi="仿宋" w:eastAsia="仿宋" w:cs="仿宋"/>
          <w:color w:val="auto"/>
          <w:sz w:val="24"/>
          <w:szCs w:val="24"/>
          <w:highlight w:val="none"/>
        </w:rPr>
        <w:t>的合理性、合法性不再有异议。</w:t>
      </w:r>
    </w:p>
    <w:p w14:paraId="5C0FB820">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4.本投标有效期</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rPr>
        <w:t>投标文件递交截止之日起</w:t>
      </w:r>
      <w:r>
        <w:rPr>
          <w:rFonts w:hint="eastAsia" w:ascii="仿宋" w:hAnsi="仿宋" w:eastAsia="仿宋" w:cs="仿宋"/>
          <w:color w:val="auto"/>
          <w:sz w:val="24"/>
          <w:szCs w:val="24"/>
          <w:u w:val="single"/>
        </w:rPr>
        <w:t>90</w:t>
      </w:r>
      <w:r>
        <w:rPr>
          <w:rFonts w:hint="eastAsia" w:ascii="仿宋" w:hAnsi="仿宋" w:eastAsia="仿宋" w:cs="仿宋"/>
          <w:color w:val="auto"/>
          <w:sz w:val="24"/>
          <w:szCs w:val="24"/>
        </w:rPr>
        <w:t>天。</w:t>
      </w:r>
    </w:p>
    <w:p w14:paraId="468938E4">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5.如中标，本投标文件至本项目合同履行完毕止均保持有效，</w:t>
      </w:r>
      <w:r>
        <w:rPr>
          <w:rFonts w:hint="eastAsia" w:ascii="仿宋" w:hAnsi="仿宋" w:eastAsia="仿宋" w:cs="仿宋"/>
          <w:color w:val="auto"/>
          <w:sz w:val="24"/>
          <w:szCs w:val="24"/>
          <w:highlight w:val="none"/>
          <w:lang w:val="en-US" w:eastAsia="zh-CN"/>
        </w:rPr>
        <w:t>我方</w:t>
      </w:r>
      <w:r>
        <w:rPr>
          <w:rFonts w:hint="eastAsia" w:ascii="仿宋" w:hAnsi="仿宋" w:eastAsia="仿宋" w:cs="仿宋"/>
          <w:color w:val="auto"/>
          <w:sz w:val="24"/>
          <w:szCs w:val="24"/>
          <w:highlight w:val="none"/>
        </w:rPr>
        <w:t>将按“</w:t>
      </w:r>
      <w:r>
        <w:rPr>
          <w:rFonts w:hint="eastAsia" w:ascii="仿宋" w:hAnsi="仿宋" w:eastAsia="仿宋" w:cs="仿宋"/>
          <w:color w:val="auto"/>
          <w:sz w:val="24"/>
          <w:szCs w:val="24"/>
          <w:highlight w:val="none"/>
          <w:lang w:eastAsia="zh-CN"/>
        </w:rPr>
        <w:t>招标文件</w:t>
      </w:r>
      <w:r>
        <w:rPr>
          <w:rFonts w:hint="eastAsia" w:ascii="仿宋" w:hAnsi="仿宋" w:eastAsia="仿宋" w:cs="仿宋"/>
          <w:color w:val="auto"/>
          <w:sz w:val="24"/>
          <w:szCs w:val="24"/>
          <w:highlight w:val="none"/>
        </w:rPr>
        <w:t>”及采购</w:t>
      </w:r>
      <w:r>
        <w:rPr>
          <w:rFonts w:hint="eastAsia" w:ascii="仿宋" w:hAnsi="仿宋" w:eastAsia="仿宋" w:cs="仿宋"/>
          <w:color w:val="auto"/>
          <w:sz w:val="24"/>
          <w:szCs w:val="24"/>
          <w:highlight w:val="none"/>
          <w:lang w:eastAsia="zh-CN"/>
        </w:rPr>
        <w:t>法律法规</w:t>
      </w:r>
      <w:r>
        <w:rPr>
          <w:rFonts w:hint="eastAsia" w:ascii="仿宋" w:hAnsi="仿宋" w:eastAsia="仿宋" w:cs="仿宋"/>
          <w:color w:val="auto"/>
          <w:sz w:val="24"/>
          <w:szCs w:val="24"/>
          <w:highlight w:val="none"/>
        </w:rPr>
        <w:t>的规定履行合同责任和义务。</w:t>
      </w:r>
    </w:p>
    <w:p w14:paraId="2C865367">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6.我方同意按照贵方要求提供与投标有关的一切数据或资料。</w:t>
      </w:r>
    </w:p>
    <w:p w14:paraId="708D3080">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7.与本投标有关的一切正式往来信函请寄：</w:t>
      </w:r>
    </w:p>
    <w:p w14:paraId="0D659022">
      <w:pPr>
        <w:snapToGrid w:val="0"/>
        <w:spacing w:line="360" w:lineRule="auto"/>
        <w:rPr>
          <w:rFonts w:hint="eastAsia" w:ascii="仿宋" w:hAnsi="仿宋" w:eastAsia="仿宋" w:cs="仿宋"/>
          <w:color w:val="auto"/>
          <w:sz w:val="24"/>
          <w:szCs w:val="24"/>
          <w:highlight w:val="none"/>
        </w:rPr>
      </w:pPr>
    </w:p>
    <w:p w14:paraId="3191169C">
      <w:pPr>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邮编：</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电话：</w:t>
      </w:r>
      <w:r>
        <w:rPr>
          <w:rFonts w:hint="eastAsia" w:ascii="仿宋" w:hAnsi="仿宋" w:eastAsia="仿宋" w:cs="仿宋"/>
          <w:color w:val="auto"/>
          <w:sz w:val="24"/>
          <w:szCs w:val="24"/>
          <w:highlight w:val="none"/>
          <w:u w:val="single"/>
        </w:rPr>
        <w:t xml:space="preserve">             </w:t>
      </w:r>
    </w:p>
    <w:p w14:paraId="6190D0A6">
      <w:pPr>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授权</w:t>
      </w:r>
      <w:r>
        <w:rPr>
          <w:rFonts w:hint="eastAsia" w:ascii="仿宋" w:hAnsi="仿宋" w:eastAsia="仿宋" w:cs="仿宋"/>
          <w:color w:val="auto"/>
          <w:sz w:val="24"/>
          <w:szCs w:val="24"/>
          <w:highlight w:val="none"/>
        </w:rPr>
        <w:t>代表姓名：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职务：</w:t>
      </w:r>
      <w:r>
        <w:rPr>
          <w:rFonts w:hint="eastAsia" w:ascii="仿宋" w:hAnsi="仿宋" w:eastAsia="仿宋" w:cs="仿宋"/>
          <w:color w:val="auto"/>
          <w:sz w:val="24"/>
          <w:szCs w:val="24"/>
          <w:highlight w:val="none"/>
          <w:u w:val="single"/>
        </w:rPr>
        <w:t xml:space="preserve">             </w:t>
      </w:r>
    </w:p>
    <w:p w14:paraId="0384FDC3">
      <w:pPr>
        <w:keepNext w:val="0"/>
        <w:keepLines w:val="0"/>
        <w:pageBreakBefore w:val="0"/>
        <w:widowControl w:val="0"/>
        <w:kinsoku/>
        <w:wordWrap/>
        <w:overflowPunct/>
        <w:topLinePunct w:val="0"/>
        <w:bidi w:val="0"/>
        <w:snapToGrid w:val="0"/>
        <w:spacing w:line="360" w:lineRule="auto"/>
        <w:ind w:right="-817" w:rightChars="-389"/>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投标人名称：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盖章</w:t>
      </w:r>
      <w:r>
        <w:rPr>
          <w:rFonts w:hint="eastAsia" w:ascii="仿宋" w:hAnsi="仿宋" w:eastAsia="仿宋" w:cs="仿宋"/>
          <w:color w:val="auto"/>
          <w:sz w:val="24"/>
          <w:szCs w:val="24"/>
          <w:highlight w:val="none"/>
          <w:u w:val="single"/>
        </w:rPr>
        <w:t>）</w:t>
      </w:r>
    </w:p>
    <w:p w14:paraId="2BD09DB2">
      <w:pPr>
        <w:keepNext w:val="0"/>
        <w:keepLines w:val="0"/>
        <w:pageBreakBefore w:val="0"/>
        <w:widowControl w:val="0"/>
        <w:kinsoku/>
        <w:wordWrap/>
        <w:overflowPunct/>
        <w:topLinePunct w:val="0"/>
        <w:bidi w:val="0"/>
        <w:snapToGrid w:val="0"/>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法定代表人（负责人）</w:t>
      </w:r>
      <w:r>
        <w:rPr>
          <w:rFonts w:hint="eastAsia" w:ascii="仿宋" w:hAnsi="仿宋" w:eastAsia="仿宋" w:cs="仿宋"/>
          <w:color w:val="auto"/>
          <w:sz w:val="24"/>
          <w:szCs w:val="24"/>
          <w:highlight w:val="none"/>
        </w:rPr>
        <w:t>或授权代表：</w:t>
      </w:r>
      <w:r>
        <w:rPr>
          <w:rFonts w:hint="eastAsia" w:ascii="仿宋" w:hAnsi="仿宋" w:eastAsia="仿宋" w:cs="仿宋"/>
          <w:color w:val="auto"/>
          <w:sz w:val="24"/>
          <w:szCs w:val="24"/>
          <w:highlight w:val="none"/>
          <w:u w:val="single"/>
        </w:rPr>
        <w:t xml:space="preserve">       （签字或盖章）</w:t>
      </w:r>
    </w:p>
    <w:p w14:paraId="18CC148C">
      <w:pPr>
        <w:keepNext w:val="0"/>
        <w:keepLines w:val="0"/>
        <w:pageBreakBefore w:val="0"/>
        <w:widowControl w:val="0"/>
        <w:kinsoku/>
        <w:wordWrap/>
        <w:overflowPunct/>
        <w:topLinePunct w:val="0"/>
        <w:bidi w:val="0"/>
        <w:snapToGrid w:val="0"/>
        <w:spacing w:line="360" w:lineRule="auto"/>
        <w:ind w:right="-817" w:rightChars="-389"/>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rPr>
        <w:t xml:space="preserve">    年   月   日</w:t>
      </w:r>
    </w:p>
    <w:p w14:paraId="05115048">
      <w:pPr>
        <w:spacing w:line="540" w:lineRule="exact"/>
        <w:ind w:firstLine="480" w:firstLineChars="200"/>
        <w:rPr>
          <w:rFonts w:hint="eastAsia" w:ascii="仿宋" w:hAnsi="仿宋" w:eastAsia="仿宋" w:cs="仿宋"/>
          <w:color w:val="auto"/>
          <w:sz w:val="24"/>
          <w:szCs w:val="24"/>
          <w:highlight w:val="none"/>
        </w:rPr>
        <w:sectPr>
          <w:pgSz w:w="11922" w:h="16838"/>
          <w:pgMar w:top="1417" w:right="1304" w:bottom="1417" w:left="1304" w:header="397" w:footer="1037" w:gutter="0"/>
          <w:pgNumType w:fmt="decimal"/>
          <w:cols w:space="0" w:num="1"/>
          <w:rtlGutter w:val="0"/>
          <w:docGrid w:linePitch="312" w:charSpace="0"/>
        </w:sectPr>
      </w:pPr>
    </w:p>
    <w:p w14:paraId="65AE132A">
      <w:pPr>
        <w:autoSpaceDE w:val="0"/>
        <w:autoSpaceDN w:val="0"/>
        <w:adjustRightInd w:val="0"/>
        <w:spacing w:line="320" w:lineRule="atLeast"/>
        <w:jc w:val="center"/>
        <w:outlineLvl w:val="9"/>
        <w:rPr>
          <w:rFonts w:ascii="仿宋" w:hAnsi="仿宋" w:eastAsia="仿宋" w:cs="仿宋"/>
          <w:color w:val="auto"/>
          <w:spacing w:val="20"/>
          <w:sz w:val="28"/>
          <w:szCs w:val="28"/>
          <w:lang w:val="zh-CN"/>
        </w:rPr>
      </w:pPr>
      <w:r>
        <w:rPr>
          <w:rFonts w:hint="eastAsia" w:ascii="仿宋" w:hAnsi="仿宋" w:eastAsia="仿宋" w:cs="仿宋"/>
          <w:color w:val="auto"/>
          <w:spacing w:val="20"/>
          <w:sz w:val="28"/>
          <w:szCs w:val="28"/>
        </w:rPr>
        <w:t>3.</w:t>
      </w:r>
      <w:r>
        <w:rPr>
          <w:rFonts w:hint="eastAsia" w:ascii="仿宋" w:hAnsi="仿宋" w:eastAsia="仿宋" w:cs="仿宋"/>
          <w:color w:val="auto"/>
          <w:spacing w:val="20"/>
          <w:sz w:val="28"/>
          <w:szCs w:val="28"/>
          <w:lang w:val="zh-CN"/>
        </w:rPr>
        <w:t>业绩一览表</w:t>
      </w:r>
    </w:p>
    <w:p w14:paraId="2B0B0BC0">
      <w:pPr>
        <w:spacing w:line="320" w:lineRule="exact"/>
        <w:ind w:firstLine="435"/>
        <w:outlineLvl w:val="9"/>
        <w:rPr>
          <w:rFonts w:ascii="仿宋" w:hAnsi="仿宋" w:eastAsia="仿宋" w:cs="仿宋"/>
          <w:b/>
          <w:color w:val="auto"/>
          <w:sz w:val="28"/>
          <w:szCs w:val="28"/>
        </w:rPr>
      </w:pPr>
    </w:p>
    <w:tbl>
      <w:tblPr>
        <w:tblStyle w:val="23"/>
        <w:tblW w:w="9251" w:type="dxa"/>
        <w:jc w:val="center"/>
        <w:tblBorders>
          <w:top w:val="double" w:color="auto" w:sz="6" w:space="0"/>
          <w:left w:val="double" w:color="auto" w:sz="6" w:space="0"/>
          <w:bottom w:val="double" w:color="auto" w:sz="6" w:space="0"/>
          <w:right w:val="single" w:color="auto" w:sz="6" w:space="0"/>
          <w:insideH w:val="none" w:color="auto" w:sz="0" w:space="0"/>
          <w:insideV w:val="none" w:color="auto" w:sz="0" w:space="0"/>
        </w:tblBorders>
        <w:tblLayout w:type="fixed"/>
        <w:tblCellMar>
          <w:top w:w="0" w:type="dxa"/>
          <w:left w:w="10" w:type="dxa"/>
          <w:bottom w:w="0" w:type="dxa"/>
          <w:right w:w="10" w:type="dxa"/>
        </w:tblCellMar>
      </w:tblPr>
      <w:tblGrid>
        <w:gridCol w:w="712"/>
        <w:gridCol w:w="2285"/>
        <w:gridCol w:w="1515"/>
        <w:gridCol w:w="2364"/>
        <w:gridCol w:w="2375"/>
      </w:tblGrid>
      <w:tr w14:paraId="662F3770">
        <w:tblPrEx>
          <w:tblBorders>
            <w:top w:val="double" w:color="auto" w:sz="6" w:space="0"/>
            <w:left w:val="double" w:color="auto" w:sz="6" w:space="0"/>
            <w:bottom w:val="double" w:color="auto" w:sz="6" w:space="0"/>
            <w:right w:val="single" w:color="auto" w:sz="6" w:space="0"/>
            <w:insideH w:val="none" w:color="auto" w:sz="0" w:space="0"/>
            <w:insideV w:val="none" w:color="auto" w:sz="0" w:space="0"/>
          </w:tblBorders>
          <w:tblCellMar>
            <w:top w:w="0" w:type="dxa"/>
            <w:left w:w="10" w:type="dxa"/>
            <w:bottom w:w="0" w:type="dxa"/>
            <w:right w:w="10" w:type="dxa"/>
          </w:tblCellMar>
        </w:tblPrEx>
        <w:trPr>
          <w:trHeight w:val="346" w:hRule="atLeast"/>
          <w:jc w:val="center"/>
        </w:trPr>
        <w:tc>
          <w:tcPr>
            <w:tcW w:w="712" w:type="dxa"/>
            <w:tcBorders>
              <w:top w:val="single" w:color="000000" w:sz="6" w:space="0"/>
              <w:left w:val="single" w:color="000000" w:sz="6" w:space="0"/>
              <w:bottom w:val="single" w:color="000000" w:sz="6" w:space="0"/>
              <w:right w:val="single" w:color="000000" w:sz="6" w:space="0"/>
            </w:tcBorders>
            <w:vAlign w:val="center"/>
          </w:tcPr>
          <w:p w14:paraId="294C0993">
            <w:pPr>
              <w:pStyle w:val="8"/>
              <w:tabs>
                <w:tab w:val="left" w:pos="8460"/>
                <w:tab w:val="left" w:pos="8640"/>
              </w:tabs>
              <w:spacing w:line="360" w:lineRule="auto"/>
              <w:ind w:right="25" w:rightChars="12"/>
              <w:jc w:val="center"/>
              <w:outlineLvl w:val="9"/>
              <w:rPr>
                <w:rFonts w:ascii="仿宋" w:hAnsi="仿宋" w:eastAsia="仿宋" w:cs="仿宋"/>
                <w:b w:val="0"/>
                <w:bCs w:val="0"/>
                <w:caps/>
                <w:color w:val="auto"/>
                <w:sz w:val="24"/>
              </w:rPr>
            </w:pPr>
            <w:r>
              <w:rPr>
                <w:rFonts w:hint="eastAsia" w:ascii="仿宋" w:hAnsi="仿宋" w:eastAsia="仿宋" w:cs="仿宋"/>
                <w:b w:val="0"/>
                <w:bCs w:val="0"/>
                <w:color w:val="auto"/>
                <w:sz w:val="24"/>
              </w:rPr>
              <w:t>序号</w:t>
            </w:r>
          </w:p>
        </w:tc>
        <w:tc>
          <w:tcPr>
            <w:tcW w:w="2285" w:type="dxa"/>
            <w:tcBorders>
              <w:top w:val="single" w:color="000000" w:sz="6" w:space="0"/>
              <w:left w:val="single" w:color="000000" w:sz="6" w:space="0"/>
              <w:bottom w:val="single" w:color="000000" w:sz="6" w:space="0"/>
              <w:right w:val="single" w:color="000000" w:sz="6" w:space="0"/>
            </w:tcBorders>
            <w:vAlign w:val="center"/>
          </w:tcPr>
          <w:p w14:paraId="7B49F635">
            <w:pPr>
              <w:pStyle w:val="8"/>
              <w:tabs>
                <w:tab w:val="left" w:pos="8460"/>
                <w:tab w:val="left" w:pos="8640"/>
              </w:tabs>
              <w:spacing w:line="360" w:lineRule="auto"/>
              <w:ind w:right="25" w:rightChars="12"/>
              <w:jc w:val="center"/>
              <w:outlineLvl w:val="9"/>
              <w:rPr>
                <w:rFonts w:ascii="仿宋" w:hAnsi="仿宋" w:eastAsia="仿宋" w:cs="仿宋"/>
                <w:b w:val="0"/>
                <w:bCs w:val="0"/>
                <w:caps/>
                <w:color w:val="auto"/>
                <w:sz w:val="24"/>
              </w:rPr>
            </w:pPr>
            <w:r>
              <w:rPr>
                <w:rFonts w:hint="eastAsia" w:ascii="仿宋" w:hAnsi="仿宋" w:eastAsia="仿宋" w:cs="仿宋"/>
                <w:b w:val="0"/>
                <w:bCs w:val="0"/>
                <w:color w:val="auto"/>
                <w:sz w:val="24"/>
              </w:rPr>
              <w:t>项目名称</w:t>
            </w:r>
          </w:p>
        </w:tc>
        <w:tc>
          <w:tcPr>
            <w:tcW w:w="1515" w:type="dxa"/>
            <w:tcBorders>
              <w:top w:val="single" w:color="000000" w:sz="6" w:space="0"/>
              <w:left w:val="single" w:color="000000" w:sz="6" w:space="0"/>
              <w:bottom w:val="single" w:color="000000" w:sz="6" w:space="0"/>
              <w:right w:val="single" w:color="000000" w:sz="6" w:space="0"/>
            </w:tcBorders>
            <w:vAlign w:val="center"/>
          </w:tcPr>
          <w:p w14:paraId="1771742E">
            <w:pPr>
              <w:pStyle w:val="8"/>
              <w:tabs>
                <w:tab w:val="left" w:pos="8460"/>
                <w:tab w:val="left" w:pos="8640"/>
              </w:tabs>
              <w:spacing w:line="360" w:lineRule="auto"/>
              <w:ind w:right="25" w:rightChars="12"/>
              <w:jc w:val="center"/>
              <w:outlineLvl w:val="9"/>
              <w:rPr>
                <w:rFonts w:ascii="仿宋" w:hAnsi="仿宋" w:eastAsia="仿宋" w:cs="仿宋"/>
                <w:b w:val="0"/>
                <w:bCs w:val="0"/>
                <w:caps/>
                <w:color w:val="auto"/>
                <w:sz w:val="24"/>
              </w:rPr>
            </w:pPr>
            <w:r>
              <w:rPr>
                <w:rFonts w:hint="eastAsia" w:ascii="仿宋" w:hAnsi="仿宋" w:eastAsia="仿宋" w:cs="仿宋"/>
                <w:b w:val="0"/>
                <w:bCs w:val="0"/>
                <w:color w:val="auto"/>
                <w:sz w:val="24"/>
              </w:rPr>
              <w:t>业主单位</w:t>
            </w:r>
          </w:p>
        </w:tc>
        <w:tc>
          <w:tcPr>
            <w:tcW w:w="2364" w:type="dxa"/>
            <w:tcBorders>
              <w:top w:val="single" w:color="000000" w:sz="6" w:space="0"/>
              <w:left w:val="single" w:color="000000" w:sz="6" w:space="0"/>
              <w:bottom w:val="single" w:color="000000" w:sz="6" w:space="0"/>
              <w:right w:val="single" w:color="000000" w:sz="6" w:space="0"/>
            </w:tcBorders>
            <w:vAlign w:val="center"/>
          </w:tcPr>
          <w:p w14:paraId="01C8F386">
            <w:pPr>
              <w:pStyle w:val="8"/>
              <w:tabs>
                <w:tab w:val="left" w:pos="8460"/>
                <w:tab w:val="left" w:pos="8640"/>
              </w:tabs>
              <w:spacing w:line="400" w:lineRule="exact"/>
              <w:ind w:right="25" w:rightChars="12"/>
              <w:jc w:val="center"/>
              <w:outlineLvl w:val="9"/>
              <w:rPr>
                <w:rFonts w:ascii="仿宋" w:hAnsi="仿宋" w:eastAsia="仿宋" w:cs="仿宋"/>
                <w:b w:val="0"/>
                <w:bCs w:val="0"/>
                <w:caps/>
                <w:color w:val="auto"/>
                <w:sz w:val="24"/>
              </w:rPr>
            </w:pPr>
            <w:r>
              <w:rPr>
                <w:rFonts w:hint="eastAsia" w:ascii="仿宋" w:hAnsi="仿宋" w:eastAsia="仿宋" w:cs="仿宋"/>
                <w:b w:val="0"/>
                <w:bCs w:val="0"/>
                <w:color w:val="auto"/>
                <w:sz w:val="24"/>
              </w:rPr>
              <w:t>合同签订时间及合同期限</w:t>
            </w:r>
          </w:p>
        </w:tc>
        <w:tc>
          <w:tcPr>
            <w:tcW w:w="2375" w:type="dxa"/>
            <w:tcBorders>
              <w:top w:val="single" w:color="000000" w:sz="6" w:space="0"/>
              <w:left w:val="single" w:color="000000" w:sz="6" w:space="0"/>
              <w:bottom w:val="single" w:color="000000" w:sz="6" w:space="0"/>
              <w:right w:val="single" w:color="000000" w:sz="6" w:space="0"/>
            </w:tcBorders>
            <w:vAlign w:val="center"/>
          </w:tcPr>
          <w:p w14:paraId="60636933">
            <w:pPr>
              <w:pStyle w:val="8"/>
              <w:tabs>
                <w:tab w:val="left" w:pos="8460"/>
                <w:tab w:val="left" w:pos="8640"/>
              </w:tabs>
              <w:spacing w:line="360" w:lineRule="auto"/>
              <w:ind w:right="25" w:rightChars="12"/>
              <w:jc w:val="center"/>
              <w:outlineLvl w:val="9"/>
              <w:rPr>
                <w:rFonts w:ascii="仿宋" w:hAnsi="仿宋" w:eastAsia="仿宋" w:cs="仿宋"/>
                <w:b w:val="0"/>
                <w:bCs w:val="0"/>
                <w:caps/>
                <w:color w:val="auto"/>
                <w:sz w:val="24"/>
              </w:rPr>
            </w:pPr>
            <w:r>
              <w:rPr>
                <w:rFonts w:hint="eastAsia" w:ascii="仿宋" w:hAnsi="仿宋" w:eastAsia="仿宋" w:cs="仿宋"/>
                <w:b w:val="0"/>
                <w:bCs w:val="0"/>
                <w:color w:val="auto"/>
                <w:sz w:val="24"/>
              </w:rPr>
              <w:t>合同金额</w:t>
            </w:r>
          </w:p>
        </w:tc>
      </w:tr>
      <w:tr w14:paraId="4B22D57C">
        <w:tblPrEx>
          <w:tblBorders>
            <w:top w:val="double" w:color="auto" w:sz="6" w:space="0"/>
            <w:left w:val="double" w:color="auto" w:sz="6" w:space="0"/>
            <w:bottom w:val="double" w:color="auto" w:sz="6" w:space="0"/>
            <w:right w:val="single" w:color="auto" w:sz="6" w:space="0"/>
            <w:insideH w:val="none" w:color="auto" w:sz="0" w:space="0"/>
            <w:insideV w:val="none" w:color="auto" w:sz="0" w:space="0"/>
          </w:tblBorders>
          <w:tblCellMar>
            <w:top w:w="0" w:type="dxa"/>
            <w:left w:w="10" w:type="dxa"/>
            <w:bottom w:w="0" w:type="dxa"/>
            <w:right w:w="10" w:type="dxa"/>
          </w:tblCellMar>
        </w:tblPrEx>
        <w:trPr>
          <w:trHeight w:val="346" w:hRule="atLeast"/>
          <w:jc w:val="center"/>
        </w:trPr>
        <w:tc>
          <w:tcPr>
            <w:tcW w:w="712" w:type="dxa"/>
            <w:tcBorders>
              <w:top w:val="single" w:color="000000" w:sz="6" w:space="0"/>
              <w:left w:val="single" w:color="000000" w:sz="6" w:space="0"/>
              <w:bottom w:val="single" w:color="000000" w:sz="6" w:space="0"/>
              <w:right w:val="single" w:color="000000" w:sz="6" w:space="0"/>
            </w:tcBorders>
          </w:tcPr>
          <w:p w14:paraId="3C4DAA72">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285" w:type="dxa"/>
            <w:tcBorders>
              <w:top w:val="single" w:color="000000" w:sz="6" w:space="0"/>
              <w:left w:val="single" w:color="000000" w:sz="6" w:space="0"/>
              <w:bottom w:val="single" w:color="000000" w:sz="6" w:space="0"/>
              <w:right w:val="single" w:color="000000" w:sz="6" w:space="0"/>
            </w:tcBorders>
          </w:tcPr>
          <w:p w14:paraId="181D73AD">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1515" w:type="dxa"/>
            <w:tcBorders>
              <w:top w:val="single" w:color="000000" w:sz="6" w:space="0"/>
              <w:left w:val="single" w:color="000000" w:sz="6" w:space="0"/>
              <w:bottom w:val="single" w:color="000000" w:sz="6" w:space="0"/>
              <w:right w:val="single" w:color="000000" w:sz="6" w:space="0"/>
            </w:tcBorders>
          </w:tcPr>
          <w:p w14:paraId="6D1B8A37">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64" w:type="dxa"/>
            <w:tcBorders>
              <w:top w:val="single" w:color="000000" w:sz="6" w:space="0"/>
              <w:left w:val="single" w:color="000000" w:sz="6" w:space="0"/>
              <w:bottom w:val="single" w:color="000000" w:sz="6" w:space="0"/>
              <w:right w:val="single" w:color="000000" w:sz="6" w:space="0"/>
            </w:tcBorders>
          </w:tcPr>
          <w:p w14:paraId="6A7FAA27">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75" w:type="dxa"/>
            <w:tcBorders>
              <w:top w:val="single" w:color="000000" w:sz="6" w:space="0"/>
              <w:left w:val="single" w:color="000000" w:sz="6" w:space="0"/>
              <w:bottom w:val="single" w:color="000000" w:sz="6" w:space="0"/>
              <w:right w:val="single" w:color="000000" w:sz="6" w:space="0"/>
            </w:tcBorders>
          </w:tcPr>
          <w:p w14:paraId="16F363BC">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r>
      <w:tr w14:paraId="66AF414D">
        <w:tblPrEx>
          <w:tblBorders>
            <w:top w:val="double" w:color="auto" w:sz="6" w:space="0"/>
            <w:left w:val="double" w:color="auto" w:sz="6" w:space="0"/>
            <w:bottom w:val="double" w:color="auto" w:sz="6" w:space="0"/>
            <w:right w:val="single" w:color="auto" w:sz="6" w:space="0"/>
            <w:insideH w:val="none" w:color="auto" w:sz="0" w:space="0"/>
            <w:insideV w:val="none" w:color="auto" w:sz="0" w:space="0"/>
          </w:tblBorders>
          <w:tblCellMar>
            <w:top w:w="0" w:type="dxa"/>
            <w:left w:w="10" w:type="dxa"/>
            <w:bottom w:w="0" w:type="dxa"/>
            <w:right w:w="10" w:type="dxa"/>
          </w:tblCellMar>
        </w:tblPrEx>
        <w:trPr>
          <w:trHeight w:val="346" w:hRule="atLeast"/>
          <w:jc w:val="center"/>
        </w:trPr>
        <w:tc>
          <w:tcPr>
            <w:tcW w:w="712" w:type="dxa"/>
            <w:tcBorders>
              <w:top w:val="single" w:color="000000" w:sz="6" w:space="0"/>
              <w:left w:val="single" w:color="000000" w:sz="6" w:space="0"/>
              <w:bottom w:val="single" w:color="000000" w:sz="6" w:space="0"/>
              <w:right w:val="single" w:color="000000" w:sz="6" w:space="0"/>
            </w:tcBorders>
          </w:tcPr>
          <w:p w14:paraId="3C20C520">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285" w:type="dxa"/>
            <w:tcBorders>
              <w:top w:val="single" w:color="000000" w:sz="6" w:space="0"/>
              <w:left w:val="single" w:color="000000" w:sz="6" w:space="0"/>
              <w:bottom w:val="single" w:color="000000" w:sz="6" w:space="0"/>
              <w:right w:val="single" w:color="000000" w:sz="6" w:space="0"/>
            </w:tcBorders>
          </w:tcPr>
          <w:p w14:paraId="2FCA57B8">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1515" w:type="dxa"/>
            <w:tcBorders>
              <w:top w:val="single" w:color="000000" w:sz="6" w:space="0"/>
              <w:left w:val="single" w:color="000000" w:sz="6" w:space="0"/>
              <w:bottom w:val="single" w:color="000000" w:sz="6" w:space="0"/>
              <w:right w:val="single" w:color="000000" w:sz="6" w:space="0"/>
            </w:tcBorders>
          </w:tcPr>
          <w:p w14:paraId="73E06D99">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64" w:type="dxa"/>
            <w:tcBorders>
              <w:top w:val="single" w:color="000000" w:sz="6" w:space="0"/>
              <w:left w:val="single" w:color="000000" w:sz="6" w:space="0"/>
              <w:bottom w:val="single" w:color="000000" w:sz="6" w:space="0"/>
              <w:right w:val="single" w:color="000000" w:sz="6" w:space="0"/>
            </w:tcBorders>
          </w:tcPr>
          <w:p w14:paraId="20D1784D">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75" w:type="dxa"/>
            <w:tcBorders>
              <w:top w:val="single" w:color="000000" w:sz="6" w:space="0"/>
              <w:left w:val="single" w:color="000000" w:sz="6" w:space="0"/>
              <w:bottom w:val="single" w:color="000000" w:sz="6" w:space="0"/>
              <w:right w:val="single" w:color="000000" w:sz="6" w:space="0"/>
            </w:tcBorders>
          </w:tcPr>
          <w:p w14:paraId="43EA2BCC">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r>
      <w:tr w14:paraId="2EF84599">
        <w:tblPrEx>
          <w:tblBorders>
            <w:top w:val="double" w:color="auto" w:sz="6" w:space="0"/>
            <w:left w:val="double" w:color="auto" w:sz="6" w:space="0"/>
            <w:bottom w:val="double" w:color="auto" w:sz="6" w:space="0"/>
            <w:right w:val="single" w:color="auto" w:sz="6" w:space="0"/>
            <w:insideH w:val="none" w:color="auto" w:sz="0" w:space="0"/>
            <w:insideV w:val="none" w:color="auto" w:sz="0" w:space="0"/>
          </w:tblBorders>
          <w:tblCellMar>
            <w:top w:w="0" w:type="dxa"/>
            <w:left w:w="10" w:type="dxa"/>
            <w:bottom w:w="0" w:type="dxa"/>
            <w:right w:w="10" w:type="dxa"/>
          </w:tblCellMar>
        </w:tblPrEx>
        <w:trPr>
          <w:trHeight w:val="346" w:hRule="atLeast"/>
          <w:jc w:val="center"/>
        </w:trPr>
        <w:tc>
          <w:tcPr>
            <w:tcW w:w="712" w:type="dxa"/>
            <w:tcBorders>
              <w:top w:val="single" w:color="000000" w:sz="6" w:space="0"/>
              <w:left w:val="single" w:color="000000" w:sz="6" w:space="0"/>
              <w:bottom w:val="single" w:color="000000" w:sz="6" w:space="0"/>
              <w:right w:val="single" w:color="000000" w:sz="6" w:space="0"/>
            </w:tcBorders>
          </w:tcPr>
          <w:p w14:paraId="021F7ECC">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285" w:type="dxa"/>
            <w:tcBorders>
              <w:top w:val="single" w:color="000000" w:sz="6" w:space="0"/>
              <w:left w:val="single" w:color="000000" w:sz="6" w:space="0"/>
              <w:bottom w:val="single" w:color="000000" w:sz="6" w:space="0"/>
              <w:right w:val="single" w:color="000000" w:sz="6" w:space="0"/>
            </w:tcBorders>
          </w:tcPr>
          <w:p w14:paraId="77EDA202">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1515" w:type="dxa"/>
            <w:tcBorders>
              <w:top w:val="single" w:color="000000" w:sz="6" w:space="0"/>
              <w:left w:val="single" w:color="000000" w:sz="6" w:space="0"/>
              <w:bottom w:val="single" w:color="000000" w:sz="6" w:space="0"/>
              <w:right w:val="single" w:color="000000" w:sz="6" w:space="0"/>
            </w:tcBorders>
          </w:tcPr>
          <w:p w14:paraId="312D8069">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64" w:type="dxa"/>
            <w:tcBorders>
              <w:top w:val="single" w:color="000000" w:sz="6" w:space="0"/>
              <w:left w:val="single" w:color="000000" w:sz="6" w:space="0"/>
              <w:bottom w:val="single" w:color="000000" w:sz="6" w:space="0"/>
              <w:right w:val="single" w:color="000000" w:sz="6" w:space="0"/>
            </w:tcBorders>
          </w:tcPr>
          <w:p w14:paraId="0C0BD386">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75" w:type="dxa"/>
            <w:tcBorders>
              <w:top w:val="single" w:color="000000" w:sz="6" w:space="0"/>
              <w:left w:val="single" w:color="000000" w:sz="6" w:space="0"/>
              <w:bottom w:val="single" w:color="000000" w:sz="6" w:space="0"/>
              <w:right w:val="single" w:color="000000" w:sz="6" w:space="0"/>
            </w:tcBorders>
          </w:tcPr>
          <w:p w14:paraId="77307E44">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r>
      <w:tr w14:paraId="19B1DE12">
        <w:tblPrEx>
          <w:tblBorders>
            <w:top w:val="double" w:color="auto" w:sz="6" w:space="0"/>
            <w:left w:val="double" w:color="auto" w:sz="6" w:space="0"/>
            <w:bottom w:val="double" w:color="auto" w:sz="6" w:space="0"/>
            <w:right w:val="single" w:color="auto" w:sz="6" w:space="0"/>
            <w:insideH w:val="none" w:color="auto" w:sz="0" w:space="0"/>
            <w:insideV w:val="none" w:color="auto" w:sz="0" w:space="0"/>
          </w:tblBorders>
          <w:tblCellMar>
            <w:top w:w="0" w:type="dxa"/>
            <w:left w:w="10" w:type="dxa"/>
            <w:bottom w:w="0" w:type="dxa"/>
            <w:right w:w="10" w:type="dxa"/>
          </w:tblCellMar>
        </w:tblPrEx>
        <w:trPr>
          <w:trHeight w:val="346" w:hRule="atLeast"/>
          <w:jc w:val="center"/>
        </w:trPr>
        <w:tc>
          <w:tcPr>
            <w:tcW w:w="712" w:type="dxa"/>
            <w:tcBorders>
              <w:top w:val="single" w:color="000000" w:sz="6" w:space="0"/>
              <w:left w:val="single" w:color="000000" w:sz="6" w:space="0"/>
              <w:bottom w:val="single" w:color="000000" w:sz="6" w:space="0"/>
              <w:right w:val="single" w:color="000000" w:sz="6" w:space="0"/>
            </w:tcBorders>
          </w:tcPr>
          <w:p w14:paraId="4F4A6507">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285" w:type="dxa"/>
            <w:tcBorders>
              <w:top w:val="single" w:color="000000" w:sz="6" w:space="0"/>
              <w:left w:val="single" w:color="000000" w:sz="6" w:space="0"/>
              <w:bottom w:val="single" w:color="000000" w:sz="6" w:space="0"/>
              <w:right w:val="single" w:color="000000" w:sz="6" w:space="0"/>
            </w:tcBorders>
          </w:tcPr>
          <w:p w14:paraId="0F3F8EAB">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1515" w:type="dxa"/>
            <w:tcBorders>
              <w:top w:val="single" w:color="000000" w:sz="6" w:space="0"/>
              <w:left w:val="single" w:color="000000" w:sz="6" w:space="0"/>
              <w:bottom w:val="single" w:color="000000" w:sz="6" w:space="0"/>
              <w:right w:val="single" w:color="000000" w:sz="6" w:space="0"/>
            </w:tcBorders>
          </w:tcPr>
          <w:p w14:paraId="6504E7AA">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64" w:type="dxa"/>
            <w:tcBorders>
              <w:top w:val="single" w:color="000000" w:sz="6" w:space="0"/>
              <w:left w:val="single" w:color="000000" w:sz="6" w:space="0"/>
              <w:bottom w:val="single" w:color="000000" w:sz="6" w:space="0"/>
              <w:right w:val="single" w:color="000000" w:sz="6" w:space="0"/>
            </w:tcBorders>
          </w:tcPr>
          <w:p w14:paraId="006F83B9">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75" w:type="dxa"/>
            <w:tcBorders>
              <w:top w:val="single" w:color="000000" w:sz="6" w:space="0"/>
              <w:left w:val="single" w:color="000000" w:sz="6" w:space="0"/>
              <w:bottom w:val="single" w:color="000000" w:sz="6" w:space="0"/>
              <w:right w:val="single" w:color="000000" w:sz="6" w:space="0"/>
            </w:tcBorders>
          </w:tcPr>
          <w:p w14:paraId="01F1A282">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r>
      <w:tr w14:paraId="081DD378">
        <w:tblPrEx>
          <w:tblBorders>
            <w:top w:val="double" w:color="auto" w:sz="6" w:space="0"/>
            <w:left w:val="double" w:color="auto" w:sz="6" w:space="0"/>
            <w:bottom w:val="double" w:color="auto" w:sz="6" w:space="0"/>
            <w:right w:val="single" w:color="auto" w:sz="6" w:space="0"/>
            <w:insideH w:val="none" w:color="auto" w:sz="0" w:space="0"/>
            <w:insideV w:val="none" w:color="auto" w:sz="0" w:space="0"/>
          </w:tblBorders>
          <w:tblCellMar>
            <w:top w:w="0" w:type="dxa"/>
            <w:left w:w="10" w:type="dxa"/>
            <w:bottom w:w="0" w:type="dxa"/>
            <w:right w:w="10" w:type="dxa"/>
          </w:tblCellMar>
        </w:tblPrEx>
        <w:trPr>
          <w:trHeight w:val="90" w:hRule="atLeast"/>
          <w:jc w:val="center"/>
        </w:trPr>
        <w:tc>
          <w:tcPr>
            <w:tcW w:w="712" w:type="dxa"/>
            <w:tcBorders>
              <w:top w:val="single" w:color="000000" w:sz="6" w:space="0"/>
              <w:left w:val="single" w:color="000000" w:sz="6" w:space="0"/>
              <w:bottom w:val="single" w:color="000000" w:sz="6" w:space="0"/>
              <w:right w:val="single" w:color="000000" w:sz="6" w:space="0"/>
            </w:tcBorders>
          </w:tcPr>
          <w:p w14:paraId="7292DB80">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285" w:type="dxa"/>
            <w:tcBorders>
              <w:top w:val="single" w:color="000000" w:sz="6" w:space="0"/>
              <w:left w:val="single" w:color="000000" w:sz="6" w:space="0"/>
              <w:bottom w:val="single" w:color="000000" w:sz="6" w:space="0"/>
              <w:right w:val="single" w:color="000000" w:sz="6" w:space="0"/>
            </w:tcBorders>
          </w:tcPr>
          <w:p w14:paraId="3C2A9217">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1515" w:type="dxa"/>
            <w:tcBorders>
              <w:top w:val="single" w:color="000000" w:sz="6" w:space="0"/>
              <w:left w:val="single" w:color="000000" w:sz="6" w:space="0"/>
              <w:bottom w:val="single" w:color="000000" w:sz="6" w:space="0"/>
              <w:right w:val="single" w:color="000000" w:sz="6" w:space="0"/>
            </w:tcBorders>
          </w:tcPr>
          <w:p w14:paraId="08E6A50B">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64" w:type="dxa"/>
            <w:tcBorders>
              <w:top w:val="single" w:color="000000" w:sz="6" w:space="0"/>
              <w:left w:val="single" w:color="000000" w:sz="6" w:space="0"/>
              <w:bottom w:val="single" w:color="000000" w:sz="6" w:space="0"/>
              <w:right w:val="single" w:color="000000" w:sz="6" w:space="0"/>
            </w:tcBorders>
          </w:tcPr>
          <w:p w14:paraId="50FFEF7F">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75" w:type="dxa"/>
            <w:tcBorders>
              <w:top w:val="single" w:color="000000" w:sz="6" w:space="0"/>
              <w:left w:val="single" w:color="000000" w:sz="6" w:space="0"/>
              <w:bottom w:val="single" w:color="000000" w:sz="6" w:space="0"/>
              <w:right w:val="single" w:color="000000" w:sz="6" w:space="0"/>
            </w:tcBorders>
          </w:tcPr>
          <w:p w14:paraId="13D0AC50">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r>
      <w:tr w14:paraId="5E9BED6C">
        <w:tblPrEx>
          <w:tblBorders>
            <w:top w:val="double" w:color="auto" w:sz="6" w:space="0"/>
            <w:left w:val="double" w:color="auto" w:sz="6" w:space="0"/>
            <w:bottom w:val="double" w:color="auto" w:sz="6" w:space="0"/>
            <w:right w:val="single" w:color="auto" w:sz="6" w:space="0"/>
            <w:insideH w:val="none" w:color="auto" w:sz="0" w:space="0"/>
            <w:insideV w:val="none" w:color="auto" w:sz="0" w:space="0"/>
          </w:tblBorders>
          <w:tblCellMar>
            <w:top w:w="0" w:type="dxa"/>
            <w:left w:w="10" w:type="dxa"/>
            <w:bottom w:w="0" w:type="dxa"/>
            <w:right w:w="10" w:type="dxa"/>
          </w:tblCellMar>
        </w:tblPrEx>
        <w:trPr>
          <w:trHeight w:val="346" w:hRule="atLeast"/>
          <w:jc w:val="center"/>
        </w:trPr>
        <w:tc>
          <w:tcPr>
            <w:tcW w:w="712" w:type="dxa"/>
            <w:tcBorders>
              <w:top w:val="single" w:color="000000" w:sz="6" w:space="0"/>
              <w:left w:val="single" w:color="000000" w:sz="6" w:space="0"/>
              <w:bottom w:val="single" w:color="000000" w:sz="6" w:space="0"/>
              <w:right w:val="single" w:color="000000" w:sz="6" w:space="0"/>
            </w:tcBorders>
          </w:tcPr>
          <w:p w14:paraId="546111C1">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285" w:type="dxa"/>
            <w:tcBorders>
              <w:top w:val="single" w:color="000000" w:sz="6" w:space="0"/>
              <w:left w:val="single" w:color="000000" w:sz="6" w:space="0"/>
              <w:bottom w:val="single" w:color="000000" w:sz="6" w:space="0"/>
              <w:right w:val="single" w:color="000000" w:sz="6" w:space="0"/>
            </w:tcBorders>
          </w:tcPr>
          <w:p w14:paraId="3F858234">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1515" w:type="dxa"/>
            <w:tcBorders>
              <w:top w:val="single" w:color="000000" w:sz="6" w:space="0"/>
              <w:left w:val="single" w:color="000000" w:sz="6" w:space="0"/>
              <w:bottom w:val="single" w:color="000000" w:sz="6" w:space="0"/>
              <w:right w:val="single" w:color="000000" w:sz="6" w:space="0"/>
            </w:tcBorders>
          </w:tcPr>
          <w:p w14:paraId="22EBDE3C">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64" w:type="dxa"/>
            <w:tcBorders>
              <w:top w:val="single" w:color="000000" w:sz="6" w:space="0"/>
              <w:left w:val="single" w:color="000000" w:sz="6" w:space="0"/>
              <w:bottom w:val="single" w:color="000000" w:sz="6" w:space="0"/>
              <w:right w:val="single" w:color="000000" w:sz="6" w:space="0"/>
            </w:tcBorders>
          </w:tcPr>
          <w:p w14:paraId="60CFBBF0">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75" w:type="dxa"/>
            <w:tcBorders>
              <w:top w:val="single" w:color="000000" w:sz="6" w:space="0"/>
              <w:left w:val="single" w:color="000000" w:sz="6" w:space="0"/>
              <w:bottom w:val="single" w:color="000000" w:sz="6" w:space="0"/>
              <w:right w:val="single" w:color="000000" w:sz="6" w:space="0"/>
            </w:tcBorders>
          </w:tcPr>
          <w:p w14:paraId="1A8C7FE6">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r>
      <w:tr w14:paraId="69808ECF">
        <w:tblPrEx>
          <w:tblBorders>
            <w:top w:val="double" w:color="auto" w:sz="6" w:space="0"/>
            <w:left w:val="double" w:color="auto" w:sz="6" w:space="0"/>
            <w:bottom w:val="double" w:color="auto" w:sz="6" w:space="0"/>
            <w:right w:val="single" w:color="auto" w:sz="6" w:space="0"/>
            <w:insideH w:val="none" w:color="auto" w:sz="0" w:space="0"/>
            <w:insideV w:val="none" w:color="auto" w:sz="0" w:space="0"/>
          </w:tblBorders>
          <w:tblCellMar>
            <w:top w:w="0" w:type="dxa"/>
            <w:left w:w="10" w:type="dxa"/>
            <w:bottom w:w="0" w:type="dxa"/>
            <w:right w:w="10" w:type="dxa"/>
          </w:tblCellMar>
        </w:tblPrEx>
        <w:trPr>
          <w:trHeight w:val="346" w:hRule="atLeast"/>
          <w:jc w:val="center"/>
        </w:trPr>
        <w:tc>
          <w:tcPr>
            <w:tcW w:w="712" w:type="dxa"/>
            <w:tcBorders>
              <w:top w:val="single" w:color="000000" w:sz="6" w:space="0"/>
              <w:left w:val="single" w:color="000000" w:sz="6" w:space="0"/>
              <w:bottom w:val="single" w:color="000000" w:sz="6" w:space="0"/>
              <w:right w:val="single" w:color="000000" w:sz="6" w:space="0"/>
            </w:tcBorders>
          </w:tcPr>
          <w:p w14:paraId="0803D65B">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285" w:type="dxa"/>
            <w:tcBorders>
              <w:top w:val="single" w:color="000000" w:sz="6" w:space="0"/>
              <w:left w:val="single" w:color="000000" w:sz="6" w:space="0"/>
              <w:bottom w:val="single" w:color="000000" w:sz="6" w:space="0"/>
              <w:right w:val="single" w:color="000000" w:sz="6" w:space="0"/>
            </w:tcBorders>
          </w:tcPr>
          <w:p w14:paraId="4E465178">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1515" w:type="dxa"/>
            <w:tcBorders>
              <w:top w:val="single" w:color="000000" w:sz="6" w:space="0"/>
              <w:left w:val="single" w:color="000000" w:sz="6" w:space="0"/>
              <w:bottom w:val="single" w:color="000000" w:sz="6" w:space="0"/>
              <w:right w:val="single" w:color="000000" w:sz="6" w:space="0"/>
            </w:tcBorders>
          </w:tcPr>
          <w:p w14:paraId="696230E1">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64" w:type="dxa"/>
            <w:tcBorders>
              <w:top w:val="single" w:color="000000" w:sz="6" w:space="0"/>
              <w:left w:val="single" w:color="000000" w:sz="6" w:space="0"/>
              <w:bottom w:val="single" w:color="000000" w:sz="6" w:space="0"/>
              <w:right w:val="single" w:color="000000" w:sz="6" w:space="0"/>
            </w:tcBorders>
          </w:tcPr>
          <w:p w14:paraId="5E3781D3">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75" w:type="dxa"/>
            <w:tcBorders>
              <w:top w:val="single" w:color="000000" w:sz="6" w:space="0"/>
              <w:left w:val="single" w:color="000000" w:sz="6" w:space="0"/>
              <w:bottom w:val="single" w:color="000000" w:sz="6" w:space="0"/>
              <w:right w:val="single" w:color="000000" w:sz="6" w:space="0"/>
            </w:tcBorders>
          </w:tcPr>
          <w:p w14:paraId="716F6A6F">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r>
      <w:tr w14:paraId="7E72F1BD">
        <w:tblPrEx>
          <w:tblBorders>
            <w:top w:val="double" w:color="auto" w:sz="6" w:space="0"/>
            <w:left w:val="double" w:color="auto" w:sz="6" w:space="0"/>
            <w:bottom w:val="double" w:color="auto" w:sz="6" w:space="0"/>
            <w:right w:val="single" w:color="auto" w:sz="6" w:space="0"/>
            <w:insideH w:val="none" w:color="auto" w:sz="0" w:space="0"/>
            <w:insideV w:val="none" w:color="auto" w:sz="0" w:space="0"/>
          </w:tblBorders>
          <w:tblCellMar>
            <w:top w:w="0" w:type="dxa"/>
            <w:left w:w="10" w:type="dxa"/>
            <w:bottom w:w="0" w:type="dxa"/>
            <w:right w:w="10" w:type="dxa"/>
          </w:tblCellMar>
        </w:tblPrEx>
        <w:trPr>
          <w:trHeight w:val="346" w:hRule="atLeast"/>
          <w:jc w:val="center"/>
        </w:trPr>
        <w:tc>
          <w:tcPr>
            <w:tcW w:w="712" w:type="dxa"/>
            <w:tcBorders>
              <w:top w:val="single" w:color="000000" w:sz="6" w:space="0"/>
              <w:left w:val="single" w:color="000000" w:sz="6" w:space="0"/>
              <w:bottom w:val="single" w:color="000000" w:sz="6" w:space="0"/>
              <w:right w:val="single" w:color="000000" w:sz="6" w:space="0"/>
            </w:tcBorders>
          </w:tcPr>
          <w:p w14:paraId="2385F403">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285" w:type="dxa"/>
            <w:tcBorders>
              <w:top w:val="single" w:color="000000" w:sz="6" w:space="0"/>
              <w:left w:val="single" w:color="000000" w:sz="6" w:space="0"/>
              <w:bottom w:val="single" w:color="000000" w:sz="6" w:space="0"/>
              <w:right w:val="single" w:color="000000" w:sz="6" w:space="0"/>
            </w:tcBorders>
          </w:tcPr>
          <w:p w14:paraId="3B90E5ED">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1515" w:type="dxa"/>
            <w:tcBorders>
              <w:top w:val="single" w:color="000000" w:sz="6" w:space="0"/>
              <w:left w:val="single" w:color="000000" w:sz="6" w:space="0"/>
              <w:bottom w:val="single" w:color="000000" w:sz="6" w:space="0"/>
              <w:right w:val="single" w:color="000000" w:sz="6" w:space="0"/>
            </w:tcBorders>
          </w:tcPr>
          <w:p w14:paraId="1635C259">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64" w:type="dxa"/>
            <w:tcBorders>
              <w:top w:val="single" w:color="000000" w:sz="6" w:space="0"/>
              <w:left w:val="single" w:color="000000" w:sz="6" w:space="0"/>
              <w:bottom w:val="single" w:color="000000" w:sz="6" w:space="0"/>
              <w:right w:val="single" w:color="000000" w:sz="6" w:space="0"/>
            </w:tcBorders>
          </w:tcPr>
          <w:p w14:paraId="45F99B3F">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75" w:type="dxa"/>
            <w:tcBorders>
              <w:top w:val="single" w:color="000000" w:sz="6" w:space="0"/>
              <w:left w:val="single" w:color="000000" w:sz="6" w:space="0"/>
              <w:bottom w:val="single" w:color="000000" w:sz="6" w:space="0"/>
              <w:right w:val="single" w:color="000000" w:sz="6" w:space="0"/>
            </w:tcBorders>
          </w:tcPr>
          <w:p w14:paraId="5DEED886">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r>
      <w:tr w14:paraId="6B0816F8">
        <w:tblPrEx>
          <w:tblBorders>
            <w:top w:val="double" w:color="auto" w:sz="6" w:space="0"/>
            <w:left w:val="double" w:color="auto" w:sz="6" w:space="0"/>
            <w:bottom w:val="double" w:color="auto" w:sz="6" w:space="0"/>
            <w:right w:val="single" w:color="auto" w:sz="6" w:space="0"/>
            <w:insideH w:val="none" w:color="auto" w:sz="0" w:space="0"/>
            <w:insideV w:val="none" w:color="auto" w:sz="0" w:space="0"/>
          </w:tblBorders>
          <w:tblCellMar>
            <w:top w:w="0" w:type="dxa"/>
            <w:left w:w="10" w:type="dxa"/>
            <w:bottom w:w="0" w:type="dxa"/>
            <w:right w:w="10" w:type="dxa"/>
          </w:tblCellMar>
        </w:tblPrEx>
        <w:trPr>
          <w:trHeight w:val="346" w:hRule="atLeast"/>
          <w:jc w:val="center"/>
        </w:trPr>
        <w:tc>
          <w:tcPr>
            <w:tcW w:w="712" w:type="dxa"/>
            <w:tcBorders>
              <w:top w:val="single" w:color="000000" w:sz="6" w:space="0"/>
              <w:left w:val="single" w:color="000000" w:sz="6" w:space="0"/>
              <w:bottom w:val="single" w:color="000000" w:sz="6" w:space="0"/>
              <w:right w:val="single" w:color="000000" w:sz="6" w:space="0"/>
            </w:tcBorders>
          </w:tcPr>
          <w:p w14:paraId="2E227E36">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285" w:type="dxa"/>
            <w:tcBorders>
              <w:top w:val="single" w:color="000000" w:sz="6" w:space="0"/>
              <w:left w:val="single" w:color="000000" w:sz="6" w:space="0"/>
              <w:bottom w:val="single" w:color="000000" w:sz="6" w:space="0"/>
              <w:right w:val="single" w:color="000000" w:sz="6" w:space="0"/>
            </w:tcBorders>
          </w:tcPr>
          <w:p w14:paraId="4ABE3870">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1515" w:type="dxa"/>
            <w:tcBorders>
              <w:top w:val="single" w:color="000000" w:sz="6" w:space="0"/>
              <w:left w:val="single" w:color="000000" w:sz="6" w:space="0"/>
              <w:bottom w:val="single" w:color="000000" w:sz="6" w:space="0"/>
              <w:right w:val="single" w:color="000000" w:sz="6" w:space="0"/>
            </w:tcBorders>
          </w:tcPr>
          <w:p w14:paraId="29740500">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64" w:type="dxa"/>
            <w:tcBorders>
              <w:top w:val="single" w:color="000000" w:sz="6" w:space="0"/>
              <w:left w:val="single" w:color="000000" w:sz="6" w:space="0"/>
              <w:bottom w:val="single" w:color="000000" w:sz="6" w:space="0"/>
              <w:right w:val="single" w:color="000000" w:sz="6" w:space="0"/>
            </w:tcBorders>
          </w:tcPr>
          <w:p w14:paraId="2B152DFE">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75" w:type="dxa"/>
            <w:tcBorders>
              <w:top w:val="single" w:color="000000" w:sz="6" w:space="0"/>
              <w:left w:val="single" w:color="000000" w:sz="6" w:space="0"/>
              <w:bottom w:val="single" w:color="000000" w:sz="6" w:space="0"/>
              <w:right w:val="single" w:color="000000" w:sz="6" w:space="0"/>
            </w:tcBorders>
          </w:tcPr>
          <w:p w14:paraId="2379DC27">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r>
      <w:tr w14:paraId="53049535">
        <w:tblPrEx>
          <w:tblBorders>
            <w:top w:val="double" w:color="auto" w:sz="6" w:space="0"/>
            <w:left w:val="double" w:color="auto" w:sz="6" w:space="0"/>
            <w:bottom w:val="double" w:color="auto" w:sz="6" w:space="0"/>
            <w:right w:val="single" w:color="auto" w:sz="6" w:space="0"/>
            <w:insideH w:val="none" w:color="auto" w:sz="0" w:space="0"/>
            <w:insideV w:val="none" w:color="auto" w:sz="0" w:space="0"/>
          </w:tblBorders>
          <w:tblCellMar>
            <w:top w:w="0" w:type="dxa"/>
            <w:left w:w="10" w:type="dxa"/>
            <w:bottom w:w="0" w:type="dxa"/>
            <w:right w:w="10" w:type="dxa"/>
          </w:tblCellMar>
        </w:tblPrEx>
        <w:trPr>
          <w:trHeight w:val="346" w:hRule="atLeast"/>
          <w:jc w:val="center"/>
        </w:trPr>
        <w:tc>
          <w:tcPr>
            <w:tcW w:w="712" w:type="dxa"/>
            <w:tcBorders>
              <w:top w:val="single" w:color="000000" w:sz="6" w:space="0"/>
              <w:left w:val="single" w:color="000000" w:sz="6" w:space="0"/>
              <w:bottom w:val="single" w:color="000000" w:sz="6" w:space="0"/>
              <w:right w:val="single" w:color="000000" w:sz="6" w:space="0"/>
            </w:tcBorders>
          </w:tcPr>
          <w:p w14:paraId="625DBFA2">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285" w:type="dxa"/>
            <w:tcBorders>
              <w:top w:val="single" w:color="000000" w:sz="6" w:space="0"/>
              <w:left w:val="single" w:color="000000" w:sz="6" w:space="0"/>
              <w:bottom w:val="single" w:color="000000" w:sz="6" w:space="0"/>
              <w:right w:val="single" w:color="000000" w:sz="6" w:space="0"/>
            </w:tcBorders>
          </w:tcPr>
          <w:p w14:paraId="762CAE99">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1515" w:type="dxa"/>
            <w:tcBorders>
              <w:top w:val="single" w:color="000000" w:sz="6" w:space="0"/>
              <w:left w:val="single" w:color="000000" w:sz="6" w:space="0"/>
              <w:bottom w:val="single" w:color="000000" w:sz="6" w:space="0"/>
              <w:right w:val="single" w:color="000000" w:sz="6" w:space="0"/>
            </w:tcBorders>
          </w:tcPr>
          <w:p w14:paraId="3C7D22DE">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64" w:type="dxa"/>
            <w:tcBorders>
              <w:top w:val="single" w:color="000000" w:sz="6" w:space="0"/>
              <w:left w:val="single" w:color="000000" w:sz="6" w:space="0"/>
              <w:bottom w:val="single" w:color="000000" w:sz="6" w:space="0"/>
              <w:right w:val="single" w:color="000000" w:sz="6" w:space="0"/>
            </w:tcBorders>
          </w:tcPr>
          <w:p w14:paraId="23708193">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75" w:type="dxa"/>
            <w:tcBorders>
              <w:top w:val="single" w:color="000000" w:sz="6" w:space="0"/>
              <w:left w:val="single" w:color="000000" w:sz="6" w:space="0"/>
              <w:bottom w:val="single" w:color="000000" w:sz="6" w:space="0"/>
              <w:right w:val="single" w:color="000000" w:sz="6" w:space="0"/>
            </w:tcBorders>
          </w:tcPr>
          <w:p w14:paraId="08713241">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r>
      <w:tr w14:paraId="40155AED">
        <w:tblPrEx>
          <w:tblBorders>
            <w:top w:val="double" w:color="auto" w:sz="6" w:space="0"/>
            <w:left w:val="double" w:color="auto" w:sz="6" w:space="0"/>
            <w:bottom w:val="double" w:color="auto" w:sz="6" w:space="0"/>
            <w:right w:val="single" w:color="auto" w:sz="6" w:space="0"/>
            <w:insideH w:val="none" w:color="auto" w:sz="0" w:space="0"/>
            <w:insideV w:val="none" w:color="auto" w:sz="0" w:space="0"/>
          </w:tblBorders>
          <w:tblCellMar>
            <w:top w:w="0" w:type="dxa"/>
            <w:left w:w="10" w:type="dxa"/>
            <w:bottom w:w="0" w:type="dxa"/>
            <w:right w:w="10" w:type="dxa"/>
          </w:tblCellMar>
        </w:tblPrEx>
        <w:trPr>
          <w:trHeight w:val="346" w:hRule="atLeast"/>
          <w:jc w:val="center"/>
        </w:trPr>
        <w:tc>
          <w:tcPr>
            <w:tcW w:w="712" w:type="dxa"/>
            <w:tcBorders>
              <w:top w:val="single" w:color="000000" w:sz="6" w:space="0"/>
              <w:left w:val="single" w:color="000000" w:sz="6" w:space="0"/>
              <w:bottom w:val="single" w:color="000000" w:sz="6" w:space="0"/>
              <w:right w:val="single" w:color="000000" w:sz="6" w:space="0"/>
            </w:tcBorders>
          </w:tcPr>
          <w:p w14:paraId="3A18EB99">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285" w:type="dxa"/>
            <w:tcBorders>
              <w:top w:val="single" w:color="000000" w:sz="6" w:space="0"/>
              <w:left w:val="single" w:color="000000" w:sz="6" w:space="0"/>
              <w:bottom w:val="single" w:color="000000" w:sz="6" w:space="0"/>
              <w:right w:val="single" w:color="000000" w:sz="6" w:space="0"/>
            </w:tcBorders>
          </w:tcPr>
          <w:p w14:paraId="28CF6E78">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1515" w:type="dxa"/>
            <w:tcBorders>
              <w:top w:val="single" w:color="000000" w:sz="6" w:space="0"/>
              <w:left w:val="single" w:color="000000" w:sz="6" w:space="0"/>
              <w:bottom w:val="single" w:color="000000" w:sz="6" w:space="0"/>
              <w:right w:val="single" w:color="000000" w:sz="6" w:space="0"/>
            </w:tcBorders>
          </w:tcPr>
          <w:p w14:paraId="66E4120E">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64" w:type="dxa"/>
            <w:tcBorders>
              <w:top w:val="single" w:color="000000" w:sz="6" w:space="0"/>
              <w:left w:val="single" w:color="000000" w:sz="6" w:space="0"/>
              <w:bottom w:val="single" w:color="000000" w:sz="6" w:space="0"/>
              <w:right w:val="single" w:color="000000" w:sz="6" w:space="0"/>
            </w:tcBorders>
          </w:tcPr>
          <w:p w14:paraId="1C0D967E">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75" w:type="dxa"/>
            <w:tcBorders>
              <w:top w:val="single" w:color="000000" w:sz="6" w:space="0"/>
              <w:left w:val="single" w:color="000000" w:sz="6" w:space="0"/>
              <w:bottom w:val="single" w:color="000000" w:sz="6" w:space="0"/>
              <w:right w:val="single" w:color="000000" w:sz="6" w:space="0"/>
            </w:tcBorders>
          </w:tcPr>
          <w:p w14:paraId="4E4D162C">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r>
      <w:tr w14:paraId="39A27354">
        <w:tblPrEx>
          <w:tblBorders>
            <w:top w:val="double" w:color="auto" w:sz="6" w:space="0"/>
            <w:left w:val="double" w:color="auto" w:sz="6" w:space="0"/>
            <w:bottom w:val="double" w:color="auto" w:sz="6" w:space="0"/>
            <w:right w:val="single" w:color="auto" w:sz="6" w:space="0"/>
            <w:insideH w:val="none" w:color="auto" w:sz="0" w:space="0"/>
            <w:insideV w:val="none" w:color="auto" w:sz="0" w:space="0"/>
          </w:tblBorders>
          <w:tblCellMar>
            <w:top w:w="0" w:type="dxa"/>
            <w:left w:w="10" w:type="dxa"/>
            <w:bottom w:w="0" w:type="dxa"/>
            <w:right w:w="10" w:type="dxa"/>
          </w:tblCellMar>
        </w:tblPrEx>
        <w:trPr>
          <w:trHeight w:val="361" w:hRule="atLeast"/>
          <w:jc w:val="center"/>
        </w:trPr>
        <w:tc>
          <w:tcPr>
            <w:tcW w:w="712" w:type="dxa"/>
            <w:tcBorders>
              <w:top w:val="single" w:color="000000" w:sz="6" w:space="0"/>
              <w:left w:val="single" w:color="000000" w:sz="6" w:space="0"/>
              <w:bottom w:val="single" w:color="000000" w:sz="6" w:space="0"/>
              <w:right w:val="single" w:color="000000" w:sz="6" w:space="0"/>
            </w:tcBorders>
          </w:tcPr>
          <w:p w14:paraId="3CDE5BED">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285" w:type="dxa"/>
            <w:tcBorders>
              <w:top w:val="single" w:color="000000" w:sz="6" w:space="0"/>
              <w:left w:val="single" w:color="000000" w:sz="6" w:space="0"/>
              <w:bottom w:val="single" w:color="000000" w:sz="6" w:space="0"/>
              <w:right w:val="single" w:color="000000" w:sz="6" w:space="0"/>
            </w:tcBorders>
          </w:tcPr>
          <w:p w14:paraId="641FD1C5">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1515" w:type="dxa"/>
            <w:tcBorders>
              <w:top w:val="single" w:color="000000" w:sz="6" w:space="0"/>
              <w:left w:val="single" w:color="000000" w:sz="6" w:space="0"/>
              <w:bottom w:val="single" w:color="000000" w:sz="6" w:space="0"/>
              <w:right w:val="single" w:color="000000" w:sz="6" w:space="0"/>
            </w:tcBorders>
          </w:tcPr>
          <w:p w14:paraId="4A97812B">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64" w:type="dxa"/>
            <w:tcBorders>
              <w:top w:val="single" w:color="000000" w:sz="6" w:space="0"/>
              <w:left w:val="single" w:color="000000" w:sz="6" w:space="0"/>
              <w:bottom w:val="single" w:color="000000" w:sz="6" w:space="0"/>
              <w:right w:val="single" w:color="000000" w:sz="6" w:space="0"/>
            </w:tcBorders>
          </w:tcPr>
          <w:p w14:paraId="2DA0BE45">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c>
          <w:tcPr>
            <w:tcW w:w="2375" w:type="dxa"/>
            <w:tcBorders>
              <w:top w:val="single" w:color="000000" w:sz="6" w:space="0"/>
              <w:left w:val="single" w:color="000000" w:sz="6" w:space="0"/>
              <w:bottom w:val="single" w:color="000000" w:sz="6" w:space="0"/>
              <w:right w:val="single" w:color="000000" w:sz="6" w:space="0"/>
            </w:tcBorders>
          </w:tcPr>
          <w:p w14:paraId="19EEFEFC">
            <w:pPr>
              <w:pStyle w:val="8"/>
              <w:tabs>
                <w:tab w:val="left" w:pos="8460"/>
                <w:tab w:val="left" w:pos="8640"/>
              </w:tabs>
              <w:spacing w:line="360" w:lineRule="auto"/>
              <w:ind w:right="25" w:rightChars="12"/>
              <w:jc w:val="center"/>
              <w:outlineLvl w:val="9"/>
              <w:rPr>
                <w:rFonts w:ascii="仿宋" w:hAnsi="仿宋" w:eastAsia="仿宋" w:cs="仿宋"/>
                <w:b w:val="0"/>
                <w:bCs w:val="0"/>
                <w:color w:val="auto"/>
                <w:sz w:val="24"/>
              </w:rPr>
            </w:pPr>
          </w:p>
        </w:tc>
      </w:tr>
    </w:tbl>
    <w:p w14:paraId="20A7B504">
      <w:pPr>
        <w:autoSpaceDE w:val="0"/>
        <w:autoSpaceDN w:val="0"/>
        <w:adjustRightInd w:val="0"/>
        <w:spacing w:line="360" w:lineRule="auto"/>
        <w:outlineLvl w:val="9"/>
        <w:rPr>
          <w:rFonts w:ascii="仿宋" w:hAnsi="仿宋" w:eastAsia="仿宋" w:cs="仿宋"/>
          <w:color w:val="auto"/>
          <w:spacing w:val="20"/>
          <w:sz w:val="28"/>
          <w:szCs w:val="28"/>
        </w:rPr>
      </w:pPr>
    </w:p>
    <w:p w14:paraId="40B383C9">
      <w:pPr>
        <w:spacing w:line="360" w:lineRule="auto"/>
        <w:jc w:val="left"/>
        <w:outlineLvl w:val="9"/>
        <w:rPr>
          <w:rFonts w:ascii="仿宋" w:hAnsi="仿宋" w:eastAsia="仿宋" w:cs="仿宋"/>
          <w:color w:val="auto"/>
          <w:sz w:val="24"/>
          <w:szCs w:val="24"/>
        </w:rPr>
      </w:pPr>
      <w:r>
        <w:rPr>
          <w:rFonts w:hint="eastAsia" w:ascii="仿宋" w:hAnsi="仿宋" w:eastAsia="仿宋" w:cs="仿宋"/>
          <w:color w:val="auto"/>
          <w:sz w:val="24"/>
          <w:szCs w:val="24"/>
        </w:rPr>
        <w:t>注：1.以上表格为格式表格</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投标人可自行增减行数，但不得改变填写项目</w:t>
      </w:r>
      <w:r>
        <w:rPr>
          <w:rFonts w:hint="eastAsia" w:ascii="仿宋" w:hAnsi="仿宋" w:eastAsia="仿宋" w:cs="仿宋"/>
          <w:color w:val="auto"/>
          <w:sz w:val="24"/>
          <w:szCs w:val="24"/>
          <w:lang w:eastAsia="zh-CN"/>
        </w:rPr>
        <w:t>。</w:t>
      </w:r>
    </w:p>
    <w:p w14:paraId="25A32EB8">
      <w:pPr>
        <w:snapToGrid w:val="0"/>
        <w:spacing w:line="360" w:lineRule="auto"/>
        <w:outlineLvl w:val="9"/>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2.</w:t>
      </w:r>
      <w:r>
        <w:rPr>
          <w:rFonts w:hint="eastAsia" w:ascii="仿宋" w:hAnsi="仿宋" w:eastAsia="仿宋" w:cs="仿宋"/>
          <w:color w:val="auto"/>
          <w:sz w:val="24"/>
          <w:szCs w:val="24"/>
        </w:rPr>
        <w:t>相关证明材料加盖公章附后。</w:t>
      </w:r>
    </w:p>
    <w:p w14:paraId="23153D27">
      <w:pPr>
        <w:keepNext w:val="0"/>
        <w:keepLines w:val="0"/>
        <w:pageBreakBefore w:val="0"/>
        <w:widowControl w:val="0"/>
        <w:kinsoku/>
        <w:wordWrap/>
        <w:overflowPunct/>
        <w:topLinePunct w:val="0"/>
        <w:bidi w:val="0"/>
        <w:snapToGrid w:val="0"/>
        <w:spacing w:line="360" w:lineRule="auto"/>
        <w:ind w:right="-817" w:rightChars="-389"/>
        <w:textAlignment w:val="auto"/>
        <w:outlineLvl w:val="9"/>
        <w:rPr>
          <w:rFonts w:hint="eastAsia" w:ascii="仿宋" w:hAnsi="仿宋" w:eastAsia="仿宋" w:cs="仿宋"/>
          <w:color w:val="auto"/>
          <w:sz w:val="24"/>
          <w:szCs w:val="24"/>
          <w:highlight w:val="none"/>
        </w:rPr>
      </w:pPr>
    </w:p>
    <w:p w14:paraId="49BFA7A9">
      <w:pPr>
        <w:keepNext w:val="0"/>
        <w:keepLines w:val="0"/>
        <w:pageBreakBefore w:val="0"/>
        <w:widowControl w:val="0"/>
        <w:kinsoku/>
        <w:wordWrap/>
        <w:overflowPunct/>
        <w:topLinePunct w:val="0"/>
        <w:bidi w:val="0"/>
        <w:snapToGrid w:val="0"/>
        <w:spacing w:line="360" w:lineRule="auto"/>
        <w:ind w:right="-817" w:rightChars="-389"/>
        <w:textAlignment w:val="auto"/>
        <w:outlineLvl w:val="9"/>
        <w:rPr>
          <w:rFonts w:hint="eastAsia" w:ascii="仿宋" w:hAnsi="仿宋" w:eastAsia="仿宋" w:cs="仿宋"/>
          <w:color w:val="auto"/>
          <w:sz w:val="24"/>
          <w:szCs w:val="24"/>
          <w:highlight w:val="none"/>
        </w:rPr>
      </w:pPr>
    </w:p>
    <w:p w14:paraId="4E753D0D">
      <w:pPr>
        <w:keepNext w:val="0"/>
        <w:keepLines w:val="0"/>
        <w:pageBreakBefore w:val="0"/>
        <w:widowControl w:val="0"/>
        <w:kinsoku/>
        <w:wordWrap/>
        <w:overflowPunct/>
        <w:topLinePunct w:val="0"/>
        <w:bidi w:val="0"/>
        <w:snapToGrid w:val="0"/>
        <w:spacing w:line="360" w:lineRule="auto"/>
        <w:ind w:right="-817" w:rightChars="-389"/>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投标人名称：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盖章</w:t>
      </w:r>
      <w:r>
        <w:rPr>
          <w:rFonts w:hint="eastAsia" w:ascii="仿宋" w:hAnsi="仿宋" w:eastAsia="仿宋" w:cs="仿宋"/>
          <w:color w:val="auto"/>
          <w:sz w:val="24"/>
          <w:szCs w:val="24"/>
          <w:highlight w:val="none"/>
          <w:u w:val="single"/>
        </w:rPr>
        <w:t>）</w:t>
      </w:r>
    </w:p>
    <w:p w14:paraId="5922B3C6">
      <w:pPr>
        <w:keepNext w:val="0"/>
        <w:keepLines w:val="0"/>
        <w:pageBreakBefore w:val="0"/>
        <w:widowControl w:val="0"/>
        <w:kinsoku/>
        <w:wordWrap/>
        <w:overflowPunct/>
        <w:topLinePunct w:val="0"/>
        <w:bidi w:val="0"/>
        <w:snapToGrid w:val="0"/>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法定代表人（负责人）</w:t>
      </w:r>
      <w:r>
        <w:rPr>
          <w:rFonts w:hint="eastAsia" w:ascii="仿宋" w:hAnsi="仿宋" w:eastAsia="仿宋" w:cs="仿宋"/>
          <w:color w:val="auto"/>
          <w:sz w:val="24"/>
          <w:szCs w:val="24"/>
          <w:highlight w:val="none"/>
        </w:rPr>
        <w:t>或授权代表：</w:t>
      </w:r>
      <w:r>
        <w:rPr>
          <w:rFonts w:hint="eastAsia" w:ascii="仿宋" w:hAnsi="仿宋" w:eastAsia="仿宋" w:cs="仿宋"/>
          <w:color w:val="auto"/>
          <w:sz w:val="24"/>
          <w:szCs w:val="24"/>
          <w:highlight w:val="none"/>
          <w:u w:val="single"/>
        </w:rPr>
        <w:t xml:space="preserve">       （签字或盖章）</w:t>
      </w:r>
    </w:p>
    <w:p w14:paraId="460F403F">
      <w:pPr>
        <w:keepNext w:val="0"/>
        <w:keepLines w:val="0"/>
        <w:pageBreakBefore w:val="0"/>
        <w:widowControl w:val="0"/>
        <w:kinsoku/>
        <w:wordWrap/>
        <w:overflowPunct/>
        <w:topLinePunct w:val="0"/>
        <w:bidi w:val="0"/>
        <w:snapToGrid w:val="0"/>
        <w:spacing w:line="360" w:lineRule="auto"/>
        <w:ind w:right="-817" w:rightChars="-389"/>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rPr>
        <w:t xml:space="preserve">    年   月   日</w:t>
      </w:r>
    </w:p>
    <w:p w14:paraId="3DD10E1D">
      <w:pPr>
        <w:rPr>
          <w:rFonts w:hint="eastAsia" w:ascii="仿宋" w:hAnsi="仿宋" w:eastAsia="仿宋" w:cs="仿宋"/>
          <w:color w:val="auto"/>
          <w:spacing w:val="20"/>
          <w:sz w:val="28"/>
          <w:szCs w:val="28"/>
        </w:rPr>
      </w:pPr>
      <w:r>
        <w:rPr>
          <w:rFonts w:hint="eastAsia" w:ascii="仿宋" w:hAnsi="仿宋" w:eastAsia="仿宋" w:cs="仿宋"/>
          <w:color w:val="auto"/>
          <w:spacing w:val="20"/>
          <w:sz w:val="28"/>
          <w:szCs w:val="28"/>
        </w:rPr>
        <w:br w:type="page"/>
      </w:r>
    </w:p>
    <w:p w14:paraId="0162FA8E">
      <w:pPr>
        <w:pStyle w:val="10"/>
        <w:outlineLvl w:val="9"/>
        <w:rPr>
          <w:color w:val="auto"/>
        </w:rPr>
        <w:sectPr>
          <w:pgSz w:w="11922" w:h="16838"/>
          <w:pgMar w:top="1417" w:right="1304" w:bottom="1417" w:left="1304" w:header="397" w:footer="1037" w:gutter="0"/>
          <w:pgNumType w:fmt="decimal"/>
          <w:cols w:space="0" w:num="1"/>
          <w:docGrid w:linePitch="312" w:charSpace="0"/>
        </w:sectPr>
      </w:pPr>
    </w:p>
    <w:p w14:paraId="2F0F4C57">
      <w:pPr>
        <w:snapToGrid w:val="0"/>
        <w:spacing w:line="360" w:lineRule="auto"/>
        <w:jc w:val="center"/>
        <w:outlineLvl w:val="9"/>
        <w:rPr>
          <w:rFonts w:ascii="仿宋" w:hAnsi="仿宋" w:eastAsia="仿宋" w:cs="仿宋"/>
          <w:b/>
          <w:color w:val="auto"/>
          <w:sz w:val="28"/>
          <w:szCs w:val="28"/>
        </w:rPr>
      </w:pPr>
      <w:r>
        <w:rPr>
          <w:rStyle w:val="34"/>
          <w:rFonts w:hint="eastAsia" w:ascii="仿宋" w:hAnsi="仿宋" w:eastAsia="仿宋" w:cs="仿宋"/>
          <w:color w:val="auto"/>
          <w:sz w:val="28"/>
          <w:szCs w:val="28"/>
        </w:rPr>
        <w:t>三、报价文件封面</w:t>
      </w:r>
    </w:p>
    <w:p w14:paraId="3C6B8590">
      <w:pPr>
        <w:spacing w:line="360" w:lineRule="auto"/>
        <w:ind w:left="1800" w:leftChars="857"/>
        <w:jc w:val="right"/>
        <w:outlineLvl w:val="9"/>
        <w:rPr>
          <w:rFonts w:ascii="仿宋" w:hAnsi="仿宋" w:eastAsia="仿宋" w:cs="仿宋"/>
          <w:color w:val="auto"/>
          <w:sz w:val="28"/>
          <w:szCs w:val="28"/>
        </w:rPr>
      </w:pPr>
    </w:p>
    <w:p w14:paraId="7233BE6F">
      <w:pPr>
        <w:spacing w:line="360" w:lineRule="auto"/>
        <w:outlineLvl w:val="9"/>
        <w:rPr>
          <w:rFonts w:ascii="仿宋" w:hAnsi="仿宋" w:eastAsia="仿宋" w:cs="仿宋"/>
          <w:color w:val="auto"/>
          <w:sz w:val="28"/>
          <w:szCs w:val="28"/>
        </w:rPr>
      </w:pPr>
      <w:r>
        <w:rPr>
          <w:rFonts w:hint="eastAsia" w:ascii="仿宋" w:hAnsi="仿宋" w:eastAsia="仿宋" w:cs="仿宋"/>
          <w:color w:val="auto"/>
          <w:sz w:val="28"/>
          <w:szCs w:val="28"/>
        </w:rPr>
        <w:t xml:space="preserve">                                                </w:t>
      </w:r>
    </w:p>
    <w:p w14:paraId="6C852E44">
      <w:pPr>
        <w:spacing w:line="360" w:lineRule="auto"/>
        <w:outlineLvl w:val="9"/>
        <w:rPr>
          <w:rFonts w:ascii="仿宋" w:hAnsi="仿宋" w:eastAsia="仿宋" w:cs="仿宋"/>
          <w:color w:val="auto"/>
          <w:sz w:val="28"/>
          <w:szCs w:val="28"/>
        </w:rPr>
      </w:pPr>
    </w:p>
    <w:p w14:paraId="18DCF60C">
      <w:pPr>
        <w:spacing w:line="360" w:lineRule="auto"/>
        <w:outlineLvl w:val="9"/>
        <w:rPr>
          <w:rFonts w:ascii="仿宋" w:hAnsi="仿宋" w:eastAsia="仿宋" w:cs="仿宋"/>
          <w:color w:val="auto"/>
          <w:sz w:val="28"/>
          <w:szCs w:val="28"/>
        </w:rPr>
      </w:pPr>
    </w:p>
    <w:p w14:paraId="6DFF757C">
      <w:pPr>
        <w:spacing w:line="360" w:lineRule="auto"/>
        <w:outlineLvl w:val="9"/>
        <w:rPr>
          <w:rFonts w:ascii="仿宋" w:hAnsi="仿宋" w:eastAsia="仿宋" w:cs="仿宋"/>
          <w:color w:val="auto"/>
          <w:sz w:val="28"/>
          <w:szCs w:val="28"/>
        </w:rPr>
      </w:pPr>
    </w:p>
    <w:p w14:paraId="20E7CBEC">
      <w:pPr>
        <w:snapToGrid w:val="0"/>
        <w:spacing w:line="360" w:lineRule="auto"/>
        <w:jc w:val="center"/>
        <w:outlineLvl w:val="9"/>
        <w:rPr>
          <w:rFonts w:ascii="仿宋" w:hAnsi="仿宋" w:eastAsia="仿宋" w:cs="仿宋"/>
          <w:color w:val="auto"/>
          <w:sz w:val="28"/>
          <w:szCs w:val="28"/>
        </w:rPr>
      </w:pPr>
      <w:r>
        <w:rPr>
          <w:rFonts w:hint="eastAsia" w:ascii="仿宋" w:hAnsi="仿宋" w:eastAsia="仿宋" w:cs="仿宋"/>
          <w:color w:val="auto"/>
          <w:sz w:val="28"/>
          <w:szCs w:val="28"/>
        </w:rPr>
        <w:t>报价文件</w:t>
      </w:r>
    </w:p>
    <w:p w14:paraId="1B8AFEC0">
      <w:pPr>
        <w:snapToGrid w:val="0"/>
        <w:spacing w:line="360" w:lineRule="auto"/>
        <w:ind w:firstLine="1962" w:firstLineChars="698"/>
        <w:outlineLvl w:val="9"/>
        <w:rPr>
          <w:rFonts w:ascii="仿宋" w:hAnsi="仿宋" w:eastAsia="仿宋" w:cs="仿宋"/>
          <w:b/>
          <w:color w:val="auto"/>
          <w:sz w:val="28"/>
          <w:szCs w:val="28"/>
        </w:rPr>
      </w:pPr>
    </w:p>
    <w:p w14:paraId="42419FE2">
      <w:pPr>
        <w:pStyle w:val="10"/>
        <w:spacing w:line="360" w:lineRule="auto"/>
        <w:outlineLvl w:val="9"/>
        <w:rPr>
          <w:rFonts w:ascii="仿宋" w:hAnsi="仿宋" w:eastAsia="仿宋" w:cs="仿宋"/>
          <w:color w:val="auto"/>
          <w:sz w:val="28"/>
          <w:szCs w:val="28"/>
        </w:rPr>
      </w:pPr>
    </w:p>
    <w:p w14:paraId="58745920">
      <w:pPr>
        <w:snapToGrid w:val="0"/>
        <w:spacing w:line="360" w:lineRule="auto"/>
        <w:outlineLvl w:val="9"/>
        <w:rPr>
          <w:rFonts w:ascii="仿宋" w:hAnsi="仿宋" w:eastAsia="仿宋" w:cs="仿宋"/>
          <w:color w:val="auto"/>
          <w:sz w:val="28"/>
          <w:szCs w:val="28"/>
          <w:u w:val="single"/>
        </w:rPr>
      </w:pPr>
      <w:r>
        <w:rPr>
          <w:rFonts w:hint="eastAsia" w:ascii="仿宋" w:hAnsi="仿宋" w:eastAsia="仿宋" w:cs="仿宋"/>
          <w:color w:val="auto"/>
          <w:sz w:val="28"/>
          <w:szCs w:val="28"/>
        </w:rPr>
        <w:t>项目名称：</w:t>
      </w:r>
      <w:r>
        <w:rPr>
          <w:rFonts w:hint="eastAsia" w:ascii="仿宋" w:hAnsi="仿宋" w:eastAsia="仿宋" w:cs="仿宋"/>
          <w:color w:val="auto"/>
          <w:sz w:val="28"/>
          <w:szCs w:val="28"/>
          <w:u w:val="single"/>
        </w:rPr>
        <w:t xml:space="preserve">                    </w:t>
      </w:r>
    </w:p>
    <w:p w14:paraId="33551463">
      <w:pPr>
        <w:snapToGrid w:val="0"/>
        <w:spacing w:line="360" w:lineRule="auto"/>
        <w:outlineLvl w:val="9"/>
        <w:rPr>
          <w:rFonts w:ascii="仿宋" w:hAnsi="仿宋" w:eastAsia="仿宋" w:cs="仿宋"/>
          <w:color w:val="auto"/>
          <w:sz w:val="28"/>
          <w:szCs w:val="28"/>
          <w:u w:val="single"/>
        </w:rPr>
      </w:pPr>
      <w:r>
        <w:rPr>
          <w:rFonts w:hint="eastAsia" w:ascii="仿宋" w:hAnsi="仿宋" w:eastAsia="仿宋" w:cs="仿宋"/>
          <w:color w:val="auto"/>
          <w:sz w:val="28"/>
          <w:szCs w:val="28"/>
        </w:rPr>
        <w:t>项目编号：</w:t>
      </w:r>
      <w:r>
        <w:rPr>
          <w:rFonts w:hint="eastAsia" w:ascii="仿宋" w:hAnsi="仿宋" w:eastAsia="仿宋" w:cs="仿宋"/>
          <w:color w:val="auto"/>
          <w:sz w:val="28"/>
          <w:szCs w:val="28"/>
          <w:u w:val="single"/>
        </w:rPr>
        <w:t xml:space="preserve">                    </w:t>
      </w:r>
    </w:p>
    <w:p w14:paraId="6CBDFD9D">
      <w:pPr>
        <w:snapToGrid w:val="0"/>
        <w:spacing w:line="360" w:lineRule="auto"/>
        <w:outlineLvl w:val="9"/>
        <w:rPr>
          <w:rFonts w:ascii="仿宋" w:hAnsi="仿宋" w:eastAsia="仿宋" w:cs="仿宋"/>
          <w:color w:val="auto"/>
          <w:sz w:val="28"/>
          <w:szCs w:val="28"/>
        </w:rPr>
      </w:pPr>
      <w:r>
        <w:rPr>
          <w:rFonts w:hint="eastAsia" w:ascii="仿宋" w:hAnsi="仿宋" w:eastAsia="仿宋" w:cs="仿宋"/>
          <w:color w:val="auto"/>
          <w:sz w:val="28"/>
          <w:szCs w:val="28"/>
        </w:rPr>
        <w:t>投标人：</w:t>
      </w:r>
      <w:r>
        <w:rPr>
          <w:rFonts w:hint="eastAsia" w:ascii="仿宋" w:hAnsi="仿宋" w:eastAsia="仿宋" w:cs="仿宋"/>
          <w:color w:val="auto"/>
          <w:sz w:val="28"/>
          <w:szCs w:val="28"/>
          <w:u w:val="single"/>
        </w:rPr>
        <w:t xml:space="preserve">                       （盖单位公章）</w:t>
      </w:r>
    </w:p>
    <w:p w14:paraId="19D6F7F9">
      <w:pPr>
        <w:snapToGrid w:val="0"/>
        <w:spacing w:line="360" w:lineRule="auto"/>
        <w:jc w:val="left"/>
        <w:outlineLvl w:val="9"/>
        <w:rPr>
          <w:rFonts w:ascii="仿宋" w:hAnsi="仿宋" w:eastAsia="仿宋" w:cs="仿宋"/>
          <w:color w:val="auto"/>
          <w:sz w:val="28"/>
          <w:szCs w:val="28"/>
        </w:rPr>
        <w:sectPr>
          <w:pgSz w:w="11922" w:h="16838"/>
          <w:pgMar w:top="1417" w:right="1304" w:bottom="1417" w:left="1304" w:header="397" w:footer="1037" w:gutter="0"/>
          <w:pgNumType w:fmt="decimal"/>
          <w:cols w:space="0" w:num="1"/>
          <w:docGrid w:linePitch="312" w:charSpace="0"/>
        </w:sectPr>
      </w:pPr>
      <w:r>
        <w:rPr>
          <w:rFonts w:hint="eastAsia" w:ascii="仿宋" w:hAnsi="仿宋" w:eastAsia="仿宋" w:cs="仿宋"/>
          <w:color w:val="auto"/>
          <w:sz w:val="28"/>
          <w:szCs w:val="28"/>
        </w:rPr>
        <w:t>日期：</w:t>
      </w:r>
      <w:r>
        <w:rPr>
          <w:rFonts w:hint="eastAsia" w:ascii="仿宋" w:hAnsi="仿宋" w:eastAsia="仿宋" w:cs="仿宋"/>
          <w:color w:val="auto"/>
          <w:sz w:val="28"/>
          <w:szCs w:val="28"/>
          <w:u w:val="single"/>
        </w:rPr>
        <w:t xml:space="preserve">    年   月   日</w:t>
      </w:r>
    </w:p>
    <w:p w14:paraId="311B3B72">
      <w:pPr>
        <w:numPr>
          <w:ilvl w:val="255"/>
          <w:numId w:val="0"/>
        </w:numPr>
        <w:autoSpaceDE w:val="0"/>
        <w:autoSpaceDN w:val="0"/>
        <w:adjustRightInd w:val="0"/>
        <w:spacing w:line="360" w:lineRule="auto"/>
        <w:jc w:val="center"/>
        <w:outlineLvl w:val="9"/>
        <w:rPr>
          <w:rFonts w:ascii="仿宋" w:hAnsi="仿宋" w:eastAsia="仿宋" w:cs="仿宋"/>
          <w:color w:val="auto"/>
        </w:rPr>
      </w:pPr>
      <w:r>
        <w:rPr>
          <w:rFonts w:hint="eastAsia" w:ascii="仿宋" w:hAnsi="仿宋" w:eastAsia="仿宋" w:cs="仿宋"/>
          <w:color w:val="auto"/>
          <w:spacing w:val="20"/>
          <w:sz w:val="28"/>
          <w:szCs w:val="28"/>
        </w:rPr>
        <w:t>1.开标一览表</w:t>
      </w:r>
    </w:p>
    <w:p w14:paraId="344C8486">
      <w:pPr>
        <w:snapToGrid w:val="0"/>
        <w:spacing w:line="360" w:lineRule="auto"/>
        <w:jc w:val="left"/>
        <w:outlineLvl w:val="9"/>
        <w:rPr>
          <w:rFonts w:ascii="仿宋" w:hAnsi="仿宋" w:eastAsia="仿宋" w:cs="仿宋"/>
          <w:color w:val="auto"/>
          <w:sz w:val="24"/>
          <w:szCs w:val="24"/>
        </w:rPr>
      </w:pPr>
      <w:r>
        <w:rPr>
          <w:rFonts w:hint="eastAsia" w:ascii="仿宋" w:hAnsi="仿宋" w:eastAsia="仿宋" w:cs="仿宋"/>
          <w:color w:val="auto"/>
          <w:sz w:val="24"/>
          <w:szCs w:val="24"/>
        </w:rPr>
        <w:t>项目名称：</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项目编号：</w:t>
      </w:r>
      <w:r>
        <w:rPr>
          <w:rFonts w:hint="eastAsia" w:ascii="仿宋" w:hAnsi="仿宋" w:eastAsia="仿宋" w:cs="仿宋"/>
          <w:color w:val="auto"/>
          <w:sz w:val="24"/>
          <w:szCs w:val="24"/>
          <w:u w:val="single"/>
        </w:rPr>
        <w:t xml:space="preserve">             </w:t>
      </w:r>
    </w:p>
    <w:tbl>
      <w:tblPr>
        <w:tblStyle w:val="23"/>
        <w:tblW w:w="1111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66"/>
        <w:gridCol w:w="801"/>
        <w:gridCol w:w="814"/>
        <w:gridCol w:w="943"/>
        <w:gridCol w:w="1057"/>
        <w:gridCol w:w="943"/>
        <w:gridCol w:w="1472"/>
        <w:gridCol w:w="1471"/>
        <w:gridCol w:w="1486"/>
        <w:gridCol w:w="1362"/>
      </w:tblGrid>
      <w:tr w14:paraId="056742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jc w:val="center"/>
        </w:trPr>
        <w:tc>
          <w:tcPr>
            <w:tcW w:w="11115" w:type="dxa"/>
            <w:gridSpan w:val="10"/>
            <w:tcBorders>
              <w:top w:val="nil"/>
              <w:left w:val="nil"/>
              <w:bottom w:val="nil"/>
              <w:right w:val="nil"/>
            </w:tcBorders>
            <w:shd w:val="clear" w:color="auto" w:fill="auto"/>
            <w:noWrap/>
            <w:vAlign w:val="center"/>
          </w:tcPr>
          <w:p w14:paraId="24E304FE">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 xml:space="preserve">整车调拨报价表  </w:t>
            </w:r>
          </w:p>
        </w:tc>
      </w:tr>
      <w:tr w14:paraId="520566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766" w:type="dxa"/>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51F8CADE">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序号</w:t>
            </w:r>
          </w:p>
        </w:tc>
        <w:tc>
          <w:tcPr>
            <w:tcW w:w="801" w:type="dxa"/>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67D36F0D">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性质</w:t>
            </w:r>
          </w:p>
        </w:tc>
        <w:tc>
          <w:tcPr>
            <w:tcW w:w="814" w:type="dxa"/>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756261FA">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始发省份</w:t>
            </w:r>
          </w:p>
        </w:tc>
        <w:tc>
          <w:tcPr>
            <w:tcW w:w="943" w:type="dxa"/>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067F7D89">
            <w:pPr>
              <w:keepNext w:val="0"/>
              <w:keepLines w:val="0"/>
              <w:widowControl/>
              <w:suppressLineNumbers w:val="0"/>
              <w:jc w:val="center"/>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kern w:val="0"/>
                <w:sz w:val="24"/>
                <w:szCs w:val="24"/>
                <w:u w:val="none"/>
                <w:lang w:val="en-US" w:eastAsia="zh-CN" w:bidi="ar"/>
              </w:rPr>
              <w:t>始发</w:t>
            </w:r>
          </w:p>
          <w:p w14:paraId="2B4CFECA">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城市</w:t>
            </w:r>
          </w:p>
        </w:tc>
        <w:tc>
          <w:tcPr>
            <w:tcW w:w="1057" w:type="dxa"/>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59D9D570">
            <w:pPr>
              <w:keepNext w:val="0"/>
              <w:keepLines w:val="0"/>
              <w:widowControl/>
              <w:suppressLineNumbers w:val="0"/>
              <w:jc w:val="center"/>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kern w:val="0"/>
                <w:sz w:val="24"/>
                <w:szCs w:val="24"/>
                <w:u w:val="none"/>
                <w:lang w:val="en-US" w:eastAsia="zh-CN" w:bidi="ar"/>
              </w:rPr>
              <w:t>目的</w:t>
            </w:r>
          </w:p>
          <w:p w14:paraId="77263A97">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省份</w:t>
            </w:r>
          </w:p>
        </w:tc>
        <w:tc>
          <w:tcPr>
            <w:tcW w:w="943" w:type="dxa"/>
            <w:vMerge w:val="restart"/>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08FA553A">
            <w:pPr>
              <w:keepNext w:val="0"/>
              <w:keepLines w:val="0"/>
              <w:widowControl/>
              <w:suppressLineNumbers w:val="0"/>
              <w:jc w:val="center"/>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kern w:val="0"/>
                <w:sz w:val="24"/>
                <w:szCs w:val="24"/>
                <w:u w:val="none"/>
                <w:lang w:val="en-US" w:eastAsia="zh-CN" w:bidi="ar"/>
              </w:rPr>
              <w:t>目的</w:t>
            </w:r>
          </w:p>
          <w:p w14:paraId="49445950">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城市</w:t>
            </w:r>
          </w:p>
        </w:tc>
        <w:tc>
          <w:tcPr>
            <w:tcW w:w="1472" w:type="dxa"/>
            <w:tcBorders>
              <w:top w:val="single" w:color="000000" w:sz="4" w:space="0"/>
              <w:left w:val="single" w:color="000000" w:sz="4" w:space="0"/>
              <w:bottom w:val="single" w:color="000000" w:sz="4" w:space="0"/>
              <w:right w:val="nil"/>
            </w:tcBorders>
            <w:shd w:val="clear" w:color="auto" w:fill="B4C6E7"/>
            <w:noWrap/>
            <w:vAlign w:val="center"/>
          </w:tcPr>
          <w:p w14:paraId="7C503C74">
            <w:pPr>
              <w:keepNext w:val="0"/>
              <w:keepLines w:val="0"/>
              <w:widowControl/>
              <w:suppressLineNumbers w:val="0"/>
              <w:jc w:val="center"/>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kern w:val="0"/>
                <w:sz w:val="24"/>
                <w:szCs w:val="24"/>
                <w:u w:val="none"/>
                <w:lang w:val="en-US" w:eastAsia="zh-CN" w:bidi="ar"/>
              </w:rPr>
              <w:t>4.2米</w:t>
            </w:r>
          </w:p>
          <w:p w14:paraId="3666C1E0">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冷藏车型</w:t>
            </w:r>
          </w:p>
        </w:tc>
        <w:tc>
          <w:tcPr>
            <w:tcW w:w="1471" w:type="dxa"/>
            <w:tcBorders>
              <w:top w:val="single" w:color="000000" w:sz="4" w:space="0"/>
              <w:left w:val="single" w:color="000000" w:sz="4" w:space="0"/>
              <w:bottom w:val="single" w:color="000000" w:sz="4" w:space="0"/>
              <w:right w:val="nil"/>
            </w:tcBorders>
            <w:shd w:val="clear" w:color="auto" w:fill="B4C6E7"/>
            <w:noWrap/>
            <w:vAlign w:val="center"/>
          </w:tcPr>
          <w:p w14:paraId="1224095F">
            <w:pPr>
              <w:keepNext w:val="0"/>
              <w:keepLines w:val="0"/>
              <w:widowControl/>
              <w:suppressLineNumbers w:val="0"/>
              <w:jc w:val="center"/>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kern w:val="0"/>
                <w:sz w:val="24"/>
                <w:szCs w:val="24"/>
                <w:u w:val="none"/>
                <w:lang w:val="en-US" w:eastAsia="zh-CN" w:bidi="ar"/>
              </w:rPr>
              <w:t>7.6米</w:t>
            </w:r>
          </w:p>
          <w:p w14:paraId="128012F9">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冷藏车型</w:t>
            </w:r>
          </w:p>
        </w:tc>
        <w:tc>
          <w:tcPr>
            <w:tcW w:w="1486" w:type="dxa"/>
            <w:tcBorders>
              <w:top w:val="single" w:color="000000" w:sz="4" w:space="0"/>
              <w:left w:val="single" w:color="000000" w:sz="4" w:space="0"/>
              <w:bottom w:val="single" w:color="000000" w:sz="4" w:space="0"/>
              <w:right w:val="nil"/>
            </w:tcBorders>
            <w:shd w:val="clear" w:color="auto" w:fill="B4C6E7"/>
            <w:noWrap/>
            <w:vAlign w:val="center"/>
          </w:tcPr>
          <w:p w14:paraId="30506DE1">
            <w:pPr>
              <w:keepNext w:val="0"/>
              <w:keepLines w:val="0"/>
              <w:widowControl/>
              <w:suppressLineNumbers w:val="0"/>
              <w:jc w:val="center"/>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kern w:val="0"/>
                <w:sz w:val="24"/>
                <w:szCs w:val="24"/>
                <w:u w:val="none"/>
                <w:lang w:val="en-US" w:eastAsia="zh-CN" w:bidi="ar"/>
              </w:rPr>
              <w:t>9.6米</w:t>
            </w:r>
          </w:p>
          <w:p w14:paraId="559EF655">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冷藏车型</w:t>
            </w:r>
          </w:p>
        </w:tc>
        <w:tc>
          <w:tcPr>
            <w:tcW w:w="1362" w:type="dxa"/>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41D6EE78">
            <w:pPr>
              <w:keepNext w:val="0"/>
              <w:keepLines w:val="0"/>
              <w:widowControl/>
              <w:suppressLineNumbers w:val="0"/>
              <w:jc w:val="center"/>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kern w:val="0"/>
                <w:sz w:val="24"/>
                <w:szCs w:val="24"/>
                <w:u w:val="none"/>
                <w:lang w:val="en-US" w:eastAsia="zh-CN" w:bidi="ar"/>
              </w:rPr>
              <w:t>15米冷</w:t>
            </w:r>
          </w:p>
          <w:p w14:paraId="30E728AA">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藏车型</w:t>
            </w:r>
          </w:p>
        </w:tc>
      </w:tr>
      <w:tr w14:paraId="0E00A6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766" w:type="dxa"/>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367927F0">
            <w:pPr>
              <w:jc w:val="center"/>
              <w:rPr>
                <w:rFonts w:hint="eastAsia" w:ascii="仿宋" w:hAnsi="仿宋" w:eastAsia="仿宋" w:cs="仿宋"/>
                <w:b/>
                <w:bCs/>
                <w:i w:val="0"/>
                <w:iCs w:val="0"/>
                <w:color w:val="auto"/>
                <w:sz w:val="24"/>
                <w:szCs w:val="24"/>
                <w:u w:val="none"/>
              </w:rPr>
            </w:pPr>
          </w:p>
        </w:tc>
        <w:tc>
          <w:tcPr>
            <w:tcW w:w="801" w:type="dxa"/>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611467C3">
            <w:pPr>
              <w:jc w:val="center"/>
              <w:rPr>
                <w:rFonts w:hint="eastAsia" w:ascii="仿宋" w:hAnsi="仿宋" w:eastAsia="仿宋" w:cs="仿宋"/>
                <w:b/>
                <w:bCs/>
                <w:i w:val="0"/>
                <w:iCs w:val="0"/>
                <w:color w:val="auto"/>
                <w:sz w:val="24"/>
                <w:szCs w:val="24"/>
                <w:u w:val="none"/>
              </w:rPr>
            </w:pPr>
          </w:p>
        </w:tc>
        <w:tc>
          <w:tcPr>
            <w:tcW w:w="814" w:type="dxa"/>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64B826E8">
            <w:pPr>
              <w:jc w:val="center"/>
              <w:rPr>
                <w:rFonts w:hint="eastAsia" w:ascii="仿宋" w:hAnsi="仿宋" w:eastAsia="仿宋" w:cs="仿宋"/>
                <w:b/>
                <w:bCs/>
                <w:i w:val="0"/>
                <w:iCs w:val="0"/>
                <w:color w:val="auto"/>
                <w:sz w:val="24"/>
                <w:szCs w:val="24"/>
                <w:u w:val="none"/>
              </w:rPr>
            </w:pPr>
          </w:p>
        </w:tc>
        <w:tc>
          <w:tcPr>
            <w:tcW w:w="943" w:type="dxa"/>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74926D2D">
            <w:pPr>
              <w:jc w:val="center"/>
              <w:rPr>
                <w:rFonts w:hint="eastAsia" w:ascii="仿宋" w:hAnsi="仿宋" w:eastAsia="仿宋" w:cs="仿宋"/>
                <w:b/>
                <w:bCs/>
                <w:i w:val="0"/>
                <w:iCs w:val="0"/>
                <w:color w:val="auto"/>
                <w:sz w:val="24"/>
                <w:szCs w:val="24"/>
                <w:u w:val="none"/>
              </w:rPr>
            </w:pPr>
          </w:p>
        </w:tc>
        <w:tc>
          <w:tcPr>
            <w:tcW w:w="1057" w:type="dxa"/>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5A8F5251">
            <w:pPr>
              <w:jc w:val="center"/>
              <w:rPr>
                <w:rFonts w:hint="eastAsia" w:ascii="仿宋" w:hAnsi="仿宋" w:eastAsia="仿宋" w:cs="仿宋"/>
                <w:b/>
                <w:bCs/>
                <w:i w:val="0"/>
                <w:iCs w:val="0"/>
                <w:color w:val="auto"/>
                <w:sz w:val="24"/>
                <w:szCs w:val="24"/>
                <w:u w:val="none"/>
              </w:rPr>
            </w:pPr>
          </w:p>
        </w:tc>
        <w:tc>
          <w:tcPr>
            <w:tcW w:w="943" w:type="dxa"/>
            <w:vMerge w:val="continue"/>
            <w:tcBorders>
              <w:top w:val="single" w:color="000000" w:sz="4" w:space="0"/>
              <w:left w:val="single" w:color="000000" w:sz="4" w:space="0"/>
              <w:bottom w:val="single" w:color="000000" w:sz="4" w:space="0"/>
              <w:right w:val="single" w:color="000000" w:sz="4" w:space="0"/>
            </w:tcBorders>
            <w:shd w:val="clear" w:color="auto" w:fill="B4C6E7"/>
            <w:noWrap/>
            <w:vAlign w:val="center"/>
          </w:tcPr>
          <w:p w14:paraId="63F4A7C8">
            <w:pPr>
              <w:jc w:val="center"/>
              <w:rPr>
                <w:rFonts w:hint="eastAsia" w:ascii="仿宋" w:hAnsi="仿宋" w:eastAsia="仿宋" w:cs="仿宋"/>
                <w:b/>
                <w:bCs/>
                <w:i w:val="0"/>
                <w:iCs w:val="0"/>
                <w:color w:val="auto"/>
                <w:sz w:val="24"/>
                <w:szCs w:val="24"/>
                <w:u w:val="none"/>
              </w:rPr>
            </w:pPr>
          </w:p>
        </w:tc>
        <w:tc>
          <w:tcPr>
            <w:tcW w:w="1472" w:type="dxa"/>
            <w:tcBorders>
              <w:top w:val="single" w:color="000000" w:sz="4" w:space="0"/>
              <w:left w:val="single" w:color="000000" w:sz="4" w:space="0"/>
              <w:bottom w:val="nil"/>
              <w:right w:val="single" w:color="000000" w:sz="4" w:space="0"/>
            </w:tcBorders>
            <w:shd w:val="clear" w:color="auto" w:fill="B4C6E7"/>
            <w:noWrap/>
            <w:vAlign w:val="center"/>
          </w:tcPr>
          <w:p w14:paraId="747FB515">
            <w:pPr>
              <w:keepNext w:val="0"/>
              <w:keepLines w:val="0"/>
              <w:widowControl/>
              <w:suppressLineNumbers w:val="0"/>
              <w:jc w:val="center"/>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kern w:val="0"/>
                <w:sz w:val="24"/>
                <w:szCs w:val="24"/>
                <w:u w:val="none"/>
                <w:lang w:val="en-US" w:eastAsia="zh-CN" w:bidi="ar"/>
              </w:rPr>
              <w:t>单价</w:t>
            </w:r>
          </w:p>
          <w:p w14:paraId="6261075E">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（元/KM）</w:t>
            </w:r>
          </w:p>
        </w:tc>
        <w:tc>
          <w:tcPr>
            <w:tcW w:w="1471" w:type="dxa"/>
            <w:tcBorders>
              <w:top w:val="single" w:color="000000" w:sz="4" w:space="0"/>
              <w:left w:val="single" w:color="000000" w:sz="4" w:space="0"/>
              <w:bottom w:val="nil"/>
              <w:right w:val="single" w:color="000000" w:sz="4" w:space="0"/>
            </w:tcBorders>
            <w:shd w:val="clear" w:color="auto" w:fill="B4C6E7"/>
            <w:noWrap/>
            <w:vAlign w:val="center"/>
          </w:tcPr>
          <w:p w14:paraId="270B402D">
            <w:pPr>
              <w:keepNext w:val="0"/>
              <w:keepLines w:val="0"/>
              <w:widowControl/>
              <w:suppressLineNumbers w:val="0"/>
              <w:jc w:val="center"/>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kern w:val="0"/>
                <w:sz w:val="24"/>
                <w:szCs w:val="24"/>
                <w:u w:val="none"/>
                <w:lang w:val="en-US" w:eastAsia="zh-CN" w:bidi="ar"/>
              </w:rPr>
              <w:t>单价</w:t>
            </w:r>
          </w:p>
          <w:p w14:paraId="1AC54CE7">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（元/KM）</w:t>
            </w:r>
          </w:p>
        </w:tc>
        <w:tc>
          <w:tcPr>
            <w:tcW w:w="1486" w:type="dxa"/>
            <w:tcBorders>
              <w:top w:val="single" w:color="000000" w:sz="4" w:space="0"/>
              <w:left w:val="single" w:color="000000" w:sz="4" w:space="0"/>
              <w:bottom w:val="nil"/>
              <w:right w:val="single" w:color="000000" w:sz="4" w:space="0"/>
            </w:tcBorders>
            <w:shd w:val="clear" w:color="auto" w:fill="B4C6E7"/>
            <w:noWrap/>
            <w:vAlign w:val="center"/>
          </w:tcPr>
          <w:p w14:paraId="5EBE1038">
            <w:pPr>
              <w:keepNext w:val="0"/>
              <w:keepLines w:val="0"/>
              <w:widowControl/>
              <w:suppressLineNumbers w:val="0"/>
              <w:jc w:val="center"/>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kern w:val="0"/>
                <w:sz w:val="24"/>
                <w:szCs w:val="24"/>
                <w:u w:val="none"/>
                <w:lang w:val="en-US" w:eastAsia="zh-CN" w:bidi="ar"/>
              </w:rPr>
              <w:t>单价</w:t>
            </w:r>
          </w:p>
          <w:p w14:paraId="37C9DE6A">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（元/KM）</w:t>
            </w:r>
          </w:p>
        </w:tc>
        <w:tc>
          <w:tcPr>
            <w:tcW w:w="1362" w:type="dxa"/>
            <w:tcBorders>
              <w:top w:val="single" w:color="000000" w:sz="4" w:space="0"/>
              <w:left w:val="single" w:color="000000" w:sz="4" w:space="0"/>
              <w:bottom w:val="nil"/>
              <w:right w:val="single" w:color="000000" w:sz="4" w:space="0"/>
            </w:tcBorders>
            <w:shd w:val="clear" w:color="auto" w:fill="B4C6E7"/>
            <w:noWrap/>
            <w:vAlign w:val="center"/>
          </w:tcPr>
          <w:p w14:paraId="203C7D62">
            <w:pPr>
              <w:keepNext w:val="0"/>
              <w:keepLines w:val="0"/>
              <w:widowControl/>
              <w:suppressLineNumbers w:val="0"/>
              <w:jc w:val="center"/>
              <w:textAlignment w:val="center"/>
              <w:rPr>
                <w:rFonts w:hint="eastAsia" w:ascii="仿宋" w:hAnsi="仿宋" w:eastAsia="仿宋" w:cs="仿宋"/>
                <w:b/>
                <w:bCs/>
                <w:i w:val="0"/>
                <w:iCs w:val="0"/>
                <w:color w:val="auto"/>
                <w:kern w:val="0"/>
                <w:sz w:val="24"/>
                <w:szCs w:val="24"/>
                <w:u w:val="none"/>
                <w:lang w:val="en-US" w:eastAsia="zh-CN" w:bidi="ar"/>
              </w:rPr>
            </w:pPr>
            <w:r>
              <w:rPr>
                <w:rFonts w:hint="eastAsia" w:ascii="仿宋" w:hAnsi="仿宋" w:eastAsia="仿宋" w:cs="仿宋"/>
                <w:b/>
                <w:bCs/>
                <w:i w:val="0"/>
                <w:iCs w:val="0"/>
                <w:color w:val="auto"/>
                <w:kern w:val="0"/>
                <w:sz w:val="24"/>
                <w:szCs w:val="24"/>
                <w:u w:val="none"/>
                <w:lang w:val="en-US" w:eastAsia="zh-CN" w:bidi="ar"/>
              </w:rPr>
              <w:t>单价</w:t>
            </w:r>
          </w:p>
          <w:p w14:paraId="7858ACE1">
            <w:pPr>
              <w:keepNext w:val="0"/>
              <w:keepLines w:val="0"/>
              <w:widowControl/>
              <w:suppressLineNumbers w:val="0"/>
              <w:jc w:val="center"/>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（元/KM）</w:t>
            </w:r>
          </w:p>
        </w:tc>
      </w:tr>
      <w:tr w14:paraId="6327B0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7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60706">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w:t>
            </w:r>
          </w:p>
        </w:tc>
        <w:tc>
          <w:tcPr>
            <w:tcW w:w="8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6FE73">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整车</w:t>
            </w:r>
          </w:p>
        </w:tc>
        <w:tc>
          <w:tcPr>
            <w:tcW w:w="8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0F56E">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浙江</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7CE1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衢州</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5C290">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黑龙江</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FA4E6">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哈尔滨</w:t>
            </w:r>
          </w:p>
        </w:tc>
        <w:tc>
          <w:tcPr>
            <w:tcW w:w="14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86BF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FBBE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5EC87">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9AF4E">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207178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7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0B720">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2</w:t>
            </w:r>
          </w:p>
        </w:tc>
        <w:tc>
          <w:tcPr>
            <w:tcW w:w="8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07B5F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整车</w:t>
            </w:r>
          </w:p>
        </w:tc>
        <w:tc>
          <w:tcPr>
            <w:tcW w:w="8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D5E9F">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浙江</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52CFD">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衢州</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BAEE2">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北京</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A1EC6">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北京</w:t>
            </w:r>
          </w:p>
        </w:tc>
        <w:tc>
          <w:tcPr>
            <w:tcW w:w="14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EDED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AA72B">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AB2C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CC7E4">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4DDDA7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7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08AF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3</w:t>
            </w:r>
          </w:p>
        </w:tc>
        <w:tc>
          <w:tcPr>
            <w:tcW w:w="8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D56D5">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整车</w:t>
            </w:r>
          </w:p>
        </w:tc>
        <w:tc>
          <w:tcPr>
            <w:tcW w:w="8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98DF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浙江</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8002D">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衢州</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98757">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辽宁</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A7159">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大连</w:t>
            </w:r>
          </w:p>
        </w:tc>
        <w:tc>
          <w:tcPr>
            <w:tcW w:w="14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43398">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CD3C8">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AD816">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95865">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75D1F8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7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F151B">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4</w:t>
            </w:r>
          </w:p>
        </w:tc>
        <w:tc>
          <w:tcPr>
            <w:tcW w:w="8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1DC62">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整车</w:t>
            </w:r>
          </w:p>
        </w:tc>
        <w:tc>
          <w:tcPr>
            <w:tcW w:w="8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F8362">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浙江</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2FC0D">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衢州</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5F8AF">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辽宁</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B0965">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沈阳</w:t>
            </w:r>
          </w:p>
        </w:tc>
        <w:tc>
          <w:tcPr>
            <w:tcW w:w="14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502D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78C85">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F3677">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1A907">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24FC33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7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96945">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5</w:t>
            </w:r>
          </w:p>
        </w:tc>
        <w:tc>
          <w:tcPr>
            <w:tcW w:w="8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68A1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整车</w:t>
            </w:r>
          </w:p>
        </w:tc>
        <w:tc>
          <w:tcPr>
            <w:tcW w:w="8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A1E13">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浙江</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6445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衢州</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EE870">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上海</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2F76E">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上海</w:t>
            </w:r>
          </w:p>
        </w:tc>
        <w:tc>
          <w:tcPr>
            <w:tcW w:w="14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0A25F">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314B8">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3871A">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47CED">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1A876F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7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1909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6</w:t>
            </w:r>
          </w:p>
        </w:tc>
        <w:tc>
          <w:tcPr>
            <w:tcW w:w="8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F863C">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整车</w:t>
            </w:r>
          </w:p>
        </w:tc>
        <w:tc>
          <w:tcPr>
            <w:tcW w:w="8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006F4">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浙江</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16820">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衢州</w:t>
            </w:r>
          </w:p>
        </w:tc>
        <w:tc>
          <w:tcPr>
            <w:tcW w:w="10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0EBDB">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广东</w:t>
            </w:r>
          </w:p>
        </w:tc>
        <w:tc>
          <w:tcPr>
            <w:tcW w:w="9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EC791">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深圳</w:t>
            </w:r>
          </w:p>
        </w:tc>
        <w:tc>
          <w:tcPr>
            <w:tcW w:w="14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DC369">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c>
          <w:tcPr>
            <w:tcW w:w="14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54D75">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48F3D">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CC03F">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p>
        </w:tc>
      </w:tr>
      <w:tr w14:paraId="32090D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0" w:hRule="atLeast"/>
          <w:jc w:val="center"/>
        </w:trPr>
        <w:tc>
          <w:tcPr>
            <w:tcW w:w="11115"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3994E489">
            <w:pPr>
              <w:keepNext w:val="0"/>
              <w:keepLines w:val="0"/>
              <w:widowControl/>
              <w:suppressLineNumbers w:val="0"/>
              <w:jc w:val="left"/>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备注：</w:t>
            </w:r>
            <w:r>
              <w:rPr>
                <w:rFonts w:hint="eastAsia" w:ascii="仿宋" w:hAnsi="仿宋" w:eastAsia="仿宋" w:cs="仿宋"/>
                <w:i w:val="0"/>
                <w:iCs w:val="0"/>
                <w:color w:val="auto"/>
                <w:kern w:val="0"/>
                <w:sz w:val="24"/>
                <w:szCs w:val="24"/>
                <w:u w:val="none"/>
                <w:lang w:val="en-US" w:eastAsia="zh-CN" w:bidi="ar"/>
              </w:rPr>
              <w:br w:type="textWrapping"/>
            </w:r>
            <w:r>
              <w:rPr>
                <w:rFonts w:hint="eastAsia" w:ascii="仿宋" w:hAnsi="仿宋" w:eastAsia="仿宋" w:cs="仿宋"/>
                <w:i w:val="0"/>
                <w:iCs w:val="0"/>
                <w:color w:val="auto"/>
                <w:kern w:val="0"/>
                <w:sz w:val="24"/>
                <w:szCs w:val="24"/>
                <w:u w:val="none"/>
                <w:lang w:val="en-US" w:eastAsia="zh-CN" w:bidi="ar"/>
              </w:rPr>
              <w:t>1.以上价格不含装、卸货等增值服务。</w:t>
            </w:r>
            <w:r>
              <w:rPr>
                <w:rFonts w:hint="eastAsia" w:ascii="仿宋" w:hAnsi="仿宋" w:eastAsia="仿宋" w:cs="仿宋"/>
                <w:i w:val="0"/>
                <w:iCs w:val="0"/>
                <w:color w:val="auto"/>
                <w:kern w:val="0"/>
                <w:sz w:val="24"/>
                <w:szCs w:val="24"/>
                <w:u w:val="none"/>
                <w:lang w:val="en-US" w:eastAsia="zh-CN" w:bidi="ar"/>
              </w:rPr>
              <w:br w:type="textWrapping"/>
            </w:r>
            <w:r>
              <w:rPr>
                <w:rFonts w:hint="eastAsia" w:ascii="仿宋" w:hAnsi="仿宋" w:eastAsia="仿宋" w:cs="仿宋"/>
                <w:i w:val="0"/>
                <w:iCs w:val="0"/>
                <w:color w:val="auto"/>
                <w:kern w:val="0"/>
                <w:sz w:val="24"/>
                <w:szCs w:val="24"/>
                <w:u w:val="none"/>
                <w:lang w:val="en-US" w:eastAsia="zh-CN" w:bidi="ar"/>
              </w:rPr>
              <w:t>2.以上价格须包含9%的增值税税点。</w:t>
            </w:r>
            <w:r>
              <w:rPr>
                <w:rFonts w:hint="eastAsia" w:ascii="仿宋" w:hAnsi="仿宋" w:eastAsia="仿宋" w:cs="仿宋"/>
                <w:i w:val="0"/>
                <w:iCs w:val="0"/>
                <w:color w:val="auto"/>
                <w:kern w:val="0"/>
                <w:sz w:val="24"/>
                <w:szCs w:val="24"/>
                <w:u w:val="none"/>
                <w:lang w:val="en-US" w:eastAsia="zh-CN" w:bidi="ar"/>
              </w:rPr>
              <w:br w:type="textWrapping"/>
            </w:r>
            <w:r>
              <w:rPr>
                <w:rFonts w:hint="eastAsia" w:ascii="仿宋" w:hAnsi="仿宋" w:eastAsia="仿宋" w:cs="仿宋"/>
                <w:i w:val="0"/>
                <w:iCs w:val="0"/>
                <w:color w:val="auto"/>
                <w:kern w:val="0"/>
                <w:sz w:val="24"/>
                <w:szCs w:val="24"/>
                <w:u w:val="none"/>
                <w:lang w:val="en-US" w:eastAsia="zh-CN" w:bidi="ar"/>
              </w:rPr>
              <w:t>3.以上价格须包含基础保价服务，按4.2米车型10万元，7.6米车型20万元，9.6米车型25万元，15米车型30万元。</w:t>
            </w:r>
            <w:r>
              <w:rPr>
                <w:rFonts w:hint="eastAsia" w:ascii="仿宋" w:hAnsi="仿宋" w:eastAsia="仿宋" w:cs="仿宋"/>
                <w:i w:val="0"/>
                <w:iCs w:val="0"/>
                <w:color w:val="auto"/>
                <w:kern w:val="0"/>
                <w:sz w:val="24"/>
                <w:szCs w:val="24"/>
                <w:u w:val="none"/>
                <w:lang w:val="en-US" w:eastAsia="zh-CN" w:bidi="ar"/>
              </w:rPr>
              <w:br w:type="textWrapping"/>
            </w:r>
            <w:r>
              <w:rPr>
                <w:rFonts w:hint="eastAsia" w:ascii="仿宋" w:hAnsi="仿宋" w:eastAsia="仿宋" w:cs="仿宋"/>
                <w:i w:val="0"/>
                <w:iCs w:val="0"/>
                <w:color w:val="auto"/>
                <w:kern w:val="0"/>
                <w:sz w:val="24"/>
                <w:szCs w:val="24"/>
                <w:u w:val="none"/>
                <w:lang w:val="en-US" w:eastAsia="zh-CN" w:bidi="ar"/>
              </w:rPr>
              <w:t>4.具有多个卸货地址的订单，以高德地图货车导航始发地至第一个卸货地距离+相邻卸货地之间的距离累加公里数为结算里程依据。</w:t>
            </w:r>
          </w:p>
        </w:tc>
      </w:tr>
    </w:tbl>
    <w:p w14:paraId="4EF3C439">
      <w:pPr>
        <w:snapToGrid w:val="0"/>
        <w:spacing w:line="360" w:lineRule="auto"/>
        <w:ind w:firstLine="480" w:firstLineChars="200"/>
        <w:jc w:val="left"/>
        <w:outlineLvl w:val="9"/>
        <w:rPr>
          <w:rFonts w:hint="eastAsia" w:ascii="仿宋" w:hAnsi="仿宋" w:eastAsia="仿宋" w:cs="仿宋"/>
          <w:color w:val="auto"/>
          <w:sz w:val="24"/>
          <w:szCs w:val="24"/>
        </w:rPr>
      </w:pPr>
    </w:p>
    <w:p w14:paraId="392E92D4">
      <w:pPr>
        <w:snapToGrid w:val="0"/>
        <w:spacing w:line="360" w:lineRule="auto"/>
        <w:ind w:firstLine="480" w:firstLineChars="200"/>
        <w:jc w:val="left"/>
        <w:outlineLvl w:val="9"/>
        <w:rPr>
          <w:rFonts w:ascii="仿宋" w:hAnsi="仿宋" w:eastAsia="仿宋" w:cs="仿宋"/>
          <w:color w:val="auto"/>
          <w:sz w:val="24"/>
          <w:szCs w:val="24"/>
        </w:rPr>
      </w:pPr>
      <w:r>
        <w:rPr>
          <w:rFonts w:hint="eastAsia" w:ascii="仿宋" w:hAnsi="仿宋" w:eastAsia="仿宋" w:cs="仿宋"/>
          <w:color w:val="auto"/>
          <w:sz w:val="24"/>
          <w:szCs w:val="24"/>
        </w:rPr>
        <w:t>注：1.报价一经涂改，应在涂改处加盖投标人公章或者由</w:t>
      </w:r>
      <w:r>
        <w:rPr>
          <w:rFonts w:hint="eastAsia" w:ascii="仿宋" w:hAnsi="仿宋" w:eastAsia="仿宋" w:cs="仿宋"/>
          <w:color w:val="auto"/>
          <w:sz w:val="24"/>
          <w:szCs w:val="24"/>
          <w:lang w:eastAsia="zh-CN"/>
        </w:rPr>
        <w:t>法定代表人（负责人）</w:t>
      </w:r>
      <w:r>
        <w:rPr>
          <w:rFonts w:hint="eastAsia" w:ascii="仿宋" w:hAnsi="仿宋" w:eastAsia="仿宋" w:cs="仿宋"/>
          <w:color w:val="auto"/>
          <w:sz w:val="24"/>
          <w:szCs w:val="24"/>
        </w:rPr>
        <w:t>或其授权代表签字或盖章，否则其投标作无效标处理。</w:t>
      </w:r>
    </w:p>
    <w:p w14:paraId="3519563C">
      <w:pPr>
        <w:snapToGrid w:val="0"/>
        <w:spacing w:line="360" w:lineRule="auto"/>
        <w:jc w:val="left"/>
        <w:outlineLvl w:val="9"/>
        <w:rPr>
          <w:rFonts w:hint="eastAsia" w:ascii="仿宋" w:hAnsi="仿宋" w:eastAsia="仿宋" w:cs="仿宋"/>
          <w:color w:val="auto"/>
          <w:sz w:val="24"/>
          <w:szCs w:val="24"/>
        </w:rPr>
      </w:pPr>
      <w:r>
        <w:rPr>
          <w:rFonts w:hint="eastAsia" w:ascii="仿宋" w:hAnsi="仿宋" w:eastAsia="仿宋" w:cs="仿宋"/>
          <w:color w:val="auto"/>
          <w:sz w:val="24"/>
          <w:szCs w:val="24"/>
        </w:rPr>
        <w:t xml:space="preserve">    2.</w:t>
      </w:r>
      <w:r>
        <w:rPr>
          <w:rFonts w:hint="eastAsia" w:ascii="仿宋" w:hAnsi="仿宋" w:eastAsia="仿宋" w:cs="仿宋"/>
          <w:b w:val="0"/>
          <w:bCs w:val="0"/>
          <w:color w:val="auto"/>
          <w:sz w:val="24"/>
          <w:szCs w:val="24"/>
          <w:highlight w:val="none"/>
          <w:lang w:val="en-US" w:eastAsia="zh-CN"/>
        </w:rPr>
        <w:t>投标报价应包括为完成该项目全部内容所需的一切人员工资、奖金、各种加班费、节假日补贴、夜餐费、各种社会保险、劳保福利、安全保险、食宿与交通、设备及工具、器材、消耗材料、安全、仓储、搬运、管理费用、税费、利润，完成合同所需的一切本身和不可或缺的所有工作开支、政策性文件规定及合同包含的所有风险、责任等各项全部费用并承担一切风险责任。在合同服务期间内不得违反国家相关政策规定。</w:t>
      </w:r>
      <w:r>
        <w:rPr>
          <w:rFonts w:hint="eastAsia" w:ascii="仿宋" w:hAnsi="仿宋" w:eastAsia="仿宋" w:cs="仿宋"/>
          <w:color w:val="auto"/>
          <w:sz w:val="24"/>
          <w:szCs w:val="24"/>
        </w:rPr>
        <w:t xml:space="preserve">   </w:t>
      </w:r>
    </w:p>
    <w:p w14:paraId="3FDA0286">
      <w:pPr>
        <w:snapToGrid w:val="0"/>
        <w:spacing w:line="360" w:lineRule="auto"/>
        <w:jc w:val="left"/>
        <w:outlineLvl w:val="9"/>
        <w:rPr>
          <w:rFonts w:ascii="仿宋" w:hAnsi="仿宋" w:eastAsia="仿宋" w:cs="仿宋"/>
          <w:color w:val="auto"/>
          <w:sz w:val="24"/>
        </w:rPr>
      </w:pPr>
      <w:r>
        <w:rPr>
          <w:rFonts w:hint="eastAsia" w:ascii="仿宋" w:hAnsi="仿宋" w:eastAsia="仿宋" w:cs="仿宋"/>
          <w:color w:val="auto"/>
          <w:sz w:val="24"/>
          <w:szCs w:val="24"/>
        </w:rPr>
        <w:t xml:space="preserve">   </w:t>
      </w:r>
    </w:p>
    <w:p w14:paraId="339618DB">
      <w:pPr>
        <w:keepNext w:val="0"/>
        <w:keepLines w:val="0"/>
        <w:pageBreakBefore w:val="0"/>
        <w:widowControl w:val="0"/>
        <w:kinsoku/>
        <w:wordWrap/>
        <w:overflowPunct/>
        <w:topLinePunct w:val="0"/>
        <w:bidi w:val="0"/>
        <w:snapToGrid w:val="0"/>
        <w:spacing w:line="360" w:lineRule="auto"/>
        <w:ind w:right="-817" w:rightChars="-389"/>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投标人名称：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盖章</w:t>
      </w:r>
      <w:r>
        <w:rPr>
          <w:rFonts w:hint="eastAsia" w:ascii="仿宋" w:hAnsi="仿宋" w:eastAsia="仿宋" w:cs="仿宋"/>
          <w:color w:val="auto"/>
          <w:sz w:val="24"/>
          <w:szCs w:val="24"/>
          <w:highlight w:val="none"/>
          <w:u w:val="single"/>
        </w:rPr>
        <w:t>）</w:t>
      </w:r>
    </w:p>
    <w:p w14:paraId="1F3778EB">
      <w:pPr>
        <w:keepNext w:val="0"/>
        <w:keepLines w:val="0"/>
        <w:pageBreakBefore w:val="0"/>
        <w:widowControl w:val="0"/>
        <w:kinsoku/>
        <w:wordWrap/>
        <w:overflowPunct/>
        <w:topLinePunct w:val="0"/>
        <w:bidi w:val="0"/>
        <w:snapToGrid w:val="0"/>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法定代表人（负责人）</w:t>
      </w:r>
      <w:r>
        <w:rPr>
          <w:rFonts w:hint="eastAsia" w:ascii="仿宋" w:hAnsi="仿宋" w:eastAsia="仿宋" w:cs="仿宋"/>
          <w:color w:val="auto"/>
          <w:sz w:val="24"/>
          <w:szCs w:val="24"/>
          <w:highlight w:val="none"/>
        </w:rPr>
        <w:t>或授权代表：</w:t>
      </w:r>
      <w:r>
        <w:rPr>
          <w:rFonts w:hint="eastAsia" w:ascii="仿宋" w:hAnsi="仿宋" w:eastAsia="仿宋" w:cs="仿宋"/>
          <w:color w:val="auto"/>
          <w:sz w:val="24"/>
          <w:szCs w:val="24"/>
          <w:highlight w:val="none"/>
          <w:u w:val="single"/>
        </w:rPr>
        <w:t xml:space="preserve">       （签字或盖章）</w:t>
      </w:r>
    </w:p>
    <w:p w14:paraId="2E5EB04A">
      <w:pPr>
        <w:keepNext w:val="0"/>
        <w:keepLines w:val="0"/>
        <w:pageBreakBefore w:val="0"/>
        <w:widowControl w:val="0"/>
        <w:kinsoku/>
        <w:wordWrap/>
        <w:overflowPunct/>
        <w:topLinePunct w:val="0"/>
        <w:bidi w:val="0"/>
        <w:snapToGrid w:val="0"/>
        <w:spacing w:line="360" w:lineRule="auto"/>
        <w:ind w:right="-817" w:rightChars="-389"/>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rPr>
        <w:t xml:space="preserve">    年   月   日</w:t>
      </w:r>
    </w:p>
    <w:p w14:paraId="505D0314">
      <w:pPr>
        <w:rPr>
          <w:rFonts w:hint="eastAsia" w:ascii="仿宋" w:hAnsi="仿宋" w:eastAsia="仿宋" w:cs="仿宋"/>
          <w:b/>
          <w:color w:val="auto"/>
          <w:sz w:val="28"/>
          <w:szCs w:val="28"/>
        </w:rPr>
      </w:pPr>
      <w:r>
        <w:rPr>
          <w:rFonts w:hint="eastAsia" w:ascii="仿宋" w:hAnsi="仿宋" w:eastAsia="仿宋" w:cs="仿宋"/>
          <w:b/>
          <w:color w:val="auto"/>
          <w:sz w:val="28"/>
          <w:szCs w:val="28"/>
        </w:rPr>
        <w:br w:type="page"/>
      </w:r>
    </w:p>
    <w:p w14:paraId="6D345826">
      <w:pPr>
        <w:pStyle w:val="37"/>
        <w:snapToGrid w:val="0"/>
        <w:spacing w:line="360" w:lineRule="auto"/>
        <w:jc w:val="center"/>
        <w:outlineLvl w:val="9"/>
        <w:rPr>
          <w:rFonts w:ascii="仿宋" w:hAnsi="仿宋" w:eastAsia="仿宋" w:cs="仿宋"/>
          <w:b/>
          <w:color w:val="auto"/>
          <w:sz w:val="28"/>
          <w:szCs w:val="28"/>
        </w:rPr>
      </w:pPr>
      <w:r>
        <w:rPr>
          <w:rFonts w:hint="eastAsia" w:ascii="仿宋" w:hAnsi="仿宋" w:eastAsia="仿宋" w:cs="仿宋"/>
          <w:b/>
          <w:color w:val="auto"/>
          <w:sz w:val="28"/>
          <w:szCs w:val="28"/>
        </w:rPr>
        <w:t>采购活动现场确认声明书</w:t>
      </w:r>
    </w:p>
    <w:p w14:paraId="177219D4">
      <w:pPr>
        <w:pStyle w:val="37"/>
        <w:keepNext w:val="0"/>
        <w:keepLines w:val="0"/>
        <w:pageBreakBefore w:val="0"/>
        <w:kinsoku/>
        <w:wordWrap/>
        <w:overflowPunct/>
        <w:topLinePunct w:val="0"/>
        <w:autoSpaceDE/>
        <w:autoSpaceDN/>
        <w:bidi w:val="0"/>
        <w:adjustRightInd w:val="0"/>
        <w:snapToGrid w:val="0"/>
        <w:spacing w:line="400" w:lineRule="exact"/>
        <w:textAlignment w:val="auto"/>
        <w:outlineLvl w:val="9"/>
        <w:rPr>
          <w:rFonts w:hint="eastAsia" w:ascii="仿宋" w:hAnsi="仿宋" w:eastAsia="仿宋" w:cs="仿宋"/>
          <w:color w:val="auto"/>
          <w:spacing w:val="6"/>
        </w:rPr>
      </w:pPr>
      <w:r>
        <w:rPr>
          <w:rFonts w:hint="eastAsia" w:ascii="仿宋" w:hAnsi="仿宋" w:eastAsia="仿宋" w:cs="仿宋"/>
          <w:color w:val="auto"/>
          <w:spacing w:val="6"/>
          <w:lang w:eastAsia="zh-CN"/>
        </w:rPr>
        <w:t>马迭尔食品（浙江）有限公司</w:t>
      </w:r>
      <w:r>
        <w:rPr>
          <w:rFonts w:hint="eastAsia" w:ascii="仿宋" w:hAnsi="仿宋" w:eastAsia="仿宋" w:cs="仿宋"/>
          <w:color w:val="auto"/>
          <w:spacing w:val="6"/>
        </w:rPr>
        <w:t>：</w:t>
      </w:r>
    </w:p>
    <w:p w14:paraId="10BFDA8F">
      <w:pPr>
        <w:pStyle w:val="37"/>
        <w:keepNext w:val="0"/>
        <w:keepLines w:val="0"/>
        <w:pageBreakBefore w:val="0"/>
        <w:kinsoku/>
        <w:wordWrap/>
        <w:overflowPunct/>
        <w:topLinePunct w:val="0"/>
        <w:autoSpaceDE/>
        <w:autoSpaceDN/>
        <w:bidi w:val="0"/>
        <w:adjustRightInd w:val="0"/>
        <w:snapToGrid w:val="0"/>
        <w:spacing w:line="400" w:lineRule="exact"/>
        <w:ind w:firstLine="504" w:firstLineChars="200"/>
        <w:textAlignment w:val="auto"/>
        <w:outlineLvl w:val="9"/>
        <w:rPr>
          <w:rFonts w:ascii="仿宋" w:hAnsi="仿宋" w:eastAsia="仿宋" w:cs="仿宋"/>
          <w:color w:val="auto"/>
          <w:spacing w:val="6"/>
        </w:rPr>
      </w:pPr>
      <w:r>
        <w:rPr>
          <w:rFonts w:hint="eastAsia" w:ascii="仿宋" w:hAnsi="仿宋" w:eastAsia="仿宋" w:cs="仿宋"/>
          <w:color w:val="auto"/>
          <w:spacing w:val="6"/>
        </w:rPr>
        <w:t>本人经由</w:t>
      </w:r>
      <w:r>
        <w:rPr>
          <w:rFonts w:hint="eastAsia" w:ascii="仿宋" w:hAnsi="仿宋" w:eastAsia="仿宋" w:cs="仿宋"/>
          <w:color w:val="auto"/>
          <w:spacing w:val="6"/>
          <w:u w:val="single"/>
        </w:rPr>
        <w:t xml:space="preserve">                  （单位）</w:t>
      </w:r>
      <w:r>
        <w:rPr>
          <w:rFonts w:hint="eastAsia" w:ascii="仿宋" w:hAnsi="仿宋" w:eastAsia="仿宋" w:cs="仿宋"/>
          <w:color w:val="auto"/>
          <w:spacing w:val="6"/>
        </w:rPr>
        <w:t>负责人</w:t>
      </w:r>
      <w:r>
        <w:rPr>
          <w:rFonts w:hint="eastAsia" w:ascii="仿宋" w:hAnsi="仿宋" w:eastAsia="仿宋" w:cs="仿宋"/>
          <w:color w:val="auto"/>
          <w:spacing w:val="6"/>
          <w:u w:val="single"/>
        </w:rPr>
        <w:t xml:space="preserve">        （姓名）</w:t>
      </w:r>
      <w:r>
        <w:rPr>
          <w:rFonts w:hint="eastAsia" w:ascii="仿宋" w:hAnsi="仿宋" w:eastAsia="仿宋" w:cs="仿宋"/>
          <w:color w:val="auto"/>
          <w:spacing w:val="6"/>
        </w:rPr>
        <w:t>合法授权参加</w:t>
      </w:r>
      <w:r>
        <w:rPr>
          <w:rFonts w:hint="eastAsia" w:ascii="仿宋" w:hAnsi="仿宋" w:eastAsia="仿宋" w:cs="仿宋"/>
          <w:color w:val="auto"/>
          <w:spacing w:val="6"/>
          <w:u w:val="single"/>
          <w:lang w:eastAsia="zh-CN"/>
        </w:rPr>
        <w:t>哈尔滨马迭尔食品股份有限公司物流服务项目</w:t>
      </w:r>
      <w:r>
        <w:rPr>
          <w:rFonts w:hint="eastAsia" w:ascii="仿宋" w:hAnsi="仿宋" w:eastAsia="仿宋" w:cs="仿宋"/>
          <w:color w:val="auto"/>
          <w:spacing w:val="6"/>
        </w:rPr>
        <w:t>（</w:t>
      </w:r>
      <w:r>
        <w:rPr>
          <w:rFonts w:hint="eastAsia" w:ascii="仿宋" w:hAnsi="仿宋" w:eastAsia="仿宋" w:cs="仿宋"/>
          <w:color w:val="auto"/>
          <w:spacing w:val="6"/>
          <w:lang w:val="en-US" w:eastAsia="zh-CN"/>
        </w:rPr>
        <w:t>项目</w:t>
      </w:r>
      <w:r>
        <w:rPr>
          <w:rFonts w:hint="eastAsia" w:ascii="仿宋" w:hAnsi="仿宋" w:eastAsia="仿宋" w:cs="仿宋"/>
          <w:color w:val="auto"/>
          <w:spacing w:val="6"/>
        </w:rPr>
        <w:t>编号：</w:t>
      </w:r>
      <w:r>
        <w:rPr>
          <w:rFonts w:hint="eastAsia" w:ascii="仿宋" w:hAnsi="仿宋" w:eastAsia="仿宋" w:cs="仿宋"/>
          <w:color w:val="auto"/>
          <w:spacing w:val="6"/>
          <w:lang w:eastAsia="zh-CN"/>
        </w:rPr>
        <w:t>LSZX-2025-CG0063</w:t>
      </w:r>
      <w:r>
        <w:rPr>
          <w:rFonts w:hint="eastAsia" w:ascii="仿宋" w:hAnsi="仿宋" w:eastAsia="仿宋" w:cs="仿宋"/>
          <w:color w:val="auto"/>
          <w:spacing w:val="6"/>
        </w:rPr>
        <w:t xml:space="preserve">）采购活动，经与本单位法人代表（负责人）联系确认，现就有关公平竞争事项郑重声明如下： </w:t>
      </w:r>
    </w:p>
    <w:p w14:paraId="531543C5">
      <w:pPr>
        <w:pStyle w:val="27"/>
        <w:keepNext w:val="0"/>
        <w:keepLines w:val="0"/>
        <w:pageBreakBefore w:val="0"/>
        <w:widowControl/>
        <w:kinsoku/>
        <w:wordWrap/>
        <w:overflowPunct/>
        <w:topLinePunct w:val="0"/>
        <w:autoSpaceDE/>
        <w:autoSpaceDN/>
        <w:bidi w:val="0"/>
        <w:adjustRightInd w:val="0"/>
        <w:snapToGrid w:val="0"/>
        <w:spacing w:line="400" w:lineRule="exact"/>
        <w:ind w:left="0" w:leftChars="0" w:firstLine="480" w:firstLineChars="200"/>
        <w:textAlignment w:val="auto"/>
        <w:outlineLvl w:val="9"/>
        <w:rPr>
          <w:rFonts w:hint="default" w:ascii="仿宋" w:hAnsi="仿宋" w:eastAsia="仿宋" w:cs="仿宋"/>
          <w:i w:val="0"/>
          <w:iCs w:val="0"/>
          <w:color w:val="auto"/>
          <w:kern w:val="0"/>
          <w:sz w:val="24"/>
          <w:szCs w:val="24"/>
        </w:rPr>
      </w:pPr>
      <w:r>
        <w:rPr>
          <w:rFonts w:ascii="仿宋" w:hAnsi="仿宋" w:eastAsia="仿宋" w:cs="仿宋"/>
          <w:i w:val="0"/>
          <w:iCs w:val="0"/>
          <w:color w:val="auto"/>
          <w:kern w:val="0"/>
          <w:sz w:val="24"/>
          <w:szCs w:val="24"/>
        </w:rPr>
        <w:t>一、本单位与</w:t>
      </w:r>
      <w:r>
        <w:rPr>
          <w:rFonts w:hint="eastAsia" w:ascii="仿宋" w:hAnsi="仿宋" w:eastAsia="仿宋" w:cs="仿宋"/>
          <w:i w:val="0"/>
          <w:iCs w:val="0"/>
          <w:color w:val="auto"/>
          <w:kern w:val="0"/>
          <w:sz w:val="24"/>
          <w:szCs w:val="24"/>
          <w:lang w:eastAsia="zh-CN"/>
        </w:rPr>
        <w:t>招标人</w:t>
      </w:r>
      <w:r>
        <w:rPr>
          <w:rFonts w:ascii="仿宋" w:hAnsi="仿宋" w:eastAsia="仿宋" w:cs="仿宋"/>
          <w:i w:val="0"/>
          <w:iCs w:val="0"/>
          <w:color w:val="auto"/>
          <w:kern w:val="0"/>
          <w:sz w:val="24"/>
          <w:szCs w:val="24"/>
        </w:rPr>
        <w:t>之间 □不存在利害关系 □存在下列利害关系</w:t>
      </w:r>
      <w:r>
        <w:rPr>
          <w:rFonts w:ascii="仿宋" w:hAnsi="仿宋" w:eastAsia="仿宋" w:cs="仿宋"/>
          <w:i w:val="0"/>
          <w:iCs w:val="0"/>
          <w:color w:val="auto"/>
          <w:kern w:val="0"/>
          <w:sz w:val="24"/>
          <w:szCs w:val="24"/>
          <w:u w:val="single"/>
        </w:rPr>
        <w:t xml:space="preserve">           </w:t>
      </w:r>
      <w:r>
        <w:rPr>
          <w:rFonts w:ascii="仿宋" w:hAnsi="仿宋" w:eastAsia="仿宋" w:cs="仿宋"/>
          <w:i w:val="0"/>
          <w:iCs w:val="0"/>
          <w:color w:val="auto"/>
          <w:kern w:val="0"/>
          <w:sz w:val="24"/>
          <w:szCs w:val="24"/>
        </w:rPr>
        <w:t>：</w:t>
      </w:r>
    </w:p>
    <w:p w14:paraId="36CDFBDD">
      <w:pPr>
        <w:pStyle w:val="27"/>
        <w:keepNext w:val="0"/>
        <w:keepLines w:val="0"/>
        <w:pageBreakBefore w:val="0"/>
        <w:widowControl/>
        <w:kinsoku/>
        <w:wordWrap/>
        <w:overflowPunct/>
        <w:topLinePunct w:val="0"/>
        <w:autoSpaceDE/>
        <w:autoSpaceDN/>
        <w:bidi w:val="0"/>
        <w:adjustRightInd w:val="0"/>
        <w:snapToGrid w:val="0"/>
        <w:spacing w:line="400" w:lineRule="exact"/>
        <w:ind w:left="0" w:leftChars="0" w:firstLine="480" w:firstLineChars="200"/>
        <w:textAlignment w:val="auto"/>
        <w:outlineLvl w:val="9"/>
        <w:rPr>
          <w:rFonts w:hint="default" w:ascii="仿宋" w:hAnsi="仿宋" w:eastAsia="仿宋" w:cs="仿宋"/>
          <w:i w:val="0"/>
          <w:iCs w:val="0"/>
          <w:color w:val="auto"/>
          <w:kern w:val="0"/>
          <w:sz w:val="24"/>
          <w:szCs w:val="24"/>
        </w:rPr>
      </w:pPr>
      <w:r>
        <w:rPr>
          <w:rFonts w:ascii="仿宋" w:hAnsi="仿宋" w:eastAsia="仿宋" w:cs="仿宋"/>
          <w:i w:val="0"/>
          <w:iCs w:val="0"/>
          <w:color w:val="auto"/>
          <w:kern w:val="0"/>
          <w:sz w:val="24"/>
          <w:szCs w:val="24"/>
        </w:rPr>
        <w:t>A.投资关系    B.行政隶属关系    C.业务指导关系</w:t>
      </w:r>
    </w:p>
    <w:p w14:paraId="552C81DD">
      <w:pPr>
        <w:pStyle w:val="27"/>
        <w:keepNext w:val="0"/>
        <w:keepLines w:val="0"/>
        <w:pageBreakBefore w:val="0"/>
        <w:widowControl/>
        <w:kinsoku/>
        <w:wordWrap/>
        <w:overflowPunct/>
        <w:topLinePunct w:val="0"/>
        <w:autoSpaceDE/>
        <w:autoSpaceDN/>
        <w:bidi w:val="0"/>
        <w:adjustRightInd w:val="0"/>
        <w:snapToGrid w:val="0"/>
        <w:spacing w:line="400" w:lineRule="exact"/>
        <w:ind w:left="0" w:leftChars="0" w:firstLine="480" w:firstLineChars="200"/>
        <w:textAlignment w:val="auto"/>
        <w:outlineLvl w:val="9"/>
        <w:rPr>
          <w:rFonts w:hint="default" w:ascii="仿宋" w:hAnsi="仿宋" w:eastAsia="仿宋" w:cs="仿宋"/>
          <w:i w:val="0"/>
          <w:iCs w:val="0"/>
          <w:color w:val="auto"/>
          <w:kern w:val="0"/>
          <w:sz w:val="24"/>
          <w:szCs w:val="24"/>
        </w:rPr>
      </w:pPr>
      <w:r>
        <w:rPr>
          <w:rFonts w:ascii="仿宋" w:hAnsi="仿宋" w:eastAsia="仿宋" w:cs="仿宋"/>
          <w:i w:val="0"/>
          <w:iCs w:val="0"/>
          <w:color w:val="auto"/>
          <w:kern w:val="0"/>
          <w:sz w:val="24"/>
          <w:szCs w:val="24"/>
        </w:rPr>
        <w:t>D.其他可能</w:t>
      </w:r>
      <w:r>
        <w:rPr>
          <w:rFonts w:ascii="仿宋" w:hAnsi="仿宋" w:eastAsia="仿宋" w:cs="仿宋"/>
          <w:i w:val="0"/>
          <w:iCs w:val="0"/>
          <w:color w:val="auto"/>
          <w:sz w:val="24"/>
          <w:szCs w:val="24"/>
        </w:rPr>
        <w:t>影响采购公正的</w:t>
      </w:r>
      <w:r>
        <w:rPr>
          <w:rFonts w:ascii="仿宋" w:hAnsi="仿宋" w:eastAsia="仿宋" w:cs="仿宋"/>
          <w:i w:val="0"/>
          <w:iCs w:val="0"/>
          <w:color w:val="auto"/>
          <w:kern w:val="0"/>
          <w:sz w:val="24"/>
          <w:szCs w:val="24"/>
        </w:rPr>
        <w:t>利害关系</w:t>
      </w:r>
      <w:r>
        <w:rPr>
          <w:rFonts w:ascii="仿宋" w:hAnsi="仿宋" w:eastAsia="仿宋" w:cs="仿宋"/>
          <w:i w:val="0"/>
          <w:iCs w:val="0"/>
          <w:color w:val="auto"/>
          <w:kern w:val="0"/>
          <w:sz w:val="24"/>
          <w:szCs w:val="24"/>
          <w:u w:val="single"/>
        </w:rPr>
        <w:t xml:space="preserve">（如有，请如实说明）                 </w:t>
      </w:r>
      <w:r>
        <w:rPr>
          <w:rFonts w:ascii="仿宋" w:hAnsi="仿宋" w:eastAsia="仿宋" w:cs="仿宋"/>
          <w:i w:val="0"/>
          <w:iCs w:val="0"/>
          <w:color w:val="auto"/>
          <w:kern w:val="0"/>
          <w:sz w:val="24"/>
          <w:szCs w:val="24"/>
        </w:rPr>
        <w:t>。</w:t>
      </w:r>
    </w:p>
    <w:p w14:paraId="6453522D">
      <w:pPr>
        <w:pStyle w:val="27"/>
        <w:keepNext w:val="0"/>
        <w:keepLines w:val="0"/>
        <w:pageBreakBefore w:val="0"/>
        <w:widowControl/>
        <w:kinsoku/>
        <w:wordWrap/>
        <w:overflowPunct/>
        <w:topLinePunct w:val="0"/>
        <w:autoSpaceDE/>
        <w:autoSpaceDN/>
        <w:bidi w:val="0"/>
        <w:adjustRightInd w:val="0"/>
        <w:snapToGrid w:val="0"/>
        <w:spacing w:line="400" w:lineRule="exact"/>
        <w:ind w:left="0" w:leftChars="0" w:firstLine="504" w:firstLineChars="200"/>
        <w:textAlignment w:val="auto"/>
        <w:outlineLvl w:val="9"/>
        <w:rPr>
          <w:rFonts w:hint="default" w:ascii="仿宋" w:hAnsi="仿宋" w:eastAsia="仿宋" w:cs="仿宋"/>
          <w:i w:val="0"/>
          <w:iCs w:val="0"/>
          <w:color w:val="auto"/>
          <w:kern w:val="0"/>
          <w:sz w:val="24"/>
          <w:szCs w:val="24"/>
        </w:rPr>
      </w:pPr>
      <w:r>
        <w:rPr>
          <w:rFonts w:ascii="仿宋" w:hAnsi="仿宋" w:eastAsia="仿宋" w:cs="仿宋"/>
          <w:i w:val="0"/>
          <w:iCs w:val="0"/>
          <w:color w:val="auto"/>
          <w:spacing w:val="6"/>
          <w:sz w:val="24"/>
          <w:szCs w:val="24"/>
        </w:rPr>
        <w:t>二、</w:t>
      </w:r>
      <w:r>
        <w:rPr>
          <w:rFonts w:ascii="仿宋" w:hAnsi="仿宋" w:eastAsia="仿宋" w:cs="仿宋"/>
          <w:i w:val="0"/>
          <w:iCs w:val="0"/>
          <w:color w:val="auto"/>
          <w:kern w:val="0"/>
          <w:sz w:val="24"/>
          <w:szCs w:val="24"/>
        </w:rPr>
        <w:t>现已清楚知道参加本项目采购活动的其他所有投标人名称，本单位 □与其他所有投标人之间均不存在利害关系 □与</w:t>
      </w:r>
      <w:r>
        <w:rPr>
          <w:rFonts w:ascii="仿宋" w:hAnsi="仿宋" w:eastAsia="仿宋" w:cs="仿宋"/>
          <w:i w:val="0"/>
          <w:iCs w:val="0"/>
          <w:color w:val="auto"/>
          <w:kern w:val="0"/>
          <w:sz w:val="24"/>
          <w:szCs w:val="24"/>
          <w:u w:val="single"/>
        </w:rPr>
        <w:t xml:space="preserve">           （投标人名称）</w:t>
      </w:r>
      <w:r>
        <w:rPr>
          <w:rFonts w:ascii="仿宋" w:hAnsi="仿宋" w:eastAsia="仿宋" w:cs="仿宋"/>
          <w:i w:val="0"/>
          <w:iCs w:val="0"/>
          <w:color w:val="auto"/>
          <w:kern w:val="0"/>
          <w:sz w:val="24"/>
          <w:szCs w:val="24"/>
        </w:rPr>
        <w:t>之间存在下列利害关系</w:t>
      </w:r>
      <w:r>
        <w:rPr>
          <w:rFonts w:ascii="仿宋" w:hAnsi="仿宋" w:eastAsia="仿宋" w:cs="仿宋"/>
          <w:i w:val="0"/>
          <w:iCs w:val="0"/>
          <w:color w:val="auto"/>
          <w:kern w:val="0"/>
          <w:sz w:val="24"/>
          <w:szCs w:val="24"/>
          <w:u w:val="single"/>
        </w:rPr>
        <w:t xml:space="preserve">          </w:t>
      </w:r>
      <w:r>
        <w:rPr>
          <w:rFonts w:ascii="仿宋" w:hAnsi="仿宋" w:eastAsia="仿宋" w:cs="仿宋"/>
          <w:i w:val="0"/>
          <w:iCs w:val="0"/>
          <w:color w:val="auto"/>
          <w:kern w:val="0"/>
          <w:sz w:val="24"/>
          <w:szCs w:val="24"/>
        </w:rPr>
        <w:t>：</w:t>
      </w:r>
    </w:p>
    <w:p w14:paraId="24E89F2B">
      <w:pPr>
        <w:pStyle w:val="37"/>
        <w:keepNext w:val="0"/>
        <w:keepLines w:val="0"/>
        <w:pageBreakBefore w:val="0"/>
        <w:kinsoku/>
        <w:wordWrap/>
        <w:overflowPunct/>
        <w:topLinePunct w:val="0"/>
        <w:autoSpaceDE/>
        <w:autoSpaceDN/>
        <w:bidi w:val="0"/>
        <w:adjustRightInd w:val="0"/>
        <w:snapToGrid w:val="0"/>
        <w:spacing w:line="400" w:lineRule="exact"/>
        <w:ind w:firstLine="480" w:firstLineChars="200"/>
        <w:textAlignment w:val="auto"/>
        <w:outlineLvl w:val="9"/>
        <w:rPr>
          <w:rFonts w:ascii="仿宋" w:hAnsi="仿宋" w:eastAsia="仿宋" w:cs="仿宋"/>
          <w:i w:val="0"/>
          <w:iCs w:val="0"/>
          <w:color w:val="auto"/>
          <w:kern w:val="0"/>
        </w:rPr>
      </w:pPr>
      <w:r>
        <w:rPr>
          <w:rFonts w:hint="eastAsia" w:ascii="仿宋" w:hAnsi="仿宋" w:eastAsia="仿宋" w:cs="仿宋"/>
          <w:i w:val="0"/>
          <w:iCs w:val="0"/>
          <w:color w:val="auto"/>
          <w:kern w:val="0"/>
        </w:rPr>
        <w:t>A.法定代表人或负责人或实际控制人是同一人</w:t>
      </w:r>
    </w:p>
    <w:p w14:paraId="565F66D4">
      <w:pPr>
        <w:pStyle w:val="37"/>
        <w:keepNext w:val="0"/>
        <w:keepLines w:val="0"/>
        <w:pageBreakBefore w:val="0"/>
        <w:kinsoku/>
        <w:wordWrap/>
        <w:overflowPunct/>
        <w:topLinePunct w:val="0"/>
        <w:autoSpaceDE/>
        <w:autoSpaceDN/>
        <w:bidi w:val="0"/>
        <w:adjustRightInd w:val="0"/>
        <w:snapToGrid w:val="0"/>
        <w:spacing w:line="400" w:lineRule="exact"/>
        <w:ind w:firstLine="480" w:firstLineChars="200"/>
        <w:textAlignment w:val="auto"/>
        <w:outlineLvl w:val="9"/>
        <w:rPr>
          <w:rFonts w:ascii="仿宋" w:hAnsi="仿宋" w:eastAsia="仿宋" w:cs="仿宋"/>
          <w:i w:val="0"/>
          <w:iCs w:val="0"/>
          <w:color w:val="auto"/>
          <w:spacing w:val="6"/>
        </w:rPr>
      </w:pPr>
      <w:r>
        <w:rPr>
          <w:rFonts w:hint="eastAsia" w:ascii="仿宋" w:hAnsi="仿宋" w:eastAsia="仿宋" w:cs="仿宋"/>
          <w:i w:val="0"/>
          <w:iCs w:val="0"/>
          <w:color w:val="auto"/>
          <w:kern w:val="0"/>
        </w:rPr>
        <w:t>B.法定代表人或负责人或实际控制人是夫妻关系</w:t>
      </w:r>
    </w:p>
    <w:p w14:paraId="00484FF4">
      <w:pPr>
        <w:pStyle w:val="37"/>
        <w:keepNext w:val="0"/>
        <w:keepLines w:val="0"/>
        <w:pageBreakBefore w:val="0"/>
        <w:kinsoku/>
        <w:wordWrap/>
        <w:overflowPunct/>
        <w:topLinePunct w:val="0"/>
        <w:autoSpaceDE/>
        <w:autoSpaceDN/>
        <w:bidi w:val="0"/>
        <w:adjustRightInd w:val="0"/>
        <w:snapToGrid w:val="0"/>
        <w:spacing w:line="400" w:lineRule="exact"/>
        <w:ind w:firstLine="480" w:firstLineChars="200"/>
        <w:textAlignment w:val="auto"/>
        <w:outlineLvl w:val="9"/>
        <w:rPr>
          <w:rFonts w:ascii="仿宋" w:hAnsi="仿宋" w:eastAsia="仿宋" w:cs="仿宋"/>
          <w:color w:val="auto"/>
          <w:spacing w:val="6"/>
        </w:rPr>
      </w:pPr>
      <w:r>
        <w:rPr>
          <w:rFonts w:hint="eastAsia" w:ascii="仿宋" w:hAnsi="仿宋" w:eastAsia="仿宋" w:cs="仿宋"/>
          <w:color w:val="auto"/>
          <w:kern w:val="0"/>
        </w:rPr>
        <w:t>C.法定代表人或负责人或实际控制人是直系血亲关系</w:t>
      </w:r>
    </w:p>
    <w:p w14:paraId="429BD8C0">
      <w:pPr>
        <w:pStyle w:val="37"/>
        <w:keepNext w:val="0"/>
        <w:keepLines w:val="0"/>
        <w:pageBreakBefore w:val="0"/>
        <w:kinsoku/>
        <w:wordWrap/>
        <w:overflowPunct/>
        <w:topLinePunct w:val="0"/>
        <w:autoSpaceDE/>
        <w:autoSpaceDN/>
        <w:bidi w:val="0"/>
        <w:adjustRightInd w:val="0"/>
        <w:snapToGrid w:val="0"/>
        <w:spacing w:line="400" w:lineRule="exact"/>
        <w:ind w:firstLine="480" w:firstLineChars="200"/>
        <w:textAlignment w:val="auto"/>
        <w:outlineLvl w:val="9"/>
        <w:rPr>
          <w:rFonts w:ascii="仿宋" w:hAnsi="仿宋" w:eastAsia="仿宋" w:cs="仿宋"/>
          <w:color w:val="auto"/>
          <w:spacing w:val="6"/>
        </w:rPr>
      </w:pPr>
      <w:r>
        <w:rPr>
          <w:rFonts w:hint="eastAsia" w:ascii="仿宋" w:hAnsi="仿宋" w:eastAsia="仿宋" w:cs="仿宋"/>
          <w:color w:val="auto"/>
          <w:kern w:val="0"/>
        </w:rPr>
        <w:t>D.法定代表人或负责人或实际控制人存在三代以内旁系血亲关系</w:t>
      </w:r>
    </w:p>
    <w:p w14:paraId="112C29BF">
      <w:pPr>
        <w:pStyle w:val="37"/>
        <w:keepNext w:val="0"/>
        <w:keepLines w:val="0"/>
        <w:pageBreakBefore w:val="0"/>
        <w:kinsoku/>
        <w:wordWrap/>
        <w:overflowPunct/>
        <w:topLinePunct w:val="0"/>
        <w:autoSpaceDE/>
        <w:autoSpaceDN/>
        <w:bidi w:val="0"/>
        <w:adjustRightInd w:val="0"/>
        <w:snapToGrid w:val="0"/>
        <w:spacing w:line="400" w:lineRule="exact"/>
        <w:ind w:firstLine="480" w:firstLineChars="200"/>
        <w:textAlignment w:val="auto"/>
        <w:outlineLvl w:val="9"/>
        <w:rPr>
          <w:rFonts w:ascii="仿宋" w:hAnsi="仿宋" w:eastAsia="仿宋" w:cs="仿宋"/>
          <w:color w:val="auto"/>
          <w:kern w:val="0"/>
        </w:rPr>
      </w:pPr>
      <w:r>
        <w:rPr>
          <w:rFonts w:hint="eastAsia" w:ascii="仿宋" w:hAnsi="仿宋" w:eastAsia="仿宋" w:cs="仿宋"/>
          <w:color w:val="auto"/>
          <w:kern w:val="0"/>
        </w:rPr>
        <w:t>E.法定代表人或负责人或实际控制人存在近姻亲关系</w:t>
      </w:r>
    </w:p>
    <w:p w14:paraId="23BD9C59">
      <w:pPr>
        <w:pStyle w:val="37"/>
        <w:keepNext w:val="0"/>
        <w:keepLines w:val="0"/>
        <w:pageBreakBefore w:val="0"/>
        <w:kinsoku/>
        <w:wordWrap/>
        <w:overflowPunct/>
        <w:topLinePunct w:val="0"/>
        <w:autoSpaceDE/>
        <w:autoSpaceDN/>
        <w:bidi w:val="0"/>
        <w:adjustRightInd w:val="0"/>
        <w:snapToGrid w:val="0"/>
        <w:spacing w:line="400" w:lineRule="exact"/>
        <w:ind w:firstLine="480" w:firstLineChars="200"/>
        <w:textAlignment w:val="auto"/>
        <w:outlineLvl w:val="9"/>
        <w:rPr>
          <w:rFonts w:ascii="仿宋" w:hAnsi="仿宋" w:eastAsia="仿宋" w:cs="仿宋"/>
          <w:color w:val="auto"/>
          <w:kern w:val="0"/>
        </w:rPr>
      </w:pPr>
      <w:r>
        <w:rPr>
          <w:rFonts w:hint="eastAsia" w:ascii="仿宋" w:hAnsi="仿宋" w:eastAsia="仿宋" w:cs="仿宋"/>
          <w:color w:val="auto"/>
          <w:kern w:val="0"/>
        </w:rPr>
        <w:t>F.法定代表人或负责人或实际控制人存在股份控制或实际控制关系</w:t>
      </w:r>
    </w:p>
    <w:p w14:paraId="562BD2C4">
      <w:pPr>
        <w:pStyle w:val="37"/>
        <w:keepNext w:val="0"/>
        <w:keepLines w:val="0"/>
        <w:pageBreakBefore w:val="0"/>
        <w:kinsoku/>
        <w:wordWrap/>
        <w:overflowPunct/>
        <w:topLinePunct w:val="0"/>
        <w:autoSpaceDE/>
        <w:autoSpaceDN/>
        <w:bidi w:val="0"/>
        <w:adjustRightInd w:val="0"/>
        <w:snapToGrid w:val="0"/>
        <w:spacing w:line="400" w:lineRule="exact"/>
        <w:ind w:firstLine="480" w:firstLineChars="200"/>
        <w:textAlignment w:val="auto"/>
        <w:outlineLvl w:val="9"/>
        <w:rPr>
          <w:rFonts w:ascii="仿宋" w:hAnsi="仿宋" w:eastAsia="仿宋" w:cs="仿宋"/>
          <w:color w:val="auto"/>
          <w:kern w:val="0"/>
        </w:rPr>
      </w:pPr>
      <w:r>
        <w:rPr>
          <w:rFonts w:hint="eastAsia" w:ascii="仿宋" w:hAnsi="仿宋" w:eastAsia="仿宋" w:cs="仿宋"/>
          <w:color w:val="auto"/>
          <w:kern w:val="0"/>
        </w:rPr>
        <w:t>G.存在共同直接或间接投资设立子公司、联营企业和合营企业情况</w:t>
      </w:r>
    </w:p>
    <w:p w14:paraId="4FA8471E">
      <w:pPr>
        <w:pStyle w:val="37"/>
        <w:keepNext w:val="0"/>
        <w:keepLines w:val="0"/>
        <w:pageBreakBefore w:val="0"/>
        <w:kinsoku/>
        <w:wordWrap/>
        <w:overflowPunct/>
        <w:topLinePunct w:val="0"/>
        <w:autoSpaceDE/>
        <w:autoSpaceDN/>
        <w:bidi w:val="0"/>
        <w:adjustRightInd w:val="0"/>
        <w:snapToGrid w:val="0"/>
        <w:spacing w:line="400" w:lineRule="exact"/>
        <w:textAlignment w:val="auto"/>
        <w:outlineLvl w:val="9"/>
        <w:rPr>
          <w:rFonts w:ascii="仿宋" w:hAnsi="仿宋" w:eastAsia="仿宋" w:cs="仿宋"/>
          <w:color w:val="auto"/>
        </w:rPr>
      </w:pPr>
      <w:r>
        <w:rPr>
          <w:rFonts w:hint="eastAsia" w:ascii="仿宋" w:hAnsi="仿宋" w:eastAsia="仿宋" w:cs="仿宋"/>
          <w:color w:val="auto"/>
          <w:kern w:val="0"/>
        </w:rPr>
        <w:t xml:space="preserve">  </w:t>
      </w:r>
      <w:r>
        <w:rPr>
          <w:rFonts w:hint="eastAsia" w:ascii="仿宋" w:hAnsi="仿宋" w:eastAsia="仿宋" w:cs="仿宋"/>
          <w:color w:val="auto"/>
          <w:kern w:val="0"/>
          <w:lang w:val="en-US" w:eastAsia="zh-CN"/>
        </w:rPr>
        <w:t xml:space="preserve">  </w:t>
      </w:r>
      <w:r>
        <w:rPr>
          <w:rFonts w:hint="eastAsia" w:ascii="仿宋" w:hAnsi="仿宋" w:eastAsia="仿宋" w:cs="仿宋"/>
          <w:color w:val="auto"/>
          <w:kern w:val="0"/>
        </w:rPr>
        <w:t>H.存在分级代理或代销关系、同一生产制造商关系、</w:t>
      </w:r>
      <w:r>
        <w:rPr>
          <w:rFonts w:hint="eastAsia" w:ascii="仿宋" w:hAnsi="仿宋" w:eastAsia="仿宋" w:cs="仿宋"/>
          <w:color w:val="auto"/>
        </w:rPr>
        <w:t>管理关系、重要业务（占主营业务收入50%以上）或重要财务往来关系（如融资）等其他实质性控制关系</w:t>
      </w:r>
    </w:p>
    <w:p w14:paraId="3D41BD63">
      <w:pPr>
        <w:pStyle w:val="37"/>
        <w:keepNext w:val="0"/>
        <w:keepLines w:val="0"/>
        <w:pageBreakBefore w:val="0"/>
        <w:kinsoku/>
        <w:wordWrap/>
        <w:overflowPunct/>
        <w:topLinePunct w:val="0"/>
        <w:autoSpaceDE/>
        <w:autoSpaceDN/>
        <w:bidi w:val="0"/>
        <w:adjustRightInd w:val="0"/>
        <w:snapToGrid w:val="0"/>
        <w:spacing w:line="400" w:lineRule="exact"/>
        <w:ind w:firstLine="480" w:firstLineChars="200"/>
        <w:textAlignment w:val="auto"/>
        <w:outlineLvl w:val="9"/>
        <w:rPr>
          <w:rFonts w:ascii="仿宋" w:hAnsi="仿宋" w:eastAsia="仿宋" w:cs="仿宋"/>
          <w:color w:val="auto"/>
          <w:spacing w:val="6"/>
        </w:rPr>
      </w:pPr>
      <w:bookmarkStart w:id="133" w:name="_Toc31860"/>
      <w:r>
        <w:rPr>
          <w:rFonts w:hint="eastAsia" w:ascii="仿宋" w:hAnsi="仿宋" w:eastAsia="仿宋" w:cs="仿宋"/>
          <w:color w:val="auto"/>
        </w:rPr>
        <w:t>I</w:t>
      </w:r>
      <w:r>
        <w:rPr>
          <w:rFonts w:hint="eastAsia" w:ascii="仿宋" w:hAnsi="仿宋" w:eastAsia="仿宋" w:cs="仿宋"/>
          <w:color w:val="auto"/>
          <w:kern w:val="0"/>
        </w:rPr>
        <w:t>.</w:t>
      </w:r>
      <w:r>
        <w:rPr>
          <w:rFonts w:hint="eastAsia" w:ascii="仿宋" w:hAnsi="仿宋" w:eastAsia="仿宋" w:cs="仿宋"/>
          <w:color w:val="auto"/>
        </w:rPr>
        <w:t>其他利害关系情况</w:t>
      </w:r>
      <w:r>
        <w:rPr>
          <w:rFonts w:hint="eastAsia" w:ascii="仿宋" w:hAnsi="仿宋" w:eastAsia="仿宋" w:cs="仿宋"/>
          <w:color w:val="auto"/>
          <w:u w:val="single"/>
        </w:rPr>
        <w:t xml:space="preserve">                              </w:t>
      </w:r>
      <w:r>
        <w:rPr>
          <w:rFonts w:hint="eastAsia" w:ascii="仿宋" w:hAnsi="仿宋" w:eastAsia="仿宋" w:cs="仿宋"/>
          <w:color w:val="auto"/>
          <w:kern w:val="0"/>
        </w:rPr>
        <w:t>。</w:t>
      </w:r>
      <w:bookmarkEnd w:id="133"/>
    </w:p>
    <w:p w14:paraId="447091D9">
      <w:pPr>
        <w:pStyle w:val="27"/>
        <w:keepNext w:val="0"/>
        <w:keepLines w:val="0"/>
        <w:pageBreakBefore w:val="0"/>
        <w:widowControl/>
        <w:kinsoku/>
        <w:wordWrap/>
        <w:overflowPunct/>
        <w:topLinePunct w:val="0"/>
        <w:autoSpaceDE/>
        <w:autoSpaceDN/>
        <w:bidi w:val="0"/>
        <w:adjustRightInd w:val="0"/>
        <w:snapToGrid w:val="0"/>
        <w:spacing w:line="400" w:lineRule="exact"/>
        <w:ind w:left="0" w:leftChars="0" w:firstLine="480" w:firstLineChars="200"/>
        <w:textAlignment w:val="auto"/>
        <w:outlineLvl w:val="9"/>
        <w:rPr>
          <w:rFonts w:hint="default" w:ascii="仿宋" w:hAnsi="仿宋" w:eastAsia="仿宋" w:cs="仿宋"/>
          <w:i w:val="0"/>
          <w:iCs w:val="0"/>
          <w:color w:val="auto"/>
          <w:kern w:val="0"/>
          <w:sz w:val="24"/>
          <w:szCs w:val="24"/>
        </w:rPr>
      </w:pPr>
      <w:r>
        <w:rPr>
          <w:rFonts w:ascii="仿宋" w:hAnsi="仿宋" w:eastAsia="仿宋" w:cs="仿宋"/>
          <w:i w:val="0"/>
          <w:iCs w:val="0"/>
          <w:color w:val="auto"/>
          <w:sz w:val="24"/>
          <w:szCs w:val="24"/>
        </w:rPr>
        <w:t>三、现已清楚知道并</w:t>
      </w:r>
      <w:r>
        <w:rPr>
          <w:rFonts w:ascii="仿宋" w:hAnsi="仿宋" w:eastAsia="仿宋" w:cs="仿宋"/>
          <w:i w:val="0"/>
          <w:iCs w:val="0"/>
          <w:color w:val="auto"/>
          <w:kern w:val="0"/>
          <w:sz w:val="24"/>
          <w:szCs w:val="24"/>
        </w:rPr>
        <w:t>严格遵守采购法律法规和现场纪律。</w:t>
      </w:r>
    </w:p>
    <w:p w14:paraId="51F9915A">
      <w:pPr>
        <w:pStyle w:val="27"/>
        <w:keepNext w:val="0"/>
        <w:keepLines w:val="0"/>
        <w:pageBreakBefore w:val="0"/>
        <w:widowControl/>
        <w:kinsoku/>
        <w:wordWrap/>
        <w:overflowPunct/>
        <w:topLinePunct w:val="0"/>
        <w:autoSpaceDE/>
        <w:autoSpaceDN/>
        <w:bidi w:val="0"/>
        <w:adjustRightInd w:val="0"/>
        <w:snapToGrid w:val="0"/>
        <w:spacing w:line="400" w:lineRule="exact"/>
        <w:ind w:left="0" w:leftChars="0" w:firstLine="480" w:firstLineChars="200"/>
        <w:textAlignment w:val="auto"/>
        <w:outlineLvl w:val="9"/>
        <w:rPr>
          <w:rFonts w:hint="default" w:ascii="仿宋" w:hAnsi="仿宋" w:eastAsia="仿宋" w:cs="仿宋"/>
          <w:i w:val="0"/>
          <w:iCs w:val="0"/>
          <w:color w:val="auto"/>
          <w:kern w:val="0"/>
          <w:sz w:val="24"/>
          <w:szCs w:val="24"/>
        </w:rPr>
      </w:pPr>
      <w:r>
        <w:rPr>
          <w:rFonts w:ascii="仿宋" w:hAnsi="仿宋" w:eastAsia="仿宋" w:cs="仿宋"/>
          <w:i w:val="0"/>
          <w:iCs w:val="0"/>
          <w:color w:val="auto"/>
          <w:kern w:val="0"/>
          <w:sz w:val="24"/>
          <w:szCs w:val="24"/>
        </w:rPr>
        <w:t>四、我发现</w:t>
      </w:r>
      <w:r>
        <w:rPr>
          <w:rFonts w:ascii="仿宋" w:hAnsi="仿宋" w:eastAsia="仿宋" w:cs="仿宋"/>
          <w:i w:val="0"/>
          <w:iCs w:val="0"/>
          <w:color w:val="auto"/>
          <w:kern w:val="0"/>
          <w:sz w:val="24"/>
          <w:szCs w:val="24"/>
          <w:u w:val="single"/>
        </w:rPr>
        <w:t xml:space="preserve">                    </w:t>
      </w:r>
      <w:r>
        <w:rPr>
          <w:rFonts w:ascii="仿宋" w:hAnsi="仿宋" w:eastAsia="仿宋" w:cs="仿宋"/>
          <w:i w:val="0"/>
          <w:iCs w:val="0"/>
          <w:color w:val="auto"/>
          <w:kern w:val="0"/>
          <w:sz w:val="24"/>
          <w:szCs w:val="24"/>
        </w:rPr>
        <w:t>投标人之间存在或可能存在上述第二条第</w:t>
      </w:r>
      <w:r>
        <w:rPr>
          <w:rFonts w:ascii="仿宋" w:hAnsi="仿宋" w:eastAsia="仿宋" w:cs="仿宋"/>
          <w:i w:val="0"/>
          <w:iCs w:val="0"/>
          <w:color w:val="auto"/>
          <w:kern w:val="0"/>
          <w:sz w:val="24"/>
          <w:szCs w:val="24"/>
          <w:u w:val="single"/>
        </w:rPr>
        <w:t xml:space="preserve">        </w:t>
      </w:r>
      <w:r>
        <w:rPr>
          <w:rFonts w:ascii="仿宋" w:hAnsi="仿宋" w:eastAsia="仿宋" w:cs="仿宋"/>
          <w:i w:val="0"/>
          <w:iCs w:val="0"/>
          <w:color w:val="auto"/>
          <w:kern w:val="0"/>
          <w:sz w:val="24"/>
          <w:szCs w:val="24"/>
        </w:rPr>
        <w:t>项利害关系。</w:t>
      </w:r>
    </w:p>
    <w:p w14:paraId="5A42269D">
      <w:pPr>
        <w:pStyle w:val="37"/>
        <w:keepNext w:val="0"/>
        <w:keepLines w:val="0"/>
        <w:pageBreakBefore w:val="0"/>
        <w:kinsoku/>
        <w:wordWrap/>
        <w:overflowPunct/>
        <w:topLinePunct w:val="0"/>
        <w:autoSpaceDE/>
        <w:autoSpaceDN/>
        <w:bidi w:val="0"/>
        <w:adjustRightInd w:val="0"/>
        <w:snapToGrid w:val="0"/>
        <w:spacing w:line="400" w:lineRule="exact"/>
        <w:ind w:firstLine="480" w:firstLineChars="200"/>
        <w:textAlignment w:val="auto"/>
        <w:outlineLvl w:val="9"/>
        <w:rPr>
          <w:rFonts w:ascii="仿宋" w:hAnsi="仿宋" w:eastAsia="仿宋" w:cs="仿宋"/>
          <w:color w:val="auto"/>
        </w:rPr>
      </w:pPr>
      <w:r>
        <w:rPr>
          <w:rFonts w:hint="eastAsia" w:ascii="仿宋" w:hAnsi="仿宋" w:eastAsia="仿宋" w:cs="仿宋"/>
          <w:color w:val="auto"/>
        </w:rPr>
        <w:t xml:space="preserve">投标人代表签名：                           </w:t>
      </w:r>
      <w:r>
        <w:rPr>
          <w:rFonts w:hint="eastAsia" w:ascii="仿宋" w:hAnsi="仿宋" w:eastAsia="仿宋" w:cs="仿宋"/>
          <w:color w:val="auto"/>
          <w:u w:val="single"/>
        </w:rPr>
        <w:t xml:space="preserve">    年   月   日</w:t>
      </w:r>
    </w:p>
    <w:p w14:paraId="4081252D">
      <w:pPr>
        <w:pStyle w:val="37"/>
        <w:keepNext w:val="0"/>
        <w:keepLines w:val="0"/>
        <w:pageBreakBefore w:val="0"/>
        <w:kinsoku/>
        <w:wordWrap/>
        <w:overflowPunct/>
        <w:topLinePunct w:val="0"/>
        <w:autoSpaceDE/>
        <w:autoSpaceDN/>
        <w:bidi w:val="0"/>
        <w:adjustRightInd w:val="0"/>
        <w:snapToGrid w:val="0"/>
        <w:spacing w:line="400" w:lineRule="exact"/>
        <w:ind w:firstLine="420" w:firstLineChars="200"/>
        <w:textAlignment w:val="auto"/>
        <w:outlineLvl w:val="9"/>
        <w:rPr>
          <w:rFonts w:ascii="仿宋" w:hAnsi="仿宋" w:eastAsia="仿宋" w:cs="仿宋"/>
          <w:color w:val="auto"/>
          <w:sz w:val="21"/>
          <w:szCs w:val="21"/>
        </w:rPr>
      </w:pPr>
    </w:p>
    <w:p w14:paraId="562D0597">
      <w:pPr>
        <w:pStyle w:val="20"/>
        <w:keepNext w:val="0"/>
        <w:keepLines w:val="0"/>
        <w:widowControl/>
        <w:suppressLineNumbers w:val="0"/>
        <w:autoSpaceDE w:val="0"/>
        <w:autoSpaceDN/>
        <w:adjustRightInd w:val="0"/>
        <w:snapToGrid w:val="0"/>
        <w:spacing w:before="0" w:beforeAutospacing="0" w:after="0" w:afterAutospacing="0" w:line="360" w:lineRule="auto"/>
        <w:ind w:left="0" w:right="0" w:firstLine="420" w:firstLineChars="200"/>
        <w:jc w:val="left"/>
        <w:rPr>
          <w:rFonts w:hint="default" w:ascii="仿宋" w:hAnsi="仿宋" w:eastAsia="仿宋" w:cs="仿宋"/>
          <w:i w:val="0"/>
          <w:color w:val="auto"/>
          <w:kern w:val="2"/>
          <w:sz w:val="21"/>
          <w:szCs w:val="21"/>
          <w:woUserID w:val="2"/>
        </w:rPr>
      </w:pPr>
      <w:r>
        <w:rPr>
          <w:rFonts w:hint="default" w:ascii="仿宋" w:hAnsi="仿宋" w:eastAsia="仿宋" w:cs="仿宋"/>
          <w:i w:val="0"/>
          <w:color w:val="auto"/>
          <w:kern w:val="2"/>
          <w:sz w:val="21"/>
          <w:szCs w:val="21"/>
          <w:lang w:val="en-US" w:eastAsia="zh-CN" w:bidi="ar"/>
          <w:woUserID w:val="2"/>
        </w:rPr>
        <w:t>注：1.投标人认为有利害关系和需要回避的人员，应提供相关证明材料，与本声明书一同提交。由</w:t>
      </w:r>
      <w:r>
        <w:rPr>
          <w:rFonts w:hint="eastAsia" w:ascii="仿宋" w:hAnsi="仿宋" w:eastAsia="仿宋" w:cs="仿宋"/>
          <w:i w:val="0"/>
          <w:color w:val="auto"/>
          <w:kern w:val="2"/>
          <w:sz w:val="21"/>
          <w:szCs w:val="21"/>
          <w:lang w:val="en-US" w:eastAsia="zh-CN" w:bidi="ar"/>
          <w:woUserID w:val="2"/>
        </w:rPr>
        <w:t>招标代理机构</w:t>
      </w:r>
      <w:r>
        <w:rPr>
          <w:rFonts w:hint="default" w:ascii="仿宋" w:hAnsi="仿宋" w:eastAsia="仿宋" w:cs="仿宋"/>
          <w:i w:val="0"/>
          <w:color w:val="auto"/>
          <w:kern w:val="2"/>
          <w:sz w:val="21"/>
          <w:szCs w:val="21"/>
          <w:lang w:val="en-US" w:eastAsia="zh-CN" w:bidi="ar"/>
          <w:woUserID w:val="2"/>
        </w:rPr>
        <w:t>和监督部门负责询问核查。</w:t>
      </w:r>
    </w:p>
    <w:p w14:paraId="0F218F5A">
      <w:pPr>
        <w:pStyle w:val="20"/>
        <w:keepNext w:val="0"/>
        <w:keepLines w:val="0"/>
        <w:widowControl/>
        <w:suppressLineNumbers w:val="0"/>
        <w:autoSpaceDE w:val="0"/>
        <w:autoSpaceDN/>
        <w:adjustRightInd w:val="0"/>
        <w:snapToGrid w:val="0"/>
        <w:spacing w:before="0" w:beforeAutospacing="0" w:after="0" w:afterAutospacing="0" w:line="360" w:lineRule="auto"/>
        <w:ind w:left="0" w:right="0" w:firstLine="420" w:firstLineChars="200"/>
        <w:jc w:val="left"/>
        <w:rPr>
          <w:color w:val="auto"/>
        </w:rPr>
      </w:pPr>
      <w:r>
        <w:rPr>
          <w:rFonts w:hint="default" w:ascii="仿宋" w:hAnsi="仿宋" w:eastAsia="仿宋" w:cs="仿宋"/>
          <w:i w:val="0"/>
          <w:color w:val="auto"/>
          <w:kern w:val="2"/>
          <w:sz w:val="21"/>
          <w:szCs w:val="21"/>
          <w:lang w:val="en-US" w:eastAsia="zh-CN" w:bidi="ar"/>
          <w:woUserID w:val="2"/>
        </w:rPr>
        <w:t>2.投标人根据解密后交易平台公布的</w:t>
      </w:r>
      <w:r>
        <w:rPr>
          <w:rFonts w:hint="default" w:ascii="仿宋" w:hAnsi="仿宋" w:eastAsia="仿宋" w:cs="仿宋"/>
          <w:i w:val="0"/>
          <w:color w:val="auto"/>
          <w:kern w:val="2"/>
          <w:sz w:val="21"/>
          <w:szCs w:val="21"/>
          <w:lang w:eastAsia="zh-CN" w:bidi="ar"/>
          <w:woUserID w:val="2"/>
        </w:rPr>
        <w:t>投标人</w:t>
      </w:r>
      <w:r>
        <w:rPr>
          <w:rFonts w:hint="default" w:ascii="仿宋" w:hAnsi="仿宋" w:eastAsia="仿宋" w:cs="仿宋"/>
          <w:i w:val="0"/>
          <w:color w:val="auto"/>
          <w:kern w:val="2"/>
          <w:sz w:val="21"/>
          <w:szCs w:val="21"/>
          <w:lang w:val="en-US" w:eastAsia="zh-CN" w:bidi="ar"/>
          <w:woUserID w:val="2"/>
        </w:rPr>
        <w:t>名单及信息，30分钟内将填写完整且经授权代表签署的《采购活动现场确认声明书》扫描件通过不见面开标大厅现场或邮箱（邮箱地址：</w:t>
      </w:r>
      <w:r>
        <w:rPr>
          <w:rFonts w:hint="eastAsia" w:ascii="仿宋" w:hAnsi="仿宋" w:eastAsia="仿宋" w:cs="仿宋"/>
          <w:i w:val="0"/>
          <w:color w:val="auto"/>
          <w:kern w:val="2"/>
          <w:sz w:val="21"/>
          <w:szCs w:val="21"/>
          <w:lang w:eastAsia="zh-CN" w:bidi="ar"/>
          <w:woUserID w:val="2"/>
        </w:rPr>
        <w:t>shuqi@qzjrkg.com.cn</w:t>
      </w:r>
      <w:r>
        <w:rPr>
          <w:rFonts w:hint="default" w:ascii="仿宋" w:hAnsi="仿宋" w:eastAsia="仿宋" w:cs="仿宋"/>
          <w:i w:val="0"/>
          <w:color w:val="auto"/>
          <w:kern w:val="2"/>
          <w:sz w:val="21"/>
          <w:szCs w:val="21"/>
          <w:lang w:val="en-US" w:eastAsia="zh-CN" w:bidi="ar"/>
          <w:woUserID w:val="2"/>
        </w:rPr>
        <w:t xml:space="preserve"> ）方式提交，未按规定提交的，视为均无利害关系。</w:t>
      </w: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Wingdings 2">
    <w:altName w:val="Wingdings"/>
    <w:panose1 w:val="05020102010507070707"/>
    <w:charset w:val="00"/>
    <w:family w:val="auto"/>
    <w:pitch w:val="default"/>
    <w:sig w:usb0="00000000" w:usb1="00000000" w:usb2="00000000" w:usb3="00000000" w:csb0="80000000" w:csb1="00000000"/>
  </w:font>
  <w:font w:name="华文仿宋">
    <w:altName w:val="仿宋"/>
    <w:panose1 w:val="02010600040101010101"/>
    <w:charset w:val="86"/>
    <w:family w:val="auto"/>
    <w:pitch w:val="default"/>
    <w:sig w:usb0="00000000" w:usb1="00000000" w:usb2="00000000" w:usb3="00000000" w:csb0="0004009F" w:csb1="DFD70000"/>
  </w:font>
  <w:font w:name="Kingsoft UE">
    <w:panose1 w:val="02000100010000000000"/>
    <w:charset w:val="00"/>
    <w:family w:val="auto"/>
    <w:pitch w:val="default"/>
    <w:sig w:usb0="00000001" w:usb1="00004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EA4088">
    <w:pPr>
      <w:pStyle w:val="1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3B8A98">
                          <w:pPr>
                            <w:pStyle w:val="14"/>
                          </w:pPr>
                          <w:r>
                            <w:t xml:space="preserve">第 </w:t>
                          </w:r>
                          <w:r>
                            <w:fldChar w:fldCharType="begin"/>
                          </w:r>
                          <w:r>
                            <w:instrText xml:space="preserve"> PAGE  \* MERGEFORMAT </w:instrText>
                          </w:r>
                          <w:r>
                            <w:fldChar w:fldCharType="separate"/>
                          </w:r>
                          <w:r>
                            <w:t>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13B8A98">
                    <w:pPr>
                      <w:pStyle w:val="14"/>
                    </w:pPr>
                    <w:r>
                      <w:t xml:space="preserve">第 </w:t>
                    </w:r>
                    <w:r>
                      <w:fldChar w:fldCharType="begin"/>
                    </w:r>
                    <w:r>
                      <w:instrText xml:space="preserve"> PAGE  \* MERGEFORMAT </w:instrText>
                    </w:r>
                    <w:r>
                      <w:fldChar w:fldCharType="separate"/>
                    </w:r>
                    <w:r>
                      <w:t>3</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34C07E">
    <w:pPr>
      <w:pStyle w:val="1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F868D5">
                          <w:pPr>
                            <w:pStyle w:val="14"/>
                          </w:pPr>
                          <w:r>
                            <w:t xml:space="preserve">第 </w:t>
                          </w:r>
                          <w:r>
                            <w:fldChar w:fldCharType="begin"/>
                          </w:r>
                          <w:r>
                            <w:instrText xml:space="preserve"> PAGE  \* MERGEFORMAT </w:instrText>
                          </w:r>
                          <w:r>
                            <w:fldChar w:fldCharType="separate"/>
                          </w:r>
                          <w:r>
                            <w:t>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63F868D5">
                    <w:pPr>
                      <w:pStyle w:val="14"/>
                    </w:pPr>
                    <w:r>
                      <w:t xml:space="preserve">第 </w:t>
                    </w:r>
                    <w:r>
                      <w:fldChar w:fldCharType="begin"/>
                    </w:r>
                    <w:r>
                      <w:instrText xml:space="preserve"> PAGE  \* MERGEFORMAT </w:instrText>
                    </w:r>
                    <w:r>
                      <w:fldChar w:fldCharType="separate"/>
                    </w:r>
                    <w:r>
                      <w:t>5</w:t>
                    </w:r>
                    <w:r>
                      <w:fldChar w:fldCharType="end"/>
                    </w:r>
                    <w:r>
                      <w:t xml:space="preserve"> 页</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6205" cy="278765"/>
              <wp:effectExtent l="0" t="0" r="0" b="0"/>
              <wp:wrapNone/>
              <wp:docPr id="3" name="文本框 3"/>
              <wp:cNvGraphicFramePr/>
              <a:graphic xmlns:a="http://schemas.openxmlformats.org/drawingml/2006/main">
                <a:graphicData uri="http://schemas.microsoft.com/office/word/2010/wordprocessingShape">
                  <wps:wsp>
                    <wps:cNvSpPr txBox="1"/>
                    <wps:spPr>
                      <a:xfrm>
                        <a:off x="0" y="0"/>
                        <a:ext cx="116205" cy="278765"/>
                      </a:xfrm>
                      <a:prstGeom prst="rect">
                        <a:avLst/>
                      </a:prstGeom>
                      <a:noFill/>
                      <a:ln>
                        <a:noFill/>
                      </a:ln>
                      <a:effectLst/>
                    </wps:spPr>
                    <wps:txbx>
                      <w:txbxContent>
                        <w:p w14:paraId="59BE4241">
                          <w:pPr>
                            <w:pStyle w:val="14"/>
                          </w:pPr>
                        </w:p>
                      </w:txbxContent>
                    </wps:txbx>
                    <wps:bodyPr wrap="none" lIns="0" tIns="0" rIns="0" bIns="0">
                      <a:spAutoFit/>
                    </wps:bodyPr>
                  </wps:wsp>
                </a:graphicData>
              </a:graphic>
            </wp:anchor>
          </w:drawing>
        </mc:Choice>
        <mc:Fallback>
          <w:pict>
            <v:shape id="_x0000_s1026" o:spid="_x0000_s1026" o:spt="202" type="#_x0000_t202" style="position:absolute;left:0pt;margin-top:0pt;height:21.95pt;width:9.15pt;mso-position-horizontal:center;mso-position-horizontal-relative:margin;mso-wrap-style:none;z-index:251659264;mso-width-relative:page;mso-height-relative:page;" filled="f" stroked="f" coordsize="21600,21600" o:gfxdata="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W42PWdEAAAADAQAADwAAAAAAAAABACAAAAAiAAAAZHJzL2Rvd25y&#10;ZXYueG1sUEsBAhQAFAAAAAgAh07iQIUmwjXMAQAAmQMAAA4AAAAAAAAAAQAgAAAAIAEAAGRycy9l&#10;Mm9Eb2MueG1sUEsFBgAAAAAGAAYAWQEAAF4FAAAAAA==&#10;">
              <v:fill on="f" focussize="0,0"/>
              <v:stroke on="f"/>
              <v:imagedata o:title=""/>
              <o:lock v:ext="edit" aspectratio="f"/>
              <v:textbox inset="0mm,0mm,0mm,0mm" style="mso-fit-shape-to-text:t;">
                <w:txbxContent>
                  <w:p w14:paraId="59BE4241">
                    <w:pPr>
                      <w:pStyle w:val="14"/>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09ECE9">
    <w:pPr>
      <w:spacing w:line="176" w:lineRule="auto"/>
      <w:ind w:left="4837"/>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25</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240CCD">
    <w:pPr>
      <w:pStyle w:val="14"/>
      <w:tabs>
        <w:tab w:val="left" w:pos="5009"/>
        <w:tab w:val="clear" w:pos="4153"/>
      </w:tabs>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114ECC">
                          <w:pPr>
                            <w:pStyle w:val="14"/>
                          </w:pPr>
                          <w:r>
                            <w:t xml:space="preserve">第 </w:t>
                          </w:r>
                          <w:r>
                            <w:fldChar w:fldCharType="begin"/>
                          </w:r>
                          <w:r>
                            <w:instrText xml:space="preserve"> PAGE  \* MERGEFORMAT </w:instrText>
                          </w:r>
                          <w:r>
                            <w:fldChar w:fldCharType="separate"/>
                          </w:r>
                          <w:r>
                            <w:t>23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56114ECC">
                    <w:pPr>
                      <w:pStyle w:val="14"/>
                    </w:pPr>
                    <w:r>
                      <w:t xml:space="preserve">第 </w:t>
                    </w:r>
                    <w:r>
                      <w:fldChar w:fldCharType="begin"/>
                    </w:r>
                    <w:r>
                      <w:instrText xml:space="preserve"> PAGE  \* MERGEFORMAT </w:instrText>
                    </w:r>
                    <w:r>
                      <w:fldChar w:fldCharType="separate"/>
                    </w:r>
                    <w:r>
                      <w:t>23</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FB102B">
    <w:pPr>
      <w:pStyle w:val="15"/>
      <w:rPr>
        <w:rFonts w:eastAsia="华文仿宋"/>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A11BFF"/>
    <w:multiLevelType w:val="multilevel"/>
    <w:tmpl w:val="39A11BFF"/>
    <w:lvl w:ilvl="0" w:tentative="0">
      <w:start w:val="1"/>
      <w:numFmt w:val="chineseCountingThousand"/>
      <w:lvlText w:val="第%1章"/>
      <w:lvlJc w:val="center"/>
      <w:pPr>
        <w:tabs>
          <w:tab w:val="left" w:pos="1134"/>
        </w:tabs>
        <w:ind w:left="0" w:firstLine="288"/>
      </w:pPr>
      <w:rPr>
        <w:rFonts w:hint="eastAsia"/>
      </w:rPr>
    </w:lvl>
    <w:lvl w:ilvl="1" w:tentative="0">
      <w:start w:val="1"/>
      <w:numFmt w:val="decimal"/>
      <w:isLgl/>
      <w:lvlText w:val="%1.%2"/>
      <w:lvlJc w:val="left"/>
      <w:pPr>
        <w:tabs>
          <w:tab w:val="left" w:pos="567"/>
        </w:tabs>
        <w:ind w:left="0" w:firstLine="0"/>
      </w:pPr>
      <w:rPr>
        <w:rFonts w:hint="eastAsia"/>
      </w:rPr>
    </w:lvl>
    <w:lvl w:ilvl="2" w:tentative="0">
      <w:start w:val="1"/>
      <w:numFmt w:val="decimal"/>
      <w:isLgl/>
      <w:lvlText w:val="%1.%2.%3"/>
      <w:lvlJc w:val="left"/>
      <w:pPr>
        <w:tabs>
          <w:tab w:val="left" w:pos="851"/>
        </w:tabs>
        <w:ind w:left="0" w:firstLine="0"/>
      </w:pPr>
      <w:rPr>
        <w:rFonts w:hint="eastAsia"/>
      </w:rPr>
    </w:lvl>
    <w:lvl w:ilvl="3" w:tentative="0">
      <w:start w:val="1"/>
      <w:numFmt w:val="decimal"/>
      <w:pStyle w:val="5"/>
      <w:isLgl/>
      <w:lvlText w:val="%1.%2.%3.%4"/>
      <w:lvlJc w:val="left"/>
      <w:pPr>
        <w:tabs>
          <w:tab w:val="left" w:pos="964"/>
        </w:tabs>
        <w:ind w:left="0" w:firstLine="0"/>
      </w:pPr>
      <w:rPr>
        <w:rFonts w:hint="eastAsia"/>
      </w:rPr>
    </w:lvl>
    <w:lvl w:ilvl="4" w:tentative="0">
      <w:start w:val="1"/>
      <w:numFmt w:val="decimal"/>
      <w:isLgl/>
      <w:lvlText w:val="%1.%2.%3.%4.%5"/>
      <w:lvlJc w:val="left"/>
      <w:pPr>
        <w:tabs>
          <w:tab w:val="left" w:pos="1134"/>
        </w:tabs>
        <w:ind w:left="0" w:firstLine="0"/>
      </w:pPr>
      <w:rPr>
        <w:rFonts w:hint="eastAsia"/>
      </w:rPr>
    </w:lvl>
    <w:lvl w:ilvl="5" w:tentative="0">
      <w:start w:val="1"/>
      <w:numFmt w:val="decimal"/>
      <w:isLgl/>
      <w:lvlText w:val="%1.%2.%3.%4.%5.%6"/>
      <w:lvlJc w:val="left"/>
      <w:pPr>
        <w:ind w:left="0" w:firstLine="0"/>
      </w:pPr>
      <w:rPr>
        <w:rFonts w:hint="eastAsia"/>
      </w:rPr>
    </w:lvl>
    <w:lvl w:ilvl="6" w:tentative="0">
      <w:start w:val="1"/>
      <w:numFmt w:val="decimal"/>
      <w:isLgl/>
      <w:lvlText w:val="%1.%2.%3.%4.%5.%6.%7"/>
      <w:lvlJc w:val="left"/>
      <w:pPr>
        <w:ind w:left="3827" w:hanging="1276"/>
      </w:pPr>
      <w:rPr>
        <w:rFonts w:hint="eastAsia"/>
      </w:rPr>
    </w:lvl>
    <w:lvl w:ilvl="7" w:tentative="0">
      <w:start w:val="1"/>
      <w:numFmt w:val="decimal"/>
      <w:isLgl/>
      <w:lvlText w:val="%1.%2.%3.%4.%5.%6.%7.%8"/>
      <w:lvlJc w:val="left"/>
      <w:pPr>
        <w:ind w:left="4394" w:hanging="1418"/>
      </w:pPr>
      <w:rPr>
        <w:rFonts w:hint="eastAsia"/>
      </w:rPr>
    </w:lvl>
    <w:lvl w:ilvl="8" w:tentative="0">
      <w:start w:val="1"/>
      <w:numFmt w:val="decimal"/>
      <w:isLgl/>
      <w:lvlText w:val="%1.%2.%3.%4.%5.%6.%7.%8.%9"/>
      <w:lvlJc w:val="left"/>
      <w:pPr>
        <w:ind w:left="5102" w:hanging="1700"/>
      </w:pPr>
      <w:rPr>
        <w:rFonts w:hint="eastAsia"/>
      </w:rPr>
    </w:lvl>
  </w:abstractNum>
  <w:abstractNum w:abstractNumId="1">
    <w:nsid w:val="45133286"/>
    <w:multiLevelType w:val="multilevel"/>
    <w:tmpl w:val="45133286"/>
    <w:lvl w:ilvl="0" w:tentative="0">
      <w:start w:val="1"/>
      <w:numFmt w:val="chineseCountingThousand"/>
      <w:lvlText w:val="%1."/>
      <w:lvlJc w:val="left"/>
      <w:pPr>
        <w:ind w:left="0" w:firstLine="0"/>
      </w:pPr>
      <w:rPr>
        <w:rFonts w:hint="eastAsia" w:ascii="宋体" w:hAnsi="宋体" w:eastAsia="宋体"/>
        <w:b/>
        <w:i w:val="0"/>
        <w:sz w:val="32"/>
        <w:szCs w:val="21"/>
      </w:rPr>
    </w:lvl>
    <w:lvl w:ilvl="1" w:tentative="0">
      <w:start w:val="1"/>
      <w:numFmt w:val="decimal"/>
      <w:lvlText w:val="%2."/>
      <w:lvlJc w:val="left"/>
      <w:pPr>
        <w:ind w:left="0" w:firstLine="0"/>
      </w:pPr>
      <w:rPr>
        <w:rFonts w:hint="eastAsia"/>
      </w:rPr>
    </w:lvl>
    <w:lvl w:ilvl="2" w:tentative="0">
      <w:start w:val="1"/>
      <w:numFmt w:val="decimal"/>
      <w:pStyle w:val="4"/>
      <w:lvlText w:val="%2.%3."/>
      <w:lvlJc w:val="left"/>
      <w:pPr>
        <w:ind w:left="0" w:firstLine="0"/>
      </w:pPr>
      <w:rPr>
        <w:rFonts w:hint="eastAsia"/>
      </w:rPr>
    </w:lvl>
    <w:lvl w:ilvl="3" w:tentative="0">
      <w:start w:val="1"/>
      <w:numFmt w:val="decimal"/>
      <w:lvlText w:val="%2.%3.%4."/>
      <w:lvlJc w:val="left"/>
      <w:pPr>
        <w:ind w:left="0" w:firstLine="0"/>
      </w:pPr>
      <w:rPr>
        <w:rFonts w:hint="eastAsia"/>
      </w:rPr>
    </w:lvl>
    <w:lvl w:ilvl="4" w:tentative="0">
      <w:start w:val="1"/>
      <w:numFmt w:val="decimal"/>
      <w:lvlText w:val="%2.%3.%4.%5."/>
      <w:lvlJc w:val="left"/>
      <w:pPr>
        <w:ind w:left="0" w:firstLine="0"/>
      </w:pPr>
      <w:rPr>
        <w:rFonts w:hint="eastAsia"/>
      </w:rPr>
    </w:lvl>
    <w:lvl w:ilvl="5" w:tentative="0">
      <w:start w:val="1"/>
      <w:numFmt w:val="decimal"/>
      <w:isLgl/>
      <w:lvlText w:val="%2.%3.%4.%5.%6."/>
      <w:lvlJc w:val="left"/>
      <w:pPr>
        <w:ind w:left="0" w:firstLine="0"/>
      </w:pPr>
      <w:rPr>
        <w:rFonts w:hint="eastAsia" w:ascii="宋体" w:hAnsi="宋体" w:eastAsia="宋体" w:cs="Times New Roman"/>
        <w:b/>
        <w:bCs w:val="0"/>
        <w:i w:val="0"/>
        <w:iCs w:val="0"/>
        <w:caps w:val="0"/>
        <w:smallCaps w:val="0"/>
        <w:strike w:val="0"/>
        <w:dstrike w:val="0"/>
        <w:vanish w:val="0"/>
        <w:spacing w:val="0"/>
        <w:position w:val="0"/>
        <w:sz w:val="24"/>
        <w:u w:val="none"/>
        <w:vertAlign w:val="baseline"/>
      </w:rPr>
    </w:lvl>
    <w:lvl w:ilvl="6" w:tentative="0">
      <w:start w:val="1"/>
      <w:numFmt w:val="decimal"/>
      <w:isLg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2">
    <w:nsid w:val="73198BB0"/>
    <w:multiLevelType w:val="singleLevel"/>
    <w:tmpl w:val="73198BB0"/>
    <w:lvl w:ilvl="0" w:tentative="0">
      <w:start w:val="4"/>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0"/>
  <w:bordersDoNotSurroundFooter w:val="0"/>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kMDI5NGJiMDZmMzhhNjIxZGI1NjUwZDA0MDNkODEifQ=="/>
  </w:docVars>
  <w:rsids>
    <w:rsidRoot w:val="73AB533F"/>
    <w:rsid w:val="00150371"/>
    <w:rsid w:val="001A31B6"/>
    <w:rsid w:val="001B6CF3"/>
    <w:rsid w:val="0022467C"/>
    <w:rsid w:val="00414F54"/>
    <w:rsid w:val="0044544F"/>
    <w:rsid w:val="00455050"/>
    <w:rsid w:val="00501EE6"/>
    <w:rsid w:val="00522E47"/>
    <w:rsid w:val="00563BBD"/>
    <w:rsid w:val="00575F11"/>
    <w:rsid w:val="005A7208"/>
    <w:rsid w:val="005C6ADC"/>
    <w:rsid w:val="00665037"/>
    <w:rsid w:val="00700C5E"/>
    <w:rsid w:val="007402CA"/>
    <w:rsid w:val="00786EFA"/>
    <w:rsid w:val="00985934"/>
    <w:rsid w:val="00AE30B0"/>
    <w:rsid w:val="00B1056F"/>
    <w:rsid w:val="00BC3A1F"/>
    <w:rsid w:val="00D24FF0"/>
    <w:rsid w:val="00D73B7A"/>
    <w:rsid w:val="00DB1B38"/>
    <w:rsid w:val="00F306AC"/>
    <w:rsid w:val="01423F24"/>
    <w:rsid w:val="01675739"/>
    <w:rsid w:val="018F4C90"/>
    <w:rsid w:val="019B53E2"/>
    <w:rsid w:val="01A22C15"/>
    <w:rsid w:val="01D46B46"/>
    <w:rsid w:val="01E16E78"/>
    <w:rsid w:val="021D229B"/>
    <w:rsid w:val="02590C8E"/>
    <w:rsid w:val="027D0F8C"/>
    <w:rsid w:val="0284231A"/>
    <w:rsid w:val="028E13EB"/>
    <w:rsid w:val="029C1412"/>
    <w:rsid w:val="029F0F02"/>
    <w:rsid w:val="02B155C3"/>
    <w:rsid w:val="032469B6"/>
    <w:rsid w:val="035B7A01"/>
    <w:rsid w:val="038A1A0A"/>
    <w:rsid w:val="038F71C9"/>
    <w:rsid w:val="03C81C0C"/>
    <w:rsid w:val="03F86B1C"/>
    <w:rsid w:val="03FD6699"/>
    <w:rsid w:val="040F20B8"/>
    <w:rsid w:val="045D1075"/>
    <w:rsid w:val="048552F8"/>
    <w:rsid w:val="04891E6A"/>
    <w:rsid w:val="04BA734B"/>
    <w:rsid w:val="04D72BD5"/>
    <w:rsid w:val="054364BD"/>
    <w:rsid w:val="054C2DCF"/>
    <w:rsid w:val="05544226"/>
    <w:rsid w:val="05755D60"/>
    <w:rsid w:val="05AA2098"/>
    <w:rsid w:val="05AE092A"/>
    <w:rsid w:val="05D2339D"/>
    <w:rsid w:val="05DB04A3"/>
    <w:rsid w:val="05E73680"/>
    <w:rsid w:val="05ED6429"/>
    <w:rsid w:val="06163BD1"/>
    <w:rsid w:val="066F5090"/>
    <w:rsid w:val="06A00465"/>
    <w:rsid w:val="06AB2AD9"/>
    <w:rsid w:val="06BA5035"/>
    <w:rsid w:val="06DD649D"/>
    <w:rsid w:val="06EC66E0"/>
    <w:rsid w:val="06F927FE"/>
    <w:rsid w:val="07140111"/>
    <w:rsid w:val="07283BBC"/>
    <w:rsid w:val="073F0F06"/>
    <w:rsid w:val="074526C1"/>
    <w:rsid w:val="074D53D1"/>
    <w:rsid w:val="07632E46"/>
    <w:rsid w:val="0792547D"/>
    <w:rsid w:val="07996868"/>
    <w:rsid w:val="07D57174"/>
    <w:rsid w:val="07DD49A7"/>
    <w:rsid w:val="07EE6FF0"/>
    <w:rsid w:val="07F24004"/>
    <w:rsid w:val="07F92E63"/>
    <w:rsid w:val="08031F33"/>
    <w:rsid w:val="084C38DA"/>
    <w:rsid w:val="085D5AE7"/>
    <w:rsid w:val="08732C15"/>
    <w:rsid w:val="08797F3E"/>
    <w:rsid w:val="08B374B6"/>
    <w:rsid w:val="08E56BF3"/>
    <w:rsid w:val="08FB56DE"/>
    <w:rsid w:val="091F0FEF"/>
    <w:rsid w:val="092B34F0"/>
    <w:rsid w:val="095575D7"/>
    <w:rsid w:val="097F55EA"/>
    <w:rsid w:val="098A3FEA"/>
    <w:rsid w:val="09975029"/>
    <w:rsid w:val="09A339CE"/>
    <w:rsid w:val="09A775EB"/>
    <w:rsid w:val="0A0F2E11"/>
    <w:rsid w:val="0A1608A9"/>
    <w:rsid w:val="0A173A74"/>
    <w:rsid w:val="0A376556"/>
    <w:rsid w:val="0A682522"/>
    <w:rsid w:val="0A6A0048"/>
    <w:rsid w:val="0A6F05B3"/>
    <w:rsid w:val="0A963553"/>
    <w:rsid w:val="0A9B1C3D"/>
    <w:rsid w:val="0AB45767"/>
    <w:rsid w:val="0AB55AF0"/>
    <w:rsid w:val="0B0E131B"/>
    <w:rsid w:val="0B2226D0"/>
    <w:rsid w:val="0B24469B"/>
    <w:rsid w:val="0B770C6E"/>
    <w:rsid w:val="0B8E5FB8"/>
    <w:rsid w:val="0B955598"/>
    <w:rsid w:val="0B957346"/>
    <w:rsid w:val="0BE45BD8"/>
    <w:rsid w:val="0C020E1C"/>
    <w:rsid w:val="0C090665"/>
    <w:rsid w:val="0C313BAA"/>
    <w:rsid w:val="0C3B1C9C"/>
    <w:rsid w:val="0C564D28"/>
    <w:rsid w:val="0CBA3508"/>
    <w:rsid w:val="0CCB16D7"/>
    <w:rsid w:val="0CCD48BE"/>
    <w:rsid w:val="0CD90EE9"/>
    <w:rsid w:val="0D0504FC"/>
    <w:rsid w:val="0D4508F8"/>
    <w:rsid w:val="0D541E54"/>
    <w:rsid w:val="0D6B4803"/>
    <w:rsid w:val="0D984545"/>
    <w:rsid w:val="0DA46170"/>
    <w:rsid w:val="0DC92276"/>
    <w:rsid w:val="0DE46363"/>
    <w:rsid w:val="0DFC7D10"/>
    <w:rsid w:val="0DFF4F4B"/>
    <w:rsid w:val="0E252C04"/>
    <w:rsid w:val="0E2624D8"/>
    <w:rsid w:val="0E3B12E3"/>
    <w:rsid w:val="0E440BB0"/>
    <w:rsid w:val="0E4F1A2E"/>
    <w:rsid w:val="0E85485E"/>
    <w:rsid w:val="0EC56195"/>
    <w:rsid w:val="0ED65CAC"/>
    <w:rsid w:val="0EFE271E"/>
    <w:rsid w:val="0F1862C4"/>
    <w:rsid w:val="0F9067A2"/>
    <w:rsid w:val="0F9B0CA3"/>
    <w:rsid w:val="0FF11F36"/>
    <w:rsid w:val="100E4041"/>
    <w:rsid w:val="104D4694"/>
    <w:rsid w:val="1054157E"/>
    <w:rsid w:val="10AD6EE0"/>
    <w:rsid w:val="10DE353E"/>
    <w:rsid w:val="10F3513F"/>
    <w:rsid w:val="111B02EE"/>
    <w:rsid w:val="113969C6"/>
    <w:rsid w:val="11460865"/>
    <w:rsid w:val="11AE4CBE"/>
    <w:rsid w:val="11DD37F5"/>
    <w:rsid w:val="11E10BF2"/>
    <w:rsid w:val="123E4294"/>
    <w:rsid w:val="12633CFA"/>
    <w:rsid w:val="126D4B79"/>
    <w:rsid w:val="12861777"/>
    <w:rsid w:val="12AD1419"/>
    <w:rsid w:val="12B24C82"/>
    <w:rsid w:val="12BE7183"/>
    <w:rsid w:val="12DE5A77"/>
    <w:rsid w:val="12F64B6E"/>
    <w:rsid w:val="12F9465F"/>
    <w:rsid w:val="12FC1F1B"/>
    <w:rsid w:val="13076D7C"/>
    <w:rsid w:val="13143247"/>
    <w:rsid w:val="131B6383"/>
    <w:rsid w:val="133E02C4"/>
    <w:rsid w:val="134F0723"/>
    <w:rsid w:val="13516249"/>
    <w:rsid w:val="137141F5"/>
    <w:rsid w:val="137D3D07"/>
    <w:rsid w:val="138D4DAC"/>
    <w:rsid w:val="13E73327"/>
    <w:rsid w:val="144638D4"/>
    <w:rsid w:val="14467430"/>
    <w:rsid w:val="144D4C62"/>
    <w:rsid w:val="145D355A"/>
    <w:rsid w:val="147C72F5"/>
    <w:rsid w:val="149C739C"/>
    <w:rsid w:val="14A66120"/>
    <w:rsid w:val="14E07FD6"/>
    <w:rsid w:val="15284946"/>
    <w:rsid w:val="156A53A0"/>
    <w:rsid w:val="157128DB"/>
    <w:rsid w:val="15777F8A"/>
    <w:rsid w:val="15932B49"/>
    <w:rsid w:val="15AA0A99"/>
    <w:rsid w:val="15BD1CB8"/>
    <w:rsid w:val="15C251DC"/>
    <w:rsid w:val="16175528"/>
    <w:rsid w:val="1672275E"/>
    <w:rsid w:val="167B6338"/>
    <w:rsid w:val="16AB3EC2"/>
    <w:rsid w:val="16C44F84"/>
    <w:rsid w:val="171F21BA"/>
    <w:rsid w:val="17345C65"/>
    <w:rsid w:val="17375161"/>
    <w:rsid w:val="173C05FF"/>
    <w:rsid w:val="17710C68"/>
    <w:rsid w:val="179153E0"/>
    <w:rsid w:val="17A252C5"/>
    <w:rsid w:val="17AF79E2"/>
    <w:rsid w:val="17DA4A5F"/>
    <w:rsid w:val="17F453F5"/>
    <w:rsid w:val="17F84EE5"/>
    <w:rsid w:val="17F90C5D"/>
    <w:rsid w:val="18143A95"/>
    <w:rsid w:val="18207F2E"/>
    <w:rsid w:val="18420856"/>
    <w:rsid w:val="18463EA2"/>
    <w:rsid w:val="18817CD6"/>
    <w:rsid w:val="18925F93"/>
    <w:rsid w:val="18CB43A7"/>
    <w:rsid w:val="19353F17"/>
    <w:rsid w:val="193C7053"/>
    <w:rsid w:val="194303E2"/>
    <w:rsid w:val="194B7296"/>
    <w:rsid w:val="195471D4"/>
    <w:rsid w:val="1981715C"/>
    <w:rsid w:val="19A74E14"/>
    <w:rsid w:val="19BC1F42"/>
    <w:rsid w:val="19D142FC"/>
    <w:rsid w:val="19DD0836"/>
    <w:rsid w:val="19E35721"/>
    <w:rsid w:val="1A3A17E5"/>
    <w:rsid w:val="1A584BBA"/>
    <w:rsid w:val="1A6B4094"/>
    <w:rsid w:val="1A770D10"/>
    <w:rsid w:val="1AA2382E"/>
    <w:rsid w:val="1AA80E44"/>
    <w:rsid w:val="1ABA0B77"/>
    <w:rsid w:val="1AF3780F"/>
    <w:rsid w:val="1AF44089"/>
    <w:rsid w:val="1AFA71C6"/>
    <w:rsid w:val="1B155DAE"/>
    <w:rsid w:val="1B1738D4"/>
    <w:rsid w:val="1B184F4E"/>
    <w:rsid w:val="1B1E1106"/>
    <w:rsid w:val="1B245FF1"/>
    <w:rsid w:val="1B26620D"/>
    <w:rsid w:val="1B46065D"/>
    <w:rsid w:val="1B5A5081"/>
    <w:rsid w:val="1B742AD4"/>
    <w:rsid w:val="1B75684C"/>
    <w:rsid w:val="1BA15893"/>
    <w:rsid w:val="1BD619E1"/>
    <w:rsid w:val="1BE372C5"/>
    <w:rsid w:val="1BF41E67"/>
    <w:rsid w:val="1C0A0066"/>
    <w:rsid w:val="1C0F4EF3"/>
    <w:rsid w:val="1C4667A4"/>
    <w:rsid w:val="1C5D7A0C"/>
    <w:rsid w:val="1C67088B"/>
    <w:rsid w:val="1C767277"/>
    <w:rsid w:val="1C8A6328"/>
    <w:rsid w:val="1CA078F9"/>
    <w:rsid w:val="1CF92E9A"/>
    <w:rsid w:val="1D100F23"/>
    <w:rsid w:val="1D232325"/>
    <w:rsid w:val="1D3A7D4E"/>
    <w:rsid w:val="1D4971FB"/>
    <w:rsid w:val="1D644DCB"/>
    <w:rsid w:val="1D6628F1"/>
    <w:rsid w:val="1D76522A"/>
    <w:rsid w:val="1DA653E3"/>
    <w:rsid w:val="1DE32193"/>
    <w:rsid w:val="1DF919B7"/>
    <w:rsid w:val="1E032835"/>
    <w:rsid w:val="1E306F41"/>
    <w:rsid w:val="1E6A4663"/>
    <w:rsid w:val="1E763007"/>
    <w:rsid w:val="1E91399D"/>
    <w:rsid w:val="1EBE00B7"/>
    <w:rsid w:val="1ED57D2E"/>
    <w:rsid w:val="1ED65854"/>
    <w:rsid w:val="1EEC5078"/>
    <w:rsid w:val="1F0423C1"/>
    <w:rsid w:val="1F550E6F"/>
    <w:rsid w:val="1F630062"/>
    <w:rsid w:val="1F83778A"/>
    <w:rsid w:val="1FAD0019"/>
    <w:rsid w:val="1FB21E1D"/>
    <w:rsid w:val="1FF37AF6"/>
    <w:rsid w:val="2003526B"/>
    <w:rsid w:val="204C400B"/>
    <w:rsid w:val="205D622D"/>
    <w:rsid w:val="208E4638"/>
    <w:rsid w:val="209D0D1F"/>
    <w:rsid w:val="20BD0AAB"/>
    <w:rsid w:val="211C005A"/>
    <w:rsid w:val="2127683B"/>
    <w:rsid w:val="21315582"/>
    <w:rsid w:val="21380A48"/>
    <w:rsid w:val="21773EE7"/>
    <w:rsid w:val="219113B4"/>
    <w:rsid w:val="2193435A"/>
    <w:rsid w:val="219F2875"/>
    <w:rsid w:val="21C67E02"/>
    <w:rsid w:val="21DA38AD"/>
    <w:rsid w:val="21EB5ABA"/>
    <w:rsid w:val="21F26E49"/>
    <w:rsid w:val="221548E5"/>
    <w:rsid w:val="224B3761"/>
    <w:rsid w:val="224D22D1"/>
    <w:rsid w:val="224F42CF"/>
    <w:rsid w:val="22614D52"/>
    <w:rsid w:val="22680EB9"/>
    <w:rsid w:val="22702A50"/>
    <w:rsid w:val="229E2B2D"/>
    <w:rsid w:val="22E22A19"/>
    <w:rsid w:val="22E9024C"/>
    <w:rsid w:val="22FD1376"/>
    <w:rsid w:val="233174FD"/>
    <w:rsid w:val="23496F3C"/>
    <w:rsid w:val="235D4796"/>
    <w:rsid w:val="23621DAC"/>
    <w:rsid w:val="236C7631"/>
    <w:rsid w:val="2393640A"/>
    <w:rsid w:val="23A61E5A"/>
    <w:rsid w:val="23BF71FF"/>
    <w:rsid w:val="23CD5478"/>
    <w:rsid w:val="23D9206E"/>
    <w:rsid w:val="23E10F23"/>
    <w:rsid w:val="23E26A49"/>
    <w:rsid w:val="24044C11"/>
    <w:rsid w:val="242D23BA"/>
    <w:rsid w:val="24305A06"/>
    <w:rsid w:val="2463402E"/>
    <w:rsid w:val="24661428"/>
    <w:rsid w:val="24D97E4C"/>
    <w:rsid w:val="24F007E4"/>
    <w:rsid w:val="24FB4266"/>
    <w:rsid w:val="251F7F6D"/>
    <w:rsid w:val="25220AC0"/>
    <w:rsid w:val="254C4AC2"/>
    <w:rsid w:val="255045B2"/>
    <w:rsid w:val="255407AE"/>
    <w:rsid w:val="25553977"/>
    <w:rsid w:val="255A6ACB"/>
    <w:rsid w:val="258A19A4"/>
    <w:rsid w:val="258E6E89"/>
    <w:rsid w:val="25981632"/>
    <w:rsid w:val="25A322A1"/>
    <w:rsid w:val="25BC39F6"/>
    <w:rsid w:val="25F9379F"/>
    <w:rsid w:val="261E020C"/>
    <w:rsid w:val="26325D34"/>
    <w:rsid w:val="26402840"/>
    <w:rsid w:val="26431A21"/>
    <w:rsid w:val="26633E71"/>
    <w:rsid w:val="26720558"/>
    <w:rsid w:val="268F4C66"/>
    <w:rsid w:val="26971D6D"/>
    <w:rsid w:val="26BE3BC4"/>
    <w:rsid w:val="26C64400"/>
    <w:rsid w:val="26CD1C32"/>
    <w:rsid w:val="26F63A40"/>
    <w:rsid w:val="27247AA4"/>
    <w:rsid w:val="275F0DCF"/>
    <w:rsid w:val="275F4517"/>
    <w:rsid w:val="27871DE1"/>
    <w:rsid w:val="27D824EE"/>
    <w:rsid w:val="27F8683B"/>
    <w:rsid w:val="2852441C"/>
    <w:rsid w:val="286745CE"/>
    <w:rsid w:val="286B0DF3"/>
    <w:rsid w:val="28C52BC1"/>
    <w:rsid w:val="29001E4B"/>
    <w:rsid w:val="290A2CCA"/>
    <w:rsid w:val="291B14CB"/>
    <w:rsid w:val="295B52D4"/>
    <w:rsid w:val="29673C78"/>
    <w:rsid w:val="296A552B"/>
    <w:rsid w:val="29791C1A"/>
    <w:rsid w:val="299114E8"/>
    <w:rsid w:val="29982084"/>
    <w:rsid w:val="29A24CB1"/>
    <w:rsid w:val="29E72052"/>
    <w:rsid w:val="2A0515D6"/>
    <w:rsid w:val="2A113B46"/>
    <w:rsid w:val="2A1F27A5"/>
    <w:rsid w:val="2A3224D8"/>
    <w:rsid w:val="2A3F0751"/>
    <w:rsid w:val="2A497822"/>
    <w:rsid w:val="2A585CB7"/>
    <w:rsid w:val="2AA50EFC"/>
    <w:rsid w:val="2AA84549"/>
    <w:rsid w:val="2AAD2F42"/>
    <w:rsid w:val="2AB56C65"/>
    <w:rsid w:val="2ABE3D6C"/>
    <w:rsid w:val="2AE40E6C"/>
    <w:rsid w:val="2AEC0683"/>
    <w:rsid w:val="2AFA0B1C"/>
    <w:rsid w:val="2B1772E8"/>
    <w:rsid w:val="2B4A5600"/>
    <w:rsid w:val="2B577D1D"/>
    <w:rsid w:val="2B656699"/>
    <w:rsid w:val="2BA967CA"/>
    <w:rsid w:val="2BAF7B59"/>
    <w:rsid w:val="2BEB619B"/>
    <w:rsid w:val="2C365B84"/>
    <w:rsid w:val="2C3818FC"/>
    <w:rsid w:val="2C736DD8"/>
    <w:rsid w:val="2C930CBA"/>
    <w:rsid w:val="2C992A9B"/>
    <w:rsid w:val="2C9A25B7"/>
    <w:rsid w:val="2CB371D5"/>
    <w:rsid w:val="2CC47634"/>
    <w:rsid w:val="2CC969F8"/>
    <w:rsid w:val="2CF36511"/>
    <w:rsid w:val="2D0D0FDB"/>
    <w:rsid w:val="2D401592"/>
    <w:rsid w:val="2D5C786C"/>
    <w:rsid w:val="2D686211"/>
    <w:rsid w:val="2D6D7CCB"/>
    <w:rsid w:val="2D8127B5"/>
    <w:rsid w:val="2D963C58"/>
    <w:rsid w:val="2D9708A4"/>
    <w:rsid w:val="2D99286E"/>
    <w:rsid w:val="2DB33930"/>
    <w:rsid w:val="2DCD229F"/>
    <w:rsid w:val="2DD13DB6"/>
    <w:rsid w:val="2DEE2E51"/>
    <w:rsid w:val="2E086719"/>
    <w:rsid w:val="2E23315A"/>
    <w:rsid w:val="2E2B44BD"/>
    <w:rsid w:val="2E3600BD"/>
    <w:rsid w:val="2E381567"/>
    <w:rsid w:val="2E426A62"/>
    <w:rsid w:val="2E494294"/>
    <w:rsid w:val="2EAC037F"/>
    <w:rsid w:val="2EDA6C9B"/>
    <w:rsid w:val="2EE8585B"/>
    <w:rsid w:val="2EF91817"/>
    <w:rsid w:val="2F094ABE"/>
    <w:rsid w:val="2F106B60"/>
    <w:rsid w:val="2F1070CC"/>
    <w:rsid w:val="2F3445FD"/>
    <w:rsid w:val="2F350375"/>
    <w:rsid w:val="2F471741"/>
    <w:rsid w:val="2F4E3303"/>
    <w:rsid w:val="2F5A3045"/>
    <w:rsid w:val="2FC85904"/>
    <w:rsid w:val="2FD22068"/>
    <w:rsid w:val="2FDB2CCA"/>
    <w:rsid w:val="2FF41FDE"/>
    <w:rsid w:val="306453B6"/>
    <w:rsid w:val="30756572"/>
    <w:rsid w:val="309E19D2"/>
    <w:rsid w:val="309F37C0"/>
    <w:rsid w:val="30A6152A"/>
    <w:rsid w:val="30E43E01"/>
    <w:rsid w:val="30EC0F07"/>
    <w:rsid w:val="313E1763"/>
    <w:rsid w:val="314B5D2A"/>
    <w:rsid w:val="3195334D"/>
    <w:rsid w:val="31A067F6"/>
    <w:rsid w:val="31A87524"/>
    <w:rsid w:val="31D8363B"/>
    <w:rsid w:val="32075FF9"/>
    <w:rsid w:val="321E77E6"/>
    <w:rsid w:val="3220355E"/>
    <w:rsid w:val="32346467"/>
    <w:rsid w:val="323E39E4"/>
    <w:rsid w:val="329B423D"/>
    <w:rsid w:val="32A221C5"/>
    <w:rsid w:val="32AC4DF2"/>
    <w:rsid w:val="32D06D32"/>
    <w:rsid w:val="32D95A79"/>
    <w:rsid w:val="32DA307B"/>
    <w:rsid w:val="32E225C2"/>
    <w:rsid w:val="32E93950"/>
    <w:rsid w:val="32FC18D5"/>
    <w:rsid w:val="33105381"/>
    <w:rsid w:val="33324454"/>
    <w:rsid w:val="33460DA3"/>
    <w:rsid w:val="335965DB"/>
    <w:rsid w:val="335D7E9A"/>
    <w:rsid w:val="33A37FA3"/>
    <w:rsid w:val="33A77F0C"/>
    <w:rsid w:val="33B26438"/>
    <w:rsid w:val="33DE0FDB"/>
    <w:rsid w:val="33F10E61"/>
    <w:rsid w:val="33FC0937"/>
    <w:rsid w:val="341C1B03"/>
    <w:rsid w:val="3444054E"/>
    <w:rsid w:val="344F012B"/>
    <w:rsid w:val="34605E94"/>
    <w:rsid w:val="346805D5"/>
    <w:rsid w:val="34735BC7"/>
    <w:rsid w:val="349F56CD"/>
    <w:rsid w:val="34B668D8"/>
    <w:rsid w:val="34B677B6"/>
    <w:rsid w:val="34D16D92"/>
    <w:rsid w:val="34DF14AF"/>
    <w:rsid w:val="34EC3BCC"/>
    <w:rsid w:val="35303AB8"/>
    <w:rsid w:val="3546508A"/>
    <w:rsid w:val="355F614C"/>
    <w:rsid w:val="356D5162"/>
    <w:rsid w:val="3578720D"/>
    <w:rsid w:val="35AD5109"/>
    <w:rsid w:val="35C07BB9"/>
    <w:rsid w:val="35C661CB"/>
    <w:rsid w:val="35C80195"/>
    <w:rsid w:val="35ED7BFB"/>
    <w:rsid w:val="35F9034E"/>
    <w:rsid w:val="35FC56A1"/>
    <w:rsid w:val="36323860"/>
    <w:rsid w:val="36462E68"/>
    <w:rsid w:val="367D2D2D"/>
    <w:rsid w:val="368C11C2"/>
    <w:rsid w:val="36910587"/>
    <w:rsid w:val="36964BB1"/>
    <w:rsid w:val="36992FA1"/>
    <w:rsid w:val="36A24189"/>
    <w:rsid w:val="36B16BE4"/>
    <w:rsid w:val="36BA5D2F"/>
    <w:rsid w:val="36BB3856"/>
    <w:rsid w:val="37327F66"/>
    <w:rsid w:val="37381DB4"/>
    <w:rsid w:val="3756532C"/>
    <w:rsid w:val="3768578B"/>
    <w:rsid w:val="3776777C"/>
    <w:rsid w:val="37781747"/>
    <w:rsid w:val="37863E63"/>
    <w:rsid w:val="37AE6F16"/>
    <w:rsid w:val="37B87D95"/>
    <w:rsid w:val="37D42E21"/>
    <w:rsid w:val="381E409C"/>
    <w:rsid w:val="38342E9A"/>
    <w:rsid w:val="384A0EEA"/>
    <w:rsid w:val="384C75EF"/>
    <w:rsid w:val="38552C1D"/>
    <w:rsid w:val="386677F1"/>
    <w:rsid w:val="386B4E07"/>
    <w:rsid w:val="38795776"/>
    <w:rsid w:val="38797524"/>
    <w:rsid w:val="38A438A5"/>
    <w:rsid w:val="38CC58A6"/>
    <w:rsid w:val="38DE1A7D"/>
    <w:rsid w:val="38E000DA"/>
    <w:rsid w:val="38E01351"/>
    <w:rsid w:val="39331DC9"/>
    <w:rsid w:val="39535FC7"/>
    <w:rsid w:val="39754190"/>
    <w:rsid w:val="399F120C"/>
    <w:rsid w:val="39B27192"/>
    <w:rsid w:val="39D215E2"/>
    <w:rsid w:val="39E906DA"/>
    <w:rsid w:val="3A557B1D"/>
    <w:rsid w:val="3A83468A"/>
    <w:rsid w:val="3A8B353F"/>
    <w:rsid w:val="3AAF722D"/>
    <w:rsid w:val="3AB02FA5"/>
    <w:rsid w:val="3AB46F3A"/>
    <w:rsid w:val="3B003F2D"/>
    <w:rsid w:val="3B20012B"/>
    <w:rsid w:val="3B3F4A55"/>
    <w:rsid w:val="3B436219"/>
    <w:rsid w:val="3B8406BA"/>
    <w:rsid w:val="3B84690C"/>
    <w:rsid w:val="3B871F58"/>
    <w:rsid w:val="3BA63A7F"/>
    <w:rsid w:val="3BE95B58"/>
    <w:rsid w:val="3BEE0229"/>
    <w:rsid w:val="3C067748"/>
    <w:rsid w:val="3C1732DC"/>
    <w:rsid w:val="3C345B6C"/>
    <w:rsid w:val="3C502C92"/>
    <w:rsid w:val="3C6D73A0"/>
    <w:rsid w:val="3C72596D"/>
    <w:rsid w:val="3C917532"/>
    <w:rsid w:val="3CBD0327"/>
    <w:rsid w:val="3CC176EC"/>
    <w:rsid w:val="3CCF1E09"/>
    <w:rsid w:val="3CEF0B3D"/>
    <w:rsid w:val="3CFE3C20"/>
    <w:rsid w:val="3D2D6B2F"/>
    <w:rsid w:val="3D4A148F"/>
    <w:rsid w:val="3D8059DB"/>
    <w:rsid w:val="3D9D5A63"/>
    <w:rsid w:val="3DA90835"/>
    <w:rsid w:val="3DBE17F8"/>
    <w:rsid w:val="3DC41242"/>
    <w:rsid w:val="3DE31F88"/>
    <w:rsid w:val="3DE4102B"/>
    <w:rsid w:val="3E1A5306"/>
    <w:rsid w:val="3E2C6DE7"/>
    <w:rsid w:val="3E3208A1"/>
    <w:rsid w:val="3E4660FB"/>
    <w:rsid w:val="3E497999"/>
    <w:rsid w:val="3E725142"/>
    <w:rsid w:val="3E86299B"/>
    <w:rsid w:val="3E99447C"/>
    <w:rsid w:val="3E9A1FA2"/>
    <w:rsid w:val="3EB43064"/>
    <w:rsid w:val="3EC139D3"/>
    <w:rsid w:val="3EC51715"/>
    <w:rsid w:val="3ED454B4"/>
    <w:rsid w:val="3EFE0783"/>
    <w:rsid w:val="3EFF6A5E"/>
    <w:rsid w:val="3F28582E"/>
    <w:rsid w:val="3F3465D1"/>
    <w:rsid w:val="3F5950EF"/>
    <w:rsid w:val="3F6B1A21"/>
    <w:rsid w:val="3F8A64BB"/>
    <w:rsid w:val="3FBB0422"/>
    <w:rsid w:val="3FBD419A"/>
    <w:rsid w:val="3FC92B3F"/>
    <w:rsid w:val="401A339B"/>
    <w:rsid w:val="401F09B1"/>
    <w:rsid w:val="402715B4"/>
    <w:rsid w:val="4033445D"/>
    <w:rsid w:val="403C77B5"/>
    <w:rsid w:val="403F1053"/>
    <w:rsid w:val="4066621E"/>
    <w:rsid w:val="406805AA"/>
    <w:rsid w:val="406E36E7"/>
    <w:rsid w:val="40866C82"/>
    <w:rsid w:val="40970E8F"/>
    <w:rsid w:val="409E221E"/>
    <w:rsid w:val="40AD420F"/>
    <w:rsid w:val="40E8793D"/>
    <w:rsid w:val="40F50041"/>
    <w:rsid w:val="410013EE"/>
    <w:rsid w:val="41016309"/>
    <w:rsid w:val="411424E0"/>
    <w:rsid w:val="41270465"/>
    <w:rsid w:val="41453D85"/>
    <w:rsid w:val="41686388"/>
    <w:rsid w:val="41760AA5"/>
    <w:rsid w:val="419158DF"/>
    <w:rsid w:val="419329F4"/>
    <w:rsid w:val="41E40104"/>
    <w:rsid w:val="420E5181"/>
    <w:rsid w:val="42386BE7"/>
    <w:rsid w:val="423D7815"/>
    <w:rsid w:val="42446DF5"/>
    <w:rsid w:val="427319A1"/>
    <w:rsid w:val="42903DE8"/>
    <w:rsid w:val="42984A4B"/>
    <w:rsid w:val="42A41642"/>
    <w:rsid w:val="42A87384"/>
    <w:rsid w:val="42AD26E1"/>
    <w:rsid w:val="42BC698B"/>
    <w:rsid w:val="42CB6BCE"/>
    <w:rsid w:val="42D355FF"/>
    <w:rsid w:val="42E67EAC"/>
    <w:rsid w:val="42F15886"/>
    <w:rsid w:val="431467C7"/>
    <w:rsid w:val="43397FDC"/>
    <w:rsid w:val="434D7F2B"/>
    <w:rsid w:val="43592669"/>
    <w:rsid w:val="437756F8"/>
    <w:rsid w:val="43860D47"/>
    <w:rsid w:val="43A15B81"/>
    <w:rsid w:val="43D121CA"/>
    <w:rsid w:val="43E73EDC"/>
    <w:rsid w:val="43EC53BF"/>
    <w:rsid w:val="44000AFA"/>
    <w:rsid w:val="440365B3"/>
    <w:rsid w:val="44112D07"/>
    <w:rsid w:val="44307631"/>
    <w:rsid w:val="44366C11"/>
    <w:rsid w:val="44446C38"/>
    <w:rsid w:val="4456696C"/>
    <w:rsid w:val="446077EA"/>
    <w:rsid w:val="45196317"/>
    <w:rsid w:val="453503C5"/>
    <w:rsid w:val="453B4C15"/>
    <w:rsid w:val="45401AF6"/>
    <w:rsid w:val="45442C68"/>
    <w:rsid w:val="454951DC"/>
    <w:rsid w:val="457A6B98"/>
    <w:rsid w:val="45BC6244"/>
    <w:rsid w:val="45FB325E"/>
    <w:rsid w:val="460F14C8"/>
    <w:rsid w:val="46405B25"/>
    <w:rsid w:val="464576D7"/>
    <w:rsid w:val="4646115E"/>
    <w:rsid w:val="46796C37"/>
    <w:rsid w:val="468772B0"/>
    <w:rsid w:val="4689127A"/>
    <w:rsid w:val="46963997"/>
    <w:rsid w:val="46CB5EB5"/>
    <w:rsid w:val="46DA1AD6"/>
    <w:rsid w:val="46E110B6"/>
    <w:rsid w:val="470152B5"/>
    <w:rsid w:val="47122F66"/>
    <w:rsid w:val="471F593F"/>
    <w:rsid w:val="47503B46"/>
    <w:rsid w:val="47721D0E"/>
    <w:rsid w:val="477D1761"/>
    <w:rsid w:val="479003E6"/>
    <w:rsid w:val="47A26054"/>
    <w:rsid w:val="47B864FE"/>
    <w:rsid w:val="47B93F12"/>
    <w:rsid w:val="47C02A7A"/>
    <w:rsid w:val="47D91D8D"/>
    <w:rsid w:val="47F941DE"/>
    <w:rsid w:val="482C010F"/>
    <w:rsid w:val="48315726"/>
    <w:rsid w:val="48592672"/>
    <w:rsid w:val="487823F9"/>
    <w:rsid w:val="48850709"/>
    <w:rsid w:val="48A979B2"/>
    <w:rsid w:val="48B87BF5"/>
    <w:rsid w:val="48CA7928"/>
    <w:rsid w:val="48D507A7"/>
    <w:rsid w:val="48D928B8"/>
    <w:rsid w:val="48EC789E"/>
    <w:rsid w:val="49107A31"/>
    <w:rsid w:val="4924125D"/>
    <w:rsid w:val="493A1BD6"/>
    <w:rsid w:val="498975CF"/>
    <w:rsid w:val="49A07007"/>
    <w:rsid w:val="49CA7BE0"/>
    <w:rsid w:val="49CF51F6"/>
    <w:rsid w:val="49D547D7"/>
    <w:rsid w:val="4A174DEF"/>
    <w:rsid w:val="4A471230"/>
    <w:rsid w:val="4A506A7B"/>
    <w:rsid w:val="4A834233"/>
    <w:rsid w:val="4AB3549B"/>
    <w:rsid w:val="4AE66C9B"/>
    <w:rsid w:val="4AEB42B2"/>
    <w:rsid w:val="4AEF3676"/>
    <w:rsid w:val="4AFF250A"/>
    <w:rsid w:val="4B094E45"/>
    <w:rsid w:val="4B3774F7"/>
    <w:rsid w:val="4B3F45FD"/>
    <w:rsid w:val="4B72052F"/>
    <w:rsid w:val="4B9135EE"/>
    <w:rsid w:val="4BB072A9"/>
    <w:rsid w:val="4BC048A8"/>
    <w:rsid w:val="4BCE14DD"/>
    <w:rsid w:val="4BCF3BD3"/>
    <w:rsid w:val="4BD50ABE"/>
    <w:rsid w:val="4BEA375E"/>
    <w:rsid w:val="4C076384"/>
    <w:rsid w:val="4C211F55"/>
    <w:rsid w:val="4C59349D"/>
    <w:rsid w:val="4C60482B"/>
    <w:rsid w:val="4C8C3872"/>
    <w:rsid w:val="4C9444D5"/>
    <w:rsid w:val="4CA3296A"/>
    <w:rsid w:val="4CBB7CB4"/>
    <w:rsid w:val="4CD11285"/>
    <w:rsid w:val="4CD40D75"/>
    <w:rsid w:val="4D1A2C2C"/>
    <w:rsid w:val="4D1A70D0"/>
    <w:rsid w:val="4D643C9B"/>
    <w:rsid w:val="4D830B3C"/>
    <w:rsid w:val="4DB36BDD"/>
    <w:rsid w:val="4DBF1A26"/>
    <w:rsid w:val="4DCD7C9F"/>
    <w:rsid w:val="4E361CE8"/>
    <w:rsid w:val="4E3822EA"/>
    <w:rsid w:val="4E8D576B"/>
    <w:rsid w:val="4E9344EF"/>
    <w:rsid w:val="4E9B55A6"/>
    <w:rsid w:val="4E9B5FEF"/>
    <w:rsid w:val="4EAB4AA5"/>
    <w:rsid w:val="4EC15DD0"/>
    <w:rsid w:val="4EC70B92"/>
    <w:rsid w:val="4EC72940"/>
    <w:rsid w:val="4ECF5C98"/>
    <w:rsid w:val="4F1D3493"/>
    <w:rsid w:val="4F5A1A06"/>
    <w:rsid w:val="4F76028D"/>
    <w:rsid w:val="4F7B6FEF"/>
    <w:rsid w:val="4F846082"/>
    <w:rsid w:val="4F950C90"/>
    <w:rsid w:val="4F9547EC"/>
    <w:rsid w:val="4FA42C81"/>
    <w:rsid w:val="4FC02CB5"/>
    <w:rsid w:val="4FC450D1"/>
    <w:rsid w:val="4FE92D8A"/>
    <w:rsid w:val="4FFA6D45"/>
    <w:rsid w:val="50072EA7"/>
    <w:rsid w:val="501B5899"/>
    <w:rsid w:val="50265D8C"/>
    <w:rsid w:val="50617B7C"/>
    <w:rsid w:val="50854860"/>
    <w:rsid w:val="509176A9"/>
    <w:rsid w:val="50940F47"/>
    <w:rsid w:val="509C1BAA"/>
    <w:rsid w:val="50A218B6"/>
    <w:rsid w:val="50A82C45"/>
    <w:rsid w:val="50AC34E7"/>
    <w:rsid w:val="50C07F8E"/>
    <w:rsid w:val="50E53551"/>
    <w:rsid w:val="50EA500B"/>
    <w:rsid w:val="51077BCA"/>
    <w:rsid w:val="51453FF0"/>
    <w:rsid w:val="5153670D"/>
    <w:rsid w:val="517A073C"/>
    <w:rsid w:val="519D3E2C"/>
    <w:rsid w:val="51B66C9C"/>
    <w:rsid w:val="51D81308"/>
    <w:rsid w:val="51EB01DD"/>
    <w:rsid w:val="522D51B0"/>
    <w:rsid w:val="52354064"/>
    <w:rsid w:val="527C1C93"/>
    <w:rsid w:val="529214B7"/>
    <w:rsid w:val="529C2335"/>
    <w:rsid w:val="52A116FA"/>
    <w:rsid w:val="52BA0E2C"/>
    <w:rsid w:val="52C12298"/>
    <w:rsid w:val="52C5363A"/>
    <w:rsid w:val="52E87329"/>
    <w:rsid w:val="53081779"/>
    <w:rsid w:val="53130849"/>
    <w:rsid w:val="534053B7"/>
    <w:rsid w:val="53530C46"/>
    <w:rsid w:val="53642E53"/>
    <w:rsid w:val="53B813F1"/>
    <w:rsid w:val="53D01A68"/>
    <w:rsid w:val="53E45333"/>
    <w:rsid w:val="5413739A"/>
    <w:rsid w:val="545E3D46"/>
    <w:rsid w:val="545F361A"/>
    <w:rsid w:val="54703A7A"/>
    <w:rsid w:val="54720E6F"/>
    <w:rsid w:val="548E0A81"/>
    <w:rsid w:val="54B020C8"/>
    <w:rsid w:val="54B95421"/>
    <w:rsid w:val="54C6369A"/>
    <w:rsid w:val="54E65AEA"/>
    <w:rsid w:val="54FA3343"/>
    <w:rsid w:val="54FC530D"/>
    <w:rsid w:val="55175CA3"/>
    <w:rsid w:val="55344AA7"/>
    <w:rsid w:val="55733821"/>
    <w:rsid w:val="557650C0"/>
    <w:rsid w:val="55986DE4"/>
    <w:rsid w:val="55B04EE9"/>
    <w:rsid w:val="55BF6A67"/>
    <w:rsid w:val="55C1052C"/>
    <w:rsid w:val="55C23E61"/>
    <w:rsid w:val="55D122F6"/>
    <w:rsid w:val="55D43B94"/>
    <w:rsid w:val="5622328A"/>
    <w:rsid w:val="56432596"/>
    <w:rsid w:val="56463818"/>
    <w:rsid w:val="56554CD5"/>
    <w:rsid w:val="567A2D7B"/>
    <w:rsid w:val="568B650B"/>
    <w:rsid w:val="569E1CA8"/>
    <w:rsid w:val="56AA475F"/>
    <w:rsid w:val="572052E3"/>
    <w:rsid w:val="572A43B4"/>
    <w:rsid w:val="57325016"/>
    <w:rsid w:val="57544F8D"/>
    <w:rsid w:val="576F0018"/>
    <w:rsid w:val="57EE3633"/>
    <w:rsid w:val="57EF2F07"/>
    <w:rsid w:val="58005F43"/>
    <w:rsid w:val="583234D8"/>
    <w:rsid w:val="58337722"/>
    <w:rsid w:val="585F1E3B"/>
    <w:rsid w:val="58676F42"/>
    <w:rsid w:val="586B2E5B"/>
    <w:rsid w:val="587578B0"/>
    <w:rsid w:val="58B06B3A"/>
    <w:rsid w:val="58C223CA"/>
    <w:rsid w:val="58E10AA2"/>
    <w:rsid w:val="58E560D9"/>
    <w:rsid w:val="591C41D0"/>
    <w:rsid w:val="59252BC0"/>
    <w:rsid w:val="594D6137"/>
    <w:rsid w:val="59AF6DF2"/>
    <w:rsid w:val="59E752BC"/>
    <w:rsid w:val="59ED3476"/>
    <w:rsid w:val="5A081245"/>
    <w:rsid w:val="5A442897"/>
    <w:rsid w:val="5A534435"/>
    <w:rsid w:val="5A6000EC"/>
    <w:rsid w:val="5A7D2A4C"/>
    <w:rsid w:val="5AD54636"/>
    <w:rsid w:val="5ADB6887"/>
    <w:rsid w:val="5AE20B01"/>
    <w:rsid w:val="5AEE56F8"/>
    <w:rsid w:val="5B0C5083"/>
    <w:rsid w:val="5B1A029B"/>
    <w:rsid w:val="5B2179FC"/>
    <w:rsid w:val="5B2E3D47"/>
    <w:rsid w:val="5B631C42"/>
    <w:rsid w:val="5B6634E0"/>
    <w:rsid w:val="5B687259"/>
    <w:rsid w:val="5B6B0AF7"/>
    <w:rsid w:val="5B7200D7"/>
    <w:rsid w:val="5BB97AB4"/>
    <w:rsid w:val="5BD42DFF"/>
    <w:rsid w:val="5BDB5443"/>
    <w:rsid w:val="5BE508A9"/>
    <w:rsid w:val="5BEF797A"/>
    <w:rsid w:val="5BFB1E7B"/>
    <w:rsid w:val="5C250D3B"/>
    <w:rsid w:val="5C2A6C04"/>
    <w:rsid w:val="5C3D2493"/>
    <w:rsid w:val="5C3F26AF"/>
    <w:rsid w:val="5C4A4BB0"/>
    <w:rsid w:val="5C5D2B35"/>
    <w:rsid w:val="5C8A1451"/>
    <w:rsid w:val="5C8F6A67"/>
    <w:rsid w:val="5CA41D28"/>
    <w:rsid w:val="5CD27DB2"/>
    <w:rsid w:val="5CD56B70"/>
    <w:rsid w:val="5CD66444"/>
    <w:rsid w:val="5CEE5789"/>
    <w:rsid w:val="5CF8285E"/>
    <w:rsid w:val="5D0928E5"/>
    <w:rsid w:val="5D3A4C25"/>
    <w:rsid w:val="5D683540"/>
    <w:rsid w:val="5D944335"/>
    <w:rsid w:val="5D997B9D"/>
    <w:rsid w:val="5DC85EBB"/>
    <w:rsid w:val="5DD5494D"/>
    <w:rsid w:val="5DD66AB8"/>
    <w:rsid w:val="5DE54B90"/>
    <w:rsid w:val="5DF66D9E"/>
    <w:rsid w:val="5E20787C"/>
    <w:rsid w:val="5E4C10B3"/>
    <w:rsid w:val="5E551358"/>
    <w:rsid w:val="5E8C325E"/>
    <w:rsid w:val="5E921CD9"/>
    <w:rsid w:val="5E9640DD"/>
    <w:rsid w:val="5EE412EC"/>
    <w:rsid w:val="5EF157B7"/>
    <w:rsid w:val="5F2A5DE9"/>
    <w:rsid w:val="5F2E6A0B"/>
    <w:rsid w:val="5F4270F5"/>
    <w:rsid w:val="5F797C86"/>
    <w:rsid w:val="5F8C454F"/>
    <w:rsid w:val="5F9A7BFD"/>
    <w:rsid w:val="5FF27A39"/>
    <w:rsid w:val="60011A2A"/>
    <w:rsid w:val="60056BDD"/>
    <w:rsid w:val="60067040"/>
    <w:rsid w:val="601654D5"/>
    <w:rsid w:val="601E25DC"/>
    <w:rsid w:val="602B6AA7"/>
    <w:rsid w:val="604F6C39"/>
    <w:rsid w:val="60681AA9"/>
    <w:rsid w:val="608658E3"/>
    <w:rsid w:val="6089214B"/>
    <w:rsid w:val="608A688B"/>
    <w:rsid w:val="60976207"/>
    <w:rsid w:val="60AF76D8"/>
    <w:rsid w:val="60C2565D"/>
    <w:rsid w:val="60C50CA9"/>
    <w:rsid w:val="60F90953"/>
    <w:rsid w:val="611A7247"/>
    <w:rsid w:val="614F7FA2"/>
    <w:rsid w:val="61B72CE8"/>
    <w:rsid w:val="61E433B1"/>
    <w:rsid w:val="61E92979"/>
    <w:rsid w:val="62123C84"/>
    <w:rsid w:val="62173786"/>
    <w:rsid w:val="62210161"/>
    <w:rsid w:val="62233ED9"/>
    <w:rsid w:val="623D4D59"/>
    <w:rsid w:val="624F1172"/>
    <w:rsid w:val="62A75558"/>
    <w:rsid w:val="62B64D4D"/>
    <w:rsid w:val="62C37EFC"/>
    <w:rsid w:val="62F12229"/>
    <w:rsid w:val="6300421A"/>
    <w:rsid w:val="63220635"/>
    <w:rsid w:val="63474B13"/>
    <w:rsid w:val="635D341B"/>
    <w:rsid w:val="63634C5A"/>
    <w:rsid w:val="637D2246"/>
    <w:rsid w:val="63846BFA"/>
    <w:rsid w:val="63A63014"/>
    <w:rsid w:val="63C45248"/>
    <w:rsid w:val="63D26179"/>
    <w:rsid w:val="645760BC"/>
    <w:rsid w:val="64722EF6"/>
    <w:rsid w:val="64754794"/>
    <w:rsid w:val="648844C8"/>
    <w:rsid w:val="64AA005A"/>
    <w:rsid w:val="653D3504"/>
    <w:rsid w:val="656942F9"/>
    <w:rsid w:val="656D5D36"/>
    <w:rsid w:val="657B402C"/>
    <w:rsid w:val="658904F7"/>
    <w:rsid w:val="65CB6D62"/>
    <w:rsid w:val="65DB36A3"/>
    <w:rsid w:val="65EB7404"/>
    <w:rsid w:val="65EE67C8"/>
    <w:rsid w:val="660B715E"/>
    <w:rsid w:val="66134265"/>
    <w:rsid w:val="66157C81"/>
    <w:rsid w:val="661F0E5C"/>
    <w:rsid w:val="662D3578"/>
    <w:rsid w:val="66486604"/>
    <w:rsid w:val="66490E8D"/>
    <w:rsid w:val="66513A06"/>
    <w:rsid w:val="665E3732"/>
    <w:rsid w:val="66664CDC"/>
    <w:rsid w:val="668D4017"/>
    <w:rsid w:val="66A065EB"/>
    <w:rsid w:val="66A06F02"/>
    <w:rsid w:val="66A80E51"/>
    <w:rsid w:val="66A91BD9"/>
    <w:rsid w:val="66AF0431"/>
    <w:rsid w:val="66CB2085"/>
    <w:rsid w:val="66E3459E"/>
    <w:rsid w:val="66F13846"/>
    <w:rsid w:val="679B7525"/>
    <w:rsid w:val="67E61C31"/>
    <w:rsid w:val="67E80936"/>
    <w:rsid w:val="680E3F00"/>
    <w:rsid w:val="681A18DB"/>
    <w:rsid w:val="684E77D6"/>
    <w:rsid w:val="685D3FEE"/>
    <w:rsid w:val="68882CE8"/>
    <w:rsid w:val="688A2F04"/>
    <w:rsid w:val="68BA4E6C"/>
    <w:rsid w:val="68C6449E"/>
    <w:rsid w:val="68F14D31"/>
    <w:rsid w:val="693B7D5A"/>
    <w:rsid w:val="695E07FC"/>
    <w:rsid w:val="696574CD"/>
    <w:rsid w:val="696C43B8"/>
    <w:rsid w:val="696C5793"/>
    <w:rsid w:val="69937B96"/>
    <w:rsid w:val="69BF098B"/>
    <w:rsid w:val="69C51D1A"/>
    <w:rsid w:val="69EB1780"/>
    <w:rsid w:val="69FA19C4"/>
    <w:rsid w:val="6A0E1913"/>
    <w:rsid w:val="6A317FAE"/>
    <w:rsid w:val="6A3B1A94"/>
    <w:rsid w:val="6A445335"/>
    <w:rsid w:val="6A6809E4"/>
    <w:rsid w:val="6A687275"/>
    <w:rsid w:val="6A6B39DC"/>
    <w:rsid w:val="6A902328"/>
    <w:rsid w:val="6AA85E77"/>
    <w:rsid w:val="6AAE6690"/>
    <w:rsid w:val="6AAF6C52"/>
    <w:rsid w:val="6AE85CC0"/>
    <w:rsid w:val="6B1271E1"/>
    <w:rsid w:val="6B340F05"/>
    <w:rsid w:val="6B4A5A0A"/>
    <w:rsid w:val="6B530BD2"/>
    <w:rsid w:val="6B782B8D"/>
    <w:rsid w:val="6B99520C"/>
    <w:rsid w:val="6BBD714D"/>
    <w:rsid w:val="6BE446D9"/>
    <w:rsid w:val="6C111246"/>
    <w:rsid w:val="6C3513D9"/>
    <w:rsid w:val="6C423CA9"/>
    <w:rsid w:val="6C6475C8"/>
    <w:rsid w:val="6C79791D"/>
    <w:rsid w:val="6C7A503E"/>
    <w:rsid w:val="6C97174C"/>
    <w:rsid w:val="6CA420BB"/>
    <w:rsid w:val="6CDF3626"/>
    <w:rsid w:val="6CE4695B"/>
    <w:rsid w:val="6CFA1CDB"/>
    <w:rsid w:val="6D164609"/>
    <w:rsid w:val="6D7221B9"/>
    <w:rsid w:val="6D760823"/>
    <w:rsid w:val="6D9E2FAE"/>
    <w:rsid w:val="6DCC7033"/>
    <w:rsid w:val="6DD250FC"/>
    <w:rsid w:val="6DF40E20"/>
    <w:rsid w:val="6DF66946"/>
    <w:rsid w:val="6E3556C0"/>
    <w:rsid w:val="6E657628"/>
    <w:rsid w:val="6E775CD9"/>
    <w:rsid w:val="6E7D35D3"/>
    <w:rsid w:val="6E946A7C"/>
    <w:rsid w:val="6EB5235D"/>
    <w:rsid w:val="6EBA7973"/>
    <w:rsid w:val="6EC50D23"/>
    <w:rsid w:val="6EC80A4E"/>
    <w:rsid w:val="6EE54D71"/>
    <w:rsid w:val="6EFD5AB2"/>
    <w:rsid w:val="6F0230C8"/>
    <w:rsid w:val="6F173018"/>
    <w:rsid w:val="6F2319BD"/>
    <w:rsid w:val="6F2F287D"/>
    <w:rsid w:val="6F4A363E"/>
    <w:rsid w:val="6F768FEE"/>
    <w:rsid w:val="6F8E1E81"/>
    <w:rsid w:val="6F9E54E7"/>
    <w:rsid w:val="6FC50CC6"/>
    <w:rsid w:val="6FCC795E"/>
    <w:rsid w:val="6FD1766A"/>
    <w:rsid w:val="6FD35191"/>
    <w:rsid w:val="6FD607DD"/>
    <w:rsid w:val="6FE0340A"/>
    <w:rsid w:val="6FEF7AF1"/>
    <w:rsid w:val="6FF13869"/>
    <w:rsid w:val="6FF84BF7"/>
    <w:rsid w:val="700C06A3"/>
    <w:rsid w:val="700E6A8A"/>
    <w:rsid w:val="70180DF5"/>
    <w:rsid w:val="701E3F32"/>
    <w:rsid w:val="70271038"/>
    <w:rsid w:val="70291255"/>
    <w:rsid w:val="70330545"/>
    <w:rsid w:val="703A6FBE"/>
    <w:rsid w:val="70531C4A"/>
    <w:rsid w:val="705F6A24"/>
    <w:rsid w:val="70981F36"/>
    <w:rsid w:val="70B52AE8"/>
    <w:rsid w:val="70E433CD"/>
    <w:rsid w:val="70EC5DDE"/>
    <w:rsid w:val="710B6BAC"/>
    <w:rsid w:val="71353C29"/>
    <w:rsid w:val="714B4F48"/>
    <w:rsid w:val="71662034"/>
    <w:rsid w:val="71665B90"/>
    <w:rsid w:val="717621F9"/>
    <w:rsid w:val="71E76CD1"/>
    <w:rsid w:val="71EF202A"/>
    <w:rsid w:val="71F413EE"/>
    <w:rsid w:val="72273C06"/>
    <w:rsid w:val="723B701D"/>
    <w:rsid w:val="726246F7"/>
    <w:rsid w:val="72646574"/>
    <w:rsid w:val="726500C8"/>
    <w:rsid w:val="72BC4113"/>
    <w:rsid w:val="72C77465"/>
    <w:rsid w:val="72D60AF4"/>
    <w:rsid w:val="72E651DB"/>
    <w:rsid w:val="72F01BB6"/>
    <w:rsid w:val="72F1592E"/>
    <w:rsid w:val="72F83160"/>
    <w:rsid w:val="73290DA0"/>
    <w:rsid w:val="732B52E4"/>
    <w:rsid w:val="732E5992"/>
    <w:rsid w:val="73412411"/>
    <w:rsid w:val="73634A7D"/>
    <w:rsid w:val="73707D24"/>
    <w:rsid w:val="73797DFD"/>
    <w:rsid w:val="73874A0A"/>
    <w:rsid w:val="73AB533F"/>
    <w:rsid w:val="7419513C"/>
    <w:rsid w:val="744523D5"/>
    <w:rsid w:val="745148D6"/>
    <w:rsid w:val="748618FD"/>
    <w:rsid w:val="74890514"/>
    <w:rsid w:val="74C520B0"/>
    <w:rsid w:val="74CB0B2C"/>
    <w:rsid w:val="74DF6B68"/>
    <w:rsid w:val="74E120FE"/>
    <w:rsid w:val="74EE0377"/>
    <w:rsid w:val="74F17E67"/>
    <w:rsid w:val="750E0A19"/>
    <w:rsid w:val="75243D99"/>
    <w:rsid w:val="75422471"/>
    <w:rsid w:val="755F4EA1"/>
    <w:rsid w:val="75630D65"/>
    <w:rsid w:val="757F1917"/>
    <w:rsid w:val="75826D11"/>
    <w:rsid w:val="75944D83"/>
    <w:rsid w:val="75B52270"/>
    <w:rsid w:val="75C4732A"/>
    <w:rsid w:val="75E82CFE"/>
    <w:rsid w:val="75ED300A"/>
    <w:rsid w:val="75F776FF"/>
    <w:rsid w:val="7601232C"/>
    <w:rsid w:val="76013E56"/>
    <w:rsid w:val="7616395E"/>
    <w:rsid w:val="761D53B8"/>
    <w:rsid w:val="76206C56"/>
    <w:rsid w:val="76342701"/>
    <w:rsid w:val="7655415E"/>
    <w:rsid w:val="767660B0"/>
    <w:rsid w:val="767C19B2"/>
    <w:rsid w:val="768C7E47"/>
    <w:rsid w:val="7699259C"/>
    <w:rsid w:val="76BD44A5"/>
    <w:rsid w:val="76C75323"/>
    <w:rsid w:val="76E9529A"/>
    <w:rsid w:val="76EA0E72"/>
    <w:rsid w:val="76EA2DC0"/>
    <w:rsid w:val="771D13E7"/>
    <w:rsid w:val="77212C85"/>
    <w:rsid w:val="77560455"/>
    <w:rsid w:val="777D3C34"/>
    <w:rsid w:val="77901BB9"/>
    <w:rsid w:val="77950F7E"/>
    <w:rsid w:val="77977FC3"/>
    <w:rsid w:val="77A613DD"/>
    <w:rsid w:val="77CE623E"/>
    <w:rsid w:val="77E45A61"/>
    <w:rsid w:val="77EF5AEB"/>
    <w:rsid w:val="77F5255B"/>
    <w:rsid w:val="780B56E4"/>
    <w:rsid w:val="781B5927"/>
    <w:rsid w:val="783267CC"/>
    <w:rsid w:val="78397B5B"/>
    <w:rsid w:val="78544995"/>
    <w:rsid w:val="78615304"/>
    <w:rsid w:val="78713799"/>
    <w:rsid w:val="787D213D"/>
    <w:rsid w:val="78A23952"/>
    <w:rsid w:val="78B90C9C"/>
    <w:rsid w:val="790E548B"/>
    <w:rsid w:val="793A71A1"/>
    <w:rsid w:val="79512818"/>
    <w:rsid w:val="796B04FA"/>
    <w:rsid w:val="79870D9A"/>
    <w:rsid w:val="798F0624"/>
    <w:rsid w:val="79907273"/>
    <w:rsid w:val="799F0938"/>
    <w:rsid w:val="79AA4526"/>
    <w:rsid w:val="79B576B5"/>
    <w:rsid w:val="79FC7092"/>
    <w:rsid w:val="7A140880"/>
    <w:rsid w:val="7A1C14E2"/>
    <w:rsid w:val="7A37493B"/>
    <w:rsid w:val="7A5A025C"/>
    <w:rsid w:val="7A613399"/>
    <w:rsid w:val="7A7B65ED"/>
    <w:rsid w:val="7AC7528E"/>
    <w:rsid w:val="7ACB4CB6"/>
    <w:rsid w:val="7AD84386"/>
    <w:rsid w:val="7B0D52CF"/>
    <w:rsid w:val="7B226FCC"/>
    <w:rsid w:val="7B311871"/>
    <w:rsid w:val="7B364826"/>
    <w:rsid w:val="7B42766E"/>
    <w:rsid w:val="7B5D1DB2"/>
    <w:rsid w:val="7B66229B"/>
    <w:rsid w:val="7B713AB0"/>
    <w:rsid w:val="7B7517F2"/>
    <w:rsid w:val="7B98728E"/>
    <w:rsid w:val="7BAC2D3A"/>
    <w:rsid w:val="7BE91898"/>
    <w:rsid w:val="7C0E57A2"/>
    <w:rsid w:val="7CA37C99"/>
    <w:rsid w:val="7CA91B14"/>
    <w:rsid w:val="7CAC5D04"/>
    <w:rsid w:val="7CAF4890"/>
    <w:rsid w:val="7CBF3134"/>
    <w:rsid w:val="7CD27528"/>
    <w:rsid w:val="7CF95B0B"/>
    <w:rsid w:val="7D1666BD"/>
    <w:rsid w:val="7D494CE4"/>
    <w:rsid w:val="7D513B99"/>
    <w:rsid w:val="7D871368"/>
    <w:rsid w:val="7D8D510B"/>
    <w:rsid w:val="7DC720AD"/>
    <w:rsid w:val="7DD50326"/>
    <w:rsid w:val="7DDA3B8E"/>
    <w:rsid w:val="7DE86181"/>
    <w:rsid w:val="7DF30332"/>
    <w:rsid w:val="7E066731"/>
    <w:rsid w:val="7E292420"/>
    <w:rsid w:val="7E2968C4"/>
    <w:rsid w:val="7E551467"/>
    <w:rsid w:val="7E96559F"/>
    <w:rsid w:val="7E9B57F0"/>
    <w:rsid w:val="7EDE145C"/>
    <w:rsid w:val="7EE8052D"/>
    <w:rsid w:val="7F2E7F87"/>
    <w:rsid w:val="7F435763"/>
    <w:rsid w:val="7F7928FA"/>
    <w:rsid w:val="7F8D69DE"/>
    <w:rsid w:val="7FAF7A5E"/>
    <w:rsid w:val="7FB03B0B"/>
    <w:rsid w:val="7FD36AE7"/>
    <w:rsid w:val="A637FE1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99"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numPr>
        <w:ilvl w:val="2"/>
        <w:numId w:val="1"/>
      </w:numPr>
      <w:spacing w:beforeLines="50" w:afterLines="50" w:line="360" w:lineRule="auto"/>
      <w:outlineLvl w:val="2"/>
    </w:pPr>
    <w:rPr>
      <w:rFonts w:ascii="Times New Roman" w:hAnsi="Times New Roman"/>
      <w:b/>
      <w:sz w:val="28"/>
      <w:szCs w:val="20"/>
    </w:rPr>
  </w:style>
  <w:style w:type="paragraph" w:styleId="5">
    <w:name w:val="heading 4"/>
    <w:basedOn w:val="1"/>
    <w:next w:val="1"/>
    <w:qFormat/>
    <w:uiPriority w:val="0"/>
    <w:pPr>
      <w:numPr>
        <w:ilvl w:val="3"/>
        <w:numId w:val="2"/>
      </w:numPr>
      <w:spacing w:before="240" w:after="240" w:line="377" w:lineRule="auto"/>
      <w:outlineLvl w:val="3"/>
    </w:pPr>
    <w:rPr>
      <w:rFonts w:eastAsia="黑体"/>
      <w:b/>
      <w:bCs/>
      <w:sz w:val="28"/>
      <w:szCs w:val="28"/>
    </w:rPr>
  </w:style>
  <w:style w:type="paragraph" w:styleId="6">
    <w:name w:val="heading 5"/>
    <w:basedOn w:val="1"/>
    <w:next w:val="1"/>
    <w:qFormat/>
    <w:uiPriority w:val="0"/>
    <w:pPr>
      <w:widowControl/>
      <w:overflowPunct w:val="0"/>
      <w:autoSpaceDE w:val="0"/>
      <w:autoSpaceDN w:val="0"/>
      <w:adjustRightInd w:val="0"/>
      <w:spacing w:before="240" w:after="60"/>
      <w:jc w:val="left"/>
      <w:textAlignment w:val="baseline"/>
      <w:outlineLvl w:val="4"/>
    </w:pPr>
    <w:rPr>
      <w:rFonts w:ascii="Arial" w:hAnsi="Arial"/>
      <w:sz w:val="22"/>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7">
    <w:name w:val="annotation text"/>
    <w:basedOn w:val="1"/>
    <w:qFormat/>
    <w:uiPriority w:val="0"/>
    <w:pPr>
      <w:jc w:val="left"/>
    </w:pPr>
  </w:style>
  <w:style w:type="paragraph" w:styleId="8">
    <w:name w:val="Body Text"/>
    <w:basedOn w:val="1"/>
    <w:qFormat/>
    <w:uiPriority w:val="0"/>
    <w:rPr>
      <w:rFonts w:eastAsia="黑体"/>
      <w:b/>
      <w:bCs/>
      <w:spacing w:val="20"/>
      <w:kern w:val="52"/>
      <w:sz w:val="56"/>
      <w:szCs w:val="24"/>
    </w:rPr>
  </w:style>
  <w:style w:type="paragraph" w:styleId="9">
    <w:name w:val="Body Text Indent"/>
    <w:basedOn w:val="1"/>
    <w:next w:val="1"/>
    <w:qFormat/>
    <w:uiPriority w:val="0"/>
    <w:pPr>
      <w:spacing w:line="360" w:lineRule="auto"/>
      <w:ind w:firstLine="435"/>
    </w:pPr>
    <w:rPr>
      <w:sz w:val="28"/>
      <w:szCs w:val="24"/>
    </w:rPr>
  </w:style>
  <w:style w:type="paragraph" w:styleId="10">
    <w:name w:val="List 2"/>
    <w:basedOn w:val="1"/>
    <w:qFormat/>
    <w:uiPriority w:val="0"/>
    <w:pPr>
      <w:spacing w:after="120" w:line="400" w:lineRule="exact"/>
    </w:pPr>
    <w:rPr>
      <w:sz w:val="24"/>
    </w:rPr>
  </w:style>
  <w:style w:type="paragraph" w:styleId="11">
    <w:name w:val="toc 3"/>
    <w:basedOn w:val="1"/>
    <w:next w:val="1"/>
    <w:qFormat/>
    <w:uiPriority w:val="0"/>
    <w:pPr>
      <w:ind w:left="420"/>
      <w:jc w:val="left"/>
    </w:pPr>
    <w:rPr>
      <w:rFonts w:ascii="仿宋_GB2312" w:eastAsia="仿宋_GB2312"/>
      <w:i/>
      <w:iCs/>
      <w:sz w:val="20"/>
      <w:szCs w:val="20"/>
    </w:rPr>
  </w:style>
  <w:style w:type="paragraph" w:styleId="12">
    <w:name w:val="Plain Text"/>
    <w:basedOn w:val="1"/>
    <w:next w:val="13"/>
    <w:qFormat/>
    <w:uiPriority w:val="0"/>
    <w:rPr>
      <w:rFonts w:ascii="宋体" w:hAnsi="Courier New"/>
    </w:rPr>
  </w:style>
  <w:style w:type="paragraph" w:styleId="13">
    <w:name w:val="toc 2"/>
    <w:basedOn w:val="1"/>
    <w:next w:val="1"/>
    <w:qFormat/>
    <w:uiPriority w:val="0"/>
    <w:pPr>
      <w:ind w:left="210"/>
      <w:jc w:val="left"/>
    </w:pPr>
    <w:rPr>
      <w:rFonts w:ascii="仿宋_GB2312" w:eastAsia="仿宋_GB2312"/>
      <w:smallCaps/>
      <w:sz w:val="20"/>
    </w:rPr>
  </w:style>
  <w:style w:type="paragraph" w:styleId="14">
    <w:name w:val="footer"/>
    <w:basedOn w:val="1"/>
    <w:qFormat/>
    <w:uiPriority w:val="99"/>
    <w:pPr>
      <w:tabs>
        <w:tab w:val="center" w:pos="4153"/>
        <w:tab w:val="right" w:pos="8306"/>
      </w:tabs>
      <w:snapToGrid w:val="0"/>
      <w:jc w:val="left"/>
    </w:pPr>
    <w:rPr>
      <w:sz w:val="18"/>
      <w:szCs w:val="18"/>
    </w:rPr>
  </w:style>
  <w:style w:type="paragraph" w:styleId="15">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6">
    <w:name w:val="toc 1"/>
    <w:basedOn w:val="1"/>
    <w:next w:val="1"/>
    <w:qFormat/>
    <w:uiPriority w:val="0"/>
  </w:style>
  <w:style w:type="paragraph" w:styleId="17">
    <w:name w:val="footnote text"/>
    <w:basedOn w:val="1"/>
    <w:semiHidden/>
    <w:qFormat/>
    <w:uiPriority w:val="99"/>
    <w:pPr>
      <w:snapToGrid w:val="0"/>
      <w:jc w:val="left"/>
    </w:pPr>
    <w:rPr>
      <w:rFonts w:ascii="Calibri" w:hAnsi="Calibri" w:eastAsia="宋体" w:cs="黑体"/>
      <w:sz w:val="18"/>
      <w:szCs w:val="18"/>
    </w:rPr>
  </w:style>
  <w:style w:type="paragraph" w:styleId="18">
    <w:name w:val="Message Header"/>
    <w:basedOn w:val="1"/>
    <w:qFormat/>
    <w:uiPriority w:val="99"/>
    <w:pPr>
      <w:pBdr>
        <w:top w:val="single" w:color="auto" w:sz="6" w:space="1"/>
        <w:left w:val="single" w:color="auto" w:sz="6" w:space="1"/>
        <w:bottom w:val="single" w:color="auto" w:sz="6" w:space="1"/>
        <w:right w:val="single" w:color="auto" w:sz="6" w:space="1"/>
      </w:pBdr>
      <w:shd w:val="clear" w:color="auto" w:fill="7F7F7F"/>
      <w:spacing w:before="100" w:beforeAutospacing="1" w:after="100" w:afterAutospacing="1"/>
      <w:ind w:left="1080" w:leftChars="500" w:hanging="1080" w:hangingChars="500"/>
    </w:pPr>
    <w:rPr>
      <w:rFonts w:ascii="Arial" w:hAnsi="Arial" w:cs="Arial"/>
      <w:sz w:val="24"/>
      <w:szCs w:val="24"/>
    </w:rPr>
  </w:style>
  <w:style w:type="paragraph" w:styleId="19">
    <w:name w:val="HTML Preformatted"/>
    <w:basedOn w:val="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style>
  <w:style w:type="paragraph" w:styleId="20">
    <w:name w:val="Normal (Web)"/>
    <w:basedOn w:val="1"/>
    <w:qFormat/>
    <w:uiPriority w:val="0"/>
    <w:rPr>
      <w:sz w:val="24"/>
    </w:rPr>
  </w:style>
  <w:style w:type="paragraph" w:styleId="21">
    <w:name w:val="Body Text First Indent"/>
    <w:basedOn w:val="1"/>
    <w:next w:val="1"/>
    <w:qFormat/>
    <w:uiPriority w:val="0"/>
    <w:pPr>
      <w:adjustRightInd w:val="0"/>
      <w:spacing w:after="120" w:line="360" w:lineRule="auto"/>
      <w:ind w:firstLine="420"/>
      <w:textAlignment w:val="baseline"/>
    </w:pPr>
    <w:rPr>
      <w:rFonts w:ascii="Calibri" w:hAnsi="Calibri" w:eastAsia="楷体_GB2312"/>
      <w:kern w:val="0"/>
      <w:sz w:val="24"/>
    </w:rPr>
  </w:style>
  <w:style w:type="paragraph" w:styleId="22">
    <w:name w:val="Body Text First Indent 2"/>
    <w:basedOn w:val="9"/>
    <w:next w:val="21"/>
    <w:qFormat/>
    <w:uiPriority w:val="0"/>
    <w:pPr>
      <w:spacing w:after="120"/>
      <w:ind w:firstLine="420" w:firstLineChars="200"/>
    </w:pPr>
  </w:style>
  <w:style w:type="table" w:styleId="24">
    <w:name w:val="Table Grid"/>
    <w:basedOn w:val="2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Hyperlink"/>
    <w:qFormat/>
    <w:uiPriority w:val="99"/>
    <w:rPr>
      <w:color w:val="0000FF"/>
      <w:u w:val="single"/>
    </w:rPr>
  </w:style>
  <w:style w:type="paragraph" w:customStyle="1" w:styleId="27">
    <w:name w:val="正文1"/>
    <w:basedOn w:val="11"/>
    <w:next w:val="28"/>
    <w:qFormat/>
    <w:uiPriority w:val="0"/>
    <w:pPr>
      <w:widowControl w:val="0"/>
      <w:jc w:val="both"/>
    </w:pPr>
    <w:rPr>
      <w:rFonts w:hint="eastAsia" w:ascii="Times New Roman" w:hAnsi="Times New Roman" w:eastAsia="宋体" w:cs="Times New Roman"/>
      <w:kern w:val="2"/>
      <w:sz w:val="21"/>
      <w:lang w:val="en-US" w:eastAsia="zh-CN" w:bidi="ar-SA"/>
    </w:rPr>
  </w:style>
  <w:style w:type="paragraph" w:customStyle="1" w:styleId="28">
    <w:name w:val="自动更正"/>
    <w:next w:val="29"/>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9">
    <w:name w:val="xl39"/>
    <w:basedOn w:val="1"/>
    <w:next w:val="30"/>
    <w:qFormat/>
    <w:uiPriority w:val="0"/>
    <w:pPr>
      <w:widowControl/>
      <w:pBdr>
        <w:top w:val="single" w:color="auto" w:sz="4" w:space="0"/>
        <w:bottom w:val="single" w:color="auto" w:sz="4" w:space="0"/>
        <w:right w:val="single" w:color="auto" w:sz="4" w:space="0"/>
      </w:pBdr>
      <w:spacing w:before="100" w:after="100"/>
      <w:jc w:val="left"/>
      <w:textAlignment w:val="center"/>
    </w:pPr>
    <w:rPr>
      <w:kern w:val="0"/>
      <w:szCs w:val="20"/>
    </w:rPr>
  </w:style>
  <w:style w:type="paragraph" w:customStyle="1" w:styleId="30">
    <w:name w:val="分手多日，近况如何？"/>
    <w:next w:val="1"/>
    <w:qFormat/>
    <w:uiPriority w:val="0"/>
    <w:pPr>
      <w:widowControl w:val="0"/>
      <w:jc w:val="both"/>
    </w:pPr>
    <w:rPr>
      <w:rFonts w:ascii="Times New Roman" w:hAnsi="Times New Roman" w:eastAsia="宋体" w:cs="Times New Roman"/>
      <w:sz w:val="21"/>
      <w:lang w:val="en-US" w:eastAsia="zh-CN" w:bidi="ar-SA"/>
    </w:rPr>
  </w:style>
  <w:style w:type="paragraph" w:customStyle="1" w:styleId="31">
    <w:name w:val="WPSOffice手动目录 1"/>
    <w:qFormat/>
    <w:uiPriority w:val="0"/>
    <w:rPr>
      <w:rFonts w:ascii="Times New Roman" w:hAnsi="Times New Roman" w:eastAsia="宋体" w:cs="Times New Roman"/>
      <w:lang w:val="en-US" w:eastAsia="zh-CN" w:bidi="ar-SA"/>
    </w:rPr>
  </w:style>
  <w:style w:type="paragraph" w:customStyle="1" w:styleId="32">
    <w:name w:val="表格文字"/>
    <w:basedOn w:val="1"/>
    <w:next w:val="8"/>
    <w:qFormat/>
    <w:uiPriority w:val="0"/>
    <w:pPr>
      <w:spacing w:line="420" w:lineRule="atLeast"/>
      <w:textAlignment w:val="baseline"/>
    </w:pPr>
  </w:style>
  <w:style w:type="paragraph" w:customStyle="1" w:styleId="33">
    <w:name w:val="_Style 3"/>
    <w:qFormat/>
    <w:uiPriority w:val="99"/>
    <w:pPr>
      <w:widowControl w:val="0"/>
      <w:jc w:val="both"/>
    </w:pPr>
    <w:rPr>
      <w:rFonts w:ascii="Times New Roman" w:hAnsi="Times New Roman" w:eastAsia="宋体" w:cs="Times New Roman"/>
      <w:kern w:val="2"/>
      <w:sz w:val="21"/>
      <w:szCs w:val="22"/>
      <w:lang w:val="en-US" w:eastAsia="zh-CN" w:bidi="ar-SA"/>
    </w:rPr>
  </w:style>
  <w:style w:type="character" w:customStyle="1" w:styleId="34">
    <w:name w:val="标题 2 Char"/>
    <w:qFormat/>
    <w:uiPriority w:val="9"/>
    <w:rPr>
      <w:rFonts w:ascii="宋体" w:hAnsi="宋体" w:eastAsia="黑体"/>
      <w:b/>
      <w:bCs/>
      <w:kern w:val="2"/>
      <w:sz w:val="24"/>
      <w:szCs w:val="32"/>
      <w:lang w:val="en-US" w:eastAsia="zh-CN" w:bidi="ar-SA"/>
    </w:rPr>
  </w:style>
  <w:style w:type="paragraph" w:customStyle="1" w:styleId="35">
    <w:name w:val="参数表格"/>
    <w:basedOn w:val="36"/>
    <w:qFormat/>
    <w:uiPriority w:val="0"/>
    <w:pPr>
      <w:ind w:firstLine="0" w:firstLineChars="0"/>
    </w:pPr>
    <w:rPr>
      <w:rFonts w:ascii="Times New Roman" w:hAnsi="Times New Roman"/>
    </w:rPr>
  </w:style>
  <w:style w:type="paragraph" w:customStyle="1" w:styleId="36">
    <w:name w:val="参数正文"/>
    <w:basedOn w:val="1"/>
    <w:qFormat/>
    <w:uiPriority w:val="0"/>
    <w:pPr>
      <w:spacing w:line="360" w:lineRule="auto"/>
      <w:ind w:firstLine="480" w:firstLineChars="200"/>
      <w:jc w:val="left"/>
    </w:pPr>
    <w:rPr>
      <w:rFonts w:ascii="宋体" w:hAnsi="宋体"/>
      <w:sz w:val="24"/>
      <w:szCs w:val="24"/>
    </w:rPr>
  </w:style>
  <w:style w:type="paragraph" w:customStyle="1" w:styleId="37">
    <w:name w:val="纯文本1"/>
    <w:basedOn w:val="1"/>
    <w:qFormat/>
    <w:uiPriority w:val="0"/>
    <w:rPr>
      <w:rFonts w:ascii="宋体" w:hAnsi="Courier New"/>
      <w:sz w:val="24"/>
      <w:szCs w:val="24"/>
    </w:rPr>
  </w:style>
  <w:style w:type="paragraph" w:customStyle="1" w:styleId="38">
    <w:name w:val="首行缩进"/>
    <w:basedOn w:val="1"/>
    <w:qFormat/>
    <w:uiPriority w:val="0"/>
    <w:pPr>
      <w:spacing w:line="360" w:lineRule="auto"/>
      <w:ind w:firstLine="420" w:firstLineChars="200"/>
    </w:pPr>
    <w:rPr>
      <w:rFonts w:ascii="宋体" w:hAnsi="宋体"/>
    </w:rPr>
  </w:style>
  <w:style w:type="paragraph" w:customStyle="1" w:styleId="39">
    <w:name w:val="Default Text"/>
    <w:basedOn w:val="1"/>
    <w:qFormat/>
    <w:uiPriority w:val="99"/>
    <w:pPr>
      <w:widowControl/>
      <w:jc w:val="left"/>
    </w:pPr>
    <w:rPr>
      <w:rFonts w:ascii="Tahoma" w:hAnsi="Tahoma" w:eastAsia="仿宋_GB2312" w:cs="Tahoma"/>
      <w:kern w:val="0"/>
      <w:sz w:val="24"/>
      <w:szCs w:val="24"/>
      <w:lang w:eastAsia="en-US"/>
    </w:rPr>
  </w:style>
  <w:style w:type="paragraph" w:customStyle="1" w:styleId="40">
    <w:name w:val="小正文"/>
    <w:basedOn w:val="1"/>
    <w:qFormat/>
    <w:uiPriority w:val="0"/>
    <w:pPr>
      <w:widowControl w:val="0"/>
      <w:adjustRightInd/>
      <w:snapToGrid/>
      <w:spacing w:after="0" w:line="560" w:lineRule="exact"/>
      <w:ind w:firstLine="560" w:firstLineChars="200"/>
    </w:pPr>
    <w:rPr>
      <w:rFonts w:ascii="仿宋_GB2312" w:hAnsi="宋体" w:eastAsia="仿宋_GB2312"/>
      <w:sz w:val="28"/>
      <w:szCs w:val="28"/>
    </w:rPr>
  </w:style>
  <w:style w:type="character" w:customStyle="1" w:styleId="41">
    <w:name w:val="font21"/>
    <w:basedOn w:val="25"/>
    <w:qFormat/>
    <w:uiPriority w:val="0"/>
    <w:rPr>
      <w:rFonts w:hint="eastAsia" w:ascii="微软雅黑" w:hAnsi="微软雅黑" w:eastAsia="微软雅黑" w:cs="微软雅黑"/>
      <w:color w:val="000000"/>
      <w:sz w:val="12"/>
      <w:szCs w:val="12"/>
      <w:u w:val="none"/>
    </w:rPr>
  </w:style>
  <w:style w:type="character" w:customStyle="1" w:styleId="42">
    <w:name w:val="font61"/>
    <w:basedOn w:val="25"/>
    <w:qFormat/>
    <w:uiPriority w:val="0"/>
    <w:rPr>
      <w:rFonts w:hint="eastAsia" w:ascii="微软雅黑" w:hAnsi="微软雅黑" w:eastAsia="微软雅黑" w:cs="微软雅黑"/>
      <w:color w:val="000000"/>
      <w:sz w:val="12"/>
      <w:szCs w:val="12"/>
      <w:u w:val="none"/>
    </w:rPr>
  </w:style>
  <w:style w:type="character" w:customStyle="1" w:styleId="43">
    <w:name w:val="font71"/>
    <w:basedOn w:val="25"/>
    <w:qFormat/>
    <w:uiPriority w:val="0"/>
    <w:rPr>
      <w:rFonts w:hint="eastAsia" w:ascii="微软雅黑" w:hAnsi="微软雅黑" w:eastAsia="微软雅黑" w:cs="微软雅黑"/>
      <w:b/>
      <w:bCs/>
      <w:color w:val="000000"/>
      <w:sz w:val="12"/>
      <w:szCs w:val="12"/>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51</Pages>
  <Words>25087</Words>
  <Characters>26964</Characters>
  <Lines>1</Lines>
  <Paragraphs>1</Paragraphs>
  <TotalTime>30</TotalTime>
  <ScaleCrop>false</ScaleCrop>
  <LinksUpToDate>false</LinksUpToDate>
  <CharactersWithSpaces>28992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2024-04-17T01:24:00Z</dcterms:created>
  <dc:creator>cvbh</dc:creator>
  <cp:lastModifiedBy>舒琪</cp:lastModifiedBy>
  <dcterms:modified xsi:type="dcterms:W3CDTF">2025-04-14T11:59:05Z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E1B081A425654CB083161D6B3037AF3E_13</vt:lpwstr>
  </property>
  <property fmtid="{D5CDD505-2E9C-101B-9397-08002B2CF9AE}" pid="4" name="KSOTemplateDocerSaveRecord">
    <vt:lpwstr>eyJoZGlkIjoiM2RkMDI5NGJiMDZmMzhhNjIxZGI1NjUwZDA0MDNkODEiLCJ1c2VySWQiOiIxNDc5ODQxODc4In0=</vt:lpwstr>
  </property>
</Properties>
</file>