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F1E80">
      <w:pPr>
        <w:pStyle w:val="3"/>
        <w:bidi w:val="0"/>
      </w:pPr>
      <w:r>
        <w:rPr>
          <w:rFonts w:hint="default"/>
        </w:rPr>
        <w:t>中国石油昆仑物流有限公司广东分公司</w:t>
      </w:r>
      <w:bookmarkStart w:id="30" w:name="_GoBack"/>
      <w:r>
        <w:rPr>
          <w:rFonts w:hint="default"/>
        </w:rPr>
        <w:t>珠海高栏港仓储服务及海路运输服务项目招标公告</w:t>
      </w:r>
    </w:p>
    <w:bookmarkEnd w:id="30"/>
    <w:p w14:paraId="65908233">
      <w:pPr>
        <w:pStyle w:val="3"/>
        <w:bidi w:val="0"/>
        <w:rPr>
          <w:rFonts w:hint="default"/>
        </w:rPr>
      </w:pPr>
      <w:r>
        <w:rPr>
          <w:rFonts w:hint="default"/>
        </w:rPr>
        <w:t>招标编号：   ZY25-SH17-FW488</w:t>
      </w:r>
    </w:p>
    <w:p w14:paraId="3809FD23">
      <w:pPr>
        <w:pStyle w:val="3"/>
        <w:bidi w:val="0"/>
        <w:rPr>
          <w:rFonts w:hint="default"/>
        </w:rPr>
      </w:pPr>
      <w:r>
        <w:rPr>
          <w:rFonts w:hint="default"/>
        </w:rPr>
        <w:t> </w:t>
      </w:r>
    </w:p>
    <w:p w14:paraId="2E9FE5E8">
      <w:pPr>
        <w:pStyle w:val="3"/>
        <w:bidi w:val="0"/>
        <w:rPr>
          <w:rFonts w:hint="default"/>
        </w:rPr>
      </w:pPr>
      <w:bookmarkStart w:id="0" w:name="_Toc505958104"/>
      <w:bookmarkEnd w:id="0"/>
      <w:bookmarkStart w:id="1" w:name="_Toc505956379"/>
      <w:bookmarkEnd w:id="1"/>
      <w:bookmarkStart w:id="2" w:name="_Toc505780464"/>
      <w:bookmarkEnd w:id="2"/>
      <w:bookmarkStart w:id="3" w:name="_Toc1020"/>
      <w:r>
        <w:rPr>
          <w:rFonts w:hint="default"/>
        </w:rPr>
        <w:t>1. 招标条件</w:t>
      </w:r>
      <w:bookmarkEnd w:id="3"/>
    </w:p>
    <w:p w14:paraId="20438735">
      <w:pPr>
        <w:pStyle w:val="3"/>
        <w:bidi w:val="0"/>
        <w:rPr>
          <w:rFonts w:hint="default"/>
        </w:rPr>
      </w:pPr>
      <w:bookmarkStart w:id="4" w:name="_Toc505958105"/>
      <w:bookmarkEnd w:id="4"/>
      <w:bookmarkStart w:id="5" w:name="_Toc505956380"/>
      <w:bookmarkEnd w:id="5"/>
      <w:bookmarkStart w:id="6" w:name="_Toc505780465"/>
      <w:bookmarkEnd w:id="6"/>
      <w:bookmarkStart w:id="7" w:name="_Toc505780466"/>
      <w:bookmarkEnd w:id="7"/>
      <w:bookmarkStart w:id="8" w:name="_Toc505956381"/>
      <w:bookmarkEnd w:id="8"/>
      <w:bookmarkStart w:id="9" w:name="_Toc505958106"/>
      <w:r>
        <w:rPr>
          <w:rFonts w:hint="default"/>
        </w:rPr>
        <w:t>本招标项目</w:t>
      </w:r>
      <w:bookmarkEnd w:id="9"/>
      <w:r>
        <w:rPr>
          <w:rFonts w:hint="default"/>
        </w:rPr>
        <w:t> 中国石油昆仑物流有限公司广东分公司珠海高栏港仓储服务及海路运输服务已按要求履行了相关报批及备案等手续，项目业主为中国石油昆仑物流有限公司广东分公司，建设资金来自企业自筹，出资比例为100%，招标人为中国石油昆仑物流有限公司广东分公司。项目已具备招标条件，现对该项目进行公开招标。 </w:t>
      </w:r>
    </w:p>
    <w:p w14:paraId="7C2513B8">
      <w:pPr>
        <w:pStyle w:val="3"/>
        <w:bidi w:val="0"/>
        <w:rPr>
          <w:rFonts w:hint="default"/>
        </w:rPr>
      </w:pPr>
      <w:bookmarkStart w:id="10" w:name="_Toc27146"/>
      <w:bookmarkEnd w:id="10"/>
      <w:r>
        <w:rPr>
          <w:rFonts w:hint="default"/>
        </w:rPr>
        <w:t>2. 项目概况与招标范围</w:t>
      </w:r>
    </w:p>
    <w:p w14:paraId="25749C23">
      <w:pPr>
        <w:pStyle w:val="3"/>
        <w:bidi w:val="0"/>
        <w:rPr>
          <w:rFonts w:hint="default"/>
        </w:rPr>
      </w:pPr>
      <w:bookmarkStart w:id="11" w:name="_Toc8715724"/>
      <w:bookmarkEnd w:id="11"/>
      <w:r>
        <w:rPr>
          <w:rFonts w:hint="default"/>
        </w:rPr>
        <w:t>2.1 项目基本情况：</w:t>
      </w:r>
    </w:p>
    <w:p w14:paraId="0D2FD720">
      <w:pPr>
        <w:pStyle w:val="3"/>
        <w:bidi w:val="0"/>
        <w:rPr>
          <w:rFonts w:hint="default"/>
        </w:rPr>
      </w:pPr>
      <w:r>
        <w:rPr>
          <w:rFonts w:hint="default"/>
        </w:rPr>
        <w:t>中国石油昆仑物流有限公司广东分公司（以下简称广东分公司）是主要提供专业化成品油/液体化工/油田/煤炭运输配送服务，业务范围覆盖广东省全境。目前计划从珠海市高栏港运输80万吨煤炭至揭阳市相应码头并包含其中30万吨煤炭在珠海高栏港附近异地存储业务，现拟通过公开招标方式选择一家符合条件的海路运输服务承运商。</w:t>
      </w:r>
    </w:p>
    <w:p w14:paraId="62EE3623">
      <w:pPr>
        <w:pStyle w:val="3"/>
        <w:bidi w:val="0"/>
        <w:rPr>
          <w:rFonts w:hint="default"/>
        </w:rPr>
      </w:pPr>
      <w:bookmarkStart w:id="12" w:name="_Toc8715725"/>
      <w:bookmarkEnd w:id="12"/>
      <w:r>
        <w:rPr>
          <w:rFonts w:hint="default"/>
        </w:rPr>
        <w:t>2.2 招标范围：</w:t>
      </w:r>
    </w:p>
    <w:p w14:paraId="06D18915">
      <w:pPr>
        <w:pStyle w:val="3"/>
        <w:bidi w:val="0"/>
        <w:rPr>
          <w:rFonts w:hint="default"/>
        </w:rPr>
      </w:pPr>
      <w:r>
        <w:rPr>
          <w:rFonts w:hint="default"/>
        </w:rPr>
        <w:t>项目计划资金：33800000元。资金测算依据：按照下列生产计划测算，服务周期预计为2年。</w:t>
      </w:r>
    </w:p>
    <w:tbl>
      <w:tblPr>
        <w:tblW w:w="4780" w:type="dxa"/>
        <w:jc w:val="center"/>
        <w:tblCellSpacing w:w="0" w:type="dxa"/>
        <w:tblBorders>
          <w:top w:val="single" w:color="CCCCCC" w:sz="4" w:space="0"/>
          <w:left w:val="single" w:color="CCCCCC" w:sz="4"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440"/>
        <w:gridCol w:w="1060"/>
        <w:gridCol w:w="1570"/>
        <w:gridCol w:w="940"/>
        <w:gridCol w:w="770"/>
      </w:tblGrid>
      <w:tr w14:paraId="4A08601D">
        <w:tblPrEx>
          <w:tblBorders>
            <w:top w:val="single" w:color="CCCCCC" w:sz="4" w:space="0"/>
            <w:left w:val="single" w:color="CCCCCC" w:sz="4"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440" w:type="dxa"/>
            <w:tcBorders>
              <w:bottom w:val="single" w:color="CCCCCC" w:sz="4" w:space="0"/>
              <w:right w:val="single" w:color="CCCCCC" w:sz="4" w:space="0"/>
            </w:tcBorders>
            <w:shd w:val="clear"/>
            <w:tcMar>
              <w:top w:w="30" w:type="dxa"/>
              <w:left w:w="50" w:type="dxa"/>
              <w:bottom w:w="30" w:type="dxa"/>
              <w:right w:w="50" w:type="dxa"/>
            </w:tcMar>
            <w:vAlign w:val="center"/>
          </w:tcPr>
          <w:p w14:paraId="51AF94E4">
            <w:pPr>
              <w:pStyle w:val="3"/>
              <w:bidi w:val="0"/>
            </w:pPr>
            <w:r>
              <w:rPr>
                <w:rFonts w:hint="default"/>
              </w:rPr>
              <w:t>序号</w:t>
            </w:r>
          </w:p>
        </w:tc>
        <w:tc>
          <w:tcPr>
            <w:tcW w:w="1060" w:type="dxa"/>
            <w:tcBorders>
              <w:bottom w:val="single" w:color="CCCCCC" w:sz="4" w:space="0"/>
              <w:right w:val="single" w:color="CCCCCC" w:sz="4" w:space="0"/>
            </w:tcBorders>
            <w:shd w:val="clear"/>
            <w:tcMar>
              <w:top w:w="30" w:type="dxa"/>
              <w:left w:w="50" w:type="dxa"/>
              <w:bottom w:w="30" w:type="dxa"/>
              <w:right w:w="50" w:type="dxa"/>
            </w:tcMar>
            <w:vAlign w:val="center"/>
          </w:tcPr>
          <w:p w14:paraId="2570FEA1">
            <w:pPr>
              <w:pStyle w:val="3"/>
              <w:bidi w:val="0"/>
            </w:pPr>
            <w:r>
              <w:rPr>
                <w:rFonts w:hint="default"/>
              </w:rPr>
              <w:t>服务内容</w:t>
            </w:r>
          </w:p>
        </w:tc>
        <w:tc>
          <w:tcPr>
            <w:tcW w:w="1570" w:type="dxa"/>
            <w:tcBorders>
              <w:bottom w:val="single" w:color="CCCCCC" w:sz="4" w:space="0"/>
              <w:right w:val="single" w:color="CCCCCC" w:sz="4" w:space="0"/>
            </w:tcBorders>
            <w:shd w:val="clear"/>
            <w:tcMar>
              <w:top w:w="30" w:type="dxa"/>
              <w:left w:w="50" w:type="dxa"/>
              <w:bottom w:w="30" w:type="dxa"/>
              <w:right w:w="50" w:type="dxa"/>
            </w:tcMar>
            <w:vAlign w:val="center"/>
          </w:tcPr>
          <w:p w14:paraId="303F5C7A">
            <w:pPr>
              <w:pStyle w:val="3"/>
              <w:bidi w:val="0"/>
            </w:pPr>
            <w:r>
              <w:rPr>
                <w:rFonts w:hint="default"/>
              </w:rPr>
              <w:t>服务范围</w:t>
            </w:r>
          </w:p>
        </w:tc>
        <w:tc>
          <w:tcPr>
            <w:tcW w:w="940" w:type="dxa"/>
            <w:tcBorders>
              <w:bottom w:val="single" w:color="CCCCCC" w:sz="4" w:space="0"/>
              <w:right w:val="single" w:color="CCCCCC" w:sz="4" w:space="0"/>
            </w:tcBorders>
            <w:shd w:val="clear"/>
            <w:tcMar>
              <w:top w:w="30" w:type="dxa"/>
              <w:left w:w="50" w:type="dxa"/>
              <w:bottom w:w="30" w:type="dxa"/>
              <w:right w:w="50" w:type="dxa"/>
            </w:tcMar>
            <w:vAlign w:val="center"/>
          </w:tcPr>
          <w:p w14:paraId="25339550">
            <w:pPr>
              <w:pStyle w:val="3"/>
              <w:bidi w:val="0"/>
            </w:pPr>
            <w:r>
              <w:rPr>
                <w:rFonts w:hint="default"/>
              </w:rPr>
              <w:t>预估数量</w:t>
            </w:r>
          </w:p>
        </w:tc>
        <w:tc>
          <w:tcPr>
            <w:tcW w:w="770" w:type="dxa"/>
            <w:tcBorders>
              <w:bottom w:val="single" w:color="CCCCCC" w:sz="4" w:space="0"/>
              <w:right w:val="single" w:color="CCCCCC" w:sz="4" w:space="0"/>
            </w:tcBorders>
            <w:shd w:val="clear"/>
            <w:tcMar>
              <w:top w:w="30" w:type="dxa"/>
              <w:left w:w="50" w:type="dxa"/>
              <w:bottom w:w="30" w:type="dxa"/>
              <w:right w:w="50" w:type="dxa"/>
            </w:tcMar>
            <w:vAlign w:val="center"/>
          </w:tcPr>
          <w:p w14:paraId="22C7786E">
            <w:pPr>
              <w:pStyle w:val="3"/>
              <w:bidi w:val="0"/>
            </w:pPr>
            <w:r>
              <w:rPr>
                <w:rFonts w:hint="default"/>
              </w:rPr>
              <w:t>备注</w:t>
            </w:r>
          </w:p>
        </w:tc>
      </w:tr>
      <w:tr w14:paraId="371B117D">
        <w:tblPrEx>
          <w:tblBorders>
            <w:top w:val="single" w:color="CCCCCC" w:sz="4" w:space="0"/>
            <w:left w:val="single" w:color="CCCCCC" w:sz="4"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440" w:type="dxa"/>
            <w:tcBorders>
              <w:bottom w:val="single" w:color="CCCCCC" w:sz="4" w:space="0"/>
              <w:right w:val="single" w:color="CCCCCC" w:sz="4" w:space="0"/>
            </w:tcBorders>
            <w:shd w:val="clear"/>
            <w:tcMar>
              <w:top w:w="30" w:type="dxa"/>
              <w:left w:w="50" w:type="dxa"/>
              <w:bottom w:w="30" w:type="dxa"/>
              <w:right w:w="50" w:type="dxa"/>
            </w:tcMar>
            <w:vAlign w:val="center"/>
          </w:tcPr>
          <w:p w14:paraId="0312193E">
            <w:pPr>
              <w:pStyle w:val="3"/>
              <w:bidi w:val="0"/>
            </w:pPr>
            <w:r>
              <w:rPr>
                <w:rFonts w:hint="default"/>
              </w:rPr>
              <w:t>1</w:t>
            </w:r>
          </w:p>
        </w:tc>
        <w:tc>
          <w:tcPr>
            <w:tcW w:w="1060" w:type="dxa"/>
            <w:tcBorders>
              <w:bottom w:val="single" w:color="CCCCCC" w:sz="4" w:space="0"/>
              <w:right w:val="single" w:color="CCCCCC" w:sz="4" w:space="0"/>
            </w:tcBorders>
            <w:shd w:val="clear"/>
            <w:tcMar>
              <w:top w:w="30" w:type="dxa"/>
              <w:left w:w="50" w:type="dxa"/>
              <w:bottom w:w="30" w:type="dxa"/>
              <w:right w:w="50" w:type="dxa"/>
            </w:tcMar>
            <w:vAlign w:val="center"/>
          </w:tcPr>
          <w:p w14:paraId="518D32C6">
            <w:pPr>
              <w:pStyle w:val="3"/>
              <w:bidi w:val="0"/>
            </w:pPr>
            <w:r>
              <w:rPr>
                <w:rFonts w:hint="default"/>
              </w:rPr>
              <w:t>海上煤炭运输（珠海高栏港至广东石化产品码头。）</w:t>
            </w:r>
          </w:p>
        </w:tc>
        <w:tc>
          <w:tcPr>
            <w:tcW w:w="1570" w:type="dxa"/>
            <w:tcBorders>
              <w:bottom w:val="single" w:color="CCCCCC" w:sz="4" w:space="0"/>
              <w:right w:val="single" w:color="CCCCCC" w:sz="4" w:space="0"/>
            </w:tcBorders>
            <w:shd w:val="clear"/>
            <w:tcMar>
              <w:top w:w="30" w:type="dxa"/>
              <w:left w:w="50" w:type="dxa"/>
              <w:bottom w:w="30" w:type="dxa"/>
              <w:right w:w="50" w:type="dxa"/>
            </w:tcMar>
            <w:vAlign w:val="center"/>
          </w:tcPr>
          <w:p w14:paraId="5AAC15CB">
            <w:pPr>
              <w:pStyle w:val="3"/>
              <w:bidi w:val="0"/>
            </w:pPr>
            <w:r>
              <w:rPr>
                <w:rFonts w:hint="default"/>
              </w:rPr>
              <w:t>珠海高栏港至</w:t>
            </w:r>
          </w:p>
          <w:p w14:paraId="7DF38D0A">
            <w:pPr>
              <w:pStyle w:val="3"/>
              <w:bidi w:val="0"/>
            </w:pPr>
            <w:r>
              <w:rPr>
                <w:rFonts w:hint="default"/>
              </w:rPr>
              <w:t>揭阳市指定码头（广东石化产品码头）</w:t>
            </w:r>
          </w:p>
        </w:tc>
        <w:tc>
          <w:tcPr>
            <w:tcW w:w="940" w:type="dxa"/>
            <w:tcBorders>
              <w:bottom w:val="single" w:color="CCCCCC" w:sz="4" w:space="0"/>
              <w:right w:val="single" w:color="CCCCCC" w:sz="4" w:space="0"/>
            </w:tcBorders>
            <w:shd w:val="clear"/>
            <w:tcMar>
              <w:top w:w="30" w:type="dxa"/>
              <w:left w:w="50" w:type="dxa"/>
              <w:bottom w:w="30" w:type="dxa"/>
              <w:right w:w="50" w:type="dxa"/>
            </w:tcMar>
            <w:vAlign w:val="center"/>
          </w:tcPr>
          <w:p w14:paraId="1C0895D3">
            <w:pPr>
              <w:pStyle w:val="3"/>
              <w:bidi w:val="0"/>
            </w:pPr>
            <w:r>
              <w:rPr>
                <w:rFonts w:hint="default"/>
              </w:rPr>
              <w:t>78万吨</w:t>
            </w:r>
          </w:p>
        </w:tc>
        <w:tc>
          <w:tcPr>
            <w:tcW w:w="770" w:type="dxa"/>
            <w:tcBorders>
              <w:bottom w:val="single" w:color="CCCCCC" w:sz="4" w:space="0"/>
              <w:right w:val="single" w:color="CCCCCC" w:sz="4" w:space="0"/>
            </w:tcBorders>
            <w:shd w:val="clear"/>
            <w:tcMar>
              <w:top w:w="30" w:type="dxa"/>
              <w:left w:w="50" w:type="dxa"/>
              <w:bottom w:w="30" w:type="dxa"/>
              <w:right w:w="50" w:type="dxa"/>
            </w:tcMar>
            <w:vAlign w:val="center"/>
          </w:tcPr>
          <w:p w14:paraId="63942D34">
            <w:pPr>
              <w:pStyle w:val="3"/>
              <w:bidi w:val="0"/>
            </w:pPr>
            <w:r>
              <w:rPr>
                <w:rFonts w:hint="default"/>
              </w:rPr>
              <w:t>据实结算</w:t>
            </w:r>
          </w:p>
        </w:tc>
      </w:tr>
      <w:tr w14:paraId="7D769408">
        <w:tblPrEx>
          <w:tblBorders>
            <w:top w:val="single" w:color="CCCCCC" w:sz="4" w:space="0"/>
            <w:left w:val="single" w:color="CCCCCC" w:sz="4"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0" w:type="dxa"/>
            <w:tcBorders>
              <w:bottom w:val="single" w:color="CCCCCC" w:sz="4" w:space="0"/>
              <w:right w:val="single" w:color="CCCCCC" w:sz="4" w:space="0"/>
            </w:tcBorders>
            <w:shd w:val="clear"/>
            <w:tcMar>
              <w:top w:w="30" w:type="dxa"/>
              <w:left w:w="50" w:type="dxa"/>
              <w:bottom w:w="30" w:type="dxa"/>
              <w:right w:w="50" w:type="dxa"/>
            </w:tcMar>
            <w:vAlign w:val="center"/>
          </w:tcPr>
          <w:p w14:paraId="6FE07A59">
            <w:pPr>
              <w:pStyle w:val="3"/>
              <w:bidi w:val="0"/>
            </w:pPr>
            <w:r>
              <w:rPr>
                <w:rFonts w:hint="default"/>
              </w:rPr>
              <w:t>2</w:t>
            </w:r>
          </w:p>
        </w:tc>
        <w:tc>
          <w:tcPr>
            <w:tcW w:w="1060" w:type="dxa"/>
            <w:tcBorders>
              <w:bottom w:val="single" w:color="CCCCCC" w:sz="4" w:space="0"/>
              <w:right w:val="single" w:color="CCCCCC" w:sz="4" w:space="0"/>
            </w:tcBorders>
            <w:shd w:val="clear"/>
            <w:tcMar>
              <w:top w:w="30" w:type="dxa"/>
              <w:left w:w="50" w:type="dxa"/>
              <w:bottom w:w="30" w:type="dxa"/>
              <w:right w:w="50" w:type="dxa"/>
            </w:tcMar>
            <w:vAlign w:val="center"/>
          </w:tcPr>
          <w:p w14:paraId="03821C77">
            <w:pPr>
              <w:pStyle w:val="3"/>
              <w:bidi w:val="0"/>
            </w:pPr>
            <w:r>
              <w:rPr>
                <w:rFonts w:hint="default"/>
              </w:rPr>
              <w:t>煤炭异地仓储（珠海高栏港仓储服务。）</w:t>
            </w:r>
          </w:p>
        </w:tc>
        <w:tc>
          <w:tcPr>
            <w:tcW w:w="1570" w:type="dxa"/>
            <w:tcBorders>
              <w:bottom w:val="single" w:color="CCCCCC" w:sz="4" w:space="0"/>
              <w:right w:val="single" w:color="CCCCCC" w:sz="4" w:space="0"/>
            </w:tcBorders>
            <w:shd w:val="clear"/>
            <w:tcMar>
              <w:top w:w="30" w:type="dxa"/>
              <w:left w:w="50" w:type="dxa"/>
              <w:bottom w:w="30" w:type="dxa"/>
              <w:right w:w="50" w:type="dxa"/>
            </w:tcMar>
            <w:vAlign w:val="center"/>
          </w:tcPr>
          <w:p w14:paraId="0D019888">
            <w:pPr>
              <w:pStyle w:val="3"/>
              <w:bidi w:val="0"/>
            </w:pPr>
            <w:r>
              <w:rPr>
                <w:rFonts w:hint="default"/>
              </w:rPr>
              <w:t>珠海高栏港进行汽运倒短服务</w:t>
            </w:r>
          </w:p>
        </w:tc>
        <w:tc>
          <w:tcPr>
            <w:tcW w:w="940" w:type="dxa"/>
            <w:tcBorders>
              <w:bottom w:val="single" w:color="CCCCCC" w:sz="4" w:space="0"/>
              <w:right w:val="single" w:color="CCCCCC" w:sz="4" w:space="0"/>
            </w:tcBorders>
            <w:shd w:val="clear"/>
            <w:tcMar>
              <w:top w:w="30" w:type="dxa"/>
              <w:left w:w="50" w:type="dxa"/>
              <w:bottom w:w="30" w:type="dxa"/>
              <w:right w:w="50" w:type="dxa"/>
            </w:tcMar>
            <w:vAlign w:val="center"/>
          </w:tcPr>
          <w:p w14:paraId="07A336EF">
            <w:pPr>
              <w:pStyle w:val="3"/>
              <w:bidi w:val="0"/>
            </w:pPr>
            <w:r>
              <w:rPr>
                <w:rFonts w:hint="default"/>
              </w:rPr>
              <w:t>28万吨</w:t>
            </w:r>
          </w:p>
        </w:tc>
        <w:tc>
          <w:tcPr>
            <w:tcW w:w="770" w:type="dxa"/>
            <w:tcBorders>
              <w:bottom w:val="single" w:color="CCCCCC" w:sz="4" w:space="0"/>
              <w:right w:val="single" w:color="CCCCCC" w:sz="4" w:space="0"/>
            </w:tcBorders>
            <w:shd w:val="clear"/>
            <w:tcMar>
              <w:top w:w="30" w:type="dxa"/>
              <w:left w:w="50" w:type="dxa"/>
              <w:bottom w:w="30" w:type="dxa"/>
              <w:right w:w="50" w:type="dxa"/>
            </w:tcMar>
            <w:vAlign w:val="center"/>
          </w:tcPr>
          <w:p w14:paraId="0B65F9B4">
            <w:pPr>
              <w:pStyle w:val="3"/>
              <w:bidi w:val="0"/>
            </w:pPr>
            <w:r>
              <w:rPr>
                <w:rFonts w:hint="default"/>
              </w:rPr>
              <w:t>据实结算</w:t>
            </w:r>
          </w:p>
        </w:tc>
      </w:tr>
      <w:tr w14:paraId="59F64355">
        <w:tblPrEx>
          <w:tblBorders>
            <w:top w:val="single" w:color="CCCCCC" w:sz="4" w:space="0"/>
            <w:left w:val="single" w:color="CCCCCC" w:sz="4"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0" w:type="dxa"/>
            <w:tcBorders>
              <w:bottom w:val="single" w:color="CCCCCC" w:sz="4" w:space="0"/>
              <w:right w:val="single" w:color="CCCCCC" w:sz="4" w:space="0"/>
            </w:tcBorders>
            <w:shd w:val="clear"/>
            <w:tcMar>
              <w:top w:w="30" w:type="dxa"/>
              <w:left w:w="50" w:type="dxa"/>
              <w:bottom w:w="30" w:type="dxa"/>
              <w:right w:w="50" w:type="dxa"/>
            </w:tcMar>
            <w:vAlign w:val="center"/>
          </w:tcPr>
          <w:p w14:paraId="2B1779C5">
            <w:pPr>
              <w:pStyle w:val="3"/>
              <w:bidi w:val="0"/>
            </w:pPr>
            <w:r>
              <w:rPr>
                <w:rFonts w:hint="default"/>
              </w:rPr>
              <w:t>3</w:t>
            </w:r>
          </w:p>
        </w:tc>
        <w:tc>
          <w:tcPr>
            <w:tcW w:w="1060" w:type="dxa"/>
            <w:tcBorders>
              <w:bottom w:val="single" w:color="CCCCCC" w:sz="4" w:space="0"/>
              <w:right w:val="single" w:color="CCCCCC" w:sz="4" w:space="0"/>
            </w:tcBorders>
            <w:shd w:val="clear"/>
            <w:tcMar>
              <w:top w:w="30" w:type="dxa"/>
              <w:left w:w="50" w:type="dxa"/>
              <w:bottom w:w="30" w:type="dxa"/>
              <w:right w:w="50" w:type="dxa"/>
            </w:tcMar>
            <w:vAlign w:val="center"/>
          </w:tcPr>
          <w:p w14:paraId="66B0F55D">
            <w:pPr>
              <w:pStyle w:val="3"/>
              <w:bidi w:val="0"/>
            </w:pPr>
            <w:r>
              <w:rPr>
                <w:rFonts w:hint="default"/>
              </w:rPr>
              <w:t>煤炭异地仓储（珠海高栏港进行倒短运输服务。）</w:t>
            </w:r>
          </w:p>
        </w:tc>
        <w:tc>
          <w:tcPr>
            <w:tcW w:w="1570" w:type="dxa"/>
            <w:tcBorders>
              <w:bottom w:val="single" w:color="CCCCCC" w:sz="4" w:space="0"/>
              <w:right w:val="single" w:color="CCCCCC" w:sz="4" w:space="0"/>
            </w:tcBorders>
            <w:shd w:val="clear"/>
            <w:tcMar>
              <w:top w:w="30" w:type="dxa"/>
              <w:left w:w="50" w:type="dxa"/>
              <w:bottom w:w="30" w:type="dxa"/>
              <w:right w:w="50" w:type="dxa"/>
            </w:tcMar>
            <w:vAlign w:val="center"/>
          </w:tcPr>
          <w:p w14:paraId="4CFF7547">
            <w:pPr>
              <w:pStyle w:val="3"/>
              <w:bidi w:val="0"/>
            </w:pPr>
            <w:r>
              <w:rPr>
                <w:rFonts w:hint="default"/>
              </w:rPr>
              <w:t>珠海高栏港（附近）进行仓储服务</w:t>
            </w:r>
          </w:p>
        </w:tc>
        <w:tc>
          <w:tcPr>
            <w:tcW w:w="940" w:type="dxa"/>
            <w:tcBorders>
              <w:bottom w:val="single" w:color="CCCCCC" w:sz="4" w:space="0"/>
              <w:right w:val="single" w:color="CCCCCC" w:sz="4" w:space="0"/>
            </w:tcBorders>
            <w:shd w:val="clear"/>
            <w:tcMar>
              <w:top w:w="30" w:type="dxa"/>
              <w:left w:w="50" w:type="dxa"/>
              <w:bottom w:w="30" w:type="dxa"/>
              <w:right w:w="50" w:type="dxa"/>
            </w:tcMar>
            <w:vAlign w:val="center"/>
          </w:tcPr>
          <w:p w14:paraId="2AEDA42C">
            <w:pPr>
              <w:pStyle w:val="3"/>
              <w:bidi w:val="0"/>
            </w:pPr>
            <w:r>
              <w:rPr>
                <w:rFonts w:hint="default"/>
              </w:rPr>
              <w:t>28万吨</w:t>
            </w:r>
          </w:p>
        </w:tc>
        <w:tc>
          <w:tcPr>
            <w:tcW w:w="770" w:type="dxa"/>
            <w:tcBorders>
              <w:bottom w:val="single" w:color="CCCCCC" w:sz="4" w:space="0"/>
              <w:right w:val="single" w:color="CCCCCC" w:sz="4" w:space="0"/>
            </w:tcBorders>
            <w:shd w:val="clear"/>
            <w:tcMar>
              <w:top w:w="30" w:type="dxa"/>
              <w:left w:w="50" w:type="dxa"/>
              <w:bottom w:w="30" w:type="dxa"/>
              <w:right w:w="50" w:type="dxa"/>
            </w:tcMar>
            <w:vAlign w:val="center"/>
          </w:tcPr>
          <w:p w14:paraId="5F537C40">
            <w:pPr>
              <w:pStyle w:val="3"/>
              <w:bidi w:val="0"/>
            </w:pPr>
            <w:r>
              <w:rPr>
                <w:rFonts w:hint="default"/>
              </w:rPr>
              <w:t>据实结算</w:t>
            </w:r>
          </w:p>
        </w:tc>
      </w:tr>
      <w:tr w14:paraId="14267203">
        <w:tblPrEx>
          <w:tblBorders>
            <w:top w:val="single" w:color="CCCCCC" w:sz="4" w:space="0"/>
            <w:left w:val="single" w:color="CCCCCC" w:sz="4"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440" w:type="dxa"/>
            <w:tcBorders>
              <w:bottom w:val="single" w:color="CCCCCC" w:sz="4" w:space="0"/>
              <w:right w:val="single" w:color="CCCCCC" w:sz="4" w:space="0"/>
            </w:tcBorders>
            <w:shd w:val="clear"/>
            <w:tcMar>
              <w:top w:w="30" w:type="dxa"/>
              <w:left w:w="50" w:type="dxa"/>
              <w:bottom w:w="30" w:type="dxa"/>
              <w:right w:w="50" w:type="dxa"/>
            </w:tcMar>
            <w:vAlign w:val="center"/>
          </w:tcPr>
          <w:p w14:paraId="2D3A04CC">
            <w:pPr>
              <w:pStyle w:val="3"/>
              <w:bidi w:val="0"/>
            </w:pPr>
            <w:r>
              <w:rPr>
                <w:rFonts w:hint="default"/>
              </w:rPr>
              <w:t>4</w:t>
            </w:r>
          </w:p>
        </w:tc>
        <w:tc>
          <w:tcPr>
            <w:tcW w:w="1060" w:type="dxa"/>
            <w:tcBorders>
              <w:bottom w:val="single" w:color="CCCCCC" w:sz="4" w:space="0"/>
              <w:right w:val="single" w:color="CCCCCC" w:sz="4" w:space="0"/>
            </w:tcBorders>
            <w:shd w:val="clear"/>
            <w:tcMar>
              <w:top w:w="30" w:type="dxa"/>
              <w:left w:w="50" w:type="dxa"/>
              <w:bottom w:w="30" w:type="dxa"/>
              <w:right w:w="50" w:type="dxa"/>
            </w:tcMar>
            <w:vAlign w:val="center"/>
          </w:tcPr>
          <w:p w14:paraId="7A7DD563">
            <w:pPr>
              <w:pStyle w:val="3"/>
              <w:bidi w:val="0"/>
            </w:pPr>
            <w:r>
              <w:rPr>
                <w:rFonts w:hint="default"/>
              </w:rPr>
              <w:t>海上煤炭运输及倒短运输（山东日照至广东石化产品码头单独运输。）</w:t>
            </w:r>
          </w:p>
        </w:tc>
        <w:tc>
          <w:tcPr>
            <w:tcW w:w="1570" w:type="dxa"/>
            <w:tcBorders>
              <w:bottom w:val="single" w:color="CCCCCC" w:sz="4" w:space="0"/>
              <w:right w:val="single" w:color="CCCCCC" w:sz="4" w:space="0"/>
            </w:tcBorders>
            <w:shd w:val="clear"/>
            <w:tcMar>
              <w:top w:w="30" w:type="dxa"/>
              <w:left w:w="50" w:type="dxa"/>
              <w:bottom w:w="30" w:type="dxa"/>
              <w:right w:w="50" w:type="dxa"/>
            </w:tcMar>
            <w:vAlign w:val="center"/>
          </w:tcPr>
          <w:p w14:paraId="6017F186">
            <w:pPr>
              <w:pStyle w:val="3"/>
              <w:bidi w:val="0"/>
            </w:pPr>
            <w:r>
              <w:rPr>
                <w:rFonts w:hint="default"/>
              </w:rPr>
              <w:t>山东日照港运输至珠海高栏港+珠海高栏港（附近）进行倒短服务</w:t>
            </w:r>
          </w:p>
        </w:tc>
        <w:tc>
          <w:tcPr>
            <w:tcW w:w="940" w:type="dxa"/>
            <w:tcBorders>
              <w:bottom w:val="single" w:color="CCCCCC" w:sz="4" w:space="0"/>
              <w:right w:val="single" w:color="CCCCCC" w:sz="4" w:space="0"/>
            </w:tcBorders>
            <w:shd w:val="clear"/>
            <w:tcMar>
              <w:top w:w="30" w:type="dxa"/>
              <w:left w:w="50" w:type="dxa"/>
              <w:bottom w:w="30" w:type="dxa"/>
              <w:right w:w="50" w:type="dxa"/>
            </w:tcMar>
            <w:vAlign w:val="center"/>
          </w:tcPr>
          <w:p w14:paraId="6674D330">
            <w:pPr>
              <w:pStyle w:val="3"/>
              <w:bidi w:val="0"/>
            </w:pPr>
            <w:r>
              <w:rPr>
                <w:rFonts w:hint="default"/>
              </w:rPr>
              <w:t>2万吨</w:t>
            </w:r>
          </w:p>
        </w:tc>
        <w:tc>
          <w:tcPr>
            <w:tcW w:w="770" w:type="dxa"/>
            <w:tcBorders>
              <w:bottom w:val="single" w:color="CCCCCC" w:sz="4" w:space="0"/>
              <w:right w:val="single" w:color="CCCCCC" w:sz="4" w:space="0"/>
            </w:tcBorders>
            <w:shd w:val="clear"/>
            <w:tcMar>
              <w:top w:w="30" w:type="dxa"/>
              <w:left w:w="50" w:type="dxa"/>
              <w:bottom w:w="30" w:type="dxa"/>
              <w:right w:w="50" w:type="dxa"/>
            </w:tcMar>
            <w:vAlign w:val="center"/>
          </w:tcPr>
          <w:p w14:paraId="2418BE5B">
            <w:pPr>
              <w:pStyle w:val="3"/>
              <w:bidi w:val="0"/>
            </w:pPr>
            <w:r>
              <w:rPr>
                <w:rFonts w:hint="default"/>
              </w:rPr>
              <w:t>据实结算</w:t>
            </w:r>
          </w:p>
        </w:tc>
      </w:tr>
    </w:tbl>
    <w:p w14:paraId="292FF272">
      <w:pPr>
        <w:pStyle w:val="3"/>
        <w:bidi w:val="0"/>
        <w:rPr>
          <w:rFonts w:hint="default"/>
        </w:rPr>
      </w:pPr>
      <w:r>
        <w:rPr>
          <w:rFonts w:hint="default"/>
          <w:lang w:val="en-US" w:eastAsia="zh-CN"/>
        </w:rPr>
        <w:t> </w:t>
      </w:r>
    </w:p>
    <w:p w14:paraId="67DD5A84">
      <w:pPr>
        <w:pStyle w:val="3"/>
        <w:bidi w:val="0"/>
        <w:rPr>
          <w:rFonts w:hint="default"/>
        </w:rPr>
      </w:pPr>
      <w:r>
        <w:rPr>
          <w:rFonts w:hint="default"/>
        </w:rPr>
        <w:t> </w:t>
      </w:r>
    </w:p>
    <w:p w14:paraId="7CC42BC9">
      <w:pPr>
        <w:pStyle w:val="3"/>
        <w:bidi w:val="0"/>
        <w:rPr>
          <w:rFonts w:hint="default"/>
        </w:rPr>
      </w:pPr>
      <w:r>
        <w:rPr>
          <w:rFonts w:hint="default"/>
        </w:rPr>
        <w:t>2.3 服务期限：2年，自合同签订之日起至2027年4月30日，服务期间以实际需求及数量为准，招标人不承诺、不保证最低工作量。</w:t>
      </w:r>
    </w:p>
    <w:p w14:paraId="37B69F72">
      <w:pPr>
        <w:pStyle w:val="3"/>
        <w:bidi w:val="0"/>
        <w:rPr>
          <w:rFonts w:hint="default"/>
        </w:rPr>
      </w:pPr>
      <w:r>
        <w:rPr>
          <w:rFonts w:hint="default"/>
        </w:rPr>
        <w:t>2.4 本项目结算固定单价，暂估总价。分项报价，详见第五章。后续涉及具体项目时按合同约定据实结算。</w:t>
      </w:r>
    </w:p>
    <w:p w14:paraId="1BA82570">
      <w:pPr>
        <w:pStyle w:val="3"/>
        <w:bidi w:val="0"/>
        <w:rPr>
          <w:rFonts w:hint="default"/>
        </w:rPr>
      </w:pPr>
      <w:bookmarkStart w:id="13" w:name="_Toc22346"/>
      <w:bookmarkEnd w:id="13"/>
      <w:r>
        <w:rPr>
          <w:rFonts w:hint="default"/>
        </w:rPr>
        <w:t>3. 投标人资格要求</w:t>
      </w:r>
    </w:p>
    <w:p w14:paraId="22055319">
      <w:pPr>
        <w:pStyle w:val="3"/>
        <w:bidi w:val="0"/>
        <w:rPr>
          <w:rFonts w:hint="default"/>
        </w:rPr>
      </w:pPr>
      <w:bookmarkStart w:id="14" w:name="_Toc8715727"/>
      <w:bookmarkEnd w:id="14"/>
      <w:r>
        <w:rPr>
          <w:rFonts w:hint="default"/>
        </w:rPr>
        <w:t>3.1 资质要求：</w:t>
      </w:r>
    </w:p>
    <w:p w14:paraId="68CEB014">
      <w:pPr>
        <w:pStyle w:val="3"/>
        <w:bidi w:val="0"/>
        <w:rPr>
          <w:rFonts w:hint="default"/>
        </w:rPr>
      </w:pPr>
      <w:r>
        <w:rPr>
          <w:rFonts w:hint="default"/>
        </w:rPr>
        <w:t>投标人须具备独立企业法人资格或其他组织，具备承担民事责任能力。提供合法有效的营业执照或事业单位法人证书。未按要求提供有效的证明材料扫描件的，投标将被否决。</w:t>
      </w:r>
    </w:p>
    <w:p w14:paraId="016E8C5D">
      <w:pPr>
        <w:pStyle w:val="3"/>
        <w:bidi w:val="0"/>
        <w:rPr>
          <w:rFonts w:hint="default"/>
        </w:rPr>
      </w:pPr>
      <w:bookmarkStart w:id="15" w:name="_Toc8715728"/>
      <w:bookmarkEnd w:id="15"/>
      <w:r>
        <w:rPr>
          <w:rFonts w:hint="default"/>
        </w:rPr>
        <w:t>3.2 财务要求：</w:t>
      </w:r>
    </w:p>
    <w:p w14:paraId="70A008FF">
      <w:pPr>
        <w:pStyle w:val="3"/>
        <w:bidi w:val="0"/>
        <w:rPr>
          <w:rFonts w:hint="default"/>
        </w:rPr>
      </w:pPr>
      <w:bookmarkStart w:id="16" w:name="_Toc8715729"/>
      <w:bookmarkEnd w:id="16"/>
      <w:r>
        <w:rPr>
          <w:rFonts w:hint="default"/>
        </w:rPr>
        <w:t>投标人须提供2022年--2024年3个年度会计师事务所或审计机构出具的年度财务审计报告复印件（截止投标日未能取得2024年财务审计报告的。可以提供2021-2023年3个年度的财务审计报告）。投标人的成立时间晚于上述规定年份的，应提供成立以来年度会计师事务所或审计机构出具的年度财务审计报告复印件，成立时间不足一个财务年度的，须提供公司出具的截止投标报名日期上一个月度的财务报表，内容包括主要内容页（包括资产负债表、现金流量表、利润表）扫描件。未按要求提供有效的证明材料扫描件的，投标将被否决。</w:t>
      </w:r>
    </w:p>
    <w:p w14:paraId="30B4BEE3">
      <w:pPr>
        <w:pStyle w:val="3"/>
        <w:bidi w:val="0"/>
        <w:rPr>
          <w:rFonts w:hint="default"/>
        </w:rPr>
      </w:pPr>
      <w:r>
        <w:rPr>
          <w:rFonts w:hint="default"/>
        </w:rPr>
        <w:t>3.3 业绩要求：</w:t>
      </w:r>
    </w:p>
    <w:p w14:paraId="6453FC8E">
      <w:pPr>
        <w:pStyle w:val="3"/>
        <w:bidi w:val="0"/>
        <w:rPr>
          <w:rFonts w:hint="default"/>
        </w:rPr>
      </w:pPr>
      <w:r>
        <w:rPr>
          <w:rFonts w:hint="default"/>
        </w:rPr>
        <w:t>投标人自2022年1月1日至投标截止之日，实施过煤炭仓储及海运项目，其中任意自然年度单份合同业绩达到500万。单份业绩合同内容需同时涵盖煤炭仓储及煤炭海运运输业绩。须提供业绩合同及相对应的一张发票，评委现场在国家税务总局全国增值税发票查验平台https://inv-veri.chinatax.gov.cn/index.html核实发票真伪（已过税务平台查询期限的发票除外）。未按要求提供有效的证明材料扫描件的，投标将被否决。</w:t>
      </w:r>
    </w:p>
    <w:p w14:paraId="7189B3C4">
      <w:pPr>
        <w:pStyle w:val="3"/>
        <w:bidi w:val="0"/>
        <w:rPr>
          <w:rFonts w:hint="default"/>
        </w:rPr>
      </w:pPr>
      <w:bookmarkStart w:id="17" w:name="_Toc8715730"/>
      <w:bookmarkEnd w:id="17"/>
      <w:r>
        <w:rPr>
          <w:rFonts w:hint="default"/>
        </w:rPr>
        <w:t>3.4 信誉要求（以评标当天评标委员会查询结果为准）：</w:t>
      </w:r>
    </w:p>
    <w:p w14:paraId="7CA89F48">
      <w:pPr>
        <w:pStyle w:val="3"/>
        <w:bidi w:val="0"/>
        <w:rPr>
          <w:rFonts w:hint="default"/>
        </w:rPr>
      </w:pPr>
      <w:bookmarkStart w:id="18" w:name="_Toc8715731"/>
      <w:bookmarkEnd w:id="18"/>
      <w:r>
        <w:rPr>
          <w:rFonts w:hint="default"/>
        </w:rPr>
        <w:t>（1）未被工商行政管理机关在国家企业信用信息公示系统中列入严重违法失信企业名单，以“信用中国”网站（www.creditchina.gov.cn）查询结果为准。</w:t>
      </w:r>
    </w:p>
    <w:p w14:paraId="65EE53D5">
      <w:pPr>
        <w:pStyle w:val="3"/>
        <w:bidi w:val="0"/>
        <w:rPr>
          <w:rFonts w:hint="default"/>
        </w:rPr>
      </w:pPr>
      <w:r>
        <w:rPr>
          <w:rFonts w:hint="default"/>
        </w:rPr>
        <w:t>（2）截至开标日未被中国石油招标投标网暂停或取消投标资格的。</w:t>
      </w:r>
    </w:p>
    <w:p w14:paraId="53ED754A">
      <w:pPr>
        <w:pStyle w:val="3"/>
        <w:bidi w:val="0"/>
        <w:rPr>
          <w:rFonts w:hint="default"/>
        </w:rPr>
      </w:pPr>
      <w:r>
        <w:rPr>
          <w:rFonts w:hint="default"/>
        </w:rPr>
        <w:t>（3）自2021年1月1日至投标截止之日期间，在“中国裁判文书网”网站（wenshu.court.gov.cn）查询无行贿犯罪行为。</w:t>
      </w:r>
    </w:p>
    <w:p w14:paraId="70A1238D">
      <w:pPr>
        <w:pStyle w:val="3"/>
        <w:bidi w:val="0"/>
        <w:rPr>
          <w:rFonts w:hint="default"/>
        </w:rPr>
      </w:pPr>
      <w:r>
        <w:rPr>
          <w:rFonts w:hint="default"/>
        </w:rPr>
        <w:t>3.5 设备要求：</w:t>
      </w:r>
    </w:p>
    <w:p w14:paraId="59F2E227">
      <w:pPr>
        <w:pStyle w:val="3"/>
        <w:bidi w:val="0"/>
        <w:rPr>
          <w:rFonts w:hint="default"/>
        </w:rPr>
      </w:pPr>
      <w:r>
        <w:rPr>
          <w:rFonts w:hint="default"/>
        </w:rPr>
        <w:t>3.5.1投标人提供第三方船舶的，须具备有效的无船承运业务经营资格登记证（实现无船承运业务备案制的省份，投标人可以提供网站备案截图）。未按要求提供有效的证明材料扫描件的，投标将被否决</w:t>
      </w:r>
    </w:p>
    <w:p w14:paraId="1D5646C4">
      <w:pPr>
        <w:pStyle w:val="3"/>
        <w:bidi w:val="0"/>
        <w:rPr>
          <w:rFonts w:hint="default"/>
        </w:rPr>
      </w:pPr>
      <w:r>
        <w:rPr>
          <w:rFonts w:hint="default"/>
        </w:rPr>
        <w:t>3.5.2投标人提供自有船舶的，须满足以下要求：</w:t>
      </w:r>
    </w:p>
    <w:p w14:paraId="0E71689E">
      <w:pPr>
        <w:pStyle w:val="3"/>
        <w:bidi w:val="0"/>
        <w:rPr>
          <w:rFonts w:hint="default"/>
        </w:rPr>
      </w:pPr>
      <w:r>
        <w:rPr>
          <w:rFonts w:hint="default"/>
        </w:rPr>
        <w:t>①船型要求：主力船型2万吨及以下（实际运行以招标人需求为准）。投标人须承诺运输船舶状况良好。未按要求提供有效承诺的，投标将被否决。</w:t>
      </w:r>
    </w:p>
    <w:p w14:paraId="47878151">
      <w:pPr>
        <w:pStyle w:val="3"/>
        <w:bidi w:val="0"/>
        <w:rPr>
          <w:rFonts w:hint="default"/>
        </w:rPr>
      </w:pPr>
      <w:r>
        <w:rPr>
          <w:rFonts w:hint="default"/>
        </w:rPr>
        <w:t>②投标人须承诺必须具备在珠海高栏港以及广东石化项目码头停靠条件。未按要求提供有效承诺的，投标将被否决。</w:t>
      </w:r>
    </w:p>
    <w:p w14:paraId="030D2819">
      <w:pPr>
        <w:pStyle w:val="3"/>
        <w:bidi w:val="0"/>
        <w:rPr>
          <w:rFonts w:hint="default"/>
        </w:rPr>
      </w:pPr>
      <w:r>
        <w:rPr>
          <w:rFonts w:hint="default"/>
        </w:rPr>
        <w:t>3.5.3海运船舶：投标人按照运输计划可以调换适配的船舶，对船舶资质相关要求提供承诺如下：符合中华人民共和国海洋运输的相关资质要求；具备有效的水路运输许可证等相关证明；具备有效的国内船舶营业运输证（涵盖沿海范围）；具备有效的船舶适航证书等船舶相关资料；按《船舶最低安全配员证书》规定的船员配备；承运船舶具备AIS监控设备；承运船舶按照规范要求必须购买的险种购买齐全。未按要求提供有效承诺的，投标将被否决。</w:t>
      </w:r>
    </w:p>
    <w:p w14:paraId="06A61E98">
      <w:pPr>
        <w:pStyle w:val="3"/>
        <w:bidi w:val="0"/>
        <w:rPr>
          <w:rFonts w:hint="default"/>
        </w:rPr>
      </w:pPr>
      <w:bookmarkStart w:id="19" w:name="_Toc8715732"/>
      <w:bookmarkEnd w:id="19"/>
      <w:r>
        <w:rPr>
          <w:rFonts w:hint="default"/>
        </w:rPr>
        <w:t>3.6 其他要求：</w:t>
      </w:r>
    </w:p>
    <w:p w14:paraId="1C6DA0A0">
      <w:pPr>
        <w:pStyle w:val="3"/>
        <w:bidi w:val="0"/>
        <w:rPr>
          <w:rFonts w:hint="default"/>
        </w:rPr>
      </w:pPr>
      <w:r>
        <w:rPr>
          <w:rFonts w:hint="default"/>
        </w:rPr>
        <w:t>本次招标不接受联合体投标。不接受母公司与子公司或有控股关系或有管理从属关系的企业同时参与投标。</w:t>
      </w:r>
    </w:p>
    <w:p w14:paraId="0C928D32">
      <w:pPr>
        <w:pStyle w:val="3"/>
        <w:bidi w:val="0"/>
        <w:rPr>
          <w:rFonts w:hint="default"/>
        </w:rPr>
      </w:pPr>
      <w:bookmarkStart w:id="20" w:name="_Toc505956383"/>
      <w:bookmarkEnd w:id="20"/>
      <w:bookmarkStart w:id="21" w:name="_Toc505958108"/>
      <w:r>
        <w:rPr>
          <w:rFonts w:hint="default"/>
        </w:rPr>
        <w:t>以上条款如不满足，其投标将被否决。投标人必须保证上述材料的真实性，招标人保留核查的权利，对于弄虚作假的行为，三年内不得参加中国石油昆仑物流有限公司招标项目，本项目若中标则取消中标资格。</w:t>
      </w:r>
      <w:bookmarkEnd w:id="21"/>
    </w:p>
    <w:p w14:paraId="02925290">
      <w:pPr>
        <w:pStyle w:val="3"/>
        <w:bidi w:val="0"/>
        <w:rPr>
          <w:rFonts w:hint="default"/>
        </w:rPr>
      </w:pPr>
      <w:bookmarkStart w:id="22" w:name="_Toc14843"/>
      <w:bookmarkEnd w:id="22"/>
      <w:r>
        <w:rPr>
          <w:rFonts w:hint="default"/>
        </w:rPr>
        <w:t>4.</w:t>
      </w:r>
      <w:bookmarkStart w:id="23" w:name="_Toc505780467"/>
      <w:r>
        <w:rPr>
          <w:rFonts w:hint="default"/>
        </w:rPr>
        <w:t> 招标文件的获取</w:t>
      </w:r>
      <w:bookmarkEnd w:id="23"/>
    </w:p>
    <w:p w14:paraId="4FBC8693">
      <w:pPr>
        <w:pStyle w:val="3"/>
        <w:bidi w:val="0"/>
        <w:rPr>
          <w:rFonts w:hint="default"/>
        </w:rPr>
      </w:pPr>
      <w:r>
        <w:rPr>
          <w:rFonts w:hint="default"/>
        </w:rPr>
        <w:t>4.1凡有意参加投标者，请于  2025 年 4 月 27 日至  2025 年 5 月 6 日 16 时（北京时间，下同），登录  中国石油电子招标投标平台  下载电子招标文件。</w:t>
      </w:r>
    </w:p>
    <w:p w14:paraId="79E9C84B">
      <w:pPr>
        <w:pStyle w:val="3"/>
        <w:bidi w:val="0"/>
        <w:rPr>
          <w:rFonts w:hint="default"/>
        </w:rPr>
      </w:pPr>
      <w:r>
        <w:rPr>
          <w:rFonts w:hint="default"/>
        </w:rPr>
        <w:t>①登录“中国石油招标投标网”，进入中国石油电子招标投标平台在线报名，如未在中国石油电子招标投标平台上注册过的潜在投标人需要先注册并通过平台审核（可致电系统平台400-8800-114联系，进行在线审核），审核通过后登录平台在“可报名项目”中可找到本项目并完成在线报名。</w:t>
      </w:r>
    </w:p>
    <w:p w14:paraId="4FFB4016">
      <w:pPr>
        <w:pStyle w:val="3"/>
        <w:bidi w:val="0"/>
        <w:rPr>
          <w:rFonts w:hint="default"/>
        </w:rPr>
      </w:pPr>
      <w:r>
        <w:rPr>
          <w:rFonts w:hint="default"/>
        </w:rPr>
        <w:t>②办理本项目标书费缴纳事宜,招标文件每套售价 200 元，售后不退。</w:t>
      </w:r>
    </w:p>
    <w:p w14:paraId="29F50ECF">
      <w:pPr>
        <w:pStyle w:val="3"/>
        <w:bidi w:val="0"/>
        <w:rPr>
          <w:rFonts w:hint="default"/>
        </w:rPr>
      </w:pPr>
      <w:r>
        <w:rPr>
          <w:rFonts w:hint="default"/>
        </w:rPr>
        <w:t>购买招标文件方式：</w:t>
      </w:r>
    </w:p>
    <w:p w14:paraId="50B44D96">
      <w:pPr>
        <w:pStyle w:val="3"/>
        <w:bidi w:val="0"/>
        <w:rPr>
          <w:rFonts w:hint="default"/>
        </w:rPr>
      </w:pPr>
      <w:r>
        <w:rPr>
          <w:rFonts w:hint="default"/>
        </w:rPr>
        <w:t>（1）登录招标文件自助购买系统（网址：http://www2.cnpcbidding.com/#/wel/index）完成购买招标文件相关操作，建议使用Google Chrome浏览器登录，具体操作请参考系统登录界面中“投标商操作手册”相关章节。</w:t>
      </w:r>
    </w:p>
    <w:p w14:paraId="62AAD2A2">
      <w:pPr>
        <w:pStyle w:val="3"/>
        <w:bidi w:val="0"/>
        <w:rPr>
          <w:rFonts w:hint="default"/>
        </w:rPr>
      </w:pPr>
      <w:r>
        <w:rPr>
          <w:rFonts w:hint="default"/>
        </w:rPr>
        <w:t>（2）招标文件自助购买系统（http://www2.cnpcbidding.com/#/wel/index）登陆账号与中国石油电子招标投标交易平台（http://ebidmanage.cnpcbidding.com/bidder/ebid/base/login.html）一致，密码需要重新设置。投标人首次登录需通过手机验证码登录，登录后设置登录密码，提交成功后可使用户名、密码或手机验证码登录。</w:t>
      </w:r>
    </w:p>
    <w:p w14:paraId="5136FF79">
      <w:pPr>
        <w:pStyle w:val="3"/>
        <w:bidi w:val="0"/>
        <w:rPr>
          <w:rFonts w:hint="default"/>
        </w:rPr>
      </w:pPr>
      <w:r>
        <w:rPr>
          <w:rFonts w:hint="default"/>
        </w:rPr>
        <w:t>4.2此次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请在工作日9:00至16:30咨询）。</w:t>
      </w:r>
    </w:p>
    <w:p w14:paraId="27A864B5">
      <w:pPr>
        <w:pStyle w:val="3"/>
        <w:bidi w:val="0"/>
        <w:rPr>
          <w:rFonts w:hint="default"/>
        </w:rPr>
      </w:pPr>
      <w:r>
        <w:rPr>
          <w:rFonts w:hint="default"/>
        </w:rPr>
        <w:t>4.3请有意参加投标的潜在投标人确认自身资格条件是否满足要求，应自负其责。</w:t>
      </w:r>
    </w:p>
    <w:p w14:paraId="772A8047">
      <w:pPr>
        <w:pStyle w:val="3"/>
        <w:bidi w:val="0"/>
        <w:rPr>
          <w:rFonts w:hint="default"/>
        </w:rPr>
      </w:pPr>
      <w:r>
        <w:rPr>
          <w:rFonts w:hint="default"/>
        </w:rPr>
        <w:t>招标公告中未尽事宜或与招标文件不符之处，以招标文件为准。</w:t>
      </w:r>
    </w:p>
    <w:p w14:paraId="2E7C3E9E">
      <w:pPr>
        <w:pStyle w:val="3"/>
        <w:bidi w:val="0"/>
        <w:rPr>
          <w:rFonts w:hint="default"/>
        </w:rPr>
      </w:pPr>
      <w:bookmarkStart w:id="24" w:name="_Toc80864550"/>
      <w:bookmarkEnd w:id="24"/>
      <w:bookmarkStart w:id="25" w:name="_Toc14471"/>
      <w:r>
        <w:rPr>
          <w:rFonts w:hint="default"/>
        </w:rPr>
        <w:t>5. 投标文件的递交</w:t>
      </w:r>
      <w:bookmarkEnd w:id="25"/>
      <w:r>
        <w:rPr>
          <w:rFonts w:hint="default"/>
        </w:rPr>
        <w:t> </w:t>
      </w:r>
    </w:p>
    <w:p w14:paraId="7A66E1AA">
      <w:pPr>
        <w:pStyle w:val="3"/>
        <w:bidi w:val="0"/>
        <w:rPr>
          <w:rFonts w:hint="default"/>
        </w:rPr>
      </w:pPr>
      <w:r>
        <w:rPr>
          <w:rFonts w:hint="default"/>
        </w:rPr>
        <w:t>5.1本次招标采取网上递交电子投标文件的投标方式，投标人应在5.2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39F4EB9B">
      <w:pPr>
        <w:pStyle w:val="3"/>
        <w:bidi w:val="0"/>
        <w:rPr>
          <w:rFonts w:hint="default"/>
        </w:rPr>
      </w:pPr>
      <w:r>
        <w:rPr>
          <w:rFonts w:hint="default"/>
        </w:rPr>
        <w:t>5.2投标截止时间及开标时间（网上开标）： 2025 年 5 月 8 日 9 时  0 分（北京时间）。</w:t>
      </w:r>
    </w:p>
    <w:p w14:paraId="45244A9B">
      <w:pPr>
        <w:pStyle w:val="3"/>
        <w:bidi w:val="0"/>
        <w:rPr>
          <w:rFonts w:hint="default"/>
        </w:rPr>
      </w:pPr>
      <w:r>
        <w:rPr>
          <w:rFonts w:hint="default"/>
        </w:rPr>
        <w:t>5.3开标地点（网上开标）：中国石油电子招标投标交易平台（所有投标人可登录中国石油电子招标投标交易平台在线参加开标仪式）。</w:t>
      </w:r>
    </w:p>
    <w:p w14:paraId="7A11808A">
      <w:pPr>
        <w:pStyle w:val="3"/>
        <w:bidi w:val="0"/>
        <w:rPr>
          <w:rFonts w:hint="default"/>
        </w:rPr>
      </w:pPr>
      <w:r>
        <w:rPr>
          <w:rFonts w:hint="default"/>
        </w:rPr>
        <w:t>5.4潜在投标人应在投标截止时间前提交 10 万元人民币的投标保证金。</w:t>
      </w:r>
    </w:p>
    <w:p w14:paraId="6B1D5BB7">
      <w:pPr>
        <w:pStyle w:val="3"/>
        <w:bidi w:val="0"/>
        <w:rPr>
          <w:rFonts w:hint="default"/>
        </w:rPr>
      </w:pPr>
      <w:r>
        <w:rPr>
          <w:rFonts w:hint="default"/>
        </w:rPr>
        <w:t>①投标保证金形式：电汇或保证金保险或电子保函；</w:t>
      </w:r>
    </w:p>
    <w:p w14:paraId="6B4EB129">
      <w:pPr>
        <w:pStyle w:val="3"/>
        <w:bidi w:val="0"/>
        <w:rPr>
          <w:rFonts w:hint="default"/>
        </w:rPr>
      </w:pPr>
      <w:r>
        <w:rPr>
          <w:rFonts w:hint="default"/>
        </w:rPr>
        <w:t>②递交方式：详见招标文件投标人须知前附表3.4.1。</w:t>
      </w:r>
    </w:p>
    <w:p w14:paraId="27172D8E">
      <w:pPr>
        <w:pStyle w:val="3"/>
        <w:bidi w:val="0"/>
        <w:rPr>
          <w:rFonts w:hint="default"/>
        </w:rPr>
      </w:pPr>
      <w:bookmarkStart w:id="26" w:name="_Toc5946"/>
      <w:bookmarkEnd w:id="26"/>
      <w:bookmarkStart w:id="27" w:name="_Toc80864551"/>
      <w:r>
        <w:rPr>
          <w:rFonts w:hint="default"/>
        </w:rPr>
        <w:t>6</w:t>
      </w:r>
      <w:bookmarkEnd w:id="27"/>
      <w:r>
        <w:rPr>
          <w:rFonts w:hint="default"/>
        </w:rPr>
        <w:t>. 发布公告的媒介 </w:t>
      </w:r>
    </w:p>
    <w:p w14:paraId="4D7A7E84">
      <w:pPr>
        <w:pStyle w:val="3"/>
        <w:bidi w:val="0"/>
        <w:rPr>
          <w:rFonts w:hint="default"/>
        </w:rPr>
      </w:pPr>
      <w:r>
        <w:rPr>
          <w:rFonts w:hint="default"/>
        </w:rPr>
        <w:t>本次招标公告同时在中国招标投标公共服务平台（ http://www.cebpubservice.com）和中国石油招标投标网（</w:t>
      </w:r>
      <w:r>
        <w:rPr>
          <w:rFonts w:hint="default"/>
        </w:rPr>
        <w:fldChar w:fldCharType="begin"/>
      </w:r>
      <w:r>
        <w:rPr>
          <w:rFonts w:hint="default"/>
        </w:rPr>
        <w:instrText xml:space="preserve"> HYPERLINK "http://www.cnpcbidding.com/" </w:instrText>
      </w:r>
      <w:r>
        <w:rPr>
          <w:rFonts w:hint="default"/>
        </w:rPr>
        <w:fldChar w:fldCharType="separate"/>
      </w:r>
      <w:r>
        <w:rPr>
          <w:rStyle w:val="7"/>
          <w:rFonts w:hint="default" w:ascii="Helvetica" w:hAnsi="Helvetica" w:eastAsia="Helvetica" w:cs="Helvetica"/>
          <w:i w:val="0"/>
          <w:iCs w:val="0"/>
          <w:caps w:val="0"/>
          <w:spacing w:val="0"/>
          <w:szCs w:val="12"/>
          <w:u w:val="none"/>
        </w:rPr>
        <w:t>http://www.cnpcbidding.com</w:t>
      </w:r>
      <w:r>
        <w:rPr>
          <w:rFonts w:hint="default"/>
        </w:rPr>
        <w:fldChar w:fldCharType="end"/>
      </w:r>
      <w:r>
        <w:rPr>
          <w:rFonts w:hint="default"/>
        </w:rPr>
        <w:t>）发布。</w:t>
      </w:r>
    </w:p>
    <w:p w14:paraId="6A4B560E">
      <w:pPr>
        <w:pStyle w:val="3"/>
        <w:bidi w:val="0"/>
        <w:rPr>
          <w:rFonts w:hint="default"/>
        </w:rPr>
      </w:pPr>
      <w:bookmarkStart w:id="28" w:name="_Toc80864552"/>
      <w:bookmarkEnd w:id="28"/>
      <w:bookmarkStart w:id="29" w:name="_Toc16782"/>
      <w:r>
        <w:rPr>
          <w:rFonts w:hint="default"/>
        </w:rPr>
        <w:t>7</w:t>
      </w:r>
      <w:bookmarkEnd w:id="29"/>
      <w:r>
        <w:rPr>
          <w:rFonts w:hint="default"/>
        </w:rPr>
        <w:t>. 联系方式 </w:t>
      </w:r>
    </w:p>
    <w:tbl>
      <w:tblPr>
        <w:tblW w:w="0" w:type="auto"/>
        <w:tblCellSpacing w:w="0" w:type="dxa"/>
        <w:tblInd w:w="10" w:type="dxa"/>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09"/>
        <w:gridCol w:w="3120"/>
      </w:tblGrid>
      <w:tr w14:paraId="13A254D1">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2DD9FBF8">
            <w:pPr>
              <w:pStyle w:val="3"/>
              <w:bidi w:val="0"/>
            </w:pPr>
            <w:r>
              <w:rPr>
                <w:rFonts w:hint="default"/>
              </w:rPr>
              <w:t>招 标 人： 中国石油昆仑物流有限公司广东分公司   </w:t>
            </w:r>
          </w:p>
        </w:tc>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69057D1A">
            <w:pPr>
              <w:pStyle w:val="3"/>
              <w:bidi w:val="0"/>
            </w:pPr>
            <w:r>
              <w:rPr>
                <w:rFonts w:hint="default"/>
              </w:rPr>
              <w:t>招标机构：   中国石油物资有限公司   </w:t>
            </w:r>
          </w:p>
        </w:tc>
      </w:tr>
      <w:tr w14:paraId="48386639">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416CF65A">
            <w:pPr>
              <w:pStyle w:val="3"/>
              <w:bidi w:val="0"/>
            </w:pPr>
            <w:r>
              <w:rPr>
                <w:rFonts w:hint="default"/>
              </w:rPr>
              <w:t>地    址：广州市番禺区市广路290号  </w:t>
            </w:r>
          </w:p>
        </w:tc>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5F0C9BEB">
            <w:pPr>
              <w:pStyle w:val="3"/>
              <w:bidi w:val="0"/>
            </w:pPr>
            <w:r>
              <w:rPr>
                <w:rFonts w:hint="default"/>
              </w:rPr>
              <w:t>地    址： 北京西城区鼓楼外大街5号  </w:t>
            </w:r>
          </w:p>
        </w:tc>
      </w:tr>
      <w:tr w14:paraId="7168067A">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0" w:type="dxa"/>
        </w:trPr>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0C564136">
            <w:pPr>
              <w:pStyle w:val="3"/>
              <w:bidi w:val="0"/>
            </w:pPr>
            <w:r>
              <w:rPr>
                <w:rFonts w:hint="default"/>
              </w:rPr>
              <w:t>联 系 人：        陈鹿                                      </w:t>
            </w:r>
          </w:p>
        </w:tc>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01737905">
            <w:pPr>
              <w:pStyle w:val="3"/>
              <w:bidi w:val="0"/>
            </w:pPr>
            <w:r>
              <w:rPr>
                <w:rFonts w:hint="default"/>
              </w:rPr>
              <w:t>部门负责人：尚曌喆</w:t>
            </w:r>
          </w:p>
          <w:p w14:paraId="03B8C7DE">
            <w:pPr>
              <w:pStyle w:val="3"/>
              <w:bidi w:val="0"/>
            </w:pPr>
            <w:r>
              <w:rPr>
                <w:rFonts w:hint="default"/>
              </w:rPr>
              <w:t>联 系 人：   彭小循、熊艺菡                                        </w:t>
            </w:r>
          </w:p>
        </w:tc>
      </w:tr>
      <w:tr w14:paraId="4DC09817">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35941DFB">
            <w:pPr>
              <w:pStyle w:val="3"/>
              <w:bidi w:val="0"/>
            </w:pPr>
            <w:r>
              <w:rPr>
                <w:rFonts w:hint="default"/>
              </w:rPr>
              <w:t>电    话：     15920312475          </w:t>
            </w:r>
          </w:p>
        </w:tc>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1683B163">
            <w:pPr>
              <w:pStyle w:val="3"/>
              <w:bidi w:val="0"/>
            </w:pPr>
            <w:r>
              <w:rPr>
                <w:rFonts w:hint="default"/>
              </w:rPr>
              <w:t>电    话：  15521144392 、18930015762          </w:t>
            </w:r>
          </w:p>
        </w:tc>
      </w:tr>
      <w:tr w14:paraId="709B946E">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2C883D1D">
            <w:pPr>
              <w:pStyle w:val="3"/>
              <w:bidi w:val="0"/>
            </w:pPr>
            <w:r>
              <w:rPr>
                <w:rFonts w:hint="default"/>
              </w:rPr>
              <w:t>    </w:t>
            </w:r>
          </w:p>
        </w:tc>
        <w:tc>
          <w:tcPr>
            <w:tcW w:w="2880" w:type="dxa"/>
            <w:tcBorders>
              <w:bottom w:val="single" w:color="CCCCCC" w:sz="4" w:space="0"/>
              <w:right w:val="single" w:color="CCCCCC" w:sz="4" w:space="0"/>
            </w:tcBorders>
            <w:shd w:val="clear"/>
            <w:tcMar>
              <w:top w:w="30" w:type="dxa"/>
              <w:left w:w="50" w:type="dxa"/>
              <w:bottom w:w="30" w:type="dxa"/>
              <w:right w:w="50" w:type="dxa"/>
            </w:tcMar>
            <w:vAlign w:val="center"/>
          </w:tcPr>
          <w:p w14:paraId="07AAA9D9">
            <w:pPr>
              <w:pStyle w:val="3"/>
              <w:bidi w:val="0"/>
            </w:pPr>
            <w:r>
              <w:rPr>
                <w:rFonts w:hint="default"/>
              </w:rPr>
              <w:t>电子邮件：     x158505625@163.com</w:t>
            </w:r>
          </w:p>
        </w:tc>
      </w:tr>
    </w:tbl>
    <w:p w14:paraId="6B051DBF">
      <w:pPr>
        <w:pStyle w:val="3"/>
        <w:bidi w:val="0"/>
        <w:rPr>
          <w:rFonts w:hint="default"/>
        </w:rPr>
      </w:pPr>
      <w:r>
        <w:rPr>
          <w:rFonts w:hint="default"/>
        </w:rPr>
        <w:t> </w:t>
      </w:r>
    </w:p>
    <w:p w14:paraId="4C24606C">
      <w:pPr>
        <w:pStyle w:val="3"/>
        <w:bidi w:val="0"/>
        <w:rPr>
          <w:rFonts w:hint="default"/>
        </w:rPr>
      </w:pPr>
      <w:r>
        <w:rPr>
          <w:rFonts w:hint="default"/>
        </w:rPr>
        <w:t> </w:t>
      </w:r>
    </w:p>
    <w:p w14:paraId="2098B770">
      <w:pPr>
        <w:pStyle w:val="3"/>
        <w:bidi w:val="0"/>
        <w:rPr>
          <w:rFonts w:hint="default"/>
        </w:rPr>
      </w:pPr>
      <w:r>
        <w:rPr>
          <w:rFonts w:hint="default"/>
        </w:rPr>
        <w:t>电子招标运营单位：中油物采信息技术有限公司</w:t>
      </w:r>
    </w:p>
    <w:p w14:paraId="6C508862">
      <w:pPr>
        <w:pStyle w:val="3"/>
        <w:bidi w:val="0"/>
        <w:rPr>
          <w:rFonts w:hint="default"/>
        </w:rPr>
      </w:pPr>
      <w:r>
        <w:rPr>
          <w:rFonts w:hint="default"/>
        </w:rPr>
        <w:t>咨询电话：010-62069351</w:t>
      </w:r>
    </w:p>
    <w:p w14:paraId="041C322D">
      <w:pPr>
        <w:pStyle w:val="3"/>
        <w:bidi w:val="0"/>
        <w:rPr>
          <w:rFonts w:hint="default"/>
        </w:rPr>
      </w:pPr>
      <w:r>
        <w:rPr>
          <w:rFonts w:hint="default"/>
        </w:rPr>
        <w:t>如有疑问请在工作时间咨询。</w:t>
      </w:r>
    </w:p>
    <w:p w14:paraId="7922B75E">
      <w:pPr>
        <w:pStyle w:val="3"/>
        <w:bidi w:val="0"/>
        <w:rPr>
          <w:rFonts w:hint="default"/>
        </w:rPr>
      </w:pPr>
      <w:r>
        <w:rPr>
          <w:rFonts w:hint="default"/>
        </w:rPr>
        <w:t>招标公告中未尽事宜或与招标文件不符之处，以招标文件为准。</w:t>
      </w:r>
    </w:p>
    <w:p w14:paraId="3FA1BBEE">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8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2025-04-28T02:46:59Z</dcterms:created>
  <dc:creator>28039</dc:creator>
  <cp:lastModifiedBy>沫燃 *</cp:lastModifiedBy>
  <dcterms:modified xsi:type="dcterms:W3CDTF">2025-04-28T02:47:17Z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B172BBC9B9C7459E96BC70A163537673_12</vt:lpwstr>
  </property>
</Properties>
</file>