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2340F">
      <w:pPr>
        <w:pStyle w:val="2"/>
        <w:bidi w:val="0"/>
      </w:pPr>
      <w:r>
        <w:rPr>
          <w:rFonts w:hint="eastAsia"/>
        </w:rPr>
        <w:t>内蒙古兴安铜锌冶炼有限公司-</w:t>
      </w:r>
      <w:bookmarkStart w:id="0" w:name="_GoBack"/>
      <w:r>
        <w:rPr>
          <w:rFonts w:hint="eastAsia"/>
        </w:rPr>
        <w:t>2025年年度硫酸运输</w:t>
      </w:r>
      <w:bookmarkEnd w:id="0"/>
    </w:p>
    <w:p w14:paraId="37319252">
      <w:pPr>
        <w:pStyle w:val="2"/>
        <w:bidi w:val="0"/>
        <w:rPr>
          <w:rFonts w:hint="eastAsia"/>
        </w:rPr>
      </w:pPr>
      <w:r>
        <w:rPr>
          <w:rFonts w:hint="eastAsia"/>
        </w:rPr>
        <w:t>【竞价文件】（二次）</w:t>
      </w:r>
    </w:p>
    <w:p w14:paraId="61F679E4">
      <w:pPr>
        <w:pStyle w:val="2"/>
        <w:bidi w:val="0"/>
        <w:rPr>
          <w:rFonts w:hint="eastAsia"/>
        </w:rPr>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65"/>
        <w:gridCol w:w="7741"/>
      </w:tblGrid>
      <w:tr w14:paraId="12546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F4337">
            <w:pPr>
              <w:pStyle w:val="2"/>
              <w:bidi w:val="0"/>
            </w:pPr>
            <w:r>
              <w:t>条目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D0DDB">
            <w:pPr>
              <w:pStyle w:val="2"/>
              <w:bidi w:val="0"/>
            </w:pPr>
            <w:r>
              <w:t>内        容</w:t>
            </w:r>
          </w:p>
        </w:tc>
      </w:tr>
      <w:tr w14:paraId="62DE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88332">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F80A2">
            <w:pPr>
              <w:pStyle w:val="2"/>
              <w:bidi w:val="0"/>
            </w:pPr>
            <w:r>
              <w:t>内蒙古兴安铜锌冶炼有限公司-2025年年度硫酸运输项目（二次）</w:t>
            </w:r>
          </w:p>
        </w:tc>
      </w:tr>
      <w:tr w14:paraId="6EB36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FAFF8">
            <w:pPr>
              <w:pStyle w:val="2"/>
              <w:bidi w:val="0"/>
            </w:pPr>
            <w: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6689F">
            <w:pPr>
              <w:pStyle w:val="2"/>
              <w:bidi w:val="0"/>
            </w:pPr>
            <w:r>
              <w:t>XATX-2025XS-0005</w:t>
            </w:r>
          </w:p>
        </w:tc>
      </w:tr>
      <w:tr w14:paraId="1D0C7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C8BA5">
            <w:pPr>
              <w:pStyle w:val="2"/>
              <w:bidi w:val="0"/>
            </w:pPr>
            <w:r>
              <w:t>项目概况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50A67">
            <w:pPr>
              <w:pStyle w:val="2"/>
              <w:bidi w:val="0"/>
            </w:pPr>
            <w:r>
              <w:t>1、采购内容：内蒙古兴安铜锌冶炼有限公司-2025年年度硫酸运输项目，本运输项目设3个标段，供应商可根据自身实力可以同投同中，详见下表：</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
              <w:gridCol w:w="3940"/>
              <w:gridCol w:w="1540"/>
              <w:gridCol w:w="1153"/>
            </w:tblGrid>
            <w:tr w14:paraId="3B9D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17D21">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BEC37">
                  <w:pPr>
                    <w:pStyle w:val="2"/>
                    <w:bidi w:val="0"/>
                  </w:pPr>
                  <w:r>
                    <w:t>运输路线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6AC86">
                  <w:pPr>
                    <w:pStyle w:val="2"/>
                    <w:bidi w:val="0"/>
                  </w:pPr>
                  <w:r>
                    <w:t>预计运输距离</w:t>
                  </w:r>
                </w:p>
                <w:p w14:paraId="5EDFF281">
                  <w:pPr>
                    <w:pStyle w:val="2"/>
                    <w:bidi w:val="0"/>
                  </w:pPr>
                  <w:r>
                    <w:t>（公里）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07EF2D">
                  <w:pPr>
                    <w:pStyle w:val="2"/>
                    <w:bidi w:val="0"/>
                  </w:pPr>
                  <w:r>
                    <w:t>最高限价</w:t>
                  </w:r>
                </w:p>
                <w:p w14:paraId="3D2266E7">
                  <w:pPr>
                    <w:pStyle w:val="2"/>
                    <w:bidi w:val="0"/>
                  </w:pPr>
                  <w:r>
                    <w:t>（元/吨）</w:t>
                  </w:r>
                </w:p>
              </w:tc>
            </w:tr>
            <w:tr w14:paraId="5F3E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B6782">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FB39A">
                  <w:pPr>
                    <w:pStyle w:val="2"/>
                    <w:bidi w:val="0"/>
                  </w:pPr>
                  <w:r>
                    <w:t>内蒙古永和氟化工有限公司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8FE86">
                  <w:pPr>
                    <w:pStyle w:val="2"/>
                    <w:bidi w:val="0"/>
                  </w:pPr>
                  <w:r>
                    <w:t>770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43135">
                  <w:pPr>
                    <w:pStyle w:val="2"/>
                    <w:bidi w:val="0"/>
                  </w:pPr>
                  <w:r>
                    <w:t>280</w:t>
                  </w:r>
                </w:p>
              </w:tc>
            </w:tr>
            <w:tr w14:paraId="2359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A71F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41374">
                  <w:pPr>
                    <w:pStyle w:val="2"/>
                    <w:bidi w:val="0"/>
                  </w:pPr>
                  <w:r>
                    <w:t>内蒙古华生氢氟酸有限责任公司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2920D">
                  <w:pPr>
                    <w:pStyle w:val="2"/>
                    <w:bidi w:val="0"/>
                  </w:pPr>
                  <w:r>
                    <w:t>770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DCD2F">
                  <w:pPr>
                    <w:pStyle w:val="2"/>
                    <w:bidi w:val="0"/>
                  </w:pPr>
                  <w:r>
                    <w:t>280</w:t>
                  </w:r>
                </w:p>
              </w:tc>
            </w:tr>
            <w:tr w14:paraId="4613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0EEE5">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C7815">
                  <w:pPr>
                    <w:pStyle w:val="2"/>
                    <w:bidi w:val="0"/>
                  </w:pPr>
                  <w:r>
                    <w:t>内蒙古中核矿业（苏尼特左旗）公司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405A3">
                  <w:pPr>
                    <w:pStyle w:val="2"/>
                    <w:bidi w:val="0"/>
                  </w:pPr>
                  <w: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5FACA">
                  <w:pPr>
                    <w:pStyle w:val="2"/>
                    <w:bidi w:val="0"/>
                  </w:pPr>
                  <w:r>
                    <w:t>158</w:t>
                  </w:r>
                </w:p>
              </w:tc>
            </w:tr>
          </w:tbl>
          <w:p w14:paraId="37F4A2CE">
            <w:pPr>
              <w:pStyle w:val="2"/>
              <w:bidi w:val="0"/>
            </w:pPr>
            <w:r>
              <w:t>2、服务周期：自合同签订之日至2026年4月30日</w:t>
            </w:r>
          </w:p>
          <w:p w14:paraId="019AAE5F">
            <w:pPr>
              <w:pStyle w:val="2"/>
              <w:bidi w:val="0"/>
            </w:pPr>
            <w:r>
              <w:t>3、标段划分：划分为3个标段，每标段确定1名成交供应商</w:t>
            </w:r>
          </w:p>
          <w:p w14:paraId="2DCE0687">
            <w:pPr>
              <w:pStyle w:val="2"/>
              <w:bidi w:val="0"/>
            </w:pPr>
            <w:r>
              <w:t>4、运输要求：</w:t>
            </w:r>
          </w:p>
          <w:p w14:paraId="01FA9BC5">
            <w:pPr>
              <w:pStyle w:val="2"/>
              <w:bidi w:val="0"/>
            </w:pPr>
            <w:r>
              <w:t>（1）运输路线以吨计价采购。自有车辆不少于15辆，每天不少于10车，所有运输车辆要求每车必须配备专职司机及专职押运员，司机和押运员不得为同一人。在运输期限内，运输数量约100000吨。供应商请仔细阅读附件（车辆运输安全管理协议），按协议提供相关资质及资料，签订合同同时签订该协议；</w:t>
            </w:r>
          </w:p>
          <w:p w14:paraId="5560330A">
            <w:pPr>
              <w:pStyle w:val="2"/>
              <w:bidi w:val="0"/>
            </w:pPr>
            <w:r>
              <w:t>（2）运输公司考虑各种风险及运输过程中可能产生的各种费用，自主确定报价。凡因运输公司对投标说明阅读疏忽或误解，或因对市场行情等了解不清造成的后果和风险，由供应商承担，运输期内综合单价不做任何调整；</w:t>
            </w:r>
          </w:p>
          <w:p w14:paraId="04EAC559">
            <w:pPr>
              <w:pStyle w:val="2"/>
              <w:bidi w:val="0"/>
            </w:pPr>
            <w:r>
              <w:t>（3）运输公司硫酸车辆保险额度需达到两千万。</w:t>
            </w:r>
          </w:p>
          <w:p w14:paraId="4E75898D">
            <w:pPr>
              <w:pStyle w:val="2"/>
              <w:bidi w:val="0"/>
            </w:pPr>
            <w:r>
              <w:t>5、车辆要求：运输过程中的安全环保问题由供应商负责，与采购人无关。</w:t>
            </w:r>
          </w:p>
          <w:p w14:paraId="08752B62">
            <w:pPr>
              <w:pStyle w:val="2"/>
              <w:bidi w:val="0"/>
            </w:pPr>
            <w:r>
              <w:t>6、付款方式：运输量以采购人磅单净重数量为准，经双方审核无误后，供应商开具9%运输专用发票，采购人在收到发票后30个工作日内向供应商支付运费。如有扣除的款项，应在运费或保证金中扣除。</w:t>
            </w:r>
          </w:p>
          <w:p w14:paraId="1BFF4B3D">
            <w:pPr>
              <w:pStyle w:val="2"/>
              <w:bidi w:val="0"/>
            </w:pPr>
            <w:r>
              <w:t>7、本项目最终解释权归内蒙古兴安铜锌冶炼有限公司。</w:t>
            </w:r>
          </w:p>
        </w:tc>
      </w:tr>
      <w:tr w14:paraId="555BC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14928">
            <w:pPr>
              <w:pStyle w:val="2"/>
              <w:bidi w:val="0"/>
            </w:pPr>
            <w:r>
              <w:t>报名时间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8A5FC">
            <w:pPr>
              <w:pStyle w:val="2"/>
              <w:bidi w:val="0"/>
            </w:pPr>
            <w:r>
              <w:t>2025年4月28日9时00 分 --- 2025 年5月1日 9时00 分 </w:t>
            </w:r>
          </w:p>
        </w:tc>
      </w:tr>
      <w:tr w14:paraId="71D4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92223">
            <w:pPr>
              <w:pStyle w:val="2"/>
              <w:bidi w:val="0"/>
            </w:pPr>
            <w:r>
              <w:t>供应商资格审查标准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2B4CE">
            <w:pPr>
              <w:pStyle w:val="2"/>
              <w:bidi w:val="0"/>
            </w:pPr>
            <w:r>
              <w:t>供应商应在报价截止时间前将以下资料扫描件整理成PDF格式文件，通过“上传报价文件”模块线上递交：</w:t>
            </w:r>
          </w:p>
          <w:p w14:paraId="1190448D">
            <w:pPr>
              <w:pStyle w:val="2"/>
              <w:bidi w:val="0"/>
            </w:pPr>
            <w:r>
              <w:t>1、法定代表人身份证明，如是委托人参与报价则需提供法定代表人授权委托书；</w:t>
            </w:r>
          </w:p>
          <w:p w14:paraId="0C7B89EC">
            <w:pPr>
              <w:pStyle w:val="2"/>
              <w:bidi w:val="0"/>
            </w:pPr>
            <w:r>
              <w:t>2、具有国内独立法人的一般纳税人资格（提供证明材料）；</w:t>
            </w:r>
          </w:p>
          <w:p w14:paraId="5D76E06A">
            <w:pPr>
              <w:pStyle w:val="2"/>
              <w:bidi w:val="0"/>
            </w:pPr>
            <w:r>
              <w:t>3、提供供应商的道路运输经营许可证（提供供应商法定代表人/负责人的道路运输经营许可证无效）；</w:t>
            </w:r>
          </w:p>
          <w:p w14:paraId="33C12679">
            <w:pPr>
              <w:pStyle w:val="2"/>
              <w:bidi w:val="0"/>
            </w:pPr>
            <w:r>
              <w:t>4、提供供应商的危险货物道路运输许可证；</w:t>
            </w:r>
          </w:p>
          <w:p w14:paraId="41499551">
            <w:pPr>
              <w:pStyle w:val="2"/>
              <w:bidi w:val="0"/>
            </w:pPr>
            <w:r>
              <w:t>5、供应商须承诺符合《中华人民共和国道路运输条例》的规定（提供承诺函）；</w:t>
            </w:r>
          </w:p>
          <w:p w14:paraId="7EC9B5FD">
            <w:pPr>
              <w:pStyle w:val="2"/>
              <w:bidi w:val="0"/>
            </w:pPr>
            <w:r>
              <w:t>6、供应商须提供其名下自有或租赁15辆以上的符合国家道路运输规定的危险化学品罐车（提供车辆行驶证及保险单等证明文件，如车辆为租赁需提供租赁合同）；</w:t>
            </w:r>
          </w:p>
          <w:p w14:paraId="40BA15F1">
            <w:pPr>
              <w:pStyle w:val="2"/>
              <w:bidi w:val="0"/>
            </w:pPr>
            <w:r>
              <w:t>7、提供不少于10名运输人员的危险货物运输从业资格证；</w:t>
            </w:r>
          </w:p>
          <w:p w14:paraId="2A8E1887">
            <w:pPr>
              <w:pStyle w:val="2"/>
              <w:bidi w:val="0"/>
            </w:pPr>
            <w:r>
              <w:t>8、提供基本户存款账户信息证明；</w:t>
            </w:r>
          </w:p>
          <w:p w14:paraId="11F5FD61">
            <w:pPr>
              <w:pStyle w:val="2"/>
              <w:bidi w:val="0"/>
            </w:pPr>
            <w:r>
              <w:t>9、意向供应商提供响应承诺书；</w:t>
            </w:r>
          </w:p>
          <w:p w14:paraId="486C07F7">
            <w:pPr>
              <w:pStyle w:val="2"/>
              <w:bidi w:val="0"/>
            </w:pPr>
            <w:r>
              <w:t>10、企业信誉：未被人民法院列为失信被执行人、重大税收违法失信主体，提供信用中国（www.creditchina.gov.cn）截图，以网站查询结果为准；</w:t>
            </w:r>
          </w:p>
          <w:p w14:paraId="6DD78034">
            <w:pPr>
              <w:pStyle w:val="2"/>
              <w:bidi w:val="0"/>
            </w:pPr>
            <w:r>
              <w:t>11、其他要求：（1）本项目不允许转包或私自分包，不接受联合体；（2）与采购人存在利害关系可能影响公正性的法人、其他组织或者个人，不得参加本项目。</w:t>
            </w:r>
          </w:p>
          <w:p w14:paraId="4F78D83F">
            <w:pPr>
              <w:pStyle w:val="2"/>
              <w:bidi w:val="0"/>
            </w:pPr>
            <w:r>
              <w:t>注：</w:t>
            </w:r>
          </w:p>
          <w:p w14:paraId="5CF5648A">
            <w:pPr>
              <w:pStyle w:val="2"/>
              <w:bidi w:val="0"/>
            </w:pPr>
            <w:r>
              <w:t>1、以上资料应在规定时间内递交，否则将视为无效资料。采购人项目负责人拒绝接收其他方式递交的所有资料，同时提醒供应商在竞价期间内注意自己单位信息的保密，保障公平竞价的环境。</w:t>
            </w:r>
          </w:p>
          <w:p w14:paraId="68F12499">
            <w:pPr>
              <w:pStyle w:val="2"/>
              <w:bidi w:val="0"/>
            </w:pPr>
            <w:r>
              <w:t>2、如上传的供应商资格审核资料中涉及商业秘密的，供应商须注意保护，采购人不负责承担资料泄密责任及因此引起的其他责任。</w:t>
            </w:r>
          </w:p>
        </w:tc>
      </w:tr>
      <w:tr w14:paraId="6FAC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7CE0B">
            <w:pPr>
              <w:pStyle w:val="2"/>
              <w:bidi w:val="0"/>
            </w:pPr>
            <w:r>
              <w:t>审查方式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448E7">
            <w:pPr>
              <w:pStyle w:val="2"/>
              <w:bidi w:val="0"/>
            </w:pPr>
            <w:r>
              <w:t>资格后审。报价结束后，采购人按照文件约定审查供应商资料合规性，最终确定成交供应商和成交价格，其中资料真实性由供应商负责。</w:t>
            </w:r>
          </w:p>
        </w:tc>
      </w:tr>
      <w:tr w14:paraId="1DCFF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F5007">
            <w:pPr>
              <w:pStyle w:val="2"/>
              <w:bidi w:val="0"/>
            </w:pPr>
            <w:r>
              <w:t>报价规则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A4592A">
            <w:pPr>
              <w:pStyle w:val="2"/>
              <w:bidi w:val="0"/>
            </w:pPr>
            <w:r>
              <w:t>1、报价时间：同报名时间</w:t>
            </w:r>
          </w:p>
          <w:p w14:paraId="57616CFD">
            <w:pPr>
              <w:pStyle w:val="2"/>
              <w:bidi w:val="0"/>
            </w:pPr>
            <w:r>
              <w:t>2、报价要求：报价含税，超出最高限价属于无效报价；供应商根据项目情况及服务内容自行报价，符合资格要求且报价最低者为成交供应商。报价后没有议价环节，请报最终价格。</w:t>
            </w:r>
          </w:p>
          <w:p w14:paraId="5C86F0D9">
            <w:pPr>
              <w:pStyle w:val="2"/>
              <w:bidi w:val="0"/>
            </w:pPr>
            <w:r>
              <w:t>注：</w:t>
            </w:r>
          </w:p>
          <w:p w14:paraId="5C170358">
            <w:pPr>
              <w:pStyle w:val="2"/>
              <w:bidi w:val="0"/>
            </w:pPr>
            <w:r>
              <w:t>（1）报价单填写要清晰明了，如含糊不清则视为无效报价。</w:t>
            </w:r>
          </w:p>
          <w:p w14:paraId="048753DE">
            <w:pPr>
              <w:pStyle w:val="2"/>
              <w:bidi w:val="0"/>
            </w:pPr>
            <w:r>
              <w:t>（2）潜在供应商发出报价即视为了解并认同项目公告及相关附件中的一切要求。</w:t>
            </w:r>
          </w:p>
        </w:tc>
      </w:tr>
      <w:tr w14:paraId="79F6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8BEFA">
            <w:pPr>
              <w:pStyle w:val="2"/>
              <w:bidi w:val="0"/>
            </w:pPr>
            <w: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60E0B">
            <w:pPr>
              <w:pStyle w:val="2"/>
              <w:bidi w:val="0"/>
            </w:pPr>
            <w:r>
              <w:t>网上竞价（单轮竞价，供应商通过平台电子竞价系统一次报出不可更改的价格）</w:t>
            </w:r>
          </w:p>
        </w:tc>
      </w:tr>
      <w:tr w14:paraId="66D51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068DC">
            <w:pPr>
              <w:pStyle w:val="2"/>
              <w:bidi w:val="0"/>
            </w:pPr>
            <w:r>
              <w:t>报价流程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83908">
            <w:pPr>
              <w:pStyle w:val="2"/>
              <w:bidi w:val="0"/>
            </w:pPr>
            <w:r>
              <w:t>1、注册和报名阶段：供应商注册账户（内蒙古地质矿产集团阳光采购平台，登录网址：https://www.nmgdkcx.com），登录账号后在网上进行报名。</w:t>
            </w:r>
          </w:p>
          <w:p w14:paraId="33EC6BD5">
            <w:pPr>
              <w:pStyle w:val="2"/>
              <w:bidi w:val="0"/>
            </w:pPr>
            <w:r>
              <w:t>2、签章办理阶段：（1）实体CA办理方式：登录内蒙古地质矿产集团阳光采购平台（https://ww.nmgdkcx.com/#）后进入右侧CA申请模块提交办理资料，提交完成后由平台办理邮寄。（2）地矿智采APP办理方式：进入内蒙古地质矿产集团阳光采购平台（https://www.nmgdkcx.com）点击核心业务中的CA办理前往下载APP，下载完成后注册企业（由平台审核）或加入企业（由企业负责人登陆APP审核），审核通过后添加、申请用章，通过后即可使用。</w:t>
            </w:r>
          </w:p>
          <w:p w14:paraId="77D0DE8C">
            <w:pPr>
              <w:pStyle w:val="2"/>
              <w:bidi w:val="0"/>
            </w:pPr>
            <w:r>
              <w:t>3、缴纳保证金阶段：本项目为网上竞价项目，供应商报名及缴纳保证金成功后即可在上述报价时间内进行报价。</w:t>
            </w:r>
          </w:p>
          <w:p w14:paraId="6B7AB834">
            <w:pPr>
              <w:pStyle w:val="2"/>
              <w:bidi w:val="0"/>
            </w:pPr>
            <w:r>
              <w:t>4、报价阶段：供应商在报价截止时间前进行报价。</w:t>
            </w:r>
          </w:p>
          <w:p w14:paraId="15961DA2">
            <w:pPr>
              <w:pStyle w:val="2"/>
              <w:bidi w:val="0"/>
            </w:pPr>
            <w:r>
              <w:t>5、递交资料阶段：成交供应商在文件要求的时间内按要求完成资料递交。</w:t>
            </w:r>
          </w:p>
          <w:p w14:paraId="3F36BDE9">
            <w:pPr>
              <w:pStyle w:val="2"/>
              <w:bidi w:val="0"/>
            </w:pPr>
            <w:r>
              <w:t>6、公示阶段：供应商在公示期内可对公示内容向采购人提出书面异议。</w:t>
            </w:r>
          </w:p>
          <w:p w14:paraId="6FEFE596">
            <w:pPr>
              <w:pStyle w:val="2"/>
              <w:bidi w:val="0"/>
            </w:pPr>
            <w:r>
              <w:t>7、发布通知书：公示期无异议或异议妥善处理后1个工作日发布成交通知书。</w:t>
            </w:r>
          </w:p>
        </w:tc>
      </w:tr>
      <w:tr w14:paraId="18F5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25B64">
            <w:pPr>
              <w:pStyle w:val="2"/>
              <w:bidi w:val="0"/>
            </w:pPr>
            <w:r>
              <w:t>诚信保证金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A2CBC">
            <w:pPr>
              <w:pStyle w:val="2"/>
              <w:bidi w:val="0"/>
            </w:pPr>
            <w:r>
              <w:t>1、缴纳金额：1标段50000.00元、2标段50000.00元、3标段100000.00元</w:t>
            </w:r>
          </w:p>
          <w:p w14:paraId="1C766B42">
            <w:pPr>
              <w:pStyle w:val="2"/>
              <w:bidi w:val="0"/>
            </w:pPr>
            <w:r>
              <w:t>（注：须标明每标段的诚信保证金）；</w:t>
            </w:r>
          </w:p>
          <w:p w14:paraId="0779D3A2">
            <w:pPr>
              <w:pStyle w:val="2"/>
              <w:bidi w:val="0"/>
            </w:pPr>
            <w:r>
              <w:t>2、缴纳方式：银行汇款</w:t>
            </w:r>
          </w:p>
          <w:p w14:paraId="5F3D47E6">
            <w:pPr>
              <w:pStyle w:val="2"/>
              <w:bidi w:val="0"/>
            </w:pPr>
            <w:r>
              <w:t>3、截止时间：同报名截止时间（供应商诚信保证金到账时间以系统显示的到账时间为准）；</w:t>
            </w:r>
          </w:p>
          <w:p w14:paraId="6946588D">
            <w:pPr>
              <w:pStyle w:val="2"/>
              <w:bidi w:val="0"/>
            </w:pPr>
            <w:r>
              <w:t>4、保证金账户信息：</w:t>
            </w:r>
          </w:p>
          <w:p w14:paraId="16F343C9">
            <w:pPr>
              <w:pStyle w:val="2"/>
              <w:bidi w:val="0"/>
            </w:pPr>
            <w:r>
              <w:t>户  名：内蒙古兴安铜锌冶炼有限公司</w:t>
            </w:r>
          </w:p>
          <w:p w14:paraId="3CD125F2">
            <w:pPr>
              <w:pStyle w:val="2"/>
              <w:bidi w:val="0"/>
            </w:pPr>
            <w:r>
              <w:t>开户行：中国工商银行西乌珠穆沁旗支行</w:t>
            </w:r>
          </w:p>
          <w:p w14:paraId="727647C1">
            <w:pPr>
              <w:pStyle w:val="2"/>
              <w:bidi w:val="0"/>
            </w:pPr>
            <w:r>
              <w:t>账  号：0610034909200026740</w:t>
            </w:r>
          </w:p>
          <w:p w14:paraId="257A6879">
            <w:pPr>
              <w:pStyle w:val="2"/>
              <w:bidi w:val="0"/>
            </w:pPr>
            <w:r>
              <w:t>5、保证金的退还：保证金以我公司财务实际收款为准，并备注“诚信保证金”。定价后未被确认为成交供应商，5个工作日内由我公司经营管理部负责退还诚信保证金。被确认为成交供应商的，其诚信保证金自动转为履约保证金，在合同履行完成后由我公司经营管理部负责退还。我公司未收到保证金的报价视为无效报价。</w:t>
            </w:r>
          </w:p>
          <w:p w14:paraId="3259D766">
            <w:pPr>
              <w:pStyle w:val="2"/>
              <w:bidi w:val="0"/>
            </w:pPr>
            <w:r>
              <w:t>注：意向供应商一旦报名并缴纳保证金，即表明已完全了解与认可项目状况及相关约定，自愿接受项目的全部现状与瑕疵，并愿承担一切责任与风险，被确定成交资格后不得以不了解项目状况、项目有瑕疵等为由而拒绝履行相关义务，否则 视为违约，采购人将按照约定处置交易保证金。</w:t>
            </w:r>
          </w:p>
        </w:tc>
      </w:tr>
      <w:tr w14:paraId="228D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D6B8B">
            <w:pPr>
              <w:pStyle w:val="2"/>
              <w:bidi w:val="0"/>
            </w:pPr>
            <w:r>
              <w:t>保证金</w:t>
            </w:r>
          </w:p>
          <w:p w14:paraId="5BE439A9">
            <w:pPr>
              <w:pStyle w:val="2"/>
              <w:bidi w:val="0"/>
            </w:pPr>
            <w:r>
              <w:t>保证内容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224ED">
            <w:pPr>
              <w:pStyle w:val="2"/>
              <w:bidi w:val="0"/>
            </w:pPr>
            <w:r>
              <w:t>为保护采购活动各方的合法权益，杜绝非真实意向供应商，采购人在此作出特别提示，供应商一旦报名成功并交纳保证金，即视为对如下内容予以认可：非因采购人的原因，如供应商存在以下任何一种情形时，采购人有权扣除供应商已交纳的保证金作为补偿，保证金不足以补偿的，采购人可按实际损失继续追诉（供应商已交纳的保证金在扣除系统使用费后，剩余保证金作为采购人的赔偿）；（1）在被确定为最终成交人撤回其报价的，或未按照文件及成交通知书约定签订购销合同或未按照约定及时支付系统使用费；（2）未按文件约定时间递交报名资料的；（3）供应商提交的材料存在虚假或伪造情形的；（4）违反相关法律法规其他情况。</w:t>
            </w:r>
          </w:p>
        </w:tc>
      </w:tr>
      <w:tr w14:paraId="5294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D6088">
            <w:pPr>
              <w:pStyle w:val="2"/>
              <w:bidi w:val="0"/>
            </w:pPr>
            <w:r>
              <w:t>履约约定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92EDF">
            <w:pPr>
              <w:pStyle w:val="2"/>
              <w:bidi w:val="0"/>
            </w:pPr>
            <w:r>
              <w:t>1、《服务合同》应在成交通知书发出之日起3日内签署，签署地为采购人指定地址。合同签订后，成交供应商负责将合同复印件加盖公章发送文件指定邮箱（邮箱地址：xatxylbjzb@126.com），采购人收到邮件且成交供应商已缴纳系统使用费后5个工作日内退还保证金。</w:t>
            </w:r>
          </w:p>
          <w:p w14:paraId="06DD28F6">
            <w:pPr>
              <w:pStyle w:val="2"/>
              <w:bidi w:val="0"/>
            </w:pPr>
            <w:r>
              <w:t>2、采购人和成交供应商须按照采购公告和成交供应商的供应商资格审查资料订立书面合同，不得再行订立背离合同实质性内容的其他协议；</w:t>
            </w:r>
          </w:p>
          <w:p w14:paraId="4BD5A97D">
            <w:pPr>
              <w:pStyle w:val="2"/>
              <w:bidi w:val="0"/>
            </w:pPr>
            <w:r>
              <w:t>3、合同签订前，采购人有权针对成交供应商的履约能力（如有必要可进行现场考察）及供应商资格审查资料中所有材料（例如企业资质证书、人员证书、合同、发票、检测报告等，具体材料以招标公告中的要求为准）的真实性进行核验，成交供应商须通过提供原件等方式进行配合，因提供虚假材料而造成的一切法律后果由成交供应商自行承担。</w:t>
            </w:r>
          </w:p>
        </w:tc>
      </w:tr>
      <w:tr w14:paraId="4E6F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9A673">
            <w:pPr>
              <w:pStyle w:val="2"/>
              <w:bidi w:val="0"/>
            </w:pPr>
            <w:r>
              <w:t>系统使用费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86E6D">
            <w:pPr>
              <w:pStyle w:val="2"/>
              <w:bidi w:val="0"/>
            </w:pPr>
            <w:r>
              <w:t>系统使用费：平台系统不收取服务费。</w:t>
            </w:r>
          </w:p>
        </w:tc>
      </w:tr>
      <w:tr w14:paraId="1D93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A1583">
            <w:pPr>
              <w:pStyle w:val="2"/>
              <w:bidi w:val="0"/>
            </w:pPr>
            <w:r>
              <w:t>特别提示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BDA02">
            <w:pPr>
              <w:pStyle w:val="2"/>
              <w:bidi w:val="0"/>
            </w:pPr>
            <w:r>
              <w:t>1、供应商均应完全响应竞价文件要求，不得负偏离。未能完全响应的或资格条件不符合要求，采购人将不与该供应商签订合同，并且缴付的保证金不予退还，承担相应法律责任。</w:t>
            </w:r>
          </w:p>
          <w:p w14:paraId="5A7FE874">
            <w:pPr>
              <w:pStyle w:val="2"/>
              <w:bidi w:val="0"/>
            </w:pPr>
            <w:r>
              <w:t>2、如成交供应商撤回其报价，或未按照公告及成交通知书约定签订服务合同，或未按照约定及时支付履约保证金，或提交的材料存在虚假或伪造情形，或违反相关法律法规的，采购人有权取消其成交资格。</w:t>
            </w:r>
          </w:p>
        </w:tc>
      </w:tr>
      <w:tr w14:paraId="4546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4BAF4">
            <w:pPr>
              <w:pStyle w:val="2"/>
              <w:bidi w:val="0"/>
            </w:pPr>
            <w:r>
              <w:t>发布媒体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F27B9">
            <w:pPr>
              <w:pStyle w:val="2"/>
              <w:bidi w:val="0"/>
            </w:pPr>
            <w:r>
              <w:t>《中国招标投标公共服务平台》：http://www.cebpubservice.com/、《内蒙古自治区企业阳光采购服务平台》：http://www.nmgygcg.com/、《招标网》：http://、《内蒙古地质矿产集团阳光采购平台》:https://www.nmgdkcx.com，其他网站转载无效。</w:t>
            </w:r>
          </w:p>
        </w:tc>
      </w:tr>
      <w:tr w14:paraId="216B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7928C">
            <w:pPr>
              <w:pStyle w:val="2"/>
              <w:bidi w:val="0"/>
            </w:pPr>
            <w: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0DCE8A">
            <w:pPr>
              <w:pStyle w:val="2"/>
              <w:bidi w:val="0"/>
            </w:pPr>
            <w:r>
              <w:drawing>
                <wp:inline distT="0" distB="0" distL="114300" distR="114300">
                  <wp:extent cx="1743075" cy="666750"/>
                  <wp:effectExtent l="0" t="0" r="9525" b="635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743075" cy="666750"/>
                          </a:xfrm>
                          <a:prstGeom prst="rect">
                            <a:avLst/>
                          </a:prstGeom>
                          <a:noFill/>
                          <a:ln w="9525">
                            <a:noFill/>
                          </a:ln>
                        </pic:spPr>
                      </pic:pic>
                    </a:graphicData>
                  </a:graphic>
                </wp:inline>
              </w:drawing>
            </w:r>
            <w:r>
              <w:t>采购人：内蒙古兴安铜锌冶炼有限公司</w:t>
            </w:r>
          </w:p>
          <w:p w14:paraId="2940D8DB">
            <w:pPr>
              <w:pStyle w:val="2"/>
              <w:bidi w:val="0"/>
            </w:pPr>
            <w:r>
              <w:t>联 系 人：武宝山</w:t>
            </w:r>
          </w:p>
          <w:p w14:paraId="6BCF9BDE">
            <w:pPr>
              <w:pStyle w:val="2"/>
              <w:bidi w:val="0"/>
            </w:pPr>
            <w:r>
              <w:t>联系电话：15247990005</w:t>
            </w:r>
          </w:p>
          <w:p w14:paraId="3BEB09D1">
            <w:pPr>
              <w:pStyle w:val="2"/>
              <w:bidi w:val="0"/>
            </w:pPr>
            <w:r>
              <w:t>地    址：西乌珠穆沁旗白音华能源化工园区</w:t>
            </w:r>
          </w:p>
          <w:p w14:paraId="1F6F0268">
            <w:pPr>
              <w:pStyle w:val="2"/>
              <w:bidi w:val="0"/>
            </w:pPr>
            <w:r>
              <w:t>技术支持电话：15148346985</w:t>
            </w:r>
          </w:p>
        </w:tc>
      </w:tr>
      <w:tr w14:paraId="794E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D9133">
            <w:pPr>
              <w:pStyle w:val="2"/>
              <w:bidi w:val="0"/>
            </w:pPr>
            <w:r>
              <w:t>附 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30E691">
            <w:pPr>
              <w:pStyle w:val="2"/>
              <w:bidi w:val="0"/>
            </w:pPr>
            <w:r>
              <w:t>附件1：供应商资格审查资料提交格式</w:t>
            </w:r>
          </w:p>
          <w:p w14:paraId="4DEBD724">
            <w:pPr>
              <w:pStyle w:val="2"/>
              <w:bidi w:val="0"/>
            </w:pPr>
            <w:r>
              <w:t>附件2：合同模板</w:t>
            </w:r>
          </w:p>
          <w:p w14:paraId="0AF4307F">
            <w:pPr>
              <w:pStyle w:val="2"/>
              <w:bidi w:val="0"/>
            </w:pPr>
            <w:r>
              <w:t>附件3：报价表</w:t>
            </w:r>
          </w:p>
        </w:tc>
      </w:tr>
    </w:tbl>
    <w:p w14:paraId="7707A31C">
      <w:pPr>
        <w:pStyle w:val="2"/>
        <w:bidi w:val="0"/>
        <w:rPr>
          <w:rFonts w:hint="eastAsia"/>
        </w:rPr>
      </w:pPr>
      <w:r>
        <w:rPr>
          <w:rFonts w:hint="eastAsia"/>
        </w:rPr>
        <w:t> </w:t>
      </w:r>
    </w:p>
    <w:p w14:paraId="56EFEF8C">
      <w:pPr>
        <w:pStyle w:val="2"/>
        <w:bidi w:val="0"/>
      </w:pPr>
      <w:r>
        <w:rPr>
          <w:rFonts w:hint="eastAsia"/>
        </w:rPr>
        <w:drawing>
          <wp:inline distT="0" distB="0" distL="114300" distR="114300">
            <wp:extent cx="857250" cy="152400"/>
            <wp:effectExtent l="0" t="0" r="635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57250" cy="152400"/>
                    </a:xfrm>
                    <a:prstGeom prst="rect">
                      <a:avLst/>
                    </a:prstGeom>
                    <a:noFill/>
                    <a:ln w="9525">
                      <a:noFill/>
                    </a:ln>
                  </pic:spPr>
                </pic:pic>
              </a:graphicData>
            </a:graphic>
          </wp:inline>
        </w:drawing>
      </w:r>
      <w:r>
        <w:rPr>
          <w:rFonts w:hint="eastAsia"/>
        </w:rPr>
        <w:t> </w:t>
      </w:r>
    </w:p>
    <w:p w14:paraId="7665586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FF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2025-04-28T06:00:12Z</dcterms:created>
  <dc:creator>28039</dc:creator>
  <cp:lastModifiedBy>沫燃 *</cp:lastModifiedBy>
  <dcterms:modified xsi:type="dcterms:W3CDTF">2025-04-28T06:00:25Z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D61162082812445FB8C43BE21E82A994_12</vt:lpwstr>
  </property>
</Properties>
</file>