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FA2BF">
      <w:pPr>
        <w:spacing w:before="780" w:beforeLines="250"/>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eastAsia="zh-CN"/>
        </w:rPr>
        <w:drawing>
          <wp:anchor distT="0" distB="0" distL="114300" distR="114300" simplePos="0" relativeHeight="251660288" behindDoc="0" locked="0" layoutInCell="1" allowOverlap="1">
            <wp:simplePos x="0" y="0"/>
            <wp:positionH relativeFrom="column">
              <wp:posOffset>1179830</wp:posOffset>
            </wp:positionH>
            <wp:positionV relativeFrom="paragraph">
              <wp:posOffset>480060</wp:posOffset>
            </wp:positionV>
            <wp:extent cx="2878455" cy="3098800"/>
            <wp:effectExtent l="0" t="0" r="17145" b="6350"/>
            <wp:wrapNone/>
            <wp:docPr id="6" name="图片 6" descr="两山咨询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两山咨询logo"/>
                    <pic:cNvPicPr>
                      <a:picLocks noChangeAspect="1"/>
                    </pic:cNvPicPr>
                  </pic:nvPicPr>
                  <pic:blipFill>
                    <a:blip r:embed="rId9"/>
                    <a:stretch>
                      <a:fillRect/>
                    </a:stretch>
                  </pic:blipFill>
                  <pic:spPr>
                    <a:xfrm>
                      <a:off x="0" y="0"/>
                      <a:ext cx="2878455" cy="3098800"/>
                    </a:xfrm>
                    <a:prstGeom prst="rect">
                      <a:avLst/>
                    </a:prstGeom>
                  </pic:spPr>
                </pic:pic>
              </a:graphicData>
            </a:graphic>
          </wp:anchor>
        </w:drawing>
      </w:r>
    </w:p>
    <w:p w14:paraId="7870A13E">
      <w:pPr>
        <w:spacing w:before="780" w:beforeLines="250"/>
        <w:jc w:val="center"/>
        <w:rPr>
          <w:rFonts w:hint="eastAsia" w:ascii="仿宋" w:hAnsi="仿宋" w:eastAsia="仿宋" w:cs="仿宋"/>
          <w:b/>
          <w:color w:val="auto"/>
          <w:sz w:val="72"/>
          <w:szCs w:val="72"/>
        </w:rPr>
      </w:pPr>
    </w:p>
    <w:p w14:paraId="2498324F">
      <w:pPr>
        <w:spacing w:before="780" w:beforeLines="250"/>
        <w:jc w:val="center"/>
        <w:rPr>
          <w:rFonts w:hint="eastAsia" w:ascii="仿宋" w:hAnsi="仿宋" w:eastAsia="仿宋" w:cs="仿宋"/>
          <w:b/>
          <w:color w:val="auto"/>
          <w:sz w:val="72"/>
          <w:szCs w:val="72"/>
        </w:rPr>
      </w:pPr>
    </w:p>
    <w:p w14:paraId="547363E3">
      <w:pPr>
        <w:spacing w:before="780" w:beforeLines="250"/>
        <w:jc w:val="center"/>
        <w:rPr>
          <w:rFonts w:ascii="仿宋" w:hAnsi="仿宋" w:eastAsia="仿宋" w:cs="仿宋"/>
          <w:b/>
          <w:color w:val="auto"/>
          <w:sz w:val="72"/>
          <w:szCs w:val="72"/>
        </w:rPr>
      </w:pPr>
      <w:r>
        <w:rPr>
          <w:rFonts w:hint="eastAsia" w:ascii="仿宋" w:hAnsi="仿宋" w:eastAsia="仿宋" w:cs="仿宋"/>
          <w:b/>
          <w:color w:val="auto"/>
          <w:sz w:val="72"/>
          <w:szCs w:val="72"/>
        </w:rPr>
        <w:t>招标文件</w:t>
      </w:r>
    </w:p>
    <w:p w14:paraId="083F90E7">
      <w:pPr>
        <w:jc w:val="center"/>
        <w:rPr>
          <w:rFonts w:ascii="仿宋" w:hAnsi="仿宋" w:eastAsia="仿宋" w:cs="仿宋"/>
          <w:color w:val="auto"/>
          <w:sz w:val="28"/>
          <w:szCs w:val="28"/>
        </w:rPr>
      </w:pPr>
    </w:p>
    <w:p w14:paraId="010AF3FD">
      <w:pPr>
        <w:rPr>
          <w:rFonts w:ascii="仿宋" w:hAnsi="仿宋" w:eastAsia="仿宋" w:cs="仿宋"/>
          <w:color w:val="auto"/>
          <w:sz w:val="28"/>
          <w:szCs w:val="28"/>
        </w:rPr>
      </w:pPr>
    </w:p>
    <w:p w14:paraId="0C887E7E">
      <w:pPr>
        <w:rPr>
          <w:rFonts w:ascii="仿宋" w:hAnsi="仿宋" w:eastAsia="仿宋" w:cs="仿宋"/>
          <w:color w:val="auto"/>
        </w:rPr>
      </w:pPr>
    </w:p>
    <w:p w14:paraId="07A51BBE">
      <w:pPr>
        <w:rPr>
          <w:rFonts w:ascii="仿宋" w:hAnsi="仿宋" w:eastAsia="仿宋" w:cs="仿宋"/>
          <w:color w:val="auto"/>
          <w:sz w:val="28"/>
          <w:szCs w:val="28"/>
        </w:rPr>
      </w:pPr>
    </w:p>
    <w:p w14:paraId="6F51B71E">
      <w:pPr>
        <w:spacing w:line="360" w:lineRule="auto"/>
        <w:outlineLvl w:val="9"/>
        <w:rPr>
          <w:rFonts w:hint="eastAsia" w:ascii="仿宋" w:hAnsi="仿宋" w:eastAsia="仿宋" w:cs="仿宋"/>
          <w:color w:val="auto"/>
          <w:sz w:val="32"/>
          <w:szCs w:val="32"/>
          <w:highlight w:val="none"/>
          <w:lang w:eastAsia="zh-CN"/>
        </w:rPr>
      </w:pPr>
      <w:bookmarkStart w:id="0" w:name="_Toc31345"/>
      <w:r>
        <w:rPr>
          <w:rFonts w:hint="eastAsia" w:ascii="仿宋" w:hAnsi="仿宋" w:eastAsia="仿宋" w:cs="仿宋"/>
          <w:b/>
          <w:bCs/>
          <w:color w:val="auto"/>
          <w:sz w:val="32"/>
          <w:szCs w:val="32"/>
          <w:highlight w:val="none"/>
        </w:rPr>
        <w:t>项目名称：</w:t>
      </w:r>
      <w:bookmarkEnd w:id="0"/>
      <w:r>
        <w:rPr>
          <w:rFonts w:hint="eastAsia" w:ascii="仿宋" w:hAnsi="仿宋" w:eastAsia="仿宋" w:cs="仿宋"/>
          <w:color w:val="auto"/>
          <w:sz w:val="32"/>
          <w:szCs w:val="32"/>
          <w:highlight w:val="none"/>
          <w:lang w:eastAsia="zh-CN"/>
        </w:rPr>
        <w:t>哈尔滨马迭尔食品股份有限公司物流服务项目</w:t>
      </w:r>
    </w:p>
    <w:p w14:paraId="6DC6476D">
      <w:pPr>
        <w:spacing w:line="360" w:lineRule="auto"/>
        <w:outlineLvl w:val="9"/>
        <w:rPr>
          <w:rFonts w:hint="eastAsia" w:ascii="仿宋" w:hAnsi="仿宋" w:eastAsia="仿宋" w:cs="仿宋"/>
          <w:color w:val="auto"/>
          <w:sz w:val="32"/>
          <w:szCs w:val="32"/>
          <w:highlight w:val="none"/>
          <w:lang w:eastAsia="zh-CN"/>
        </w:rPr>
      </w:pPr>
      <w:bookmarkStart w:id="1" w:name="_Toc19628"/>
      <w:r>
        <w:rPr>
          <w:rFonts w:hint="eastAsia" w:ascii="仿宋" w:hAnsi="仿宋" w:eastAsia="仿宋" w:cs="仿宋"/>
          <w:b/>
          <w:bCs/>
          <w:color w:val="auto"/>
          <w:sz w:val="32"/>
          <w:szCs w:val="32"/>
          <w:highlight w:val="none"/>
        </w:rPr>
        <w:t>项目编号：</w:t>
      </w:r>
      <w:bookmarkEnd w:id="1"/>
      <w:r>
        <w:rPr>
          <w:rFonts w:hint="eastAsia" w:ascii="仿宋" w:hAnsi="仿宋" w:eastAsia="仿宋" w:cs="仿宋"/>
          <w:color w:val="auto"/>
          <w:sz w:val="32"/>
          <w:szCs w:val="32"/>
          <w:highlight w:val="none"/>
          <w:lang w:eastAsia="zh-CN"/>
        </w:rPr>
        <w:t>LSZX-2025-CG0063-1</w:t>
      </w:r>
    </w:p>
    <w:p w14:paraId="5CAA9C03">
      <w:pPr>
        <w:spacing w:line="360" w:lineRule="auto"/>
        <w:rPr>
          <w:rFonts w:hint="eastAsia" w:ascii="仿宋" w:hAnsi="仿宋" w:eastAsia="仿宋" w:cs="仿宋"/>
          <w:color w:val="auto"/>
          <w:sz w:val="32"/>
          <w:szCs w:val="32"/>
          <w:highlight w:val="none"/>
          <w:lang w:eastAsia="zh-CN"/>
        </w:rPr>
      </w:pPr>
      <w:r>
        <w:rPr>
          <w:rFonts w:hint="eastAsia" w:ascii="仿宋" w:hAnsi="仿宋" w:eastAsia="仿宋" w:cs="仿宋"/>
          <w:b/>
          <w:bCs/>
          <w:color w:val="auto"/>
          <w:sz w:val="32"/>
          <w:szCs w:val="32"/>
          <w:highlight w:val="none"/>
          <w:lang w:eastAsia="zh-CN"/>
        </w:rPr>
        <w:t>招标人</w:t>
      </w:r>
      <w:r>
        <w:rPr>
          <w:rFonts w:hint="eastAsia" w:ascii="仿宋" w:hAnsi="仿宋" w:eastAsia="仿宋" w:cs="仿宋"/>
          <w:b/>
          <w:bCs/>
          <w:color w:val="auto"/>
          <w:sz w:val="32"/>
          <w:szCs w:val="32"/>
          <w:highlight w:val="none"/>
        </w:rPr>
        <w:t>：</w:t>
      </w:r>
      <w:r>
        <w:rPr>
          <w:rFonts w:hint="eastAsia" w:ascii="仿宋" w:hAnsi="仿宋" w:eastAsia="仿宋" w:cs="仿宋"/>
          <w:color w:val="auto"/>
          <w:sz w:val="32"/>
          <w:szCs w:val="32"/>
          <w:highlight w:val="none"/>
          <w:lang w:eastAsia="zh-CN"/>
        </w:rPr>
        <w:t>马迭尔食品（浙江）有限公司</w:t>
      </w:r>
    </w:p>
    <w:p w14:paraId="76DCF0B0">
      <w:pPr>
        <w:spacing w:line="360" w:lineRule="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lang w:eastAsia="zh-CN"/>
        </w:rPr>
        <w:t>招标代理机构</w:t>
      </w:r>
      <w:r>
        <w:rPr>
          <w:rFonts w:hint="eastAsia" w:ascii="仿宋" w:hAnsi="仿宋" w:eastAsia="仿宋" w:cs="仿宋"/>
          <w:b/>
          <w:bCs/>
          <w:color w:val="auto"/>
          <w:sz w:val="32"/>
          <w:szCs w:val="32"/>
          <w:highlight w:val="none"/>
        </w:rPr>
        <w:t>：</w:t>
      </w:r>
      <w:r>
        <w:rPr>
          <w:rFonts w:hint="eastAsia" w:ascii="仿宋" w:hAnsi="仿宋" w:eastAsia="仿宋" w:cs="仿宋"/>
          <w:color w:val="auto"/>
          <w:sz w:val="32"/>
          <w:szCs w:val="32"/>
          <w:highlight w:val="none"/>
        </w:rPr>
        <w:t>衢州市两山工程咨询管理有限公司</w:t>
      </w:r>
    </w:p>
    <w:p w14:paraId="599EDDD1">
      <w:pPr>
        <w:pStyle w:val="21"/>
        <w:rPr>
          <w:rFonts w:hint="eastAsia" w:ascii="仿宋" w:hAnsi="仿宋" w:eastAsia="仿宋" w:cs="仿宋"/>
          <w:color w:val="auto"/>
          <w:sz w:val="32"/>
          <w:szCs w:val="32"/>
          <w:highlight w:val="none"/>
        </w:rPr>
      </w:pPr>
    </w:p>
    <w:p w14:paraId="46228988">
      <w:pPr>
        <w:spacing w:after="400" w:line="560" w:lineRule="exact"/>
        <w:jc w:val="center"/>
        <w:rPr>
          <w:rFonts w:hint="eastAsia" w:ascii="仿宋" w:hAnsi="仿宋" w:eastAsia="仿宋" w:cs="仿宋"/>
          <w:color w:val="auto"/>
          <w:sz w:val="32"/>
          <w:szCs w:val="32"/>
          <w:highlight w:val="yellow"/>
        </w:rPr>
      </w:pPr>
      <w:r>
        <w:rPr>
          <w:rFonts w:hint="eastAsia" w:ascii="仿宋" w:hAnsi="仿宋" w:eastAsia="仿宋" w:cs="仿宋"/>
          <w:color w:val="auto"/>
          <w:sz w:val="32"/>
          <w:szCs w:val="32"/>
          <w:highlight w:val="none"/>
        </w:rPr>
        <w:t>二〇二</w:t>
      </w:r>
      <w:r>
        <w:rPr>
          <w:rFonts w:hint="eastAsia" w:ascii="仿宋" w:hAnsi="仿宋" w:eastAsia="仿宋" w:cs="仿宋"/>
          <w:color w:val="auto"/>
          <w:sz w:val="32"/>
          <w:szCs w:val="32"/>
          <w:highlight w:val="none"/>
          <w:lang w:val="en-US" w:eastAsia="zh-CN"/>
        </w:rPr>
        <w:t>五</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五</w:t>
      </w:r>
      <w:r>
        <w:rPr>
          <w:rFonts w:hint="eastAsia" w:ascii="仿宋" w:hAnsi="仿宋" w:eastAsia="仿宋" w:cs="仿宋"/>
          <w:color w:val="auto"/>
          <w:sz w:val="32"/>
          <w:szCs w:val="32"/>
          <w:highlight w:val="none"/>
        </w:rPr>
        <w:t>月</w:t>
      </w:r>
    </w:p>
    <w:p w14:paraId="38A46963">
      <w:pPr>
        <w:rPr>
          <w:color w:val="auto"/>
        </w:rPr>
        <w:sectPr>
          <w:pgSz w:w="11906" w:h="16838"/>
          <w:pgMar w:top="1440" w:right="1800" w:bottom="1440" w:left="1800" w:header="851" w:footer="992" w:gutter="0"/>
          <w:cols w:space="425" w:num="1"/>
          <w:docGrid w:type="lines" w:linePitch="312" w:charSpace="0"/>
        </w:sectPr>
      </w:pPr>
    </w:p>
    <w:p w14:paraId="0AED03F3">
      <w:pPr>
        <w:outlineLvl w:val="9"/>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sdt>
      <w:sdtPr>
        <w:rPr>
          <w:rFonts w:ascii="宋体" w:hAnsi="宋体" w:eastAsia="宋体" w:cs="Times New Roman"/>
          <w:color w:val="auto"/>
          <w:kern w:val="2"/>
          <w:sz w:val="21"/>
          <w:lang w:val="en-US" w:eastAsia="zh-CN" w:bidi="ar-SA"/>
        </w:rPr>
        <w:id w:val="147463410"/>
        <w15:color w:val="DBDBDB"/>
        <w:docPartObj>
          <w:docPartGallery w:val="Table of Contents"/>
          <w:docPartUnique/>
        </w:docPartObj>
      </w:sdtPr>
      <w:sdtEndPr>
        <w:rPr>
          <w:rFonts w:ascii="宋体" w:hAnsi="宋体" w:eastAsia="宋体" w:cs="Times New Roman"/>
          <w:color w:val="auto"/>
          <w:kern w:val="2"/>
          <w:sz w:val="21"/>
          <w:lang w:val="en-US" w:eastAsia="zh-CN" w:bidi="ar-SA"/>
        </w:rPr>
      </w:sdtEndPr>
      <w:sdtContent>
        <w:p w14:paraId="3D0089E6">
          <w:pPr>
            <w:spacing w:before="0" w:beforeLines="0" w:after="0" w:afterLines="0" w:line="240" w:lineRule="auto"/>
            <w:ind w:left="0" w:leftChars="0" w:right="0" w:rightChars="0"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32"/>
              <w:szCs w:val="32"/>
            </w:rPr>
            <w:t>目录</w:t>
          </w:r>
        </w:p>
        <w:p w14:paraId="41182743">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TOC \o "1-1" \h \u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_Toc23564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第一章  招标公告</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_Toc23564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014E8467">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_Toc26282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第二章  投标人须知前附表及投标人须知</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_Toc26282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5</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23DCFF44">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_Toc28925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highlight w:val="none"/>
            </w:rPr>
            <w:t xml:space="preserve">第三章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采购内容及要求</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_Toc28925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23</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15042A5C">
          <w:pPr>
            <w:pStyle w:val="16"/>
            <w:tabs>
              <w:tab w:val="right" w:leader="dot" w:pos="8306"/>
            </w:tabs>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_Toc25647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xml:space="preserve">第四章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合同主要条款</w:t>
          </w:r>
          <w:r>
            <w:rPr>
              <w:rFonts w:hint="eastAsia" w:ascii="仿宋" w:hAnsi="仿宋" w:eastAsia="仿宋" w:cs="仿宋"/>
              <w:color w:val="auto"/>
              <w:sz w:val="28"/>
              <w:szCs w:val="28"/>
            </w:rPr>
            <w:tab/>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val="en-US" w:eastAsia="zh-CN"/>
            </w:rPr>
            <w:t>6</w:t>
          </w:r>
        </w:p>
        <w:p w14:paraId="401735DB">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_Toc25095 </w:instrText>
          </w:r>
          <w:r>
            <w:rPr>
              <w:rFonts w:hint="eastAsia" w:ascii="仿宋" w:hAnsi="仿宋" w:eastAsia="仿宋" w:cs="仿宋"/>
              <w:color w:val="auto"/>
              <w:sz w:val="28"/>
              <w:szCs w:val="28"/>
            </w:rPr>
            <w:fldChar w:fldCharType="separate"/>
          </w:r>
          <w:r>
            <w:rPr>
              <w:rFonts w:hint="eastAsia" w:ascii="仿宋" w:hAnsi="仿宋" w:eastAsia="仿宋" w:cs="仿宋"/>
              <w:bCs/>
              <w:color w:val="auto"/>
              <w:sz w:val="28"/>
              <w:szCs w:val="28"/>
              <w:lang w:val="zh-CN"/>
            </w:rPr>
            <w:t>第</w:t>
          </w:r>
          <w:r>
            <w:rPr>
              <w:rFonts w:hint="eastAsia" w:ascii="仿宋" w:hAnsi="仿宋" w:eastAsia="仿宋" w:cs="仿宋"/>
              <w:bCs/>
              <w:color w:val="auto"/>
              <w:sz w:val="28"/>
              <w:szCs w:val="28"/>
            </w:rPr>
            <w:t>五</w:t>
          </w:r>
          <w:r>
            <w:rPr>
              <w:rFonts w:hint="eastAsia" w:ascii="仿宋" w:hAnsi="仿宋" w:eastAsia="仿宋" w:cs="仿宋"/>
              <w:bCs/>
              <w:color w:val="auto"/>
              <w:sz w:val="28"/>
              <w:szCs w:val="28"/>
              <w:lang w:val="zh-CN"/>
            </w:rPr>
            <w:t>章</w:t>
          </w:r>
          <w:r>
            <w:rPr>
              <w:rFonts w:hint="eastAsia" w:ascii="仿宋" w:hAnsi="仿宋" w:eastAsia="仿宋" w:cs="仿宋"/>
              <w:bCs/>
              <w:color w:val="auto"/>
              <w:sz w:val="28"/>
              <w:szCs w:val="28"/>
            </w:rPr>
            <w:t xml:space="preserve">  </w:t>
          </w:r>
          <w:r>
            <w:rPr>
              <w:rFonts w:hint="eastAsia" w:ascii="仿宋" w:hAnsi="仿宋" w:eastAsia="仿宋" w:cs="仿宋"/>
              <w:bCs/>
              <w:color w:val="auto"/>
              <w:sz w:val="28"/>
              <w:szCs w:val="28"/>
              <w:lang w:val="zh-CN"/>
            </w:rPr>
            <w:t>评标办法</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_Toc25095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32</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64D448C3">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_Toc30816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第六章  应提交的有关格式范例</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_Toc30816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36</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732DEC29">
          <w:pPr>
            <w:pStyle w:val="21"/>
            <w:rPr>
              <w:color w:val="auto"/>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z w:val="28"/>
              <w:szCs w:val="28"/>
            </w:rPr>
            <w:fldChar w:fldCharType="end"/>
          </w:r>
        </w:p>
      </w:sdtContent>
    </w:sdt>
    <w:p w14:paraId="143C6774">
      <w:pPr>
        <w:spacing w:line="360" w:lineRule="auto"/>
        <w:jc w:val="center"/>
        <w:outlineLvl w:val="0"/>
        <w:rPr>
          <w:rFonts w:hint="eastAsia" w:ascii="仿宋" w:hAnsi="仿宋" w:eastAsia="仿宋" w:cs="仿宋"/>
          <w:b/>
          <w:color w:val="auto"/>
          <w:sz w:val="28"/>
          <w:szCs w:val="28"/>
          <w:lang w:eastAsia="zh-CN"/>
        </w:rPr>
      </w:pPr>
      <w:r>
        <w:rPr>
          <w:rFonts w:hint="eastAsia" w:ascii="仿宋" w:hAnsi="仿宋" w:eastAsia="仿宋" w:cs="仿宋"/>
          <w:color w:val="auto"/>
          <w:sz w:val="28"/>
          <w:szCs w:val="28"/>
        </w:rPr>
        <w:tab/>
      </w:r>
      <w:bookmarkStart w:id="2" w:name="_Toc7205"/>
      <w:bookmarkStart w:id="3" w:name="_Toc12539"/>
      <w:bookmarkStart w:id="4" w:name="_Toc12795"/>
      <w:bookmarkStart w:id="5" w:name="_Toc31513"/>
      <w:bookmarkStart w:id="6" w:name="_Toc9434"/>
      <w:bookmarkStart w:id="7" w:name="_Toc26090"/>
      <w:bookmarkStart w:id="8" w:name="_Toc19326"/>
      <w:bookmarkStart w:id="9" w:name="_Toc20797"/>
      <w:bookmarkStart w:id="10" w:name="_Toc23564"/>
      <w:bookmarkStart w:id="11" w:name="_Toc23211"/>
      <w:bookmarkStart w:id="12" w:name="_Toc16075"/>
      <w:bookmarkStart w:id="13" w:name="_Toc7546"/>
      <w:r>
        <w:rPr>
          <w:rFonts w:hint="eastAsia" w:ascii="仿宋" w:hAnsi="仿宋" w:eastAsia="仿宋" w:cs="仿宋"/>
          <w:b/>
          <w:color w:val="auto"/>
          <w:sz w:val="28"/>
          <w:szCs w:val="28"/>
        </w:rPr>
        <w:t>第一章  招标公告</w:t>
      </w:r>
      <w:bookmarkEnd w:id="2"/>
      <w:bookmarkEnd w:id="3"/>
      <w:bookmarkEnd w:id="4"/>
      <w:bookmarkEnd w:id="5"/>
      <w:bookmarkEnd w:id="6"/>
      <w:bookmarkEnd w:id="7"/>
      <w:bookmarkEnd w:id="8"/>
      <w:bookmarkEnd w:id="9"/>
      <w:bookmarkEnd w:id="10"/>
      <w:bookmarkEnd w:id="11"/>
      <w:bookmarkEnd w:id="12"/>
      <w:bookmarkEnd w:id="13"/>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第二次</w:t>
      </w:r>
      <w:r>
        <w:rPr>
          <w:rFonts w:hint="eastAsia" w:ascii="仿宋" w:hAnsi="仿宋" w:eastAsia="仿宋" w:cs="仿宋"/>
          <w:b/>
          <w:color w:val="auto"/>
          <w:sz w:val="28"/>
          <w:szCs w:val="28"/>
          <w:lang w:eastAsia="zh-CN"/>
        </w:rPr>
        <w:t>）</w:t>
      </w:r>
    </w:p>
    <w:p w14:paraId="34A4CE45">
      <w:pPr>
        <w:spacing w:line="360" w:lineRule="auto"/>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lang w:val="en-US" w:eastAsia="zh-CN"/>
        </w:rPr>
        <w:t>参照《衢州市国有企业采购管理办法</w:t>
      </w:r>
      <w:r>
        <w:rPr>
          <w:rFonts w:hint="eastAsia" w:ascii="仿宋" w:hAnsi="仿宋" w:eastAsia="仿宋" w:cs="仿宋"/>
          <w:color w:val="auto"/>
          <w:sz w:val="24"/>
          <w:szCs w:val="24"/>
        </w:rPr>
        <w:t>（试行）》（衢国资发</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2020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36号）等有关规定，衢州市两山工程咨询管理有限公司受</w:t>
      </w:r>
      <w:r>
        <w:rPr>
          <w:rFonts w:hint="eastAsia" w:ascii="仿宋" w:hAnsi="仿宋" w:eastAsia="仿宋" w:cs="仿宋"/>
          <w:color w:val="auto"/>
          <w:sz w:val="24"/>
          <w:szCs w:val="24"/>
          <w:lang w:eastAsia="zh-CN"/>
        </w:rPr>
        <w:t>马迭尔食品（浙江）有限公司</w:t>
      </w:r>
      <w:r>
        <w:rPr>
          <w:rFonts w:hint="eastAsia" w:ascii="仿宋" w:hAnsi="仿宋" w:eastAsia="仿宋" w:cs="仿宋"/>
          <w:color w:val="auto"/>
          <w:sz w:val="24"/>
          <w:szCs w:val="24"/>
        </w:rPr>
        <w:t>委托，就</w:t>
      </w:r>
      <w:r>
        <w:rPr>
          <w:rFonts w:hint="eastAsia" w:ascii="仿宋" w:hAnsi="仿宋" w:eastAsia="仿宋" w:cs="仿宋"/>
          <w:color w:val="auto"/>
          <w:sz w:val="24"/>
          <w:szCs w:val="24"/>
          <w:lang w:eastAsia="zh-CN"/>
        </w:rPr>
        <w:t>哈尔滨马迭尔食品股份有限公司物流服务项目</w:t>
      </w:r>
      <w:r>
        <w:rPr>
          <w:rFonts w:hint="eastAsia" w:ascii="仿宋" w:hAnsi="仿宋" w:eastAsia="仿宋" w:cs="仿宋"/>
          <w:color w:val="auto"/>
          <w:sz w:val="24"/>
          <w:szCs w:val="24"/>
        </w:rPr>
        <w:t>进行公开招标，欢迎国内合格的投标人前来投标。</w:t>
      </w:r>
    </w:p>
    <w:p w14:paraId="2929A1F6">
      <w:pPr>
        <w:spacing w:line="360" w:lineRule="auto"/>
        <w:ind w:firstLine="480" w:firstLineChars="200"/>
        <w:jc w:val="lef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一、项目编号：LSZX-2025-CG0063-1</w:t>
      </w:r>
    </w:p>
    <w:p w14:paraId="19FCE0CB">
      <w:pPr>
        <w:spacing w:line="360" w:lineRule="auto"/>
        <w:ind w:firstLine="480" w:firstLineChars="200"/>
        <w:jc w:val="lef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二、项目名称：哈尔滨马迭尔食品股份有限公司物流服务项目</w:t>
      </w:r>
    </w:p>
    <w:p w14:paraId="38296CF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三、</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lang w:eastAsia="zh-CN"/>
        </w:rPr>
        <w:t>方式</w:t>
      </w:r>
      <w:r>
        <w:rPr>
          <w:rFonts w:hint="eastAsia" w:ascii="仿宋" w:hAnsi="仿宋" w:eastAsia="仿宋" w:cs="仿宋"/>
          <w:color w:val="auto"/>
          <w:sz w:val="24"/>
          <w:szCs w:val="24"/>
        </w:rPr>
        <w:t>：公开招标</w:t>
      </w:r>
    </w:p>
    <w:p w14:paraId="2C99F6D8">
      <w:pPr>
        <w:snapToGrid w:val="0"/>
        <w:spacing w:line="360" w:lineRule="auto"/>
        <w:ind w:firstLine="480" w:firstLineChars="200"/>
        <w:outlineLvl w:val="9"/>
        <w:rPr>
          <w:rFonts w:ascii="仿宋" w:hAnsi="仿宋" w:eastAsia="仿宋" w:cs="仿宋"/>
          <w:color w:val="auto"/>
          <w:sz w:val="28"/>
          <w:szCs w:val="28"/>
        </w:rPr>
      </w:pPr>
      <w:r>
        <w:rPr>
          <w:rFonts w:hint="eastAsia" w:ascii="仿宋" w:hAnsi="仿宋" w:eastAsia="仿宋" w:cs="仿宋"/>
          <w:color w:val="auto"/>
          <w:sz w:val="24"/>
          <w:szCs w:val="24"/>
        </w:rPr>
        <w:t>四、招标内容及要求：</w:t>
      </w:r>
    </w:p>
    <w:tbl>
      <w:tblPr>
        <w:tblStyle w:val="23"/>
        <w:tblW w:w="960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2"/>
        <w:gridCol w:w="1544"/>
        <w:gridCol w:w="1515"/>
        <w:gridCol w:w="1635"/>
        <w:gridCol w:w="1860"/>
        <w:gridCol w:w="2130"/>
      </w:tblGrid>
      <w:tr w14:paraId="1E464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922" w:type="dxa"/>
            <w:tcBorders>
              <w:tl2br w:val="nil"/>
              <w:tr2bl w:val="nil"/>
            </w:tcBorders>
            <w:tcMar>
              <w:top w:w="0" w:type="dxa"/>
              <w:left w:w="108" w:type="dxa"/>
              <w:bottom w:w="0" w:type="dxa"/>
              <w:right w:w="108" w:type="dxa"/>
            </w:tcMar>
            <w:vAlign w:val="center"/>
          </w:tcPr>
          <w:p w14:paraId="3AC54255">
            <w:pPr>
              <w:tabs>
                <w:tab w:val="left" w:pos="720"/>
              </w:tabs>
              <w:snapToGrid/>
              <w:spacing w:after="0" w:line="440" w:lineRule="exact"/>
              <w:jc w:val="center"/>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序号</w:t>
            </w:r>
          </w:p>
        </w:tc>
        <w:tc>
          <w:tcPr>
            <w:tcW w:w="1544" w:type="dxa"/>
            <w:tcBorders>
              <w:tl2br w:val="nil"/>
              <w:tr2bl w:val="nil"/>
            </w:tcBorders>
            <w:tcMar>
              <w:top w:w="0" w:type="dxa"/>
              <w:left w:w="108" w:type="dxa"/>
              <w:bottom w:w="0" w:type="dxa"/>
              <w:right w:w="108" w:type="dxa"/>
            </w:tcMar>
            <w:vAlign w:val="center"/>
          </w:tcPr>
          <w:p w14:paraId="002CE338">
            <w:pPr>
              <w:tabs>
                <w:tab w:val="left" w:pos="720"/>
              </w:tabs>
              <w:snapToGrid/>
              <w:spacing w:after="0" w:line="440" w:lineRule="exact"/>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采购内容与要求</w:t>
            </w:r>
          </w:p>
        </w:tc>
        <w:tc>
          <w:tcPr>
            <w:tcW w:w="1515" w:type="dxa"/>
            <w:tcBorders>
              <w:tl2br w:val="nil"/>
              <w:tr2bl w:val="nil"/>
            </w:tcBorders>
            <w:tcMar>
              <w:top w:w="0" w:type="dxa"/>
              <w:left w:w="108" w:type="dxa"/>
              <w:bottom w:w="0" w:type="dxa"/>
              <w:right w:w="108" w:type="dxa"/>
            </w:tcMar>
            <w:vAlign w:val="center"/>
          </w:tcPr>
          <w:p w14:paraId="60F7B00B">
            <w:pPr>
              <w:tabs>
                <w:tab w:val="left" w:pos="720"/>
              </w:tabs>
              <w:snapToGrid/>
              <w:spacing w:after="0" w:line="440" w:lineRule="exact"/>
              <w:jc w:val="center"/>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预算价</w:t>
            </w:r>
          </w:p>
        </w:tc>
        <w:tc>
          <w:tcPr>
            <w:tcW w:w="1635" w:type="dxa"/>
            <w:tcBorders>
              <w:tl2br w:val="nil"/>
              <w:tr2bl w:val="nil"/>
            </w:tcBorders>
            <w:tcMar>
              <w:top w:w="0" w:type="dxa"/>
              <w:left w:w="108" w:type="dxa"/>
              <w:bottom w:w="0" w:type="dxa"/>
              <w:right w:w="108" w:type="dxa"/>
            </w:tcMar>
            <w:vAlign w:val="center"/>
          </w:tcPr>
          <w:p w14:paraId="2A4EEDAB">
            <w:pPr>
              <w:tabs>
                <w:tab w:val="left" w:pos="720"/>
              </w:tabs>
              <w:snapToGrid/>
              <w:spacing w:after="0" w:line="440" w:lineRule="exact"/>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最高限价</w:t>
            </w:r>
          </w:p>
        </w:tc>
        <w:tc>
          <w:tcPr>
            <w:tcW w:w="1860" w:type="dxa"/>
            <w:tcBorders>
              <w:tl2br w:val="nil"/>
              <w:tr2bl w:val="nil"/>
            </w:tcBorders>
            <w:tcMar>
              <w:top w:w="0" w:type="dxa"/>
              <w:left w:w="108" w:type="dxa"/>
              <w:bottom w:w="0" w:type="dxa"/>
              <w:right w:w="108" w:type="dxa"/>
            </w:tcMar>
            <w:vAlign w:val="center"/>
          </w:tcPr>
          <w:p w14:paraId="62D621D7">
            <w:pPr>
              <w:tabs>
                <w:tab w:val="left" w:pos="720"/>
              </w:tabs>
              <w:snapToGrid/>
              <w:spacing w:after="0" w:line="440" w:lineRule="exact"/>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服务</w:t>
            </w:r>
            <w:r>
              <w:rPr>
                <w:rFonts w:hint="eastAsia" w:ascii="仿宋" w:hAnsi="仿宋" w:eastAsia="仿宋" w:cs="仿宋"/>
                <w:b/>
                <w:color w:val="auto"/>
                <w:sz w:val="24"/>
                <w:szCs w:val="24"/>
                <w:highlight w:val="none"/>
              </w:rPr>
              <w:t>期限</w:t>
            </w:r>
          </w:p>
        </w:tc>
        <w:tc>
          <w:tcPr>
            <w:tcW w:w="2130" w:type="dxa"/>
            <w:tcBorders>
              <w:tl2br w:val="nil"/>
              <w:tr2bl w:val="nil"/>
            </w:tcBorders>
            <w:tcMar>
              <w:top w:w="0" w:type="dxa"/>
              <w:left w:w="108" w:type="dxa"/>
              <w:bottom w:w="0" w:type="dxa"/>
              <w:right w:w="108" w:type="dxa"/>
            </w:tcMar>
            <w:vAlign w:val="center"/>
          </w:tcPr>
          <w:p w14:paraId="2EDF21B5">
            <w:pPr>
              <w:tabs>
                <w:tab w:val="left" w:pos="720"/>
              </w:tabs>
              <w:snapToGrid/>
              <w:spacing w:after="0" w:line="440" w:lineRule="exact"/>
              <w:jc w:val="center"/>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合同签约主体</w:t>
            </w:r>
          </w:p>
        </w:tc>
      </w:tr>
      <w:tr w14:paraId="42543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4" w:hRule="atLeast"/>
          <w:jc w:val="center"/>
        </w:trPr>
        <w:tc>
          <w:tcPr>
            <w:tcW w:w="922" w:type="dxa"/>
            <w:tcBorders>
              <w:tl2br w:val="nil"/>
              <w:tr2bl w:val="nil"/>
            </w:tcBorders>
            <w:tcMar>
              <w:top w:w="0" w:type="dxa"/>
              <w:left w:w="108" w:type="dxa"/>
              <w:bottom w:w="0" w:type="dxa"/>
              <w:right w:w="108" w:type="dxa"/>
            </w:tcMar>
            <w:vAlign w:val="center"/>
          </w:tcPr>
          <w:p w14:paraId="49D173F3">
            <w:pPr>
              <w:snapToGrid/>
              <w:spacing w:after="0" w:line="44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544" w:type="dxa"/>
            <w:tcBorders>
              <w:tl2br w:val="nil"/>
              <w:tr2bl w:val="nil"/>
            </w:tcBorders>
            <w:tcMar>
              <w:top w:w="0" w:type="dxa"/>
              <w:left w:w="108" w:type="dxa"/>
              <w:bottom w:w="0" w:type="dxa"/>
              <w:right w:w="108" w:type="dxa"/>
            </w:tcMar>
            <w:vAlign w:val="center"/>
          </w:tcPr>
          <w:p w14:paraId="08E39C63">
            <w:pPr>
              <w:keepNext w:val="0"/>
              <w:keepLines w:val="0"/>
              <w:pageBreakBefore w:val="0"/>
              <w:widowControl/>
              <w:tabs>
                <w:tab w:val="left" w:pos="720"/>
              </w:tabs>
              <w:kinsoku/>
              <w:wordWrap/>
              <w:overflowPunct/>
              <w:topLinePunct w:val="0"/>
              <w:autoSpaceDE/>
              <w:autoSpaceDN/>
              <w:bidi w:val="0"/>
              <w:snapToGrid/>
              <w:spacing w:after="0" w:line="340" w:lineRule="exact"/>
              <w:jc w:val="center"/>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详见</w:t>
            </w:r>
            <w:r>
              <w:rPr>
                <w:rFonts w:hint="eastAsia" w:ascii="仿宋" w:hAnsi="仿宋" w:eastAsia="仿宋" w:cs="仿宋"/>
                <w:color w:val="auto"/>
                <w:sz w:val="24"/>
                <w:szCs w:val="24"/>
                <w:highlight w:val="none"/>
                <w:lang w:val="en-US" w:eastAsia="zh-CN"/>
              </w:rPr>
              <w:t>第三章</w:t>
            </w:r>
            <w:r>
              <w:rPr>
                <w:rFonts w:hint="eastAsia" w:ascii="仿宋" w:hAnsi="仿宋" w:eastAsia="仿宋" w:cs="仿宋"/>
                <w:color w:val="auto"/>
                <w:sz w:val="24"/>
                <w:szCs w:val="24"/>
                <w:highlight w:val="none"/>
              </w:rPr>
              <w:t>采购内容</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要求</w:t>
            </w:r>
          </w:p>
        </w:tc>
        <w:tc>
          <w:tcPr>
            <w:tcW w:w="1515" w:type="dxa"/>
            <w:tcBorders>
              <w:tl2br w:val="nil"/>
              <w:tr2bl w:val="nil"/>
            </w:tcBorders>
            <w:tcMar>
              <w:top w:w="0" w:type="dxa"/>
              <w:left w:w="108" w:type="dxa"/>
              <w:bottom w:w="0" w:type="dxa"/>
              <w:right w:w="108" w:type="dxa"/>
            </w:tcMar>
            <w:vAlign w:val="center"/>
          </w:tcPr>
          <w:p w14:paraId="05EBA530">
            <w:pPr>
              <w:keepNext w:val="0"/>
              <w:keepLines w:val="0"/>
              <w:pageBreakBefore w:val="0"/>
              <w:widowControl/>
              <w:kinsoku/>
              <w:wordWrap/>
              <w:overflowPunct/>
              <w:topLinePunct w:val="0"/>
              <w:autoSpaceDE/>
              <w:autoSpaceDN/>
              <w:bidi w:val="0"/>
              <w:adjustRightInd/>
              <w:spacing w:line="34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pacing w:val="-1"/>
                <w:sz w:val="24"/>
                <w:szCs w:val="24"/>
                <w:lang w:val="en-US" w:eastAsia="zh-CN"/>
              </w:rPr>
              <w:t>450万元</w:t>
            </w:r>
          </w:p>
        </w:tc>
        <w:tc>
          <w:tcPr>
            <w:tcW w:w="1635" w:type="dxa"/>
            <w:tcBorders>
              <w:tl2br w:val="nil"/>
              <w:tr2bl w:val="nil"/>
            </w:tcBorders>
            <w:tcMar>
              <w:top w:w="0" w:type="dxa"/>
              <w:left w:w="108" w:type="dxa"/>
              <w:bottom w:w="0" w:type="dxa"/>
              <w:right w:w="108" w:type="dxa"/>
            </w:tcMar>
            <w:vAlign w:val="center"/>
          </w:tcPr>
          <w:p w14:paraId="7CBBC145">
            <w:pPr>
              <w:keepNext w:val="0"/>
              <w:keepLines w:val="0"/>
              <w:pageBreakBefore w:val="0"/>
              <w:widowControl/>
              <w:tabs>
                <w:tab w:val="left" w:pos="720"/>
              </w:tabs>
              <w:kinsoku/>
              <w:wordWrap/>
              <w:overflowPunct/>
              <w:topLinePunct w:val="0"/>
              <w:autoSpaceDE/>
              <w:autoSpaceDN/>
              <w:bidi w:val="0"/>
              <w:snapToGrid/>
              <w:spacing w:after="0" w:line="34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详见</w:t>
            </w:r>
            <w:r>
              <w:rPr>
                <w:rFonts w:hint="eastAsia" w:ascii="仿宋" w:hAnsi="仿宋" w:eastAsia="仿宋" w:cs="仿宋"/>
                <w:color w:val="auto"/>
                <w:sz w:val="24"/>
                <w:szCs w:val="24"/>
                <w:highlight w:val="none"/>
                <w:lang w:val="en-US" w:eastAsia="zh-CN"/>
              </w:rPr>
              <w:t>第三章</w:t>
            </w:r>
            <w:r>
              <w:rPr>
                <w:rFonts w:hint="eastAsia" w:ascii="仿宋" w:hAnsi="仿宋" w:eastAsia="仿宋" w:cs="仿宋"/>
                <w:color w:val="auto"/>
                <w:sz w:val="24"/>
                <w:szCs w:val="24"/>
                <w:highlight w:val="none"/>
              </w:rPr>
              <w:t>采购内容</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要求</w:t>
            </w:r>
          </w:p>
        </w:tc>
        <w:tc>
          <w:tcPr>
            <w:tcW w:w="1860" w:type="dxa"/>
            <w:tcBorders>
              <w:tl2br w:val="nil"/>
              <w:tr2bl w:val="nil"/>
            </w:tcBorders>
            <w:tcMar>
              <w:top w:w="0" w:type="dxa"/>
              <w:left w:w="108" w:type="dxa"/>
              <w:bottom w:w="0" w:type="dxa"/>
              <w:right w:w="108" w:type="dxa"/>
            </w:tcMar>
            <w:vAlign w:val="center"/>
          </w:tcPr>
          <w:p w14:paraId="77F32E94">
            <w:pPr>
              <w:keepNext w:val="0"/>
              <w:keepLines w:val="0"/>
              <w:pageBreakBefore w:val="0"/>
              <w:widowControl/>
              <w:kinsoku/>
              <w:wordWrap/>
              <w:overflowPunct/>
              <w:topLinePunct w:val="0"/>
              <w:autoSpaceDE/>
              <w:autoSpaceDN/>
              <w:bidi w:val="0"/>
              <w:adjustRightInd w:val="0"/>
              <w:snapToGrid w:val="0"/>
              <w:spacing w:after="0" w:line="340" w:lineRule="exact"/>
              <w:ind w:firstLine="480" w:firstLineChars="200"/>
              <w:jc w:val="both"/>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szCs w:val="24"/>
                <w:highlight w:val="none"/>
                <w:lang w:val="en-US" w:eastAsia="zh-CN"/>
              </w:rPr>
              <w:t>自合同签订之日起一年。</w:t>
            </w:r>
          </w:p>
        </w:tc>
        <w:tc>
          <w:tcPr>
            <w:tcW w:w="2130" w:type="dxa"/>
            <w:tcBorders>
              <w:tl2br w:val="nil"/>
              <w:tr2bl w:val="nil"/>
            </w:tcBorders>
            <w:tcMar>
              <w:top w:w="0" w:type="dxa"/>
              <w:left w:w="108" w:type="dxa"/>
              <w:bottom w:w="0" w:type="dxa"/>
              <w:right w:w="108" w:type="dxa"/>
            </w:tcMar>
            <w:vAlign w:val="center"/>
          </w:tcPr>
          <w:p w14:paraId="44E7F888">
            <w:pPr>
              <w:keepNext w:val="0"/>
              <w:keepLines w:val="0"/>
              <w:pageBreakBefore w:val="0"/>
              <w:widowControl/>
              <w:kinsoku/>
              <w:wordWrap/>
              <w:overflowPunct/>
              <w:topLinePunct w:val="0"/>
              <w:autoSpaceDE/>
              <w:autoSpaceDN/>
              <w:bidi w:val="0"/>
              <w:adjustRightInd w:val="0"/>
              <w:snapToGrid w:val="0"/>
              <w:spacing w:after="0" w:line="340" w:lineRule="exact"/>
              <w:ind w:firstLine="476"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1"/>
                <w:sz w:val="24"/>
                <w:szCs w:val="24"/>
                <w:highlight w:val="none"/>
                <w:lang w:val="en-US" w:eastAsia="zh-CN"/>
              </w:rPr>
              <w:t>哈尔滨马迭尔食品股份有限公司</w:t>
            </w:r>
          </w:p>
        </w:tc>
      </w:tr>
    </w:tbl>
    <w:p w14:paraId="1357BB7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五、投标人资格要求： </w:t>
      </w:r>
    </w:p>
    <w:p w14:paraId="625BD7E1">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符合《</w:t>
      </w:r>
      <w:r>
        <w:rPr>
          <w:rFonts w:hint="eastAsia" w:ascii="仿宋" w:hAnsi="仿宋" w:eastAsia="仿宋" w:cs="仿宋"/>
          <w:color w:val="auto"/>
          <w:sz w:val="24"/>
          <w:szCs w:val="24"/>
        </w:rPr>
        <w:t>衢州市国有企业采购管理办法（试行）</w:t>
      </w:r>
      <w:r>
        <w:rPr>
          <w:rFonts w:hint="eastAsia" w:ascii="仿宋" w:hAnsi="仿宋" w:eastAsia="仿宋" w:cs="仿宋"/>
          <w:color w:val="auto"/>
          <w:sz w:val="24"/>
          <w:szCs w:val="24"/>
          <w:lang w:val="zh-CN"/>
        </w:rPr>
        <w:t>》第</w:t>
      </w:r>
      <w:r>
        <w:rPr>
          <w:rFonts w:hint="eastAsia" w:ascii="仿宋" w:hAnsi="仿宋" w:eastAsia="仿宋" w:cs="仿宋"/>
          <w:color w:val="auto"/>
          <w:sz w:val="24"/>
          <w:szCs w:val="24"/>
        </w:rPr>
        <w:t>十五</w:t>
      </w:r>
      <w:r>
        <w:rPr>
          <w:rFonts w:hint="eastAsia" w:ascii="仿宋" w:hAnsi="仿宋" w:eastAsia="仿宋" w:cs="仿宋"/>
          <w:color w:val="auto"/>
          <w:sz w:val="24"/>
          <w:szCs w:val="24"/>
          <w:lang w:val="zh-CN"/>
        </w:rPr>
        <w:t>条</w:t>
      </w:r>
      <w:r>
        <w:rPr>
          <w:rFonts w:hint="eastAsia" w:ascii="仿宋" w:hAnsi="仿宋" w:eastAsia="仿宋" w:cs="仿宋"/>
          <w:color w:val="auto"/>
          <w:sz w:val="24"/>
          <w:szCs w:val="24"/>
        </w:rPr>
        <w:t>规定：</w:t>
      </w:r>
    </w:p>
    <w:p w14:paraId="2E393674">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具有独立承担民事责任的能力；</w:t>
      </w:r>
    </w:p>
    <w:p w14:paraId="328A661E">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具有良好的商业信誉和健全的财务会计制度；</w:t>
      </w:r>
    </w:p>
    <w:p w14:paraId="27C1A1F9">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具有履行合同所必需的设备、技术和售后保障等能力；</w:t>
      </w:r>
    </w:p>
    <w:p w14:paraId="338539DA">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有依法缴纳税收和社会保障资金的良好记录；</w:t>
      </w:r>
    </w:p>
    <w:p w14:paraId="2AB68BA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参加采购、招投标等活动前3年内，在经营活动中没有重大违法记录和行贿犯罪记录；</w:t>
      </w:r>
    </w:p>
    <w:p w14:paraId="0AC45677">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6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⑹</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具有法律法规和规范性文件规定的其他条件。</w:t>
      </w:r>
    </w:p>
    <w:p w14:paraId="77B3740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且必须为未被列入</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信用中国</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网站</w:t>
      </w:r>
      <w:r>
        <w:rPr>
          <w:rFonts w:hint="eastAsia" w:ascii="仿宋" w:hAnsi="仿宋" w:eastAsia="仿宋" w:cs="仿宋"/>
          <w:color w:val="auto"/>
          <w:sz w:val="24"/>
          <w:szCs w:val="24"/>
        </w:rPr>
        <w:t>（www.creditchina.gov.cn</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zh-CN"/>
        </w:rPr>
        <w:t>、中国政府采购网</w:t>
      </w:r>
      <w:r>
        <w:rPr>
          <w:rFonts w:hint="eastAsia" w:ascii="仿宋" w:hAnsi="仿宋" w:eastAsia="仿宋" w:cs="仿宋"/>
          <w:color w:val="auto"/>
          <w:sz w:val="24"/>
          <w:szCs w:val="24"/>
        </w:rPr>
        <w:t>（www.ccgp.gov.cn）</w:t>
      </w:r>
      <w:r>
        <w:rPr>
          <w:rFonts w:hint="eastAsia" w:ascii="仿宋" w:hAnsi="仿宋" w:eastAsia="仿宋" w:cs="仿宋"/>
          <w:color w:val="auto"/>
          <w:sz w:val="24"/>
          <w:szCs w:val="24"/>
          <w:lang w:val="zh-CN"/>
        </w:rPr>
        <w:t>渠道信用记录失信被执行人、重大税收违法案件当事人名单、政府采购严重违法失信行为记录名单的投标人。</w:t>
      </w:r>
    </w:p>
    <w:p w14:paraId="296BADC1">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3.单位负责人为同一人或者存在直接控股、管理关系的不同</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，不得参加同一合同项下的采购活动。</w:t>
      </w:r>
    </w:p>
    <w:p w14:paraId="238875EA">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4.投标人自投标截止时间前三年内无行贿犯罪记录（以中国裁判文书网（网址：http://wenshu.court.gov.cn/）查询到的行贿判决书为准）。</w:t>
      </w:r>
    </w:p>
    <w:p w14:paraId="3EBEFBC8">
      <w:pPr>
        <w:keepNext w:val="0"/>
        <w:keepLines w:val="0"/>
        <w:pageBreakBefore w:val="0"/>
        <w:widowControl w:val="0"/>
        <w:kinsoku/>
        <w:overflowPunct/>
        <w:topLinePunct w:val="0"/>
        <w:autoSpaceDE/>
        <w:autoSpaceDN/>
        <w:bidi w:val="0"/>
        <w:adjustRightInd/>
        <w:spacing w:line="360" w:lineRule="auto"/>
        <w:ind w:firstLine="480" w:firstLineChars="200"/>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本项目的特定资格要求：</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须具有有效的《道路运输许可证》</w:t>
      </w:r>
      <w:r>
        <w:rPr>
          <w:rFonts w:hint="eastAsia" w:ascii="仿宋" w:hAnsi="仿宋" w:eastAsia="仿宋" w:cs="仿宋"/>
          <w:color w:val="auto"/>
          <w:sz w:val="24"/>
          <w:szCs w:val="24"/>
          <w:highlight w:val="none"/>
          <w:lang w:eastAsia="zh-CN"/>
        </w:rPr>
        <w:t>。</w:t>
      </w:r>
    </w:p>
    <w:p w14:paraId="69034A82">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.本项目不接受联合体投标。</w:t>
      </w:r>
    </w:p>
    <w:p w14:paraId="15D02506">
      <w:pPr>
        <w:pStyle w:val="32"/>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六、</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获取</w:t>
      </w:r>
    </w:p>
    <w:p w14:paraId="5475180E">
      <w:pPr>
        <w:wordWrap w:val="0"/>
        <w:spacing w:line="360" w:lineRule="auto"/>
        <w:ind w:firstLine="480" w:firstLineChars="200"/>
        <w:outlineLvl w:val="9"/>
        <w:rPr>
          <w:rFonts w:ascii="仿宋" w:hAnsi="仿宋" w:eastAsia="仿宋" w:cs="仿宋"/>
          <w:color w:val="auto"/>
          <w:sz w:val="24"/>
          <w:szCs w:val="24"/>
        </w:rPr>
      </w:pPr>
      <w:bookmarkStart w:id="14" w:name="_Toc18255"/>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按下述要求获取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，如未在“衢州市阳光交易服务平台”系统内完成相关流程，引起投标无效，责任自负。</w:t>
      </w:r>
    </w:p>
    <w:p w14:paraId="61DBC27C">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2.本项目</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实行“衢州市阳光交易服务平台”在线申请获取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，不提供纸质版</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前应先办理“衢州市阳光交易服务平台”</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信息入库备案同时办理介质CA锁。完成介质CA锁办理预计2～3个工作日，建议各</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合理安排办理时间。</w:t>
      </w:r>
    </w:p>
    <w:p w14:paraId="27F0B46D">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3.潜在</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登录衢州市阳光交易服务平台（</w:t>
      </w:r>
      <w:r>
        <w:rPr>
          <w:rFonts w:hint="eastAsia" w:ascii="仿宋" w:hAnsi="仿宋" w:eastAsia="仿宋" w:cs="仿宋"/>
          <w:color w:val="auto"/>
          <w:sz w:val="24"/>
          <w:szCs w:val="24"/>
          <w:u w:val="none"/>
        </w:rPr>
        <w:t>https://qzygjy.com/）办理</w:t>
      </w:r>
      <w:r>
        <w:rPr>
          <w:rFonts w:hint="eastAsia" w:ascii="仿宋" w:hAnsi="仿宋" w:eastAsia="仿宋" w:cs="仿宋"/>
          <w:color w:val="auto"/>
          <w:sz w:val="24"/>
          <w:szCs w:val="24"/>
          <w:u w:val="none"/>
          <w:lang w:eastAsia="zh-CN"/>
        </w:rPr>
        <w:t>投标人</w:t>
      </w:r>
      <w:r>
        <w:rPr>
          <w:rFonts w:hint="eastAsia" w:ascii="仿宋" w:hAnsi="仿宋" w:eastAsia="仿宋" w:cs="仿宋"/>
          <w:color w:val="auto"/>
          <w:sz w:val="24"/>
          <w:szCs w:val="24"/>
          <w:u w:val="none"/>
        </w:rPr>
        <w:t>信息入库备案事宜</w:t>
      </w:r>
      <w:r>
        <w:rPr>
          <w:rFonts w:hint="eastAsia" w:ascii="仿宋" w:hAnsi="仿宋" w:eastAsia="仿宋" w:cs="仿宋"/>
          <w:color w:val="auto"/>
          <w:sz w:val="24"/>
          <w:szCs w:val="24"/>
        </w:rPr>
        <w:t>。</w:t>
      </w:r>
    </w:p>
    <w:p w14:paraId="37A7895C">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4.未办理企业信息入库的</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，根据显示界面提示免费注册，填写、上传相关主体信息，带“*”号的必填，填好后“提交”。</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须提前申领介质CA锁及电子签章，具体操作可参考衢州市阳光交易服务平台交易乙方操作手册。</w:t>
      </w:r>
    </w:p>
    <w:p w14:paraId="2D88C03E">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5. CA办理：</w:t>
      </w:r>
    </w:p>
    <w:p w14:paraId="1AB6775E">
      <w:pPr>
        <w:wordWrap w:val="0"/>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天谷CA：http://www.tseal.cn/tcloud/common.xhtml?projId=307 联系电话：400-087-8198</w:t>
      </w:r>
    </w:p>
    <w:p w14:paraId="4E23B5D1">
      <w:pPr>
        <w:wordWrap w:val="0"/>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新点标证通：https://www.ebpu.com/epbzt/index.html 联系电话：</w:t>
      </w:r>
      <w:r>
        <w:rPr>
          <w:rFonts w:hint="eastAsia" w:ascii="仿宋" w:hAnsi="仿宋" w:eastAsia="仿宋" w:cs="仿宋"/>
          <w:color w:val="auto"/>
          <w:sz w:val="24"/>
          <w:szCs w:val="24"/>
          <w:lang w:eastAsia="zh-CN"/>
        </w:rPr>
        <w:t>0512-58188591</w:t>
      </w:r>
    </w:p>
    <w:p w14:paraId="334DE21E">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下载：</w:t>
      </w:r>
    </w:p>
    <w:p w14:paraId="68B921BC">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潜在</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登录“衢州市阳光交易服务平台”，在线申请获取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（选择采购公告，进入项目，选择“交易前阶段”进入项目在获取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菜单中选择项目，选择“交易文件下载”）。</w:t>
      </w:r>
    </w:p>
    <w:p w14:paraId="0F3C543A">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投标文件的解密：</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按照平台提示和</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的规定在30分钟内于衢州市阳光交易服务平台不见面开标大厅完成在线解密。</w:t>
      </w:r>
    </w:p>
    <w:p w14:paraId="0137ECD4">
      <w:pPr>
        <w:wordWrap w:val="0"/>
        <w:spacing w:line="360" w:lineRule="auto"/>
        <w:ind w:firstLine="480" w:firstLineChars="200"/>
        <w:outlineLvl w:val="9"/>
        <w:rPr>
          <w:rFonts w:hint="eastAsia" w:ascii="仿宋" w:hAnsi="仿宋" w:eastAsia="仿宋" w:cs="仿宋"/>
          <w:b/>
          <w:bCs/>
          <w:color w:val="auto"/>
          <w:sz w:val="24"/>
          <w:szCs w:val="24"/>
        </w:rPr>
      </w:pPr>
      <w:r>
        <w:rPr>
          <w:rFonts w:hint="eastAsia" w:ascii="仿宋" w:hAnsi="仿宋" w:eastAsia="仿宋" w:cs="仿宋"/>
          <w:color w:val="auto"/>
          <w:sz w:val="24"/>
          <w:szCs w:val="24"/>
        </w:rPr>
        <w:t>7.具体操作指南：详见衢州市阳光交易服务平台“办事指南－衢州市阳光交易服务平台</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操作手册”，</w:t>
      </w:r>
      <w:r>
        <w:rPr>
          <w:rFonts w:hint="eastAsia" w:ascii="仿宋" w:hAnsi="仿宋" w:eastAsia="仿宋" w:cs="仿宋"/>
          <w:b/>
          <w:bCs/>
          <w:color w:val="auto"/>
          <w:sz w:val="24"/>
          <w:szCs w:val="24"/>
        </w:rPr>
        <w:t>衢州市阳光交易服务平台技术支持电话：</w:t>
      </w:r>
      <w:r>
        <w:rPr>
          <w:rFonts w:hint="eastAsia" w:ascii="仿宋" w:hAnsi="仿宋" w:eastAsia="仿宋" w:cs="仿宋"/>
          <w:b/>
          <w:bCs/>
          <w:color w:val="auto"/>
          <w:sz w:val="24"/>
          <w:szCs w:val="24"/>
          <w:lang w:eastAsia="zh-CN"/>
        </w:rPr>
        <w:t>0512-58188591、0570-3878007</w:t>
      </w:r>
      <w:r>
        <w:rPr>
          <w:rFonts w:hint="eastAsia" w:ascii="仿宋" w:hAnsi="仿宋" w:eastAsia="仿宋" w:cs="仿宋"/>
          <w:b/>
          <w:bCs/>
          <w:color w:val="auto"/>
          <w:sz w:val="24"/>
          <w:szCs w:val="24"/>
        </w:rPr>
        <w:t>。</w:t>
      </w:r>
    </w:p>
    <w:p w14:paraId="375230BE">
      <w:pPr>
        <w:wordWrap w:val="0"/>
        <w:spacing w:line="360" w:lineRule="auto"/>
        <w:ind w:firstLine="482" w:firstLineChars="200"/>
        <w:outlineLvl w:val="9"/>
        <w:rPr>
          <w:rFonts w:ascii="仿宋" w:hAnsi="仿宋" w:eastAsia="仿宋" w:cs="仿宋"/>
          <w:b/>
          <w:bCs/>
          <w:color w:val="auto"/>
          <w:sz w:val="24"/>
          <w:szCs w:val="24"/>
        </w:rPr>
      </w:pPr>
      <w:r>
        <w:rPr>
          <w:rFonts w:hint="eastAsia" w:ascii="仿宋" w:hAnsi="仿宋" w:eastAsia="仿宋" w:cs="仿宋"/>
          <w:b/>
          <w:bCs/>
          <w:color w:val="auto"/>
          <w:sz w:val="24"/>
          <w:szCs w:val="24"/>
        </w:rPr>
        <w:t>8.投标工具一标通投标制作工具</w:t>
      </w:r>
    </w:p>
    <w:p w14:paraId="476205B1">
      <w:pPr>
        <w:pStyle w:val="10"/>
        <w:wordWrap w:val="0"/>
        <w:spacing w:after="0" w:line="360" w:lineRule="auto"/>
        <w:ind w:firstLine="480" w:firstLineChars="200"/>
        <w:outlineLvl w:val="9"/>
        <w:rPr>
          <w:rFonts w:hint="eastAsia" w:ascii="仿宋" w:hAnsi="仿宋" w:eastAsia="仿宋" w:cs="仿宋"/>
          <w:color w:val="auto"/>
          <w:szCs w:val="24"/>
        </w:rPr>
      </w:pPr>
      <w:r>
        <w:rPr>
          <w:rFonts w:hint="eastAsia" w:ascii="仿宋" w:hAnsi="仿宋" w:eastAsia="仿宋" w:cs="仿宋"/>
          <w:color w:val="auto"/>
          <w:szCs w:val="24"/>
        </w:rPr>
        <w:t>下载地址：https://download.bqpoint.com/download/downloaddetail.html?SourceFrom=Ztb&amp;ZtbSoftXiaQuCode=1155&amp;ZtbSoftType=tballinclusive</w:t>
      </w:r>
    </w:p>
    <w:p w14:paraId="162EBCC8">
      <w:pPr>
        <w:pStyle w:val="10"/>
        <w:wordWrap w:val="0"/>
        <w:spacing w:after="0" w:line="360" w:lineRule="auto"/>
        <w:ind w:firstLine="482" w:firstLineChars="200"/>
        <w:outlineLvl w:val="9"/>
        <w:rPr>
          <w:rFonts w:ascii="仿宋" w:hAnsi="仿宋" w:eastAsia="仿宋" w:cs="仿宋"/>
          <w:b/>
          <w:bCs/>
          <w:color w:val="auto"/>
          <w:szCs w:val="24"/>
        </w:rPr>
      </w:pPr>
      <w:r>
        <w:rPr>
          <w:rFonts w:hint="eastAsia" w:ascii="仿宋" w:hAnsi="仿宋" w:eastAsia="仿宋" w:cs="仿宋"/>
          <w:b/>
          <w:bCs/>
          <w:color w:val="auto"/>
          <w:szCs w:val="24"/>
        </w:rPr>
        <w:t>新点软件客服电话：</w:t>
      </w:r>
      <w:r>
        <w:rPr>
          <w:rFonts w:hint="eastAsia" w:ascii="仿宋" w:hAnsi="仿宋" w:eastAsia="仿宋" w:cs="仿宋"/>
          <w:b/>
          <w:bCs/>
          <w:color w:val="auto"/>
          <w:szCs w:val="24"/>
          <w:lang w:eastAsia="zh-CN"/>
        </w:rPr>
        <w:t>0512-58188591、0570-3878007</w:t>
      </w:r>
      <w:r>
        <w:rPr>
          <w:rFonts w:hint="eastAsia" w:ascii="仿宋" w:hAnsi="仿宋" w:eastAsia="仿宋" w:cs="仿宋"/>
          <w:b/>
          <w:bCs/>
          <w:color w:val="auto"/>
          <w:szCs w:val="24"/>
        </w:rPr>
        <w:t>。</w:t>
      </w:r>
    </w:p>
    <w:p w14:paraId="25656094">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七、提交投标文件截止时间、开标时间和地点</w:t>
      </w:r>
      <w:bookmarkEnd w:id="14"/>
    </w:p>
    <w:p w14:paraId="29DE6B51">
      <w:pPr>
        <w:pStyle w:val="33"/>
        <w:adjustRightInd w:val="0"/>
        <w:snapToGrid w:val="0"/>
        <w:spacing w:line="360" w:lineRule="auto"/>
        <w:ind w:firstLine="480" w:firstLineChars="200"/>
        <w:outlineLvl w:val="9"/>
        <w:rPr>
          <w:rFonts w:ascii="仿宋" w:hAnsi="仿宋" w:eastAsia="仿宋" w:cs="仿宋"/>
          <w:color w:val="auto"/>
          <w:sz w:val="24"/>
          <w:szCs w:val="24"/>
        </w:rPr>
      </w:pPr>
      <w:bookmarkStart w:id="15" w:name="_Toc28359007"/>
      <w:bookmarkStart w:id="16" w:name="_Toc35393625"/>
      <w:bookmarkStart w:id="17" w:name="_Toc35393794"/>
      <w:bookmarkStart w:id="18" w:name="_Toc8106"/>
      <w:bookmarkStart w:id="19" w:name="_Toc28359084"/>
      <w:r>
        <w:rPr>
          <w:rFonts w:hint="eastAsia" w:ascii="仿宋" w:hAnsi="仿宋" w:eastAsia="仿宋" w:cs="仿宋"/>
          <w:color w:val="auto"/>
          <w:sz w:val="24"/>
          <w:szCs w:val="24"/>
        </w:rPr>
        <w:t>1.投标文件递交截止时间（开标时间，下同）：</w:t>
      </w:r>
      <w:r>
        <w:rPr>
          <w:rFonts w:hint="eastAsia" w:ascii="仿宋" w:hAnsi="仿宋" w:eastAsia="仿宋" w:cs="仿宋"/>
          <w:color w:val="0000FF"/>
          <w:sz w:val="24"/>
          <w:szCs w:val="24"/>
          <w:lang w:eastAsia="zh-CN"/>
        </w:rPr>
        <w:t>2025年</w:t>
      </w:r>
      <w:r>
        <w:rPr>
          <w:rFonts w:hint="eastAsia" w:ascii="仿宋" w:hAnsi="仿宋" w:eastAsia="仿宋" w:cs="仿宋"/>
          <w:color w:val="0000FF"/>
          <w:sz w:val="24"/>
          <w:szCs w:val="24"/>
          <w:lang w:val="en-US" w:eastAsia="zh-CN"/>
        </w:rPr>
        <w:t>5</w:t>
      </w:r>
      <w:r>
        <w:rPr>
          <w:rFonts w:hint="eastAsia" w:ascii="仿宋" w:hAnsi="仿宋" w:eastAsia="仿宋" w:cs="仿宋"/>
          <w:color w:val="0000FF"/>
          <w:sz w:val="24"/>
          <w:szCs w:val="24"/>
        </w:rPr>
        <w:t>月</w:t>
      </w:r>
      <w:r>
        <w:rPr>
          <w:rFonts w:hint="eastAsia" w:ascii="仿宋" w:hAnsi="仿宋" w:eastAsia="仿宋" w:cs="仿宋"/>
          <w:color w:val="0000FF"/>
          <w:sz w:val="24"/>
          <w:szCs w:val="24"/>
          <w:lang w:val="en-US" w:eastAsia="zh-CN"/>
        </w:rPr>
        <w:t>30</w:t>
      </w:r>
      <w:r>
        <w:rPr>
          <w:rFonts w:hint="eastAsia" w:ascii="仿宋" w:hAnsi="仿宋" w:eastAsia="仿宋" w:cs="仿宋"/>
          <w:color w:val="0000FF"/>
          <w:sz w:val="24"/>
          <w:szCs w:val="24"/>
        </w:rPr>
        <w:t>日</w:t>
      </w:r>
      <w:r>
        <w:rPr>
          <w:rFonts w:hint="eastAsia" w:ascii="仿宋" w:hAnsi="仿宋" w:eastAsia="仿宋" w:cs="仿宋"/>
          <w:color w:val="0000FF"/>
          <w:sz w:val="24"/>
          <w:szCs w:val="24"/>
          <w:lang w:val="en-US" w:eastAsia="zh-CN"/>
        </w:rPr>
        <w:t>14</w:t>
      </w:r>
      <w:r>
        <w:rPr>
          <w:rFonts w:hint="eastAsia" w:ascii="仿宋" w:hAnsi="仿宋" w:eastAsia="仿宋" w:cs="仿宋"/>
          <w:color w:val="0000FF"/>
          <w:sz w:val="24"/>
          <w:szCs w:val="24"/>
        </w:rPr>
        <w:t>时</w:t>
      </w:r>
      <w:r>
        <w:rPr>
          <w:rFonts w:hint="eastAsia" w:ascii="仿宋" w:hAnsi="仿宋" w:eastAsia="仿宋" w:cs="仿宋"/>
          <w:color w:val="0000FF"/>
          <w:sz w:val="24"/>
          <w:szCs w:val="24"/>
          <w:lang w:val="en-US" w:eastAsia="zh-CN"/>
        </w:rPr>
        <w:t>30</w:t>
      </w:r>
      <w:r>
        <w:rPr>
          <w:rFonts w:hint="eastAsia" w:ascii="仿宋" w:hAnsi="仿宋" w:eastAsia="仿宋" w:cs="仿宋"/>
          <w:color w:val="0000FF"/>
          <w:sz w:val="24"/>
          <w:szCs w:val="24"/>
        </w:rPr>
        <w:t>分</w:t>
      </w:r>
      <w:r>
        <w:rPr>
          <w:rFonts w:hint="eastAsia" w:ascii="仿宋" w:hAnsi="仿宋" w:eastAsia="仿宋" w:cs="仿宋"/>
          <w:color w:val="0000FF"/>
          <w:sz w:val="24"/>
          <w:szCs w:val="24"/>
          <w:lang w:val="en-US" w:eastAsia="zh-CN"/>
        </w:rPr>
        <w:t>00</w:t>
      </w:r>
      <w:r>
        <w:rPr>
          <w:rFonts w:hint="eastAsia" w:ascii="仿宋" w:hAnsi="仿宋" w:eastAsia="仿宋" w:cs="仿宋"/>
          <w:color w:val="0000FF"/>
          <w:sz w:val="24"/>
          <w:szCs w:val="24"/>
        </w:rPr>
        <w:t>秒。</w:t>
      </w:r>
    </w:p>
    <w:p w14:paraId="52830E64">
      <w:pPr>
        <w:pStyle w:val="33"/>
        <w:widowControl/>
        <w:adjustRightInd w:val="0"/>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2.投标文件递交方式：电子投标文件采用网上递交的方式，上传至衢州市阳光交易服务平台（https://qzygjy.com/TPBidder/memberLogin?type=13）。</w:t>
      </w:r>
    </w:p>
    <w:p w14:paraId="285DAD38">
      <w:pPr>
        <w:pStyle w:val="33"/>
        <w:adjustRightInd w:val="0"/>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3.网上开标地点：衢州市阳光交易服务平台不见面开标大厅（网址：https://qzygjy.com/BidOpening/bidopeninghallaction/hall/login）。操作手册见官网首页下载中心。</w:t>
      </w:r>
    </w:p>
    <w:p w14:paraId="79427B3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八、公告期限</w:t>
      </w:r>
      <w:bookmarkEnd w:id="15"/>
      <w:bookmarkEnd w:id="16"/>
      <w:bookmarkEnd w:id="17"/>
      <w:bookmarkEnd w:id="18"/>
      <w:bookmarkEnd w:id="19"/>
    </w:p>
    <w:p w14:paraId="09419C7C">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自本公告发布之日起5个工作日。</w:t>
      </w:r>
      <w:bookmarkStart w:id="20" w:name="_Toc35393626"/>
      <w:bookmarkStart w:id="21" w:name="_Toc35393795"/>
    </w:p>
    <w:p w14:paraId="560DCF66">
      <w:pPr>
        <w:spacing w:line="360" w:lineRule="auto"/>
        <w:ind w:firstLine="480" w:firstLineChars="200"/>
        <w:outlineLvl w:val="9"/>
        <w:rPr>
          <w:rFonts w:ascii="仿宋" w:hAnsi="仿宋" w:eastAsia="仿宋" w:cs="仿宋"/>
          <w:color w:val="auto"/>
          <w:sz w:val="24"/>
          <w:szCs w:val="24"/>
        </w:rPr>
      </w:pPr>
      <w:bookmarkStart w:id="22" w:name="_Toc2707"/>
      <w:r>
        <w:rPr>
          <w:rFonts w:hint="eastAsia" w:ascii="仿宋" w:hAnsi="仿宋" w:eastAsia="仿宋" w:cs="仿宋"/>
          <w:color w:val="auto"/>
          <w:sz w:val="24"/>
          <w:szCs w:val="24"/>
        </w:rPr>
        <w:t>九、其他补充事宜</w:t>
      </w:r>
      <w:bookmarkEnd w:id="20"/>
      <w:bookmarkEnd w:id="21"/>
      <w:bookmarkEnd w:id="22"/>
    </w:p>
    <w:p w14:paraId="07A62FF1">
      <w:pPr>
        <w:spacing w:line="360" w:lineRule="auto"/>
        <w:ind w:firstLine="480" w:firstLineChars="200"/>
        <w:outlineLvl w:val="9"/>
        <w:rPr>
          <w:rFonts w:hint="default" w:ascii="仿宋" w:hAnsi="仿宋" w:eastAsia="仿宋" w:cs="仿宋"/>
          <w:color w:val="auto"/>
          <w:sz w:val="24"/>
          <w:szCs w:val="24"/>
        </w:rPr>
      </w:pPr>
      <w:bookmarkStart w:id="23" w:name="_Toc35393627"/>
      <w:bookmarkStart w:id="24" w:name="_Toc28359085"/>
      <w:bookmarkStart w:id="25" w:name="_Toc28359008"/>
      <w:bookmarkStart w:id="26" w:name="_Toc35393796"/>
      <w:bookmarkStart w:id="27" w:name="_Toc27354"/>
      <w:r>
        <w:rPr>
          <w:rFonts w:hint="default" w:ascii="仿宋" w:hAnsi="仿宋" w:eastAsia="仿宋" w:cs="仿宋"/>
          <w:color w:val="auto"/>
          <w:sz w:val="24"/>
          <w:szCs w:val="24"/>
          <w:lang w:val="en-US" w:eastAsia="zh-CN"/>
        </w:rPr>
        <w:t>投标人认为招标文件使自己的权益受到损害的，可以自获取招标文件之日或者招标文件公告期限届满之日（公告期限届满后获取招标文件的，以公告期限届满之日为准）起7个工作日内，向招标人和招标代理机构提出质疑，提交方式：登录衢州市阳光交易服务平台（https://qzygjy.com/bszn/sec.html）－发包公告－进入项目－异议－新增异议。质疑投标人对招标人、招标代理机构的答复不满意或者招标人、招标代理机构未在规定的时间内作出答复的，可以在答复期满后十五个工作日内向招标人监督管理部门投诉。</w:t>
      </w:r>
    </w:p>
    <w:p w14:paraId="2CA4FAC7">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十、对本次招标提出询问，请按以下方式联系。</w:t>
      </w:r>
      <w:bookmarkEnd w:id="23"/>
      <w:bookmarkEnd w:id="24"/>
      <w:bookmarkEnd w:id="25"/>
      <w:bookmarkEnd w:id="26"/>
      <w:bookmarkEnd w:id="27"/>
    </w:p>
    <w:p w14:paraId="21917192">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lang w:eastAsia="zh-CN"/>
        </w:rPr>
        <w:t>人名称：马迭尔食品（浙江）有限公司</w:t>
      </w:r>
    </w:p>
    <w:p w14:paraId="77AA1597">
      <w:pPr>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联系人：姚先生，联系电话：13351688786</w:t>
      </w:r>
    </w:p>
    <w:p w14:paraId="3D21A92B">
      <w:pPr>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color w:val="auto"/>
          <w:kern w:val="2"/>
          <w:sz w:val="24"/>
          <w:szCs w:val="24"/>
          <w:lang w:val="en-US" w:eastAsia="zh-CN" w:bidi="ar"/>
          <w:woUserID w:val="1"/>
        </w:rPr>
      </w:pPr>
      <w:r>
        <w:rPr>
          <w:rFonts w:hint="eastAsia" w:ascii="仿宋" w:hAnsi="仿宋" w:eastAsia="仿宋" w:cs="仿宋"/>
          <w:color w:val="auto"/>
          <w:kern w:val="2"/>
          <w:sz w:val="24"/>
          <w:szCs w:val="24"/>
          <w:lang w:val="en-US" w:eastAsia="zh-CN" w:bidi="ar"/>
          <w:woUserID w:val="1"/>
        </w:rPr>
        <w:t>2.招标代理机构名称：衢州市两山工程咨询管理有限公司</w:t>
      </w:r>
    </w:p>
    <w:p w14:paraId="41D79EFF">
      <w:pPr>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color w:val="auto"/>
          <w:kern w:val="2"/>
          <w:sz w:val="24"/>
          <w:szCs w:val="24"/>
          <w:lang w:val="en-US" w:eastAsia="zh-CN" w:bidi="ar"/>
          <w:woUserID w:val="1"/>
        </w:rPr>
      </w:pPr>
      <w:r>
        <w:rPr>
          <w:rFonts w:hint="eastAsia" w:ascii="仿宋" w:hAnsi="仿宋" w:eastAsia="仿宋" w:cs="仿宋"/>
          <w:color w:val="auto"/>
          <w:kern w:val="2"/>
          <w:sz w:val="24"/>
          <w:szCs w:val="24"/>
          <w:lang w:val="en-US" w:eastAsia="zh-CN" w:bidi="ar"/>
          <w:woUserID w:val="1"/>
        </w:rPr>
        <w:t>联系人：舒女士，联系电话：0570-3810879</w:t>
      </w:r>
    </w:p>
    <w:p w14:paraId="4F1BD232">
      <w:pPr>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color w:val="auto"/>
          <w:kern w:val="2"/>
          <w:sz w:val="24"/>
          <w:szCs w:val="24"/>
          <w:lang w:val="en-US" w:eastAsia="zh-CN" w:bidi="ar"/>
          <w:woUserID w:val="1"/>
        </w:rPr>
      </w:pPr>
      <w:r>
        <w:rPr>
          <w:rFonts w:hint="eastAsia" w:ascii="仿宋" w:hAnsi="仿宋" w:eastAsia="仿宋" w:cs="仿宋"/>
          <w:color w:val="auto"/>
          <w:kern w:val="2"/>
          <w:sz w:val="24"/>
          <w:szCs w:val="24"/>
          <w:lang w:val="en-US" w:eastAsia="zh-CN" w:bidi="ar"/>
          <w:woUserID w:val="1"/>
        </w:rPr>
        <w:t>地点：衢州市柯城区芹江东路288号衢时代创新大厦1号楼14楼1416室</w:t>
      </w:r>
    </w:p>
    <w:p w14:paraId="523924B2">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监督联系人：李先生，联系方式：18645099477</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rPr>
        <w:t xml:space="preserve">                                 </w:t>
      </w:r>
    </w:p>
    <w:p w14:paraId="7F874F26">
      <w:pPr>
        <w:wordWrap w:val="0"/>
        <w:spacing w:line="360" w:lineRule="auto"/>
        <w:ind w:firstLine="1200" w:firstLineChars="500"/>
        <w:jc w:val="right"/>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w:t>
      </w:r>
    </w:p>
    <w:p w14:paraId="1F83F8E8">
      <w:pPr>
        <w:wordWrap w:val="0"/>
        <w:spacing w:line="360" w:lineRule="auto"/>
        <w:ind w:firstLine="1200" w:firstLineChars="500"/>
        <w:jc w:val="righ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马迭尔食品（浙江）有限公司</w:t>
      </w:r>
    </w:p>
    <w:p w14:paraId="1C045925">
      <w:pPr>
        <w:wordWrap w:val="0"/>
        <w:spacing w:line="360" w:lineRule="auto"/>
        <w:ind w:firstLine="1200" w:firstLineChars="500"/>
        <w:jc w:val="right"/>
        <w:outlineLvl w:val="9"/>
        <w:rPr>
          <w:rFonts w:ascii="仿宋" w:hAnsi="仿宋" w:eastAsia="仿宋" w:cs="仿宋"/>
          <w:color w:val="auto"/>
          <w:sz w:val="24"/>
          <w:szCs w:val="24"/>
        </w:rPr>
      </w:pPr>
      <w:bookmarkStart w:id="28" w:name="_Toc13898"/>
      <w:r>
        <w:rPr>
          <w:rFonts w:hint="eastAsia" w:ascii="仿宋" w:hAnsi="仿宋" w:eastAsia="仿宋" w:cs="仿宋"/>
          <w:color w:val="auto"/>
          <w:sz w:val="24"/>
          <w:szCs w:val="24"/>
        </w:rPr>
        <w:t>衢州市两山工程咨询管理有限公司</w:t>
      </w:r>
      <w:bookmarkEnd w:id="28"/>
    </w:p>
    <w:p w14:paraId="5E160207">
      <w:pPr>
        <w:spacing w:line="360" w:lineRule="auto"/>
        <w:ind w:firstLine="1200" w:firstLineChars="500"/>
        <w:jc w:val="right"/>
        <w:rPr>
          <w:rFonts w:ascii="仿宋" w:hAnsi="仿宋" w:eastAsia="仿宋" w:cs="仿宋"/>
          <w:color w:val="0000FF"/>
          <w:sz w:val="24"/>
          <w:szCs w:val="24"/>
        </w:rPr>
      </w:pPr>
      <w:r>
        <w:rPr>
          <w:rFonts w:hint="eastAsia" w:ascii="仿宋" w:hAnsi="仿宋" w:eastAsia="仿宋" w:cs="仿宋"/>
          <w:color w:val="0000FF"/>
          <w:sz w:val="24"/>
          <w:szCs w:val="24"/>
          <w:lang w:val="en-US" w:eastAsia="zh-CN"/>
        </w:rPr>
        <w:t>2025</w:t>
      </w:r>
      <w:r>
        <w:rPr>
          <w:rFonts w:hint="eastAsia" w:ascii="仿宋" w:hAnsi="仿宋" w:eastAsia="仿宋" w:cs="仿宋"/>
          <w:color w:val="0000FF"/>
          <w:sz w:val="24"/>
          <w:szCs w:val="24"/>
        </w:rPr>
        <w:t>年</w:t>
      </w:r>
      <w:r>
        <w:rPr>
          <w:rFonts w:hint="eastAsia" w:ascii="仿宋" w:hAnsi="仿宋" w:eastAsia="仿宋" w:cs="仿宋"/>
          <w:color w:val="0000FF"/>
          <w:sz w:val="24"/>
          <w:szCs w:val="24"/>
          <w:lang w:val="en-US" w:eastAsia="zh-CN"/>
        </w:rPr>
        <w:t>5</w:t>
      </w:r>
      <w:r>
        <w:rPr>
          <w:rFonts w:hint="eastAsia" w:ascii="仿宋" w:hAnsi="仿宋" w:eastAsia="仿宋" w:cs="仿宋"/>
          <w:color w:val="0000FF"/>
          <w:sz w:val="24"/>
          <w:szCs w:val="24"/>
        </w:rPr>
        <w:t>月</w:t>
      </w:r>
      <w:r>
        <w:rPr>
          <w:rFonts w:hint="eastAsia" w:ascii="仿宋" w:hAnsi="仿宋" w:eastAsia="仿宋" w:cs="仿宋"/>
          <w:color w:val="0000FF"/>
          <w:sz w:val="24"/>
          <w:szCs w:val="24"/>
          <w:lang w:val="en-US" w:eastAsia="zh-CN"/>
        </w:rPr>
        <w:t>9</w:t>
      </w:r>
      <w:r>
        <w:rPr>
          <w:rFonts w:hint="eastAsia" w:ascii="仿宋" w:hAnsi="仿宋" w:eastAsia="仿宋" w:cs="仿宋"/>
          <w:color w:val="0000FF"/>
          <w:sz w:val="24"/>
          <w:szCs w:val="24"/>
        </w:rPr>
        <w:t>日</w:t>
      </w:r>
    </w:p>
    <w:p w14:paraId="44257354">
      <w:pPr>
        <w:pStyle w:val="18"/>
        <w:ind w:left="2250" w:hanging="1200"/>
        <w:rPr>
          <w:color w:val="auto"/>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2046B21E">
      <w:pPr>
        <w:spacing w:line="360" w:lineRule="auto"/>
        <w:jc w:val="center"/>
        <w:outlineLvl w:val="0"/>
        <w:rPr>
          <w:rFonts w:ascii="仿宋" w:hAnsi="仿宋" w:eastAsia="仿宋" w:cs="仿宋"/>
          <w:b/>
          <w:color w:val="auto"/>
          <w:sz w:val="28"/>
          <w:szCs w:val="28"/>
        </w:rPr>
      </w:pPr>
      <w:r>
        <w:rPr>
          <w:rFonts w:hint="eastAsia" w:ascii="仿宋" w:hAnsi="仿宋" w:eastAsia="仿宋" w:cs="仿宋"/>
          <w:color w:val="auto"/>
          <w:sz w:val="28"/>
          <w:szCs w:val="28"/>
        </w:rPr>
        <w:t xml:space="preserve">     </w:t>
      </w:r>
      <w:bookmarkStart w:id="29" w:name="_Toc26282"/>
      <w:bookmarkStart w:id="30" w:name="_Toc6025"/>
      <w:r>
        <w:rPr>
          <w:rFonts w:hint="eastAsia" w:ascii="仿宋" w:hAnsi="仿宋" w:eastAsia="仿宋" w:cs="仿宋"/>
          <w:b/>
          <w:color w:val="auto"/>
          <w:sz w:val="28"/>
          <w:szCs w:val="28"/>
        </w:rPr>
        <w:t>第二章  投标人须知前附表及投标人须知</w:t>
      </w:r>
      <w:bookmarkEnd w:id="29"/>
      <w:bookmarkEnd w:id="30"/>
    </w:p>
    <w:p w14:paraId="7CF343AE">
      <w:pPr>
        <w:snapToGrid w:val="0"/>
        <w:spacing w:line="360" w:lineRule="auto"/>
        <w:ind w:firstLine="562" w:firstLineChars="200"/>
        <w:jc w:val="left"/>
        <w:outlineLvl w:val="9"/>
        <w:rPr>
          <w:rFonts w:ascii="仿宋" w:hAnsi="仿宋" w:eastAsia="仿宋" w:cs="仿宋"/>
          <w:b/>
          <w:color w:val="auto"/>
          <w:sz w:val="28"/>
          <w:szCs w:val="28"/>
        </w:rPr>
      </w:pPr>
      <w:bookmarkStart w:id="31" w:name="_Toc25378"/>
      <w:bookmarkStart w:id="32" w:name="_Toc503"/>
      <w:bookmarkStart w:id="33" w:name="_Toc356371431"/>
      <w:bookmarkStart w:id="34" w:name="_Toc359856797"/>
      <w:bookmarkStart w:id="35" w:name="_Toc3387"/>
      <w:bookmarkStart w:id="36" w:name="_Toc12214"/>
      <w:r>
        <w:rPr>
          <w:rFonts w:hint="eastAsia" w:ascii="仿宋" w:hAnsi="仿宋" w:eastAsia="仿宋" w:cs="仿宋"/>
          <w:b/>
          <w:color w:val="auto"/>
          <w:sz w:val="28"/>
          <w:szCs w:val="28"/>
        </w:rPr>
        <w:t>一、投标人须知前附表</w:t>
      </w:r>
      <w:bookmarkEnd w:id="31"/>
      <w:bookmarkEnd w:id="32"/>
      <w:bookmarkEnd w:id="33"/>
      <w:bookmarkEnd w:id="34"/>
      <w:bookmarkEnd w:id="35"/>
      <w:bookmarkEnd w:id="36"/>
    </w:p>
    <w:tbl>
      <w:tblPr>
        <w:tblStyle w:val="23"/>
        <w:tblW w:w="9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2118"/>
        <w:gridCol w:w="6827"/>
      </w:tblGrid>
      <w:tr w14:paraId="58C1B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99" w:type="dxa"/>
            <w:vAlign w:val="center"/>
          </w:tcPr>
          <w:p w14:paraId="35146D7D">
            <w:pPr>
              <w:spacing w:line="480" w:lineRule="exact"/>
              <w:jc w:val="center"/>
              <w:outlineLvl w:val="9"/>
              <w:rPr>
                <w:rFonts w:ascii="仿宋" w:hAnsi="仿宋" w:eastAsia="仿宋" w:cs="仿宋"/>
                <w:color w:val="auto"/>
                <w:sz w:val="24"/>
                <w:szCs w:val="24"/>
              </w:rPr>
            </w:pPr>
            <w:bookmarkStart w:id="37" w:name="_Toc359856798"/>
            <w:bookmarkStart w:id="38" w:name="_Toc7610"/>
            <w:bookmarkStart w:id="39" w:name="_Toc356371433"/>
            <w:r>
              <w:rPr>
                <w:rFonts w:hint="eastAsia" w:ascii="仿宋" w:hAnsi="仿宋" w:eastAsia="仿宋" w:cs="仿宋"/>
                <w:color w:val="auto"/>
                <w:sz w:val="24"/>
                <w:szCs w:val="24"/>
              </w:rPr>
              <w:t>序号</w:t>
            </w:r>
          </w:p>
        </w:tc>
        <w:tc>
          <w:tcPr>
            <w:tcW w:w="2118" w:type="dxa"/>
            <w:vAlign w:val="center"/>
          </w:tcPr>
          <w:p w14:paraId="4B5B5E2D">
            <w:pPr>
              <w:spacing w:line="480" w:lineRule="exact"/>
              <w:jc w:val="center"/>
              <w:outlineLvl w:val="9"/>
              <w:rPr>
                <w:rFonts w:ascii="仿宋" w:hAnsi="仿宋" w:eastAsia="仿宋" w:cs="仿宋"/>
                <w:color w:val="auto"/>
                <w:sz w:val="24"/>
                <w:szCs w:val="24"/>
              </w:rPr>
            </w:pPr>
            <w:r>
              <w:rPr>
                <w:rFonts w:hint="eastAsia" w:ascii="仿宋" w:hAnsi="仿宋" w:eastAsia="仿宋" w:cs="仿宋"/>
                <w:color w:val="auto"/>
                <w:sz w:val="24"/>
                <w:szCs w:val="24"/>
              </w:rPr>
              <w:t>内  容</w:t>
            </w:r>
          </w:p>
        </w:tc>
        <w:tc>
          <w:tcPr>
            <w:tcW w:w="6827" w:type="dxa"/>
            <w:vAlign w:val="center"/>
          </w:tcPr>
          <w:p w14:paraId="51F015CA">
            <w:pPr>
              <w:spacing w:line="480" w:lineRule="exact"/>
              <w:jc w:val="center"/>
              <w:outlineLvl w:val="9"/>
              <w:rPr>
                <w:rFonts w:ascii="仿宋" w:hAnsi="仿宋" w:eastAsia="仿宋" w:cs="仿宋"/>
                <w:color w:val="auto"/>
                <w:sz w:val="24"/>
                <w:szCs w:val="24"/>
              </w:rPr>
            </w:pPr>
            <w:r>
              <w:rPr>
                <w:rFonts w:hint="eastAsia" w:ascii="仿宋" w:hAnsi="仿宋" w:eastAsia="仿宋" w:cs="仿宋"/>
                <w:color w:val="auto"/>
                <w:sz w:val="24"/>
                <w:szCs w:val="24"/>
              </w:rPr>
              <w:t>说明与要求</w:t>
            </w:r>
          </w:p>
        </w:tc>
      </w:tr>
      <w:tr w14:paraId="049D6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99" w:type="dxa"/>
            <w:vAlign w:val="center"/>
          </w:tcPr>
          <w:p w14:paraId="52D4F3E6">
            <w:pPr>
              <w:spacing w:line="480" w:lineRule="exact"/>
              <w:jc w:val="center"/>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2118" w:type="dxa"/>
            <w:vAlign w:val="center"/>
          </w:tcPr>
          <w:p w14:paraId="2755AD7F">
            <w:pPr>
              <w:spacing w:line="480" w:lineRule="exact"/>
              <w:jc w:val="center"/>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招标人</w:t>
            </w:r>
          </w:p>
        </w:tc>
        <w:tc>
          <w:tcPr>
            <w:tcW w:w="6827" w:type="dxa"/>
            <w:vAlign w:val="center"/>
          </w:tcPr>
          <w:p w14:paraId="355B002C">
            <w:pPr>
              <w:spacing w:line="480" w:lineRule="exact"/>
              <w:ind w:firstLine="480" w:firstLineChars="200"/>
              <w:jc w:val="both"/>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马迭尔食品（浙江）有限公司</w:t>
            </w:r>
          </w:p>
        </w:tc>
      </w:tr>
      <w:tr w14:paraId="15AF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9" w:type="dxa"/>
            <w:vAlign w:val="center"/>
          </w:tcPr>
          <w:p w14:paraId="65BE3972">
            <w:pPr>
              <w:spacing w:line="480" w:lineRule="exact"/>
              <w:jc w:val="center"/>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2118" w:type="dxa"/>
            <w:vAlign w:val="center"/>
          </w:tcPr>
          <w:p w14:paraId="5FCFDEAF">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项目名称</w:t>
            </w:r>
          </w:p>
        </w:tc>
        <w:tc>
          <w:tcPr>
            <w:tcW w:w="6827" w:type="dxa"/>
            <w:vAlign w:val="center"/>
          </w:tcPr>
          <w:p w14:paraId="63E880C5">
            <w:pPr>
              <w:spacing w:line="480" w:lineRule="exact"/>
              <w:ind w:firstLine="480" w:firstLineChars="200"/>
              <w:jc w:val="lef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哈尔滨马迭尔食品股份有限公司物流服务项目</w:t>
            </w:r>
          </w:p>
        </w:tc>
      </w:tr>
      <w:tr w14:paraId="16449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9" w:type="dxa"/>
            <w:vAlign w:val="center"/>
          </w:tcPr>
          <w:p w14:paraId="6AB6A988">
            <w:pPr>
              <w:spacing w:line="480" w:lineRule="exact"/>
              <w:jc w:val="center"/>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2118" w:type="dxa"/>
            <w:vAlign w:val="center"/>
          </w:tcPr>
          <w:p w14:paraId="14312CDD">
            <w:pPr>
              <w:pStyle w:val="12"/>
              <w:keepNext w:val="0"/>
              <w:keepLines w:val="0"/>
              <w:pageBreakBefore w:val="0"/>
              <w:widowControl/>
              <w:kinsoku/>
              <w:wordWrap/>
              <w:topLinePunct w:val="0"/>
              <w:bidi w:val="0"/>
              <w:adjustRightInd w:val="0"/>
              <w:snapToGrid w:val="0"/>
              <w:spacing w:after="0"/>
              <w:jc w:val="center"/>
              <w:rPr>
                <w:rFonts w:hint="eastAsia" w:ascii="仿宋" w:hAnsi="仿宋" w:eastAsia="仿宋" w:cs="仿宋"/>
                <w:color w:val="auto"/>
                <w:sz w:val="24"/>
                <w:szCs w:val="24"/>
              </w:rPr>
            </w:pPr>
            <w:r>
              <w:rPr>
                <w:rFonts w:hint="eastAsia" w:ascii="仿宋" w:hAnsi="仿宋" w:eastAsia="仿宋" w:cs="仿宋"/>
                <w:color w:val="auto"/>
                <w:sz w:val="24"/>
                <w:szCs w:val="24"/>
                <w:highlight w:val="none"/>
              </w:rPr>
              <w:t>项目实施地点</w:t>
            </w:r>
          </w:p>
        </w:tc>
        <w:tc>
          <w:tcPr>
            <w:tcW w:w="6827" w:type="dxa"/>
            <w:vAlign w:val="center"/>
          </w:tcPr>
          <w:p w14:paraId="0D3E28DD">
            <w:pPr>
              <w:keepNext w:val="0"/>
              <w:keepLines w:val="0"/>
              <w:pageBreakBefore w:val="0"/>
              <w:widowControl/>
              <w:kinsoku/>
              <w:wordWrap/>
              <w:topLinePunct w:val="0"/>
              <w:bidi w:val="0"/>
              <w:adjustRightInd w:val="0"/>
              <w:snapToGrid w:val="0"/>
              <w:spacing w:after="0" w:line="44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招标人</w:t>
            </w:r>
            <w:r>
              <w:rPr>
                <w:rFonts w:hint="eastAsia" w:ascii="仿宋" w:hAnsi="仿宋" w:eastAsia="仿宋" w:cs="仿宋"/>
                <w:color w:val="auto"/>
                <w:sz w:val="24"/>
                <w:szCs w:val="24"/>
                <w:highlight w:val="none"/>
              </w:rPr>
              <w:t>指定地点</w:t>
            </w:r>
          </w:p>
        </w:tc>
      </w:tr>
      <w:tr w14:paraId="2110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9" w:type="dxa"/>
            <w:vAlign w:val="center"/>
          </w:tcPr>
          <w:p w14:paraId="521601CE">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2118" w:type="dxa"/>
            <w:vAlign w:val="center"/>
          </w:tcPr>
          <w:p w14:paraId="438B3E7A">
            <w:pPr>
              <w:keepNext w:val="0"/>
              <w:keepLines w:val="0"/>
              <w:pageBreakBefore w:val="0"/>
              <w:kinsoku/>
              <w:wordWrap/>
              <w:overflowPunct/>
              <w:topLinePunct w:val="0"/>
              <w:bidi w:val="0"/>
              <w:spacing w:line="240" w:lineRule="auto"/>
              <w:jc w:val="center"/>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预算价</w:t>
            </w:r>
          </w:p>
        </w:tc>
        <w:tc>
          <w:tcPr>
            <w:tcW w:w="6827" w:type="dxa"/>
            <w:vAlign w:val="center"/>
          </w:tcPr>
          <w:p w14:paraId="18056F08">
            <w:pPr>
              <w:keepNext w:val="0"/>
              <w:keepLines w:val="0"/>
              <w:pageBreakBefore w:val="0"/>
              <w:widowControl/>
              <w:kinsoku/>
              <w:wordWrap/>
              <w:overflowPunct/>
              <w:topLinePunct w:val="0"/>
              <w:autoSpaceDE/>
              <w:autoSpaceDN/>
              <w:bidi w:val="0"/>
              <w:adjustRightInd/>
              <w:spacing w:line="340" w:lineRule="exact"/>
              <w:ind w:firstLine="476"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pacing w:val="-1"/>
                <w:sz w:val="24"/>
                <w:szCs w:val="24"/>
                <w:lang w:val="en-US" w:eastAsia="zh-CN"/>
              </w:rPr>
              <w:t>450万元</w:t>
            </w:r>
          </w:p>
        </w:tc>
      </w:tr>
      <w:tr w14:paraId="75589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9" w:type="dxa"/>
            <w:vAlign w:val="center"/>
          </w:tcPr>
          <w:p w14:paraId="5A61E426">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2118" w:type="dxa"/>
            <w:vAlign w:val="center"/>
          </w:tcPr>
          <w:p w14:paraId="30320C2E">
            <w:pPr>
              <w:keepNext w:val="0"/>
              <w:keepLines w:val="0"/>
              <w:pageBreakBefore w:val="0"/>
              <w:kinsoku/>
              <w:wordWrap/>
              <w:overflowPunct/>
              <w:topLinePunct w:val="0"/>
              <w:bidi w:val="0"/>
              <w:spacing w:line="240" w:lineRule="auto"/>
              <w:jc w:val="center"/>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最高限价</w:t>
            </w:r>
          </w:p>
        </w:tc>
        <w:tc>
          <w:tcPr>
            <w:tcW w:w="6827" w:type="dxa"/>
            <w:vAlign w:val="center"/>
          </w:tcPr>
          <w:p w14:paraId="53C16639">
            <w:pPr>
              <w:keepNext w:val="0"/>
              <w:keepLines w:val="0"/>
              <w:pageBreakBefore w:val="0"/>
              <w:widowControl/>
              <w:tabs>
                <w:tab w:val="left" w:pos="720"/>
              </w:tabs>
              <w:kinsoku/>
              <w:wordWrap/>
              <w:overflowPunct/>
              <w:topLinePunct w:val="0"/>
              <w:autoSpaceDE/>
              <w:autoSpaceDN/>
              <w:bidi w:val="0"/>
              <w:snapToGrid/>
              <w:spacing w:after="0" w:line="34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详见</w:t>
            </w:r>
            <w:r>
              <w:rPr>
                <w:rFonts w:hint="eastAsia" w:ascii="仿宋" w:hAnsi="仿宋" w:eastAsia="仿宋" w:cs="仿宋"/>
                <w:color w:val="auto"/>
                <w:sz w:val="24"/>
                <w:szCs w:val="24"/>
                <w:highlight w:val="none"/>
                <w:lang w:val="en-US" w:eastAsia="zh-CN"/>
              </w:rPr>
              <w:t>第三章</w:t>
            </w:r>
            <w:r>
              <w:rPr>
                <w:rFonts w:hint="eastAsia" w:ascii="仿宋" w:hAnsi="仿宋" w:eastAsia="仿宋" w:cs="仿宋"/>
                <w:color w:val="auto"/>
                <w:sz w:val="24"/>
                <w:szCs w:val="24"/>
                <w:highlight w:val="none"/>
              </w:rPr>
              <w:t>采购内容</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要求</w:t>
            </w:r>
          </w:p>
        </w:tc>
      </w:tr>
      <w:tr w14:paraId="6A7F6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99" w:type="dxa"/>
            <w:vAlign w:val="center"/>
          </w:tcPr>
          <w:p w14:paraId="1F85B782">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2118" w:type="dxa"/>
            <w:vAlign w:val="center"/>
          </w:tcPr>
          <w:p w14:paraId="2997CCD6">
            <w:pPr>
              <w:keepNext w:val="0"/>
              <w:keepLines w:val="0"/>
              <w:pageBreakBefore w:val="0"/>
              <w:kinsoku/>
              <w:wordWrap/>
              <w:overflowPunct/>
              <w:topLinePunct w:val="0"/>
              <w:bidi w:val="0"/>
              <w:spacing w:line="240" w:lineRule="auto"/>
              <w:jc w:val="center"/>
              <w:textAlignment w:val="auto"/>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服务期限</w:t>
            </w:r>
          </w:p>
        </w:tc>
        <w:tc>
          <w:tcPr>
            <w:tcW w:w="6827" w:type="dxa"/>
            <w:vAlign w:val="center"/>
          </w:tcPr>
          <w:p w14:paraId="086C1EA0">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自合同签订之日起一年。</w:t>
            </w:r>
          </w:p>
        </w:tc>
      </w:tr>
      <w:tr w14:paraId="14332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99" w:type="dxa"/>
            <w:vAlign w:val="center"/>
          </w:tcPr>
          <w:p w14:paraId="594DC497">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2118" w:type="dxa"/>
            <w:vAlign w:val="center"/>
          </w:tcPr>
          <w:p w14:paraId="6D539277">
            <w:pPr>
              <w:keepNext w:val="0"/>
              <w:keepLines w:val="0"/>
              <w:pageBreakBefore w:val="0"/>
              <w:widowControl/>
              <w:kinsoku/>
              <w:wordWrap/>
              <w:overflowPunct/>
              <w:topLinePunct w:val="0"/>
              <w:bidi w:val="0"/>
              <w:adjustRightInd w:val="0"/>
              <w:snapToGrid w:val="0"/>
              <w:spacing w:line="240" w:lineRule="auto"/>
              <w:jc w:val="center"/>
              <w:textAlignment w:val="auto"/>
              <w:outlineLvl w:val="9"/>
              <w:rPr>
                <w:rFonts w:hint="eastAsia" w:ascii="仿宋" w:hAnsi="仿宋" w:eastAsia="仿宋" w:cs="仿宋"/>
                <w:b/>
                <w:bCs/>
                <w:color w:val="auto"/>
                <w:kern w:val="2"/>
                <w:sz w:val="24"/>
                <w:szCs w:val="24"/>
                <w:lang w:val="en-US" w:eastAsia="zh-CN" w:bidi="ar-SA"/>
              </w:rPr>
            </w:pPr>
            <w:r>
              <w:rPr>
                <w:rFonts w:hint="eastAsia" w:ascii="仿宋" w:hAnsi="仿宋" w:eastAsia="仿宋" w:cs="仿宋"/>
                <w:color w:val="auto"/>
                <w:sz w:val="24"/>
                <w:szCs w:val="24"/>
              </w:rPr>
              <w:t>现场踏勘</w:t>
            </w:r>
          </w:p>
        </w:tc>
        <w:tc>
          <w:tcPr>
            <w:tcW w:w="6827" w:type="dxa"/>
            <w:vAlign w:val="center"/>
          </w:tcPr>
          <w:p w14:paraId="02FCEF80">
            <w:pPr>
              <w:widowControl/>
              <w:adjustRightInd w:val="0"/>
              <w:snapToGrid w:val="0"/>
              <w:ind w:firstLine="480" w:firstLineChars="200"/>
              <w:jc w:val="left"/>
              <w:outlineLvl w:val="9"/>
              <w:rPr>
                <w:rFonts w:ascii="仿宋" w:hAnsi="仿宋" w:eastAsia="仿宋" w:cs="仿宋"/>
                <w:b/>
                <w:bCs/>
                <w:color w:val="auto"/>
                <w:kern w:val="2"/>
                <w:sz w:val="24"/>
                <w:szCs w:val="24"/>
                <w:lang w:val="en-US" w:eastAsia="zh-CN" w:bidi="ar-SA"/>
              </w:rPr>
            </w:pP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不组织统一踏勘，投标人可自行踏勘。</w:t>
            </w:r>
          </w:p>
        </w:tc>
      </w:tr>
      <w:tr w14:paraId="615D9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799" w:type="dxa"/>
            <w:vAlign w:val="center"/>
          </w:tcPr>
          <w:p w14:paraId="68586FD4">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2118" w:type="dxa"/>
            <w:vAlign w:val="center"/>
          </w:tcPr>
          <w:p w14:paraId="73481EBA">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lang w:bidi="ar"/>
              </w:rPr>
              <w:t>投标有效期</w:t>
            </w:r>
          </w:p>
        </w:tc>
        <w:tc>
          <w:tcPr>
            <w:tcW w:w="6827" w:type="dxa"/>
            <w:vAlign w:val="center"/>
          </w:tcPr>
          <w:p w14:paraId="34C89473">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投标文件递交截止之日起90天。</w:t>
            </w:r>
          </w:p>
        </w:tc>
      </w:tr>
      <w:tr w14:paraId="054F5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99" w:type="dxa"/>
            <w:vAlign w:val="center"/>
          </w:tcPr>
          <w:p w14:paraId="69D55C29">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2118" w:type="dxa"/>
            <w:vAlign w:val="center"/>
          </w:tcPr>
          <w:p w14:paraId="6DF90101">
            <w:pPr>
              <w:keepNext w:val="0"/>
              <w:keepLines w:val="0"/>
              <w:pageBreakBefore w:val="0"/>
              <w:kinsoku/>
              <w:wordWrap/>
              <w:overflowPunct/>
              <w:topLinePunct w:val="0"/>
              <w:autoSpaceDE w:val="0"/>
              <w:autoSpaceDN w:val="0"/>
              <w:bidi w:val="0"/>
              <w:adjustRightInd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lang w:bidi="ar"/>
              </w:rPr>
              <w:t>是否采用电子招标投标</w:t>
            </w:r>
          </w:p>
        </w:tc>
        <w:tc>
          <w:tcPr>
            <w:tcW w:w="6827" w:type="dxa"/>
            <w:vAlign w:val="center"/>
          </w:tcPr>
          <w:p w14:paraId="11E1D0DB">
            <w:pPr>
              <w:autoSpaceDE w:val="0"/>
              <w:autoSpaceDN w:val="0"/>
              <w:adjustRightInd w:val="0"/>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lang w:bidi="ar"/>
              </w:rPr>
              <w:t>是，本项目实行不见面电子招投标方式。</w:t>
            </w:r>
          </w:p>
        </w:tc>
      </w:tr>
      <w:tr w14:paraId="26EAF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99" w:type="dxa"/>
            <w:vAlign w:val="center"/>
          </w:tcPr>
          <w:p w14:paraId="591A7C03">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2118" w:type="dxa"/>
            <w:vAlign w:val="center"/>
          </w:tcPr>
          <w:p w14:paraId="7A56C824">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投标文件份数</w:t>
            </w:r>
          </w:p>
        </w:tc>
        <w:tc>
          <w:tcPr>
            <w:tcW w:w="6827" w:type="dxa"/>
            <w:vAlign w:val="center"/>
          </w:tcPr>
          <w:p w14:paraId="3B85B979">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lang w:bidi="ar"/>
              </w:rPr>
              <w:t>加密电子投标文件一份，包括“资格审查文件”“技术商务文件”“报价文件”三个部分组成，按规定上传至衢州市阳光交易服务平台。中标人在中标结果公告结束后，按</w:t>
            </w:r>
            <w:r>
              <w:rPr>
                <w:rFonts w:hint="eastAsia" w:ascii="仿宋" w:hAnsi="仿宋" w:eastAsia="仿宋" w:cs="仿宋"/>
                <w:color w:val="auto"/>
                <w:sz w:val="24"/>
                <w:szCs w:val="24"/>
                <w:lang w:eastAsia="zh-CN" w:bidi="ar"/>
              </w:rPr>
              <w:t>招标人</w:t>
            </w:r>
            <w:r>
              <w:rPr>
                <w:rFonts w:hint="eastAsia" w:ascii="仿宋" w:hAnsi="仿宋" w:eastAsia="仿宋" w:cs="仿宋"/>
                <w:color w:val="auto"/>
                <w:sz w:val="24"/>
                <w:szCs w:val="24"/>
                <w:lang w:bidi="ar"/>
              </w:rPr>
              <w:t>或代理机构要求提供与投标时一致的投标文件。</w:t>
            </w:r>
          </w:p>
        </w:tc>
      </w:tr>
      <w:tr w14:paraId="4CBC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99" w:type="dxa"/>
            <w:vAlign w:val="center"/>
          </w:tcPr>
          <w:p w14:paraId="10B6640F">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2118" w:type="dxa"/>
            <w:vAlign w:val="center"/>
          </w:tcPr>
          <w:p w14:paraId="1BB9D351">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投标文件的签章</w:t>
            </w:r>
          </w:p>
        </w:tc>
        <w:tc>
          <w:tcPr>
            <w:tcW w:w="6827" w:type="dxa"/>
            <w:vAlign w:val="center"/>
          </w:tcPr>
          <w:p w14:paraId="10A5EC03">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电子签章</w:t>
            </w:r>
          </w:p>
        </w:tc>
      </w:tr>
      <w:tr w14:paraId="60C85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99" w:type="dxa"/>
            <w:vAlign w:val="center"/>
          </w:tcPr>
          <w:p w14:paraId="799F616D">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2118" w:type="dxa"/>
            <w:vAlign w:val="center"/>
          </w:tcPr>
          <w:p w14:paraId="791EED63">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投标文件递交截止时间及地点</w:t>
            </w:r>
          </w:p>
        </w:tc>
        <w:tc>
          <w:tcPr>
            <w:tcW w:w="6827" w:type="dxa"/>
            <w:vAlign w:val="center"/>
          </w:tcPr>
          <w:p w14:paraId="4640C43E">
            <w:pPr>
              <w:spacing w:line="480" w:lineRule="exact"/>
              <w:ind w:firstLine="480" w:firstLineChars="200"/>
              <w:jc w:val="left"/>
              <w:outlineLvl w:val="9"/>
              <w:rPr>
                <w:rFonts w:hint="eastAsia" w:ascii="仿宋" w:hAnsi="仿宋" w:eastAsia="仿宋" w:cs="仿宋"/>
                <w:color w:val="0000FF"/>
                <w:sz w:val="24"/>
                <w:szCs w:val="24"/>
                <w:lang w:bidi="ar"/>
              </w:rPr>
            </w:pPr>
            <w:r>
              <w:rPr>
                <w:rFonts w:hint="eastAsia" w:ascii="仿宋" w:hAnsi="仿宋" w:eastAsia="仿宋" w:cs="仿宋"/>
                <w:color w:val="0000FF"/>
                <w:sz w:val="24"/>
                <w:szCs w:val="24"/>
                <w:lang w:eastAsia="zh-CN"/>
              </w:rPr>
              <w:t>2025年</w:t>
            </w:r>
            <w:r>
              <w:rPr>
                <w:rFonts w:hint="eastAsia" w:ascii="仿宋" w:hAnsi="仿宋" w:eastAsia="仿宋" w:cs="仿宋"/>
                <w:color w:val="0000FF"/>
                <w:sz w:val="24"/>
                <w:szCs w:val="24"/>
                <w:lang w:val="en-US" w:eastAsia="zh-CN"/>
              </w:rPr>
              <w:t>5</w:t>
            </w:r>
            <w:r>
              <w:rPr>
                <w:rFonts w:hint="eastAsia" w:ascii="仿宋" w:hAnsi="仿宋" w:eastAsia="仿宋" w:cs="仿宋"/>
                <w:color w:val="0000FF"/>
                <w:sz w:val="24"/>
                <w:szCs w:val="24"/>
              </w:rPr>
              <w:t>月</w:t>
            </w:r>
            <w:r>
              <w:rPr>
                <w:rFonts w:hint="eastAsia" w:ascii="仿宋" w:hAnsi="仿宋" w:eastAsia="仿宋" w:cs="仿宋"/>
                <w:color w:val="0000FF"/>
                <w:sz w:val="24"/>
                <w:szCs w:val="24"/>
                <w:lang w:val="en-US" w:eastAsia="zh-CN"/>
              </w:rPr>
              <w:t>30</w:t>
            </w:r>
            <w:r>
              <w:rPr>
                <w:rFonts w:hint="eastAsia" w:ascii="仿宋" w:hAnsi="仿宋" w:eastAsia="仿宋" w:cs="仿宋"/>
                <w:color w:val="0000FF"/>
                <w:sz w:val="24"/>
                <w:szCs w:val="24"/>
              </w:rPr>
              <w:t>日</w:t>
            </w:r>
            <w:r>
              <w:rPr>
                <w:rFonts w:hint="eastAsia" w:ascii="仿宋" w:hAnsi="仿宋" w:eastAsia="仿宋" w:cs="仿宋"/>
                <w:color w:val="0000FF"/>
                <w:sz w:val="24"/>
                <w:szCs w:val="24"/>
                <w:lang w:val="en-US" w:eastAsia="zh-CN"/>
              </w:rPr>
              <w:t>14</w:t>
            </w:r>
            <w:r>
              <w:rPr>
                <w:rFonts w:hint="eastAsia" w:ascii="仿宋" w:hAnsi="仿宋" w:eastAsia="仿宋" w:cs="仿宋"/>
                <w:color w:val="0000FF"/>
                <w:sz w:val="24"/>
                <w:szCs w:val="24"/>
              </w:rPr>
              <w:t>时</w:t>
            </w:r>
            <w:r>
              <w:rPr>
                <w:rFonts w:hint="eastAsia" w:ascii="仿宋" w:hAnsi="仿宋" w:eastAsia="仿宋" w:cs="仿宋"/>
                <w:color w:val="0000FF"/>
                <w:sz w:val="24"/>
                <w:szCs w:val="24"/>
                <w:lang w:val="en-US" w:eastAsia="zh-CN"/>
              </w:rPr>
              <w:t>30</w:t>
            </w:r>
            <w:r>
              <w:rPr>
                <w:rFonts w:hint="eastAsia" w:ascii="仿宋" w:hAnsi="仿宋" w:eastAsia="仿宋" w:cs="仿宋"/>
                <w:color w:val="0000FF"/>
                <w:sz w:val="24"/>
                <w:szCs w:val="24"/>
              </w:rPr>
              <w:t>分</w:t>
            </w:r>
            <w:r>
              <w:rPr>
                <w:rFonts w:hint="eastAsia" w:ascii="仿宋" w:hAnsi="仿宋" w:eastAsia="仿宋" w:cs="仿宋"/>
                <w:color w:val="0000FF"/>
                <w:sz w:val="24"/>
                <w:szCs w:val="24"/>
                <w:lang w:val="en-US" w:eastAsia="zh-CN"/>
              </w:rPr>
              <w:t>00</w:t>
            </w:r>
            <w:r>
              <w:rPr>
                <w:rFonts w:hint="eastAsia" w:ascii="仿宋" w:hAnsi="仿宋" w:eastAsia="仿宋" w:cs="仿宋"/>
                <w:color w:val="0000FF"/>
                <w:sz w:val="24"/>
                <w:szCs w:val="24"/>
              </w:rPr>
              <w:t>秒（北京时间）</w:t>
            </w:r>
            <w:bookmarkStart w:id="134" w:name="_GoBack"/>
            <w:bookmarkEnd w:id="134"/>
          </w:p>
          <w:p w14:paraId="00B24E09">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lang w:bidi="ar"/>
              </w:rPr>
              <w:t>将由投标文件制作工具制作生成的加密投标文件在投标截止时间前（以上传完成时间为准）上传至衢州市阳光交易服务平台（网址：https://qzygjy.com/）。</w:t>
            </w:r>
          </w:p>
        </w:tc>
      </w:tr>
      <w:tr w14:paraId="176E6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99" w:type="dxa"/>
            <w:vAlign w:val="center"/>
          </w:tcPr>
          <w:p w14:paraId="27A2FE06">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w:t>
            </w:r>
          </w:p>
        </w:tc>
        <w:tc>
          <w:tcPr>
            <w:tcW w:w="2118" w:type="dxa"/>
            <w:vAlign w:val="center"/>
          </w:tcPr>
          <w:p w14:paraId="50071D82">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开标时间</w:t>
            </w:r>
          </w:p>
        </w:tc>
        <w:tc>
          <w:tcPr>
            <w:tcW w:w="6827" w:type="dxa"/>
            <w:vAlign w:val="center"/>
          </w:tcPr>
          <w:p w14:paraId="085C29C9">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0000FF"/>
                <w:sz w:val="24"/>
                <w:szCs w:val="24"/>
                <w:lang w:eastAsia="zh-CN"/>
              </w:rPr>
              <w:t>2025年</w:t>
            </w:r>
            <w:r>
              <w:rPr>
                <w:rFonts w:hint="eastAsia" w:ascii="仿宋" w:hAnsi="仿宋" w:eastAsia="仿宋" w:cs="仿宋"/>
                <w:color w:val="0000FF"/>
                <w:sz w:val="24"/>
                <w:szCs w:val="24"/>
                <w:lang w:val="en-US" w:eastAsia="zh-CN"/>
              </w:rPr>
              <w:t>5</w:t>
            </w:r>
            <w:r>
              <w:rPr>
                <w:rFonts w:hint="eastAsia" w:ascii="仿宋" w:hAnsi="仿宋" w:eastAsia="仿宋" w:cs="仿宋"/>
                <w:color w:val="0000FF"/>
                <w:sz w:val="24"/>
                <w:szCs w:val="24"/>
              </w:rPr>
              <w:t>月</w:t>
            </w:r>
            <w:r>
              <w:rPr>
                <w:rFonts w:hint="eastAsia" w:ascii="仿宋" w:hAnsi="仿宋" w:eastAsia="仿宋" w:cs="仿宋"/>
                <w:color w:val="0000FF"/>
                <w:sz w:val="24"/>
                <w:szCs w:val="24"/>
                <w:lang w:val="en-US" w:eastAsia="zh-CN"/>
              </w:rPr>
              <w:t>30</w:t>
            </w:r>
            <w:r>
              <w:rPr>
                <w:rFonts w:hint="eastAsia" w:ascii="仿宋" w:hAnsi="仿宋" w:eastAsia="仿宋" w:cs="仿宋"/>
                <w:color w:val="0000FF"/>
                <w:sz w:val="24"/>
                <w:szCs w:val="24"/>
              </w:rPr>
              <w:t>日</w:t>
            </w:r>
            <w:r>
              <w:rPr>
                <w:rFonts w:hint="eastAsia" w:ascii="仿宋" w:hAnsi="仿宋" w:eastAsia="仿宋" w:cs="仿宋"/>
                <w:color w:val="0000FF"/>
                <w:sz w:val="24"/>
                <w:szCs w:val="24"/>
                <w:lang w:val="en-US" w:eastAsia="zh-CN"/>
              </w:rPr>
              <w:t>14</w:t>
            </w:r>
            <w:r>
              <w:rPr>
                <w:rFonts w:hint="eastAsia" w:ascii="仿宋" w:hAnsi="仿宋" w:eastAsia="仿宋" w:cs="仿宋"/>
                <w:color w:val="0000FF"/>
                <w:sz w:val="24"/>
                <w:szCs w:val="24"/>
              </w:rPr>
              <w:t>时</w:t>
            </w:r>
            <w:r>
              <w:rPr>
                <w:rFonts w:hint="eastAsia" w:ascii="仿宋" w:hAnsi="仿宋" w:eastAsia="仿宋" w:cs="仿宋"/>
                <w:color w:val="0000FF"/>
                <w:sz w:val="24"/>
                <w:szCs w:val="24"/>
                <w:lang w:val="en-US" w:eastAsia="zh-CN"/>
              </w:rPr>
              <w:t>30</w:t>
            </w:r>
            <w:r>
              <w:rPr>
                <w:rFonts w:hint="eastAsia" w:ascii="仿宋" w:hAnsi="仿宋" w:eastAsia="仿宋" w:cs="仿宋"/>
                <w:color w:val="0000FF"/>
                <w:sz w:val="24"/>
                <w:szCs w:val="24"/>
              </w:rPr>
              <w:t>分</w:t>
            </w:r>
            <w:r>
              <w:rPr>
                <w:rFonts w:hint="eastAsia" w:ascii="仿宋" w:hAnsi="仿宋" w:eastAsia="仿宋" w:cs="仿宋"/>
                <w:color w:val="0000FF"/>
                <w:sz w:val="24"/>
                <w:szCs w:val="24"/>
                <w:lang w:val="en-US" w:eastAsia="zh-CN"/>
              </w:rPr>
              <w:t>00</w:t>
            </w:r>
            <w:r>
              <w:rPr>
                <w:rFonts w:hint="eastAsia" w:ascii="仿宋" w:hAnsi="仿宋" w:eastAsia="仿宋" w:cs="仿宋"/>
                <w:color w:val="0000FF"/>
                <w:sz w:val="24"/>
                <w:szCs w:val="24"/>
              </w:rPr>
              <w:t>秒（北京时间）</w:t>
            </w:r>
          </w:p>
        </w:tc>
      </w:tr>
      <w:tr w14:paraId="4BB9F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99" w:type="dxa"/>
            <w:vAlign w:val="center"/>
          </w:tcPr>
          <w:p w14:paraId="722FD676">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w:t>
            </w:r>
          </w:p>
        </w:tc>
        <w:tc>
          <w:tcPr>
            <w:tcW w:w="2118" w:type="dxa"/>
            <w:vAlign w:val="center"/>
          </w:tcPr>
          <w:p w14:paraId="257801C5">
            <w:pPr>
              <w:keepNext w:val="0"/>
              <w:keepLines w:val="0"/>
              <w:pageBreakBefore w:val="0"/>
              <w:kinsoku/>
              <w:wordWrap/>
              <w:overflowPunct/>
              <w:topLinePunct w:val="0"/>
              <w:bidi w:val="0"/>
              <w:spacing w:line="240" w:lineRule="auto"/>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开标地点及平台</w:t>
            </w:r>
          </w:p>
        </w:tc>
        <w:tc>
          <w:tcPr>
            <w:tcW w:w="6827" w:type="dxa"/>
            <w:vAlign w:val="center"/>
          </w:tcPr>
          <w:p w14:paraId="557C445E">
            <w:pPr>
              <w:pStyle w:val="12"/>
              <w:snapToGrid w:val="0"/>
              <w:spacing w:line="480" w:lineRule="exact"/>
              <w:ind w:firstLine="480" w:firstLineChars="200"/>
              <w:outlineLvl w:val="9"/>
              <w:rPr>
                <w:rFonts w:ascii="仿宋" w:hAnsi="仿宋" w:eastAsia="仿宋" w:cs="仿宋"/>
                <w:color w:val="auto"/>
                <w:sz w:val="24"/>
                <w:szCs w:val="24"/>
                <w:lang w:val="zh-CN"/>
              </w:rPr>
            </w:pPr>
            <w:r>
              <w:rPr>
                <w:rFonts w:hint="eastAsia" w:ascii="仿宋" w:hAnsi="仿宋" w:eastAsia="仿宋" w:cs="仿宋"/>
                <w:color w:val="auto"/>
                <w:sz w:val="24"/>
                <w:szCs w:val="24"/>
              </w:rPr>
              <w:t>地点：</w:t>
            </w:r>
            <w:r>
              <w:rPr>
                <w:rFonts w:hint="eastAsia" w:ascii="仿宋" w:hAnsi="仿宋" w:eastAsia="仿宋" w:cs="仿宋"/>
                <w:color w:val="auto"/>
                <w:sz w:val="24"/>
                <w:szCs w:val="24"/>
                <w:lang w:val="zh-CN"/>
              </w:rPr>
              <w:t>衢州市柯城区芹江东路288号衢时代创新大厦3号楼负一楼西侧（衢州市产权交易中心有限公司）</w:t>
            </w:r>
            <w:r>
              <w:rPr>
                <w:rFonts w:hint="eastAsia" w:ascii="仿宋" w:hAnsi="仿宋" w:eastAsia="仿宋" w:cs="仿宋"/>
                <w:color w:val="auto"/>
                <w:sz w:val="24"/>
                <w:szCs w:val="24"/>
              </w:rPr>
              <w:t>的</w:t>
            </w:r>
            <w:r>
              <w:rPr>
                <w:rFonts w:hint="eastAsia" w:ascii="仿宋" w:hAnsi="仿宋" w:eastAsia="仿宋" w:cs="仿宋"/>
                <w:color w:val="auto"/>
                <w:sz w:val="24"/>
                <w:szCs w:val="24"/>
                <w:lang w:val="zh-CN"/>
              </w:rPr>
              <w:t>开标厅。</w:t>
            </w:r>
          </w:p>
          <w:p w14:paraId="0AB85B00">
            <w:pPr>
              <w:spacing w:line="480" w:lineRule="exact"/>
              <w:ind w:firstLine="480" w:firstLineChars="200"/>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开标平台：衢州市阳光交易服务平台不见面开标大厅（https://qzygjy.com/BidOpening/bidopeninghallaction/hall/login）。</w:t>
            </w:r>
          </w:p>
        </w:tc>
      </w:tr>
      <w:tr w14:paraId="5CFA9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99" w:type="dxa"/>
            <w:vAlign w:val="center"/>
          </w:tcPr>
          <w:p w14:paraId="345C20B7">
            <w:pPr>
              <w:spacing w:line="480" w:lineRule="exact"/>
              <w:ind w:left="425" w:hanging="425"/>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2118" w:type="dxa"/>
            <w:vAlign w:val="center"/>
          </w:tcPr>
          <w:p w14:paraId="1999E1C2">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样品</w:t>
            </w:r>
          </w:p>
        </w:tc>
        <w:tc>
          <w:tcPr>
            <w:tcW w:w="6827" w:type="dxa"/>
            <w:vAlign w:val="center"/>
          </w:tcPr>
          <w:p w14:paraId="612693D7">
            <w:pPr>
              <w:keepNext w:val="0"/>
              <w:keepLines w:val="0"/>
              <w:pageBreakBefore w:val="0"/>
              <w:widowControl w:val="0"/>
              <w:kinsoku/>
              <w:wordWrap/>
              <w:overflowPunct/>
              <w:topLinePunct w:val="0"/>
              <w:bidi w:val="0"/>
              <w:spacing w:line="480" w:lineRule="exact"/>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1.本项目是否需要样品：☑否；□是，详见“第三章 采购</w:t>
            </w:r>
            <w:r>
              <w:rPr>
                <w:rFonts w:hint="eastAsia" w:ascii="仿宋" w:hAnsi="仿宋" w:eastAsia="仿宋" w:cs="仿宋"/>
                <w:color w:val="auto"/>
                <w:sz w:val="24"/>
                <w:szCs w:val="24"/>
                <w:highlight w:val="none"/>
                <w:lang w:val="en-US" w:eastAsia="zh-CN"/>
              </w:rPr>
              <w:t>内容及要求</w:t>
            </w:r>
            <w:r>
              <w:rPr>
                <w:rFonts w:hint="eastAsia" w:ascii="仿宋" w:hAnsi="仿宋" w:eastAsia="仿宋" w:cs="仿宋"/>
                <w:color w:val="auto"/>
                <w:sz w:val="24"/>
                <w:szCs w:val="24"/>
                <w:highlight w:val="none"/>
                <w:lang w:eastAsia="zh-CN"/>
              </w:rPr>
              <w:t>”；</w:t>
            </w:r>
          </w:p>
          <w:p w14:paraId="4A8763CC">
            <w:pPr>
              <w:keepNext w:val="0"/>
              <w:keepLines w:val="0"/>
              <w:pageBreakBefore w:val="0"/>
              <w:widowControl w:val="0"/>
              <w:kinsoku/>
              <w:wordWrap/>
              <w:overflowPunct/>
              <w:topLinePunct w:val="0"/>
              <w:bidi w:val="0"/>
              <w:spacing w:line="480" w:lineRule="exact"/>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2.样品标识：□明标，□暗标；</w:t>
            </w:r>
          </w:p>
          <w:p w14:paraId="1AF79E16">
            <w:pPr>
              <w:keepNext w:val="0"/>
              <w:keepLines w:val="0"/>
              <w:pageBreakBefore w:val="0"/>
              <w:widowControl w:val="0"/>
              <w:kinsoku/>
              <w:wordWrap/>
              <w:overflowPunct/>
              <w:topLinePunct w:val="0"/>
              <w:bidi w:val="0"/>
              <w:spacing w:line="480" w:lineRule="exact"/>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3.样品送至地点： 衢州市柯城区芹江东路288号衢时代创新大厦3号楼负一楼西侧（衢州市产权交易中心有限公司）样品存放点；</w:t>
            </w:r>
          </w:p>
          <w:p w14:paraId="2DBC4842">
            <w:pPr>
              <w:spacing w:line="480" w:lineRule="exact"/>
              <w:ind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4.样品递交截止时间：同开标时间；</w:t>
            </w:r>
          </w:p>
          <w:p w14:paraId="3F121F7D">
            <w:pPr>
              <w:keepNext w:val="0"/>
              <w:keepLines w:val="0"/>
              <w:pageBreakBefore w:val="0"/>
              <w:widowControl w:val="0"/>
              <w:kinsoku/>
              <w:wordWrap/>
              <w:overflowPunct/>
              <w:topLinePunct w:val="0"/>
              <w:bidi w:val="0"/>
              <w:spacing w:line="480" w:lineRule="exact"/>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.中标人样品处理：□退还，□封存至验收，□抵扣采购数量；</w:t>
            </w:r>
          </w:p>
          <w:p w14:paraId="036EEB2A">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.其他要求：评标结束后1个工作日内，未中标投标人将其样品取回，逾期未取回的样品由招标人自行处理；中标投标人样品封存，作验收依据。</w:t>
            </w:r>
          </w:p>
        </w:tc>
      </w:tr>
      <w:tr w14:paraId="5A99E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99" w:type="dxa"/>
            <w:vAlign w:val="center"/>
          </w:tcPr>
          <w:p w14:paraId="71074CD7">
            <w:pPr>
              <w:spacing w:line="480" w:lineRule="exact"/>
              <w:ind w:left="425" w:hanging="425"/>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w:t>
            </w:r>
          </w:p>
        </w:tc>
        <w:tc>
          <w:tcPr>
            <w:tcW w:w="2118" w:type="dxa"/>
            <w:vAlign w:val="center"/>
          </w:tcPr>
          <w:p w14:paraId="188BDC38">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现场讲解</w:t>
            </w:r>
          </w:p>
        </w:tc>
        <w:tc>
          <w:tcPr>
            <w:tcW w:w="6827" w:type="dxa"/>
            <w:vAlign w:val="center"/>
          </w:tcPr>
          <w:p w14:paraId="7145A8FE">
            <w:pPr>
              <w:keepNext w:val="0"/>
              <w:keepLines w:val="0"/>
              <w:pageBreakBefore w:val="0"/>
              <w:widowControl/>
              <w:numPr>
                <w:ilvl w:val="0"/>
                <w:numId w:val="0"/>
              </w:numPr>
              <w:kinsoku/>
              <w:wordWrap/>
              <w:overflowPunct/>
              <w:topLinePunct w:val="0"/>
              <w:bidi w:val="0"/>
              <w:spacing w:line="480" w:lineRule="exact"/>
              <w:ind w:firstLine="480" w:firstLineChars="200"/>
              <w:jc w:val="left"/>
              <w:textAlignment w:val="auto"/>
              <w:outlineLvl w:val="9"/>
              <w:rPr>
                <w:rFonts w:hint="eastAsia" w:ascii="仿宋" w:hAnsi="仿宋" w:eastAsia="仿宋" w:cs="仿宋"/>
                <w:b w:val="0"/>
                <w:bCs w:val="0"/>
                <w:i w:val="0"/>
                <w:iCs w:val="0"/>
                <w:color w:val="auto"/>
                <w:kern w:val="2"/>
                <w:sz w:val="24"/>
                <w:szCs w:val="24"/>
                <w:highlight w:val="none"/>
                <w:lang w:val="en-US" w:eastAsia="zh-CN" w:bidi="ar-SA"/>
              </w:rPr>
            </w:pPr>
            <w:r>
              <w:rPr>
                <w:rFonts w:hint="eastAsia" w:ascii="仿宋" w:hAnsi="仿宋" w:eastAsia="仿宋" w:cs="仿宋"/>
                <w:b w:val="0"/>
                <w:bCs w:val="0"/>
                <w:i w:val="0"/>
                <w:iCs w:val="0"/>
                <w:color w:val="auto"/>
                <w:kern w:val="2"/>
                <w:sz w:val="24"/>
                <w:szCs w:val="24"/>
                <w:lang w:val="en-US" w:eastAsia="zh-CN" w:bidi="ar-SA"/>
              </w:rPr>
              <w:t>1.</w:t>
            </w:r>
            <w:r>
              <w:rPr>
                <w:rFonts w:hint="eastAsia" w:ascii="仿宋" w:hAnsi="仿宋" w:eastAsia="仿宋" w:cs="仿宋"/>
                <w:color w:val="auto"/>
                <w:sz w:val="24"/>
                <w:szCs w:val="24"/>
                <w:highlight w:val="none"/>
                <w:lang w:eastAsia="zh-CN"/>
              </w:rPr>
              <w:t>本项目是否需要</w:t>
            </w:r>
            <w:r>
              <w:rPr>
                <w:rFonts w:hint="eastAsia" w:ascii="仿宋" w:hAnsi="仿宋" w:eastAsia="仿宋" w:cs="仿宋"/>
                <w:color w:val="auto"/>
                <w:sz w:val="24"/>
                <w:szCs w:val="24"/>
                <w:highlight w:val="none"/>
                <w:lang w:val="en-US" w:eastAsia="zh-CN"/>
              </w:rPr>
              <w:t>现场讲解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eastAsia="zh-CN"/>
              </w:rPr>
              <w:sym w:font="Wingdings 2" w:char="0052"/>
            </w:r>
            <w:r>
              <w:rPr>
                <w:rFonts w:hint="eastAsia" w:ascii="仿宋" w:hAnsi="仿宋" w:eastAsia="仿宋" w:cs="仿宋"/>
                <w:color w:val="auto"/>
                <w:sz w:val="24"/>
                <w:szCs w:val="24"/>
                <w:highlight w:val="none"/>
                <w:lang w:eastAsia="zh-CN"/>
              </w:rPr>
              <w:t>否，□是；</w:t>
            </w:r>
          </w:p>
          <w:p w14:paraId="017404F0">
            <w:pPr>
              <w:keepNext w:val="0"/>
              <w:keepLines w:val="0"/>
              <w:pageBreakBefore w:val="0"/>
              <w:widowControl/>
              <w:numPr>
                <w:ilvl w:val="0"/>
                <w:numId w:val="0"/>
              </w:numPr>
              <w:kinsoku/>
              <w:wordWrap/>
              <w:overflowPunct/>
              <w:topLinePunct w:val="0"/>
              <w:bidi w:val="0"/>
              <w:spacing w:line="480" w:lineRule="exact"/>
              <w:ind w:firstLine="480" w:firstLineChars="200"/>
              <w:jc w:val="left"/>
              <w:textAlignment w:val="auto"/>
              <w:outlineLvl w:val="9"/>
              <w:rPr>
                <w:rFonts w:hint="eastAsia" w:ascii="仿宋" w:hAnsi="仿宋" w:eastAsia="仿宋" w:cs="仿宋"/>
                <w:b w:val="0"/>
                <w:bCs w:val="0"/>
                <w:i w:val="0"/>
                <w:iCs w:val="0"/>
                <w:color w:val="auto"/>
                <w:kern w:val="2"/>
                <w:sz w:val="24"/>
                <w:szCs w:val="24"/>
                <w:highlight w:val="none"/>
                <w:lang w:val="en-US" w:eastAsia="zh-CN" w:bidi="ar-SA"/>
              </w:rPr>
            </w:pPr>
            <w:r>
              <w:rPr>
                <w:rFonts w:hint="eastAsia" w:ascii="仿宋" w:hAnsi="仿宋" w:eastAsia="仿宋" w:cs="仿宋"/>
                <w:b w:val="0"/>
                <w:bCs w:val="0"/>
                <w:i w:val="0"/>
                <w:iCs w:val="0"/>
                <w:color w:val="auto"/>
                <w:kern w:val="2"/>
                <w:sz w:val="24"/>
                <w:szCs w:val="24"/>
                <w:lang w:val="en-US" w:eastAsia="zh-CN" w:bidi="ar-SA"/>
              </w:rPr>
              <w:t>2.</w:t>
            </w:r>
            <w:r>
              <w:rPr>
                <w:rFonts w:hint="eastAsia" w:ascii="仿宋" w:hAnsi="仿宋" w:eastAsia="仿宋" w:cs="仿宋"/>
                <w:color w:val="auto"/>
                <w:sz w:val="24"/>
                <w:szCs w:val="24"/>
                <w:highlight w:val="none"/>
                <w:lang w:val="en-US" w:eastAsia="zh-CN"/>
              </w:rPr>
              <w:t>讲解时间：</w:t>
            </w:r>
          </w:p>
          <w:p w14:paraId="1988D830">
            <w:pPr>
              <w:keepNext w:val="0"/>
              <w:keepLines w:val="0"/>
              <w:pageBreakBefore w:val="0"/>
              <w:widowControl/>
              <w:kinsoku/>
              <w:wordWrap/>
              <w:overflowPunct/>
              <w:topLinePunct w:val="0"/>
              <w:bidi w:val="0"/>
              <w:spacing w:line="480" w:lineRule="exact"/>
              <w:ind w:firstLine="480" w:firstLineChars="200"/>
              <w:jc w:val="left"/>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现场讲解</w:t>
            </w:r>
            <w:r>
              <w:rPr>
                <w:rFonts w:hint="eastAsia" w:ascii="仿宋" w:hAnsi="仿宋" w:eastAsia="仿宋" w:cs="仿宋"/>
                <w:color w:val="auto"/>
                <w:sz w:val="24"/>
                <w:szCs w:val="24"/>
                <w:highlight w:val="none"/>
                <w:lang w:eastAsia="zh-CN"/>
              </w:rPr>
              <w:t>地点： 衢州市柯城区芹江东路288号衢时代创新大厦3号楼负一楼西侧（衢州市产权交易中心有限公司）</w:t>
            </w:r>
            <w:r>
              <w:rPr>
                <w:rFonts w:hint="eastAsia" w:ascii="仿宋" w:hAnsi="仿宋" w:eastAsia="仿宋" w:cs="仿宋"/>
                <w:color w:val="auto"/>
                <w:sz w:val="24"/>
                <w:szCs w:val="24"/>
                <w:highlight w:val="none"/>
                <w:lang w:val="en-US" w:eastAsia="zh-CN"/>
              </w:rPr>
              <w:t>。</w:t>
            </w:r>
          </w:p>
        </w:tc>
      </w:tr>
      <w:tr w14:paraId="6DE6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vAlign w:val="center"/>
          </w:tcPr>
          <w:p w14:paraId="1EA73955">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w:t>
            </w:r>
          </w:p>
        </w:tc>
        <w:tc>
          <w:tcPr>
            <w:tcW w:w="2118" w:type="dxa"/>
            <w:vAlign w:val="center"/>
          </w:tcPr>
          <w:p w14:paraId="27797562">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投标文件开启程序</w:t>
            </w:r>
          </w:p>
        </w:tc>
        <w:tc>
          <w:tcPr>
            <w:tcW w:w="6827" w:type="dxa"/>
            <w:vAlign w:val="center"/>
          </w:tcPr>
          <w:p w14:paraId="35C42567">
            <w:pPr>
              <w:spacing w:line="480" w:lineRule="exact"/>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⑴投标文件开启时间到后，代理机构（或公证人员）宣布开始解密，30分钟内投标人应完成投标文件的解密。投标人解密方式：投标人自行登录衢州市阳光交易服务平台不见面开标大厅（https://qzygjy.com/BidOpening/bidopeninghallaction/hall/login）——投标人身份——我的项目——选择标段——待代理开启解密后进行解密操作投标人在规定的时间内都已完成解密，则系统自动结束解密；投标人因自身原因未在规定时间内完成解密，则默认自动放弃；</w:t>
            </w:r>
          </w:p>
          <w:p w14:paraId="594BCD62">
            <w:pPr>
              <w:spacing w:line="480" w:lineRule="exact"/>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⑵</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导入投标文件成功后进入评标流程。</w:t>
            </w:r>
          </w:p>
        </w:tc>
      </w:tr>
      <w:tr w14:paraId="1F18C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99" w:type="dxa"/>
            <w:vAlign w:val="center"/>
          </w:tcPr>
          <w:p w14:paraId="5A1D260A">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w:t>
            </w:r>
          </w:p>
        </w:tc>
        <w:tc>
          <w:tcPr>
            <w:tcW w:w="2118" w:type="dxa"/>
            <w:vAlign w:val="center"/>
          </w:tcPr>
          <w:p w14:paraId="166732C5">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中标结果公告期限</w:t>
            </w:r>
          </w:p>
        </w:tc>
        <w:tc>
          <w:tcPr>
            <w:tcW w:w="6827" w:type="dxa"/>
            <w:vAlign w:val="center"/>
          </w:tcPr>
          <w:p w14:paraId="2BCB8839">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1个工作日</w:t>
            </w:r>
          </w:p>
        </w:tc>
      </w:tr>
      <w:tr w14:paraId="174B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99" w:type="dxa"/>
            <w:tcBorders>
              <w:bottom w:val="single" w:color="auto" w:sz="4" w:space="0"/>
            </w:tcBorders>
            <w:vAlign w:val="center"/>
          </w:tcPr>
          <w:p w14:paraId="1B834181">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w:t>
            </w:r>
          </w:p>
        </w:tc>
        <w:tc>
          <w:tcPr>
            <w:tcW w:w="2118" w:type="dxa"/>
            <w:tcBorders>
              <w:bottom w:val="single" w:color="auto" w:sz="4" w:space="0"/>
            </w:tcBorders>
            <w:vAlign w:val="center"/>
          </w:tcPr>
          <w:p w14:paraId="54313E19">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中标人履约保证金缴纳</w:t>
            </w:r>
          </w:p>
        </w:tc>
        <w:tc>
          <w:tcPr>
            <w:tcW w:w="6827" w:type="dxa"/>
            <w:tcBorders>
              <w:bottom w:val="single" w:color="auto" w:sz="4" w:space="0"/>
            </w:tcBorders>
            <w:vAlign w:val="center"/>
          </w:tcPr>
          <w:p w14:paraId="40DA3338">
            <w:pPr>
              <w:spacing w:line="480" w:lineRule="exact"/>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中标人在合同签订前缴纳合同总金额1%的履约保证金。</w:t>
            </w:r>
          </w:p>
          <w:p w14:paraId="55F6888C">
            <w:pPr>
              <w:spacing w:line="480" w:lineRule="exact"/>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履约保证金的收取：网银、汇票、电汇、转账支付，接受银行、保险公司保函。</w:t>
            </w:r>
          </w:p>
          <w:p w14:paraId="4915E3C6">
            <w:pPr>
              <w:spacing w:line="480" w:lineRule="exact"/>
              <w:ind w:firstLine="480" w:firstLineChars="200"/>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履约保证金的退回：履约保证金在服务期满后30个工作日内，扣除违约金（如有）后无息退还。采用银行或保险公司保函的须将其原件或扫描件（单位加盖公章）送（寄）至招标人指定地址。保函期限在服务期满后且无异议情况下30个工作日内自动解除。</w:t>
            </w:r>
          </w:p>
        </w:tc>
      </w:tr>
      <w:tr w14:paraId="166CC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99" w:type="dxa"/>
            <w:vAlign w:val="center"/>
          </w:tcPr>
          <w:p w14:paraId="45C705A6">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2118" w:type="dxa"/>
            <w:vAlign w:val="center"/>
          </w:tcPr>
          <w:p w14:paraId="60242E7D">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签订合同</w:t>
            </w:r>
          </w:p>
        </w:tc>
        <w:tc>
          <w:tcPr>
            <w:tcW w:w="6827" w:type="dxa"/>
            <w:vAlign w:val="center"/>
          </w:tcPr>
          <w:p w14:paraId="3AA896F2">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发出中标通知书之日起</w:t>
            </w: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rPr>
              <w:t xml:space="preserve">天内。 </w:t>
            </w:r>
          </w:p>
        </w:tc>
      </w:tr>
      <w:tr w14:paraId="57184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99" w:type="dxa"/>
            <w:vAlign w:val="center"/>
          </w:tcPr>
          <w:p w14:paraId="12ED9E34">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w:t>
            </w:r>
          </w:p>
        </w:tc>
        <w:tc>
          <w:tcPr>
            <w:tcW w:w="2118" w:type="dxa"/>
            <w:vAlign w:val="center"/>
          </w:tcPr>
          <w:p w14:paraId="59E4ADF5">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合同备案</w:t>
            </w:r>
          </w:p>
        </w:tc>
        <w:tc>
          <w:tcPr>
            <w:tcW w:w="6827" w:type="dxa"/>
            <w:vAlign w:val="center"/>
          </w:tcPr>
          <w:p w14:paraId="4B896F4F">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中标人与</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签订合同后，2个日历天内将合同扫描件电子版发送至邮箱：</w:t>
            </w:r>
            <w:r>
              <w:rPr>
                <w:rFonts w:hint="eastAsia" w:ascii="仿宋" w:hAnsi="仿宋" w:eastAsia="仿宋" w:cs="仿宋"/>
                <w:color w:val="auto"/>
                <w:sz w:val="24"/>
                <w:szCs w:val="24"/>
                <w:lang w:eastAsia="zh-CN"/>
              </w:rPr>
              <w:t>shuqi@qzjrkg.com.cn</w:t>
            </w:r>
            <w:r>
              <w:rPr>
                <w:rFonts w:hint="eastAsia" w:ascii="仿宋" w:hAnsi="仿宋" w:eastAsia="仿宋" w:cs="仿宋"/>
                <w:color w:val="auto"/>
                <w:sz w:val="24"/>
                <w:szCs w:val="24"/>
              </w:rPr>
              <w:t>；本项目采购合同按规定在</w:t>
            </w:r>
            <w:r>
              <w:rPr>
                <w:rFonts w:hint="eastAsia" w:ascii="仿宋" w:hAnsi="仿宋" w:eastAsia="仿宋" w:cs="仿宋"/>
                <w:color w:val="auto"/>
                <w:sz w:val="24"/>
                <w:szCs w:val="24"/>
                <w:lang w:bidi="ar"/>
              </w:rPr>
              <w:t>衢州市阳光交易服务平台（网址：https://qzygjy.com/）</w:t>
            </w:r>
            <w:r>
              <w:rPr>
                <w:rFonts w:hint="eastAsia" w:ascii="仿宋" w:hAnsi="仿宋" w:eastAsia="仿宋" w:cs="仿宋"/>
                <w:color w:val="auto"/>
                <w:sz w:val="24"/>
                <w:szCs w:val="24"/>
              </w:rPr>
              <w:t>予以备案。</w:t>
            </w:r>
          </w:p>
        </w:tc>
      </w:tr>
      <w:tr w14:paraId="1E6B6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99" w:type="dxa"/>
            <w:vAlign w:val="center"/>
          </w:tcPr>
          <w:p w14:paraId="4C866D99">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w:t>
            </w:r>
          </w:p>
        </w:tc>
        <w:tc>
          <w:tcPr>
            <w:tcW w:w="2118" w:type="dxa"/>
            <w:vAlign w:val="center"/>
          </w:tcPr>
          <w:p w14:paraId="7688CDCC">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采购公告、更正公告、中标结果公告发布网址</w:t>
            </w:r>
          </w:p>
        </w:tc>
        <w:tc>
          <w:tcPr>
            <w:tcW w:w="6827" w:type="dxa"/>
            <w:vAlign w:val="center"/>
          </w:tcPr>
          <w:p w14:paraId="7D7F6683">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衢州市阳光交易服务平台（https://qzygjy.com/）</w:t>
            </w:r>
          </w:p>
        </w:tc>
      </w:tr>
      <w:tr w14:paraId="793E2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99" w:type="dxa"/>
            <w:vAlign w:val="center"/>
          </w:tcPr>
          <w:p w14:paraId="62F16C17">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w:t>
            </w:r>
          </w:p>
        </w:tc>
        <w:tc>
          <w:tcPr>
            <w:tcW w:w="2118" w:type="dxa"/>
            <w:vAlign w:val="center"/>
          </w:tcPr>
          <w:p w14:paraId="175E2DCF">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其他注意事项</w:t>
            </w:r>
          </w:p>
        </w:tc>
        <w:tc>
          <w:tcPr>
            <w:tcW w:w="6827" w:type="dxa"/>
            <w:vAlign w:val="center"/>
          </w:tcPr>
          <w:p w14:paraId="01DBF210">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⑴</w:t>
            </w:r>
            <w:r>
              <w:rPr>
                <w:rFonts w:hint="eastAsia" w:ascii="仿宋" w:hAnsi="仿宋" w:eastAsia="仿宋" w:cs="仿宋"/>
                <w:color w:val="auto"/>
                <w:sz w:val="24"/>
                <w:lang w:eastAsia="zh-CN"/>
              </w:rPr>
              <w:t>招标文件</w:t>
            </w:r>
            <w:r>
              <w:rPr>
                <w:rFonts w:hint="eastAsia" w:ascii="仿宋" w:hAnsi="仿宋" w:eastAsia="仿宋" w:cs="仿宋"/>
                <w:color w:val="auto"/>
                <w:sz w:val="24"/>
              </w:rPr>
              <w:t>中部分加“▲”的条款，属于</w:t>
            </w:r>
            <w:r>
              <w:rPr>
                <w:rFonts w:hint="eastAsia" w:ascii="仿宋" w:hAnsi="仿宋" w:eastAsia="仿宋" w:cs="仿宋"/>
                <w:color w:val="auto"/>
                <w:sz w:val="24"/>
                <w:lang w:eastAsia="zh-CN"/>
              </w:rPr>
              <w:t>招标文件</w:t>
            </w:r>
            <w:r>
              <w:rPr>
                <w:rFonts w:hint="eastAsia" w:ascii="仿宋" w:hAnsi="仿宋" w:eastAsia="仿宋" w:cs="仿宋"/>
                <w:color w:val="auto"/>
                <w:sz w:val="24"/>
              </w:rPr>
              <w:t>的实质性要求和条件，着重提醒各投标人注意，并认真查看</w:t>
            </w:r>
            <w:r>
              <w:rPr>
                <w:rFonts w:hint="eastAsia" w:ascii="仿宋" w:hAnsi="仿宋" w:eastAsia="仿宋" w:cs="仿宋"/>
                <w:color w:val="auto"/>
                <w:sz w:val="24"/>
                <w:lang w:eastAsia="zh-CN"/>
              </w:rPr>
              <w:t>招标文件</w:t>
            </w:r>
            <w:r>
              <w:rPr>
                <w:rFonts w:hint="eastAsia" w:ascii="仿宋" w:hAnsi="仿宋" w:eastAsia="仿宋" w:cs="仿宋"/>
                <w:color w:val="auto"/>
                <w:sz w:val="24"/>
              </w:rPr>
              <w:t>中的每一个条款及要求，因误读</w:t>
            </w:r>
            <w:r>
              <w:rPr>
                <w:rFonts w:hint="eastAsia" w:ascii="仿宋" w:hAnsi="仿宋" w:eastAsia="仿宋" w:cs="仿宋"/>
                <w:color w:val="auto"/>
                <w:sz w:val="24"/>
                <w:lang w:eastAsia="zh-CN"/>
              </w:rPr>
              <w:t>招标文件</w:t>
            </w:r>
            <w:r>
              <w:rPr>
                <w:rFonts w:hint="eastAsia" w:ascii="仿宋" w:hAnsi="仿宋" w:eastAsia="仿宋" w:cs="仿宋"/>
                <w:color w:val="auto"/>
                <w:sz w:val="24"/>
              </w:rPr>
              <w:t>而造成的后果，</w:t>
            </w:r>
            <w:r>
              <w:rPr>
                <w:rFonts w:hint="eastAsia" w:ascii="仿宋" w:hAnsi="仿宋" w:eastAsia="仿宋" w:cs="仿宋"/>
                <w:color w:val="auto"/>
                <w:sz w:val="24"/>
                <w:lang w:eastAsia="zh-CN"/>
              </w:rPr>
              <w:t>招标人</w:t>
            </w:r>
            <w:r>
              <w:rPr>
                <w:rFonts w:hint="eastAsia" w:ascii="仿宋" w:hAnsi="仿宋" w:eastAsia="仿宋" w:cs="仿宋"/>
                <w:color w:val="auto"/>
                <w:sz w:val="24"/>
              </w:rPr>
              <w:t>概不负责；</w:t>
            </w:r>
          </w:p>
          <w:p w14:paraId="50C519D7">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⑵本项目实行不见面电子招投标方式，投标截止时间后投标人凭CA数字证书完成投标解密等事宜。投标人的联系电话在投标当天保持通信畅通，因通信问题无法联系到投标人造成的后果由投标人自行承担。</w:t>
            </w:r>
          </w:p>
        </w:tc>
      </w:tr>
      <w:tr w14:paraId="410C0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99" w:type="dxa"/>
            <w:vAlign w:val="center"/>
          </w:tcPr>
          <w:p w14:paraId="0B721548">
            <w:pPr>
              <w:numPr>
                <w:ilvl w:val="255"/>
                <w:numId w:val="0"/>
              </w:numPr>
              <w:spacing w:line="480" w:lineRule="exact"/>
              <w:jc w:val="center"/>
              <w:outlineLvl w:val="9"/>
              <w:rPr>
                <w:rFonts w:hint="default" w:ascii="仿宋" w:hAnsi="仿宋" w:eastAsia="仿宋" w:cs="仿宋"/>
                <w:color w:val="auto"/>
                <w:sz w:val="24"/>
                <w:szCs w:val="24"/>
                <w:lang w:val="en-US" w:eastAsia="zh-CN"/>
              </w:rPr>
            </w:pPr>
            <w:bookmarkStart w:id="40" w:name="_Toc12944"/>
            <w:bookmarkStart w:id="41" w:name="_Toc5190"/>
            <w:bookmarkStart w:id="42" w:name="_Toc32270"/>
            <w:r>
              <w:rPr>
                <w:rFonts w:hint="eastAsia" w:ascii="仿宋" w:hAnsi="仿宋" w:eastAsia="仿宋" w:cs="仿宋"/>
                <w:color w:val="auto"/>
                <w:sz w:val="24"/>
                <w:szCs w:val="24"/>
                <w:lang w:val="en-US" w:eastAsia="zh-CN"/>
              </w:rPr>
              <w:t>24</w:t>
            </w:r>
          </w:p>
        </w:tc>
        <w:tc>
          <w:tcPr>
            <w:tcW w:w="2118" w:type="dxa"/>
            <w:vAlign w:val="center"/>
          </w:tcPr>
          <w:p w14:paraId="4BF318A2">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投标人信用查询</w:t>
            </w:r>
          </w:p>
        </w:tc>
        <w:tc>
          <w:tcPr>
            <w:tcW w:w="6827" w:type="dxa"/>
            <w:vAlign w:val="center"/>
          </w:tcPr>
          <w:p w14:paraId="6A323256">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⑴</w:t>
            </w:r>
            <w:r>
              <w:rPr>
                <w:rFonts w:hint="eastAsia" w:ascii="仿宋" w:hAnsi="仿宋" w:eastAsia="仿宋" w:cs="仿宋"/>
                <w:color w:val="auto"/>
                <w:sz w:val="24"/>
                <w:lang w:eastAsia="zh-CN"/>
              </w:rPr>
              <w:t>招标代理机构</w:t>
            </w:r>
            <w:r>
              <w:rPr>
                <w:rFonts w:hint="eastAsia" w:ascii="仿宋" w:hAnsi="仿宋" w:eastAsia="仿宋" w:cs="仿宋"/>
                <w:color w:val="auto"/>
                <w:sz w:val="24"/>
              </w:rPr>
              <w:t>将对本项目</w:t>
            </w:r>
            <w:r>
              <w:rPr>
                <w:rFonts w:hint="eastAsia" w:ascii="仿宋" w:hAnsi="仿宋" w:eastAsia="仿宋" w:cs="仿宋"/>
                <w:color w:val="auto"/>
                <w:sz w:val="24"/>
                <w:lang w:eastAsia="zh-CN"/>
              </w:rPr>
              <w:t>投标</w:t>
            </w:r>
            <w:r>
              <w:rPr>
                <w:rFonts w:hint="eastAsia" w:ascii="仿宋" w:hAnsi="仿宋" w:eastAsia="仿宋" w:cs="仿宋"/>
                <w:color w:val="auto"/>
                <w:sz w:val="24"/>
              </w:rPr>
              <w:t>人的信用信息进行查询和甄别，查询渠道为信用中国网站（www.creditchina.gov.cn）、中国政府采购网（www.ccgp.gov.cn）；</w:t>
            </w:r>
          </w:p>
          <w:p w14:paraId="6174F19D">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⑵截止时点：提交</w:t>
            </w:r>
            <w:r>
              <w:rPr>
                <w:rFonts w:hint="eastAsia" w:ascii="仿宋" w:hAnsi="仿宋" w:eastAsia="仿宋" w:cs="仿宋"/>
                <w:color w:val="auto"/>
                <w:sz w:val="24"/>
                <w:lang w:eastAsia="zh-CN"/>
              </w:rPr>
              <w:t>投标文件</w:t>
            </w:r>
            <w:r>
              <w:rPr>
                <w:rFonts w:hint="eastAsia" w:ascii="仿宋" w:hAnsi="仿宋" w:eastAsia="仿宋" w:cs="仿宋"/>
                <w:color w:val="auto"/>
                <w:sz w:val="24"/>
              </w:rPr>
              <w:t>截止时间前3年内；</w:t>
            </w:r>
          </w:p>
          <w:p w14:paraId="52014062">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⑶信用信息查询记录和证据以网页截图方式留存；</w:t>
            </w:r>
          </w:p>
          <w:p w14:paraId="3B5206EF">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 4 \* GB2 \* MERGEFORMAT </w:instrText>
            </w:r>
            <w:r>
              <w:rPr>
                <w:rFonts w:hint="eastAsia" w:ascii="仿宋" w:hAnsi="仿宋" w:eastAsia="仿宋" w:cs="仿宋"/>
                <w:color w:val="auto"/>
                <w:sz w:val="24"/>
              </w:rPr>
              <w:fldChar w:fldCharType="separate"/>
            </w:r>
            <w:r>
              <w:rPr>
                <w:rFonts w:hint="eastAsia" w:ascii="仿宋" w:hAnsi="仿宋" w:eastAsia="仿宋" w:cs="仿宋"/>
                <w:color w:val="auto"/>
                <w:sz w:val="24"/>
              </w:rPr>
              <w:t>⑷</w:t>
            </w:r>
            <w:r>
              <w:rPr>
                <w:rFonts w:hint="eastAsia" w:ascii="仿宋" w:hAnsi="仿宋" w:eastAsia="仿宋" w:cs="仿宋"/>
                <w:color w:val="auto"/>
                <w:sz w:val="24"/>
              </w:rPr>
              <w:fldChar w:fldCharType="end"/>
            </w:r>
            <w:r>
              <w:rPr>
                <w:rFonts w:hint="eastAsia" w:ascii="仿宋" w:hAnsi="仿宋" w:eastAsia="仿宋" w:cs="仿宋"/>
                <w:color w:val="auto"/>
                <w:sz w:val="24"/>
              </w:rPr>
              <w:t>不良信用记录指：</w:t>
            </w:r>
          </w:p>
          <w:p w14:paraId="573B3EC6">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 1 \* GB3 \* MERGEFORMAT </w:instrText>
            </w:r>
            <w:r>
              <w:rPr>
                <w:rFonts w:hint="eastAsia" w:ascii="仿宋" w:hAnsi="仿宋" w:eastAsia="仿宋" w:cs="仿宋"/>
                <w:color w:val="auto"/>
                <w:sz w:val="24"/>
              </w:rPr>
              <w:fldChar w:fldCharType="separate"/>
            </w:r>
            <w:r>
              <w:rPr>
                <w:rFonts w:hint="eastAsia" w:ascii="仿宋" w:hAnsi="仿宋" w:eastAsia="仿宋" w:cs="仿宋"/>
                <w:color w:val="auto"/>
                <w:sz w:val="24"/>
              </w:rPr>
              <w:t>①</w:t>
            </w:r>
            <w:r>
              <w:rPr>
                <w:rFonts w:hint="eastAsia" w:ascii="仿宋" w:hAnsi="仿宋" w:eastAsia="仿宋" w:cs="仿宋"/>
                <w:color w:val="auto"/>
                <w:sz w:val="24"/>
              </w:rPr>
              <w:fldChar w:fldCharType="end"/>
            </w:r>
            <w:r>
              <w:rPr>
                <w:rFonts w:hint="eastAsia" w:ascii="仿宋" w:hAnsi="仿宋" w:eastAsia="仿宋" w:cs="仿宋"/>
                <w:color w:val="auto"/>
                <w:sz w:val="24"/>
              </w:rPr>
              <w:t xml:space="preserve">被列入信用中国网站“失信被执行人”“ 重大税收违法案件当事人名单”； </w:t>
            </w:r>
          </w:p>
          <w:p w14:paraId="6383D215">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②被列入中国政府采购网政府采购严重违法失信行为记录名单；</w:t>
            </w:r>
          </w:p>
          <w:p w14:paraId="551614A0">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 5 \* GB2 \* MERGEFORMAT </w:instrText>
            </w:r>
            <w:r>
              <w:rPr>
                <w:rFonts w:hint="eastAsia" w:ascii="仿宋" w:hAnsi="仿宋" w:eastAsia="仿宋" w:cs="仿宋"/>
                <w:color w:val="auto"/>
                <w:sz w:val="24"/>
              </w:rPr>
              <w:fldChar w:fldCharType="separate"/>
            </w:r>
            <w:r>
              <w:rPr>
                <w:rFonts w:hint="eastAsia" w:ascii="仿宋" w:hAnsi="仿宋" w:eastAsia="仿宋" w:cs="仿宋"/>
                <w:color w:val="auto"/>
                <w:sz w:val="24"/>
              </w:rPr>
              <w:t>⑸</w:t>
            </w:r>
            <w:r>
              <w:rPr>
                <w:rFonts w:hint="eastAsia" w:ascii="仿宋" w:hAnsi="仿宋" w:eastAsia="仿宋" w:cs="仿宋"/>
                <w:color w:val="auto"/>
                <w:sz w:val="24"/>
              </w:rPr>
              <w:fldChar w:fldCharType="end"/>
            </w:r>
            <w:r>
              <w:rPr>
                <w:rFonts w:hint="eastAsia" w:ascii="仿宋" w:hAnsi="仿宋" w:eastAsia="仿宋" w:cs="仿宋"/>
                <w:color w:val="auto"/>
                <w:sz w:val="24"/>
              </w:rPr>
              <w:t>信用信息的使用规则：投标人存在不良信用记录的，其投标文件将被拒绝；</w:t>
            </w:r>
          </w:p>
          <w:p w14:paraId="654D84F6">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 6 \* GB2 \* MERGEFORMAT </w:instrText>
            </w:r>
            <w:r>
              <w:rPr>
                <w:rFonts w:hint="eastAsia" w:ascii="仿宋" w:hAnsi="仿宋" w:eastAsia="仿宋" w:cs="仿宋"/>
                <w:color w:val="auto"/>
                <w:sz w:val="24"/>
              </w:rPr>
              <w:fldChar w:fldCharType="separate"/>
            </w:r>
            <w:r>
              <w:rPr>
                <w:rFonts w:hint="eastAsia" w:ascii="仿宋" w:hAnsi="仿宋" w:eastAsia="仿宋" w:cs="仿宋"/>
                <w:color w:val="auto"/>
                <w:sz w:val="24"/>
              </w:rPr>
              <w:t>⑹</w:t>
            </w:r>
            <w:r>
              <w:rPr>
                <w:rFonts w:hint="eastAsia" w:ascii="仿宋" w:hAnsi="仿宋" w:eastAsia="仿宋" w:cs="仿宋"/>
                <w:color w:val="auto"/>
                <w:sz w:val="24"/>
              </w:rPr>
              <w:fldChar w:fldCharType="end"/>
            </w:r>
            <w:r>
              <w:rPr>
                <w:rFonts w:hint="eastAsia" w:ascii="仿宋" w:hAnsi="仿宋" w:eastAsia="仿宋" w:cs="仿宋"/>
                <w:color w:val="auto"/>
                <w:sz w:val="24"/>
              </w:rPr>
              <w:t>如允许联合体投标的，联合体成员存在不良信用记录视同联合体存在不良信用记录。</w:t>
            </w:r>
          </w:p>
        </w:tc>
      </w:tr>
      <w:tr w14:paraId="365CC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99" w:type="dxa"/>
            <w:vAlign w:val="center"/>
          </w:tcPr>
          <w:p w14:paraId="1F43B193">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w:t>
            </w:r>
          </w:p>
        </w:tc>
        <w:tc>
          <w:tcPr>
            <w:tcW w:w="2118" w:type="dxa"/>
            <w:vAlign w:val="center"/>
          </w:tcPr>
          <w:p w14:paraId="5A82CBF1">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开标特别说明</w:t>
            </w:r>
          </w:p>
          <w:p w14:paraId="2E67FDB3">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p>
        </w:tc>
        <w:tc>
          <w:tcPr>
            <w:tcW w:w="6827" w:type="dxa"/>
            <w:vAlign w:val="center"/>
          </w:tcPr>
          <w:p w14:paraId="56BEE13F">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⑴开标解密使用投标人上传的电子投标文件；</w:t>
            </w:r>
          </w:p>
          <w:p w14:paraId="0BF1FCA5">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⑵因投标人原因（包括投标人自主选择的CA证书、电脑环境、网络等），造成其电子投标文件未解密的，或投标文件解密了，但投标文件无法识别、读取的，视为撤销其投标文件； </w:t>
            </w:r>
          </w:p>
          <w:p w14:paraId="41D1B554">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⑶投标人必须使用生成电子投标文件的CA数字证书解密电子投标文件。</w:t>
            </w:r>
          </w:p>
        </w:tc>
      </w:tr>
      <w:tr w14:paraId="72630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99" w:type="dxa"/>
            <w:vAlign w:val="center"/>
          </w:tcPr>
          <w:p w14:paraId="14D1FF8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w:t>
            </w:r>
          </w:p>
        </w:tc>
        <w:tc>
          <w:tcPr>
            <w:tcW w:w="2118" w:type="dxa"/>
            <w:vAlign w:val="center"/>
          </w:tcPr>
          <w:p w14:paraId="5237167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解释</w:t>
            </w:r>
          </w:p>
        </w:tc>
        <w:tc>
          <w:tcPr>
            <w:tcW w:w="6827" w:type="dxa"/>
            <w:vAlign w:val="center"/>
          </w:tcPr>
          <w:p w14:paraId="2DE90B32">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的解释权属于</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和</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所有。</w:t>
            </w:r>
          </w:p>
        </w:tc>
      </w:tr>
    </w:tbl>
    <w:p w14:paraId="1C1FEF3C">
      <w:pPr>
        <w:snapToGrid w:val="0"/>
        <w:spacing w:line="360" w:lineRule="auto"/>
        <w:ind w:firstLine="562" w:firstLineChars="200"/>
        <w:jc w:val="left"/>
        <w:outlineLvl w:val="9"/>
        <w:rPr>
          <w:rFonts w:ascii="仿宋" w:hAnsi="仿宋" w:eastAsia="仿宋" w:cs="仿宋"/>
          <w:b/>
          <w:color w:val="auto"/>
          <w:sz w:val="28"/>
          <w:szCs w:val="28"/>
        </w:rPr>
      </w:pPr>
      <w:r>
        <w:rPr>
          <w:rFonts w:hint="eastAsia" w:ascii="仿宋" w:hAnsi="仿宋" w:eastAsia="仿宋" w:cs="仿宋"/>
          <w:b/>
          <w:color w:val="auto"/>
          <w:sz w:val="28"/>
          <w:szCs w:val="28"/>
        </w:rPr>
        <w:t>二、投标人须知</w:t>
      </w:r>
      <w:bookmarkEnd w:id="37"/>
      <w:bookmarkEnd w:id="38"/>
      <w:bookmarkEnd w:id="39"/>
      <w:bookmarkEnd w:id="40"/>
      <w:bookmarkEnd w:id="41"/>
      <w:bookmarkEnd w:id="42"/>
    </w:p>
    <w:p w14:paraId="1FC79A2E">
      <w:pPr>
        <w:pStyle w:val="32"/>
        <w:tabs>
          <w:tab w:val="left" w:pos="0"/>
        </w:tabs>
        <w:spacing w:line="360" w:lineRule="auto"/>
        <w:ind w:firstLine="482" w:firstLineChars="200"/>
        <w:jc w:val="left"/>
        <w:outlineLvl w:val="9"/>
        <w:rPr>
          <w:rFonts w:ascii="仿宋" w:hAnsi="仿宋" w:eastAsia="仿宋" w:cs="仿宋"/>
          <w:b/>
          <w:color w:val="auto"/>
          <w:sz w:val="24"/>
          <w:szCs w:val="24"/>
        </w:rPr>
      </w:pP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一</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总则</w:t>
      </w:r>
    </w:p>
    <w:p w14:paraId="19F17490">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1.适用范围</w:t>
      </w:r>
    </w:p>
    <w:p w14:paraId="1F19754B">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适用于本次采购活动中所叙述的</w:t>
      </w:r>
      <w:r>
        <w:rPr>
          <w:rFonts w:hint="eastAsia" w:ascii="仿宋" w:hAnsi="仿宋" w:eastAsia="仿宋" w:cs="仿宋"/>
          <w:color w:val="auto"/>
          <w:sz w:val="24"/>
          <w:szCs w:val="24"/>
          <w:lang w:eastAsia="zh-CN"/>
        </w:rPr>
        <w:t>哈尔滨马迭尔食品股份有限公司物流服务项目</w:t>
      </w:r>
      <w:r>
        <w:rPr>
          <w:rFonts w:hint="eastAsia" w:ascii="仿宋" w:hAnsi="仿宋" w:eastAsia="仿宋" w:cs="仿宋"/>
          <w:color w:val="auto"/>
          <w:sz w:val="24"/>
          <w:szCs w:val="24"/>
        </w:rPr>
        <w:t>。</w:t>
      </w:r>
    </w:p>
    <w:p w14:paraId="07E3716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2.定义解释</w:t>
      </w:r>
    </w:p>
    <w:p w14:paraId="5291AE7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”是指</w:t>
      </w:r>
      <w:r>
        <w:rPr>
          <w:rFonts w:hint="eastAsia" w:ascii="仿宋" w:hAnsi="仿宋" w:eastAsia="仿宋" w:cs="仿宋"/>
          <w:color w:val="auto"/>
          <w:sz w:val="24"/>
          <w:szCs w:val="24"/>
          <w:lang w:eastAsia="zh-CN"/>
        </w:rPr>
        <w:t>马迭尔食品（浙江）有限公司。</w:t>
      </w:r>
    </w:p>
    <w:p w14:paraId="2417CA97">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”是指衢州市两山工程咨询管理有限公司</w:t>
      </w:r>
      <w:r>
        <w:rPr>
          <w:rFonts w:hint="eastAsia" w:ascii="仿宋" w:hAnsi="仿宋" w:eastAsia="仿宋" w:cs="仿宋"/>
          <w:color w:val="auto"/>
          <w:sz w:val="24"/>
          <w:szCs w:val="24"/>
          <w:lang w:eastAsia="zh-CN"/>
        </w:rPr>
        <w:t>。</w:t>
      </w:r>
    </w:p>
    <w:p w14:paraId="3DB63B49">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“项目”系指投标人按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规定向</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提供的货物或服务</w:t>
      </w:r>
      <w:r>
        <w:rPr>
          <w:rFonts w:hint="eastAsia" w:ascii="仿宋" w:hAnsi="仿宋" w:eastAsia="仿宋" w:cs="仿宋"/>
          <w:color w:val="auto"/>
          <w:sz w:val="24"/>
          <w:szCs w:val="24"/>
          <w:lang w:eastAsia="zh-CN"/>
        </w:rPr>
        <w:t>。</w:t>
      </w:r>
    </w:p>
    <w:p w14:paraId="3BEBC242">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“投标人”是指获得</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并向</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提交投标文件的投标人</w:t>
      </w:r>
      <w:r>
        <w:rPr>
          <w:rFonts w:hint="eastAsia" w:ascii="仿宋" w:hAnsi="仿宋" w:eastAsia="仿宋" w:cs="仿宋"/>
          <w:color w:val="auto"/>
          <w:sz w:val="24"/>
          <w:szCs w:val="24"/>
          <w:lang w:eastAsia="zh-CN"/>
        </w:rPr>
        <w:t>。</w:t>
      </w:r>
    </w:p>
    <w:p w14:paraId="3C41D65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“潜在投标人”是指符合本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中投标人资格要求的合格投标人</w:t>
      </w:r>
      <w:r>
        <w:rPr>
          <w:rFonts w:hint="eastAsia" w:ascii="仿宋" w:hAnsi="仿宋" w:eastAsia="仿宋" w:cs="仿宋"/>
          <w:color w:val="auto"/>
          <w:sz w:val="24"/>
          <w:szCs w:val="24"/>
          <w:lang w:eastAsia="zh-CN"/>
        </w:rPr>
        <w:t>。</w:t>
      </w:r>
    </w:p>
    <w:p w14:paraId="370FC33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6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⑹</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“中标人”是指经评审小组审查通过，并经公告无异议的投标人</w:t>
      </w:r>
      <w:r>
        <w:rPr>
          <w:rFonts w:hint="eastAsia" w:ascii="仿宋" w:hAnsi="仿宋" w:eastAsia="仿宋" w:cs="仿宋"/>
          <w:color w:val="auto"/>
          <w:sz w:val="24"/>
          <w:szCs w:val="24"/>
          <w:lang w:eastAsia="zh-CN"/>
        </w:rPr>
        <w:t>。</w:t>
      </w:r>
    </w:p>
    <w:p w14:paraId="6125FE7F">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7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“投标人代表”是指投标人</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或被投标人</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授权委托的人</w:t>
      </w:r>
      <w:r>
        <w:rPr>
          <w:rFonts w:hint="eastAsia" w:ascii="仿宋" w:hAnsi="仿宋" w:eastAsia="仿宋" w:cs="仿宋"/>
          <w:color w:val="auto"/>
          <w:sz w:val="24"/>
          <w:szCs w:val="24"/>
          <w:lang w:eastAsia="zh-CN"/>
        </w:rPr>
        <w:t>。</w:t>
      </w:r>
    </w:p>
    <w:p w14:paraId="158D095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8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⑻</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“货物”系指投标人按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规定向</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提供的各类设备、软件、产品、技术资料及使用手册等</w:t>
      </w:r>
      <w:r>
        <w:rPr>
          <w:rFonts w:hint="eastAsia" w:ascii="仿宋" w:hAnsi="仿宋" w:eastAsia="仿宋" w:cs="仿宋"/>
          <w:color w:val="auto"/>
          <w:sz w:val="24"/>
          <w:szCs w:val="24"/>
          <w:lang w:eastAsia="zh-CN"/>
        </w:rPr>
        <w:t>。</w:t>
      </w:r>
    </w:p>
    <w:p w14:paraId="54097546">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9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⑼</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“服务”系指本项目采购内容本身及相关的售后技术支持、培训服务等相关服务</w:t>
      </w:r>
      <w:r>
        <w:rPr>
          <w:rFonts w:hint="eastAsia" w:ascii="仿宋" w:hAnsi="仿宋" w:eastAsia="仿宋" w:cs="仿宋"/>
          <w:color w:val="auto"/>
          <w:sz w:val="24"/>
          <w:szCs w:val="24"/>
          <w:lang w:eastAsia="zh-CN"/>
        </w:rPr>
        <w:t>。</w:t>
      </w:r>
    </w:p>
    <w:p w14:paraId="7B369341">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10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⑽</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“▲”系指按本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要求投标人必须实质性响应的条款，有任何一项缺失或非实质性响应将取消其投标资格。</w:t>
      </w:r>
    </w:p>
    <w:p w14:paraId="1C2A1E4E">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3.项目说明</w:t>
      </w:r>
    </w:p>
    <w:p w14:paraId="53254C10">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本采购项目说明详见</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投标须知前附表。</w:t>
      </w:r>
    </w:p>
    <w:p w14:paraId="17111CA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本采购项目</w:t>
      </w:r>
      <w:r>
        <w:rPr>
          <w:rFonts w:hint="eastAsia" w:ascii="仿宋" w:hAnsi="仿宋" w:eastAsia="仿宋" w:cs="仿宋"/>
          <w:color w:val="auto"/>
          <w:sz w:val="24"/>
          <w:szCs w:val="24"/>
          <w:lang w:eastAsia="zh-CN"/>
        </w:rPr>
        <w:t>参照《衢州市国有企业采购管理办法（试行）》</w:t>
      </w:r>
      <w:r>
        <w:rPr>
          <w:rFonts w:hint="eastAsia" w:ascii="仿宋" w:hAnsi="仿宋" w:eastAsia="仿宋" w:cs="仿宋"/>
          <w:color w:val="auto"/>
          <w:sz w:val="24"/>
          <w:szCs w:val="24"/>
        </w:rPr>
        <w:t>（衢国资发</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2020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36号）等有关法律、行政法规和部门规章，通过公开招标方式选定中标人。</w:t>
      </w:r>
    </w:p>
    <w:p w14:paraId="7A7A378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eastAsia="zh-CN"/>
        </w:rPr>
        <w:t>招标</w:t>
      </w:r>
      <w:r>
        <w:rPr>
          <w:rFonts w:hint="eastAsia" w:ascii="仿宋" w:hAnsi="仿宋" w:eastAsia="仿宋" w:cs="仿宋"/>
          <w:color w:val="auto"/>
          <w:sz w:val="24"/>
          <w:szCs w:val="24"/>
          <w:lang w:val="en-US" w:eastAsia="zh-CN"/>
        </w:rPr>
        <w:t>方</w:t>
      </w:r>
      <w:r>
        <w:rPr>
          <w:rFonts w:hint="eastAsia" w:ascii="仿宋" w:hAnsi="仿宋" w:eastAsia="仿宋" w:cs="仿宋"/>
          <w:color w:val="auto"/>
          <w:sz w:val="24"/>
          <w:szCs w:val="24"/>
        </w:rPr>
        <w:t>式</w:t>
      </w:r>
    </w:p>
    <w:p w14:paraId="09CD043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公开招标</w:t>
      </w:r>
    </w:p>
    <w:p w14:paraId="154C9A9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5.合格投标人的条件</w:t>
      </w:r>
    </w:p>
    <w:p w14:paraId="2F570CF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凡符合本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第一章招标公告投标人资格要求的均为合格的投标人。</w:t>
      </w:r>
    </w:p>
    <w:p w14:paraId="180FDBFB">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6.投标费用</w:t>
      </w:r>
    </w:p>
    <w:p w14:paraId="5F2D07C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无论招投标过程中的做法和结果如何，投标人自行承担招投标活动中所发生的全部费用。</w:t>
      </w:r>
    </w:p>
    <w:p w14:paraId="69A29AE0">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7.知识产权</w:t>
      </w:r>
    </w:p>
    <w:p w14:paraId="4EE3E2A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应保证在本项目使用的任何产品和服务（包括部分使用），不会产生因第三方提出侵犯其专利权、商标权或其它知识产权而引起法律或经济纠纷。如因专利权、商标权或其它知识产权原因引起法律或经济纠纷的，所有相关责任由投标人承担。</w:t>
      </w:r>
    </w:p>
    <w:p w14:paraId="5E58E542">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享有本项目实施过程中产生的知识成果及知识产权。</w:t>
      </w:r>
    </w:p>
    <w:p w14:paraId="5731B580">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如采用投标人所不拥有的知识产权，则在投标报价中必须包括投标人合法获得该知识产权的相关费用，无论投标人是否在投标报价中单独列明，</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均视为投标报价已包含该部分费用。</w:t>
      </w:r>
    </w:p>
    <w:p w14:paraId="7F00B8C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8.转包或分包</w:t>
      </w:r>
    </w:p>
    <w:p w14:paraId="645C770F">
      <w:pPr>
        <w:snapToGrid w:val="0"/>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本项目不允许转包。分包须经</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人书面同意后方可实施。</w:t>
      </w:r>
    </w:p>
    <w:p w14:paraId="66FFCBA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9.其他</w:t>
      </w:r>
    </w:p>
    <w:p w14:paraId="4E019B5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如发现</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及其评标办法中存在含糊不清、相互矛盾、多种含义以及歧视性不公正条款或违法违规等内容时，请在规定的询疑时间前同时向</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书面反映，逾期不得再对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的条款</w:t>
      </w:r>
      <w:r>
        <w:rPr>
          <w:rFonts w:hint="eastAsia" w:ascii="仿宋" w:hAnsi="仿宋" w:eastAsia="仿宋" w:cs="仿宋"/>
          <w:color w:val="auto"/>
          <w:sz w:val="24"/>
          <w:szCs w:val="24"/>
          <w:lang w:eastAsia="zh-CN"/>
        </w:rPr>
        <w:t>质疑</w:t>
      </w:r>
      <w:r>
        <w:rPr>
          <w:rFonts w:hint="eastAsia" w:ascii="仿宋" w:hAnsi="仿宋" w:eastAsia="仿宋" w:cs="仿宋"/>
          <w:color w:val="auto"/>
          <w:sz w:val="24"/>
          <w:szCs w:val="24"/>
        </w:rPr>
        <w:t>。</w:t>
      </w:r>
    </w:p>
    <w:p w14:paraId="6F8E78C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及相应的补充文件、通知等解释权归</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和</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所有。</w:t>
      </w:r>
    </w:p>
    <w:p w14:paraId="5162E75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10.特别说明</w:t>
      </w:r>
    </w:p>
    <w:p w14:paraId="52167C7B">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▲⑴多家投标人参加投标，单位负责人为同一人或者存在直接控股、管理关系的不同投标人，不得参加同一合同项下的采购活动。</w:t>
      </w:r>
    </w:p>
    <w:p w14:paraId="04A3178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⑵□提供相同品牌产品且通过资格审查、符合性审查的不同投标人参加同一合同项下投标的，按一家投标人计算，评审后得分最高的同品牌投标人获得中标人推荐资格；评审得分相同时，以报价低者获得中标人推荐资格。</w:t>
      </w:r>
    </w:p>
    <w:p w14:paraId="282AEB1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⑶□非单一产品采购项目中，多家投标人提供的核心产品品牌相同的，按一家投标人认定。</w:t>
      </w:r>
    </w:p>
    <w:p w14:paraId="55EDAA9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▲⑷投标人投标所使用的资格、信誉、荣誉、业绩与企业认证必须为本法人（负责人）所拥有或被授权使用。</w:t>
      </w:r>
    </w:p>
    <w:p w14:paraId="64DFF33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▲⑸投标人应仔细阅读招标文件的所有内容，按照招标文件的要求提交投标文件，并对所提供的全部资料的真实性承担法律责任。</w:t>
      </w:r>
    </w:p>
    <w:p w14:paraId="443A60F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▲⑹投标人在投标活动中提供任何虚假材料，其投标无效，并报监管部门查处；中标后发现的，其中标无效，按照有关法律法规追究其相关责任并赔偿招标人相关损失。</w:t>
      </w:r>
    </w:p>
    <w:p w14:paraId="7A22C359">
      <w:pPr>
        <w:pStyle w:val="32"/>
        <w:tabs>
          <w:tab w:val="left" w:pos="0"/>
        </w:tabs>
        <w:spacing w:line="360" w:lineRule="auto"/>
        <w:ind w:firstLine="482" w:firstLineChars="200"/>
        <w:jc w:val="left"/>
        <w:outlineLvl w:val="9"/>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二</w:t>
      </w:r>
      <w:r>
        <w:rPr>
          <w:rFonts w:hint="eastAsia" w:ascii="仿宋" w:hAnsi="仿宋" w:eastAsia="仿宋" w:cs="仿宋"/>
          <w:b/>
          <w:color w:val="auto"/>
          <w:sz w:val="24"/>
          <w:szCs w:val="24"/>
          <w:lang w:eastAsia="zh-CN"/>
        </w:rPr>
        <w:t>）招标文件</w:t>
      </w:r>
    </w:p>
    <w:p w14:paraId="23BE2F2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的组成</w:t>
      </w:r>
    </w:p>
    <w:p w14:paraId="3E4E482F">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共分为六部分，其内容如下：</w:t>
      </w:r>
    </w:p>
    <w:p w14:paraId="51F1810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第一章  招标公告</w:t>
      </w:r>
    </w:p>
    <w:p w14:paraId="5E25496E">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第二章  投标须知前附表及投标须知</w:t>
      </w:r>
    </w:p>
    <w:p w14:paraId="5D11C5D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第三章  采购内容及要求</w:t>
      </w:r>
    </w:p>
    <w:p w14:paraId="2CD7C1F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第四章  合同主要条款</w:t>
      </w:r>
    </w:p>
    <w:p w14:paraId="6C1DE9C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第五章  评标办法</w:t>
      </w:r>
    </w:p>
    <w:p w14:paraId="1B8841F6">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第六章  投标文件相关格式</w:t>
      </w:r>
    </w:p>
    <w:p w14:paraId="6A69347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除上条内容外，</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在规定时间前，以书面形式发出的对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的澄清或修改内容，均为</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的组成部分。</w:t>
      </w:r>
    </w:p>
    <w:p w14:paraId="0E48D91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投标人如在法律法规规定的时间内逾期对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提出异议的，</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可不予受理、答复。</w:t>
      </w:r>
    </w:p>
    <w:p w14:paraId="030FA9D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的澄清与修改</w:t>
      </w:r>
    </w:p>
    <w:p w14:paraId="679A1047">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进行必要的澄清或者修改的，在发布招标公告的网站上发布更正公告。澄清或者修改的内容可能影响投标文件编制的，更正公告在投标截止时间至少15日前发出；不足15日的，顺延提交投标文件截止时间。</w:t>
      </w:r>
    </w:p>
    <w:p w14:paraId="772DDB3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更正公告为</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的组成部分，一经在网站发布，视同已通知所有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的收受人，不再</w:t>
      </w:r>
      <w:r>
        <w:rPr>
          <w:rFonts w:hint="eastAsia" w:ascii="仿宋" w:hAnsi="仿宋" w:eastAsia="仿宋" w:cs="仿宋"/>
          <w:color w:val="auto"/>
          <w:sz w:val="24"/>
          <w:szCs w:val="24"/>
          <w:lang w:eastAsia="zh-CN"/>
        </w:rPr>
        <w:t>采用其他方式</w:t>
      </w:r>
      <w:r>
        <w:rPr>
          <w:rFonts w:hint="eastAsia" w:ascii="仿宋" w:hAnsi="仿宋" w:eastAsia="仿宋" w:cs="仿宋"/>
          <w:color w:val="auto"/>
          <w:sz w:val="24"/>
          <w:szCs w:val="24"/>
        </w:rPr>
        <w:t>传达相关信息，若因未能及时了解到上述网站上发布的相关信息而导致的一切后果自行承担。</w:t>
      </w:r>
    </w:p>
    <w:p w14:paraId="2AF9BD19">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如更正公告有重新发布电子</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的，投标人应下载最新发布的电子</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制作投标文件。</w:t>
      </w:r>
    </w:p>
    <w:p w14:paraId="3E648DC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投标人在规定的时间内未对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提出疑问、质疑或要求澄清的，将视其为无异议。对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中描述有歧义或前后不一致的地方，评审小组有权进行评判，但对同一条款的评判应适用于每个投标人。</w:t>
      </w:r>
    </w:p>
    <w:p w14:paraId="7DC84243">
      <w:pPr>
        <w:pStyle w:val="32"/>
        <w:tabs>
          <w:tab w:val="left" w:pos="0"/>
        </w:tabs>
        <w:spacing w:line="360" w:lineRule="auto"/>
        <w:ind w:firstLine="482" w:firstLineChars="200"/>
        <w:jc w:val="left"/>
        <w:outlineLvl w:val="9"/>
        <w:rPr>
          <w:rFonts w:ascii="仿宋" w:hAnsi="仿宋" w:eastAsia="仿宋" w:cs="仿宋"/>
          <w:b/>
          <w:color w:val="auto"/>
          <w:sz w:val="24"/>
          <w:szCs w:val="24"/>
        </w:rPr>
      </w:pP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三</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投标文件</w:t>
      </w:r>
    </w:p>
    <w:p w14:paraId="5575E9E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1.总体要求</w:t>
      </w:r>
    </w:p>
    <w:p w14:paraId="0E80BF96">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投标人应在认真阅读</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所有内容的基础上，按照</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的要求编制完整的投标文件。投标人应按本文件中提供的文件格式、内容和要求制作投标文件。投标文件内容不完整、编排混乱导致</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被误读、漏读或者查找不到相关内容的，是投标人的责任。</w:t>
      </w:r>
    </w:p>
    <w:p w14:paraId="3CC0A552">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投标人必须保证投标文件所提供的全部资料真实可靠，并接受</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对其中任何资料进一步审查的要求。投标文件中所有复印资料都须加盖单位公章（电子签章）。</w:t>
      </w:r>
    </w:p>
    <w:p w14:paraId="100E37A2">
      <w:pPr>
        <w:pStyle w:val="10"/>
        <w:ind w:firstLine="480" w:firstLineChars="200"/>
        <w:outlineLvl w:val="9"/>
        <w:rPr>
          <w:rFonts w:ascii="仿宋" w:hAnsi="仿宋" w:eastAsia="仿宋" w:cs="仿宋"/>
          <w:color w:val="auto"/>
          <w:szCs w:val="24"/>
        </w:rPr>
      </w:pPr>
      <w:r>
        <w:rPr>
          <w:rFonts w:hint="eastAsia" w:ascii="仿宋" w:hAnsi="仿宋" w:eastAsia="仿宋" w:cs="仿宋"/>
          <w:color w:val="auto"/>
          <w:szCs w:val="24"/>
        </w:rPr>
        <w:fldChar w:fldCharType="begin"/>
      </w:r>
      <w:r>
        <w:rPr>
          <w:rFonts w:hint="eastAsia" w:ascii="仿宋" w:hAnsi="仿宋" w:eastAsia="仿宋" w:cs="仿宋"/>
          <w:color w:val="auto"/>
          <w:szCs w:val="24"/>
        </w:rPr>
        <w:instrText xml:space="preserve"> = 3 \* GB2 \* MERGEFORMAT </w:instrText>
      </w:r>
      <w:r>
        <w:rPr>
          <w:rFonts w:hint="eastAsia" w:ascii="仿宋" w:hAnsi="仿宋" w:eastAsia="仿宋" w:cs="仿宋"/>
          <w:color w:val="auto"/>
          <w:szCs w:val="24"/>
        </w:rPr>
        <w:fldChar w:fldCharType="separate"/>
      </w:r>
      <w:r>
        <w:rPr>
          <w:rFonts w:hint="eastAsia" w:ascii="仿宋" w:hAnsi="仿宋" w:eastAsia="仿宋" w:cs="仿宋"/>
          <w:color w:val="auto"/>
          <w:szCs w:val="24"/>
        </w:rPr>
        <w:t>⑶</w:t>
      </w:r>
      <w:r>
        <w:rPr>
          <w:rFonts w:hint="eastAsia" w:ascii="仿宋" w:hAnsi="仿宋" w:eastAsia="仿宋" w:cs="仿宋"/>
          <w:color w:val="auto"/>
          <w:szCs w:val="24"/>
        </w:rPr>
        <w:fldChar w:fldCharType="end"/>
      </w:r>
      <w:r>
        <w:rPr>
          <w:rFonts w:hint="eastAsia" w:ascii="仿宋" w:hAnsi="仿宋" w:eastAsia="仿宋" w:cs="仿宋"/>
          <w:color w:val="auto"/>
          <w:szCs w:val="24"/>
        </w:rPr>
        <w:t>投标文件须对</w:t>
      </w:r>
      <w:r>
        <w:rPr>
          <w:rFonts w:hint="eastAsia" w:ascii="仿宋" w:hAnsi="仿宋" w:eastAsia="仿宋" w:cs="仿宋"/>
          <w:color w:val="auto"/>
          <w:szCs w:val="24"/>
          <w:lang w:eastAsia="zh-CN"/>
        </w:rPr>
        <w:t>招标文件</w:t>
      </w:r>
      <w:r>
        <w:rPr>
          <w:rFonts w:hint="eastAsia" w:ascii="仿宋" w:hAnsi="仿宋" w:eastAsia="仿宋" w:cs="仿宋"/>
          <w:color w:val="auto"/>
          <w:szCs w:val="24"/>
        </w:rPr>
        <w:t>中的内容做出实质性和完整的响应，否则其投标将被拒绝。如果投标文件填报的内容资料不详，或没有提供</w:t>
      </w:r>
      <w:r>
        <w:rPr>
          <w:rFonts w:hint="eastAsia" w:ascii="仿宋" w:hAnsi="仿宋" w:eastAsia="仿宋" w:cs="仿宋"/>
          <w:color w:val="auto"/>
          <w:szCs w:val="24"/>
          <w:lang w:eastAsia="zh-CN"/>
        </w:rPr>
        <w:t>招标文件</w:t>
      </w:r>
      <w:r>
        <w:rPr>
          <w:rFonts w:hint="eastAsia" w:ascii="仿宋" w:hAnsi="仿宋" w:eastAsia="仿宋" w:cs="仿宋"/>
          <w:color w:val="auto"/>
          <w:szCs w:val="24"/>
        </w:rPr>
        <w:t>中所要求的全部资料及数据，将会导致投标被拒绝。</w:t>
      </w:r>
    </w:p>
    <w:p w14:paraId="54C964B7">
      <w:pPr>
        <w:pStyle w:val="10"/>
        <w:ind w:firstLine="480" w:firstLineChars="200"/>
        <w:outlineLvl w:val="9"/>
        <w:rPr>
          <w:rFonts w:ascii="仿宋" w:hAnsi="仿宋" w:eastAsia="仿宋" w:cs="仿宋"/>
          <w:color w:val="auto"/>
          <w:szCs w:val="24"/>
        </w:rPr>
      </w:pPr>
      <w:r>
        <w:rPr>
          <w:rFonts w:hint="eastAsia" w:ascii="仿宋" w:hAnsi="仿宋" w:eastAsia="仿宋" w:cs="仿宋"/>
          <w:color w:val="auto"/>
          <w:szCs w:val="24"/>
        </w:rPr>
        <w:t>⑷投标人已明知采购期间或之后企业将发生兼并改制，或提供的产品将停产、淘汰，及其他应当告知</w:t>
      </w:r>
      <w:r>
        <w:rPr>
          <w:rFonts w:hint="eastAsia" w:ascii="仿宋" w:hAnsi="仿宋" w:eastAsia="仿宋" w:cs="仿宋"/>
          <w:color w:val="auto"/>
          <w:szCs w:val="24"/>
          <w:lang w:eastAsia="zh-CN"/>
        </w:rPr>
        <w:t>招标人</w:t>
      </w:r>
      <w:r>
        <w:rPr>
          <w:rFonts w:hint="eastAsia" w:ascii="仿宋" w:hAnsi="仿宋" w:eastAsia="仿宋" w:cs="仿宋"/>
          <w:color w:val="auto"/>
          <w:szCs w:val="24"/>
        </w:rPr>
        <w:t>可能影响采购项目实施或损害</w:t>
      </w:r>
      <w:r>
        <w:rPr>
          <w:rFonts w:hint="eastAsia" w:ascii="仿宋" w:hAnsi="仿宋" w:eastAsia="仿宋" w:cs="仿宋"/>
          <w:color w:val="auto"/>
          <w:szCs w:val="24"/>
          <w:lang w:eastAsia="zh-CN"/>
        </w:rPr>
        <w:t>招标人</w:t>
      </w:r>
      <w:r>
        <w:rPr>
          <w:rFonts w:hint="eastAsia" w:ascii="仿宋" w:hAnsi="仿宋" w:eastAsia="仿宋" w:cs="仿宋"/>
          <w:color w:val="auto"/>
          <w:szCs w:val="24"/>
        </w:rPr>
        <w:t>利益的信息，必须在投标文件中予以特别说明，否则，</w:t>
      </w:r>
      <w:r>
        <w:rPr>
          <w:rFonts w:hint="eastAsia" w:ascii="仿宋" w:hAnsi="仿宋" w:eastAsia="仿宋" w:cs="仿宋"/>
          <w:color w:val="auto"/>
          <w:szCs w:val="24"/>
          <w:lang w:eastAsia="zh-CN"/>
        </w:rPr>
        <w:t>招标人</w:t>
      </w:r>
      <w:r>
        <w:rPr>
          <w:rFonts w:hint="eastAsia" w:ascii="仿宋" w:hAnsi="仿宋" w:eastAsia="仿宋" w:cs="仿宋"/>
          <w:color w:val="auto"/>
          <w:szCs w:val="24"/>
        </w:rPr>
        <w:t>可以拒绝其投标文件。</w:t>
      </w:r>
    </w:p>
    <w:p w14:paraId="2EE164D7">
      <w:pPr>
        <w:pStyle w:val="10"/>
        <w:ind w:firstLine="480" w:firstLineChars="200"/>
        <w:outlineLvl w:val="9"/>
        <w:rPr>
          <w:rFonts w:ascii="仿宋" w:hAnsi="仿宋" w:eastAsia="仿宋" w:cs="仿宋"/>
          <w:color w:val="auto"/>
          <w:szCs w:val="24"/>
        </w:rPr>
      </w:pPr>
      <w:r>
        <w:rPr>
          <w:rFonts w:hint="eastAsia" w:ascii="仿宋" w:hAnsi="仿宋" w:eastAsia="仿宋" w:cs="仿宋"/>
          <w:color w:val="auto"/>
          <w:szCs w:val="24"/>
        </w:rPr>
        <w:t>⑸由于字迹模糊或表达不清引起的后果由投标人负责。</w:t>
      </w:r>
    </w:p>
    <w:p w14:paraId="6A9407B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2.投标文件的语言及度量衡单位</w:t>
      </w:r>
    </w:p>
    <w:p w14:paraId="0CCF6CFF">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除采购设备有关专用名称、型号外，投标文件与招标有关的所有文件说明均应使用中文。</w:t>
      </w:r>
    </w:p>
    <w:p w14:paraId="3763F3B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除采购项目规范另有规定外，投标文件使用的度量衡单位，均采用中华人民共和国法定计量单位。</w:t>
      </w:r>
    </w:p>
    <w:p w14:paraId="3E23F027">
      <w:pPr>
        <w:snapToGrid w:val="0"/>
        <w:spacing w:line="360" w:lineRule="auto"/>
        <w:ind w:firstLine="480" w:firstLineChars="200"/>
        <w:outlineLvl w:val="9"/>
        <w:rPr>
          <w:rFonts w:ascii="仿宋" w:hAnsi="仿宋" w:eastAsia="仿宋" w:cs="仿宋"/>
          <w:color w:val="auto"/>
          <w:sz w:val="24"/>
          <w:szCs w:val="24"/>
        </w:rPr>
      </w:pPr>
      <w:bookmarkStart w:id="43" w:name="_Toc14048"/>
      <w:bookmarkStart w:id="44" w:name="_Toc20709"/>
      <w:bookmarkStart w:id="45" w:name="_Toc22452"/>
      <w:bookmarkStart w:id="46" w:name="_Toc13231"/>
      <w:bookmarkStart w:id="47" w:name="_Toc359856800"/>
      <w:bookmarkStart w:id="48" w:name="_Toc356371435"/>
      <w:r>
        <w:rPr>
          <w:rFonts w:hint="eastAsia" w:ascii="仿宋" w:hAnsi="仿宋" w:eastAsia="仿宋" w:cs="仿宋"/>
          <w:color w:val="auto"/>
          <w:sz w:val="24"/>
          <w:szCs w:val="24"/>
        </w:rPr>
        <w:t>3.投标文件的编制</w:t>
      </w:r>
      <w:bookmarkEnd w:id="43"/>
      <w:bookmarkEnd w:id="44"/>
      <w:bookmarkEnd w:id="45"/>
      <w:bookmarkEnd w:id="46"/>
      <w:bookmarkEnd w:id="47"/>
      <w:bookmarkEnd w:id="48"/>
    </w:p>
    <w:p w14:paraId="1C840AA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投标文件由【资格审查文件】【</w:t>
      </w:r>
      <w:r>
        <w:rPr>
          <w:rFonts w:hint="eastAsia" w:ascii="仿宋" w:hAnsi="仿宋" w:eastAsia="仿宋" w:cs="仿宋"/>
          <w:color w:val="auto"/>
          <w:sz w:val="24"/>
          <w:szCs w:val="24"/>
          <w:lang w:eastAsia="zh-CN"/>
        </w:rPr>
        <w:t>技术商务文件</w:t>
      </w:r>
      <w:r>
        <w:rPr>
          <w:rFonts w:hint="eastAsia" w:ascii="仿宋" w:hAnsi="仿宋" w:eastAsia="仿宋" w:cs="仿宋"/>
          <w:color w:val="auto"/>
          <w:sz w:val="24"/>
          <w:szCs w:val="24"/>
        </w:rPr>
        <w:t>】和【报价文件】三部分组成，其中“资格审查文件”“</w:t>
      </w:r>
      <w:r>
        <w:rPr>
          <w:rFonts w:hint="eastAsia" w:ascii="仿宋" w:hAnsi="仿宋" w:eastAsia="仿宋" w:cs="仿宋"/>
          <w:color w:val="auto"/>
          <w:sz w:val="24"/>
          <w:szCs w:val="24"/>
          <w:lang w:eastAsia="zh-CN"/>
        </w:rPr>
        <w:t>技术商务文件</w:t>
      </w:r>
      <w:r>
        <w:rPr>
          <w:rFonts w:hint="eastAsia" w:ascii="仿宋" w:hAnsi="仿宋" w:eastAsia="仿宋" w:cs="仿宋"/>
          <w:color w:val="auto"/>
          <w:sz w:val="24"/>
          <w:szCs w:val="24"/>
        </w:rPr>
        <w:t>”部分不得包含与本次项目有关的报价，否则作无效标处理。电子投标文件中须加盖公章部分均</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rPr>
        <w:t>采用CA签章。</w:t>
      </w:r>
    </w:p>
    <w:p w14:paraId="72B0158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b/>
          <w:bCs/>
          <w:color w:val="auto"/>
          <w:sz w:val="24"/>
          <w:szCs w:val="24"/>
        </w:rPr>
        <w:t>资格审查文件</w:t>
      </w:r>
      <w:r>
        <w:rPr>
          <w:rFonts w:hint="eastAsia" w:ascii="仿宋" w:hAnsi="仿宋" w:eastAsia="仿宋" w:cs="仿宋"/>
          <w:color w:val="auto"/>
          <w:sz w:val="24"/>
          <w:szCs w:val="24"/>
        </w:rPr>
        <w:t>】包括但不限于以下内容：</w:t>
      </w:r>
    </w:p>
    <w:p w14:paraId="07F02F1D">
      <w:pPr>
        <w:tabs>
          <w:tab w:val="left" w:pos="0"/>
        </w:tabs>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▲①投标人基本情况表；</w:t>
      </w:r>
    </w:p>
    <w:p w14:paraId="6A44AA5D">
      <w:pPr>
        <w:tabs>
          <w:tab w:val="left" w:pos="0"/>
        </w:tabs>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▲②</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身份证明或</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授权委托书；</w:t>
      </w:r>
    </w:p>
    <w:p w14:paraId="45BE2674">
      <w:pPr>
        <w:tabs>
          <w:tab w:val="left" w:pos="0"/>
        </w:tabs>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▲③有效期内的营业执照（或事业法人登记证书</w:t>
      </w:r>
      <w:r>
        <w:rPr>
          <w:rFonts w:hint="eastAsia" w:ascii="仿宋" w:hAnsi="仿宋" w:eastAsia="仿宋" w:cs="仿宋"/>
          <w:color w:val="auto"/>
          <w:sz w:val="24"/>
          <w:szCs w:val="24"/>
          <w:lang w:eastAsia="zh-CN"/>
        </w:rPr>
        <w:t>或其他</w:t>
      </w:r>
      <w:r>
        <w:rPr>
          <w:rFonts w:hint="eastAsia" w:ascii="仿宋" w:hAnsi="仿宋" w:eastAsia="仿宋" w:cs="仿宋"/>
          <w:color w:val="auto"/>
          <w:sz w:val="24"/>
          <w:szCs w:val="24"/>
        </w:rPr>
        <w:t>工商等登记证明材料）扫描件；</w:t>
      </w:r>
    </w:p>
    <w:p w14:paraId="20A54026">
      <w:pPr>
        <w:tabs>
          <w:tab w:val="left" w:pos="0"/>
        </w:tabs>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GB3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④</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符合参加国企采购活动应当具备的一般条件的承诺函；</w:t>
      </w:r>
    </w:p>
    <w:p w14:paraId="154DA68E">
      <w:pPr>
        <w:keepNext w:val="0"/>
        <w:keepLines w:val="0"/>
        <w:pageBreakBefore w:val="0"/>
        <w:widowControl w:val="0"/>
        <w:kinsoku/>
        <w:overflowPunct/>
        <w:topLinePunct w:val="0"/>
        <w:autoSpaceDE/>
        <w:autoSpaceDN/>
        <w:bidi w:val="0"/>
        <w:adjustRightInd/>
        <w:spacing w:line="360" w:lineRule="auto"/>
        <w:ind w:firstLine="480" w:firstLineChars="200"/>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w:t>
      </w:r>
      <w:r>
        <w:rPr>
          <w:rFonts w:hint="eastAsia" w:ascii="仿宋" w:hAnsi="仿宋" w:eastAsia="仿宋" w:cs="仿宋"/>
          <w:color w:val="auto"/>
          <w:kern w:val="2"/>
          <w:sz w:val="24"/>
          <w:szCs w:val="24"/>
          <w:lang w:val="en-US" w:eastAsia="zh-CN" w:bidi="ar-SA"/>
        </w:rPr>
        <w:fldChar w:fldCharType="begin"/>
      </w:r>
      <w:r>
        <w:rPr>
          <w:rFonts w:hint="eastAsia" w:ascii="仿宋" w:hAnsi="仿宋" w:eastAsia="仿宋" w:cs="仿宋"/>
          <w:color w:val="auto"/>
          <w:kern w:val="2"/>
          <w:sz w:val="24"/>
          <w:szCs w:val="24"/>
          <w:lang w:val="en-US" w:eastAsia="zh-CN" w:bidi="ar-SA"/>
        </w:rPr>
        <w:instrText xml:space="preserve"> = 5 \* GB3 \* MERGEFORMAT </w:instrText>
      </w:r>
      <w:r>
        <w:rPr>
          <w:rFonts w:hint="eastAsia" w:ascii="仿宋" w:hAnsi="仿宋" w:eastAsia="仿宋" w:cs="仿宋"/>
          <w:color w:val="auto"/>
          <w:kern w:val="2"/>
          <w:sz w:val="24"/>
          <w:szCs w:val="24"/>
          <w:lang w:val="en-US" w:eastAsia="zh-CN" w:bidi="ar-SA"/>
        </w:rPr>
        <w:fldChar w:fldCharType="separate"/>
      </w:r>
      <w:r>
        <w:rPr>
          <w:rFonts w:hint="eastAsia" w:ascii="仿宋" w:hAnsi="仿宋" w:eastAsia="仿宋" w:cs="仿宋"/>
          <w:color w:val="auto"/>
          <w:sz w:val="24"/>
          <w:szCs w:val="24"/>
        </w:rPr>
        <w:t>⑤</w:t>
      </w:r>
      <w:r>
        <w:rPr>
          <w:rFonts w:hint="eastAsia" w:ascii="仿宋" w:hAnsi="仿宋" w:eastAsia="仿宋" w:cs="仿宋"/>
          <w:color w:val="auto"/>
          <w:kern w:val="2"/>
          <w:sz w:val="24"/>
          <w:szCs w:val="24"/>
          <w:lang w:val="en-US" w:eastAsia="zh-CN" w:bidi="ar-SA"/>
        </w:rPr>
        <w:fldChar w:fldCharType="end"/>
      </w:r>
      <w:r>
        <w:rPr>
          <w:rFonts w:hint="eastAsia" w:ascii="仿宋" w:hAnsi="仿宋" w:eastAsia="仿宋" w:cs="仿宋"/>
          <w:color w:val="auto"/>
          <w:sz w:val="24"/>
          <w:szCs w:val="24"/>
          <w:highlight w:val="none"/>
        </w:rPr>
        <w:t>有效的《道路运输许可证》</w:t>
      </w:r>
      <w:r>
        <w:rPr>
          <w:rFonts w:hint="eastAsia" w:ascii="仿宋" w:hAnsi="仿宋" w:eastAsia="仿宋" w:cs="仿宋"/>
          <w:color w:val="auto"/>
          <w:sz w:val="24"/>
          <w:szCs w:val="24"/>
          <w:highlight w:val="none"/>
          <w:lang w:val="en-US" w:eastAsia="zh-CN"/>
        </w:rPr>
        <w:t>；</w:t>
      </w:r>
    </w:p>
    <w:p w14:paraId="57324724">
      <w:pPr>
        <w:keepNext w:val="0"/>
        <w:keepLines w:val="0"/>
        <w:pageBreakBefore w:val="0"/>
        <w:widowControl w:val="0"/>
        <w:numPr>
          <w:ilvl w:val="0"/>
          <w:numId w:val="0"/>
        </w:numPr>
        <w:tabs>
          <w:tab w:val="left" w:pos="0"/>
        </w:tabs>
        <w:kinsoku/>
        <w:wordWrap/>
        <w:overflowPunct/>
        <w:topLinePunct w:val="0"/>
        <w:autoSpaceDE/>
        <w:autoSpaceDN/>
        <w:bidi w:val="0"/>
        <w:adjustRightInd/>
        <w:snapToGrid w:val="0"/>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6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⑥</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投标人认为需要提供的其他相关资料（如有）</w:t>
      </w:r>
      <w:r>
        <w:rPr>
          <w:rFonts w:hint="eastAsia" w:ascii="仿宋" w:hAnsi="仿宋" w:eastAsia="仿宋" w:cs="仿宋"/>
          <w:bCs/>
          <w:color w:val="auto"/>
          <w:sz w:val="24"/>
          <w:szCs w:val="24"/>
          <w:lang w:eastAsia="zh-CN"/>
        </w:rPr>
        <w:t>。</w:t>
      </w:r>
    </w:p>
    <w:p w14:paraId="1A9C8B04">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b/>
          <w:bCs/>
          <w:color w:val="auto"/>
          <w:sz w:val="24"/>
          <w:szCs w:val="24"/>
          <w:lang w:eastAsia="zh-CN"/>
        </w:rPr>
        <w:t>技术商务文件</w:t>
      </w:r>
      <w:r>
        <w:rPr>
          <w:rFonts w:hint="eastAsia" w:ascii="仿宋" w:hAnsi="仿宋" w:eastAsia="仿宋" w:cs="仿宋"/>
          <w:color w:val="auto"/>
          <w:sz w:val="24"/>
          <w:szCs w:val="24"/>
        </w:rPr>
        <w:t>】包括但不限于以下内容：</w:t>
      </w:r>
    </w:p>
    <w:p w14:paraId="49FA7575">
      <w:pPr>
        <w:tabs>
          <w:tab w:val="left" w:pos="0"/>
        </w:tabs>
        <w:snapToGrid w:val="0"/>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①评分索引表；</w:t>
      </w:r>
    </w:p>
    <w:p w14:paraId="7D22D201">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t>▲</w:t>
      </w:r>
      <w:r>
        <w:rPr>
          <w:rFonts w:hint="eastAsia" w:ascii="仿宋" w:hAnsi="仿宋" w:eastAsia="仿宋" w:cs="仿宋"/>
          <w:bCs/>
          <w:color w:val="auto"/>
          <w:sz w:val="24"/>
          <w:szCs w:val="24"/>
        </w:rPr>
        <w:t>②投标函；</w:t>
      </w:r>
    </w:p>
    <w:p w14:paraId="30502A63">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③业绩一览表；</w:t>
      </w:r>
    </w:p>
    <w:p w14:paraId="06AB1D33">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GB3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④</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投标人按照评分标准要求提供的相应资料（格式自</w:t>
      </w:r>
      <w:r>
        <w:rPr>
          <w:rFonts w:hint="eastAsia" w:ascii="仿宋" w:hAnsi="仿宋" w:eastAsia="仿宋" w:cs="仿宋"/>
          <w:color w:val="auto"/>
          <w:sz w:val="24"/>
          <w:szCs w:val="24"/>
        </w:rPr>
        <w:t>拟）</w:t>
      </w:r>
      <w:r>
        <w:rPr>
          <w:rFonts w:hint="eastAsia" w:ascii="仿宋" w:hAnsi="仿宋" w:eastAsia="仿宋" w:cs="仿宋"/>
          <w:bCs/>
          <w:color w:val="auto"/>
          <w:sz w:val="24"/>
          <w:szCs w:val="24"/>
        </w:rPr>
        <w:t>；</w:t>
      </w:r>
    </w:p>
    <w:p w14:paraId="23557282">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kern w:val="2"/>
          <w:sz w:val="24"/>
          <w:szCs w:val="24"/>
          <w:lang w:val="en-US" w:eastAsia="zh-CN" w:bidi="ar-SA"/>
        </w:rPr>
        <w:fldChar w:fldCharType="begin"/>
      </w:r>
      <w:r>
        <w:rPr>
          <w:rFonts w:hint="eastAsia" w:ascii="仿宋" w:hAnsi="仿宋" w:eastAsia="仿宋" w:cs="仿宋"/>
          <w:color w:val="auto"/>
          <w:kern w:val="2"/>
          <w:sz w:val="24"/>
          <w:szCs w:val="24"/>
          <w:lang w:val="en-US" w:eastAsia="zh-CN" w:bidi="ar-SA"/>
        </w:rPr>
        <w:instrText xml:space="preserve"> = 5 \* GB3 \* MERGEFORMAT </w:instrText>
      </w:r>
      <w:r>
        <w:rPr>
          <w:rFonts w:hint="eastAsia" w:ascii="仿宋" w:hAnsi="仿宋" w:eastAsia="仿宋" w:cs="仿宋"/>
          <w:color w:val="auto"/>
          <w:kern w:val="2"/>
          <w:sz w:val="24"/>
          <w:szCs w:val="24"/>
          <w:lang w:val="en-US" w:eastAsia="zh-CN" w:bidi="ar-SA"/>
        </w:rPr>
        <w:fldChar w:fldCharType="separate"/>
      </w:r>
      <w:r>
        <w:rPr>
          <w:rFonts w:hint="eastAsia" w:ascii="仿宋" w:hAnsi="仿宋" w:eastAsia="仿宋" w:cs="仿宋"/>
          <w:color w:val="auto"/>
          <w:sz w:val="24"/>
          <w:szCs w:val="24"/>
        </w:rPr>
        <w:t>⑤</w:t>
      </w:r>
      <w:r>
        <w:rPr>
          <w:rFonts w:hint="eastAsia" w:ascii="仿宋" w:hAnsi="仿宋" w:eastAsia="仿宋" w:cs="仿宋"/>
          <w:color w:val="auto"/>
          <w:kern w:val="2"/>
          <w:sz w:val="24"/>
          <w:szCs w:val="24"/>
          <w:lang w:val="en-US" w:eastAsia="zh-CN" w:bidi="ar-SA"/>
        </w:rPr>
        <w:fldChar w:fldCharType="end"/>
      </w:r>
      <w:r>
        <w:rPr>
          <w:rFonts w:hint="eastAsia" w:ascii="仿宋" w:hAnsi="仿宋" w:eastAsia="仿宋" w:cs="仿宋"/>
          <w:bCs/>
          <w:color w:val="auto"/>
          <w:sz w:val="24"/>
          <w:szCs w:val="24"/>
        </w:rPr>
        <w:t>投标人认为需要的其他内容（格式自</w:t>
      </w:r>
      <w:r>
        <w:rPr>
          <w:rFonts w:hint="eastAsia" w:ascii="仿宋" w:hAnsi="仿宋" w:eastAsia="仿宋" w:cs="仿宋"/>
          <w:color w:val="auto"/>
          <w:sz w:val="24"/>
          <w:szCs w:val="24"/>
        </w:rPr>
        <w:t>拟）。</w:t>
      </w:r>
    </w:p>
    <w:p w14:paraId="1DBD9F1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b/>
          <w:bCs/>
          <w:color w:val="auto"/>
          <w:sz w:val="24"/>
          <w:szCs w:val="24"/>
        </w:rPr>
        <w:t>报价文件</w:t>
      </w:r>
      <w:r>
        <w:rPr>
          <w:rFonts w:hint="eastAsia" w:ascii="仿宋" w:hAnsi="仿宋" w:eastAsia="仿宋" w:cs="仿宋"/>
          <w:color w:val="auto"/>
          <w:sz w:val="24"/>
          <w:szCs w:val="24"/>
        </w:rPr>
        <w:t>】包括但不限于以下内容：</w:t>
      </w:r>
    </w:p>
    <w:p w14:paraId="04AB474F">
      <w:pPr>
        <w:numPr>
          <w:ilvl w:val="255"/>
          <w:numId w:val="0"/>
        </w:num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▲①开标一览表；</w:t>
      </w:r>
    </w:p>
    <w:p w14:paraId="028E8C8F">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②投标人认为需要提供的其他相关资料（如有）。</w:t>
      </w:r>
    </w:p>
    <w:p w14:paraId="56068177">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4.投标文件的编制格式及说明</w:t>
      </w:r>
    </w:p>
    <w:p w14:paraId="50A7390F">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请投标人在编制投标文件时仔细阅读本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及其他辅助资料，根据本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中评标原则及评分标准中所列内容结合自身情况据实提供相关资料。所提供的各种证书、证件、证明、执照须加盖电子签章并制作在投标文件内。</w:t>
      </w:r>
    </w:p>
    <w:p w14:paraId="2E30E24A">
      <w:pPr>
        <w:pStyle w:val="32"/>
        <w:spacing w:line="360" w:lineRule="auto"/>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投标文件应包括规定的内容，投标人提交的投标文件应当按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要求提供的格式（格式可以按同样格式扩展）编制；</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未提供标准格式的，由投标人自行编写</w:t>
      </w:r>
      <w:r>
        <w:rPr>
          <w:rFonts w:hint="eastAsia" w:ascii="仿宋" w:hAnsi="仿宋" w:eastAsia="仿宋" w:cs="仿宋"/>
          <w:color w:val="auto"/>
          <w:sz w:val="24"/>
          <w:szCs w:val="24"/>
          <w:lang w:eastAsia="zh-CN"/>
        </w:rPr>
        <w:t>。</w:t>
      </w:r>
    </w:p>
    <w:p w14:paraId="59642A9C">
      <w:pPr>
        <w:pStyle w:val="32"/>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投标人应严格按照</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规定的顺序编制目录，编排混乱或未按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所提供的统一格式编写与漏项而导致投标文件被误读或查找不到有效文件由投标人承担风险。</w:t>
      </w:r>
    </w:p>
    <w:p w14:paraId="716AAFCB">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以上内容未提供格式的，请投标人格式自拟。</w:t>
      </w:r>
    </w:p>
    <w:p w14:paraId="0C1957D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5.投标报价</w:t>
      </w:r>
    </w:p>
    <w:p w14:paraId="65980F9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投标人报价超过最高限价的作无效标处理。</w:t>
      </w:r>
    </w:p>
    <w:p w14:paraId="65F3B9A3">
      <w:pPr>
        <w:pStyle w:val="32"/>
        <w:spacing w:line="360" w:lineRule="auto"/>
        <w:ind w:firstLine="480" w:firstLineChars="200"/>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b/>
          <w:bCs/>
          <w:color w:val="auto"/>
          <w:sz w:val="24"/>
          <w:szCs w:val="24"/>
          <w:highlight w:val="none"/>
          <w:lang w:val="en-US" w:eastAsia="zh-CN"/>
        </w:rPr>
        <w:t>投标报价应包括为完成该项目全部内容所需的一切人员工资、奖金、各种加班费、节假日补贴、夜餐费、各种社会保险、劳保福利、安全保险、食宿与交通、设备及工具、器材、消耗材料、安全、仓储、搬运、管理费用、税费、利润，完成合同所需的一切本身和不可或缺的所有工作开支、政策性文件规定及合同包含的所有风险、责任等各项全部费用并承担一切风险责任。在合同服务期间内不得违反国家相关政策规定。</w:t>
      </w:r>
    </w:p>
    <w:p w14:paraId="750FCB9E">
      <w:pPr>
        <w:pStyle w:val="32"/>
        <w:spacing w:line="360" w:lineRule="auto"/>
        <w:ind w:firstLine="480" w:firstLineChars="200"/>
        <w:outlineLvl w:val="9"/>
        <w:rPr>
          <w:rFonts w:ascii="仿宋" w:hAnsi="仿宋" w:eastAsia="仿宋" w:cs="仿宋"/>
          <w:bCs/>
          <w:color w:val="auto"/>
          <w:sz w:val="24"/>
          <w:szCs w:val="24"/>
        </w:rPr>
      </w:pPr>
      <w:r>
        <w:rPr>
          <w:rFonts w:hint="eastAsia" w:ascii="仿宋" w:hAnsi="仿宋" w:eastAsia="仿宋" w:cs="仿宋"/>
          <w:bCs/>
          <w:color w:val="auto"/>
          <w:sz w:val="24"/>
          <w:szCs w:val="24"/>
        </w:rPr>
        <w:t>中标人应列入而未列入其中的费用，均视为已包含在内，风险由中标人承担。中标人不得以遗漏或疏忽为由向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主张增加费用或开支。</w:t>
      </w:r>
    </w:p>
    <w:p w14:paraId="02D242D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投标人必须按第六章投标文件格式附件中的开标一览表（报价明细表）内容填写单价、合价和总价，并由</w:t>
      </w:r>
      <w:r>
        <w:rPr>
          <w:rFonts w:hint="eastAsia" w:ascii="仿宋" w:hAnsi="仿宋" w:eastAsia="仿宋" w:cs="仿宋"/>
          <w:bCs/>
          <w:color w:val="auto"/>
          <w:sz w:val="24"/>
          <w:szCs w:val="24"/>
          <w:lang w:eastAsia="zh-CN"/>
        </w:rPr>
        <w:t>法定代表人（负责人）</w:t>
      </w:r>
      <w:r>
        <w:rPr>
          <w:rFonts w:hint="eastAsia" w:ascii="仿宋" w:hAnsi="仿宋" w:eastAsia="仿宋" w:cs="仿宋"/>
          <w:bCs/>
          <w:color w:val="auto"/>
          <w:sz w:val="24"/>
          <w:szCs w:val="24"/>
        </w:rPr>
        <w:t>或授权代表签字或盖章。</w:t>
      </w:r>
    </w:p>
    <w:p w14:paraId="36F4E62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开标一览表及报价明细表上的价格须以人民币报价，</w:t>
      </w:r>
      <w:r>
        <w:rPr>
          <w:rFonts w:hint="eastAsia" w:ascii="仿宋" w:hAnsi="仿宋" w:eastAsia="仿宋" w:cs="仿宋"/>
          <w:bCs/>
          <w:color w:val="auto"/>
          <w:sz w:val="24"/>
          <w:szCs w:val="24"/>
          <w:lang w:eastAsia="zh-CN"/>
        </w:rPr>
        <w:t>以其他</w:t>
      </w:r>
      <w:r>
        <w:rPr>
          <w:rFonts w:hint="eastAsia" w:ascii="仿宋" w:hAnsi="仿宋" w:eastAsia="仿宋" w:cs="仿宋"/>
          <w:bCs/>
          <w:color w:val="auto"/>
          <w:sz w:val="24"/>
          <w:szCs w:val="24"/>
        </w:rPr>
        <w:t>货币报价的投标将不予接受。</w:t>
      </w:r>
    </w:p>
    <w:p w14:paraId="2A27EF0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不接受任何选择报价，只允许一个报价。</w:t>
      </w:r>
    </w:p>
    <w:p w14:paraId="1648EB5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6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⑹</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投标人应根据要求报价，报价单中不得漏填项目。</w:t>
      </w:r>
    </w:p>
    <w:p w14:paraId="0F8C9DDF">
      <w:pPr>
        <w:pStyle w:val="32"/>
        <w:spacing w:line="360" w:lineRule="auto"/>
        <w:ind w:firstLine="480" w:firstLineChars="200"/>
        <w:jc w:val="left"/>
        <w:outlineLvl w:val="9"/>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6.投标文件的</w:t>
      </w:r>
      <w:r>
        <w:rPr>
          <w:rFonts w:hint="eastAsia" w:ascii="仿宋" w:hAnsi="仿宋" w:eastAsia="仿宋" w:cs="仿宋"/>
          <w:bCs/>
          <w:color w:val="auto"/>
          <w:sz w:val="24"/>
          <w:szCs w:val="24"/>
          <w:lang w:val="en-US" w:eastAsia="zh-CN"/>
        </w:rPr>
        <w:t>要求</w:t>
      </w:r>
    </w:p>
    <w:p w14:paraId="3C1153CC">
      <w:pPr>
        <w:pStyle w:val="32"/>
        <w:spacing w:line="360" w:lineRule="auto"/>
        <w:ind w:firstLine="480" w:firstLineChars="200"/>
        <w:jc w:val="left"/>
        <w:outlineLvl w:val="9"/>
        <w:rPr>
          <w:rFonts w:hint="eastAsia" w:ascii="仿宋" w:hAnsi="仿宋" w:eastAsia="仿宋" w:cs="仿宋"/>
          <w:bCs/>
          <w:color w:val="auto"/>
          <w:sz w:val="24"/>
          <w:szCs w:val="24"/>
          <w:lang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投标人应按本</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规定份数上传投标文件</w:t>
      </w:r>
      <w:r>
        <w:rPr>
          <w:rFonts w:hint="eastAsia" w:ascii="仿宋" w:hAnsi="仿宋" w:eastAsia="仿宋" w:cs="仿宋"/>
          <w:bCs/>
          <w:color w:val="auto"/>
          <w:sz w:val="24"/>
          <w:szCs w:val="24"/>
          <w:lang w:eastAsia="zh-CN"/>
        </w:rPr>
        <w:t>。</w:t>
      </w:r>
    </w:p>
    <w:p w14:paraId="1BC4AF36">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投标人应根据</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要求，在投标文件适当的位置填写投标人全称并加盖印章，同时签署投标人代表的全名。投标文件必须由投标人代表签字或盖章。</w:t>
      </w:r>
    </w:p>
    <w:p w14:paraId="0BF7C37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投标文件不得涂改和增删，如有修改错漏处，必须由同一投标人加盖公章。</w:t>
      </w:r>
    </w:p>
    <w:p w14:paraId="1ACA7E2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投标文件因字迹潦草或表达不清所引起的后果由投标人负责。</w:t>
      </w:r>
    </w:p>
    <w:p w14:paraId="26EB749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投标文件的签章：投标文件应由投标人</w:t>
      </w:r>
      <w:r>
        <w:rPr>
          <w:rFonts w:hint="eastAsia" w:ascii="仿宋" w:hAnsi="仿宋" w:eastAsia="仿宋" w:cs="仿宋"/>
          <w:bCs/>
          <w:color w:val="auto"/>
          <w:sz w:val="24"/>
          <w:szCs w:val="24"/>
          <w:lang w:eastAsia="zh-CN"/>
        </w:rPr>
        <w:t>法定代表人（负责人）</w:t>
      </w:r>
      <w:r>
        <w:rPr>
          <w:rFonts w:hint="eastAsia" w:ascii="仿宋" w:hAnsi="仿宋" w:eastAsia="仿宋" w:cs="仿宋"/>
          <w:bCs/>
          <w:color w:val="auto"/>
          <w:sz w:val="24"/>
          <w:szCs w:val="24"/>
        </w:rPr>
        <w:t>或其授权代表签字（或盖章），并加盖投标人电子签章。投标人均应使用CA数字证书加盖投标人的单位电子印章、</w:t>
      </w:r>
      <w:r>
        <w:rPr>
          <w:rFonts w:hint="eastAsia" w:ascii="仿宋" w:hAnsi="仿宋" w:eastAsia="仿宋" w:cs="仿宋"/>
          <w:bCs/>
          <w:color w:val="auto"/>
          <w:sz w:val="24"/>
          <w:szCs w:val="24"/>
          <w:lang w:eastAsia="zh-CN"/>
        </w:rPr>
        <w:t>法定代表人（负责人）</w:t>
      </w:r>
      <w:r>
        <w:rPr>
          <w:rFonts w:hint="eastAsia" w:ascii="仿宋" w:hAnsi="仿宋" w:eastAsia="仿宋" w:cs="仿宋"/>
          <w:bCs/>
          <w:color w:val="auto"/>
          <w:sz w:val="24"/>
          <w:szCs w:val="24"/>
        </w:rPr>
        <w:t>个人电子印章，上传至衢州市阳光交易服务平台，作为投标文件正本，其余详见投标人须知前附表。</w:t>
      </w:r>
    </w:p>
    <w:p w14:paraId="135176A7">
      <w:pPr>
        <w:pStyle w:val="32"/>
        <w:tabs>
          <w:tab w:val="left" w:pos="0"/>
        </w:tabs>
        <w:spacing w:line="360" w:lineRule="auto"/>
        <w:ind w:firstLine="482" w:firstLineChars="200"/>
        <w:jc w:val="left"/>
        <w:outlineLvl w:val="9"/>
        <w:rPr>
          <w:rFonts w:ascii="仿宋" w:hAnsi="仿宋" w:eastAsia="仿宋" w:cs="仿宋"/>
          <w:b/>
          <w:color w:val="auto"/>
          <w:sz w:val="24"/>
          <w:szCs w:val="24"/>
        </w:rPr>
      </w:pPr>
      <w:bookmarkStart w:id="49" w:name="_Toc24664"/>
      <w:bookmarkStart w:id="50" w:name="_Toc8305"/>
      <w:bookmarkStart w:id="51" w:name="_Toc30648"/>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四</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投标有效期</w:t>
      </w:r>
      <w:bookmarkEnd w:id="49"/>
      <w:bookmarkEnd w:id="50"/>
      <w:bookmarkEnd w:id="51"/>
    </w:p>
    <w:p w14:paraId="4DB8788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1.投标有效期见本</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中前附表所规定的期限，在此期限内，凡符合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要求的投标文件均保持有效。</w:t>
      </w:r>
    </w:p>
    <w:p w14:paraId="04884EC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2.在特殊情况下，</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在原定投标有效期内，可以根据需要以书面形式向投标人提出延长投标有效期的要求，对此要求投标人须以书面形式予以答复。投标人可以拒绝投标</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这种要求，但同意延长投标有效期的投标人既不能要求也不允许修改其投标文件。</w:t>
      </w:r>
    </w:p>
    <w:p w14:paraId="407EE269">
      <w:pPr>
        <w:pStyle w:val="32"/>
        <w:spacing w:line="360" w:lineRule="auto"/>
        <w:ind w:firstLine="482" w:firstLineChars="200"/>
        <w:jc w:val="left"/>
        <w:outlineLvl w:val="9"/>
        <w:rPr>
          <w:rFonts w:ascii="仿宋" w:hAnsi="仿宋" w:eastAsia="仿宋" w:cs="仿宋"/>
          <w:b/>
          <w:color w:val="auto"/>
          <w:sz w:val="24"/>
          <w:szCs w:val="24"/>
        </w:rPr>
      </w:pPr>
      <w:bookmarkStart w:id="52" w:name="_Toc26656"/>
      <w:bookmarkStart w:id="53" w:name="_Toc21844"/>
      <w:bookmarkStart w:id="54" w:name="_Toc30678"/>
      <w:bookmarkStart w:id="55" w:name="_Toc6494380"/>
      <w:bookmarkStart w:id="56" w:name="_Toc91899892"/>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五</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投标响应</w:t>
      </w:r>
      <w:bookmarkEnd w:id="52"/>
      <w:bookmarkEnd w:id="53"/>
      <w:bookmarkEnd w:id="54"/>
    </w:p>
    <w:bookmarkEnd w:id="55"/>
    <w:p w14:paraId="23359C5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1.投标文件的上传和递交</w:t>
      </w:r>
    </w:p>
    <w:p w14:paraId="78D91A1D">
      <w:pPr>
        <w:pStyle w:val="32"/>
        <w:wordWrap w:val="0"/>
        <w:spacing w:line="360" w:lineRule="auto"/>
        <w:ind w:firstLine="480" w:firstLineChars="200"/>
        <w:jc w:val="left"/>
        <w:outlineLvl w:val="9"/>
        <w:rPr>
          <w:rFonts w:ascii="仿宋" w:hAnsi="仿宋" w:eastAsia="仿宋" w:cs="仿宋"/>
          <w:color w:val="auto"/>
          <w:sz w:val="24"/>
          <w:szCs w:val="24"/>
          <w:lang w:bidi="ar"/>
        </w:rPr>
      </w:pPr>
      <w:r>
        <w:rPr>
          <w:rFonts w:hint="eastAsia" w:ascii="仿宋" w:hAnsi="仿宋" w:eastAsia="仿宋" w:cs="仿宋"/>
          <w:bCs/>
          <w:color w:val="auto"/>
          <w:sz w:val="24"/>
          <w:szCs w:val="24"/>
        </w:rPr>
        <w:t>⑴投标人应在投标文件截止时间前</w:t>
      </w:r>
      <w:r>
        <w:rPr>
          <w:rFonts w:hint="eastAsia" w:ascii="仿宋" w:hAnsi="仿宋" w:eastAsia="仿宋" w:cs="仿宋"/>
          <w:color w:val="auto"/>
          <w:sz w:val="24"/>
          <w:szCs w:val="24"/>
          <w:lang w:bidi="ar"/>
        </w:rPr>
        <w:t>（以上传完成时间为准）将由制作工具制作生成的</w:t>
      </w:r>
      <w:r>
        <w:rPr>
          <w:rFonts w:hint="eastAsia" w:ascii="仿宋" w:hAnsi="仿宋" w:eastAsia="仿宋" w:cs="仿宋"/>
          <w:bCs/>
          <w:color w:val="auto"/>
          <w:sz w:val="24"/>
          <w:szCs w:val="24"/>
        </w:rPr>
        <w:t>电子加密投标文件</w:t>
      </w:r>
      <w:r>
        <w:rPr>
          <w:rFonts w:hint="eastAsia" w:ascii="仿宋" w:hAnsi="仿宋" w:eastAsia="仿宋" w:cs="仿宋"/>
          <w:color w:val="auto"/>
          <w:sz w:val="24"/>
          <w:szCs w:val="24"/>
          <w:lang w:bidi="ar"/>
        </w:rPr>
        <w:t>（.QZCGTF）</w:t>
      </w:r>
      <w:r>
        <w:rPr>
          <w:rFonts w:hint="eastAsia" w:ascii="仿宋" w:hAnsi="仿宋" w:eastAsia="仿宋" w:cs="仿宋"/>
          <w:bCs/>
          <w:color w:val="auto"/>
          <w:sz w:val="24"/>
          <w:szCs w:val="24"/>
        </w:rPr>
        <w:t>成功上传递交至</w:t>
      </w:r>
      <w:r>
        <w:rPr>
          <w:rFonts w:hint="eastAsia" w:ascii="仿宋" w:hAnsi="仿宋" w:eastAsia="仿宋" w:cs="仿宋"/>
          <w:color w:val="auto"/>
          <w:sz w:val="24"/>
          <w:szCs w:val="24"/>
          <w:lang w:bidi="ar"/>
        </w:rPr>
        <w:t>衢州市阳光交易服务平台（https://qzygjy.com/TPBidder/memberLogin?type=13），</w:t>
      </w:r>
      <w:r>
        <w:rPr>
          <w:rFonts w:hint="eastAsia" w:ascii="仿宋" w:hAnsi="仿宋" w:eastAsia="仿宋" w:cs="仿宋"/>
          <w:bCs/>
          <w:color w:val="auto"/>
          <w:sz w:val="24"/>
          <w:szCs w:val="24"/>
        </w:rPr>
        <w:t>否则投标无效。</w:t>
      </w:r>
    </w:p>
    <w:p w14:paraId="21E285C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2.投标文件的修改与撤回</w:t>
      </w:r>
    </w:p>
    <w:p w14:paraId="22E5A0C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投标人应当在开标响应截止时间前完成投标文件的上传、递交，并可以补充、修改或者撤回投标文件。补充或者修改投标文件的，应当先行撤回原文件，补充、修改后重新上传、递交。开标响应截止时间前未完成上传、递交的，视为撤回投标文件。开标响应截止时间后递交的投标文件，“衢州市阳光交易服务平台”将予以拒收。</w:t>
      </w:r>
    </w:p>
    <w:p w14:paraId="2E83CF9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⑵开标响应截止时间后，投标人不得撤回、修改《投标文件》。</w:t>
      </w:r>
    </w:p>
    <w:bookmarkEnd w:id="56"/>
    <w:p w14:paraId="732D8A24">
      <w:pPr>
        <w:pStyle w:val="32"/>
        <w:spacing w:line="360" w:lineRule="auto"/>
        <w:ind w:firstLine="482" w:firstLineChars="200"/>
        <w:jc w:val="left"/>
        <w:outlineLvl w:val="9"/>
        <w:rPr>
          <w:rFonts w:ascii="仿宋" w:hAnsi="仿宋" w:eastAsia="仿宋" w:cs="仿宋"/>
          <w:b/>
          <w:color w:val="auto"/>
          <w:sz w:val="24"/>
          <w:szCs w:val="24"/>
        </w:rPr>
      </w:pPr>
      <w:bookmarkStart w:id="57" w:name="_Toc233618976"/>
      <w:bookmarkStart w:id="58" w:name="_Toc91899897"/>
      <w:bookmarkStart w:id="59" w:name="_Toc6494381"/>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开标程序</w:t>
      </w:r>
    </w:p>
    <w:bookmarkEnd w:id="57"/>
    <w:bookmarkEnd w:id="58"/>
    <w:bookmarkEnd w:id="59"/>
    <w:p w14:paraId="0E10414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1.开标形式</w:t>
      </w:r>
    </w:p>
    <w:p w14:paraId="29A9875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将按照</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规定的时间通过“衢州市阳光交易服务平台”组织开标、开启投标文件，所有投标人均应当准时在线参加。</w:t>
      </w:r>
    </w:p>
    <w:p w14:paraId="75489C8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2.开标准备</w:t>
      </w:r>
    </w:p>
    <w:p w14:paraId="45EC88D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⑴开标的准备工作由</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负责落实</w:t>
      </w:r>
      <w:r>
        <w:rPr>
          <w:rFonts w:hint="eastAsia" w:ascii="仿宋" w:hAnsi="仿宋" w:eastAsia="仿宋" w:cs="仿宋"/>
          <w:bCs/>
          <w:color w:val="auto"/>
          <w:sz w:val="24"/>
          <w:szCs w:val="24"/>
          <w:lang w:eastAsia="zh-CN"/>
        </w:rPr>
        <w:t>。</w:t>
      </w:r>
    </w:p>
    <w:p w14:paraId="07CE2DD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将按照</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时间通过“衢州市阳光交易服务平台”组织开标、开启投标文件，所有投标人均应当准时在线参加。投标人如不参加开标的，视同认可开标结果，事后不得对采购相关人员、招标过程和开标结果提出异议，同时投标人因未在线参加开标而导致投标文件无法按时解密等一切后果由投标人自己承担。</w:t>
      </w:r>
    </w:p>
    <w:p w14:paraId="0BD1AC1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3.开标原则</w:t>
      </w:r>
    </w:p>
    <w:p w14:paraId="6D4E8FA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按本</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投标人须知前附表规定的时间和地点开标，投标人未准时参加电子开标的，不得对采购相关人员、开标过程及结果提出异议。</w:t>
      </w:r>
    </w:p>
    <w:p w14:paraId="0A8CB07D">
      <w:pPr>
        <w:pStyle w:val="32"/>
        <w:spacing w:line="360" w:lineRule="auto"/>
        <w:ind w:firstLine="480" w:firstLineChars="200"/>
        <w:jc w:val="left"/>
        <w:outlineLvl w:val="9"/>
        <w:rPr>
          <w:color w:val="auto"/>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开标时出现的无效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，不予评标。</w:t>
      </w:r>
    </w:p>
    <w:p w14:paraId="6D8AE48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3.开标流程</w:t>
      </w:r>
    </w:p>
    <w:p w14:paraId="575E56F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⑴至投标截止时间</w:t>
      </w:r>
    </w:p>
    <w:p w14:paraId="32C6E13A">
      <w:pPr>
        <w:pStyle w:val="32"/>
        <w:spacing w:line="360" w:lineRule="auto"/>
        <w:ind w:firstLine="480" w:firstLineChars="200"/>
        <w:jc w:val="left"/>
        <w:outlineLvl w:val="9"/>
        <w:rPr>
          <w:color w:val="auto"/>
        </w:rPr>
      </w:pP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（或公证处工作人员）宣布开始开标，宣布开标项目名称等情况，公布在投标截止时间前受理的投标文件的投标人名称</w:t>
      </w:r>
      <w:r>
        <w:rPr>
          <w:rFonts w:hint="eastAsia" w:ascii="仿宋" w:hAnsi="仿宋" w:eastAsia="仿宋" w:cs="仿宋"/>
          <w:bCs/>
          <w:color w:val="auto"/>
          <w:sz w:val="24"/>
          <w:szCs w:val="24"/>
          <w:lang w:eastAsia="zh-CN"/>
        </w:rPr>
        <w:t>。</w:t>
      </w:r>
    </w:p>
    <w:p w14:paraId="5637423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⑵投标人解密</w:t>
      </w:r>
    </w:p>
    <w:p w14:paraId="04C89886">
      <w:pPr>
        <w:pStyle w:val="32"/>
        <w:wordWrap w:val="0"/>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投标人解密时间：</w:t>
      </w:r>
      <w:r>
        <w:rPr>
          <w:rFonts w:hint="eastAsia" w:ascii="仿宋" w:hAnsi="仿宋" w:eastAsia="仿宋" w:cs="仿宋"/>
          <w:color w:val="auto"/>
          <w:sz w:val="24"/>
          <w:szCs w:val="24"/>
        </w:rPr>
        <w:t>投标文件开启时间到后，</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（或公证处工作人员）</w:t>
      </w:r>
      <w:r>
        <w:rPr>
          <w:rFonts w:hint="eastAsia" w:ascii="仿宋" w:hAnsi="仿宋" w:eastAsia="仿宋" w:cs="仿宋"/>
          <w:color w:val="auto"/>
          <w:sz w:val="24"/>
          <w:szCs w:val="24"/>
        </w:rPr>
        <w:t>宣布开始解密，30分钟内投标人应完成投标文件的解密。投标人解密方式：投标人自行登录衢州市阳光交易服务平台不见面开标大厅（https://qzygjy.com/BidOpening/bidopeninghallaction/hall/login）——投标人身份——我的项目——选择标段——待代理开启解密后进行解密操作，投标人在规定的时间内都已完成解密，则系统自动结束解密；投标人因自身原因未在规定时间内完成解密，则默认自动放弃。</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导入投标文件成功后进入评标流程。</w:t>
      </w:r>
    </w:p>
    <w:p w14:paraId="28346A4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⑶投标人使用生成电子加密投标文件的CA数字证书解密投标文件</w:t>
      </w:r>
      <w:r>
        <w:rPr>
          <w:rFonts w:hint="eastAsia" w:ascii="仿宋" w:hAnsi="仿宋" w:eastAsia="仿宋" w:cs="仿宋"/>
          <w:bCs/>
          <w:color w:val="auto"/>
          <w:sz w:val="24"/>
          <w:szCs w:val="24"/>
          <w:lang w:eastAsia="zh-CN"/>
        </w:rPr>
        <w:t>。</w:t>
      </w:r>
    </w:p>
    <w:p w14:paraId="01A1E50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⑷</w:t>
      </w:r>
      <w:r>
        <w:rPr>
          <w:rFonts w:hint="eastAsia" w:ascii="仿宋" w:hAnsi="仿宋" w:eastAsia="仿宋" w:cs="仿宋"/>
          <w:bCs/>
          <w:color w:val="auto"/>
          <w:sz w:val="24"/>
          <w:szCs w:val="24"/>
          <w:lang w:eastAsia="zh-CN"/>
        </w:rPr>
        <w:t>投标文件</w:t>
      </w:r>
      <w:r>
        <w:rPr>
          <w:rFonts w:hint="eastAsia" w:ascii="仿宋" w:hAnsi="仿宋" w:eastAsia="仿宋" w:cs="仿宋"/>
          <w:bCs/>
          <w:color w:val="auto"/>
          <w:sz w:val="24"/>
          <w:szCs w:val="24"/>
        </w:rPr>
        <w:t>解密完成后，开标系统公布投标人名称及其他内容。投标报价将在</w:t>
      </w:r>
      <w:r>
        <w:rPr>
          <w:rFonts w:hint="eastAsia" w:ascii="仿宋" w:hAnsi="仿宋" w:eastAsia="仿宋" w:cs="仿宋"/>
          <w:bCs/>
          <w:color w:val="auto"/>
          <w:sz w:val="24"/>
          <w:szCs w:val="24"/>
          <w:lang w:eastAsia="zh-CN"/>
        </w:rPr>
        <w:t>技术商务文件</w:t>
      </w:r>
      <w:r>
        <w:rPr>
          <w:rFonts w:hint="eastAsia" w:ascii="仿宋" w:hAnsi="仿宋" w:eastAsia="仿宋" w:cs="仿宋"/>
          <w:bCs/>
          <w:color w:val="auto"/>
          <w:sz w:val="24"/>
          <w:szCs w:val="24"/>
        </w:rPr>
        <w:t>评审结束后公布。</w:t>
      </w:r>
    </w:p>
    <w:p w14:paraId="71CED31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⑸进入评标环节，首先对解密成功的投标人进行资格审查，然后对通过资格审查的投标人进行</w:t>
      </w:r>
      <w:r>
        <w:rPr>
          <w:rFonts w:hint="eastAsia" w:ascii="仿宋" w:hAnsi="仿宋" w:eastAsia="仿宋" w:cs="仿宋"/>
          <w:bCs/>
          <w:color w:val="auto"/>
          <w:sz w:val="24"/>
          <w:szCs w:val="24"/>
          <w:lang w:eastAsia="zh-CN"/>
        </w:rPr>
        <w:t>技术商务文件</w:t>
      </w:r>
      <w:r>
        <w:rPr>
          <w:rFonts w:hint="eastAsia" w:ascii="仿宋" w:hAnsi="仿宋" w:eastAsia="仿宋" w:cs="仿宋"/>
          <w:bCs/>
          <w:color w:val="auto"/>
          <w:sz w:val="24"/>
          <w:szCs w:val="24"/>
        </w:rPr>
        <w:t>评审，公布</w:t>
      </w:r>
      <w:r>
        <w:rPr>
          <w:rFonts w:hint="eastAsia" w:ascii="仿宋" w:hAnsi="仿宋" w:eastAsia="仿宋" w:cs="仿宋"/>
          <w:bCs/>
          <w:color w:val="auto"/>
          <w:sz w:val="24"/>
          <w:szCs w:val="24"/>
          <w:lang w:eastAsia="zh-CN"/>
        </w:rPr>
        <w:t>技术商务文件</w:t>
      </w:r>
      <w:r>
        <w:rPr>
          <w:rFonts w:hint="eastAsia" w:ascii="仿宋" w:hAnsi="仿宋" w:eastAsia="仿宋" w:cs="仿宋"/>
          <w:bCs/>
          <w:color w:val="auto"/>
          <w:sz w:val="24"/>
          <w:szCs w:val="24"/>
        </w:rPr>
        <w:t>得分情况。</w:t>
      </w:r>
    </w:p>
    <w:p w14:paraId="5CA94FF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⑹投标人确认</w:t>
      </w:r>
    </w:p>
    <w:p w14:paraId="1A4EC25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唱标完成后，投标人可通过衢州市阳光交易服务平台不见面开标大厅系统对唱标结果进行确认，未在开标结束前完成在线确认的投标人，衢州市阳光交易服务平台不见面开标大厅系统将视作自动确认。</w:t>
      </w:r>
    </w:p>
    <w:p w14:paraId="06C5D84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投标人对开标过程有异议的，应通过衢州市阳光交易服务平台不见面开标大厅系统的“开标异议文字提问”按钮进行异议，</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通过衢州市阳光交易服务平台不见面开标大厅系统文字答复，投标人提出异议的时间截止至开标结果公布后5分钟。</w:t>
      </w:r>
    </w:p>
    <w:p w14:paraId="5774FE9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⑺评标结束后，</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（或公证处工作人员）宣布中标候选人。</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（或公证处工作人员）宣布开标会议结束。</w:t>
      </w:r>
    </w:p>
    <w:p w14:paraId="253989D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4.开标特别说明</w:t>
      </w:r>
    </w:p>
    <w:p w14:paraId="405A92C6">
      <w:pPr>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⑴开标解密使用投标人上传的电子投标文件</w:t>
      </w:r>
      <w:r>
        <w:rPr>
          <w:rFonts w:hint="eastAsia" w:ascii="仿宋" w:hAnsi="仿宋" w:eastAsia="仿宋" w:cs="仿宋"/>
          <w:bCs/>
          <w:color w:val="auto"/>
          <w:sz w:val="24"/>
          <w:szCs w:val="24"/>
          <w:lang w:eastAsia="zh-CN"/>
        </w:rPr>
        <w:t>。</w:t>
      </w:r>
    </w:p>
    <w:p w14:paraId="1A04855E">
      <w:pPr>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 xml:space="preserve">⑵因投标人原因（包括投标人自主选择的CA证书、电脑环境、网络等），造成其电子投标文件未解密的，或投标文件解密了，但投标文件无法识别、读取的，视为撤销其投标文件。 </w:t>
      </w:r>
    </w:p>
    <w:p w14:paraId="09817EC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⑶投标人必须使用生成电子投标文件的CA数字证书解密电子投标文件</w:t>
      </w:r>
      <w:r>
        <w:rPr>
          <w:rFonts w:hint="eastAsia" w:ascii="仿宋" w:hAnsi="仿宋" w:eastAsia="仿宋" w:cs="仿宋"/>
          <w:bCs/>
          <w:color w:val="auto"/>
          <w:sz w:val="24"/>
          <w:szCs w:val="24"/>
          <w:lang w:eastAsia="zh-CN"/>
        </w:rPr>
        <w:t>。</w:t>
      </w:r>
    </w:p>
    <w:p w14:paraId="6AB00C0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特别说明：如遇“衢州市阳光交易服务平台”电子化开标或评标程序调整的，按调整后程序执行。</w:t>
      </w:r>
    </w:p>
    <w:p w14:paraId="0A74BCD8">
      <w:pPr>
        <w:pStyle w:val="32"/>
        <w:spacing w:line="360" w:lineRule="auto"/>
        <w:ind w:firstLine="482" w:firstLineChars="200"/>
        <w:jc w:val="left"/>
        <w:outlineLvl w:val="9"/>
        <w:rPr>
          <w:rFonts w:ascii="仿宋" w:hAnsi="仿宋" w:eastAsia="仿宋" w:cs="仿宋"/>
          <w:b/>
          <w:color w:val="auto"/>
          <w:sz w:val="24"/>
          <w:szCs w:val="24"/>
        </w:rPr>
      </w:pPr>
      <w:bookmarkStart w:id="60" w:name="_Toc5796"/>
      <w:bookmarkStart w:id="61" w:name="_Toc33194393"/>
      <w:bookmarkStart w:id="62" w:name="_Toc771"/>
      <w:bookmarkStart w:id="63" w:name="_Toc24550037"/>
      <w:bookmarkStart w:id="64" w:name="_Toc24211"/>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七</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投标人资格审查</w:t>
      </w:r>
      <w:bookmarkEnd w:id="60"/>
      <w:bookmarkEnd w:id="61"/>
      <w:bookmarkEnd w:id="62"/>
      <w:bookmarkEnd w:id="63"/>
      <w:bookmarkEnd w:id="64"/>
    </w:p>
    <w:p w14:paraId="1238697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1.评审小组首先依法对各投标人的资格进行审查，审查各投标人的资格是否满足</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的要求。评审小组对投标人所提交的资格证明材料仅负审核的责任。如发现投标人所提交的资格审查文件不合法或与事实不符，</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可取消其中标资格并追究投标人的法律责任。</w:t>
      </w:r>
    </w:p>
    <w:p w14:paraId="48F6ADF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2.投标人提交的资格证明材料无法证明其符合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规定的“投标人资格要求”的，评审小组将对其</w:t>
      </w:r>
      <w:r>
        <w:rPr>
          <w:rFonts w:hint="eastAsia" w:ascii="仿宋" w:hAnsi="仿宋" w:eastAsia="仿宋" w:cs="仿宋"/>
          <w:bCs/>
          <w:color w:val="auto"/>
          <w:sz w:val="24"/>
          <w:szCs w:val="24"/>
          <w:lang w:eastAsia="zh-CN"/>
        </w:rPr>
        <w:t>做</w:t>
      </w:r>
      <w:r>
        <w:rPr>
          <w:rFonts w:hint="eastAsia" w:ascii="仿宋" w:hAnsi="仿宋" w:eastAsia="仿宋" w:cs="仿宋"/>
          <w:bCs/>
          <w:color w:val="auto"/>
          <w:sz w:val="24"/>
          <w:szCs w:val="24"/>
        </w:rPr>
        <w:t>资格审查不通过处理（无效投标），并不再将其投标进行后续评标。</w:t>
      </w:r>
    </w:p>
    <w:p w14:paraId="5C1546B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3.单位负责人为同一人或者存在直接控股、管理关系的不同投标人参加同一合同项下的采购活动的，相关投标人均作资格无效处理。</w:t>
      </w:r>
    </w:p>
    <w:p w14:paraId="76A41547">
      <w:pPr>
        <w:pStyle w:val="32"/>
        <w:spacing w:line="360" w:lineRule="auto"/>
        <w:ind w:firstLine="482" w:firstLineChars="200"/>
        <w:jc w:val="left"/>
        <w:outlineLvl w:val="9"/>
        <w:rPr>
          <w:rFonts w:ascii="仿宋" w:hAnsi="仿宋" w:eastAsia="仿宋" w:cs="仿宋"/>
          <w:b/>
          <w:color w:val="auto"/>
          <w:sz w:val="24"/>
          <w:szCs w:val="24"/>
        </w:rPr>
      </w:pPr>
      <w:bookmarkStart w:id="65" w:name="_Toc17250"/>
      <w:bookmarkStart w:id="66" w:name="_Toc32498"/>
      <w:bookmarkStart w:id="67" w:name="_Toc9436"/>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无效</w:t>
      </w:r>
      <w:r>
        <w:rPr>
          <w:rFonts w:hint="eastAsia" w:ascii="仿宋" w:hAnsi="仿宋" w:eastAsia="仿宋" w:cs="仿宋"/>
          <w:b/>
          <w:color w:val="auto"/>
          <w:sz w:val="24"/>
          <w:szCs w:val="24"/>
          <w:lang w:eastAsia="zh-CN"/>
        </w:rPr>
        <w:t>标</w:t>
      </w:r>
      <w:r>
        <w:rPr>
          <w:rFonts w:hint="eastAsia" w:ascii="仿宋" w:hAnsi="仿宋" w:eastAsia="仿宋" w:cs="仿宋"/>
          <w:b/>
          <w:color w:val="auto"/>
          <w:sz w:val="24"/>
          <w:szCs w:val="24"/>
        </w:rPr>
        <w:t>条款</w:t>
      </w:r>
      <w:bookmarkEnd w:id="65"/>
      <w:bookmarkEnd w:id="66"/>
      <w:bookmarkEnd w:id="67"/>
    </w:p>
    <w:p w14:paraId="2D40140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1.有下列情况之一的，对投标人作无效标处理。</w:t>
      </w:r>
    </w:p>
    <w:p w14:paraId="0CD2E34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不具备</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w:t>
      </w:r>
      <w:r>
        <w:rPr>
          <w:rFonts w:hint="eastAsia" w:ascii="仿宋" w:hAnsi="仿宋" w:eastAsia="仿宋" w:cs="仿宋"/>
          <w:bCs/>
          <w:color w:val="auto"/>
          <w:sz w:val="24"/>
          <w:szCs w:val="24"/>
          <w:lang w:eastAsia="zh-CN"/>
        </w:rPr>
        <w:t>定的</w:t>
      </w:r>
      <w:r>
        <w:rPr>
          <w:rFonts w:hint="eastAsia" w:ascii="仿宋" w:hAnsi="仿宋" w:eastAsia="仿宋" w:cs="仿宋"/>
          <w:bCs/>
          <w:color w:val="auto"/>
          <w:sz w:val="24"/>
          <w:szCs w:val="24"/>
        </w:rPr>
        <w:t>资格要求</w:t>
      </w:r>
      <w:r>
        <w:rPr>
          <w:rFonts w:hint="eastAsia" w:ascii="仿宋" w:hAnsi="仿宋" w:eastAsia="仿宋" w:cs="仿宋"/>
          <w:bCs/>
          <w:color w:val="auto"/>
          <w:sz w:val="24"/>
          <w:szCs w:val="24"/>
          <w:lang w:eastAsia="zh-CN"/>
        </w:rPr>
        <w:t>。</w:t>
      </w:r>
    </w:p>
    <w:p w14:paraId="049B7FD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获取</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的投标人与参加开标投标人发生实质性变更的且未提供有效证明的</w:t>
      </w:r>
      <w:r>
        <w:rPr>
          <w:rFonts w:hint="eastAsia" w:ascii="仿宋" w:hAnsi="仿宋" w:eastAsia="仿宋" w:cs="仿宋"/>
          <w:bCs/>
          <w:color w:val="auto"/>
          <w:sz w:val="24"/>
          <w:szCs w:val="24"/>
          <w:lang w:eastAsia="zh-CN"/>
        </w:rPr>
        <w:t>。</w:t>
      </w:r>
    </w:p>
    <w:p w14:paraId="342FDD9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在“资格审查文件”“</w:t>
      </w:r>
      <w:r>
        <w:rPr>
          <w:rFonts w:hint="eastAsia" w:ascii="仿宋" w:hAnsi="仿宋" w:eastAsia="仿宋" w:cs="仿宋"/>
          <w:bCs/>
          <w:color w:val="auto"/>
          <w:sz w:val="24"/>
          <w:szCs w:val="24"/>
          <w:lang w:eastAsia="zh-CN"/>
        </w:rPr>
        <w:t>技术商务文件</w:t>
      </w:r>
      <w:r>
        <w:rPr>
          <w:rFonts w:hint="eastAsia" w:ascii="仿宋" w:hAnsi="仿宋" w:eastAsia="仿宋" w:cs="仿宋"/>
          <w:bCs/>
          <w:color w:val="auto"/>
          <w:sz w:val="24"/>
          <w:szCs w:val="24"/>
        </w:rPr>
        <w:t>”中出现投标报价的</w:t>
      </w:r>
      <w:r>
        <w:rPr>
          <w:rFonts w:hint="eastAsia" w:ascii="仿宋" w:hAnsi="仿宋" w:eastAsia="仿宋" w:cs="仿宋"/>
          <w:bCs/>
          <w:color w:val="auto"/>
          <w:sz w:val="24"/>
          <w:szCs w:val="24"/>
          <w:lang w:eastAsia="zh-CN"/>
        </w:rPr>
        <w:t>。</w:t>
      </w:r>
    </w:p>
    <w:p w14:paraId="01D0468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⑷</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中有▲处条款投标人未</w:t>
      </w:r>
      <w:r>
        <w:rPr>
          <w:rFonts w:hint="eastAsia" w:ascii="仿宋" w:hAnsi="仿宋" w:eastAsia="仿宋" w:cs="仿宋"/>
          <w:bCs/>
          <w:color w:val="auto"/>
          <w:sz w:val="24"/>
          <w:szCs w:val="24"/>
          <w:lang w:eastAsia="zh-CN"/>
        </w:rPr>
        <w:t>做</w:t>
      </w:r>
      <w:r>
        <w:rPr>
          <w:rFonts w:hint="eastAsia" w:ascii="仿宋" w:hAnsi="仿宋" w:eastAsia="仿宋" w:cs="仿宋"/>
          <w:bCs/>
          <w:color w:val="auto"/>
          <w:sz w:val="24"/>
          <w:szCs w:val="24"/>
        </w:rPr>
        <w:t>实质性响应的</w:t>
      </w:r>
      <w:r>
        <w:rPr>
          <w:rFonts w:hint="eastAsia" w:ascii="仿宋" w:hAnsi="仿宋" w:eastAsia="仿宋" w:cs="仿宋"/>
          <w:bCs/>
          <w:color w:val="auto"/>
          <w:sz w:val="24"/>
          <w:szCs w:val="24"/>
          <w:lang w:eastAsia="zh-CN"/>
        </w:rPr>
        <w:t>。</w:t>
      </w:r>
    </w:p>
    <w:p w14:paraId="694EF29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5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⑸</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提供虚假材料谋取中标的</w:t>
      </w:r>
      <w:r>
        <w:rPr>
          <w:rFonts w:hint="eastAsia" w:ascii="仿宋" w:hAnsi="仿宋" w:eastAsia="仿宋" w:cs="仿宋"/>
          <w:bCs/>
          <w:color w:val="auto"/>
          <w:sz w:val="24"/>
          <w:szCs w:val="24"/>
          <w:lang w:eastAsia="zh-CN"/>
        </w:rPr>
        <w:t>。</w:t>
      </w:r>
    </w:p>
    <w:p w14:paraId="09327CE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6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⑹</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投标报价超过采购预算价或最高限价的</w:t>
      </w:r>
      <w:r>
        <w:rPr>
          <w:rFonts w:hint="eastAsia" w:ascii="仿宋" w:hAnsi="仿宋" w:eastAsia="仿宋" w:cs="仿宋"/>
          <w:bCs/>
          <w:color w:val="auto"/>
          <w:sz w:val="24"/>
          <w:szCs w:val="24"/>
          <w:lang w:eastAsia="zh-CN"/>
        </w:rPr>
        <w:t>。</w:t>
      </w:r>
    </w:p>
    <w:p w14:paraId="1E4B210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7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⑺</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资格审查文件不全的，或者不符合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标明的资格要求的</w:t>
      </w:r>
      <w:r>
        <w:rPr>
          <w:rFonts w:hint="eastAsia" w:ascii="仿宋" w:hAnsi="仿宋" w:eastAsia="仿宋" w:cs="仿宋"/>
          <w:bCs/>
          <w:color w:val="auto"/>
          <w:sz w:val="24"/>
          <w:szCs w:val="24"/>
          <w:lang w:eastAsia="zh-CN"/>
        </w:rPr>
        <w:t>。</w:t>
      </w:r>
    </w:p>
    <w:p w14:paraId="45C443E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8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⑻</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投标人在投标报价计算或表达上有错误时，投标人不接受修正后报价的</w:t>
      </w:r>
      <w:r>
        <w:rPr>
          <w:rFonts w:hint="eastAsia" w:ascii="仿宋" w:hAnsi="仿宋" w:eastAsia="仿宋" w:cs="仿宋"/>
          <w:bCs/>
          <w:color w:val="auto"/>
          <w:sz w:val="24"/>
          <w:szCs w:val="24"/>
          <w:lang w:eastAsia="zh-CN"/>
        </w:rPr>
        <w:t>。</w:t>
      </w:r>
    </w:p>
    <w:p w14:paraId="204E7C6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9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⑼</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明显不符合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中主要技术规格、技术标准的（例如关于“▲”条款及特别说明的）</w:t>
      </w:r>
      <w:r>
        <w:rPr>
          <w:rFonts w:hint="eastAsia" w:ascii="仿宋" w:hAnsi="仿宋" w:eastAsia="仿宋" w:cs="仿宋"/>
          <w:bCs/>
          <w:color w:val="auto"/>
          <w:sz w:val="24"/>
          <w:szCs w:val="24"/>
          <w:lang w:eastAsia="zh-CN"/>
        </w:rPr>
        <w:t>。</w:t>
      </w:r>
    </w:p>
    <w:p w14:paraId="225ED46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10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⑽</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投标文件含有</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不能接受的附加条件的</w:t>
      </w:r>
      <w:r>
        <w:rPr>
          <w:rFonts w:hint="eastAsia" w:ascii="仿宋" w:hAnsi="仿宋" w:eastAsia="仿宋" w:cs="仿宋"/>
          <w:bCs/>
          <w:color w:val="auto"/>
          <w:sz w:val="24"/>
          <w:szCs w:val="24"/>
          <w:lang w:eastAsia="zh-CN"/>
        </w:rPr>
        <w:t>。</w:t>
      </w:r>
    </w:p>
    <w:p w14:paraId="298C66B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⑾</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投标文件载明的采购项目完成期限超过了采购项目文件规定的期限</w:t>
      </w:r>
      <w:r>
        <w:rPr>
          <w:rFonts w:hint="eastAsia" w:ascii="仿宋" w:hAnsi="仿宋" w:eastAsia="仿宋" w:cs="仿宋"/>
          <w:bCs/>
          <w:color w:val="auto"/>
          <w:sz w:val="24"/>
          <w:szCs w:val="24"/>
          <w:lang w:eastAsia="zh-CN"/>
        </w:rPr>
        <w:t>。</w:t>
      </w:r>
    </w:p>
    <w:p w14:paraId="5902D277">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⑿</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投标人有围标串标行为或明显串标嫌疑的</w:t>
      </w:r>
      <w:r>
        <w:rPr>
          <w:rFonts w:hint="eastAsia" w:ascii="仿宋" w:hAnsi="仿宋" w:eastAsia="仿宋" w:cs="仿宋"/>
          <w:bCs/>
          <w:color w:val="auto"/>
          <w:sz w:val="24"/>
          <w:szCs w:val="24"/>
          <w:lang w:eastAsia="zh-CN"/>
        </w:rPr>
        <w:t>。</w:t>
      </w:r>
    </w:p>
    <w:p w14:paraId="31ED89D0">
      <w:pPr>
        <w:pStyle w:val="32"/>
        <w:spacing w:line="360" w:lineRule="auto"/>
        <w:ind w:firstLine="480" w:firstLineChars="200"/>
        <w:jc w:val="left"/>
        <w:outlineLvl w:val="9"/>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⒀</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不同投标人的投标文件制作机器码或创建标识码一致的（投标文件制作机器码一致是指MAC地址、CPU序列号、硬盘序列号、主板序列号全部一致或制作IP地址、上传IP地址等与此电脑相关的硬件标识号码中有一个一致）</w:t>
      </w:r>
      <w:r>
        <w:rPr>
          <w:rFonts w:hint="eastAsia" w:ascii="仿宋" w:hAnsi="仿宋" w:eastAsia="仿宋" w:cs="仿宋"/>
          <w:bCs/>
          <w:color w:val="auto"/>
          <w:sz w:val="24"/>
          <w:szCs w:val="24"/>
          <w:lang w:eastAsia="zh-CN"/>
        </w:rPr>
        <w:t>。</w:t>
      </w:r>
    </w:p>
    <w:p w14:paraId="099E3A6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⒁不符合法律法规和</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规定的其他实质性要求的。</w:t>
      </w:r>
    </w:p>
    <w:p w14:paraId="34CFA937">
      <w:pPr>
        <w:pStyle w:val="32"/>
        <w:spacing w:line="360" w:lineRule="auto"/>
        <w:ind w:firstLine="482" w:firstLineChars="200"/>
        <w:jc w:val="left"/>
        <w:outlineLvl w:val="9"/>
        <w:rPr>
          <w:rFonts w:ascii="仿宋" w:hAnsi="仿宋" w:eastAsia="仿宋" w:cs="仿宋"/>
          <w:b/>
          <w:color w:val="auto"/>
          <w:sz w:val="24"/>
          <w:szCs w:val="24"/>
        </w:rPr>
      </w:pPr>
      <w:bookmarkStart w:id="68" w:name="_Toc2251"/>
      <w:bookmarkStart w:id="69" w:name="_Toc17824"/>
      <w:bookmarkStart w:id="70" w:name="_Toc25302"/>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废标的情形</w:t>
      </w:r>
      <w:bookmarkEnd w:id="68"/>
      <w:bookmarkEnd w:id="69"/>
      <w:bookmarkEnd w:id="70"/>
    </w:p>
    <w:p w14:paraId="686D3B1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1.采购中，出现下列情形之一的，应予废标：</w:t>
      </w:r>
    </w:p>
    <w:p w14:paraId="3CF300B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符合专业条件的投标人或者对</w:t>
      </w:r>
      <w:r>
        <w:rPr>
          <w:rFonts w:hint="eastAsia" w:ascii="仿宋" w:hAnsi="仿宋" w:eastAsia="仿宋" w:cs="仿宋"/>
          <w:bCs/>
          <w:color w:val="auto"/>
          <w:sz w:val="24"/>
          <w:szCs w:val="24"/>
          <w:lang w:eastAsia="zh-CN"/>
        </w:rPr>
        <w:t>招标文件做</w:t>
      </w:r>
      <w:r>
        <w:rPr>
          <w:rFonts w:hint="eastAsia" w:ascii="仿宋" w:hAnsi="仿宋" w:eastAsia="仿宋" w:cs="仿宋"/>
          <w:bCs/>
          <w:color w:val="auto"/>
          <w:sz w:val="24"/>
          <w:szCs w:val="24"/>
        </w:rPr>
        <w:t>实质响应的投标人不足3家的</w:t>
      </w:r>
      <w:r>
        <w:rPr>
          <w:rFonts w:hint="eastAsia" w:ascii="仿宋" w:hAnsi="仿宋" w:eastAsia="仿宋" w:cs="仿宋"/>
          <w:bCs/>
          <w:color w:val="auto"/>
          <w:sz w:val="24"/>
          <w:szCs w:val="24"/>
          <w:lang w:eastAsia="zh-CN"/>
        </w:rPr>
        <w:t>。</w:t>
      </w:r>
    </w:p>
    <w:p w14:paraId="44F63E2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出现影响采购公正的违法、违规行为的</w:t>
      </w:r>
      <w:r>
        <w:rPr>
          <w:rFonts w:hint="eastAsia" w:ascii="仿宋" w:hAnsi="仿宋" w:eastAsia="仿宋" w:cs="仿宋"/>
          <w:bCs/>
          <w:color w:val="auto"/>
          <w:sz w:val="24"/>
          <w:szCs w:val="24"/>
          <w:lang w:eastAsia="zh-CN"/>
        </w:rPr>
        <w:t>。</w:t>
      </w:r>
    </w:p>
    <w:p w14:paraId="6699533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投标人的报价均超过了采购预算，</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不能支付的</w:t>
      </w:r>
      <w:r>
        <w:rPr>
          <w:rFonts w:hint="eastAsia" w:ascii="仿宋" w:hAnsi="仿宋" w:eastAsia="仿宋" w:cs="仿宋"/>
          <w:bCs/>
          <w:color w:val="auto"/>
          <w:sz w:val="24"/>
          <w:szCs w:val="24"/>
          <w:lang w:eastAsia="zh-CN"/>
        </w:rPr>
        <w:t>。</w:t>
      </w:r>
    </w:p>
    <w:p w14:paraId="1BAD001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⑷</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因重大变故，采购任务取消的。</w:t>
      </w:r>
    </w:p>
    <w:p w14:paraId="6D5A6BC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废标后，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应当将废标理由通知所有投标人；除采购任务取消情形外，应当重新组织招标。</w:t>
      </w:r>
    </w:p>
    <w:p w14:paraId="62AB681A">
      <w:pPr>
        <w:pStyle w:val="32"/>
        <w:spacing w:line="360" w:lineRule="auto"/>
        <w:ind w:firstLine="482" w:firstLineChars="200"/>
        <w:jc w:val="left"/>
        <w:outlineLvl w:val="9"/>
        <w:rPr>
          <w:rFonts w:ascii="仿宋" w:hAnsi="仿宋" w:eastAsia="仿宋" w:cs="仿宋"/>
          <w:b/>
          <w:color w:val="auto"/>
          <w:sz w:val="24"/>
          <w:szCs w:val="24"/>
        </w:rPr>
      </w:pPr>
      <w:bookmarkStart w:id="71" w:name="_Toc30791"/>
      <w:bookmarkStart w:id="72" w:name="_Toc22675"/>
      <w:bookmarkStart w:id="73" w:name="_Toc22177"/>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十</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评标程序</w:t>
      </w:r>
      <w:bookmarkEnd w:id="71"/>
      <w:bookmarkEnd w:id="72"/>
      <w:bookmarkEnd w:id="73"/>
    </w:p>
    <w:p w14:paraId="3B761CA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1.评审小组</w:t>
      </w:r>
    </w:p>
    <w:p w14:paraId="5D359AD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和</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将根据采购货物或服务的特点依法组建评审小组，评审小组对</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进行审查、询标、评议和推荐中标候选人。</w:t>
      </w:r>
    </w:p>
    <w:p w14:paraId="5571599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在评标期间，若有需要投标人应派代表参加询标。</w:t>
      </w:r>
    </w:p>
    <w:p w14:paraId="1F251942">
      <w:pPr>
        <w:pStyle w:val="32"/>
        <w:spacing w:line="360" w:lineRule="auto"/>
        <w:ind w:firstLine="480" w:firstLineChars="200"/>
        <w:jc w:val="left"/>
        <w:outlineLvl w:val="9"/>
        <w:rPr>
          <w:rFonts w:ascii="仿宋" w:hAnsi="仿宋" w:eastAsia="仿宋" w:cs="仿宋"/>
          <w:bCs/>
          <w:color w:val="auto"/>
          <w:sz w:val="24"/>
          <w:szCs w:val="24"/>
        </w:rPr>
      </w:pPr>
      <w:bookmarkStart w:id="74" w:name="_Toc24550044"/>
      <w:bookmarkStart w:id="75" w:name="_Toc33194395"/>
      <w:r>
        <w:rPr>
          <w:rFonts w:hint="eastAsia" w:ascii="仿宋" w:hAnsi="仿宋" w:eastAsia="仿宋" w:cs="仿宋"/>
          <w:bCs/>
          <w:color w:val="auto"/>
          <w:sz w:val="24"/>
          <w:szCs w:val="24"/>
        </w:rPr>
        <w:t>2.评标流程及内容</w:t>
      </w:r>
      <w:bookmarkEnd w:id="74"/>
      <w:bookmarkEnd w:id="75"/>
    </w:p>
    <w:p w14:paraId="2E94525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本项目具体的评标事务由评审小组负责，评标流程及内容如下：</w:t>
      </w:r>
    </w:p>
    <w:p w14:paraId="044295D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评标前准备</w:t>
      </w:r>
    </w:p>
    <w:p w14:paraId="4F8E88B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①</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由评标专家推选评审小组组长，</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代表不得担任评审小组组长。</w:t>
      </w:r>
    </w:p>
    <w:p w14:paraId="1994935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②由评审小组组长召集所有评审小组成员阅读</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及相关补充、质疑、答复文件、项目书面说明等材料，熟悉采购项目基本情况、项目技术规范和服务要求、合同主要条款、投标文件无效情形、评标办法、评标标准，以及其他与评标有关的内容。</w:t>
      </w:r>
    </w:p>
    <w:p w14:paraId="33C0310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投标文件的初步审查、符合性审查</w:t>
      </w:r>
    </w:p>
    <w:p w14:paraId="1B77D4F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对所有通过资格审查的投标人的投标文件进行初步审查，审查、评价投标文件是否符合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的商务、技术、服务等实质性要求。</w:t>
      </w:r>
    </w:p>
    <w:p w14:paraId="0245697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评审小组首先对所有通过资格审查的投标人的投标文件进行符合性审查，审查每份投标文件是否实质上响应了</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的要求（实质性响应的投标文件是指投标文件符合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规定的实质性内容、条件和规定）。</w:t>
      </w:r>
    </w:p>
    <w:p w14:paraId="3FA8751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3.投标文件的澄清、说明或补正</w:t>
      </w:r>
    </w:p>
    <w:p w14:paraId="1F36AC3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对于投标文件中含义不明确、同类问题表述不一致或者有明显文字和计算错误内容的，评审小组将以书面形式（或通过“衢州市阳光交易服务平台”在线询标）的形式要求投标人在规定的时间内作出必要的澄清、说明或者补正，投标人澄清、说明或补正时间为30分钟。</w:t>
      </w:r>
    </w:p>
    <w:p w14:paraId="1E7E9AF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投标人的澄清、说明或者补正应当采用书面（或通过“衢州市阳光交易服务平台”在线答复）形式提交，并加盖公章，或者由</w:t>
      </w:r>
      <w:r>
        <w:rPr>
          <w:rFonts w:hint="eastAsia" w:ascii="仿宋" w:hAnsi="仿宋" w:eastAsia="仿宋" w:cs="仿宋"/>
          <w:bCs/>
          <w:color w:val="auto"/>
          <w:sz w:val="24"/>
          <w:szCs w:val="24"/>
          <w:lang w:eastAsia="zh-CN"/>
        </w:rPr>
        <w:t>法定代表人（负责人）</w:t>
      </w:r>
      <w:r>
        <w:rPr>
          <w:rFonts w:hint="eastAsia" w:ascii="仿宋" w:hAnsi="仿宋" w:eastAsia="仿宋" w:cs="仿宋"/>
          <w:bCs/>
          <w:color w:val="auto"/>
          <w:sz w:val="24"/>
          <w:szCs w:val="24"/>
        </w:rPr>
        <w:t>或其授权的代表签字。投标人的澄清、说明或者补正不得超出投标文件的范围或者改变投标文件的实质性内容。</w:t>
      </w:r>
    </w:p>
    <w:p w14:paraId="17AC2FA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4.投标文件错误的修正</w:t>
      </w:r>
    </w:p>
    <w:p w14:paraId="5BF7BE5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投标文件如果出现计算或表达上的错误，修正错误的原则如下：</w:t>
      </w:r>
    </w:p>
    <w:p w14:paraId="191FF2C3">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①</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投标文件中开标一览表内容与投标文件中相应内容不一致的，以开标一览表为准。</w:t>
      </w:r>
    </w:p>
    <w:p w14:paraId="4DF485AC">
      <w:pPr>
        <w:pStyle w:val="32"/>
        <w:tabs>
          <w:tab w:val="left" w:pos="0"/>
        </w:tabs>
        <w:spacing w:line="360" w:lineRule="auto"/>
        <w:ind w:firstLine="480" w:firstLineChars="200"/>
        <w:jc w:val="left"/>
        <w:outlineLvl w:val="9"/>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②投标文件的大写金额和小写金额不一致的，以大写金额为准</w:t>
      </w:r>
      <w:r>
        <w:rPr>
          <w:rFonts w:hint="eastAsia" w:ascii="仿宋" w:hAnsi="仿宋" w:eastAsia="仿宋" w:cs="仿宋"/>
          <w:bCs/>
          <w:color w:val="auto"/>
          <w:sz w:val="24"/>
          <w:szCs w:val="24"/>
          <w:lang w:eastAsia="zh-CN"/>
        </w:rPr>
        <w:t>。</w:t>
      </w:r>
    </w:p>
    <w:p w14:paraId="0BCD9D9B">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③</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单价金额小数点或者百分比有明显错位的，应以开标一览表的总价为准，并修改单价</w:t>
      </w:r>
      <w:r>
        <w:rPr>
          <w:rFonts w:hint="eastAsia" w:ascii="仿宋" w:hAnsi="仿宋" w:eastAsia="仿宋" w:cs="仿宋"/>
          <w:bCs/>
          <w:color w:val="auto"/>
          <w:sz w:val="24"/>
          <w:szCs w:val="24"/>
          <w:lang w:eastAsia="zh-CN"/>
        </w:rPr>
        <w:t>。</w:t>
      </w:r>
    </w:p>
    <w:p w14:paraId="47DABBC0">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④</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总价金额与单价汇总金额不一致的，以单价金额计算结果为准。</w:t>
      </w:r>
    </w:p>
    <w:p w14:paraId="45270CC5">
      <w:pPr>
        <w:pStyle w:val="8"/>
        <w:spacing w:line="360" w:lineRule="auto"/>
        <w:outlineLvl w:val="9"/>
        <w:rPr>
          <w:rFonts w:ascii="仿宋" w:hAnsi="仿宋" w:eastAsia="仿宋" w:cs="仿宋"/>
          <w:color w:val="auto"/>
          <w:sz w:val="24"/>
        </w:rPr>
      </w:pPr>
      <w:r>
        <w:rPr>
          <w:rFonts w:hint="eastAsia" w:ascii="仿宋" w:hAnsi="仿宋" w:eastAsia="仿宋" w:cs="仿宋"/>
          <w:color w:val="auto"/>
          <w:sz w:val="24"/>
        </w:rPr>
        <w:t xml:space="preserve">   </w:t>
      </w:r>
      <w:r>
        <w:rPr>
          <w:rFonts w:hint="eastAsia" w:ascii="仿宋" w:hAnsi="仿宋" w:eastAsia="仿宋" w:cs="仿宋"/>
          <w:b w:val="0"/>
          <w:color w:val="auto"/>
          <w:spacing w:val="0"/>
          <w:kern w:val="2"/>
          <w:sz w:val="24"/>
        </w:rPr>
        <w:t>注：同时出现两种以上不一致的，按照前款规定的顺序修正，修正后的报价需经投标人确认后产生约束力，投标人不确认的，其投标无效。</w:t>
      </w:r>
    </w:p>
    <w:p w14:paraId="289479C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对不同文字文本投标文件的解释发生异议的，以中文文本为准。</w:t>
      </w:r>
    </w:p>
    <w:p w14:paraId="547ED81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5.评标</w:t>
      </w:r>
    </w:p>
    <w:p w14:paraId="7FF6356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 xml:space="preserve">评定原则：根据符合采购需求、质量和服务等要求，综合评标确定中标人。 </w:t>
      </w:r>
    </w:p>
    <w:p w14:paraId="112E7B7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投标文件的澄清：在评标期间，评审小组可要求投标人对其投标文件进行澄清，但不得寻求、提供或允许对投标价格等实质性内容做任何更改。有关澄清的要求和答复均应以书面形式提交。</w:t>
      </w:r>
    </w:p>
    <w:p w14:paraId="3B442F9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评标报告：评审小组完成评定后，向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提交经各评审小组成员签字的评定结果报告，并按评定办法推荐中标候选人。</w:t>
      </w:r>
    </w:p>
    <w:p w14:paraId="39F0243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6.可中止电子交易活动的情形</w:t>
      </w:r>
    </w:p>
    <w:p w14:paraId="4F4222F7">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采购过程中出现以下情形，导致电子交易平台无法正常运行，或者无法保证电子交易的公平、公正和安全时，</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可中止电子交易活动：</w:t>
      </w:r>
    </w:p>
    <w:p w14:paraId="563D6CA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电子交易平台发生故障而无法登录访问的</w:t>
      </w:r>
      <w:r>
        <w:rPr>
          <w:rFonts w:hint="eastAsia" w:ascii="仿宋" w:hAnsi="仿宋" w:eastAsia="仿宋" w:cs="仿宋"/>
          <w:bCs/>
          <w:color w:val="auto"/>
          <w:sz w:val="24"/>
          <w:szCs w:val="24"/>
          <w:lang w:eastAsia="zh-CN"/>
        </w:rPr>
        <w:t>。</w:t>
      </w:r>
    </w:p>
    <w:p w14:paraId="398744A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电子交易平台应用或数据库出现错误，不能进行正常操作的</w:t>
      </w:r>
      <w:r>
        <w:rPr>
          <w:rFonts w:hint="eastAsia" w:ascii="仿宋" w:hAnsi="仿宋" w:eastAsia="仿宋" w:cs="仿宋"/>
          <w:bCs/>
          <w:color w:val="auto"/>
          <w:sz w:val="24"/>
          <w:szCs w:val="24"/>
          <w:lang w:eastAsia="zh-CN"/>
        </w:rPr>
        <w:t>。</w:t>
      </w:r>
    </w:p>
    <w:p w14:paraId="64516FB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电子交易平台发现严重安全漏洞，有潜在泄密危险的</w:t>
      </w:r>
      <w:r>
        <w:rPr>
          <w:rFonts w:hint="eastAsia" w:ascii="仿宋" w:hAnsi="仿宋" w:eastAsia="仿宋" w:cs="仿宋"/>
          <w:bCs/>
          <w:color w:val="auto"/>
          <w:sz w:val="24"/>
          <w:szCs w:val="24"/>
          <w:lang w:eastAsia="zh-CN"/>
        </w:rPr>
        <w:t>。</w:t>
      </w:r>
    </w:p>
    <w:p w14:paraId="0AE2FB1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⑷</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病毒发作导致不能进行正常操作的</w:t>
      </w:r>
      <w:r>
        <w:rPr>
          <w:rFonts w:hint="eastAsia" w:ascii="仿宋" w:hAnsi="仿宋" w:eastAsia="仿宋" w:cs="仿宋"/>
          <w:bCs/>
          <w:color w:val="auto"/>
          <w:sz w:val="24"/>
          <w:szCs w:val="24"/>
          <w:lang w:eastAsia="zh-CN"/>
        </w:rPr>
        <w:t>。</w:t>
      </w:r>
    </w:p>
    <w:p w14:paraId="1A6E1AC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5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⑸</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其他无法保证电子交易的公平、公正和安全的情况。</w:t>
      </w:r>
    </w:p>
    <w:p w14:paraId="3630477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出现前款规定情形，不影响采购公平、公正性的，</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可以待上述情形消除后继续组织电子交易活动；影响或可能影响采购公平、公正性的，应当重新采购。</w:t>
      </w:r>
    </w:p>
    <w:p w14:paraId="223367F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7.保密</w:t>
      </w:r>
    </w:p>
    <w:p w14:paraId="719048E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公开开标后直到宣布授予中标人合同为止，凡属于审查、澄清、评估和比较投标的有关资料且与授予合同有关的信息都不得向任何投标人或与上述评标过程无关的人员透露。</w:t>
      </w:r>
    </w:p>
    <w:p w14:paraId="0C72AD4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投标人对评标、比较或授予合同决定的过程施加影响的企图和行为，都可能导致其投标被拒绝。</w:t>
      </w:r>
    </w:p>
    <w:p w14:paraId="442AF010">
      <w:pPr>
        <w:pStyle w:val="32"/>
        <w:spacing w:line="360" w:lineRule="auto"/>
        <w:ind w:firstLine="482" w:firstLineChars="200"/>
        <w:jc w:val="left"/>
        <w:outlineLvl w:val="9"/>
        <w:rPr>
          <w:rFonts w:ascii="仿宋" w:hAnsi="仿宋" w:eastAsia="仿宋" w:cs="仿宋"/>
          <w:b/>
          <w:color w:val="auto"/>
          <w:sz w:val="24"/>
          <w:szCs w:val="24"/>
        </w:rPr>
      </w:pPr>
      <w:bookmarkStart w:id="76" w:name="_Toc16478"/>
      <w:bookmarkStart w:id="77" w:name="_Toc23559"/>
      <w:bookmarkStart w:id="78" w:name="_Toc7982"/>
      <w:r>
        <w:rPr>
          <w:rFonts w:hint="eastAsia" w:ascii="仿宋" w:hAnsi="仿宋" w:eastAsia="仿宋" w:cs="仿宋"/>
          <w:b/>
          <w:color w:val="auto"/>
          <w:sz w:val="24"/>
          <w:szCs w:val="24"/>
        </w:rPr>
        <w:t>（十一）中标结果</w:t>
      </w:r>
      <w:bookmarkEnd w:id="76"/>
      <w:bookmarkEnd w:id="77"/>
      <w:bookmarkEnd w:id="78"/>
    </w:p>
    <w:p w14:paraId="6036D23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1.中标结果公告</w:t>
      </w:r>
    </w:p>
    <w:p w14:paraId="170AD8B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确定中标人后，</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 xml:space="preserve">在衢州市阳光交易服务平台（https://qzygjy.com/）上及公告发布的媒体中，进行中标结果公告，公告期限为1个工作日。 </w:t>
      </w:r>
    </w:p>
    <w:p w14:paraId="0BFD664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中标人因自身原因放弃中标或因不可抗力不能履行合同的，经质疑，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审查确定因中标人在本次采购活动中存在违规行为或其他原因使质疑成立的，</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可以与第二中标候选人签订采购合同或重新组织招标；第二中标候选人因自身原因放弃中标或因不可抗力不能履行合同的，经质疑，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审查确定因第二中标候选人在本次采购活动中存在违规行为或其他原因使质疑成立的，</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可以与第三中标候选人签订采购合同或重新组织招标。</w:t>
      </w:r>
    </w:p>
    <w:p w14:paraId="2521CC9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2.质疑和投诉</w:t>
      </w:r>
    </w:p>
    <w:p w14:paraId="7E52282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lang w:eastAsia="zh-CN"/>
        </w:rPr>
        <w:t>参照《衢州市国有企业采购管理办法（试行）》</w:t>
      </w:r>
      <w:r>
        <w:rPr>
          <w:rFonts w:hint="eastAsia" w:ascii="仿宋" w:hAnsi="仿宋" w:eastAsia="仿宋" w:cs="仿宋"/>
          <w:bCs/>
          <w:color w:val="auto"/>
          <w:sz w:val="24"/>
          <w:szCs w:val="24"/>
        </w:rPr>
        <w:t>（衢国资发</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2020</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36号）的规定，投标人可以依法提起质疑和投诉。</w:t>
      </w:r>
    </w:p>
    <w:p w14:paraId="2EA78D9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2.1投标人询问</w:t>
      </w:r>
    </w:p>
    <w:p w14:paraId="4E9A4C9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投标人对采购活动事项有疑问的，可以向招标代理机构提出询问，招标代理机构在</w:t>
      </w:r>
      <w:r>
        <w:rPr>
          <w:rFonts w:hint="eastAsia" w:ascii="仿宋" w:hAnsi="仿宋" w:eastAsia="仿宋" w:cs="仿宋"/>
          <w:bCs/>
          <w:color w:val="auto"/>
          <w:sz w:val="24"/>
          <w:szCs w:val="24"/>
          <w:lang w:val="en-US" w:eastAsia="zh-CN"/>
        </w:rPr>
        <w:t>七</w:t>
      </w:r>
      <w:r>
        <w:rPr>
          <w:rFonts w:hint="eastAsia" w:ascii="仿宋" w:hAnsi="仿宋" w:eastAsia="仿宋" w:cs="仿宋"/>
          <w:bCs/>
          <w:color w:val="auto"/>
          <w:sz w:val="24"/>
          <w:szCs w:val="24"/>
        </w:rPr>
        <w:t>个工作日内</w:t>
      </w:r>
      <w:r>
        <w:rPr>
          <w:rFonts w:hint="eastAsia" w:ascii="仿宋" w:hAnsi="仿宋" w:eastAsia="仿宋" w:cs="仿宋"/>
          <w:bCs/>
          <w:color w:val="auto"/>
          <w:sz w:val="24"/>
          <w:szCs w:val="24"/>
          <w:lang w:eastAsia="zh-CN"/>
        </w:rPr>
        <w:t>作出</w:t>
      </w:r>
      <w:r>
        <w:rPr>
          <w:rFonts w:hint="eastAsia" w:ascii="仿宋" w:hAnsi="仿宋" w:eastAsia="仿宋" w:cs="仿宋"/>
          <w:bCs/>
          <w:color w:val="auto"/>
          <w:sz w:val="24"/>
          <w:szCs w:val="24"/>
        </w:rPr>
        <w:t>答复，但答复的内容不得涉及商业秘密。</w:t>
      </w:r>
    </w:p>
    <w:p w14:paraId="11A7BDD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2.2投标人质疑</w:t>
      </w:r>
    </w:p>
    <w:p w14:paraId="2B6F2A5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2.2.1投标人认为招标文件、采购过程和中标、成交结果使自己的权益受到损害的，可以在知道或者应知其权益受到损害之日起七个工作日内，以书面形式向招标代理机构提出质疑。逾期不予受理。</w:t>
      </w:r>
    </w:p>
    <w:p w14:paraId="3B417F6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投标人应知其权益受到损害之日，是指：</w:t>
      </w:r>
    </w:p>
    <w:p w14:paraId="0CC2D0B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⑴对可以质疑的</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提出质疑的，为收到</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之日或</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公告期限届满之日</w:t>
      </w:r>
      <w:r>
        <w:rPr>
          <w:rFonts w:hint="eastAsia" w:ascii="仿宋" w:hAnsi="仿宋" w:eastAsia="仿宋" w:cs="仿宋"/>
          <w:bCs/>
          <w:color w:val="auto"/>
          <w:sz w:val="24"/>
          <w:szCs w:val="24"/>
          <w:lang w:eastAsia="zh-CN"/>
        </w:rPr>
        <w:t>。</w:t>
      </w:r>
    </w:p>
    <w:p w14:paraId="52E16D5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⑵对采购过程提出质疑的，为各采购程序环节结束之日</w:t>
      </w:r>
      <w:r>
        <w:rPr>
          <w:rFonts w:hint="eastAsia" w:ascii="仿宋" w:hAnsi="仿宋" w:eastAsia="仿宋" w:cs="仿宋"/>
          <w:bCs/>
          <w:color w:val="auto"/>
          <w:sz w:val="24"/>
          <w:szCs w:val="24"/>
          <w:lang w:eastAsia="zh-CN"/>
        </w:rPr>
        <w:t>。</w:t>
      </w:r>
    </w:p>
    <w:p w14:paraId="611FD14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⑶对中标结果提出质疑的，为中标结果公告期限届满之日。</w:t>
      </w:r>
    </w:p>
    <w:p w14:paraId="2ABAB1F5">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2.2.2投标人质疑应当有明确的请求和必要的证明材料，否则视为无效质疑，不予受理。提交方式登录：衢州市阳光交易服务平台（https://qzygjy.com/bszn/sec.html）－发包公告－进入项目－异议－新增异议。投标人提交的质疑书，由法定代表人（负责人）签字（或盖章）并加盖单位公章。质疑书至少应包括下列主要内容：</w:t>
      </w:r>
    </w:p>
    <w:p w14:paraId="10CE8EA7">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⑴质疑人的名称、地址、邮政编码、联系人、联系电话，以及被质疑人名称及联系方式。</w:t>
      </w:r>
    </w:p>
    <w:p w14:paraId="7A81ABE7">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⑵被质疑采购项目名称、编号及采购内容。</w:t>
      </w:r>
    </w:p>
    <w:p w14:paraId="7F0BA01D">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⑶具体的质疑事项及事实依据。</w:t>
      </w:r>
    </w:p>
    <w:p w14:paraId="43054493">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⑷认为自己合法权益受到损害或可能受到损害的相关证据材料。</w:t>
      </w:r>
    </w:p>
    <w:p w14:paraId="2FC2E170">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⑸提出质疑的日期。</w:t>
      </w:r>
    </w:p>
    <w:p w14:paraId="5AC3863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2.3招标代理机构应当在收到投标人的书面质疑后七个工作日内作出答复，并以书面形式通知质疑投标人和其他与质疑处理结果有利害关系的采购当事人，但答复的内容不得涉及商业秘密。</w:t>
      </w:r>
    </w:p>
    <w:p w14:paraId="08EE015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2.4投标人投诉</w:t>
      </w:r>
    </w:p>
    <w:p w14:paraId="0B474D3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质疑人对招标代理机构的答复不满意或者招标代理机构未在规定的时间内作出答复的，可以在答复期满后十五个工作日内向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提出投诉，逾期不予受理。质疑人对招标人答复不满意的根据相关法律法规采取相关措施。</w:t>
      </w:r>
    </w:p>
    <w:p w14:paraId="36F0B96C">
      <w:pPr>
        <w:pStyle w:val="32"/>
        <w:spacing w:line="360" w:lineRule="auto"/>
        <w:ind w:firstLine="482" w:firstLineChars="200"/>
        <w:jc w:val="left"/>
        <w:outlineLvl w:val="9"/>
        <w:rPr>
          <w:rFonts w:ascii="仿宋" w:hAnsi="仿宋" w:eastAsia="仿宋" w:cs="仿宋"/>
          <w:b/>
          <w:color w:val="auto"/>
          <w:sz w:val="24"/>
          <w:szCs w:val="24"/>
        </w:rPr>
      </w:pPr>
      <w:r>
        <w:rPr>
          <w:rFonts w:hint="eastAsia" w:ascii="仿宋" w:hAnsi="仿宋" w:eastAsia="仿宋" w:cs="仿宋"/>
          <w:b/>
          <w:color w:val="auto"/>
          <w:sz w:val="24"/>
          <w:szCs w:val="24"/>
        </w:rPr>
        <w:t>（十二）法律责任</w:t>
      </w:r>
    </w:p>
    <w:p w14:paraId="1639E86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1.投标人有下列情形之一的，招标人及招标代理机构可上报有关行政部门，由行政部门作出相应处罚</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列入不良行为记录名单，在一至三年内禁止参加采购活动，并予以公告，有违法所得的，并处没收违法所得，情节严重的，由工商行政管理机关吊销营业执照；构成犯罪的，依法追究刑事责任：</w:t>
      </w:r>
    </w:p>
    <w:p w14:paraId="253672D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提供虚假材料谋取中标的</w:t>
      </w:r>
      <w:r>
        <w:rPr>
          <w:rFonts w:hint="eastAsia" w:ascii="仿宋" w:hAnsi="仿宋" w:eastAsia="仿宋" w:cs="仿宋"/>
          <w:bCs/>
          <w:color w:val="auto"/>
          <w:sz w:val="24"/>
          <w:szCs w:val="24"/>
          <w:lang w:eastAsia="zh-CN"/>
        </w:rPr>
        <w:t>。</w:t>
      </w:r>
    </w:p>
    <w:p w14:paraId="2614664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采取不正当手段诋毁、排挤其他投标人的</w:t>
      </w:r>
      <w:r>
        <w:rPr>
          <w:rFonts w:hint="eastAsia" w:ascii="仿宋" w:hAnsi="仿宋" w:eastAsia="仿宋" w:cs="仿宋"/>
          <w:bCs/>
          <w:color w:val="auto"/>
          <w:sz w:val="24"/>
          <w:szCs w:val="24"/>
          <w:lang w:eastAsia="zh-CN"/>
        </w:rPr>
        <w:t>。</w:t>
      </w:r>
    </w:p>
    <w:p w14:paraId="7C742D4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、其他投标人恶意串通的</w:t>
      </w:r>
      <w:r>
        <w:rPr>
          <w:rFonts w:hint="eastAsia" w:ascii="仿宋" w:hAnsi="仿宋" w:eastAsia="仿宋" w:cs="仿宋"/>
          <w:bCs/>
          <w:color w:val="auto"/>
          <w:sz w:val="24"/>
          <w:szCs w:val="24"/>
          <w:lang w:eastAsia="zh-CN"/>
        </w:rPr>
        <w:t>。</w:t>
      </w:r>
    </w:p>
    <w:p w14:paraId="5D92C4A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⑷</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行贿或者提供其他不正当利益的</w:t>
      </w:r>
      <w:r>
        <w:rPr>
          <w:rFonts w:hint="eastAsia" w:ascii="仿宋" w:hAnsi="仿宋" w:eastAsia="仿宋" w:cs="仿宋"/>
          <w:bCs/>
          <w:color w:val="auto"/>
          <w:sz w:val="24"/>
          <w:szCs w:val="24"/>
          <w:lang w:eastAsia="zh-CN"/>
        </w:rPr>
        <w:t>。</w:t>
      </w:r>
    </w:p>
    <w:p w14:paraId="3E26918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5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⑸</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在开标过程中与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进行协商谈判、不按照</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和中标人的投标文件订立合同，或者与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另行订立背离合同实质性内容的协议的</w:t>
      </w:r>
      <w:r>
        <w:rPr>
          <w:rFonts w:hint="eastAsia" w:ascii="仿宋" w:hAnsi="仿宋" w:eastAsia="仿宋" w:cs="仿宋"/>
          <w:bCs/>
          <w:color w:val="auto"/>
          <w:sz w:val="24"/>
          <w:szCs w:val="24"/>
          <w:lang w:eastAsia="zh-CN"/>
        </w:rPr>
        <w:t>。</w:t>
      </w:r>
    </w:p>
    <w:p w14:paraId="23C90C2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6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⑹</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拒绝有关部门监督检查或者提供虚假情况的</w:t>
      </w:r>
      <w:r>
        <w:rPr>
          <w:rFonts w:hint="eastAsia" w:ascii="仿宋" w:hAnsi="仿宋" w:eastAsia="仿宋" w:cs="仿宋"/>
          <w:bCs/>
          <w:color w:val="auto"/>
          <w:sz w:val="24"/>
          <w:szCs w:val="24"/>
          <w:lang w:eastAsia="zh-CN"/>
        </w:rPr>
        <w:t>。</w:t>
      </w:r>
    </w:p>
    <w:p w14:paraId="748ABAEE">
      <w:pPr>
        <w:pStyle w:val="32"/>
        <w:spacing w:line="360" w:lineRule="auto"/>
        <w:ind w:firstLine="482" w:firstLineChars="200"/>
        <w:jc w:val="left"/>
        <w:outlineLvl w:val="9"/>
        <w:rPr>
          <w:rFonts w:ascii="仿宋" w:hAnsi="仿宋" w:eastAsia="仿宋" w:cs="仿宋"/>
          <w:b/>
          <w:color w:val="auto"/>
          <w:sz w:val="24"/>
          <w:szCs w:val="24"/>
        </w:rPr>
      </w:pPr>
      <w:r>
        <w:rPr>
          <w:rFonts w:hint="eastAsia" w:ascii="仿宋" w:hAnsi="仿宋" w:eastAsia="仿宋" w:cs="仿宋"/>
          <w:b/>
          <w:color w:val="auto"/>
          <w:sz w:val="24"/>
          <w:szCs w:val="24"/>
        </w:rPr>
        <w:t>（十三）授予合同签订资格</w:t>
      </w:r>
    </w:p>
    <w:p w14:paraId="1066240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1.中标通知书</w:t>
      </w:r>
    </w:p>
    <w:p w14:paraId="1EB3731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在公告中标结果的同时，</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或者</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应当向中标人发出中标通知书。</w:t>
      </w:r>
    </w:p>
    <w:p w14:paraId="7862B6A7">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中标通知书是中标人与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签订合同的凭证，是授予合同签订资格的合法依据。</w:t>
      </w:r>
    </w:p>
    <w:p w14:paraId="5A4442C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中标通知书发出后，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不得违法改变中标结果，中标人无正当理由不得放弃中标。</w:t>
      </w:r>
    </w:p>
    <w:p w14:paraId="4E35752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⑷中标人按《中标通知书》指定的时间、地点与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直接签订合同。在有合理证据证明中标人在投标过程中承诺的内容不能实质响应的，</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有权拒签合同。</w:t>
      </w:r>
    </w:p>
    <w:p w14:paraId="63953ED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2.合同的签订</w:t>
      </w:r>
    </w:p>
    <w:p w14:paraId="664A340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应当自中标通知书发出之日起30日内，按照</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和中标人投标文件的规定，与中标人签订书面合同。所签订的合同不得对</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确定的事项和中标人投标文件作实质性修改。</w:t>
      </w:r>
    </w:p>
    <w:p w14:paraId="1DE2ABA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⑵采购合同应当包括</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与中标人的名称和住所、标的、数量、质量、价款或者报酬、履行期限及地点和方式、验收要求、违约责任、解决争议的方法等内容。</w:t>
      </w:r>
    </w:p>
    <w:p w14:paraId="2FA3659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⑶招标文件、澄清文件、投标文件等，均为签订合同的依据。中标人接到中标通知书后在规定的时间内与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签订合同。</w:t>
      </w:r>
    </w:p>
    <w:p w14:paraId="3EF081AC">
      <w:pPr>
        <w:pStyle w:val="32"/>
        <w:spacing w:line="360" w:lineRule="auto"/>
        <w:ind w:firstLine="480" w:firstLineChars="200"/>
        <w:jc w:val="left"/>
        <w:outlineLvl w:val="9"/>
        <w:rPr>
          <w:color w:val="auto"/>
        </w:rPr>
      </w:pPr>
      <w:r>
        <w:rPr>
          <w:rFonts w:hint="eastAsia" w:ascii="仿宋" w:hAnsi="仿宋" w:eastAsia="仿宋" w:cs="仿宋"/>
          <w:bCs/>
          <w:color w:val="auto"/>
          <w:sz w:val="24"/>
          <w:szCs w:val="24"/>
        </w:rPr>
        <w:t>⑷中标人不遵守投标文件的要约、承诺，擅自修改投标文件的内容或在接到中标通知书规定的时间内，借故拖延、拒签合同者，</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将取消该投标人的中标资格。</w:t>
      </w:r>
    </w:p>
    <w:p w14:paraId="4F48C73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⑸</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与中标人应当根据合同的约定依法履行合同义务。</w:t>
      </w:r>
    </w:p>
    <w:p w14:paraId="20CD4D4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⑹采购合同的履行、违约责任和解决争议的方法等适用《中华人民共和国民法典》。</w:t>
      </w:r>
    </w:p>
    <w:p w14:paraId="0A34418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⑺中标人应当按照合同约定履行义务完成项目。</w:t>
      </w:r>
    </w:p>
    <w:p w14:paraId="25B6CBB2">
      <w:pPr>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3.代理服务费及其他费用（</w:t>
      </w:r>
      <w:r>
        <w:rPr>
          <w:rFonts w:hint="eastAsia" w:ascii="仿宋" w:hAnsi="仿宋" w:eastAsia="仿宋" w:cs="仿宋"/>
          <w:color w:val="auto"/>
          <w:sz w:val="24"/>
          <w:szCs w:val="24"/>
        </w:rPr>
        <w:t>以人民币元收取</w:t>
      </w:r>
      <w:r>
        <w:rPr>
          <w:rFonts w:hint="eastAsia" w:ascii="仿宋" w:hAnsi="仿宋" w:eastAsia="仿宋" w:cs="仿宋"/>
          <w:bCs/>
          <w:color w:val="auto"/>
          <w:sz w:val="24"/>
          <w:szCs w:val="24"/>
        </w:rPr>
        <w:t>）</w:t>
      </w:r>
    </w:p>
    <w:p w14:paraId="54CCB4B2">
      <w:pPr>
        <w:spacing w:line="360" w:lineRule="auto"/>
        <w:ind w:firstLine="480" w:firstLineChars="200"/>
        <w:jc w:val="left"/>
        <w:outlineLvl w:val="9"/>
        <w:rPr>
          <w:rFonts w:hint="eastAsia" w:ascii="仿宋" w:hAnsi="仿宋" w:eastAsia="仿宋" w:cs="仿宋"/>
          <w:bCs/>
          <w:color w:val="auto"/>
          <w:sz w:val="24"/>
          <w:szCs w:val="24"/>
        </w:rPr>
      </w:pPr>
      <w:bookmarkStart w:id="79" w:name="_Hlk47305225"/>
      <w:r>
        <w:rPr>
          <w:rFonts w:hint="eastAsia" w:ascii="仿宋" w:hAnsi="仿宋" w:eastAsia="仿宋" w:cs="仿宋"/>
          <w:bCs/>
          <w:color w:val="auto"/>
          <w:sz w:val="24"/>
          <w:szCs w:val="24"/>
          <w:lang w:val="en-US" w:eastAsia="zh-CN"/>
        </w:rPr>
        <w:t>⑴</w:t>
      </w:r>
      <w:r>
        <w:rPr>
          <w:rFonts w:hint="eastAsia" w:ascii="仿宋" w:hAnsi="仿宋" w:eastAsia="仿宋" w:cs="仿宋"/>
          <w:bCs/>
          <w:color w:val="auto"/>
          <w:sz w:val="24"/>
          <w:szCs w:val="24"/>
        </w:rPr>
        <w:t>本次</w:t>
      </w:r>
      <w:r>
        <w:rPr>
          <w:rFonts w:hint="eastAsia" w:ascii="仿宋" w:hAnsi="仿宋" w:eastAsia="仿宋" w:cs="仿宋"/>
          <w:bCs/>
          <w:color w:val="auto"/>
          <w:sz w:val="24"/>
          <w:szCs w:val="24"/>
          <w:lang w:val="en-US" w:eastAsia="zh-CN"/>
        </w:rPr>
        <w:t>招标</w:t>
      </w:r>
      <w:r>
        <w:rPr>
          <w:rFonts w:hint="eastAsia" w:ascii="仿宋" w:hAnsi="仿宋" w:eastAsia="仿宋" w:cs="仿宋"/>
          <w:bCs/>
          <w:color w:val="auto"/>
          <w:sz w:val="24"/>
          <w:szCs w:val="24"/>
        </w:rPr>
        <w:t>代理服务费按国家标准《计价格【2002】1980号文件》的</w:t>
      </w:r>
      <w:r>
        <w:rPr>
          <w:rFonts w:hint="eastAsia" w:ascii="仿宋" w:hAnsi="仿宋" w:eastAsia="仿宋" w:cs="仿宋"/>
          <w:bCs/>
          <w:color w:val="auto"/>
          <w:sz w:val="24"/>
          <w:szCs w:val="24"/>
          <w:lang w:val="en-US" w:eastAsia="zh-CN"/>
        </w:rPr>
        <w:t>8</w:t>
      </w:r>
      <w:r>
        <w:rPr>
          <w:rFonts w:hint="eastAsia" w:ascii="仿宋" w:hAnsi="仿宋" w:eastAsia="仿宋" w:cs="仿宋"/>
          <w:bCs/>
          <w:color w:val="auto"/>
          <w:sz w:val="24"/>
          <w:szCs w:val="24"/>
        </w:rPr>
        <w:t>0%计取，</w:t>
      </w:r>
      <w:r>
        <w:rPr>
          <w:rFonts w:hint="eastAsia" w:ascii="仿宋" w:hAnsi="仿宋" w:eastAsia="仿宋" w:cs="仿宋"/>
          <w:bCs/>
          <w:color w:val="auto"/>
          <w:sz w:val="24"/>
          <w:szCs w:val="24"/>
          <w:lang w:val="en-US" w:eastAsia="zh-CN"/>
        </w:rPr>
        <w:t>以预算价为计费基数，</w:t>
      </w:r>
      <w:r>
        <w:rPr>
          <w:rFonts w:hint="eastAsia" w:ascii="仿宋" w:hAnsi="仿宋" w:eastAsia="仿宋" w:cs="仿宋"/>
          <w:bCs/>
          <w:color w:val="auto"/>
          <w:sz w:val="24"/>
          <w:szCs w:val="24"/>
        </w:rPr>
        <w:t>按服务招标计算，不足2500元按2500元计算，由中标人领取中标通知书之前支付给</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。收费标准如下：</w:t>
      </w:r>
    </w:p>
    <w:p w14:paraId="49D765E8">
      <w:pPr>
        <w:spacing w:line="360" w:lineRule="auto"/>
        <w:ind w:firstLine="482" w:firstLineChars="200"/>
        <w:outlineLvl w:val="9"/>
        <w:rPr>
          <w:rFonts w:ascii="仿宋" w:hAnsi="仿宋" w:eastAsia="仿宋" w:cs="仿宋"/>
          <w:color w:val="auto"/>
          <w:sz w:val="24"/>
          <w:szCs w:val="24"/>
        </w:rPr>
      </w:pPr>
      <w:r>
        <w:rPr>
          <w:rFonts w:hint="eastAsia" w:ascii="仿宋" w:hAnsi="仿宋" w:eastAsia="仿宋" w:cs="仿宋"/>
          <w:b/>
          <w:color w:val="auto"/>
          <w:sz w:val="24"/>
          <w:szCs w:val="24"/>
        </w:rPr>
        <w:drawing>
          <wp:anchor distT="0" distB="0" distL="114300" distR="114300" simplePos="0" relativeHeight="251659264" behindDoc="1" locked="0" layoutInCell="1" allowOverlap="1">
            <wp:simplePos x="0" y="0"/>
            <wp:positionH relativeFrom="column">
              <wp:posOffset>527050</wp:posOffset>
            </wp:positionH>
            <wp:positionV relativeFrom="paragraph">
              <wp:posOffset>3175</wp:posOffset>
            </wp:positionV>
            <wp:extent cx="4406265" cy="1849755"/>
            <wp:effectExtent l="0" t="0" r="51435" b="55245"/>
            <wp:wrapTight wrapText="bothSides">
              <wp:wrapPolygon>
                <wp:start x="0" y="0"/>
                <wp:lineTo x="0" y="21355"/>
                <wp:lineTo x="21479" y="21355"/>
                <wp:lineTo x="21479" y="0"/>
                <wp:lineTo x="0" y="0"/>
              </wp:wrapPolygon>
            </wp:wrapTight>
            <wp:docPr id="1" name="图片 2" descr="{DF$%WEWBEQTKGK@8J019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DF$%WEWBEQTKGK@8J019OJ"/>
                    <pic:cNvPicPr>
                      <a:picLocks noChangeAspect="1"/>
                    </pic:cNvPicPr>
                  </pic:nvPicPr>
                  <pic:blipFill>
                    <a:blip r:embed="rId10"/>
                    <a:stretch>
                      <a:fillRect/>
                    </a:stretch>
                  </pic:blipFill>
                  <pic:spPr>
                    <a:xfrm>
                      <a:off x="0" y="0"/>
                      <a:ext cx="4406265" cy="1849755"/>
                    </a:xfrm>
                    <a:prstGeom prst="rect">
                      <a:avLst/>
                    </a:prstGeom>
                    <a:noFill/>
                    <a:ln>
                      <a:noFill/>
                    </a:ln>
                  </pic:spPr>
                </pic:pic>
              </a:graphicData>
            </a:graphic>
          </wp:anchor>
        </w:drawing>
      </w:r>
    </w:p>
    <w:p w14:paraId="2934FD05">
      <w:pPr>
        <w:numPr>
          <w:ilvl w:val="1"/>
          <w:numId w:val="0"/>
        </w:numPr>
        <w:spacing w:before="0" w:after="0"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w:t>
      </w:r>
    </w:p>
    <w:p w14:paraId="49CA4C5E">
      <w:pPr>
        <w:spacing w:line="360" w:lineRule="auto"/>
        <w:ind w:firstLine="480" w:firstLineChars="200"/>
        <w:outlineLvl w:val="9"/>
        <w:rPr>
          <w:rFonts w:ascii="仿宋" w:hAnsi="仿宋" w:eastAsia="仿宋" w:cs="仿宋"/>
          <w:color w:val="auto"/>
          <w:sz w:val="24"/>
          <w:szCs w:val="24"/>
        </w:rPr>
      </w:pPr>
    </w:p>
    <w:p w14:paraId="07469A41">
      <w:pPr>
        <w:spacing w:line="360" w:lineRule="auto"/>
        <w:ind w:firstLine="480" w:firstLineChars="200"/>
        <w:outlineLvl w:val="9"/>
        <w:rPr>
          <w:rFonts w:ascii="仿宋" w:hAnsi="仿宋" w:eastAsia="仿宋" w:cs="仿宋"/>
          <w:color w:val="auto"/>
          <w:sz w:val="24"/>
          <w:szCs w:val="24"/>
        </w:rPr>
      </w:pPr>
    </w:p>
    <w:p w14:paraId="013020F0">
      <w:pPr>
        <w:spacing w:line="360" w:lineRule="auto"/>
        <w:ind w:firstLine="464" w:firstLineChars="200"/>
        <w:outlineLvl w:val="9"/>
        <w:rPr>
          <w:rFonts w:ascii="仿宋" w:hAnsi="仿宋" w:eastAsia="仿宋" w:cs="仿宋"/>
          <w:color w:val="auto"/>
          <w:spacing w:val="-4"/>
          <w:sz w:val="24"/>
          <w:szCs w:val="24"/>
        </w:rPr>
      </w:pPr>
    </w:p>
    <w:p w14:paraId="5DB5D6AA">
      <w:pPr>
        <w:spacing w:line="360" w:lineRule="auto"/>
        <w:ind w:firstLine="480" w:firstLineChars="200"/>
        <w:outlineLvl w:val="9"/>
        <w:rPr>
          <w:rFonts w:ascii="仿宋" w:hAnsi="仿宋" w:eastAsia="仿宋" w:cs="仿宋"/>
          <w:color w:val="auto"/>
          <w:sz w:val="24"/>
          <w:szCs w:val="24"/>
        </w:rPr>
      </w:pPr>
    </w:p>
    <w:p w14:paraId="257B432F">
      <w:pPr>
        <w:spacing w:line="360" w:lineRule="auto"/>
        <w:ind w:firstLine="480" w:firstLineChars="200"/>
        <w:outlineLvl w:val="9"/>
        <w:rPr>
          <w:rFonts w:hint="eastAsia" w:ascii="仿宋" w:hAnsi="仿宋" w:eastAsia="仿宋" w:cs="仿宋"/>
          <w:color w:val="auto"/>
          <w:sz w:val="24"/>
          <w:szCs w:val="24"/>
        </w:rPr>
      </w:pPr>
    </w:p>
    <w:p w14:paraId="5EA5BDF3">
      <w:pPr>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⑵</w:t>
      </w:r>
      <w:r>
        <w:rPr>
          <w:rFonts w:hint="eastAsia" w:ascii="仿宋" w:hAnsi="仿宋" w:eastAsia="仿宋" w:cs="仿宋"/>
          <w:color w:val="auto"/>
          <w:sz w:val="24"/>
          <w:szCs w:val="24"/>
        </w:rPr>
        <w:t>评审费按实计取，由中标人领取中标通知书时将这笔费用支付给</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w:t>
      </w:r>
    </w:p>
    <w:p w14:paraId="415A05F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账户名称：衢州市两山工程咨询管理有限公司</w:t>
      </w:r>
    </w:p>
    <w:p w14:paraId="0C16EA1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账户号码：901000120190028568</w:t>
      </w:r>
    </w:p>
    <w:p w14:paraId="592A393C">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开户银行：温州银行衢州分行</w:t>
      </w:r>
    </w:p>
    <w:p w14:paraId="3B53D206">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bCs/>
          <w:color w:val="auto"/>
          <w:kern w:val="2"/>
          <w:sz w:val="24"/>
          <w:szCs w:val="24"/>
          <w:lang w:val="en-US" w:eastAsia="zh-CN" w:bidi="ar-SA"/>
        </w:rPr>
        <w:t>⑶</w:t>
      </w:r>
      <w:r>
        <w:rPr>
          <w:rFonts w:hint="eastAsia" w:ascii="仿宋" w:hAnsi="仿宋" w:eastAsia="仿宋" w:cs="仿宋"/>
          <w:color w:val="auto"/>
          <w:sz w:val="24"/>
          <w:szCs w:val="24"/>
        </w:rPr>
        <w:t>本次采购进场交易费用：项目的进场交易服务费（100%）由中标人支付给产权交易中心。根据衢州市产权交易中心有限公司国有企业采购进场交易费用收费标准执行。对公汇入以下账户，并备注项目名称（若个人汇入需写代缴说明加盖公章）。</w:t>
      </w:r>
    </w:p>
    <w:p w14:paraId="506F7513">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账户名称：衢州市产权交易中心有限公司</w:t>
      </w:r>
    </w:p>
    <w:p w14:paraId="4D289626">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账户号码：1209210009049028267</w:t>
      </w:r>
    </w:p>
    <w:p w14:paraId="4480689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开户银行：中国工商银行股份有限公司衢州南湖支行</w:t>
      </w:r>
    </w:p>
    <w:tbl>
      <w:tblPr>
        <w:tblStyle w:val="23"/>
        <w:tblW w:w="9038" w:type="dxa"/>
        <w:jc w:val="center"/>
        <w:tblLayout w:type="fixed"/>
        <w:tblCellMar>
          <w:top w:w="0" w:type="dxa"/>
          <w:left w:w="0" w:type="dxa"/>
          <w:bottom w:w="0" w:type="dxa"/>
          <w:right w:w="0" w:type="dxa"/>
        </w:tblCellMar>
      </w:tblPr>
      <w:tblGrid>
        <w:gridCol w:w="2535"/>
        <w:gridCol w:w="2712"/>
        <w:gridCol w:w="3791"/>
      </w:tblGrid>
      <w:tr w14:paraId="7B59F175">
        <w:tblPrEx>
          <w:tblCellMar>
            <w:top w:w="0" w:type="dxa"/>
            <w:left w:w="0" w:type="dxa"/>
            <w:bottom w:w="0" w:type="dxa"/>
            <w:right w:w="0" w:type="dxa"/>
          </w:tblCellMar>
        </w:tblPrEx>
        <w:trPr>
          <w:trHeight w:val="446"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A1A7C19">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中标价</w:t>
            </w:r>
          </w:p>
        </w:tc>
        <w:tc>
          <w:tcPr>
            <w:tcW w:w="2712"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46516DED">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分档收费标准</w:t>
            </w:r>
          </w:p>
        </w:tc>
        <w:tc>
          <w:tcPr>
            <w:tcW w:w="3791"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135EB4C6">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备注</w:t>
            </w:r>
          </w:p>
        </w:tc>
      </w:tr>
      <w:tr w14:paraId="38CBD492">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566F2CA">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100万（含）以下</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251130ED">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1000元</w:t>
            </w:r>
          </w:p>
        </w:tc>
        <w:tc>
          <w:tcPr>
            <w:tcW w:w="3791" w:type="dxa"/>
            <w:vMerge w:val="restart"/>
            <w:tcBorders>
              <w:top w:val="nil"/>
              <w:left w:val="nil"/>
              <w:bottom w:val="single" w:color="000000" w:sz="4" w:space="0"/>
              <w:right w:val="single" w:color="000000" w:sz="4" w:space="0"/>
            </w:tcBorders>
            <w:tcMar>
              <w:top w:w="15" w:type="dxa"/>
              <w:left w:w="15" w:type="dxa"/>
              <w:bottom w:w="0" w:type="dxa"/>
              <w:right w:w="15" w:type="dxa"/>
            </w:tcMar>
            <w:vAlign w:val="center"/>
          </w:tcPr>
          <w:p w14:paraId="04984867">
            <w:pPr>
              <w:autoSpaceDE w:val="0"/>
              <w:spacing w:line="360" w:lineRule="auto"/>
              <w:ind w:firstLine="480" w:firstLineChars="200"/>
              <w:jc w:val="left"/>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1.费用由采购单位和中标单位各承担50%或按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约定的承担比例支付给产交中心；</w:t>
            </w:r>
          </w:p>
          <w:p w14:paraId="6E62C61F">
            <w:pPr>
              <w:autoSpaceDE w:val="0"/>
              <w:spacing w:line="360" w:lineRule="auto"/>
              <w:ind w:firstLine="480" w:firstLineChars="200"/>
              <w:jc w:val="left"/>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2.项目废标后再次进场交易的由最终的中标单位及采购单位各承担50%或按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约定的承担比例执行，废标后不再进场交易的项目由采购单位按照第二档100万-200万（含）的收费标准承担50%（即：800元）；</w:t>
            </w:r>
          </w:p>
          <w:p w14:paraId="59FC3A08">
            <w:pPr>
              <w:autoSpaceDE w:val="0"/>
              <w:spacing w:line="360" w:lineRule="auto"/>
              <w:ind w:firstLine="480" w:firstLineChars="200"/>
              <w:jc w:val="left"/>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3.项目分标段（包）的，按标段（包）进行收费，一个标段（包）收取一次费用；</w:t>
            </w:r>
          </w:p>
          <w:p w14:paraId="6D137824">
            <w:pPr>
              <w:autoSpaceDE w:val="0"/>
              <w:spacing w:line="360" w:lineRule="auto"/>
              <w:ind w:firstLine="480" w:firstLineChars="200"/>
              <w:jc w:val="left"/>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4.无法确定交易（中标）金额的项目，按照第二档100万-200万（含）的收费标准执行。</w:t>
            </w:r>
          </w:p>
        </w:tc>
      </w:tr>
      <w:tr w14:paraId="6E849391">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E32C037">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100万-200万（含）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6DCC3822">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1600元</w:t>
            </w:r>
          </w:p>
        </w:tc>
        <w:tc>
          <w:tcPr>
            <w:tcW w:w="3791" w:type="dxa"/>
            <w:vMerge w:val="continue"/>
            <w:tcBorders>
              <w:top w:val="nil"/>
              <w:left w:val="nil"/>
              <w:bottom w:val="single" w:color="000000" w:sz="4" w:space="0"/>
              <w:right w:val="single" w:color="000000" w:sz="4" w:space="0"/>
            </w:tcBorders>
            <w:vAlign w:val="center"/>
          </w:tcPr>
          <w:p w14:paraId="6C604E61">
            <w:pPr>
              <w:spacing w:line="360" w:lineRule="auto"/>
              <w:jc w:val="center"/>
              <w:outlineLvl w:val="9"/>
              <w:rPr>
                <w:rFonts w:ascii="仿宋" w:hAnsi="仿宋" w:eastAsia="仿宋" w:cs="仿宋"/>
                <w:bCs/>
                <w:color w:val="auto"/>
                <w:sz w:val="24"/>
                <w:szCs w:val="24"/>
              </w:rPr>
            </w:pPr>
          </w:p>
        </w:tc>
      </w:tr>
      <w:tr w14:paraId="73E84BD8">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3D06BB2">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200万-500万（含）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674A9CED">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4000元</w:t>
            </w:r>
          </w:p>
        </w:tc>
        <w:tc>
          <w:tcPr>
            <w:tcW w:w="3791" w:type="dxa"/>
            <w:vMerge w:val="continue"/>
            <w:tcBorders>
              <w:top w:val="nil"/>
              <w:left w:val="nil"/>
              <w:bottom w:val="single" w:color="000000" w:sz="4" w:space="0"/>
              <w:right w:val="single" w:color="000000" w:sz="4" w:space="0"/>
            </w:tcBorders>
            <w:vAlign w:val="center"/>
          </w:tcPr>
          <w:p w14:paraId="2E66A4DE">
            <w:pPr>
              <w:spacing w:line="360" w:lineRule="auto"/>
              <w:jc w:val="center"/>
              <w:outlineLvl w:val="9"/>
              <w:rPr>
                <w:rFonts w:ascii="仿宋" w:hAnsi="仿宋" w:eastAsia="仿宋" w:cs="仿宋"/>
                <w:bCs/>
                <w:color w:val="auto"/>
                <w:sz w:val="24"/>
                <w:szCs w:val="24"/>
              </w:rPr>
            </w:pPr>
          </w:p>
        </w:tc>
      </w:tr>
      <w:tr w14:paraId="40EC9247">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99F21C6">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500万-1000万（含）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535F807E">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12000元</w:t>
            </w:r>
          </w:p>
        </w:tc>
        <w:tc>
          <w:tcPr>
            <w:tcW w:w="3791" w:type="dxa"/>
            <w:vMerge w:val="continue"/>
            <w:tcBorders>
              <w:top w:val="nil"/>
              <w:left w:val="nil"/>
              <w:bottom w:val="single" w:color="000000" w:sz="4" w:space="0"/>
              <w:right w:val="single" w:color="000000" w:sz="4" w:space="0"/>
            </w:tcBorders>
            <w:vAlign w:val="center"/>
          </w:tcPr>
          <w:p w14:paraId="5AEEC05D">
            <w:pPr>
              <w:spacing w:line="360" w:lineRule="auto"/>
              <w:jc w:val="center"/>
              <w:outlineLvl w:val="9"/>
              <w:rPr>
                <w:rFonts w:ascii="仿宋" w:hAnsi="仿宋" w:eastAsia="仿宋" w:cs="仿宋"/>
                <w:bCs/>
                <w:color w:val="auto"/>
                <w:sz w:val="24"/>
                <w:szCs w:val="24"/>
              </w:rPr>
            </w:pPr>
          </w:p>
        </w:tc>
      </w:tr>
      <w:tr w14:paraId="04BFEB38">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3D27A71">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1000万-2000万（含）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1F90EB8F">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20000元</w:t>
            </w:r>
          </w:p>
        </w:tc>
        <w:tc>
          <w:tcPr>
            <w:tcW w:w="3791" w:type="dxa"/>
            <w:vMerge w:val="continue"/>
            <w:tcBorders>
              <w:top w:val="nil"/>
              <w:left w:val="nil"/>
              <w:bottom w:val="single" w:color="000000" w:sz="4" w:space="0"/>
              <w:right w:val="single" w:color="000000" w:sz="4" w:space="0"/>
            </w:tcBorders>
            <w:vAlign w:val="center"/>
          </w:tcPr>
          <w:p w14:paraId="0E2FFC74">
            <w:pPr>
              <w:spacing w:line="360" w:lineRule="auto"/>
              <w:jc w:val="center"/>
              <w:outlineLvl w:val="9"/>
              <w:rPr>
                <w:rFonts w:ascii="仿宋" w:hAnsi="仿宋" w:eastAsia="仿宋" w:cs="仿宋"/>
                <w:bCs/>
                <w:color w:val="auto"/>
                <w:sz w:val="24"/>
                <w:szCs w:val="24"/>
              </w:rPr>
            </w:pPr>
          </w:p>
        </w:tc>
      </w:tr>
      <w:tr w14:paraId="6D539C62">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08AEDC8">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2000万-5000万（含）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248B919E">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30000元</w:t>
            </w:r>
          </w:p>
        </w:tc>
        <w:tc>
          <w:tcPr>
            <w:tcW w:w="3791" w:type="dxa"/>
            <w:vMerge w:val="continue"/>
            <w:tcBorders>
              <w:top w:val="nil"/>
              <w:left w:val="nil"/>
              <w:bottom w:val="single" w:color="000000" w:sz="4" w:space="0"/>
              <w:right w:val="single" w:color="000000" w:sz="4" w:space="0"/>
            </w:tcBorders>
            <w:vAlign w:val="center"/>
          </w:tcPr>
          <w:p w14:paraId="2656BE5B">
            <w:pPr>
              <w:spacing w:line="360" w:lineRule="auto"/>
              <w:jc w:val="center"/>
              <w:outlineLvl w:val="9"/>
              <w:rPr>
                <w:rFonts w:ascii="仿宋" w:hAnsi="仿宋" w:eastAsia="仿宋" w:cs="仿宋"/>
                <w:bCs/>
                <w:color w:val="auto"/>
                <w:sz w:val="24"/>
                <w:szCs w:val="24"/>
              </w:rPr>
            </w:pPr>
          </w:p>
        </w:tc>
      </w:tr>
      <w:tr w14:paraId="2D01A85B">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7B2EF3B">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5000万-1亿（含）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2BCB97DE">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40000元</w:t>
            </w:r>
          </w:p>
        </w:tc>
        <w:tc>
          <w:tcPr>
            <w:tcW w:w="3791" w:type="dxa"/>
            <w:vMerge w:val="continue"/>
            <w:tcBorders>
              <w:top w:val="nil"/>
              <w:left w:val="nil"/>
              <w:bottom w:val="single" w:color="000000" w:sz="4" w:space="0"/>
              <w:right w:val="single" w:color="000000" w:sz="4" w:space="0"/>
            </w:tcBorders>
            <w:vAlign w:val="center"/>
          </w:tcPr>
          <w:p w14:paraId="6C90CE2E">
            <w:pPr>
              <w:spacing w:line="360" w:lineRule="auto"/>
              <w:jc w:val="center"/>
              <w:outlineLvl w:val="9"/>
              <w:rPr>
                <w:rFonts w:ascii="仿宋" w:hAnsi="仿宋" w:eastAsia="仿宋" w:cs="仿宋"/>
                <w:bCs/>
                <w:color w:val="auto"/>
                <w:sz w:val="24"/>
                <w:szCs w:val="24"/>
              </w:rPr>
            </w:pPr>
          </w:p>
        </w:tc>
      </w:tr>
      <w:tr w14:paraId="6F301501">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8FD8F09">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1亿-5亿（含）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17147769">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60000元</w:t>
            </w:r>
          </w:p>
        </w:tc>
        <w:tc>
          <w:tcPr>
            <w:tcW w:w="3791" w:type="dxa"/>
            <w:vMerge w:val="continue"/>
            <w:tcBorders>
              <w:top w:val="nil"/>
              <w:left w:val="nil"/>
              <w:bottom w:val="single" w:color="000000" w:sz="4" w:space="0"/>
              <w:right w:val="single" w:color="000000" w:sz="4" w:space="0"/>
            </w:tcBorders>
            <w:vAlign w:val="center"/>
          </w:tcPr>
          <w:p w14:paraId="42619E6A">
            <w:pPr>
              <w:spacing w:line="360" w:lineRule="auto"/>
              <w:jc w:val="center"/>
              <w:outlineLvl w:val="9"/>
              <w:rPr>
                <w:rFonts w:ascii="仿宋" w:hAnsi="仿宋" w:eastAsia="仿宋" w:cs="仿宋"/>
                <w:bCs/>
                <w:color w:val="auto"/>
                <w:sz w:val="24"/>
                <w:szCs w:val="24"/>
              </w:rPr>
            </w:pPr>
          </w:p>
        </w:tc>
      </w:tr>
      <w:tr w14:paraId="5F5912B4">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F5B56D0">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5亿-10亿（含）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291768E9">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80000元</w:t>
            </w:r>
          </w:p>
        </w:tc>
        <w:tc>
          <w:tcPr>
            <w:tcW w:w="3791" w:type="dxa"/>
            <w:vMerge w:val="continue"/>
            <w:tcBorders>
              <w:top w:val="nil"/>
              <w:left w:val="nil"/>
              <w:bottom w:val="single" w:color="000000" w:sz="4" w:space="0"/>
              <w:right w:val="single" w:color="000000" w:sz="4" w:space="0"/>
            </w:tcBorders>
            <w:vAlign w:val="center"/>
          </w:tcPr>
          <w:p w14:paraId="1131B939">
            <w:pPr>
              <w:spacing w:line="360" w:lineRule="auto"/>
              <w:jc w:val="center"/>
              <w:outlineLvl w:val="9"/>
              <w:rPr>
                <w:rFonts w:ascii="仿宋" w:hAnsi="仿宋" w:eastAsia="仿宋" w:cs="仿宋"/>
                <w:bCs/>
                <w:color w:val="auto"/>
                <w:sz w:val="24"/>
                <w:szCs w:val="24"/>
              </w:rPr>
            </w:pPr>
          </w:p>
        </w:tc>
      </w:tr>
      <w:tr w14:paraId="2C7B5BC8">
        <w:tblPrEx>
          <w:tblCellMar>
            <w:top w:w="0" w:type="dxa"/>
            <w:left w:w="0" w:type="dxa"/>
            <w:bottom w:w="0" w:type="dxa"/>
            <w:right w:w="0" w:type="dxa"/>
          </w:tblCellMar>
        </w:tblPrEx>
        <w:trPr>
          <w:trHeight w:val="838"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62588D4">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10亿以上</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7B927C02">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100000元</w:t>
            </w:r>
          </w:p>
        </w:tc>
        <w:tc>
          <w:tcPr>
            <w:tcW w:w="3791" w:type="dxa"/>
            <w:vMerge w:val="continue"/>
            <w:tcBorders>
              <w:top w:val="nil"/>
              <w:left w:val="nil"/>
              <w:bottom w:val="single" w:color="000000" w:sz="4" w:space="0"/>
              <w:right w:val="single" w:color="000000" w:sz="4" w:space="0"/>
            </w:tcBorders>
            <w:vAlign w:val="center"/>
          </w:tcPr>
          <w:p w14:paraId="68951E43">
            <w:pPr>
              <w:spacing w:line="360" w:lineRule="auto"/>
              <w:jc w:val="center"/>
              <w:outlineLvl w:val="9"/>
              <w:rPr>
                <w:rFonts w:ascii="仿宋" w:hAnsi="仿宋" w:eastAsia="仿宋" w:cs="仿宋"/>
                <w:bCs/>
                <w:color w:val="auto"/>
                <w:sz w:val="24"/>
                <w:szCs w:val="24"/>
              </w:rPr>
            </w:pPr>
          </w:p>
        </w:tc>
      </w:tr>
    </w:tbl>
    <w:p w14:paraId="0485F7E1">
      <w:pPr>
        <w:spacing w:line="360" w:lineRule="auto"/>
        <w:ind w:firstLine="480" w:firstLineChars="200"/>
        <w:outlineLvl w:val="9"/>
        <w:rPr>
          <w:rFonts w:ascii="仿宋" w:hAnsi="仿宋" w:eastAsia="仿宋" w:cs="仿宋"/>
          <w:bCs/>
          <w:color w:val="auto"/>
          <w:sz w:val="24"/>
          <w:szCs w:val="24"/>
        </w:rPr>
      </w:pPr>
      <w:r>
        <w:rPr>
          <w:rFonts w:hint="eastAsia" w:ascii="仿宋" w:hAnsi="仿宋" w:eastAsia="仿宋" w:cs="仿宋"/>
          <w:bCs/>
          <w:color w:val="auto"/>
          <w:kern w:val="2"/>
          <w:sz w:val="24"/>
          <w:szCs w:val="24"/>
          <w:lang w:val="en-US" w:eastAsia="zh-CN" w:bidi="ar-SA"/>
        </w:rPr>
        <w:t>⑷</w:t>
      </w:r>
      <w:r>
        <w:rPr>
          <w:rFonts w:hint="eastAsia" w:ascii="仿宋" w:hAnsi="仿宋" w:eastAsia="仿宋" w:cs="仿宋"/>
          <w:color w:val="auto"/>
          <w:sz w:val="24"/>
          <w:szCs w:val="24"/>
        </w:rPr>
        <w:t>以上费用不在报价中单列，请各投标人在报价时考虑。</w:t>
      </w:r>
    </w:p>
    <w:p w14:paraId="434EC6B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4</w:t>
      </w:r>
      <w:bookmarkEnd w:id="79"/>
      <w:r>
        <w:rPr>
          <w:rFonts w:hint="eastAsia" w:ascii="仿宋" w:hAnsi="仿宋" w:eastAsia="仿宋" w:cs="仿宋"/>
          <w:bCs/>
          <w:color w:val="auto"/>
          <w:sz w:val="24"/>
          <w:szCs w:val="24"/>
        </w:rPr>
        <w:t>.解释权</w:t>
      </w:r>
    </w:p>
    <w:p w14:paraId="58DB3D05">
      <w:pPr>
        <w:pStyle w:val="32"/>
        <w:spacing w:line="360" w:lineRule="auto"/>
        <w:ind w:firstLine="480" w:firstLineChars="200"/>
        <w:jc w:val="left"/>
        <w:outlineLvl w:val="9"/>
        <w:rPr>
          <w:rFonts w:ascii="仿宋" w:hAnsi="仿宋" w:eastAsia="仿宋" w:cs="仿宋"/>
          <w:bCs/>
          <w:color w:val="auto"/>
          <w:sz w:val="24"/>
          <w:szCs w:val="24"/>
        </w:rPr>
        <w:sectPr>
          <w:footerReference r:id="rId4" w:type="default"/>
          <w:pgSz w:w="11922" w:h="16838"/>
          <w:pgMar w:top="1304" w:right="1304" w:bottom="1304" w:left="1304" w:header="397" w:footer="1037" w:gutter="0"/>
          <w:pgNumType w:fmt="decimal"/>
          <w:cols w:space="0" w:num="1"/>
        </w:sectPr>
      </w:pPr>
      <w:r>
        <w:rPr>
          <w:rFonts w:hint="eastAsia" w:ascii="仿宋" w:hAnsi="仿宋" w:eastAsia="仿宋" w:cs="仿宋"/>
          <w:bCs/>
          <w:color w:val="auto"/>
          <w:sz w:val="24"/>
          <w:szCs w:val="24"/>
        </w:rPr>
        <w:t>凡涉及本次文件的解释权均属于</w:t>
      </w:r>
      <w:r>
        <w:rPr>
          <w:rFonts w:hint="eastAsia" w:ascii="仿宋" w:hAnsi="仿宋" w:eastAsia="仿宋" w:cs="仿宋"/>
          <w:bCs/>
          <w:color w:val="auto"/>
          <w:sz w:val="24"/>
          <w:szCs w:val="24"/>
          <w:lang w:eastAsia="zh-CN"/>
        </w:rPr>
        <w:t>马迭尔食品（浙江）有限公司</w:t>
      </w:r>
      <w:r>
        <w:rPr>
          <w:rFonts w:hint="eastAsia" w:ascii="仿宋" w:hAnsi="仿宋" w:eastAsia="仿宋" w:cs="仿宋"/>
          <w:bCs/>
          <w:color w:val="auto"/>
          <w:sz w:val="24"/>
          <w:szCs w:val="24"/>
        </w:rPr>
        <w:t>和</w:t>
      </w:r>
      <w:r>
        <w:rPr>
          <w:rFonts w:hint="eastAsia" w:ascii="仿宋" w:hAnsi="仿宋" w:eastAsia="仿宋" w:cs="仿宋"/>
          <w:color w:val="auto"/>
          <w:sz w:val="24"/>
          <w:szCs w:val="24"/>
        </w:rPr>
        <w:t>衢州市两山工程咨询管理有限公司</w:t>
      </w:r>
      <w:r>
        <w:rPr>
          <w:rFonts w:hint="eastAsia" w:ascii="仿宋" w:hAnsi="仿宋" w:eastAsia="仿宋" w:cs="仿宋"/>
          <w:bCs/>
          <w:color w:val="auto"/>
          <w:sz w:val="24"/>
          <w:szCs w:val="24"/>
        </w:rPr>
        <w:t>。</w:t>
      </w:r>
    </w:p>
    <w:p w14:paraId="5B8EA842">
      <w:pPr>
        <w:spacing w:line="360" w:lineRule="auto"/>
        <w:jc w:val="center"/>
        <w:outlineLvl w:val="0"/>
        <w:rPr>
          <w:rFonts w:ascii="仿宋" w:hAnsi="仿宋" w:eastAsia="仿宋" w:cs="仿宋"/>
          <w:b/>
          <w:color w:val="auto"/>
          <w:sz w:val="28"/>
          <w:szCs w:val="28"/>
          <w:highlight w:val="none"/>
        </w:rPr>
      </w:pPr>
      <w:r>
        <w:rPr>
          <w:rFonts w:hint="eastAsia" w:ascii="仿宋" w:hAnsi="仿宋" w:eastAsia="仿宋" w:cs="仿宋"/>
          <w:color w:val="auto"/>
          <w:sz w:val="28"/>
          <w:szCs w:val="28"/>
          <w:highlight w:val="none"/>
        </w:rPr>
        <w:t xml:space="preserve">  </w:t>
      </w:r>
      <w:bookmarkStart w:id="80" w:name="_Toc18603"/>
      <w:bookmarkStart w:id="81" w:name="_Toc28925"/>
      <w:r>
        <w:rPr>
          <w:rFonts w:hint="eastAsia" w:ascii="仿宋" w:hAnsi="仿宋" w:eastAsia="仿宋" w:cs="仿宋"/>
          <w:b/>
          <w:color w:val="auto"/>
          <w:sz w:val="28"/>
          <w:szCs w:val="28"/>
          <w:highlight w:val="none"/>
        </w:rPr>
        <w:t xml:space="preserve">第三章 </w:t>
      </w:r>
      <w:bookmarkStart w:id="82" w:name="_Toc8641"/>
      <w:bookmarkStart w:id="83" w:name="_Toc4809"/>
      <w:bookmarkStart w:id="84" w:name="_Toc1243"/>
      <w:bookmarkStart w:id="85" w:name="_Toc31814"/>
      <w:bookmarkStart w:id="86" w:name="_Toc7682"/>
      <w:bookmarkStart w:id="87" w:name="_Toc12467"/>
      <w:bookmarkStart w:id="88" w:name="_Toc8579"/>
      <w:bookmarkStart w:id="89" w:name="_Toc19965"/>
      <w:bookmarkStart w:id="90" w:name="_Toc23780"/>
      <w:r>
        <w:rPr>
          <w:rFonts w:hint="eastAsia" w:ascii="仿宋" w:hAnsi="仿宋" w:eastAsia="仿宋" w:cs="仿宋"/>
          <w:b/>
          <w:color w:val="auto"/>
          <w:sz w:val="28"/>
          <w:szCs w:val="28"/>
          <w:highlight w:val="none"/>
        </w:rPr>
        <w:t>采购内容及要求</w:t>
      </w:r>
      <w:bookmarkEnd w:id="80"/>
      <w:bookmarkEnd w:id="81"/>
      <w:bookmarkEnd w:id="82"/>
      <w:bookmarkEnd w:id="83"/>
      <w:bookmarkEnd w:id="84"/>
      <w:bookmarkEnd w:id="85"/>
      <w:bookmarkEnd w:id="86"/>
      <w:bookmarkEnd w:id="87"/>
      <w:bookmarkEnd w:id="88"/>
      <w:bookmarkEnd w:id="89"/>
      <w:bookmarkEnd w:id="90"/>
    </w:p>
    <w:p w14:paraId="4CB8AEC3">
      <w:pPr>
        <w:keepNext w:val="0"/>
        <w:keepLines w:val="0"/>
        <w:pageBreakBefore w:val="0"/>
        <w:widowControl w:val="0"/>
        <w:kinsoku/>
        <w:wordWrap/>
        <w:overflowPunct/>
        <w:topLinePunct w:val="0"/>
        <w:autoSpaceDE/>
        <w:autoSpaceDN/>
        <w:bidi w:val="0"/>
        <w:adjustRightInd/>
        <w:snapToGrid/>
        <w:spacing w:line="360" w:lineRule="auto"/>
        <w:ind w:left="14" w:firstLine="464" w:firstLineChars="200"/>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4"/>
          <w:sz w:val="24"/>
          <w:szCs w:val="24"/>
          <w:highlight w:val="none"/>
        </w:rPr>
        <w:t>一、</w:t>
      </w:r>
      <w:r>
        <w:rPr>
          <w:rFonts w:hint="eastAsia" w:ascii="仿宋" w:hAnsi="仿宋" w:eastAsia="仿宋" w:cs="仿宋"/>
          <w:b/>
          <w:bCs/>
          <w:color w:val="auto"/>
          <w:spacing w:val="-4"/>
          <w:sz w:val="24"/>
          <w:szCs w:val="24"/>
          <w:highlight w:val="none"/>
          <w:lang w:val="en-US" w:eastAsia="zh-CN"/>
        </w:rPr>
        <w:t>项目背景</w:t>
      </w:r>
    </w:p>
    <w:p w14:paraId="6A066893">
      <w:pPr>
        <w:keepNext w:val="0"/>
        <w:keepLines w:val="0"/>
        <w:pageBreakBefore w:val="0"/>
        <w:widowControl w:val="0"/>
        <w:kinsoku/>
        <w:wordWrap/>
        <w:overflowPunct/>
        <w:topLinePunct w:val="0"/>
        <w:autoSpaceDE/>
        <w:autoSpaceDN/>
        <w:bidi w:val="0"/>
        <w:adjustRightInd/>
        <w:snapToGrid/>
        <w:spacing w:line="360" w:lineRule="auto"/>
        <w:ind w:left="12" w:firstLine="479"/>
        <w:jc w:val="both"/>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12"/>
          <w:sz w:val="24"/>
          <w:szCs w:val="24"/>
          <w:highlight w:val="none"/>
        </w:rPr>
        <w:t>根据</w:t>
      </w:r>
      <w:r>
        <w:rPr>
          <w:rFonts w:hint="eastAsia" w:ascii="仿宋" w:hAnsi="仿宋" w:eastAsia="仿宋" w:cs="仿宋"/>
          <w:color w:val="auto"/>
          <w:spacing w:val="-12"/>
          <w:sz w:val="24"/>
          <w:szCs w:val="24"/>
          <w:highlight w:val="none"/>
          <w:lang w:val="en-US" w:eastAsia="zh-CN"/>
        </w:rPr>
        <w:t>招标人</w:t>
      </w:r>
      <w:r>
        <w:rPr>
          <w:rFonts w:ascii="仿宋" w:hAnsi="仿宋" w:eastAsia="仿宋" w:cs="仿宋"/>
          <w:color w:val="auto"/>
          <w:spacing w:val="-12"/>
          <w:sz w:val="24"/>
          <w:szCs w:val="24"/>
          <w:highlight w:val="none"/>
        </w:rPr>
        <w:t>目前的运营模式，</w:t>
      </w:r>
      <w:r>
        <w:rPr>
          <w:rFonts w:hint="eastAsia" w:ascii="仿宋" w:hAnsi="仿宋" w:eastAsia="仿宋" w:cs="仿宋"/>
          <w:color w:val="auto"/>
          <w:spacing w:val="-12"/>
          <w:sz w:val="24"/>
          <w:szCs w:val="24"/>
          <w:highlight w:val="none"/>
          <w:lang w:val="en-US" w:eastAsia="zh-CN"/>
        </w:rPr>
        <w:t>马迭尔1906系列产品（冰棍、奶糕、冰淇淋、冰糕）</w:t>
      </w:r>
      <w:r>
        <w:rPr>
          <w:rFonts w:ascii="仿宋" w:hAnsi="仿宋" w:eastAsia="仿宋" w:cs="仿宋"/>
          <w:color w:val="auto"/>
          <w:spacing w:val="-1"/>
          <w:sz w:val="24"/>
          <w:szCs w:val="24"/>
          <w:highlight w:val="none"/>
        </w:rPr>
        <w:t>的仓储物流由</w:t>
      </w:r>
      <w:r>
        <w:rPr>
          <w:rFonts w:hint="eastAsia" w:ascii="仿宋" w:hAnsi="仿宋" w:eastAsia="仿宋" w:cs="仿宋"/>
          <w:color w:val="auto"/>
          <w:spacing w:val="-1"/>
          <w:sz w:val="24"/>
          <w:szCs w:val="24"/>
          <w:highlight w:val="none"/>
          <w:lang w:val="en-US" w:eastAsia="zh-CN"/>
        </w:rPr>
        <w:t>采购中心</w:t>
      </w:r>
      <w:r>
        <w:rPr>
          <w:rFonts w:ascii="仿宋" w:hAnsi="仿宋" w:eastAsia="仿宋" w:cs="仿宋"/>
          <w:color w:val="auto"/>
          <w:spacing w:val="-1"/>
          <w:sz w:val="24"/>
          <w:szCs w:val="24"/>
          <w:highlight w:val="none"/>
        </w:rPr>
        <w:t>全面</w:t>
      </w:r>
      <w:r>
        <w:rPr>
          <w:rFonts w:ascii="仿宋" w:hAnsi="仿宋" w:eastAsia="仿宋" w:cs="仿宋"/>
          <w:color w:val="auto"/>
          <w:spacing w:val="-3"/>
          <w:sz w:val="24"/>
          <w:szCs w:val="24"/>
          <w:highlight w:val="none"/>
        </w:rPr>
        <w:t>统筹，为保障202</w:t>
      </w:r>
      <w:r>
        <w:rPr>
          <w:rFonts w:hint="eastAsia" w:ascii="仿宋" w:hAnsi="仿宋" w:eastAsia="仿宋" w:cs="仿宋"/>
          <w:color w:val="auto"/>
          <w:spacing w:val="-3"/>
          <w:sz w:val="24"/>
          <w:szCs w:val="24"/>
          <w:highlight w:val="none"/>
          <w:lang w:val="en-US" w:eastAsia="zh-CN"/>
        </w:rPr>
        <w:t>5</w:t>
      </w:r>
      <w:r>
        <w:rPr>
          <w:rFonts w:ascii="仿宋" w:hAnsi="仿宋" w:eastAsia="仿宋" w:cs="仿宋"/>
          <w:color w:val="auto"/>
          <w:spacing w:val="-25"/>
          <w:sz w:val="24"/>
          <w:szCs w:val="24"/>
          <w:highlight w:val="none"/>
        </w:rPr>
        <w:t xml:space="preserve"> </w:t>
      </w:r>
      <w:r>
        <w:rPr>
          <w:rFonts w:ascii="仿宋" w:hAnsi="仿宋" w:eastAsia="仿宋" w:cs="仿宋"/>
          <w:color w:val="auto"/>
          <w:spacing w:val="-3"/>
          <w:sz w:val="24"/>
          <w:szCs w:val="24"/>
          <w:highlight w:val="none"/>
        </w:rPr>
        <w:t>业务工作顺利开展，需采购第三方公司物流服务</w:t>
      </w:r>
      <w:r>
        <w:rPr>
          <w:rFonts w:hint="eastAsia" w:ascii="仿宋" w:hAnsi="仿宋" w:eastAsia="仿宋" w:cs="仿宋"/>
          <w:color w:val="auto"/>
          <w:spacing w:val="-3"/>
          <w:sz w:val="24"/>
          <w:szCs w:val="24"/>
          <w:highlight w:val="none"/>
          <w:lang w:eastAsia="zh-CN"/>
        </w:rPr>
        <w:t>。</w:t>
      </w:r>
    </w:p>
    <w:p w14:paraId="59430F6A">
      <w:pPr>
        <w:keepNext w:val="0"/>
        <w:keepLines w:val="0"/>
        <w:pageBreakBefore w:val="0"/>
        <w:widowControl w:val="0"/>
        <w:kinsoku/>
        <w:wordWrap/>
        <w:overflowPunct/>
        <w:topLinePunct w:val="0"/>
        <w:autoSpaceDE/>
        <w:autoSpaceDN/>
        <w:bidi w:val="0"/>
        <w:adjustRightInd/>
        <w:snapToGrid/>
        <w:spacing w:line="360" w:lineRule="auto"/>
        <w:ind w:left="37" w:right="76" w:firstLine="463"/>
        <w:textAlignment w:val="auto"/>
        <w:rPr>
          <w:rFonts w:hint="eastAsia" w:ascii="仿宋" w:hAnsi="仿宋" w:eastAsia="仿宋" w:cs="仿宋"/>
          <w:b/>
          <w:bCs/>
          <w:color w:val="auto"/>
          <w:spacing w:val="-4"/>
          <w:sz w:val="24"/>
          <w:szCs w:val="24"/>
          <w:highlight w:val="none"/>
          <w:lang w:val="en-US" w:eastAsia="zh-CN"/>
        </w:rPr>
      </w:pPr>
      <w:r>
        <w:rPr>
          <w:rFonts w:hint="eastAsia" w:ascii="仿宋" w:hAnsi="仿宋" w:eastAsia="仿宋" w:cs="仿宋"/>
          <w:b/>
          <w:bCs/>
          <w:color w:val="auto"/>
          <w:spacing w:val="-4"/>
          <w:sz w:val="24"/>
          <w:szCs w:val="24"/>
          <w:highlight w:val="none"/>
          <w:lang w:val="en-US" w:eastAsia="zh-CN"/>
        </w:rPr>
        <w:t>二、服务要求</w:t>
      </w:r>
    </w:p>
    <w:p w14:paraId="2156C828">
      <w:pPr>
        <w:keepNext w:val="0"/>
        <w:keepLines w:val="0"/>
        <w:pageBreakBefore w:val="0"/>
        <w:widowControl w:val="0"/>
        <w:kinsoku/>
        <w:wordWrap/>
        <w:overflowPunct/>
        <w:topLinePunct w:val="0"/>
        <w:autoSpaceDE/>
        <w:autoSpaceDN/>
        <w:bidi w:val="0"/>
        <w:adjustRightInd/>
        <w:snapToGrid/>
        <w:spacing w:line="360" w:lineRule="auto"/>
        <w:ind w:left="37" w:right="76" w:firstLine="463"/>
        <w:textAlignment w:val="auto"/>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w:t>
      </w:r>
      <w:r>
        <w:rPr>
          <w:rFonts w:hint="eastAsia" w:ascii="仿宋" w:hAnsi="仿宋" w:eastAsia="仿宋" w:cs="仿宋"/>
          <w:color w:val="auto"/>
          <w:spacing w:val="-1"/>
          <w:sz w:val="24"/>
          <w:szCs w:val="24"/>
          <w:highlight w:val="none"/>
          <w:lang w:eastAsia="zh-CN"/>
        </w:rPr>
        <w:t>投标人</w:t>
      </w:r>
      <w:r>
        <w:rPr>
          <w:rFonts w:ascii="仿宋" w:hAnsi="仿宋" w:eastAsia="仿宋" w:cs="仿宋"/>
          <w:color w:val="auto"/>
          <w:spacing w:val="-1"/>
          <w:sz w:val="24"/>
          <w:szCs w:val="24"/>
          <w:highlight w:val="none"/>
        </w:rPr>
        <w:t>物流配送范围需覆盖全国各地，按照</w:t>
      </w:r>
      <w:r>
        <w:rPr>
          <w:rFonts w:hint="eastAsia" w:ascii="仿宋" w:hAnsi="仿宋" w:eastAsia="仿宋" w:cs="仿宋"/>
          <w:color w:val="auto"/>
          <w:spacing w:val="-1"/>
          <w:sz w:val="24"/>
          <w:szCs w:val="24"/>
          <w:highlight w:val="none"/>
          <w:lang w:val="en-US" w:eastAsia="zh-CN"/>
        </w:rPr>
        <w:t>哈尔滨马迭尔集团股份有限公司、哈尔滨马迭尔食品股份有限公司</w:t>
      </w:r>
      <w:r>
        <w:rPr>
          <w:rFonts w:ascii="仿宋" w:hAnsi="仿宋" w:eastAsia="仿宋" w:cs="仿宋"/>
          <w:color w:val="auto"/>
          <w:spacing w:val="-1"/>
          <w:sz w:val="24"/>
          <w:szCs w:val="24"/>
          <w:highlight w:val="none"/>
        </w:rPr>
        <w:t>提货要求，将产</w:t>
      </w:r>
      <w:r>
        <w:rPr>
          <w:rFonts w:ascii="仿宋" w:hAnsi="仿宋" w:eastAsia="仿宋" w:cs="仿宋"/>
          <w:color w:val="auto"/>
          <w:spacing w:val="-4"/>
          <w:sz w:val="24"/>
          <w:szCs w:val="24"/>
          <w:highlight w:val="none"/>
        </w:rPr>
        <w:t>品配送至指定收货地址。</w:t>
      </w:r>
    </w:p>
    <w:p w14:paraId="7BB783D1">
      <w:pPr>
        <w:keepNext w:val="0"/>
        <w:keepLines w:val="0"/>
        <w:pageBreakBefore w:val="0"/>
        <w:widowControl w:val="0"/>
        <w:kinsoku/>
        <w:wordWrap/>
        <w:overflowPunct/>
        <w:topLinePunct w:val="0"/>
        <w:autoSpaceDE/>
        <w:autoSpaceDN/>
        <w:bidi w:val="0"/>
        <w:adjustRightInd/>
        <w:snapToGrid/>
        <w:spacing w:line="360" w:lineRule="auto"/>
        <w:ind w:left="482"/>
        <w:textAlignment w:val="auto"/>
        <w:rPr>
          <w:rFonts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lang w:val="en-US" w:eastAsia="zh-CN"/>
        </w:rPr>
        <w:t>2</w:t>
      </w:r>
      <w:r>
        <w:rPr>
          <w:rFonts w:ascii="仿宋" w:hAnsi="仿宋" w:eastAsia="仿宋" w:cs="仿宋"/>
          <w:color w:val="auto"/>
          <w:spacing w:val="-1"/>
          <w:sz w:val="24"/>
          <w:szCs w:val="24"/>
          <w:highlight w:val="none"/>
        </w:rPr>
        <w:t>.能在全国</w:t>
      </w:r>
      <w:r>
        <w:rPr>
          <w:rFonts w:hint="eastAsia" w:ascii="仿宋" w:hAnsi="仿宋" w:eastAsia="仿宋" w:cs="仿宋"/>
          <w:color w:val="auto"/>
          <w:spacing w:val="-1"/>
          <w:sz w:val="24"/>
          <w:szCs w:val="24"/>
          <w:highlight w:val="none"/>
          <w:lang w:val="en-US" w:eastAsia="zh-CN"/>
        </w:rPr>
        <w:t>指定</w:t>
      </w:r>
      <w:r>
        <w:rPr>
          <w:rFonts w:ascii="仿宋" w:hAnsi="仿宋" w:eastAsia="仿宋" w:cs="仿宋"/>
          <w:color w:val="auto"/>
          <w:spacing w:val="-1"/>
          <w:sz w:val="24"/>
          <w:szCs w:val="24"/>
          <w:highlight w:val="none"/>
        </w:rPr>
        <w:t>城市提供仓储、配送一体化服务。</w:t>
      </w:r>
    </w:p>
    <w:p w14:paraId="76C27930">
      <w:pPr>
        <w:keepNext w:val="0"/>
        <w:keepLines w:val="0"/>
        <w:pageBreakBefore w:val="0"/>
        <w:widowControl w:val="0"/>
        <w:kinsoku/>
        <w:wordWrap/>
        <w:overflowPunct/>
        <w:topLinePunct w:val="0"/>
        <w:autoSpaceDE/>
        <w:autoSpaceDN/>
        <w:bidi w:val="0"/>
        <w:adjustRightInd/>
        <w:snapToGrid/>
        <w:spacing w:line="360" w:lineRule="auto"/>
        <w:ind w:left="11" w:firstLine="477"/>
        <w:textAlignment w:val="auto"/>
        <w:rPr>
          <w:rFonts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lang w:val="en-US" w:eastAsia="zh-CN"/>
        </w:rPr>
        <w:t>3</w:t>
      </w:r>
      <w:r>
        <w:rPr>
          <w:rFonts w:ascii="仿宋" w:hAnsi="仿宋" w:eastAsia="仿宋" w:cs="仿宋"/>
          <w:color w:val="auto"/>
          <w:spacing w:val="-5"/>
          <w:sz w:val="24"/>
          <w:szCs w:val="24"/>
          <w:highlight w:val="none"/>
        </w:rPr>
        <w:t>.在城市仓提供冰淇淋入库、出库、管理、分拣、打包、门店配送、撤销订单、</w:t>
      </w:r>
      <w:r>
        <w:rPr>
          <w:rFonts w:ascii="仿宋" w:hAnsi="仿宋" w:eastAsia="仿宋" w:cs="仿宋"/>
          <w:color w:val="auto"/>
          <w:spacing w:val="-1"/>
          <w:sz w:val="24"/>
          <w:szCs w:val="24"/>
          <w:highlight w:val="none"/>
        </w:rPr>
        <w:t>经销商及自营业务退货、不良品销毁等增值服务。</w:t>
      </w:r>
    </w:p>
    <w:p w14:paraId="07AF1956">
      <w:pPr>
        <w:keepNext w:val="0"/>
        <w:keepLines w:val="0"/>
        <w:pageBreakBefore w:val="0"/>
        <w:widowControl w:val="0"/>
        <w:kinsoku/>
        <w:wordWrap/>
        <w:overflowPunct/>
        <w:topLinePunct w:val="0"/>
        <w:autoSpaceDE/>
        <w:autoSpaceDN/>
        <w:bidi w:val="0"/>
        <w:adjustRightInd/>
        <w:snapToGrid/>
        <w:spacing w:line="360" w:lineRule="auto"/>
        <w:ind w:left="489"/>
        <w:textAlignment w:val="auto"/>
        <w:rPr>
          <w:rFonts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lang w:val="en-US" w:eastAsia="zh-CN"/>
        </w:rPr>
        <w:t>4</w:t>
      </w:r>
      <w:r>
        <w:rPr>
          <w:rFonts w:ascii="仿宋" w:hAnsi="仿宋" w:eastAsia="仿宋" w:cs="仿宋"/>
          <w:color w:val="auto"/>
          <w:spacing w:val="-1"/>
          <w:sz w:val="24"/>
          <w:szCs w:val="24"/>
          <w:highlight w:val="none"/>
        </w:rPr>
        <w:t>.需有相关高端冰品的运输经验。</w:t>
      </w:r>
    </w:p>
    <w:p w14:paraId="51A62907">
      <w:pPr>
        <w:keepNext w:val="0"/>
        <w:keepLines w:val="0"/>
        <w:pageBreakBefore w:val="0"/>
        <w:widowControl w:val="0"/>
        <w:kinsoku/>
        <w:wordWrap/>
        <w:overflowPunct/>
        <w:topLinePunct w:val="0"/>
        <w:autoSpaceDE/>
        <w:autoSpaceDN/>
        <w:bidi w:val="0"/>
        <w:adjustRightInd/>
        <w:snapToGrid/>
        <w:spacing w:line="360" w:lineRule="auto"/>
        <w:ind w:firstLine="466" w:firstLineChars="200"/>
        <w:textAlignment w:val="auto"/>
        <w:rPr>
          <w:rFonts w:ascii="仿宋" w:hAnsi="仿宋" w:eastAsia="仿宋" w:cs="仿宋"/>
          <w:color w:val="auto"/>
          <w:sz w:val="24"/>
          <w:szCs w:val="24"/>
          <w:highlight w:val="none"/>
        </w:rPr>
      </w:pPr>
      <w:r>
        <w:rPr>
          <w:rFonts w:hint="eastAsia" w:ascii="仿宋" w:hAnsi="仿宋" w:eastAsia="仿宋" w:cs="仿宋"/>
          <w:b/>
          <w:bCs/>
          <w:color w:val="auto"/>
          <w:spacing w:val="-4"/>
          <w:sz w:val="24"/>
          <w:szCs w:val="24"/>
          <w:highlight w:val="none"/>
          <w:lang w:val="en-US" w:eastAsia="zh-CN"/>
        </w:rPr>
        <w:t>三、</w:t>
      </w:r>
      <w:r>
        <w:rPr>
          <w:rFonts w:ascii="仿宋" w:hAnsi="仿宋" w:eastAsia="仿宋" w:cs="仿宋"/>
          <w:b/>
          <w:bCs/>
          <w:color w:val="auto"/>
          <w:spacing w:val="-4"/>
          <w:sz w:val="24"/>
          <w:szCs w:val="24"/>
          <w:highlight w:val="none"/>
        </w:rPr>
        <w:t>冰淇淋储运质量要求</w:t>
      </w:r>
    </w:p>
    <w:p w14:paraId="6F6BC9D6">
      <w:pPr>
        <w:keepNext w:val="0"/>
        <w:keepLines w:val="0"/>
        <w:pageBreakBefore w:val="0"/>
        <w:widowControl w:val="0"/>
        <w:kinsoku/>
        <w:wordWrap/>
        <w:overflowPunct/>
        <w:topLinePunct w:val="0"/>
        <w:autoSpaceDE/>
        <w:autoSpaceDN/>
        <w:bidi w:val="0"/>
        <w:adjustRightInd/>
        <w:snapToGrid/>
        <w:spacing w:line="360" w:lineRule="auto"/>
        <w:ind w:left="12" w:firstLine="480"/>
        <w:textAlignment w:val="auto"/>
        <w:rPr>
          <w:rFonts w:ascii="仿宋" w:hAnsi="仿宋" w:eastAsia="仿宋" w:cs="仿宋"/>
          <w:color w:val="auto"/>
          <w:sz w:val="24"/>
          <w:szCs w:val="24"/>
          <w:highlight w:val="none"/>
        </w:rPr>
      </w:pPr>
      <w:r>
        <w:rPr>
          <w:rFonts w:hint="eastAsia" w:ascii="仿宋" w:hAnsi="仿宋" w:eastAsia="仿宋" w:cs="仿宋"/>
          <w:color w:val="auto"/>
          <w:spacing w:val="-12"/>
          <w:sz w:val="24"/>
          <w:szCs w:val="24"/>
          <w:highlight w:val="none"/>
          <w:lang w:val="en-US" w:eastAsia="zh-CN"/>
        </w:rPr>
        <w:t>马迭尔1906系列产品（冰棍、奶糕、冰淇淋、冰糕）</w:t>
      </w:r>
      <w:r>
        <w:rPr>
          <w:rFonts w:ascii="仿宋" w:hAnsi="仿宋" w:eastAsia="仿宋" w:cs="仿宋"/>
          <w:color w:val="auto"/>
          <w:spacing w:val="-5"/>
          <w:sz w:val="24"/>
          <w:szCs w:val="24"/>
          <w:highlight w:val="none"/>
        </w:rPr>
        <w:t>冷链过程中的基本要求、交接、运输配送、储存、</w:t>
      </w:r>
      <w:r>
        <w:rPr>
          <w:rFonts w:ascii="仿宋" w:hAnsi="仿宋" w:eastAsia="仿宋" w:cs="仿宋"/>
          <w:color w:val="auto"/>
          <w:spacing w:val="-6"/>
          <w:sz w:val="24"/>
          <w:szCs w:val="24"/>
          <w:highlight w:val="none"/>
        </w:rPr>
        <w:t>人员和管理制度、</w:t>
      </w:r>
      <w:r>
        <w:rPr>
          <w:rFonts w:ascii="仿宋" w:hAnsi="仿宋" w:eastAsia="仿宋" w:cs="仿宋"/>
          <w:color w:val="auto"/>
          <w:spacing w:val="-5"/>
          <w:sz w:val="24"/>
          <w:szCs w:val="24"/>
          <w:highlight w:val="none"/>
        </w:rPr>
        <w:t>追溯及文件管理等按照</w:t>
      </w:r>
      <w:r>
        <w:rPr>
          <w:rFonts w:ascii="仿宋" w:hAnsi="仿宋" w:eastAsia="仿宋" w:cs="仿宋"/>
          <w:color w:val="auto"/>
          <w:spacing w:val="-54"/>
          <w:sz w:val="24"/>
          <w:szCs w:val="24"/>
          <w:highlight w:val="none"/>
        </w:rPr>
        <w:t xml:space="preserve"> </w:t>
      </w:r>
      <w:r>
        <w:rPr>
          <w:rFonts w:ascii="仿宋" w:hAnsi="仿宋" w:eastAsia="仿宋" w:cs="仿宋"/>
          <w:color w:val="auto"/>
          <w:spacing w:val="-5"/>
          <w:sz w:val="24"/>
          <w:szCs w:val="24"/>
          <w:highlight w:val="none"/>
        </w:rPr>
        <w:t>GB</w:t>
      </w:r>
      <w:r>
        <w:rPr>
          <w:rFonts w:ascii="仿宋" w:hAnsi="仿宋" w:eastAsia="仿宋" w:cs="仿宋"/>
          <w:color w:val="auto"/>
          <w:spacing w:val="-47"/>
          <w:sz w:val="24"/>
          <w:szCs w:val="24"/>
          <w:highlight w:val="none"/>
        </w:rPr>
        <w:t xml:space="preserve"> </w:t>
      </w:r>
      <w:r>
        <w:rPr>
          <w:rFonts w:ascii="仿宋" w:hAnsi="仿宋" w:eastAsia="仿宋" w:cs="仿宋"/>
          <w:color w:val="auto"/>
          <w:spacing w:val="-5"/>
          <w:sz w:val="24"/>
          <w:szCs w:val="24"/>
          <w:highlight w:val="none"/>
        </w:rPr>
        <w:t>31605《食品安全国家标准食品冷链物流</w:t>
      </w:r>
      <w:r>
        <w:rPr>
          <w:rFonts w:ascii="仿宋" w:hAnsi="仿宋" w:eastAsia="仿宋" w:cs="仿宋"/>
          <w:color w:val="auto"/>
          <w:spacing w:val="-6"/>
          <w:sz w:val="24"/>
          <w:szCs w:val="24"/>
          <w:highlight w:val="none"/>
        </w:rPr>
        <w:t>卫生规范》执行，</w:t>
      </w:r>
      <w:r>
        <w:rPr>
          <w:rFonts w:ascii="仿宋" w:hAnsi="仿宋" w:eastAsia="仿宋" w:cs="仿宋"/>
          <w:color w:val="auto"/>
          <w:spacing w:val="-2"/>
          <w:sz w:val="24"/>
          <w:szCs w:val="24"/>
          <w:highlight w:val="none"/>
        </w:rPr>
        <w:t>全链温度不得高于-18℃</w:t>
      </w:r>
      <w:r>
        <w:rPr>
          <w:rFonts w:ascii="仿宋" w:hAnsi="仿宋" w:eastAsia="仿宋" w:cs="仿宋"/>
          <w:color w:val="auto"/>
          <w:spacing w:val="-82"/>
          <w:sz w:val="24"/>
          <w:szCs w:val="24"/>
          <w:highlight w:val="none"/>
        </w:rPr>
        <w:t xml:space="preserve"> </w:t>
      </w:r>
      <w:r>
        <w:rPr>
          <w:rFonts w:ascii="仿宋" w:hAnsi="仿宋" w:eastAsia="仿宋" w:cs="仿宋"/>
          <w:color w:val="auto"/>
          <w:spacing w:val="-2"/>
          <w:sz w:val="24"/>
          <w:szCs w:val="24"/>
          <w:highlight w:val="none"/>
        </w:rPr>
        <w:t>,需保证监控温度可实时查询，温度监控记录保存至少</w:t>
      </w:r>
      <w:r>
        <w:rPr>
          <w:rFonts w:hint="eastAsia" w:ascii="仿宋" w:hAnsi="仿宋" w:eastAsia="仿宋" w:cs="仿宋"/>
          <w:color w:val="auto"/>
          <w:spacing w:val="-2"/>
          <w:sz w:val="24"/>
          <w:szCs w:val="24"/>
          <w:highlight w:val="none"/>
          <w:lang w:val="en-US" w:eastAsia="zh-CN"/>
        </w:rPr>
        <w:t>12</w:t>
      </w:r>
      <w:r>
        <w:rPr>
          <w:rFonts w:ascii="仿宋" w:hAnsi="仿宋" w:eastAsia="仿宋" w:cs="仿宋"/>
          <w:color w:val="auto"/>
          <w:spacing w:val="-2"/>
          <w:sz w:val="24"/>
          <w:szCs w:val="24"/>
          <w:highlight w:val="none"/>
        </w:rPr>
        <w:t>个月。具体要求如下：</w:t>
      </w:r>
    </w:p>
    <w:p w14:paraId="0165EAE6">
      <w:pPr>
        <w:keepNext w:val="0"/>
        <w:keepLines w:val="0"/>
        <w:pageBreakBefore w:val="0"/>
        <w:widowControl w:val="0"/>
        <w:kinsoku/>
        <w:wordWrap/>
        <w:overflowPunct/>
        <w:topLinePunct w:val="0"/>
        <w:autoSpaceDE/>
        <w:autoSpaceDN/>
        <w:bidi w:val="0"/>
        <w:adjustRightInd/>
        <w:snapToGrid/>
        <w:spacing w:line="360" w:lineRule="auto"/>
        <w:ind w:left="486"/>
        <w:textAlignment w:val="auto"/>
        <w:rPr>
          <w:rFonts w:ascii="仿宋" w:hAnsi="仿宋" w:eastAsia="仿宋" w:cs="仿宋"/>
          <w:b/>
          <w:bCs/>
          <w:color w:val="auto"/>
          <w:sz w:val="24"/>
          <w:szCs w:val="24"/>
          <w:highlight w:val="none"/>
        </w:rPr>
      </w:pPr>
      <w:r>
        <w:rPr>
          <w:rFonts w:ascii="仿宋" w:hAnsi="仿宋" w:eastAsia="仿宋" w:cs="仿宋"/>
          <w:b/>
          <w:bCs/>
          <w:color w:val="auto"/>
          <w:sz w:val="24"/>
          <w:szCs w:val="24"/>
          <w:highlight w:val="none"/>
        </w:rPr>
        <w:fldChar w:fldCharType="begin"/>
      </w:r>
      <w:r>
        <w:rPr>
          <w:rFonts w:ascii="仿宋" w:hAnsi="仿宋" w:eastAsia="仿宋" w:cs="仿宋"/>
          <w:b/>
          <w:bCs/>
          <w:color w:val="auto"/>
          <w:sz w:val="24"/>
          <w:szCs w:val="24"/>
          <w:highlight w:val="none"/>
        </w:rPr>
        <w:instrText xml:space="preserve"> = 1 \* GB4 \* MERGEFORMAT </w:instrText>
      </w:r>
      <w:r>
        <w:rPr>
          <w:rFonts w:ascii="仿宋" w:hAnsi="仿宋" w:eastAsia="仿宋" w:cs="仿宋"/>
          <w:b/>
          <w:bCs/>
          <w:color w:val="auto"/>
          <w:sz w:val="24"/>
          <w:szCs w:val="24"/>
          <w:highlight w:val="none"/>
        </w:rPr>
        <w:fldChar w:fldCharType="separate"/>
      </w:r>
      <w:r>
        <w:rPr>
          <w:rFonts w:ascii="仿宋" w:hAnsi="仿宋" w:eastAsia="仿宋" w:cs="仿宋"/>
          <w:b/>
          <w:bCs/>
          <w:color w:val="auto"/>
          <w:sz w:val="24"/>
          <w:szCs w:val="24"/>
          <w:highlight w:val="none"/>
        </w:rPr>
        <w:t>㈠</w:t>
      </w:r>
      <w:r>
        <w:rPr>
          <w:rFonts w:ascii="仿宋" w:hAnsi="仿宋" w:eastAsia="仿宋" w:cs="仿宋"/>
          <w:b/>
          <w:bCs/>
          <w:color w:val="auto"/>
          <w:sz w:val="24"/>
          <w:szCs w:val="24"/>
          <w:highlight w:val="none"/>
        </w:rPr>
        <w:fldChar w:fldCharType="end"/>
      </w:r>
      <w:r>
        <w:rPr>
          <w:rFonts w:ascii="仿宋" w:hAnsi="仿宋" w:eastAsia="仿宋" w:cs="仿宋"/>
          <w:b/>
          <w:bCs/>
          <w:color w:val="auto"/>
          <w:sz w:val="24"/>
          <w:szCs w:val="24"/>
          <w:highlight w:val="none"/>
        </w:rPr>
        <w:t>仓储要求</w:t>
      </w:r>
    </w:p>
    <w:p w14:paraId="2F99654D">
      <w:pPr>
        <w:keepNext w:val="0"/>
        <w:keepLines w:val="0"/>
        <w:pageBreakBefore w:val="0"/>
        <w:widowControl w:val="0"/>
        <w:kinsoku/>
        <w:wordWrap/>
        <w:overflowPunct/>
        <w:topLinePunct w:val="0"/>
        <w:autoSpaceDE/>
        <w:autoSpaceDN/>
        <w:bidi w:val="0"/>
        <w:adjustRightInd/>
        <w:snapToGrid/>
        <w:spacing w:line="360" w:lineRule="auto"/>
        <w:ind w:left="6" w:right="62" w:firstLine="486"/>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1"/>
          <w:sz w:val="24"/>
          <w:szCs w:val="24"/>
          <w:highlight w:val="none"/>
        </w:rPr>
        <w:t>1.库房温度必须达到-18℃以下，存放在库内温度波动较小区域（不得正对门</w:t>
      </w:r>
      <w:r>
        <w:rPr>
          <w:rFonts w:ascii="仿宋" w:hAnsi="仿宋" w:eastAsia="仿宋" w:cs="仿宋"/>
          <w:color w:val="auto"/>
          <w:sz w:val="24"/>
          <w:szCs w:val="24"/>
          <w:highlight w:val="none"/>
        </w:rPr>
        <w:t>口</w:t>
      </w:r>
      <w:r>
        <w:rPr>
          <w:rFonts w:ascii="仿宋" w:hAnsi="仿宋" w:eastAsia="仿宋" w:cs="仿宋"/>
          <w:color w:val="auto"/>
          <w:spacing w:val="-10"/>
          <w:sz w:val="24"/>
          <w:szCs w:val="24"/>
          <w:highlight w:val="none"/>
        </w:rPr>
        <w:t>），</w:t>
      </w:r>
      <w:r>
        <w:rPr>
          <w:rFonts w:ascii="仿宋" w:hAnsi="仿宋" w:eastAsia="仿宋" w:cs="仿宋"/>
          <w:color w:val="auto"/>
          <w:sz w:val="24"/>
          <w:szCs w:val="24"/>
          <w:highlight w:val="none"/>
        </w:rPr>
        <w:t>托盘存放缠绕膜全覆盖防护，库内存放托盘不可叠加，以免挤压变形造</w:t>
      </w:r>
      <w:r>
        <w:rPr>
          <w:rFonts w:ascii="仿宋" w:hAnsi="仿宋" w:eastAsia="仿宋" w:cs="仿宋"/>
          <w:color w:val="auto"/>
          <w:spacing w:val="-1"/>
          <w:sz w:val="24"/>
          <w:szCs w:val="24"/>
          <w:highlight w:val="none"/>
        </w:rPr>
        <w:t>成质</w:t>
      </w:r>
      <w:r>
        <w:rPr>
          <w:rFonts w:ascii="仿宋" w:hAnsi="仿宋" w:eastAsia="仿宋" w:cs="仿宋"/>
          <w:color w:val="auto"/>
          <w:spacing w:val="-5"/>
          <w:sz w:val="24"/>
          <w:szCs w:val="24"/>
          <w:highlight w:val="none"/>
        </w:rPr>
        <w:t>量事故</w:t>
      </w:r>
      <w:r>
        <w:rPr>
          <w:rFonts w:hint="eastAsia" w:ascii="仿宋" w:hAnsi="仿宋" w:eastAsia="仿宋" w:cs="仿宋"/>
          <w:color w:val="auto"/>
          <w:spacing w:val="-5"/>
          <w:sz w:val="24"/>
          <w:szCs w:val="24"/>
          <w:highlight w:val="none"/>
          <w:lang w:eastAsia="zh-CN"/>
        </w:rPr>
        <w:t>。</w:t>
      </w:r>
    </w:p>
    <w:p w14:paraId="747EE1D8">
      <w:pPr>
        <w:keepNext w:val="0"/>
        <w:keepLines w:val="0"/>
        <w:pageBreakBefore w:val="0"/>
        <w:widowControl w:val="0"/>
        <w:kinsoku/>
        <w:wordWrap/>
        <w:overflowPunct/>
        <w:topLinePunct w:val="0"/>
        <w:autoSpaceDE/>
        <w:autoSpaceDN/>
        <w:bidi w:val="0"/>
        <w:adjustRightInd/>
        <w:snapToGrid/>
        <w:spacing w:line="360" w:lineRule="auto"/>
        <w:ind w:left="478"/>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1"/>
          <w:sz w:val="24"/>
          <w:szCs w:val="24"/>
          <w:highlight w:val="none"/>
        </w:rPr>
        <w:t>2.产品托盘需存放在货架一层，防止高空滑落，出现产品损坏</w:t>
      </w:r>
      <w:r>
        <w:rPr>
          <w:rFonts w:hint="eastAsia" w:ascii="仿宋" w:hAnsi="仿宋" w:eastAsia="仿宋" w:cs="仿宋"/>
          <w:color w:val="auto"/>
          <w:spacing w:val="-1"/>
          <w:sz w:val="24"/>
          <w:szCs w:val="24"/>
          <w:highlight w:val="none"/>
          <w:lang w:eastAsia="zh-CN"/>
        </w:rPr>
        <w:t>。</w:t>
      </w:r>
    </w:p>
    <w:p w14:paraId="3213F768">
      <w:pPr>
        <w:keepNext w:val="0"/>
        <w:keepLines w:val="0"/>
        <w:pageBreakBefore w:val="0"/>
        <w:widowControl w:val="0"/>
        <w:kinsoku/>
        <w:wordWrap/>
        <w:overflowPunct/>
        <w:topLinePunct w:val="0"/>
        <w:autoSpaceDE/>
        <w:autoSpaceDN/>
        <w:bidi w:val="0"/>
        <w:adjustRightInd/>
        <w:snapToGrid/>
        <w:spacing w:line="360" w:lineRule="auto"/>
        <w:ind w:left="3" w:right="62" w:firstLine="476"/>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z w:val="24"/>
          <w:szCs w:val="24"/>
          <w:highlight w:val="none"/>
        </w:rPr>
        <w:t>3.出货时不允许将产品滞留在缓存区，装车</w:t>
      </w:r>
      <w:r>
        <w:rPr>
          <w:rFonts w:ascii="仿宋" w:hAnsi="仿宋" w:eastAsia="仿宋" w:cs="仿宋"/>
          <w:color w:val="auto"/>
          <w:spacing w:val="-1"/>
          <w:sz w:val="24"/>
          <w:szCs w:val="24"/>
          <w:highlight w:val="none"/>
        </w:rPr>
        <w:t>前产品放置在库内过道，车厢码放</w:t>
      </w:r>
      <w:r>
        <w:rPr>
          <w:rFonts w:ascii="仿宋" w:hAnsi="仿宋" w:eastAsia="仿宋" w:cs="仿宋"/>
          <w:color w:val="auto"/>
          <w:spacing w:val="-2"/>
          <w:sz w:val="24"/>
          <w:szCs w:val="24"/>
          <w:highlight w:val="none"/>
        </w:rPr>
        <w:t>位置排列好后迅速装车</w:t>
      </w:r>
      <w:r>
        <w:rPr>
          <w:rFonts w:hint="eastAsia" w:ascii="仿宋" w:hAnsi="仿宋" w:eastAsia="仿宋" w:cs="仿宋"/>
          <w:color w:val="auto"/>
          <w:spacing w:val="-2"/>
          <w:sz w:val="24"/>
          <w:szCs w:val="24"/>
          <w:highlight w:val="none"/>
          <w:lang w:eastAsia="zh-CN"/>
        </w:rPr>
        <w:t>。</w:t>
      </w:r>
    </w:p>
    <w:p w14:paraId="40ECD0F1">
      <w:pPr>
        <w:keepNext w:val="0"/>
        <w:keepLines w:val="0"/>
        <w:pageBreakBefore w:val="0"/>
        <w:widowControl w:val="0"/>
        <w:kinsoku/>
        <w:wordWrap/>
        <w:overflowPunct/>
        <w:topLinePunct w:val="0"/>
        <w:autoSpaceDE/>
        <w:autoSpaceDN/>
        <w:bidi w:val="0"/>
        <w:adjustRightInd/>
        <w:snapToGrid/>
        <w:spacing w:line="360" w:lineRule="auto"/>
        <w:ind w:left="1" w:right="62" w:firstLine="472"/>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1"/>
          <w:sz w:val="24"/>
          <w:szCs w:val="24"/>
          <w:highlight w:val="none"/>
        </w:rPr>
        <w:t>4.出库及码车时间</w:t>
      </w:r>
      <w:r>
        <w:rPr>
          <w:rFonts w:hint="eastAsia" w:ascii="仿宋" w:hAnsi="仿宋" w:eastAsia="仿宋" w:cs="仿宋"/>
          <w:color w:val="auto"/>
          <w:spacing w:val="1"/>
          <w:sz w:val="24"/>
          <w:szCs w:val="24"/>
          <w:highlight w:val="none"/>
          <w:lang w:val="en-US" w:eastAsia="zh-CN"/>
        </w:rPr>
        <w:t>按照招标人要求</w:t>
      </w:r>
      <w:r>
        <w:rPr>
          <w:rFonts w:ascii="仿宋" w:hAnsi="仿宋" w:eastAsia="仿宋" w:cs="仿宋"/>
          <w:color w:val="auto"/>
          <w:spacing w:val="1"/>
          <w:sz w:val="24"/>
          <w:szCs w:val="24"/>
          <w:highlight w:val="none"/>
        </w:rPr>
        <w:t>，</w:t>
      </w:r>
      <w:r>
        <w:rPr>
          <w:rFonts w:hint="eastAsia" w:ascii="仿宋" w:hAnsi="仿宋" w:eastAsia="仿宋" w:cs="仿宋"/>
          <w:color w:val="auto"/>
          <w:spacing w:val="1"/>
          <w:sz w:val="24"/>
          <w:szCs w:val="24"/>
          <w:highlight w:val="none"/>
          <w:lang w:val="en-US" w:eastAsia="zh-CN"/>
        </w:rPr>
        <w:t>以实际签订合同为准，</w:t>
      </w:r>
      <w:r>
        <w:rPr>
          <w:rFonts w:ascii="仿宋" w:hAnsi="仿宋" w:eastAsia="仿宋" w:cs="仿宋"/>
          <w:color w:val="auto"/>
          <w:spacing w:val="1"/>
          <w:sz w:val="24"/>
          <w:szCs w:val="24"/>
          <w:highlight w:val="none"/>
        </w:rPr>
        <w:t>与其</w:t>
      </w:r>
      <w:r>
        <w:rPr>
          <w:rFonts w:ascii="仿宋" w:hAnsi="仿宋" w:eastAsia="仿宋" w:cs="仿宋"/>
          <w:color w:val="auto"/>
          <w:sz w:val="24"/>
          <w:szCs w:val="24"/>
          <w:highlight w:val="none"/>
        </w:rPr>
        <w:t>他产品混装时做好</w:t>
      </w:r>
      <w:r>
        <w:rPr>
          <w:rFonts w:hint="eastAsia" w:ascii="仿宋" w:hAnsi="仿宋" w:eastAsia="仿宋" w:cs="仿宋"/>
          <w:color w:val="auto"/>
          <w:sz w:val="24"/>
          <w:szCs w:val="24"/>
          <w:highlight w:val="none"/>
          <w:lang w:val="en-US" w:eastAsia="zh-CN"/>
        </w:rPr>
        <w:t>马迭尔1906</w:t>
      </w:r>
      <w:r>
        <w:rPr>
          <w:rFonts w:ascii="仿宋" w:hAnsi="仿宋" w:eastAsia="仿宋" w:cs="仿宋"/>
          <w:color w:val="auto"/>
          <w:sz w:val="24"/>
          <w:szCs w:val="24"/>
          <w:highlight w:val="none"/>
        </w:rPr>
        <w:t>产品的防护，装车时</w:t>
      </w:r>
      <w:r>
        <w:rPr>
          <w:rFonts w:ascii="仿宋" w:hAnsi="仿宋" w:eastAsia="仿宋" w:cs="仿宋"/>
          <w:color w:val="auto"/>
          <w:spacing w:val="-1"/>
          <w:sz w:val="24"/>
          <w:szCs w:val="24"/>
          <w:highlight w:val="none"/>
        </w:rPr>
        <w:t>最后装车，到达目的地时最先下货</w:t>
      </w:r>
      <w:r>
        <w:rPr>
          <w:rFonts w:hint="eastAsia" w:ascii="仿宋" w:hAnsi="仿宋" w:eastAsia="仿宋" w:cs="仿宋"/>
          <w:color w:val="auto"/>
          <w:spacing w:val="-1"/>
          <w:sz w:val="24"/>
          <w:szCs w:val="24"/>
          <w:highlight w:val="none"/>
          <w:lang w:eastAsia="zh-CN"/>
        </w:rPr>
        <w:t>。</w:t>
      </w:r>
    </w:p>
    <w:p w14:paraId="7D9AE97B">
      <w:pPr>
        <w:keepNext w:val="0"/>
        <w:keepLines w:val="0"/>
        <w:pageBreakBefore w:val="0"/>
        <w:widowControl w:val="0"/>
        <w:kinsoku/>
        <w:wordWrap/>
        <w:overflowPunct/>
        <w:topLinePunct w:val="0"/>
        <w:autoSpaceDE/>
        <w:autoSpaceDN/>
        <w:bidi w:val="0"/>
        <w:adjustRightInd/>
        <w:snapToGrid/>
        <w:spacing w:line="360" w:lineRule="auto"/>
        <w:ind w:left="9" w:firstLine="470"/>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4"/>
          <w:sz w:val="24"/>
          <w:szCs w:val="24"/>
          <w:highlight w:val="none"/>
        </w:rPr>
        <w:t>5.到达分仓卸货时，分仓迅速组织叉车卸货，减少暴</w:t>
      </w:r>
      <w:r>
        <w:rPr>
          <w:rFonts w:ascii="仿宋" w:hAnsi="仿宋" w:eastAsia="仿宋" w:cs="仿宋"/>
          <w:color w:val="auto"/>
          <w:spacing w:val="-6"/>
          <w:sz w:val="24"/>
          <w:szCs w:val="24"/>
          <w:highlight w:val="none"/>
        </w:rPr>
        <w:t>露在常温下的时间</w:t>
      </w:r>
      <w:r>
        <w:rPr>
          <w:rFonts w:hint="eastAsia" w:ascii="仿宋" w:hAnsi="仿宋" w:eastAsia="仿宋" w:cs="仿宋"/>
          <w:color w:val="auto"/>
          <w:spacing w:val="-6"/>
          <w:sz w:val="24"/>
          <w:szCs w:val="24"/>
          <w:highlight w:val="none"/>
          <w:lang w:eastAsia="zh-CN"/>
        </w:rPr>
        <w:t>。</w:t>
      </w:r>
    </w:p>
    <w:p w14:paraId="7C2403A2">
      <w:pPr>
        <w:keepNext w:val="0"/>
        <w:keepLines w:val="0"/>
        <w:pageBreakBefore w:val="0"/>
        <w:widowControl w:val="0"/>
        <w:kinsoku/>
        <w:wordWrap/>
        <w:overflowPunct/>
        <w:topLinePunct w:val="0"/>
        <w:autoSpaceDE/>
        <w:autoSpaceDN/>
        <w:bidi w:val="0"/>
        <w:adjustRightInd/>
        <w:snapToGrid/>
        <w:spacing w:line="360" w:lineRule="auto"/>
        <w:ind w:left="48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
          <w:sz w:val="24"/>
          <w:szCs w:val="24"/>
          <w:highlight w:val="none"/>
          <w:lang w:val="en-US" w:eastAsia="zh-CN"/>
        </w:rPr>
        <w:t>6</w:t>
      </w:r>
      <w:r>
        <w:rPr>
          <w:rFonts w:ascii="仿宋" w:hAnsi="仿宋" w:eastAsia="仿宋" w:cs="仿宋"/>
          <w:color w:val="auto"/>
          <w:spacing w:val="-1"/>
          <w:sz w:val="24"/>
          <w:szCs w:val="24"/>
          <w:highlight w:val="none"/>
        </w:rPr>
        <w:t>.装卸货务必做到轻拿轻放，以免造成产品损坏</w:t>
      </w:r>
      <w:r>
        <w:rPr>
          <w:rFonts w:hint="eastAsia" w:ascii="仿宋" w:hAnsi="仿宋" w:eastAsia="仿宋" w:cs="仿宋"/>
          <w:color w:val="auto"/>
          <w:spacing w:val="-1"/>
          <w:sz w:val="24"/>
          <w:szCs w:val="24"/>
          <w:highlight w:val="none"/>
          <w:lang w:eastAsia="zh-CN"/>
        </w:rPr>
        <w:t>。</w:t>
      </w:r>
    </w:p>
    <w:p w14:paraId="1D00188D">
      <w:pPr>
        <w:keepNext w:val="0"/>
        <w:keepLines w:val="0"/>
        <w:pageBreakBefore w:val="0"/>
        <w:widowControl w:val="0"/>
        <w:kinsoku/>
        <w:wordWrap/>
        <w:overflowPunct/>
        <w:topLinePunct w:val="0"/>
        <w:autoSpaceDE/>
        <w:autoSpaceDN/>
        <w:bidi w:val="0"/>
        <w:adjustRightInd/>
        <w:snapToGrid/>
        <w:spacing w:line="360" w:lineRule="auto"/>
        <w:ind w:left="490"/>
        <w:textAlignment w:val="auto"/>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fldChar w:fldCharType="begin"/>
      </w:r>
      <w:r>
        <w:rPr>
          <w:rFonts w:ascii="仿宋" w:hAnsi="仿宋" w:eastAsia="仿宋" w:cs="仿宋"/>
          <w:b/>
          <w:bCs/>
          <w:color w:val="auto"/>
          <w:spacing w:val="-4"/>
          <w:sz w:val="24"/>
          <w:szCs w:val="24"/>
          <w:highlight w:val="none"/>
        </w:rPr>
        <w:instrText xml:space="preserve"> = 2 \* GB4 \* MERGEFORMAT </w:instrText>
      </w:r>
      <w:r>
        <w:rPr>
          <w:rFonts w:ascii="仿宋" w:hAnsi="仿宋" w:eastAsia="仿宋" w:cs="仿宋"/>
          <w:b/>
          <w:bCs/>
          <w:color w:val="auto"/>
          <w:spacing w:val="-4"/>
          <w:sz w:val="24"/>
          <w:szCs w:val="24"/>
          <w:highlight w:val="none"/>
        </w:rPr>
        <w:fldChar w:fldCharType="separate"/>
      </w:r>
      <w:r>
        <w:rPr>
          <w:rFonts w:ascii="仿宋" w:hAnsi="仿宋" w:eastAsia="仿宋" w:cs="仿宋"/>
          <w:b/>
          <w:bCs/>
          <w:color w:val="auto"/>
          <w:spacing w:val="-4"/>
          <w:sz w:val="24"/>
          <w:szCs w:val="24"/>
          <w:highlight w:val="none"/>
        </w:rPr>
        <w:t>㈡</w:t>
      </w:r>
      <w:r>
        <w:rPr>
          <w:rFonts w:ascii="仿宋" w:hAnsi="仿宋" w:eastAsia="仿宋" w:cs="仿宋"/>
          <w:b/>
          <w:bCs/>
          <w:color w:val="auto"/>
          <w:spacing w:val="-4"/>
          <w:sz w:val="24"/>
          <w:szCs w:val="24"/>
          <w:highlight w:val="none"/>
        </w:rPr>
        <w:fldChar w:fldCharType="end"/>
      </w:r>
      <w:r>
        <w:rPr>
          <w:rFonts w:ascii="仿宋" w:hAnsi="仿宋" w:eastAsia="仿宋" w:cs="仿宋"/>
          <w:b/>
          <w:bCs/>
          <w:color w:val="auto"/>
          <w:spacing w:val="-4"/>
          <w:sz w:val="24"/>
          <w:szCs w:val="24"/>
          <w:highlight w:val="none"/>
        </w:rPr>
        <w:t>干线及分仓运输要求</w:t>
      </w:r>
    </w:p>
    <w:p w14:paraId="10DD2768">
      <w:pPr>
        <w:keepNext w:val="0"/>
        <w:keepLines w:val="0"/>
        <w:pageBreakBefore w:val="0"/>
        <w:widowControl w:val="0"/>
        <w:kinsoku/>
        <w:wordWrap/>
        <w:overflowPunct/>
        <w:topLinePunct w:val="0"/>
        <w:autoSpaceDE/>
        <w:autoSpaceDN/>
        <w:bidi w:val="0"/>
        <w:adjustRightInd/>
        <w:snapToGrid/>
        <w:spacing w:line="360" w:lineRule="auto"/>
        <w:ind w:left="5" w:right="62" w:firstLine="472"/>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7"/>
          <w:sz w:val="24"/>
          <w:szCs w:val="24"/>
          <w:highlight w:val="none"/>
          <w:lang w:val="en-US" w:eastAsia="zh-CN"/>
        </w:rPr>
        <w:t>1</w:t>
      </w:r>
      <w:r>
        <w:rPr>
          <w:rFonts w:ascii="仿宋" w:hAnsi="仿宋" w:eastAsia="仿宋" w:cs="仿宋"/>
          <w:color w:val="auto"/>
          <w:spacing w:val="-7"/>
          <w:sz w:val="24"/>
          <w:szCs w:val="24"/>
          <w:highlight w:val="none"/>
        </w:rPr>
        <w:t>.运输过程温度不高于-18℃</w:t>
      </w:r>
      <w:r>
        <w:rPr>
          <w:rFonts w:ascii="仿宋" w:hAnsi="仿宋" w:eastAsia="仿宋" w:cs="仿宋"/>
          <w:color w:val="auto"/>
          <w:spacing w:val="-87"/>
          <w:sz w:val="24"/>
          <w:szCs w:val="24"/>
          <w:highlight w:val="none"/>
        </w:rPr>
        <w:t xml:space="preserve"> </w:t>
      </w:r>
      <w:r>
        <w:rPr>
          <w:rFonts w:ascii="仿宋" w:hAnsi="仿宋" w:eastAsia="仿宋" w:cs="仿宋"/>
          <w:color w:val="auto"/>
          <w:spacing w:val="-7"/>
          <w:sz w:val="24"/>
          <w:szCs w:val="24"/>
          <w:highlight w:val="none"/>
        </w:rPr>
        <w:t>,</w:t>
      </w:r>
      <w:r>
        <w:rPr>
          <w:rFonts w:ascii="仿宋" w:hAnsi="仿宋" w:eastAsia="仿宋" w:cs="仿宋"/>
          <w:color w:val="auto"/>
          <w:spacing w:val="-49"/>
          <w:sz w:val="24"/>
          <w:szCs w:val="24"/>
          <w:highlight w:val="none"/>
        </w:rPr>
        <w:t xml:space="preserve"> </w:t>
      </w:r>
      <w:r>
        <w:rPr>
          <w:rFonts w:ascii="仿宋" w:hAnsi="仿宋" w:eastAsia="仿宋" w:cs="仿宋"/>
          <w:color w:val="auto"/>
          <w:spacing w:val="-7"/>
          <w:sz w:val="24"/>
          <w:szCs w:val="24"/>
          <w:highlight w:val="none"/>
        </w:rPr>
        <w:t>全程智能温度监控，温度记录时间间隔</w:t>
      </w:r>
      <w:r>
        <w:rPr>
          <w:rFonts w:ascii="仿宋" w:hAnsi="仿宋" w:eastAsia="仿宋" w:cs="仿宋"/>
          <w:color w:val="auto"/>
          <w:spacing w:val="-8"/>
          <w:sz w:val="24"/>
          <w:szCs w:val="24"/>
          <w:highlight w:val="none"/>
        </w:rPr>
        <w:t>为</w:t>
      </w:r>
      <w:r>
        <w:rPr>
          <w:rFonts w:ascii="仿宋" w:hAnsi="仿宋" w:eastAsia="仿宋" w:cs="仿宋"/>
          <w:color w:val="auto"/>
          <w:spacing w:val="-34"/>
          <w:sz w:val="24"/>
          <w:szCs w:val="24"/>
          <w:highlight w:val="none"/>
        </w:rPr>
        <w:t xml:space="preserve"> </w:t>
      </w:r>
      <w:r>
        <w:rPr>
          <w:rFonts w:ascii="仿宋" w:hAnsi="仿宋" w:eastAsia="仿宋" w:cs="仿宋"/>
          <w:color w:val="auto"/>
          <w:spacing w:val="-8"/>
          <w:sz w:val="24"/>
          <w:szCs w:val="24"/>
          <w:highlight w:val="none"/>
        </w:rPr>
        <w:t>1</w:t>
      </w:r>
      <w:r>
        <w:rPr>
          <w:rFonts w:ascii="仿宋" w:hAnsi="仿宋" w:eastAsia="仿宋" w:cs="仿宋"/>
          <w:color w:val="auto"/>
          <w:spacing w:val="-44"/>
          <w:sz w:val="24"/>
          <w:szCs w:val="24"/>
          <w:highlight w:val="none"/>
        </w:rPr>
        <w:t xml:space="preserve"> </w:t>
      </w:r>
      <w:r>
        <w:rPr>
          <w:rFonts w:ascii="仿宋" w:hAnsi="仿宋" w:eastAsia="仿宋" w:cs="仿宋"/>
          <w:color w:val="auto"/>
          <w:spacing w:val="-8"/>
          <w:sz w:val="24"/>
          <w:szCs w:val="24"/>
          <w:highlight w:val="none"/>
        </w:rPr>
        <w:t>次/10</w:t>
      </w:r>
      <w:r>
        <w:rPr>
          <w:rFonts w:ascii="仿宋" w:hAnsi="仿宋" w:eastAsia="仿宋" w:cs="仿宋"/>
          <w:color w:val="auto"/>
          <w:sz w:val="24"/>
          <w:szCs w:val="24"/>
          <w:highlight w:val="none"/>
        </w:rPr>
        <w:t xml:space="preserve"> </w:t>
      </w:r>
      <w:r>
        <w:rPr>
          <w:rFonts w:ascii="仿宋" w:hAnsi="仿宋" w:eastAsia="仿宋" w:cs="仿宋"/>
          <w:color w:val="auto"/>
          <w:spacing w:val="-1"/>
          <w:sz w:val="24"/>
          <w:szCs w:val="24"/>
          <w:highlight w:val="none"/>
        </w:rPr>
        <w:t>分钟，货物送达后需将车辆在途温度情况反馈至收货分仓、</w:t>
      </w:r>
      <w:r>
        <w:rPr>
          <w:rFonts w:hint="eastAsia" w:ascii="仿宋" w:hAnsi="仿宋" w:eastAsia="仿宋" w:cs="仿宋"/>
          <w:color w:val="auto"/>
          <w:spacing w:val="-1"/>
          <w:sz w:val="24"/>
          <w:szCs w:val="24"/>
          <w:highlight w:val="none"/>
          <w:lang w:val="en-US" w:eastAsia="zh-CN"/>
        </w:rPr>
        <w:t>招标人储运</w:t>
      </w:r>
      <w:r>
        <w:rPr>
          <w:rFonts w:ascii="仿宋" w:hAnsi="仿宋" w:eastAsia="仿宋" w:cs="仿宋"/>
          <w:color w:val="auto"/>
          <w:spacing w:val="-1"/>
          <w:sz w:val="24"/>
          <w:szCs w:val="24"/>
          <w:highlight w:val="none"/>
        </w:rPr>
        <w:t>部</w:t>
      </w:r>
      <w:r>
        <w:rPr>
          <w:rFonts w:hint="eastAsia" w:ascii="仿宋" w:hAnsi="仿宋" w:eastAsia="仿宋" w:cs="仿宋"/>
          <w:color w:val="auto"/>
          <w:spacing w:val="-1"/>
          <w:sz w:val="24"/>
          <w:szCs w:val="24"/>
          <w:highlight w:val="none"/>
          <w:lang w:eastAsia="zh-CN"/>
        </w:rPr>
        <w:t>。</w:t>
      </w:r>
    </w:p>
    <w:p w14:paraId="2172769B">
      <w:pPr>
        <w:keepNext w:val="0"/>
        <w:keepLines w:val="0"/>
        <w:pageBreakBefore w:val="0"/>
        <w:widowControl w:val="0"/>
        <w:kinsoku/>
        <w:wordWrap/>
        <w:overflowPunct/>
        <w:topLinePunct w:val="0"/>
        <w:autoSpaceDE/>
        <w:autoSpaceDN/>
        <w:bidi w:val="0"/>
        <w:adjustRightInd/>
        <w:snapToGrid/>
        <w:spacing w:line="360" w:lineRule="auto"/>
        <w:ind w:right="62" w:firstLine="48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ascii="仿宋" w:hAnsi="仿宋" w:eastAsia="仿宋" w:cs="仿宋"/>
          <w:color w:val="auto"/>
          <w:sz w:val="24"/>
          <w:szCs w:val="24"/>
          <w:highlight w:val="none"/>
        </w:rPr>
        <w:t>.收货分仓在车辆到达后第一时间组织卸货</w:t>
      </w:r>
      <w:r>
        <w:rPr>
          <w:rFonts w:ascii="仿宋" w:hAnsi="仿宋" w:eastAsia="仿宋" w:cs="仿宋"/>
          <w:color w:val="auto"/>
          <w:spacing w:val="-1"/>
          <w:sz w:val="24"/>
          <w:szCs w:val="24"/>
          <w:highlight w:val="none"/>
        </w:rPr>
        <w:t>，过程中与发货单位及驾驶员保持联系，确定到达时间做好接货准备，不得因其他因素延误卸货</w:t>
      </w:r>
      <w:r>
        <w:rPr>
          <w:rFonts w:hint="eastAsia" w:ascii="仿宋" w:hAnsi="仿宋" w:eastAsia="仿宋" w:cs="仿宋"/>
          <w:color w:val="auto"/>
          <w:spacing w:val="-1"/>
          <w:sz w:val="24"/>
          <w:szCs w:val="24"/>
          <w:highlight w:val="none"/>
          <w:lang w:eastAsia="zh-CN"/>
        </w:rPr>
        <w:t>。</w:t>
      </w:r>
    </w:p>
    <w:p w14:paraId="51AEE5B9">
      <w:pPr>
        <w:keepNext w:val="0"/>
        <w:keepLines w:val="0"/>
        <w:pageBreakBefore w:val="0"/>
        <w:widowControl w:val="0"/>
        <w:kinsoku/>
        <w:wordWrap/>
        <w:overflowPunct/>
        <w:topLinePunct w:val="0"/>
        <w:autoSpaceDE/>
        <w:autoSpaceDN/>
        <w:bidi w:val="0"/>
        <w:adjustRightInd/>
        <w:snapToGrid/>
        <w:spacing w:line="360" w:lineRule="auto"/>
        <w:ind w:left="3" w:right="62" w:firstLine="47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4"/>
          <w:sz w:val="24"/>
          <w:szCs w:val="24"/>
          <w:highlight w:val="none"/>
          <w:lang w:val="en-US" w:eastAsia="zh-CN"/>
        </w:rPr>
        <w:t>3</w:t>
      </w:r>
      <w:r>
        <w:rPr>
          <w:rFonts w:ascii="仿宋" w:hAnsi="仿宋" w:eastAsia="仿宋" w:cs="仿宋"/>
          <w:color w:val="auto"/>
          <w:spacing w:val="-4"/>
          <w:sz w:val="24"/>
          <w:szCs w:val="24"/>
          <w:highlight w:val="none"/>
        </w:rPr>
        <w:t>.分仓发运采取专车发运，选择车况较好的</w:t>
      </w:r>
      <w:r>
        <w:rPr>
          <w:rFonts w:ascii="仿宋" w:hAnsi="仿宋" w:eastAsia="仿宋" w:cs="仿宋"/>
          <w:color w:val="auto"/>
          <w:spacing w:val="-3"/>
          <w:sz w:val="24"/>
          <w:szCs w:val="24"/>
          <w:highlight w:val="none"/>
        </w:rPr>
        <w:t>车型，制冷效果良好的车辆进行配送，全程温度保持-18℃以下，专人</w:t>
      </w:r>
      <w:r>
        <w:rPr>
          <w:rFonts w:ascii="仿宋" w:hAnsi="仿宋" w:eastAsia="仿宋" w:cs="仿宋"/>
          <w:color w:val="auto"/>
          <w:spacing w:val="-54"/>
          <w:sz w:val="24"/>
          <w:szCs w:val="24"/>
          <w:highlight w:val="none"/>
        </w:rPr>
        <w:t xml:space="preserve"> </w:t>
      </w:r>
      <w:r>
        <w:rPr>
          <w:rFonts w:ascii="仿宋" w:hAnsi="仿宋" w:eastAsia="仿宋" w:cs="仿宋"/>
          <w:color w:val="auto"/>
          <w:spacing w:val="-3"/>
          <w:sz w:val="24"/>
          <w:szCs w:val="24"/>
          <w:highlight w:val="none"/>
        </w:rPr>
        <w:t>GPS实时在线监控</w:t>
      </w:r>
      <w:r>
        <w:rPr>
          <w:rFonts w:hint="eastAsia" w:ascii="仿宋" w:hAnsi="仿宋" w:eastAsia="仿宋" w:cs="仿宋"/>
          <w:color w:val="auto"/>
          <w:spacing w:val="-3"/>
          <w:sz w:val="24"/>
          <w:szCs w:val="24"/>
          <w:highlight w:val="none"/>
          <w:lang w:eastAsia="zh-CN"/>
        </w:rPr>
        <w:t>。</w:t>
      </w:r>
    </w:p>
    <w:p w14:paraId="687457AB">
      <w:pPr>
        <w:keepNext w:val="0"/>
        <w:keepLines w:val="0"/>
        <w:pageBreakBefore w:val="0"/>
        <w:widowControl w:val="0"/>
        <w:kinsoku/>
        <w:wordWrap/>
        <w:overflowPunct/>
        <w:topLinePunct w:val="0"/>
        <w:autoSpaceDE/>
        <w:autoSpaceDN/>
        <w:bidi w:val="0"/>
        <w:adjustRightInd/>
        <w:snapToGrid/>
        <w:spacing w:line="360" w:lineRule="auto"/>
        <w:ind w:left="15" w:right="105" w:firstLine="464"/>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2"/>
          <w:sz w:val="24"/>
          <w:szCs w:val="24"/>
          <w:highlight w:val="none"/>
          <w:lang w:val="en-US" w:eastAsia="zh-CN"/>
        </w:rPr>
        <w:t>4</w:t>
      </w:r>
      <w:r>
        <w:rPr>
          <w:rFonts w:ascii="仿宋" w:hAnsi="仿宋" w:eastAsia="仿宋" w:cs="仿宋"/>
          <w:color w:val="auto"/>
          <w:spacing w:val="-2"/>
          <w:sz w:val="24"/>
          <w:szCs w:val="24"/>
          <w:highlight w:val="none"/>
        </w:rPr>
        <w:t>.发运过程需专人跟踪车辆运行情况，发生异常立即反馈</w:t>
      </w:r>
      <w:r>
        <w:rPr>
          <w:rFonts w:hint="eastAsia" w:ascii="仿宋" w:hAnsi="仿宋" w:eastAsia="仿宋" w:cs="仿宋"/>
          <w:color w:val="auto"/>
          <w:spacing w:val="-1"/>
          <w:sz w:val="24"/>
          <w:szCs w:val="24"/>
          <w:highlight w:val="none"/>
          <w:lang w:val="en-US" w:eastAsia="zh-CN"/>
        </w:rPr>
        <w:t>招标人储运</w:t>
      </w:r>
      <w:r>
        <w:rPr>
          <w:rFonts w:ascii="仿宋" w:hAnsi="仿宋" w:eastAsia="仿宋" w:cs="仿宋"/>
          <w:color w:val="auto"/>
          <w:spacing w:val="-1"/>
          <w:sz w:val="24"/>
          <w:szCs w:val="24"/>
          <w:highlight w:val="none"/>
        </w:rPr>
        <w:t>部</w:t>
      </w:r>
      <w:r>
        <w:rPr>
          <w:rFonts w:ascii="仿宋" w:hAnsi="仿宋" w:eastAsia="仿宋" w:cs="仿宋"/>
          <w:color w:val="auto"/>
          <w:spacing w:val="-2"/>
          <w:sz w:val="24"/>
          <w:szCs w:val="24"/>
          <w:highlight w:val="none"/>
        </w:rPr>
        <w:t>、</w:t>
      </w:r>
      <w:r>
        <w:rPr>
          <w:rFonts w:ascii="仿宋" w:hAnsi="仿宋" w:eastAsia="仿宋" w:cs="仿宋"/>
          <w:color w:val="auto"/>
          <w:spacing w:val="-3"/>
          <w:sz w:val="24"/>
          <w:szCs w:val="24"/>
          <w:highlight w:val="none"/>
        </w:rPr>
        <w:t>收货方，随时共享信息</w:t>
      </w:r>
      <w:r>
        <w:rPr>
          <w:rFonts w:hint="eastAsia" w:ascii="仿宋" w:hAnsi="仿宋" w:eastAsia="仿宋" w:cs="仿宋"/>
          <w:color w:val="auto"/>
          <w:spacing w:val="-3"/>
          <w:sz w:val="24"/>
          <w:szCs w:val="24"/>
          <w:highlight w:val="none"/>
          <w:lang w:eastAsia="zh-CN"/>
        </w:rPr>
        <w:t>。</w:t>
      </w:r>
    </w:p>
    <w:p w14:paraId="3309A1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highlight w:val="none"/>
        </w:rPr>
      </w:pPr>
      <w:r>
        <w:rPr>
          <w:rFonts w:hint="eastAsia" w:ascii="仿宋" w:hAnsi="仿宋" w:eastAsia="仿宋" w:cs="仿宋"/>
          <w:color w:val="auto"/>
          <w:sz w:val="24"/>
          <w:szCs w:val="24"/>
          <w:highlight w:val="none"/>
          <w:lang w:val="en-US" w:eastAsia="zh-CN"/>
        </w:rPr>
        <w:t>5</w:t>
      </w:r>
      <w:r>
        <w:rPr>
          <w:rFonts w:ascii="仿宋" w:hAnsi="仿宋" w:eastAsia="仿宋" w:cs="仿宋"/>
          <w:color w:val="auto"/>
          <w:sz w:val="24"/>
          <w:szCs w:val="24"/>
          <w:highlight w:val="none"/>
        </w:rPr>
        <w:t>.分仓发运前物流服务方与收货单位沟通，告知运</w:t>
      </w:r>
      <w:r>
        <w:rPr>
          <w:rFonts w:ascii="仿宋" w:hAnsi="仿宋" w:eastAsia="仿宋" w:cs="仿宋"/>
          <w:color w:val="auto"/>
          <w:spacing w:val="-1"/>
          <w:sz w:val="24"/>
          <w:szCs w:val="24"/>
          <w:highlight w:val="none"/>
        </w:rPr>
        <w:t>输数量、产品品类、车辆信息（车牌号、驾驶员等信息）、预计到达时间，方便收货单位组织卸货，卸货时效</w:t>
      </w:r>
      <w:r>
        <w:rPr>
          <w:rFonts w:ascii="仿宋" w:hAnsi="仿宋" w:eastAsia="仿宋" w:cs="仿宋"/>
          <w:color w:val="auto"/>
          <w:spacing w:val="1"/>
          <w:sz w:val="24"/>
          <w:szCs w:val="24"/>
          <w:highlight w:val="none"/>
        </w:rPr>
        <w:t>按每托5</w:t>
      </w:r>
      <w:r>
        <w:rPr>
          <w:rFonts w:ascii="仿宋" w:hAnsi="仿宋" w:eastAsia="仿宋" w:cs="仿宋"/>
          <w:color w:val="auto"/>
          <w:spacing w:val="-39"/>
          <w:sz w:val="24"/>
          <w:szCs w:val="24"/>
          <w:highlight w:val="none"/>
        </w:rPr>
        <w:t xml:space="preserve"> </w:t>
      </w:r>
      <w:r>
        <w:rPr>
          <w:rFonts w:ascii="仿宋" w:hAnsi="仿宋" w:eastAsia="仿宋" w:cs="仿宋"/>
          <w:color w:val="auto"/>
          <w:spacing w:val="1"/>
          <w:sz w:val="24"/>
          <w:szCs w:val="24"/>
          <w:highlight w:val="none"/>
        </w:rPr>
        <w:t>分钟的标准执行，必须一次性卸货完毕。</w:t>
      </w:r>
    </w:p>
    <w:p w14:paraId="049A22BA">
      <w:pPr>
        <w:keepNext w:val="0"/>
        <w:keepLines w:val="0"/>
        <w:pageBreakBefore w:val="0"/>
        <w:widowControl w:val="0"/>
        <w:kinsoku/>
        <w:wordWrap/>
        <w:overflowPunct/>
        <w:topLinePunct w:val="0"/>
        <w:autoSpaceDE/>
        <w:autoSpaceDN/>
        <w:bidi w:val="0"/>
        <w:adjustRightInd/>
        <w:snapToGrid/>
        <w:spacing w:line="360" w:lineRule="auto"/>
        <w:ind w:firstLine="438" w:firstLineChars="200"/>
        <w:textAlignment w:val="auto"/>
        <w:rPr>
          <w:rFonts w:ascii="仿宋" w:hAnsi="仿宋" w:eastAsia="仿宋" w:cs="仿宋"/>
          <w:color w:val="auto"/>
          <w:sz w:val="24"/>
          <w:szCs w:val="24"/>
          <w:highlight w:val="none"/>
        </w:rPr>
      </w:pPr>
      <w:r>
        <w:rPr>
          <w:rFonts w:hint="eastAsia" w:ascii="仿宋" w:hAnsi="仿宋" w:eastAsia="仿宋" w:cs="仿宋"/>
          <w:b/>
          <w:bCs/>
          <w:color w:val="auto"/>
          <w:spacing w:val="-11"/>
          <w:sz w:val="24"/>
          <w:szCs w:val="24"/>
          <w:highlight w:val="none"/>
          <w:lang w:val="en-US" w:eastAsia="zh-CN"/>
        </w:rPr>
        <w:t>四、</w:t>
      </w:r>
      <w:r>
        <w:rPr>
          <w:rFonts w:ascii="仿宋" w:hAnsi="仿宋" w:eastAsia="仿宋" w:cs="仿宋"/>
          <w:b/>
          <w:bCs/>
          <w:color w:val="auto"/>
          <w:spacing w:val="-11"/>
          <w:sz w:val="24"/>
          <w:szCs w:val="24"/>
          <w:highlight w:val="none"/>
        </w:rPr>
        <w:t>其他</w:t>
      </w:r>
    </w:p>
    <w:p w14:paraId="62DC1E26">
      <w:pPr>
        <w:keepNext w:val="0"/>
        <w:keepLines w:val="0"/>
        <w:pageBreakBefore w:val="0"/>
        <w:widowControl w:val="0"/>
        <w:kinsoku/>
        <w:wordWrap/>
        <w:overflowPunct/>
        <w:topLinePunct w:val="0"/>
        <w:autoSpaceDE/>
        <w:autoSpaceDN/>
        <w:bidi w:val="0"/>
        <w:adjustRightInd/>
        <w:snapToGrid/>
        <w:spacing w:line="360" w:lineRule="auto"/>
        <w:ind w:left="4" w:firstLine="488"/>
        <w:textAlignment w:val="auto"/>
        <w:rPr>
          <w:rFonts w:hint="default" w:ascii="仿宋" w:hAnsi="仿宋" w:eastAsia="仿宋" w:cs="仿宋"/>
          <w:color w:val="auto"/>
          <w:spacing w:val="-4"/>
          <w:sz w:val="24"/>
          <w:szCs w:val="24"/>
          <w:highlight w:val="none"/>
          <w:lang w:val="en-US" w:eastAsia="zh-CN"/>
        </w:rPr>
      </w:pPr>
      <w:r>
        <w:rPr>
          <w:rFonts w:ascii="仿宋" w:hAnsi="仿宋" w:eastAsia="仿宋" w:cs="仿宋"/>
          <w:color w:val="auto"/>
          <w:spacing w:val="-4"/>
          <w:sz w:val="24"/>
          <w:szCs w:val="24"/>
          <w:highlight w:val="none"/>
        </w:rPr>
        <w:t>除了上述要求外，应该严格遵守</w:t>
      </w:r>
      <w:r>
        <w:rPr>
          <w:rFonts w:hint="eastAsia" w:ascii="仿宋" w:hAnsi="仿宋" w:eastAsia="仿宋" w:cs="仿宋"/>
          <w:color w:val="auto"/>
          <w:spacing w:val="-1"/>
          <w:sz w:val="24"/>
          <w:szCs w:val="24"/>
          <w:highlight w:val="none"/>
          <w:lang w:val="en-US" w:eastAsia="zh-CN"/>
        </w:rPr>
        <w:t>招标人储运</w:t>
      </w:r>
      <w:r>
        <w:rPr>
          <w:rFonts w:ascii="仿宋" w:hAnsi="仿宋" w:eastAsia="仿宋" w:cs="仿宋"/>
          <w:color w:val="auto"/>
          <w:spacing w:val="-1"/>
          <w:sz w:val="24"/>
          <w:szCs w:val="24"/>
          <w:highlight w:val="none"/>
        </w:rPr>
        <w:t>部</w:t>
      </w:r>
      <w:r>
        <w:rPr>
          <w:rFonts w:ascii="仿宋" w:hAnsi="仿宋" w:eastAsia="仿宋" w:cs="仿宋"/>
          <w:color w:val="auto"/>
          <w:spacing w:val="-5"/>
          <w:sz w:val="24"/>
          <w:szCs w:val="24"/>
          <w:highlight w:val="none"/>
        </w:rPr>
        <w:t>根据产品实际需求</w:t>
      </w:r>
      <w:r>
        <w:rPr>
          <w:rFonts w:ascii="仿宋" w:hAnsi="仿宋" w:eastAsia="仿宋" w:cs="仿宋"/>
          <w:color w:val="auto"/>
          <w:spacing w:val="-1"/>
          <w:sz w:val="24"/>
          <w:szCs w:val="24"/>
          <w:highlight w:val="none"/>
        </w:rPr>
        <w:t>以书面方式提出的其他仓储、运输要求</w:t>
      </w:r>
      <w:r>
        <w:rPr>
          <w:rFonts w:hint="eastAsia" w:ascii="仿宋" w:hAnsi="仿宋" w:eastAsia="仿宋" w:cs="仿宋"/>
          <w:color w:val="auto"/>
          <w:spacing w:val="-1"/>
          <w:sz w:val="24"/>
          <w:szCs w:val="24"/>
          <w:highlight w:val="none"/>
          <w:lang w:eastAsia="zh-CN"/>
        </w:rPr>
        <w:t>。</w:t>
      </w:r>
      <w:r>
        <w:rPr>
          <w:rFonts w:hint="eastAsia" w:ascii="仿宋" w:hAnsi="仿宋" w:eastAsia="仿宋" w:cs="仿宋"/>
          <w:color w:val="auto"/>
          <w:spacing w:val="-1"/>
          <w:sz w:val="24"/>
          <w:szCs w:val="24"/>
          <w:highlight w:val="none"/>
          <w:lang w:val="en-US" w:eastAsia="zh-CN"/>
        </w:rPr>
        <w:t>招标人储运</w:t>
      </w:r>
      <w:r>
        <w:rPr>
          <w:rFonts w:ascii="仿宋" w:hAnsi="仿宋" w:eastAsia="仿宋" w:cs="仿宋"/>
          <w:color w:val="auto"/>
          <w:spacing w:val="-1"/>
          <w:sz w:val="24"/>
          <w:szCs w:val="24"/>
          <w:highlight w:val="none"/>
        </w:rPr>
        <w:t>部不定期的对产品仓库、运输服务进行检查，</w:t>
      </w:r>
      <w:r>
        <w:rPr>
          <w:rFonts w:hint="eastAsia" w:ascii="仿宋" w:hAnsi="仿宋" w:eastAsia="仿宋" w:cs="仿宋"/>
          <w:color w:val="auto"/>
          <w:spacing w:val="-1"/>
          <w:sz w:val="24"/>
          <w:szCs w:val="24"/>
          <w:highlight w:val="none"/>
          <w:lang w:val="en-US" w:eastAsia="zh-CN"/>
        </w:rPr>
        <w:t>如</w:t>
      </w:r>
      <w:r>
        <w:rPr>
          <w:rFonts w:ascii="仿宋" w:hAnsi="仿宋" w:eastAsia="仿宋" w:cs="仿宋"/>
          <w:color w:val="auto"/>
          <w:spacing w:val="-1"/>
          <w:sz w:val="24"/>
          <w:szCs w:val="24"/>
          <w:highlight w:val="none"/>
        </w:rPr>
        <w:t>发现不合格，</w:t>
      </w:r>
      <w:r>
        <w:rPr>
          <w:rFonts w:hint="eastAsia" w:ascii="仿宋" w:hAnsi="仿宋" w:eastAsia="仿宋" w:cs="仿宋"/>
          <w:color w:val="auto"/>
          <w:spacing w:val="-1"/>
          <w:sz w:val="24"/>
          <w:szCs w:val="24"/>
          <w:highlight w:val="none"/>
          <w:lang w:val="en-US" w:eastAsia="zh-CN"/>
        </w:rPr>
        <w:t>第一次招标人将</w:t>
      </w:r>
      <w:r>
        <w:rPr>
          <w:rFonts w:ascii="仿宋" w:hAnsi="仿宋" w:eastAsia="仿宋" w:cs="仿宋"/>
          <w:color w:val="auto"/>
          <w:spacing w:val="-1"/>
          <w:sz w:val="24"/>
          <w:szCs w:val="24"/>
          <w:highlight w:val="none"/>
        </w:rPr>
        <w:t>书面警告，</w:t>
      </w:r>
      <w:r>
        <w:rPr>
          <w:rFonts w:hint="eastAsia" w:ascii="仿宋" w:hAnsi="仿宋" w:eastAsia="仿宋" w:cs="仿宋"/>
          <w:color w:val="auto"/>
          <w:spacing w:val="-1"/>
          <w:sz w:val="24"/>
          <w:szCs w:val="24"/>
          <w:highlight w:val="none"/>
          <w:lang w:val="en-US" w:eastAsia="zh-CN"/>
        </w:rPr>
        <w:t>第二次发现不合格，招标人有权扣除1万元/次的违约金，第三次发现不合格，招标人有权单方面终止</w:t>
      </w:r>
      <w:r>
        <w:rPr>
          <w:rFonts w:ascii="仿宋" w:hAnsi="仿宋" w:eastAsia="仿宋" w:cs="仿宋"/>
          <w:color w:val="auto"/>
          <w:spacing w:val="-4"/>
          <w:sz w:val="24"/>
          <w:szCs w:val="24"/>
          <w:highlight w:val="none"/>
        </w:rPr>
        <w:t>合作</w:t>
      </w:r>
      <w:r>
        <w:rPr>
          <w:rFonts w:hint="eastAsia" w:ascii="仿宋" w:hAnsi="仿宋" w:eastAsia="仿宋" w:cs="仿宋"/>
          <w:color w:val="auto"/>
          <w:spacing w:val="-4"/>
          <w:sz w:val="24"/>
          <w:szCs w:val="24"/>
          <w:highlight w:val="none"/>
          <w:lang w:eastAsia="zh-CN"/>
        </w:rPr>
        <w:t>。</w:t>
      </w:r>
    </w:p>
    <w:p w14:paraId="2664E6FC">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outlineLvl w:val="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五、服务期限</w:t>
      </w:r>
    </w:p>
    <w:p w14:paraId="5142526F">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自合同签订之日起一年。</w:t>
      </w:r>
    </w:p>
    <w:p w14:paraId="65FD0BD1">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outlineLvl w:val="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六、报价要求</w:t>
      </w:r>
    </w:p>
    <w:tbl>
      <w:tblPr>
        <w:tblStyle w:val="23"/>
        <w:tblW w:w="111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6"/>
        <w:gridCol w:w="801"/>
        <w:gridCol w:w="814"/>
        <w:gridCol w:w="943"/>
        <w:gridCol w:w="1057"/>
        <w:gridCol w:w="943"/>
        <w:gridCol w:w="1472"/>
        <w:gridCol w:w="1471"/>
        <w:gridCol w:w="1486"/>
        <w:gridCol w:w="1362"/>
      </w:tblGrid>
      <w:tr w14:paraId="4DF19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1115" w:type="dxa"/>
            <w:gridSpan w:val="10"/>
            <w:tcBorders>
              <w:top w:val="nil"/>
              <w:left w:val="nil"/>
              <w:bottom w:val="nil"/>
              <w:right w:val="nil"/>
            </w:tcBorders>
            <w:shd w:val="clear" w:color="auto" w:fill="auto"/>
            <w:noWrap/>
            <w:vAlign w:val="center"/>
          </w:tcPr>
          <w:p w14:paraId="709BA17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整车调拨报价表  </w:t>
            </w:r>
          </w:p>
        </w:tc>
      </w:tr>
      <w:tr w14:paraId="16BC4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66"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D331898">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73B29D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性质</w:t>
            </w: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603F12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始发省份</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417AAF5">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始发</w:t>
            </w:r>
          </w:p>
          <w:p w14:paraId="6FEAC02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城市</w:t>
            </w:r>
          </w:p>
        </w:tc>
        <w:tc>
          <w:tcPr>
            <w:tcW w:w="1057"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6C2E131">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目的</w:t>
            </w:r>
          </w:p>
          <w:p w14:paraId="3402850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省份</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5C4FA81">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目的</w:t>
            </w:r>
          </w:p>
          <w:p w14:paraId="043B6C6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城市</w:t>
            </w:r>
          </w:p>
        </w:tc>
        <w:tc>
          <w:tcPr>
            <w:tcW w:w="1472" w:type="dxa"/>
            <w:tcBorders>
              <w:top w:val="single" w:color="000000" w:sz="4" w:space="0"/>
              <w:left w:val="single" w:color="000000" w:sz="4" w:space="0"/>
              <w:bottom w:val="single" w:color="000000" w:sz="4" w:space="0"/>
              <w:right w:val="nil"/>
            </w:tcBorders>
            <w:shd w:val="clear" w:color="auto" w:fill="B4C6E7"/>
            <w:noWrap/>
            <w:vAlign w:val="center"/>
          </w:tcPr>
          <w:p w14:paraId="084DB78B">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4.2米</w:t>
            </w:r>
          </w:p>
          <w:p w14:paraId="51AC989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471" w:type="dxa"/>
            <w:tcBorders>
              <w:top w:val="single" w:color="000000" w:sz="4" w:space="0"/>
              <w:left w:val="single" w:color="000000" w:sz="4" w:space="0"/>
              <w:bottom w:val="single" w:color="000000" w:sz="4" w:space="0"/>
              <w:right w:val="nil"/>
            </w:tcBorders>
            <w:shd w:val="clear" w:color="auto" w:fill="B4C6E7"/>
            <w:noWrap/>
            <w:vAlign w:val="center"/>
          </w:tcPr>
          <w:p w14:paraId="0B2EF44B">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7.6米</w:t>
            </w:r>
          </w:p>
          <w:p w14:paraId="0713D49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486" w:type="dxa"/>
            <w:tcBorders>
              <w:top w:val="single" w:color="000000" w:sz="4" w:space="0"/>
              <w:left w:val="single" w:color="000000" w:sz="4" w:space="0"/>
              <w:bottom w:val="single" w:color="000000" w:sz="4" w:space="0"/>
              <w:right w:val="nil"/>
            </w:tcBorders>
            <w:shd w:val="clear" w:color="auto" w:fill="B4C6E7"/>
            <w:noWrap/>
            <w:vAlign w:val="center"/>
          </w:tcPr>
          <w:p w14:paraId="6AD844D8">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9.6米</w:t>
            </w:r>
          </w:p>
          <w:p w14:paraId="361FE5A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362"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EF815A6">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15米冷</w:t>
            </w:r>
          </w:p>
          <w:p w14:paraId="1FB0516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藏车型</w:t>
            </w:r>
          </w:p>
        </w:tc>
      </w:tr>
      <w:tr w14:paraId="7F5DF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6FE1F53">
            <w:pPr>
              <w:jc w:val="center"/>
              <w:rPr>
                <w:rFonts w:hint="eastAsia" w:ascii="仿宋" w:hAnsi="仿宋" w:eastAsia="仿宋" w:cs="仿宋"/>
                <w:b/>
                <w:bCs/>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EB03F57">
            <w:pPr>
              <w:jc w:val="center"/>
              <w:rPr>
                <w:rFonts w:hint="eastAsia" w:ascii="仿宋" w:hAnsi="仿宋" w:eastAsia="仿宋" w:cs="仿宋"/>
                <w:b/>
                <w:bCs/>
                <w:i w:val="0"/>
                <w:iCs w:val="0"/>
                <w:color w:val="000000"/>
                <w:sz w:val="24"/>
                <w:szCs w:val="24"/>
                <w:u w:val="none"/>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D55E646">
            <w:pPr>
              <w:jc w:val="center"/>
              <w:rPr>
                <w:rFonts w:hint="eastAsia" w:ascii="仿宋" w:hAnsi="仿宋" w:eastAsia="仿宋" w:cs="仿宋"/>
                <w:b/>
                <w:bCs/>
                <w:i w:val="0"/>
                <w:iCs w:val="0"/>
                <w:color w:val="000000"/>
                <w:sz w:val="24"/>
                <w:szCs w:val="24"/>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3266E79">
            <w:pPr>
              <w:jc w:val="center"/>
              <w:rPr>
                <w:rFonts w:hint="eastAsia" w:ascii="仿宋" w:hAnsi="仿宋" w:eastAsia="仿宋" w:cs="仿宋"/>
                <w:b/>
                <w:bCs/>
                <w:i w:val="0"/>
                <w:iCs w:val="0"/>
                <w:color w:val="000000"/>
                <w:sz w:val="24"/>
                <w:szCs w:val="24"/>
                <w:u w:val="none"/>
              </w:rPr>
            </w:pPr>
          </w:p>
        </w:tc>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13B57242">
            <w:pPr>
              <w:jc w:val="center"/>
              <w:rPr>
                <w:rFonts w:hint="eastAsia" w:ascii="仿宋" w:hAnsi="仿宋" w:eastAsia="仿宋" w:cs="仿宋"/>
                <w:b/>
                <w:bCs/>
                <w:i w:val="0"/>
                <w:iCs w:val="0"/>
                <w:color w:val="000000"/>
                <w:sz w:val="24"/>
                <w:szCs w:val="24"/>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6105CE5">
            <w:pPr>
              <w:jc w:val="center"/>
              <w:rPr>
                <w:rFonts w:hint="eastAsia" w:ascii="仿宋" w:hAnsi="仿宋" w:eastAsia="仿宋" w:cs="仿宋"/>
                <w:b/>
                <w:bCs/>
                <w:i w:val="0"/>
                <w:iCs w:val="0"/>
                <w:color w:val="000000"/>
                <w:sz w:val="24"/>
                <w:szCs w:val="24"/>
                <w:u w:val="none"/>
              </w:rPr>
            </w:pPr>
          </w:p>
        </w:tc>
        <w:tc>
          <w:tcPr>
            <w:tcW w:w="1472" w:type="dxa"/>
            <w:tcBorders>
              <w:top w:val="single" w:color="000000" w:sz="4" w:space="0"/>
              <w:left w:val="single" w:color="000000" w:sz="4" w:space="0"/>
              <w:bottom w:val="nil"/>
              <w:right w:val="single" w:color="000000" w:sz="4" w:space="0"/>
            </w:tcBorders>
            <w:shd w:val="clear" w:color="auto" w:fill="B4C6E7"/>
            <w:noWrap/>
            <w:vAlign w:val="center"/>
          </w:tcPr>
          <w:p w14:paraId="5746D2DA">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最高限价</w:t>
            </w:r>
          </w:p>
          <w:p w14:paraId="0CABFF3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471" w:type="dxa"/>
            <w:tcBorders>
              <w:top w:val="single" w:color="000000" w:sz="4" w:space="0"/>
              <w:left w:val="single" w:color="000000" w:sz="4" w:space="0"/>
              <w:bottom w:val="nil"/>
              <w:right w:val="single" w:color="000000" w:sz="4" w:space="0"/>
            </w:tcBorders>
            <w:shd w:val="clear" w:color="auto" w:fill="B4C6E7"/>
            <w:noWrap/>
            <w:vAlign w:val="center"/>
          </w:tcPr>
          <w:p w14:paraId="4D11631D">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最高限价</w:t>
            </w:r>
          </w:p>
          <w:p w14:paraId="628532B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486" w:type="dxa"/>
            <w:tcBorders>
              <w:top w:val="single" w:color="000000" w:sz="4" w:space="0"/>
              <w:left w:val="single" w:color="000000" w:sz="4" w:space="0"/>
              <w:bottom w:val="nil"/>
              <w:right w:val="single" w:color="000000" w:sz="4" w:space="0"/>
            </w:tcBorders>
            <w:shd w:val="clear" w:color="auto" w:fill="B4C6E7"/>
            <w:noWrap/>
            <w:vAlign w:val="center"/>
          </w:tcPr>
          <w:p w14:paraId="0CD254E5">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最高限价</w:t>
            </w:r>
          </w:p>
          <w:p w14:paraId="59BFC67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362" w:type="dxa"/>
            <w:tcBorders>
              <w:top w:val="single" w:color="000000" w:sz="4" w:space="0"/>
              <w:left w:val="single" w:color="000000" w:sz="4" w:space="0"/>
              <w:bottom w:val="nil"/>
              <w:right w:val="single" w:color="000000" w:sz="4" w:space="0"/>
            </w:tcBorders>
            <w:shd w:val="clear" w:color="auto" w:fill="B4C6E7"/>
            <w:noWrap/>
            <w:vAlign w:val="center"/>
          </w:tcPr>
          <w:p w14:paraId="52EA4F0F">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最高限价</w:t>
            </w:r>
          </w:p>
          <w:p w14:paraId="0E097CD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r>
      <w:tr w14:paraId="24B16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DBE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2D8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29E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AB1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4AE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黑龙江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BAD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哈尔滨</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4C6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CF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634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69C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7894A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481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FCF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EE3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1F5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7C7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7B9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7D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12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B8B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319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5F29D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491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853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E29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3EC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642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辽宁</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7E3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大连</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C40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3D1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BE8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D30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196ED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729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BED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F8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F19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6D6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辽宁</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4E9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沈阳</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5AE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ADE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5A6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2E2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7E8DF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7CC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E08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B24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E9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C4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DCA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9A3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D06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7AB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99D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3D86C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2D9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A1C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6BE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4BB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07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广东</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C2B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深圳</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179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3D4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3D2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E9C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4DD0E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jc w:val="center"/>
        </w:trPr>
        <w:tc>
          <w:tcPr>
            <w:tcW w:w="1111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355843A">
            <w:pPr>
              <w:keepNext w:val="0"/>
              <w:keepLines w:val="0"/>
              <w:widowControl/>
              <w:suppressLineNumbers w:val="0"/>
              <w:jc w:val="left"/>
              <w:textAlignment w:val="center"/>
              <w:rPr>
                <w:rFonts w:hint="eastAsia" w:ascii="仿宋" w:hAnsi="仿宋" w:eastAsia="仿宋" w:cs="仿宋"/>
                <w:i w:val="0"/>
                <w:iCs w:val="0"/>
                <w:color w:val="FF0000"/>
                <w:sz w:val="24"/>
                <w:szCs w:val="24"/>
                <w:u w:val="none"/>
              </w:rPr>
            </w:pPr>
            <w:r>
              <w:rPr>
                <w:rFonts w:hint="eastAsia" w:ascii="仿宋" w:hAnsi="仿宋" w:eastAsia="仿宋" w:cs="仿宋"/>
                <w:i w:val="0"/>
                <w:iCs w:val="0"/>
                <w:color w:val="auto"/>
                <w:kern w:val="0"/>
                <w:sz w:val="24"/>
                <w:szCs w:val="24"/>
                <w:u w:val="none"/>
                <w:lang w:val="en-US" w:eastAsia="zh-CN" w:bidi="ar"/>
              </w:rPr>
              <w:t>备注：</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1.以上价格不含装、卸货等增值服务。</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2.以上价格须包含9%的增值税税点。</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3.以上价格须包含基础保价服务，按4.2米车型10万元，7.6米车型20万元，9.6米车型25万元，15米车型30万元。</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4.具有多个卸货地址的订单，以高德地图货车导航始发地至第一个卸货地距离+相邻卸货地之间的距离累加公里数为结算里程依据。</w:t>
            </w:r>
          </w:p>
        </w:tc>
      </w:tr>
    </w:tbl>
    <w:p w14:paraId="1A10B2B1">
      <w:pPr>
        <w:pStyle w:val="40"/>
        <w:keepNext w:val="0"/>
        <w:keepLines w:val="0"/>
        <w:pageBreakBefore w:val="0"/>
        <w:kinsoku/>
        <w:wordWrap/>
        <w:overflowPunct/>
        <w:topLinePunct w:val="0"/>
        <w:autoSpaceDE/>
        <w:autoSpaceDN/>
        <w:bidi w:val="0"/>
        <w:spacing w:after="0" w:line="500" w:lineRule="exact"/>
        <w:ind w:left="0" w:leftChars="0" w:firstLine="482" w:firstLineChars="200"/>
        <w:textAlignment w:val="auto"/>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bCs/>
          <w:i w:val="0"/>
          <w:iCs w:val="0"/>
          <w:caps w:val="0"/>
          <w:color w:val="auto"/>
          <w:spacing w:val="0"/>
          <w:kern w:val="0"/>
          <w:sz w:val="24"/>
          <w:szCs w:val="24"/>
          <w:highlight w:val="none"/>
          <w:lang w:val="en-US" w:eastAsia="zh-CN" w:bidi="ar"/>
        </w:rPr>
        <w:t>七、付款方式</w:t>
      </w:r>
    </w:p>
    <w:p w14:paraId="5E7EF423">
      <w:pPr>
        <w:pStyle w:val="40"/>
        <w:keepNext w:val="0"/>
        <w:keepLines w:val="0"/>
        <w:pageBreakBefore w:val="0"/>
        <w:kinsoku/>
        <w:wordWrap/>
        <w:overflowPunct/>
        <w:topLinePunct w:val="0"/>
        <w:autoSpaceDE/>
        <w:autoSpaceDN/>
        <w:bidi w:val="0"/>
        <w:spacing w:after="0" w:line="500" w:lineRule="exact"/>
        <w:textAlignment w:val="auto"/>
        <w:rPr>
          <w:rFonts w:hint="default"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按实际服务数量及中标单价按月据实结算。</w:t>
      </w:r>
    </w:p>
    <w:p w14:paraId="665EC4E0">
      <w:pPr>
        <w:tabs>
          <w:tab w:val="left" w:pos="648"/>
        </w:tabs>
        <w:bidi w:val="0"/>
        <w:jc w:val="left"/>
        <w:rPr>
          <w:rFonts w:hint="eastAsia"/>
          <w:lang w:val="en-US" w:eastAsia="zh-CN"/>
        </w:rPr>
        <w:sectPr>
          <w:footerReference r:id="rId5" w:type="default"/>
          <w:pgSz w:w="12240" w:h="15840"/>
          <w:pgMar w:top="1346" w:right="1376" w:bottom="1298" w:left="1375" w:header="0" w:footer="1136" w:gutter="0"/>
          <w:cols w:space="720" w:num="1"/>
        </w:sectPr>
      </w:pPr>
    </w:p>
    <w:p w14:paraId="18606DC9">
      <w:pPr>
        <w:jc w:val="center"/>
        <w:outlineLvl w:val="0"/>
        <w:rPr>
          <w:rFonts w:hint="eastAsia" w:ascii="仿宋" w:hAnsi="仿宋" w:eastAsia="仿宋" w:cs="仿宋"/>
          <w:b/>
          <w:bCs/>
          <w:color w:val="FF0000"/>
          <w:sz w:val="32"/>
          <w:szCs w:val="32"/>
          <w:lang w:eastAsia="zh-CN"/>
        </w:rPr>
      </w:pPr>
      <w:r>
        <w:rPr>
          <w:rFonts w:hint="eastAsia" w:ascii="仿宋" w:hAnsi="仿宋" w:eastAsia="仿宋" w:cs="仿宋"/>
          <w:b/>
          <w:bCs/>
          <w:color w:val="auto"/>
          <w:sz w:val="32"/>
          <w:szCs w:val="32"/>
          <w:lang w:eastAsia="zh-CN"/>
        </w:rPr>
        <w:t>第四章 合同主要条款</w:t>
      </w:r>
    </w:p>
    <w:p w14:paraId="7AAE3D8D">
      <w:pPr>
        <w:jc w:val="center"/>
        <w:outlineLvl w:val="9"/>
        <w:rPr>
          <w:rFonts w:hint="eastAsia" w:ascii="仿宋" w:hAnsi="仿宋" w:eastAsia="仿宋" w:cs="仿宋"/>
          <w:b/>
          <w:bCs/>
          <w:color w:val="auto"/>
          <w:sz w:val="32"/>
          <w:szCs w:val="32"/>
          <w:lang w:eastAsia="zh-CN"/>
        </w:rPr>
      </w:pPr>
    </w:p>
    <w:p w14:paraId="1F5521E5">
      <w:pPr>
        <w:jc w:val="center"/>
        <w:outlineLvl w:val="9"/>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哈尔滨马迭尔食品股份有限公司物流服务项目</w:t>
      </w:r>
    </w:p>
    <w:p w14:paraId="4F07726E">
      <w:pPr>
        <w:jc w:val="center"/>
        <w:outlineLvl w:val="9"/>
        <w:rPr>
          <w:rFonts w:ascii="仿宋" w:hAnsi="仿宋" w:eastAsia="仿宋" w:cs="仿宋"/>
          <w:b/>
          <w:bCs/>
          <w:color w:val="auto"/>
          <w:sz w:val="32"/>
          <w:szCs w:val="32"/>
        </w:rPr>
      </w:pPr>
    </w:p>
    <w:p w14:paraId="61CF7211">
      <w:pPr>
        <w:jc w:val="center"/>
        <w:outlineLvl w:val="9"/>
        <w:rPr>
          <w:rFonts w:ascii="仿宋" w:hAnsi="仿宋" w:eastAsia="仿宋" w:cs="仿宋"/>
          <w:b/>
          <w:bCs/>
          <w:color w:val="auto"/>
          <w:sz w:val="32"/>
          <w:szCs w:val="32"/>
        </w:rPr>
      </w:pPr>
      <w:r>
        <w:rPr>
          <w:rFonts w:hint="eastAsia" w:ascii="仿宋" w:hAnsi="仿宋" w:eastAsia="仿宋" w:cs="仿宋"/>
          <w:b/>
          <w:bCs/>
          <w:color w:val="auto"/>
          <w:sz w:val="32"/>
          <w:szCs w:val="32"/>
        </w:rPr>
        <w:t>（样本）</w:t>
      </w:r>
    </w:p>
    <w:p w14:paraId="1FB9F082">
      <w:pPr>
        <w:jc w:val="center"/>
        <w:outlineLvl w:val="9"/>
        <w:rPr>
          <w:rFonts w:ascii="仿宋" w:hAnsi="仿宋" w:eastAsia="仿宋" w:cs="仿宋"/>
          <w:b/>
          <w:bCs/>
          <w:color w:val="auto"/>
          <w:sz w:val="32"/>
          <w:szCs w:val="32"/>
        </w:rPr>
      </w:pPr>
    </w:p>
    <w:p w14:paraId="17157D5B">
      <w:pPr>
        <w:pStyle w:val="9"/>
        <w:spacing w:after="240" w:afterLines="100" w:line="460" w:lineRule="exact"/>
        <w:ind w:firstLine="562" w:firstLineChars="200"/>
        <w:jc w:val="center"/>
        <w:outlineLvl w:val="9"/>
        <w:rPr>
          <w:rFonts w:ascii="仿宋" w:hAnsi="仿宋" w:eastAsia="仿宋" w:cs="仿宋"/>
          <w:b/>
          <w:color w:val="auto"/>
          <w:szCs w:val="28"/>
        </w:rPr>
      </w:pPr>
      <w:r>
        <w:rPr>
          <w:rFonts w:hint="eastAsia" w:ascii="仿宋" w:hAnsi="仿宋" w:eastAsia="仿宋" w:cs="仿宋"/>
          <w:b/>
          <w:color w:val="auto"/>
          <w:szCs w:val="28"/>
        </w:rPr>
        <w:t>（本合同仅作示范文本，具体以双方签订的正式合同为准）</w:t>
      </w:r>
    </w:p>
    <w:p w14:paraId="590C987B">
      <w:pPr>
        <w:jc w:val="center"/>
        <w:outlineLvl w:val="9"/>
        <w:rPr>
          <w:rFonts w:ascii="仿宋" w:hAnsi="仿宋" w:eastAsia="仿宋" w:cs="仿宋"/>
          <w:color w:val="auto"/>
          <w:spacing w:val="24"/>
          <w:sz w:val="44"/>
          <w:szCs w:val="24"/>
        </w:rPr>
      </w:pPr>
    </w:p>
    <w:p w14:paraId="60179713">
      <w:pPr>
        <w:jc w:val="center"/>
        <w:outlineLvl w:val="9"/>
        <w:rPr>
          <w:rFonts w:ascii="仿宋" w:hAnsi="仿宋" w:eastAsia="仿宋" w:cs="仿宋"/>
          <w:color w:val="auto"/>
          <w:spacing w:val="24"/>
          <w:sz w:val="44"/>
          <w:szCs w:val="24"/>
        </w:rPr>
      </w:pPr>
    </w:p>
    <w:p w14:paraId="0282EE7F">
      <w:pPr>
        <w:jc w:val="center"/>
        <w:outlineLvl w:val="9"/>
        <w:rPr>
          <w:rFonts w:ascii="仿宋" w:hAnsi="仿宋" w:eastAsia="仿宋" w:cs="仿宋"/>
          <w:color w:val="auto"/>
          <w:spacing w:val="24"/>
          <w:sz w:val="44"/>
          <w:szCs w:val="24"/>
        </w:rPr>
      </w:pPr>
    </w:p>
    <w:p w14:paraId="4781E1C1">
      <w:pPr>
        <w:jc w:val="center"/>
        <w:outlineLvl w:val="9"/>
        <w:rPr>
          <w:rFonts w:ascii="仿宋" w:hAnsi="仿宋" w:eastAsia="仿宋" w:cs="仿宋"/>
          <w:color w:val="auto"/>
          <w:spacing w:val="24"/>
          <w:sz w:val="44"/>
          <w:szCs w:val="24"/>
        </w:rPr>
      </w:pPr>
    </w:p>
    <w:p w14:paraId="17E1CA99">
      <w:pPr>
        <w:jc w:val="center"/>
        <w:outlineLvl w:val="9"/>
        <w:rPr>
          <w:rFonts w:ascii="仿宋" w:hAnsi="仿宋" w:eastAsia="仿宋" w:cs="仿宋"/>
          <w:color w:val="auto"/>
          <w:spacing w:val="10"/>
          <w:sz w:val="36"/>
          <w:szCs w:val="24"/>
        </w:rPr>
      </w:pPr>
    </w:p>
    <w:p w14:paraId="72A5244F">
      <w:pPr>
        <w:ind w:firstLine="1260"/>
        <w:outlineLvl w:val="9"/>
        <w:rPr>
          <w:rFonts w:hint="default" w:ascii="仿宋" w:hAnsi="仿宋" w:eastAsia="仿宋" w:cs="仿宋"/>
          <w:b/>
          <w:color w:val="auto"/>
          <w:spacing w:val="10"/>
          <w:sz w:val="36"/>
          <w:szCs w:val="36"/>
          <w:u w:val="single"/>
          <w:lang w:val="en-US" w:eastAsia="zh-CN"/>
        </w:rPr>
      </w:pPr>
      <w:r>
        <w:rPr>
          <w:rFonts w:hint="eastAsia" w:ascii="仿宋" w:hAnsi="仿宋" w:eastAsia="仿宋" w:cs="仿宋"/>
          <w:b/>
          <w:color w:val="auto"/>
          <w:spacing w:val="10"/>
          <w:sz w:val="36"/>
          <w:szCs w:val="36"/>
        </w:rPr>
        <w:t>甲方</w:t>
      </w:r>
      <w:r>
        <w:rPr>
          <w:rFonts w:hint="eastAsia" w:ascii="仿宋" w:hAnsi="仿宋" w:eastAsia="仿宋" w:cs="仿宋"/>
          <w:color w:val="auto"/>
          <w:spacing w:val="10"/>
          <w:sz w:val="36"/>
          <w:szCs w:val="36"/>
        </w:rPr>
        <w:t>：</w:t>
      </w:r>
      <w:r>
        <w:rPr>
          <w:rFonts w:hint="eastAsia" w:ascii="仿宋" w:hAnsi="仿宋" w:eastAsia="仿宋" w:cs="仿宋"/>
          <w:b/>
          <w:color w:val="auto"/>
          <w:spacing w:val="10"/>
          <w:sz w:val="36"/>
          <w:szCs w:val="36"/>
          <w:u w:val="single"/>
          <w:lang w:val="en-US" w:eastAsia="zh-CN"/>
        </w:rPr>
        <w:t xml:space="preserve">                       </w:t>
      </w:r>
    </w:p>
    <w:p w14:paraId="32FC6C8B">
      <w:pPr>
        <w:jc w:val="center"/>
        <w:outlineLvl w:val="9"/>
        <w:rPr>
          <w:rFonts w:ascii="仿宋" w:hAnsi="仿宋" w:eastAsia="仿宋" w:cs="仿宋"/>
          <w:color w:val="auto"/>
          <w:spacing w:val="10"/>
          <w:sz w:val="36"/>
          <w:szCs w:val="24"/>
        </w:rPr>
      </w:pPr>
    </w:p>
    <w:p w14:paraId="12DE6BB1">
      <w:pPr>
        <w:tabs>
          <w:tab w:val="left" w:pos="1800"/>
        </w:tabs>
        <w:outlineLvl w:val="9"/>
        <w:rPr>
          <w:rFonts w:ascii="仿宋" w:hAnsi="仿宋" w:eastAsia="仿宋" w:cs="仿宋"/>
          <w:color w:val="auto"/>
          <w:spacing w:val="10"/>
          <w:sz w:val="36"/>
          <w:szCs w:val="24"/>
          <w:u w:val="single"/>
        </w:rPr>
      </w:pPr>
    </w:p>
    <w:p w14:paraId="64FCB119">
      <w:pPr>
        <w:ind w:firstLine="1260"/>
        <w:outlineLvl w:val="9"/>
        <w:rPr>
          <w:rFonts w:ascii="仿宋" w:hAnsi="仿宋" w:eastAsia="仿宋" w:cs="仿宋"/>
          <w:b/>
          <w:color w:val="auto"/>
          <w:spacing w:val="10"/>
          <w:sz w:val="36"/>
          <w:szCs w:val="36"/>
        </w:rPr>
      </w:pPr>
    </w:p>
    <w:p w14:paraId="198658A2">
      <w:pPr>
        <w:ind w:firstLine="1260"/>
        <w:outlineLvl w:val="9"/>
        <w:rPr>
          <w:rFonts w:ascii="仿宋" w:hAnsi="仿宋" w:eastAsia="仿宋" w:cs="仿宋"/>
          <w:b/>
          <w:color w:val="auto"/>
          <w:spacing w:val="10"/>
          <w:sz w:val="36"/>
          <w:szCs w:val="36"/>
        </w:rPr>
      </w:pPr>
      <w:r>
        <w:rPr>
          <w:rFonts w:hint="eastAsia" w:ascii="仿宋" w:hAnsi="仿宋" w:eastAsia="仿宋" w:cs="仿宋"/>
          <w:b/>
          <w:color w:val="auto"/>
          <w:spacing w:val="10"/>
          <w:sz w:val="36"/>
          <w:szCs w:val="36"/>
        </w:rPr>
        <w:t>乙方：</w:t>
      </w:r>
      <w:r>
        <w:rPr>
          <w:rFonts w:hint="eastAsia" w:ascii="仿宋" w:hAnsi="仿宋" w:eastAsia="仿宋" w:cs="仿宋"/>
          <w:b/>
          <w:color w:val="auto"/>
          <w:spacing w:val="10"/>
          <w:sz w:val="36"/>
          <w:szCs w:val="36"/>
          <w:u w:val="single"/>
        </w:rPr>
        <w:t xml:space="preserve">                       </w:t>
      </w:r>
    </w:p>
    <w:p w14:paraId="38FBFAFF">
      <w:pPr>
        <w:jc w:val="center"/>
        <w:outlineLvl w:val="9"/>
        <w:rPr>
          <w:rFonts w:ascii="仿宋" w:hAnsi="仿宋" w:eastAsia="仿宋" w:cs="仿宋"/>
          <w:color w:val="auto"/>
          <w:spacing w:val="10"/>
          <w:sz w:val="36"/>
          <w:szCs w:val="24"/>
        </w:rPr>
      </w:pPr>
    </w:p>
    <w:p w14:paraId="42A1D6E4">
      <w:pPr>
        <w:jc w:val="center"/>
        <w:outlineLvl w:val="9"/>
        <w:rPr>
          <w:rFonts w:ascii="仿宋" w:hAnsi="仿宋" w:eastAsia="仿宋" w:cs="仿宋"/>
          <w:color w:val="auto"/>
          <w:spacing w:val="10"/>
          <w:sz w:val="36"/>
          <w:szCs w:val="24"/>
        </w:rPr>
      </w:pPr>
    </w:p>
    <w:p w14:paraId="6E67FA4F">
      <w:pPr>
        <w:jc w:val="center"/>
        <w:outlineLvl w:val="9"/>
        <w:rPr>
          <w:rFonts w:ascii="仿宋" w:hAnsi="仿宋" w:eastAsia="仿宋" w:cs="仿宋"/>
          <w:color w:val="auto"/>
          <w:spacing w:val="10"/>
          <w:sz w:val="36"/>
          <w:szCs w:val="24"/>
        </w:rPr>
      </w:pPr>
    </w:p>
    <w:p w14:paraId="0EB579CE">
      <w:pPr>
        <w:ind w:firstLine="1204" w:firstLineChars="400"/>
        <w:jc w:val="both"/>
        <w:outlineLvl w:val="9"/>
        <w:rPr>
          <w:rFonts w:ascii="仿宋" w:hAnsi="仿宋" w:eastAsia="仿宋" w:cs="仿宋"/>
          <w:b/>
          <w:color w:val="auto"/>
          <w:spacing w:val="10"/>
          <w:sz w:val="28"/>
          <w:szCs w:val="28"/>
        </w:rPr>
      </w:pPr>
      <w:r>
        <w:rPr>
          <w:rFonts w:hint="eastAsia" w:ascii="仿宋" w:hAnsi="仿宋" w:eastAsia="仿宋" w:cs="仿宋"/>
          <w:b/>
          <w:color w:val="auto"/>
          <w:spacing w:val="10"/>
          <w:sz w:val="28"/>
          <w:szCs w:val="28"/>
        </w:rPr>
        <w:t>签订日期：</w:t>
      </w:r>
      <w:r>
        <w:rPr>
          <w:rFonts w:hint="eastAsia" w:ascii="仿宋" w:hAnsi="仿宋" w:eastAsia="仿宋" w:cs="仿宋"/>
          <w:b/>
          <w:color w:val="auto"/>
          <w:spacing w:val="10"/>
          <w:sz w:val="28"/>
          <w:szCs w:val="28"/>
          <w:u w:val="single"/>
        </w:rPr>
        <w:t xml:space="preserve">    </w:t>
      </w:r>
      <w:r>
        <w:rPr>
          <w:rFonts w:hint="eastAsia" w:ascii="仿宋" w:hAnsi="仿宋" w:eastAsia="仿宋" w:cs="仿宋"/>
          <w:b/>
          <w:color w:val="auto"/>
          <w:spacing w:val="10"/>
          <w:sz w:val="28"/>
          <w:szCs w:val="28"/>
        </w:rPr>
        <w:t>年</w:t>
      </w:r>
      <w:r>
        <w:rPr>
          <w:rFonts w:hint="eastAsia" w:ascii="仿宋" w:hAnsi="仿宋" w:eastAsia="仿宋" w:cs="仿宋"/>
          <w:b/>
          <w:color w:val="auto"/>
          <w:spacing w:val="10"/>
          <w:sz w:val="28"/>
          <w:szCs w:val="28"/>
          <w:u w:val="single"/>
        </w:rPr>
        <w:t xml:space="preserve">    </w:t>
      </w:r>
      <w:r>
        <w:rPr>
          <w:rFonts w:hint="eastAsia" w:ascii="仿宋" w:hAnsi="仿宋" w:eastAsia="仿宋" w:cs="仿宋"/>
          <w:b/>
          <w:color w:val="auto"/>
          <w:spacing w:val="10"/>
          <w:sz w:val="28"/>
          <w:szCs w:val="28"/>
        </w:rPr>
        <w:t>月</w:t>
      </w:r>
      <w:r>
        <w:rPr>
          <w:rFonts w:hint="eastAsia" w:ascii="仿宋" w:hAnsi="仿宋" w:eastAsia="仿宋" w:cs="仿宋"/>
          <w:b/>
          <w:color w:val="auto"/>
          <w:spacing w:val="10"/>
          <w:sz w:val="28"/>
          <w:szCs w:val="28"/>
          <w:u w:val="single"/>
        </w:rPr>
        <w:t xml:space="preserve">    </w:t>
      </w:r>
      <w:r>
        <w:rPr>
          <w:rFonts w:hint="eastAsia" w:ascii="仿宋" w:hAnsi="仿宋" w:eastAsia="仿宋" w:cs="仿宋"/>
          <w:b/>
          <w:color w:val="auto"/>
          <w:spacing w:val="10"/>
          <w:sz w:val="28"/>
          <w:szCs w:val="28"/>
        </w:rPr>
        <w:t>日</w:t>
      </w:r>
    </w:p>
    <w:p w14:paraId="6962BBC9">
      <w:pPr>
        <w:outlineLvl w:val="9"/>
        <w:rPr>
          <w:rFonts w:hint="eastAsia" w:ascii="仿宋" w:hAnsi="仿宋" w:eastAsia="仿宋" w:cs="仿宋"/>
          <w:b w:val="0"/>
          <w:bCs w:val="0"/>
          <w:color w:val="auto"/>
          <w:kern w:val="0"/>
          <w:sz w:val="24"/>
          <w:szCs w:val="24"/>
          <w:highlight w:val="none"/>
          <w:lang w:val="en-US" w:eastAsia="zh-CN" w:bidi="ar"/>
        </w:rPr>
      </w:pPr>
      <w:r>
        <w:rPr>
          <w:rFonts w:hint="eastAsia" w:ascii="仿宋" w:hAnsi="仿宋" w:eastAsia="仿宋" w:cs="仿宋"/>
          <w:color w:val="auto"/>
          <w:sz w:val="24"/>
          <w:szCs w:val="24"/>
        </w:rPr>
        <w:br w:type="page"/>
      </w:r>
      <w:r>
        <w:rPr>
          <w:rFonts w:hint="eastAsia" w:ascii="仿宋" w:hAnsi="仿宋" w:eastAsia="仿宋" w:cs="仿宋"/>
          <w:color w:val="auto"/>
          <w:sz w:val="24"/>
          <w:szCs w:val="24"/>
          <w:lang w:val="en-US" w:eastAsia="zh-CN"/>
        </w:rPr>
        <w:t xml:space="preserve">    </w:t>
      </w:r>
      <w:r>
        <w:rPr>
          <w:rFonts w:hint="eastAsia" w:ascii="仿宋" w:hAnsi="仿宋" w:eastAsia="仿宋" w:cs="仿宋"/>
          <w:b w:val="0"/>
          <w:bCs w:val="0"/>
          <w:color w:val="auto"/>
          <w:kern w:val="0"/>
          <w:sz w:val="24"/>
          <w:szCs w:val="24"/>
          <w:highlight w:val="none"/>
          <w:lang w:val="en-US" w:eastAsia="zh-CN" w:bidi="ar"/>
        </w:rPr>
        <w:t>甲方：</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 xml:space="preserve">    负责人/法定代表人：</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 xml:space="preserve">    地址：</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 xml:space="preserve">    电话：</w:t>
      </w:r>
    </w:p>
    <w:p w14:paraId="56F3B50F">
      <w:pPr>
        <w:pStyle w:val="20"/>
        <w:keepNext w:val="0"/>
        <w:keepLines w:val="0"/>
        <w:widowControl/>
        <w:suppressLineNumbers w:val="0"/>
        <w:autoSpaceDE w:val="0"/>
        <w:autoSpaceDN/>
        <w:spacing w:before="294" w:beforeLines="0" w:beforeAutospacing="0" w:after="294" w:afterLines="0" w:afterAutospacing="0" w:line="400" w:lineRule="exact"/>
        <w:ind w:left="479" w:leftChars="228" w:right="0" w:firstLine="0" w:firstLineChars="0"/>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lang w:val="en-US" w:eastAsia="zh-CN" w:bidi="ar"/>
        </w:rPr>
        <w:t>乙方：</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负责人/法定代表人：</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地址：</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电话：</w:t>
      </w:r>
    </w:p>
    <w:p w14:paraId="6F3108A1">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2"/>
          <w:sz w:val="24"/>
          <w:szCs w:val="24"/>
          <w:highlight w:val="none"/>
          <w:lang w:val="en-US" w:eastAsia="zh-CN" w:bidi="ar"/>
        </w:rPr>
        <w:t>甲乙双方经友好协商，就围绕哈尔滨马迭尔食品股份有限公司物流服务项目相关事宜，达成协议如下：</w:t>
      </w:r>
      <w:r>
        <w:rPr>
          <w:rFonts w:hint="eastAsia" w:ascii="仿宋" w:hAnsi="仿宋" w:eastAsia="仿宋" w:cs="仿宋"/>
          <w:b w:val="0"/>
          <w:bCs w:val="0"/>
          <w:i w:val="0"/>
          <w:iCs w:val="0"/>
          <w:caps w:val="0"/>
          <w:color w:val="auto"/>
          <w:spacing w:val="0"/>
          <w:kern w:val="2"/>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2"/>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一、采购内容及要求</w:t>
      </w:r>
    </w:p>
    <w:p w14:paraId="29556B57">
      <w:pPr>
        <w:keepNext w:val="0"/>
        <w:keepLines w:val="0"/>
        <w:widowControl w:val="0"/>
        <w:suppressLineNumbers w:val="0"/>
        <w:autoSpaceDE w:val="0"/>
        <w:autoSpaceDN/>
        <w:snapToGrid w:val="0"/>
        <w:spacing w:before="0" w:beforeAutospacing="0" w:after="0" w:afterAutospacing="0" w:line="400" w:lineRule="exact"/>
        <w:ind w:right="0" w:firstLine="480" w:firstLineChars="200"/>
        <w:jc w:val="both"/>
        <w:rPr>
          <w:rFonts w:hint="eastAsia" w:ascii="仿宋" w:hAnsi="仿宋" w:eastAsia="仿宋" w:cs="仿宋"/>
          <w:color w:val="auto"/>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详见招标文件“第三章  采购内容及要求”</w:t>
      </w:r>
    </w:p>
    <w:p w14:paraId="6755B450">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lang w:val="en-US"/>
        </w:rPr>
      </w:pPr>
      <w:r>
        <w:rPr>
          <w:rFonts w:hint="eastAsia" w:ascii="仿宋" w:hAnsi="仿宋" w:eastAsia="仿宋" w:cs="仿宋"/>
          <w:b/>
          <w:bCs/>
          <w:i w:val="0"/>
          <w:iCs w:val="0"/>
          <w:caps w:val="0"/>
          <w:color w:val="auto"/>
          <w:spacing w:val="0"/>
          <w:kern w:val="0"/>
          <w:sz w:val="24"/>
          <w:szCs w:val="24"/>
          <w:highlight w:val="none"/>
          <w:lang w:val="en-US" w:eastAsia="zh-CN" w:bidi="ar"/>
        </w:rPr>
        <w:t>二、合同期限</w:t>
      </w:r>
    </w:p>
    <w:p w14:paraId="16DC87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日至20</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日止</w:t>
      </w:r>
    </w:p>
    <w:p w14:paraId="1981A83B">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三、合同金额</w:t>
      </w:r>
    </w:p>
    <w:p w14:paraId="4069DD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bCs/>
          <w:i w:val="0"/>
          <w:iCs w:val="0"/>
          <w:caps w:val="0"/>
          <w:color w:val="auto"/>
          <w:spacing w:val="0"/>
          <w:kern w:val="0"/>
          <w:sz w:val="24"/>
          <w:szCs w:val="24"/>
          <w:highlight w:val="none"/>
          <w:lang w:val="en-US" w:eastAsia="zh-CN" w:bidi="ar"/>
        </w:rPr>
      </w:pPr>
      <w:r>
        <w:rPr>
          <w:rFonts w:hint="eastAsia" w:ascii="仿宋" w:hAnsi="仿宋" w:eastAsia="仿宋" w:cs="仿宋"/>
          <w:b w:val="0"/>
          <w:bCs/>
          <w:color w:val="auto"/>
          <w:kern w:val="2"/>
          <w:sz w:val="24"/>
          <w:szCs w:val="24"/>
        </w:rPr>
        <w:t>本合同金额（含税）：</w:t>
      </w:r>
    </w:p>
    <w:tbl>
      <w:tblPr>
        <w:tblStyle w:val="23"/>
        <w:tblW w:w="1056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8"/>
        <w:gridCol w:w="848"/>
        <w:gridCol w:w="818"/>
        <w:gridCol w:w="867"/>
        <w:gridCol w:w="881"/>
        <w:gridCol w:w="1014"/>
        <w:gridCol w:w="1541"/>
        <w:gridCol w:w="1397"/>
        <w:gridCol w:w="1220"/>
        <w:gridCol w:w="1265"/>
      </w:tblGrid>
      <w:tr w14:paraId="75B14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0569" w:type="dxa"/>
            <w:gridSpan w:val="10"/>
            <w:tcBorders>
              <w:top w:val="nil"/>
              <w:left w:val="nil"/>
              <w:bottom w:val="nil"/>
              <w:right w:val="nil"/>
            </w:tcBorders>
            <w:shd w:val="clear" w:color="auto" w:fill="auto"/>
            <w:noWrap/>
            <w:vAlign w:val="center"/>
          </w:tcPr>
          <w:p w14:paraId="44D49AC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整车调拨报价表  </w:t>
            </w:r>
          </w:p>
        </w:tc>
      </w:tr>
      <w:tr w14:paraId="0EA78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AC6545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848"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0B3402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性质</w:t>
            </w: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DB06A5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始发省份</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F2C9DE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始发城市</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F0B9D8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目的省份</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15D8E18">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目的</w:t>
            </w:r>
          </w:p>
          <w:p w14:paraId="5D20AB7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城市</w:t>
            </w:r>
          </w:p>
        </w:tc>
        <w:tc>
          <w:tcPr>
            <w:tcW w:w="1541" w:type="dxa"/>
            <w:tcBorders>
              <w:top w:val="single" w:color="000000" w:sz="4" w:space="0"/>
              <w:left w:val="single" w:color="000000" w:sz="4" w:space="0"/>
              <w:bottom w:val="single" w:color="000000" w:sz="4" w:space="0"/>
              <w:right w:val="nil"/>
            </w:tcBorders>
            <w:shd w:val="clear" w:color="auto" w:fill="B4C6E7"/>
            <w:noWrap/>
            <w:vAlign w:val="center"/>
          </w:tcPr>
          <w:p w14:paraId="5FCB3B83">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4.2米</w:t>
            </w:r>
          </w:p>
          <w:p w14:paraId="4B7B0BC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397" w:type="dxa"/>
            <w:tcBorders>
              <w:top w:val="single" w:color="000000" w:sz="4" w:space="0"/>
              <w:left w:val="single" w:color="000000" w:sz="4" w:space="0"/>
              <w:bottom w:val="single" w:color="000000" w:sz="4" w:space="0"/>
              <w:right w:val="nil"/>
            </w:tcBorders>
            <w:shd w:val="clear" w:color="auto" w:fill="B4C6E7"/>
            <w:noWrap/>
            <w:vAlign w:val="center"/>
          </w:tcPr>
          <w:p w14:paraId="0CE96867">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7.6米</w:t>
            </w:r>
          </w:p>
          <w:p w14:paraId="3B20704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220" w:type="dxa"/>
            <w:tcBorders>
              <w:top w:val="single" w:color="000000" w:sz="4" w:space="0"/>
              <w:left w:val="single" w:color="000000" w:sz="4" w:space="0"/>
              <w:bottom w:val="single" w:color="000000" w:sz="4" w:space="0"/>
              <w:right w:val="nil"/>
            </w:tcBorders>
            <w:shd w:val="clear" w:color="auto" w:fill="B4C6E7"/>
            <w:noWrap/>
            <w:vAlign w:val="center"/>
          </w:tcPr>
          <w:p w14:paraId="1C4DE06F">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9.6米</w:t>
            </w:r>
          </w:p>
          <w:p w14:paraId="28B9150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265"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E4AAD35">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15米冷</w:t>
            </w:r>
          </w:p>
          <w:p w14:paraId="330A38C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藏车型</w:t>
            </w:r>
          </w:p>
        </w:tc>
      </w:tr>
      <w:tr w14:paraId="7AA47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6EC5ACD">
            <w:pPr>
              <w:jc w:val="center"/>
              <w:rPr>
                <w:rFonts w:hint="eastAsia" w:ascii="仿宋" w:hAnsi="仿宋" w:eastAsia="仿宋" w:cs="仿宋"/>
                <w:b/>
                <w:bCs/>
                <w:i w:val="0"/>
                <w:iCs w:val="0"/>
                <w:color w:val="000000"/>
                <w:sz w:val="24"/>
                <w:szCs w:val="24"/>
                <w:u w:val="none"/>
              </w:rPr>
            </w:pPr>
          </w:p>
        </w:tc>
        <w:tc>
          <w:tcPr>
            <w:tcW w:w="848"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AF0299B">
            <w:pPr>
              <w:jc w:val="center"/>
              <w:rPr>
                <w:rFonts w:hint="eastAsia" w:ascii="仿宋" w:hAnsi="仿宋" w:eastAsia="仿宋" w:cs="仿宋"/>
                <w:b/>
                <w:bCs/>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9FBF394">
            <w:pPr>
              <w:jc w:val="center"/>
              <w:rPr>
                <w:rFonts w:hint="eastAsia" w:ascii="仿宋" w:hAnsi="仿宋" w:eastAsia="仿宋" w:cs="仿宋"/>
                <w:b/>
                <w:bCs/>
                <w:i w:val="0"/>
                <w:iCs w:val="0"/>
                <w:color w:val="000000"/>
                <w:sz w:val="24"/>
                <w:szCs w:val="24"/>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74FC19F">
            <w:pPr>
              <w:jc w:val="center"/>
              <w:rPr>
                <w:rFonts w:hint="eastAsia" w:ascii="仿宋" w:hAnsi="仿宋" w:eastAsia="仿宋" w:cs="仿宋"/>
                <w:b/>
                <w:bCs/>
                <w:i w:val="0"/>
                <w:iCs w:val="0"/>
                <w:color w:val="000000"/>
                <w:sz w:val="24"/>
                <w:szCs w:val="24"/>
                <w:u w:val="none"/>
              </w:rPr>
            </w:pP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D5C6551">
            <w:pPr>
              <w:jc w:val="center"/>
              <w:rPr>
                <w:rFonts w:hint="eastAsia" w:ascii="仿宋" w:hAnsi="仿宋" w:eastAsia="仿宋" w:cs="仿宋"/>
                <w:b/>
                <w:bCs/>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1215E84F">
            <w:pPr>
              <w:jc w:val="center"/>
              <w:rPr>
                <w:rFonts w:hint="eastAsia" w:ascii="仿宋" w:hAnsi="仿宋" w:eastAsia="仿宋" w:cs="仿宋"/>
                <w:b/>
                <w:bCs/>
                <w:i w:val="0"/>
                <w:iCs w:val="0"/>
                <w:color w:val="000000"/>
                <w:sz w:val="24"/>
                <w:szCs w:val="24"/>
                <w:u w:val="none"/>
              </w:rPr>
            </w:pPr>
          </w:p>
        </w:tc>
        <w:tc>
          <w:tcPr>
            <w:tcW w:w="1541" w:type="dxa"/>
            <w:tcBorders>
              <w:top w:val="single" w:color="000000" w:sz="4" w:space="0"/>
              <w:left w:val="single" w:color="000000" w:sz="4" w:space="0"/>
              <w:bottom w:val="nil"/>
              <w:right w:val="single" w:color="000000" w:sz="4" w:space="0"/>
            </w:tcBorders>
            <w:shd w:val="clear" w:color="auto" w:fill="B4C6E7"/>
            <w:noWrap/>
            <w:vAlign w:val="center"/>
          </w:tcPr>
          <w:p w14:paraId="0A406C7F">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单价</w:t>
            </w:r>
          </w:p>
          <w:p w14:paraId="42AB583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397" w:type="dxa"/>
            <w:tcBorders>
              <w:top w:val="single" w:color="000000" w:sz="4" w:space="0"/>
              <w:left w:val="single" w:color="000000" w:sz="4" w:space="0"/>
              <w:bottom w:val="nil"/>
              <w:right w:val="single" w:color="000000" w:sz="4" w:space="0"/>
            </w:tcBorders>
            <w:shd w:val="clear" w:color="auto" w:fill="B4C6E7"/>
            <w:noWrap/>
            <w:vAlign w:val="center"/>
          </w:tcPr>
          <w:p w14:paraId="6C487F03">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单价</w:t>
            </w:r>
          </w:p>
          <w:p w14:paraId="30BC1A6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220" w:type="dxa"/>
            <w:tcBorders>
              <w:top w:val="single" w:color="000000" w:sz="4" w:space="0"/>
              <w:left w:val="single" w:color="000000" w:sz="4" w:space="0"/>
              <w:bottom w:val="nil"/>
              <w:right w:val="single" w:color="000000" w:sz="4" w:space="0"/>
            </w:tcBorders>
            <w:shd w:val="clear" w:color="auto" w:fill="B4C6E7"/>
            <w:noWrap/>
            <w:vAlign w:val="center"/>
          </w:tcPr>
          <w:p w14:paraId="55B9FD4F">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单价</w:t>
            </w:r>
          </w:p>
          <w:p w14:paraId="3FE60B4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265" w:type="dxa"/>
            <w:tcBorders>
              <w:top w:val="single" w:color="000000" w:sz="4" w:space="0"/>
              <w:left w:val="single" w:color="000000" w:sz="4" w:space="0"/>
              <w:bottom w:val="nil"/>
              <w:right w:val="single" w:color="000000" w:sz="4" w:space="0"/>
            </w:tcBorders>
            <w:shd w:val="clear" w:color="auto" w:fill="B4C6E7"/>
            <w:noWrap/>
            <w:vAlign w:val="center"/>
          </w:tcPr>
          <w:p w14:paraId="6635E80C">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单价</w:t>
            </w:r>
          </w:p>
          <w:p w14:paraId="0FFC13F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r>
      <w:tr w14:paraId="713D6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590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32C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503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EB6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2D9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黑龙江</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451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哈尔滨</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6DF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8C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C6E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C06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088B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BB0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D7A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76A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8E2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069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C89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F9B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0D5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AF2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280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1BF3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F3D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6B9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1A4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B98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689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辽宁</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777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大连</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0D5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825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CBA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FF2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B5E9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58A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55A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66A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B2C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5E4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辽宁</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A30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沈阳</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2BD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32D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8A5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D62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9CF3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A1F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632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EAC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7EA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29C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7EF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6BF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39B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8A5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82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DAF5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6D1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C49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418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9A2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9B9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广东</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1A4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深圳</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AB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678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B03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46C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3D54B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jc w:val="center"/>
        </w:trPr>
        <w:tc>
          <w:tcPr>
            <w:tcW w:w="1056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7F1AEC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备注：</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1.以上价格不含装、卸货等增值服务。</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2.以上价格须包含9%的增值税税点。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3.以上价格须包含基础保价服务，按4.2米车型10万元，7.6米车型20万元，9.6米车型25万元，15米车型30万元。</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4.具有多个卸货地址的订单，以高德地图货车导航始发地至第一个卸货地距离+相邻卸货地之间的距离累加公里数为结算里程依据。</w:t>
            </w:r>
          </w:p>
        </w:tc>
      </w:tr>
    </w:tbl>
    <w:p w14:paraId="2AB19845">
      <w:pPr>
        <w:pStyle w:val="40"/>
        <w:keepNext w:val="0"/>
        <w:keepLines w:val="0"/>
        <w:pageBreakBefore w:val="0"/>
        <w:kinsoku/>
        <w:wordWrap/>
        <w:overflowPunct/>
        <w:topLinePunct w:val="0"/>
        <w:autoSpaceDE/>
        <w:autoSpaceDN/>
        <w:bidi w:val="0"/>
        <w:spacing w:after="0" w:line="500" w:lineRule="exact"/>
        <w:ind w:left="0" w:leftChars="0" w:firstLine="482" w:firstLineChars="200"/>
        <w:textAlignment w:val="auto"/>
        <w:rPr>
          <w:rFonts w:hint="eastAsia" w:ascii="仿宋" w:hAnsi="仿宋" w:eastAsia="仿宋" w:cs="仿宋"/>
          <w:color w:val="auto"/>
          <w:kern w:val="2"/>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四、付款方式</w:t>
      </w:r>
    </w:p>
    <w:p w14:paraId="59F4B8F1">
      <w:pPr>
        <w:pStyle w:val="40"/>
        <w:keepNext w:val="0"/>
        <w:keepLines w:val="0"/>
        <w:pageBreakBefore w:val="0"/>
        <w:kinsoku/>
        <w:wordWrap/>
        <w:overflowPunct/>
        <w:topLinePunct w:val="0"/>
        <w:autoSpaceDE/>
        <w:autoSpaceDN/>
        <w:bidi w:val="0"/>
        <w:spacing w:after="0" w:line="500" w:lineRule="exact"/>
        <w:ind w:firstLine="420"/>
        <w:textAlignment w:val="auto"/>
        <w:rPr>
          <w:rFonts w:hint="default"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按实际服务数量及中标单价按月据实结算。</w:t>
      </w:r>
    </w:p>
    <w:p w14:paraId="5BFC2605">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outlineLvl w:val="1"/>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五、技术资料</w:t>
      </w:r>
    </w:p>
    <w:p w14:paraId="3B345B89">
      <w:pPr>
        <w:keepNext w:val="0"/>
        <w:keepLines w:val="0"/>
        <w:widowControl/>
        <w:suppressLineNumbers w:val="0"/>
        <w:autoSpaceDE/>
        <w:autoSpaceDN/>
        <w:snapToGrid/>
        <w:spacing w:before="0" w:beforeAutospacing="0" w:after="0" w:afterAutospacing="0" w:line="380" w:lineRule="exact"/>
        <w:ind w:left="0" w:right="0" w:firstLine="480" w:firstLineChars="200"/>
        <w:jc w:val="left"/>
        <w:outlineLvl w:val="2"/>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1.乙方应按招标文件规定的时间向甲方提供有关技术资料。</w:t>
      </w:r>
    </w:p>
    <w:p w14:paraId="308D9E23">
      <w:pPr>
        <w:keepNext w:val="0"/>
        <w:keepLines w:val="0"/>
        <w:widowControl/>
        <w:suppressLineNumbers w:val="0"/>
        <w:autoSpaceDE/>
        <w:autoSpaceDN/>
        <w:snapToGrid/>
        <w:spacing w:before="0" w:beforeAutospacing="0" w:after="0" w:afterAutospacing="0" w:line="380" w:lineRule="exact"/>
        <w:ind w:left="0" w:right="0" w:firstLine="480" w:firstLineChars="200"/>
        <w:jc w:val="left"/>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2.没有甲方事先书面同意，乙方不得将由甲方提供的有关合同或任何合同条文、规格、计划、图纸、样品或资料提供给予履行本合同无关的任何其他人。即使向履行本合同有关的人员提供，也应注意保密并限于履行合同的必需范围，否则视为乙方违反保密条款的约定，故意泄露商业秘密。</w:t>
      </w:r>
    </w:p>
    <w:p w14:paraId="3AD0F166">
      <w:pPr>
        <w:keepNext w:val="0"/>
        <w:keepLines w:val="0"/>
        <w:widowControl/>
        <w:suppressLineNumbers w:val="0"/>
        <w:autoSpaceDE/>
        <w:autoSpaceDN/>
        <w:snapToGrid/>
        <w:spacing w:before="0" w:beforeAutospacing="0" w:after="0" w:afterAutospacing="0" w:line="380" w:lineRule="exact"/>
        <w:ind w:left="0" w:right="0" w:firstLine="480" w:firstLineChars="200"/>
        <w:jc w:val="left"/>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3.乙方应保证所提供的服务或其任何一部分均不会侵犯任何第三方的知识产权。</w:t>
      </w:r>
      <w:r>
        <w:rPr>
          <w:rFonts w:hint="eastAsia" w:ascii="仿宋" w:hAnsi="仿宋" w:eastAsia="仿宋" w:cs="仿宋"/>
          <w:color w:val="auto"/>
          <w:sz w:val="24"/>
          <w:szCs w:val="24"/>
          <w:highlight w:val="none"/>
        </w:rPr>
        <w:t>如因乙方侵犯</w:t>
      </w:r>
      <w:r>
        <w:rPr>
          <w:rFonts w:hint="eastAsia" w:ascii="仿宋" w:hAnsi="仿宋" w:eastAsia="仿宋" w:cs="仿宋"/>
          <w:color w:val="auto"/>
          <w:sz w:val="24"/>
          <w:szCs w:val="24"/>
          <w:highlight w:val="none"/>
          <w:lang w:val="en-US" w:eastAsia="zh-CN"/>
        </w:rPr>
        <w:t>第三方</w:t>
      </w:r>
      <w:r>
        <w:rPr>
          <w:rFonts w:hint="eastAsia" w:ascii="仿宋" w:hAnsi="仿宋" w:eastAsia="仿宋" w:cs="仿宋"/>
          <w:color w:val="auto"/>
          <w:sz w:val="24"/>
          <w:szCs w:val="24"/>
          <w:highlight w:val="none"/>
        </w:rPr>
        <w:t>知识产权，</w:t>
      </w:r>
      <w:r>
        <w:rPr>
          <w:rFonts w:hint="eastAsia" w:ascii="仿宋" w:hAnsi="仿宋" w:eastAsia="仿宋" w:cs="仿宋"/>
          <w:color w:val="auto"/>
          <w:sz w:val="24"/>
          <w:szCs w:val="24"/>
          <w:highlight w:val="none"/>
          <w:lang w:val="en-US" w:eastAsia="zh-CN"/>
        </w:rPr>
        <w:t>所有法律责任均由乙方自行承担，且</w:t>
      </w:r>
      <w:r>
        <w:rPr>
          <w:rFonts w:hint="eastAsia" w:ascii="仿宋" w:hAnsi="仿宋" w:eastAsia="仿宋" w:cs="仿宋"/>
          <w:color w:val="auto"/>
          <w:sz w:val="24"/>
          <w:szCs w:val="24"/>
          <w:highlight w:val="none"/>
        </w:rPr>
        <w:t>甲方有权单方解除本合同，并有权继续追究乙方的违约责任</w:t>
      </w:r>
      <w:r>
        <w:rPr>
          <w:rFonts w:hint="eastAsia" w:ascii="仿宋" w:hAnsi="仿宋" w:eastAsia="仿宋" w:cs="仿宋"/>
          <w:color w:val="auto"/>
          <w:sz w:val="24"/>
          <w:szCs w:val="24"/>
          <w:highlight w:val="none"/>
          <w:lang w:eastAsia="zh-CN"/>
        </w:rPr>
        <w:t>。</w:t>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p>
    <w:p w14:paraId="1F010CDB">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六、转包或分包</w:t>
      </w:r>
    </w:p>
    <w:p w14:paraId="0E2CAF94">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outlineLvl w:val="2"/>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1.本合同范围的服务，应由乙方直接供应，不得转让他人供应；</w:t>
      </w:r>
    </w:p>
    <w:p w14:paraId="4C49C551">
      <w:pPr>
        <w:keepNext w:val="0"/>
        <w:keepLines w:val="0"/>
        <w:widowControl w:val="0"/>
        <w:suppressLineNumbers w:val="0"/>
        <w:autoSpaceDE w:val="0"/>
        <w:autoSpaceDN/>
        <w:snapToGrid w:val="0"/>
        <w:spacing w:before="0" w:beforeAutospacing="0" w:after="0" w:afterAutospacing="0" w:line="400" w:lineRule="exact"/>
        <w:ind w:left="479" w:leftChars="228" w:right="0" w:firstLine="0" w:firstLineChars="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2.如有转让行为，甲方有权解除合同追究乙方的违约责任。</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bCs/>
          <w:i w:val="0"/>
          <w:iCs w:val="0"/>
          <w:caps w:val="0"/>
          <w:color w:val="auto"/>
          <w:spacing w:val="0"/>
          <w:kern w:val="0"/>
          <w:sz w:val="24"/>
          <w:szCs w:val="24"/>
          <w:highlight w:val="none"/>
          <w:lang w:val="en-US" w:eastAsia="zh-CN" w:bidi="ar"/>
        </w:rPr>
        <w:t>七、税费</w:t>
      </w:r>
    </w:p>
    <w:p w14:paraId="050D37CD">
      <w:pPr>
        <w:keepNext w:val="0"/>
        <w:keepLines w:val="0"/>
        <w:widowControl w:val="0"/>
        <w:suppressLineNumbers w:val="0"/>
        <w:autoSpaceDE w:val="0"/>
        <w:autoSpaceDN/>
        <w:snapToGrid w:val="0"/>
        <w:spacing w:before="0" w:beforeAutospacing="0" w:after="0" w:afterAutospacing="0" w:line="400" w:lineRule="exact"/>
        <w:ind w:left="479" w:leftChars="228" w:right="0" w:firstLine="0" w:firstLineChars="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本合同执行中相关的一切税费均由乙方负担。</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bCs/>
          <w:i w:val="0"/>
          <w:iCs w:val="0"/>
          <w:caps w:val="0"/>
          <w:color w:val="auto"/>
          <w:spacing w:val="0"/>
          <w:kern w:val="0"/>
          <w:sz w:val="24"/>
          <w:szCs w:val="24"/>
          <w:highlight w:val="none"/>
          <w:lang w:val="en-US" w:eastAsia="zh-CN" w:bidi="ar"/>
        </w:rPr>
        <w:t>八、质量保证及后续服务</w:t>
      </w:r>
    </w:p>
    <w:p w14:paraId="02CAD967">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outlineLvl w:val="2"/>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1.乙方应按招标文件规定向甲方提供服务。</w:t>
      </w:r>
    </w:p>
    <w:p w14:paraId="60836A45">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2.乙方提供的服务成果在服务质量保证期内发生故障，乙方应负责免费提供后续服务。对达不到要求者，根据实际情况，经双方协商，可按以下办法处理：</w:t>
      </w:r>
    </w:p>
    <w:p w14:paraId="53366BFC">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（1）重做：由乙方承担所发生的全部费用。</w:t>
      </w:r>
    </w:p>
    <w:p w14:paraId="261AF7BD">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（2）贬值处理：由甲乙双方合议定价。</w:t>
      </w:r>
    </w:p>
    <w:p w14:paraId="39B8DFCF">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（3）解除合同。</w:t>
      </w:r>
    </w:p>
    <w:p w14:paraId="3215ECC5">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3.如在服务期间过程中发生问题，乙方在接到甲方通知后在1小时内到达甲方现场。有特殊情况双方协商决定。</w:t>
      </w:r>
    </w:p>
    <w:p w14:paraId="0CA31410">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4.在服务质量保证期内，乙方应对服务出现的质量及安全问题负责处理解决并承担一切费用。 </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 xml:space="preserve"> 九、保密义务</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1.本协议签订及履行过程中，</w:t>
      </w:r>
      <w:r>
        <w:rPr>
          <w:rFonts w:hint="eastAsia" w:ascii="仿宋" w:hAnsi="仿宋" w:eastAsia="仿宋" w:cs="仿宋"/>
          <w:b w:val="0"/>
          <w:bCs w:val="0"/>
          <w:i w:val="0"/>
          <w:iCs w:val="0"/>
          <w:caps w:val="0"/>
          <w:color w:val="auto"/>
          <w:spacing w:val="0"/>
          <w:kern w:val="0"/>
          <w:sz w:val="24"/>
          <w:szCs w:val="24"/>
          <w:highlight w:val="none"/>
          <w:lang w:eastAsia="zh-CN" w:bidi="ar"/>
        </w:rPr>
        <w:t>任一</w:t>
      </w:r>
      <w:r>
        <w:rPr>
          <w:rFonts w:hint="eastAsia" w:ascii="仿宋" w:hAnsi="仿宋" w:eastAsia="仿宋" w:cs="仿宋"/>
          <w:b w:val="0"/>
          <w:bCs w:val="0"/>
          <w:i w:val="0"/>
          <w:iCs w:val="0"/>
          <w:caps w:val="0"/>
          <w:color w:val="auto"/>
          <w:spacing w:val="0"/>
          <w:kern w:val="0"/>
          <w:sz w:val="24"/>
          <w:szCs w:val="24"/>
          <w:highlight w:val="none"/>
          <w:lang w:val="en-US" w:eastAsia="zh-CN" w:bidi="ar"/>
        </w:rPr>
        <w:t>方知悉的</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方人员信息、采购需求、相关项目情况、工作安排及本合同相关内容均属于保密信息，</w:t>
      </w:r>
      <w:r>
        <w:rPr>
          <w:rFonts w:hint="eastAsia" w:ascii="仿宋" w:hAnsi="仿宋" w:eastAsia="仿宋" w:cs="仿宋"/>
          <w:b w:val="0"/>
          <w:bCs w:val="0"/>
          <w:i w:val="0"/>
          <w:iCs w:val="0"/>
          <w:caps w:val="0"/>
          <w:color w:val="auto"/>
          <w:spacing w:val="0"/>
          <w:kern w:val="0"/>
          <w:sz w:val="24"/>
          <w:szCs w:val="24"/>
          <w:highlight w:val="none"/>
          <w:lang w:eastAsia="zh-CN" w:bidi="ar"/>
        </w:rPr>
        <w:t>各</w:t>
      </w:r>
      <w:r>
        <w:rPr>
          <w:rFonts w:hint="eastAsia" w:ascii="仿宋" w:hAnsi="仿宋" w:eastAsia="仿宋" w:cs="仿宋"/>
          <w:b w:val="0"/>
          <w:bCs w:val="0"/>
          <w:i w:val="0"/>
          <w:iCs w:val="0"/>
          <w:caps w:val="0"/>
          <w:color w:val="auto"/>
          <w:spacing w:val="0"/>
          <w:kern w:val="0"/>
          <w:sz w:val="24"/>
          <w:szCs w:val="24"/>
          <w:highlight w:val="none"/>
          <w:lang w:val="en-US" w:eastAsia="zh-CN" w:bidi="ar"/>
        </w:rPr>
        <w:t>方应承担保密义务。未经</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方事先书面确认，</w:t>
      </w:r>
      <w:r>
        <w:rPr>
          <w:rFonts w:hint="eastAsia" w:ascii="仿宋" w:hAnsi="仿宋" w:eastAsia="仿宋" w:cs="仿宋"/>
          <w:b w:val="0"/>
          <w:bCs w:val="0"/>
          <w:i w:val="0"/>
          <w:iCs w:val="0"/>
          <w:caps w:val="0"/>
          <w:color w:val="auto"/>
          <w:spacing w:val="0"/>
          <w:kern w:val="0"/>
          <w:sz w:val="24"/>
          <w:szCs w:val="24"/>
          <w:highlight w:val="none"/>
          <w:lang w:eastAsia="zh-CN" w:bidi="ar"/>
        </w:rPr>
        <w:t>任一</w:t>
      </w:r>
      <w:r>
        <w:rPr>
          <w:rFonts w:hint="eastAsia" w:ascii="仿宋" w:hAnsi="仿宋" w:eastAsia="仿宋" w:cs="仿宋"/>
          <w:b w:val="0"/>
          <w:bCs w:val="0"/>
          <w:i w:val="0"/>
          <w:iCs w:val="0"/>
          <w:caps w:val="0"/>
          <w:color w:val="auto"/>
          <w:spacing w:val="0"/>
          <w:kern w:val="0"/>
          <w:sz w:val="24"/>
          <w:szCs w:val="24"/>
          <w:highlight w:val="none"/>
          <w:lang w:val="en-US" w:eastAsia="zh-CN" w:bidi="ar"/>
        </w:rPr>
        <w:t>方不得将保密信息以任何形式披露给第三方，或用于本合同以外的目的。</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2.未经</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方事先书面确认，</w:t>
      </w:r>
      <w:r>
        <w:rPr>
          <w:rFonts w:hint="eastAsia" w:ascii="仿宋" w:hAnsi="仿宋" w:eastAsia="仿宋" w:cs="仿宋"/>
          <w:b w:val="0"/>
          <w:bCs w:val="0"/>
          <w:i w:val="0"/>
          <w:iCs w:val="0"/>
          <w:caps w:val="0"/>
          <w:color w:val="auto"/>
          <w:spacing w:val="0"/>
          <w:kern w:val="0"/>
          <w:sz w:val="24"/>
          <w:szCs w:val="24"/>
          <w:highlight w:val="none"/>
          <w:lang w:eastAsia="zh-CN" w:bidi="ar"/>
        </w:rPr>
        <w:t>任一</w:t>
      </w:r>
      <w:r>
        <w:rPr>
          <w:rFonts w:hint="eastAsia" w:ascii="仿宋" w:hAnsi="仿宋" w:eastAsia="仿宋" w:cs="仿宋"/>
          <w:b w:val="0"/>
          <w:bCs w:val="0"/>
          <w:i w:val="0"/>
          <w:iCs w:val="0"/>
          <w:caps w:val="0"/>
          <w:color w:val="auto"/>
          <w:spacing w:val="0"/>
          <w:kern w:val="0"/>
          <w:sz w:val="24"/>
          <w:szCs w:val="24"/>
          <w:highlight w:val="none"/>
          <w:lang w:val="en-US" w:eastAsia="zh-CN" w:bidi="ar"/>
        </w:rPr>
        <w:t>方不得利用本合同内容进行任何形式的宣传。</w:t>
      </w:r>
    </w:p>
    <w:p w14:paraId="234AE620">
      <w:pPr>
        <w:keepNext w:val="0"/>
        <w:keepLines w:val="0"/>
        <w:widowControl w:val="0"/>
        <w:suppressLineNumbers w:val="0"/>
        <w:autoSpaceDE/>
        <w:autoSpaceDN/>
        <w:snapToGrid/>
        <w:spacing w:before="0" w:beforeAutospacing="0" w:after="0" w:afterAutospacing="0" w:line="380" w:lineRule="exact"/>
        <w:ind w:left="0" w:right="0" w:firstLine="480" w:firstLineChars="200"/>
        <w:jc w:val="left"/>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任一</w:t>
      </w:r>
      <w:r>
        <w:rPr>
          <w:rFonts w:hint="eastAsia" w:ascii="仿宋" w:hAnsi="仿宋" w:eastAsia="仿宋" w:cs="仿宋"/>
          <w:color w:val="auto"/>
          <w:sz w:val="24"/>
          <w:szCs w:val="24"/>
          <w:highlight w:val="none"/>
          <w:lang w:val="en-US" w:eastAsia="zh-CN"/>
        </w:rPr>
        <w:t>方为本协议目的可向其确有知悉必要的</w:t>
      </w:r>
      <w:r>
        <w:rPr>
          <w:rFonts w:hint="eastAsia" w:ascii="仿宋" w:hAnsi="仿宋" w:eastAsia="仿宋" w:cs="仿宋"/>
          <w:color w:val="auto"/>
          <w:sz w:val="24"/>
          <w:szCs w:val="24"/>
          <w:highlight w:val="none"/>
          <w:lang w:eastAsia="zh-CN"/>
        </w:rPr>
        <w:t>工作人员、</w:t>
      </w:r>
      <w:r>
        <w:rPr>
          <w:rFonts w:hint="eastAsia" w:ascii="仿宋" w:hAnsi="仿宋" w:eastAsia="仿宋" w:cs="仿宋"/>
          <w:color w:val="auto"/>
          <w:sz w:val="24"/>
          <w:szCs w:val="24"/>
          <w:highlight w:val="none"/>
          <w:lang w:val="en-US" w:eastAsia="zh-CN"/>
        </w:rPr>
        <w:t>雇员、法律顾问或财务顾问披露</w:t>
      </w:r>
      <w:r>
        <w:rPr>
          <w:rFonts w:hint="eastAsia" w:ascii="仿宋" w:hAnsi="仿宋" w:eastAsia="仿宋" w:cs="仿宋"/>
          <w:color w:val="auto"/>
          <w:sz w:val="24"/>
          <w:szCs w:val="24"/>
          <w:highlight w:val="none"/>
          <w:lang w:eastAsia="zh-CN"/>
        </w:rPr>
        <w:t>对</w:t>
      </w:r>
      <w:r>
        <w:rPr>
          <w:rFonts w:hint="eastAsia" w:ascii="仿宋" w:hAnsi="仿宋" w:eastAsia="仿宋" w:cs="仿宋"/>
          <w:color w:val="auto"/>
          <w:sz w:val="24"/>
          <w:szCs w:val="24"/>
          <w:highlight w:val="none"/>
          <w:lang w:val="en-US" w:eastAsia="zh-CN"/>
        </w:rPr>
        <w:t>方提供的保密资料，但同时须指示该等人员遵守本条规定的保密义务，该等人员违反本条保密义务视为</w:t>
      </w:r>
      <w:r>
        <w:rPr>
          <w:rFonts w:hint="eastAsia" w:ascii="仿宋" w:hAnsi="仿宋" w:eastAsia="仿宋" w:cs="仿宋"/>
          <w:color w:val="auto"/>
          <w:sz w:val="24"/>
          <w:szCs w:val="24"/>
          <w:highlight w:val="none"/>
          <w:lang w:eastAsia="zh-CN"/>
        </w:rPr>
        <w:t>该</w:t>
      </w:r>
      <w:r>
        <w:rPr>
          <w:rFonts w:hint="eastAsia" w:ascii="仿宋" w:hAnsi="仿宋" w:eastAsia="仿宋" w:cs="仿宋"/>
          <w:color w:val="auto"/>
          <w:sz w:val="24"/>
          <w:szCs w:val="24"/>
          <w:highlight w:val="none"/>
          <w:lang w:val="en-US" w:eastAsia="zh-CN"/>
        </w:rPr>
        <w:t>方违反本条保密义务。</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4.保密期限为本合同签订之日起【  】年。</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十、违约责任</w:t>
      </w:r>
    </w:p>
    <w:p w14:paraId="51DA1BC6">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1.甲方无正当理由拒绝接受服务的，</w:t>
      </w:r>
      <w:r>
        <w:rPr>
          <w:rFonts w:hint="eastAsia" w:ascii="仿宋" w:hAnsi="仿宋" w:eastAsia="仿宋" w:cs="仿宋"/>
          <w:b w:val="0"/>
          <w:bCs w:val="0"/>
          <w:i w:val="0"/>
          <w:iCs w:val="0"/>
          <w:caps w:val="0"/>
          <w:color w:val="auto"/>
          <w:spacing w:val="0"/>
          <w:kern w:val="0"/>
          <w:sz w:val="24"/>
          <w:szCs w:val="24"/>
          <w:highlight w:val="none"/>
          <w:lang w:eastAsia="zh-CN" w:bidi="ar"/>
        </w:rPr>
        <w:t>乙方有权单方解除本合同并要求</w:t>
      </w:r>
      <w:r>
        <w:rPr>
          <w:rFonts w:hint="eastAsia" w:ascii="仿宋" w:hAnsi="仿宋" w:eastAsia="仿宋" w:cs="仿宋"/>
          <w:b w:val="0"/>
          <w:bCs w:val="0"/>
          <w:i w:val="0"/>
          <w:iCs w:val="0"/>
          <w:caps w:val="0"/>
          <w:color w:val="auto"/>
          <w:spacing w:val="0"/>
          <w:kern w:val="0"/>
          <w:sz w:val="24"/>
          <w:szCs w:val="24"/>
          <w:highlight w:val="none"/>
          <w:lang w:val="en-US" w:eastAsia="zh-CN" w:bidi="ar"/>
        </w:rPr>
        <w:t>甲方向乙方偿付合同款项</w:t>
      </w:r>
      <w:r>
        <w:rPr>
          <w:rFonts w:hint="eastAsia" w:ascii="仿宋" w:hAnsi="仿宋" w:eastAsia="仿宋" w:cs="仿宋"/>
          <w:b w:val="0"/>
          <w:bCs w:val="0"/>
          <w:i w:val="0"/>
          <w:iCs w:val="0"/>
          <w:caps w:val="0"/>
          <w:color w:val="auto"/>
          <w:spacing w:val="0"/>
          <w:kern w:val="0"/>
          <w:sz w:val="24"/>
          <w:szCs w:val="24"/>
          <w:highlight w:val="none"/>
          <w:lang w:eastAsia="zh-CN" w:bidi="ar"/>
        </w:rPr>
        <w:t>的5%</w:t>
      </w:r>
      <w:r>
        <w:rPr>
          <w:rFonts w:hint="eastAsia" w:ascii="仿宋" w:hAnsi="仿宋" w:eastAsia="仿宋" w:cs="仿宋"/>
          <w:b w:val="0"/>
          <w:bCs w:val="0"/>
          <w:i w:val="0"/>
          <w:iCs w:val="0"/>
          <w:caps w:val="0"/>
          <w:color w:val="auto"/>
          <w:spacing w:val="0"/>
          <w:kern w:val="0"/>
          <w:sz w:val="24"/>
          <w:szCs w:val="24"/>
          <w:highlight w:val="none"/>
          <w:lang w:val="en-US" w:eastAsia="zh-CN" w:bidi="ar"/>
        </w:rPr>
        <w:t>作为违约金。</w:t>
      </w:r>
    </w:p>
    <w:p w14:paraId="64A19F05">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2.甲方无故逾期验收和办理款项支付手续的，</w:t>
      </w:r>
      <w:r>
        <w:rPr>
          <w:rFonts w:hint="eastAsia" w:ascii="仿宋" w:hAnsi="仿宋" w:eastAsia="仿宋" w:cs="仿宋"/>
          <w:b w:val="0"/>
          <w:bCs w:val="0"/>
          <w:i w:val="0"/>
          <w:iCs w:val="0"/>
          <w:caps w:val="0"/>
          <w:color w:val="auto"/>
          <w:spacing w:val="0"/>
          <w:kern w:val="0"/>
          <w:sz w:val="24"/>
          <w:szCs w:val="24"/>
          <w:highlight w:val="none"/>
          <w:lang w:eastAsia="zh-CN" w:bidi="ar"/>
        </w:rPr>
        <w:t>每逾期一日，</w:t>
      </w:r>
      <w:r>
        <w:rPr>
          <w:rFonts w:hint="eastAsia" w:ascii="仿宋" w:hAnsi="仿宋" w:eastAsia="仿宋" w:cs="仿宋"/>
          <w:b w:val="0"/>
          <w:bCs w:val="0"/>
          <w:i w:val="0"/>
          <w:iCs w:val="0"/>
          <w:caps w:val="0"/>
          <w:color w:val="auto"/>
          <w:spacing w:val="0"/>
          <w:kern w:val="0"/>
          <w:sz w:val="24"/>
          <w:szCs w:val="24"/>
          <w:highlight w:val="none"/>
          <w:lang w:val="en-US" w:eastAsia="zh-CN" w:bidi="ar"/>
        </w:rPr>
        <w:t>甲方应按逾期付款总额</w:t>
      </w:r>
      <w:r>
        <w:rPr>
          <w:rFonts w:hint="eastAsia" w:ascii="仿宋" w:hAnsi="仿宋" w:eastAsia="仿宋" w:cs="仿宋"/>
          <w:b w:val="0"/>
          <w:bCs w:val="0"/>
          <w:i w:val="0"/>
          <w:iCs w:val="0"/>
          <w:caps w:val="0"/>
          <w:color w:val="auto"/>
          <w:spacing w:val="0"/>
          <w:kern w:val="0"/>
          <w:sz w:val="24"/>
          <w:szCs w:val="24"/>
          <w:highlight w:val="none"/>
          <w:lang w:eastAsia="zh-CN" w:bidi="ar"/>
        </w:rPr>
        <w:t>的</w:t>
      </w:r>
      <w:r>
        <w:rPr>
          <w:rFonts w:hint="eastAsia" w:ascii="仿宋" w:hAnsi="仿宋" w:eastAsia="仿宋" w:cs="仿宋"/>
          <w:b w:val="0"/>
          <w:bCs w:val="0"/>
          <w:i w:val="0"/>
          <w:iCs w:val="0"/>
          <w:caps w:val="0"/>
          <w:color w:val="auto"/>
          <w:spacing w:val="0"/>
          <w:kern w:val="0"/>
          <w:sz w:val="24"/>
          <w:szCs w:val="24"/>
          <w:highlight w:val="none"/>
          <w:lang w:val="en-US" w:eastAsia="zh-CN" w:bidi="ar"/>
        </w:rPr>
        <w:t>万分之五向乙方支付违约金</w:t>
      </w:r>
      <w:r>
        <w:rPr>
          <w:rFonts w:hint="eastAsia" w:ascii="仿宋" w:hAnsi="仿宋" w:eastAsia="仿宋" w:cs="仿宋"/>
          <w:b w:val="0"/>
          <w:bCs w:val="0"/>
          <w:i w:val="0"/>
          <w:iCs w:val="0"/>
          <w:caps w:val="0"/>
          <w:color w:val="auto"/>
          <w:spacing w:val="0"/>
          <w:kern w:val="0"/>
          <w:sz w:val="24"/>
          <w:szCs w:val="24"/>
          <w:highlight w:val="none"/>
          <w:lang w:eastAsia="zh-CN" w:bidi="ar"/>
        </w:rPr>
        <w:t>。因</w:t>
      </w:r>
      <w:r>
        <w:rPr>
          <w:rFonts w:hint="eastAsia" w:ascii="仿宋" w:hAnsi="仿宋" w:eastAsia="仿宋" w:cs="仿宋"/>
          <w:b w:val="0"/>
          <w:bCs w:val="0"/>
          <w:i w:val="0"/>
          <w:iCs w:val="0"/>
          <w:caps w:val="0"/>
          <w:color w:val="auto"/>
          <w:spacing w:val="0"/>
          <w:kern w:val="0"/>
          <w:sz w:val="24"/>
          <w:szCs w:val="24"/>
          <w:highlight w:val="none"/>
          <w:lang w:val="en-US" w:eastAsia="zh-CN" w:bidi="ar"/>
        </w:rPr>
        <w:t>财政审批原因造成</w:t>
      </w:r>
      <w:r>
        <w:rPr>
          <w:rFonts w:hint="eastAsia" w:ascii="仿宋" w:hAnsi="仿宋" w:eastAsia="仿宋" w:cs="仿宋"/>
          <w:b w:val="0"/>
          <w:bCs w:val="0"/>
          <w:i w:val="0"/>
          <w:iCs w:val="0"/>
          <w:caps w:val="0"/>
          <w:color w:val="auto"/>
          <w:spacing w:val="0"/>
          <w:kern w:val="0"/>
          <w:sz w:val="24"/>
          <w:szCs w:val="24"/>
          <w:highlight w:val="none"/>
          <w:u w:val="none"/>
          <w:lang w:val="en-US" w:eastAsia="zh-CN" w:bidi="ar"/>
        </w:rPr>
        <w:t>或有正当理由</w:t>
      </w:r>
      <w:r>
        <w:rPr>
          <w:rFonts w:hint="eastAsia" w:ascii="仿宋" w:hAnsi="仿宋" w:eastAsia="仿宋" w:cs="仿宋"/>
          <w:b w:val="0"/>
          <w:bCs w:val="0"/>
          <w:i w:val="0"/>
          <w:iCs w:val="0"/>
          <w:caps w:val="0"/>
          <w:color w:val="auto"/>
          <w:spacing w:val="0"/>
          <w:kern w:val="0"/>
          <w:sz w:val="24"/>
          <w:szCs w:val="24"/>
          <w:highlight w:val="none"/>
          <w:u w:val="none"/>
          <w:lang w:eastAsia="zh-CN" w:bidi="ar"/>
        </w:rPr>
        <w:t>导致逾期验收和办理款项支付手续的，无需承担违约责任，但甲方应及时告知乙方相关情况</w:t>
      </w:r>
      <w:r>
        <w:rPr>
          <w:rFonts w:hint="eastAsia" w:ascii="仿宋" w:hAnsi="仿宋" w:eastAsia="仿宋" w:cs="仿宋"/>
          <w:b w:val="0"/>
          <w:bCs w:val="0"/>
          <w:i w:val="0"/>
          <w:iCs w:val="0"/>
          <w:caps w:val="0"/>
          <w:color w:val="auto"/>
          <w:spacing w:val="0"/>
          <w:kern w:val="0"/>
          <w:sz w:val="24"/>
          <w:szCs w:val="24"/>
          <w:highlight w:val="none"/>
          <w:lang w:val="en-US" w:eastAsia="zh-CN" w:bidi="ar"/>
        </w:rPr>
        <w:t>。</w:t>
      </w:r>
    </w:p>
    <w:p w14:paraId="5A0CB048">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3.乙方未能如期提供服务的，每</w:t>
      </w:r>
      <w:r>
        <w:rPr>
          <w:rFonts w:hint="eastAsia" w:ascii="仿宋" w:hAnsi="仿宋" w:eastAsia="仿宋" w:cs="仿宋"/>
          <w:b w:val="0"/>
          <w:bCs w:val="0"/>
          <w:i w:val="0"/>
          <w:iCs w:val="0"/>
          <w:caps w:val="0"/>
          <w:color w:val="auto"/>
          <w:spacing w:val="0"/>
          <w:kern w:val="0"/>
          <w:sz w:val="24"/>
          <w:szCs w:val="24"/>
          <w:highlight w:val="none"/>
          <w:lang w:eastAsia="zh-CN" w:bidi="ar"/>
        </w:rPr>
        <w:t>逾期一日，</w:t>
      </w:r>
      <w:r>
        <w:rPr>
          <w:rFonts w:hint="eastAsia" w:ascii="仿宋" w:hAnsi="仿宋" w:eastAsia="仿宋" w:cs="仿宋"/>
          <w:b w:val="0"/>
          <w:bCs w:val="0"/>
          <w:i w:val="0"/>
          <w:iCs w:val="0"/>
          <w:caps w:val="0"/>
          <w:color w:val="auto"/>
          <w:spacing w:val="0"/>
          <w:kern w:val="0"/>
          <w:sz w:val="24"/>
          <w:szCs w:val="24"/>
          <w:highlight w:val="none"/>
          <w:lang w:val="en-US" w:eastAsia="zh-CN" w:bidi="ar"/>
        </w:rPr>
        <w:t>向甲方支付</w:t>
      </w:r>
      <w:r>
        <w:rPr>
          <w:rFonts w:hint="eastAsia" w:ascii="仿宋" w:hAnsi="仿宋" w:eastAsia="仿宋" w:cs="仿宋"/>
          <w:b w:val="0"/>
          <w:bCs w:val="0"/>
          <w:i w:val="0"/>
          <w:iCs w:val="0"/>
          <w:caps w:val="0"/>
          <w:color w:val="auto"/>
          <w:spacing w:val="0"/>
          <w:kern w:val="0"/>
          <w:sz w:val="24"/>
          <w:szCs w:val="24"/>
          <w:highlight w:val="none"/>
          <w:lang w:eastAsia="zh-CN" w:bidi="ar"/>
        </w:rPr>
        <w:t>未如期提供的服务对应</w:t>
      </w:r>
      <w:r>
        <w:rPr>
          <w:rFonts w:hint="eastAsia" w:ascii="仿宋" w:hAnsi="仿宋" w:eastAsia="仿宋" w:cs="仿宋"/>
          <w:b w:val="0"/>
          <w:bCs w:val="0"/>
          <w:i w:val="0"/>
          <w:iCs w:val="0"/>
          <w:caps w:val="0"/>
          <w:color w:val="auto"/>
          <w:spacing w:val="0"/>
          <w:kern w:val="0"/>
          <w:sz w:val="24"/>
          <w:szCs w:val="24"/>
          <w:highlight w:val="none"/>
          <w:lang w:val="en-US" w:eastAsia="zh-CN" w:bidi="ar"/>
        </w:rPr>
        <w:t>款项的</w:t>
      </w:r>
      <w:r>
        <w:rPr>
          <w:rFonts w:hint="eastAsia" w:ascii="仿宋" w:hAnsi="仿宋" w:eastAsia="仿宋" w:cs="仿宋"/>
          <w:b w:val="0"/>
          <w:bCs w:val="0"/>
          <w:i w:val="0"/>
          <w:iCs w:val="0"/>
          <w:caps w:val="0"/>
          <w:color w:val="auto"/>
          <w:spacing w:val="0"/>
          <w:kern w:val="0"/>
          <w:sz w:val="24"/>
          <w:szCs w:val="24"/>
          <w:highlight w:val="none"/>
          <w:lang w:eastAsia="zh-CN" w:bidi="ar"/>
        </w:rPr>
        <w:t>万</w:t>
      </w:r>
      <w:r>
        <w:rPr>
          <w:rFonts w:hint="eastAsia" w:ascii="仿宋" w:hAnsi="仿宋" w:eastAsia="仿宋" w:cs="仿宋"/>
          <w:b w:val="0"/>
          <w:bCs w:val="0"/>
          <w:i w:val="0"/>
          <w:iCs w:val="0"/>
          <w:caps w:val="0"/>
          <w:color w:val="auto"/>
          <w:spacing w:val="0"/>
          <w:kern w:val="0"/>
          <w:sz w:val="24"/>
          <w:szCs w:val="24"/>
          <w:highlight w:val="none"/>
          <w:lang w:val="en-US" w:eastAsia="zh-CN" w:bidi="ar"/>
        </w:rPr>
        <w:t>分之</w:t>
      </w:r>
      <w:r>
        <w:rPr>
          <w:rFonts w:hint="eastAsia" w:ascii="仿宋" w:hAnsi="仿宋" w:eastAsia="仿宋" w:cs="仿宋"/>
          <w:b w:val="0"/>
          <w:bCs w:val="0"/>
          <w:i w:val="0"/>
          <w:iCs w:val="0"/>
          <w:caps w:val="0"/>
          <w:color w:val="auto"/>
          <w:spacing w:val="0"/>
          <w:kern w:val="0"/>
          <w:sz w:val="24"/>
          <w:szCs w:val="24"/>
          <w:highlight w:val="none"/>
          <w:lang w:eastAsia="zh-CN" w:bidi="ar"/>
        </w:rPr>
        <w:t>五</w:t>
      </w:r>
      <w:r>
        <w:rPr>
          <w:rFonts w:hint="eastAsia" w:ascii="仿宋" w:hAnsi="仿宋" w:eastAsia="仿宋" w:cs="仿宋"/>
          <w:b w:val="0"/>
          <w:bCs w:val="0"/>
          <w:i w:val="0"/>
          <w:iCs w:val="0"/>
          <w:caps w:val="0"/>
          <w:color w:val="auto"/>
          <w:spacing w:val="0"/>
          <w:kern w:val="0"/>
          <w:sz w:val="24"/>
          <w:szCs w:val="24"/>
          <w:highlight w:val="none"/>
          <w:lang w:val="en-US" w:eastAsia="zh-CN" w:bidi="ar"/>
        </w:rPr>
        <w:t>作为违约金。乙方超过约定日期</w:t>
      </w:r>
      <w:r>
        <w:rPr>
          <w:rFonts w:hint="eastAsia" w:ascii="仿宋" w:hAnsi="仿宋" w:eastAsia="仿宋" w:cs="仿宋"/>
          <w:b w:val="0"/>
          <w:bCs w:val="0"/>
          <w:i w:val="0"/>
          <w:iCs w:val="0"/>
          <w:caps w:val="0"/>
          <w:color w:val="auto"/>
          <w:spacing w:val="0"/>
          <w:kern w:val="0"/>
          <w:sz w:val="24"/>
          <w:szCs w:val="24"/>
          <w:highlight w:val="none"/>
          <w:lang w:eastAsia="zh-CN" w:bidi="ar"/>
        </w:rPr>
        <w:t>7</w:t>
      </w:r>
      <w:r>
        <w:rPr>
          <w:rFonts w:hint="eastAsia" w:ascii="仿宋" w:hAnsi="仿宋" w:eastAsia="仿宋" w:cs="仿宋"/>
          <w:b w:val="0"/>
          <w:bCs w:val="0"/>
          <w:i w:val="0"/>
          <w:iCs w:val="0"/>
          <w:caps w:val="0"/>
          <w:color w:val="auto"/>
          <w:spacing w:val="0"/>
          <w:kern w:val="0"/>
          <w:sz w:val="24"/>
          <w:szCs w:val="24"/>
          <w:highlight w:val="none"/>
          <w:lang w:val="en-US" w:eastAsia="zh-CN" w:bidi="ar"/>
        </w:rPr>
        <w:t>日仍不能提供服务的，甲方可解除本合同。乙方因未能如期提供服务或因其他违约行为导致甲方解除合同的，乙方应另行向甲方支付合同总值5%的违约金，如造成甲方损失超过违约金的，超出部分由乙方继续承担赔偿责任。</w:t>
      </w:r>
    </w:p>
    <w:p w14:paraId="54BF847D">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4.</w:t>
      </w:r>
      <w:r>
        <w:rPr>
          <w:rFonts w:hint="eastAsia" w:ascii="仿宋" w:hAnsi="仿宋" w:eastAsia="仿宋" w:cs="仿宋"/>
          <w:b w:val="0"/>
          <w:bCs w:val="0"/>
          <w:i w:val="0"/>
          <w:iCs w:val="0"/>
          <w:caps w:val="0"/>
          <w:color w:val="auto"/>
          <w:spacing w:val="0"/>
          <w:kern w:val="0"/>
          <w:sz w:val="24"/>
          <w:szCs w:val="24"/>
          <w:highlight w:val="none"/>
          <w:lang w:eastAsia="zh-CN" w:bidi="ar"/>
        </w:rPr>
        <w:t>任一</w:t>
      </w:r>
      <w:r>
        <w:rPr>
          <w:rFonts w:hint="eastAsia" w:ascii="仿宋" w:hAnsi="仿宋" w:eastAsia="仿宋" w:cs="仿宋"/>
          <w:b w:val="0"/>
          <w:bCs w:val="0"/>
          <w:i w:val="0"/>
          <w:iCs w:val="0"/>
          <w:caps w:val="0"/>
          <w:color w:val="auto"/>
          <w:spacing w:val="0"/>
          <w:kern w:val="0"/>
          <w:sz w:val="24"/>
          <w:szCs w:val="24"/>
          <w:highlight w:val="none"/>
          <w:lang w:val="en-US" w:eastAsia="zh-CN" w:bidi="ar"/>
        </w:rPr>
        <w:t>方违反保密义务的相关约定，</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方有权单方解除合同，</w:t>
      </w:r>
      <w:r>
        <w:rPr>
          <w:rFonts w:hint="eastAsia" w:ascii="仿宋" w:hAnsi="仿宋" w:eastAsia="仿宋" w:cs="仿宋"/>
          <w:b w:val="0"/>
          <w:bCs w:val="0"/>
          <w:i w:val="0"/>
          <w:iCs w:val="0"/>
          <w:caps w:val="0"/>
          <w:color w:val="auto"/>
          <w:spacing w:val="0"/>
          <w:kern w:val="0"/>
          <w:sz w:val="24"/>
          <w:szCs w:val="24"/>
          <w:highlight w:val="none"/>
          <w:lang w:eastAsia="zh-CN" w:bidi="ar"/>
        </w:rPr>
        <w:t>违约</w:t>
      </w:r>
      <w:r>
        <w:rPr>
          <w:rFonts w:hint="eastAsia" w:ascii="仿宋" w:hAnsi="仿宋" w:eastAsia="仿宋" w:cs="仿宋"/>
          <w:b w:val="0"/>
          <w:bCs w:val="0"/>
          <w:i w:val="0"/>
          <w:iCs w:val="0"/>
          <w:caps w:val="0"/>
          <w:color w:val="auto"/>
          <w:spacing w:val="0"/>
          <w:kern w:val="0"/>
          <w:sz w:val="24"/>
          <w:szCs w:val="24"/>
          <w:highlight w:val="none"/>
          <w:lang w:val="en-US" w:eastAsia="zh-CN" w:bidi="ar"/>
        </w:rPr>
        <w:t>方应向</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方支付合同总金额的【</w:t>
      </w:r>
      <w:r>
        <w:rPr>
          <w:rFonts w:hint="eastAsia" w:ascii="仿宋" w:hAnsi="仿宋" w:eastAsia="仿宋" w:cs="仿宋"/>
          <w:b w:val="0"/>
          <w:bCs w:val="0"/>
          <w:i w:val="0"/>
          <w:iCs w:val="0"/>
          <w:caps w:val="0"/>
          <w:color w:val="auto"/>
          <w:spacing w:val="0"/>
          <w:kern w:val="0"/>
          <w:sz w:val="24"/>
          <w:szCs w:val="24"/>
          <w:highlight w:val="none"/>
          <w:lang w:eastAsia="zh-CN" w:bidi="ar"/>
        </w:rPr>
        <w:t>5</w:t>
      </w:r>
      <w:r>
        <w:rPr>
          <w:rFonts w:hint="eastAsia" w:ascii="仿宋" w:hAnsi="仿宋" w:eastAsia="仿宋" w:cs="仿宋"/>
          <w:b w:val="0"/>
          <w:bCs w:val="0"/>
          <w:i w:val="0"/>
          <w:iCs w:val="0"/>
          <w:caps w:val="0"/>
          <w:color w:val="auto"/>
          <w:spacing w:val="0"/>
          <w:kern w:val="0"/>
          <w:sz w:val="24"/>
          <w:szCs w:val="24"/>
          <w:highlight w:val="none"/>
          <w:lang w:val="en-US" w:eastAsia="zh-CN" w:bidi="ar"/>
        </w:rPr>
        <w:t>%】作为违约金，该违约金不足以弥补</w:t>
      </w:r>
      <w:r>
        <w:rPr>
          <w:rFonts w:hint="eastAsia" w:ascii="仿宋" w:hAnsi="仿宋" w:eastAsia="仿宋" w:cs="仿宋"/>
          <w:b w:val="0"/>
          <w:bCs w:val="0"/>
          <w:i w:val="0"/>
          <w:iCs w:val="0"/>
          <w:caps w:val="0"/>
          <w:color w:val="auto"/>
          <w:spacing w:val="0"/>
          <w:kern w:val="0"/>
          <w:sz w:val="24"/>
          <w:szCs w:val="24"/>
          <w:highlight w:val="none"/>
          <w:lang w:eastAsia="zh-CN" w:bidi="ar"/>
        </w:rPr>
        <w:t>对方</w:t>
      </w:r>
      <w:r>
        <w:rPr>
          <w:rFonts w:hint="eastAsia" w:ascii="仿宋" w:hAnsi="仿宋" w:eastAsia="仿宋" w:cs="仿宋"/>
          <w:b w:val="0"/>
          <w:bCs w:val="0"/>
          <w:i w:val="0"/>
          <w:iCs w:val="0"/>
          <w:caps w:val="0"/>
          <w:color w:val="auto"/>
          <w:spacing w:val="0"/>
          <w:kern w:val="0"/>
          <w:sz w:val="24"/>
          <w:szCs w:val="24"/>
          <w:highlight w:val="none"/>
          <w:lang w:val="en-US" w:eastAsia="zh-CN" w:bidi="ar"/>
        </w:rPr>
        <w:t>损失的，</w:t>
      </w:r>
      <w:r>
        <w:rPr>
          <w:rFonts w:hint="eastAsia" w:ascii="仿宋" w:hAnsi="仿宋" w:eastAsia="仿宋" w:cs="仿宋"/>
          <w:b w:val="0"/>
          <w:bCs w:val="0"/>
          <w:i w:val="0"/>
          <w:iCs w:val="0"/>
          <w:caps w:val="0"/>
          <w:color w:val="auto"/>
          <w:spacing w:val="0"/>
          <w:kern w:val="0"/>
          <w:sz w:val="24"/>
          <w:szCs w:val="24"/>
          <w:highlight w:val="none"/>
          <w:lang w:eastAsia="zh-CN" w:bidi="ar"/>
        </w:rPr>
        <w:t>违约</w:t>
      </w:r>
      <w:r>
        <w:rPr>
          <w:rFonts w:hint="eastAsia" w:ascii="仿宋" w:hAnsi="仿宋" w:eastAsia="仿宋" w:cs="仿宋"/>
          <w:b w:val="0"/>
          <w:bCs w:val="0"/>
          <w:i w:val="0"/>
          <w:iCs w:val="0"/>
          <w:caps w:val="0"/>
          <w:color w:val="auto"/>
          <w:spacing w:val="0"/>
          <w:kern w:val="0"/>
          <w:sz w:val="24"/>
          <w:szCs w:val="24"/>
          <w:highlight w:val="none"/>
          <w:lang w:val="en-US" w:eastAsia="zh-CN" w:bidi="ar"/>
        </w:rPr>
        <w:t>方应当继续赔偿。</w:t>
      </w:r>
    </w:p>
    <w:p w14:paraId="73ABE478">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5.乙方提供的服务达不到约定的标准的，</w:t>
      </w:r>
      <w:r>
        <w:rPr>
          <w:rFonts w:hint="eastAsia" w:ascii="仿宋" w:hAnsi="仿宋" w:eastAsia="仿宋" w:cs="仿宋"/>
          <w:color w:val="auto"/>
          <w:sz w:val="24"/>
          <w:szCs w:val="24"/>
          <w:highlight w:val="none"/>
          <w:lang w:eastAsia="zh-CN"/>
        </w:rPr>
        <w:t>甲方可要求乙方重做，重做的费用由乙方承担。重做后仍达不到约定标准的，</w:t>
      </w:r>
      <w:r>
        <w:rPr>
          <w:rFonts w:hint="eastAsia" w:ascii="仿宋" w:hAnsi="仿宋" w:eastAsia="仿宋" w:cs="仿宋"/>
          <w:color w:val="auto"/>
          <w:sz w:val="24"/>
          <w:szCs w:val="24"/>
          <w:highlight w:val="none"/>
          <w:lang w:val="en-US" w:eastAsia="zh-CN"/>
        </w:rPr>
        <w:t>甲方有权追究乙方</w:t>
      </w:r>
      <w:r>
        <w:rPr>
          <w:rFonts w:hint="eastAsia" w:ascii="仿宋" w:hAnsi="仿宋" w:eastAsia="仿宋" w:cs="仿宋"/>
          <w:color w:val="auto"/>
          <w:sz w:val="24"/>
          <w:szCs w:val="24"/>
          <w:highlight w:val="none"/>
          <w:lang w:eastAsia="zh-CN"/>
        </w:rPr>
        <w:t>服务达不到标准部分款项10%的</w:t>
      </w:r>
      <w:r>
        <w:rPr>
          <w:rFonts w:hint="eastAsia" w:ascii="仿宋" w:hAnsi="仿宋" w:eastAsia="仿宋" w:cs="仿宋"/>
          <w:color w:val="auto"/>
          <w:sz w:val="24"/>
          <w:szCs w:val="24"/>
          <w:highlight w:val="none"/>
          <w:lang w:val="en-US" w:eastAsia="zh-CN"/>
        </w:rPr>
        <w:t>违约</w:t>
      </w:r>
      <w:r>
        <w:rPr>
          <w:rFonts w:hint="eastAsia" w:ascii="仿宋" w:hAnsi="仿宋" w:eastAsia="仿宋" w:cs="仿宋"/>
          <w:color w:val="auto"/>
          <w:sz w:val="24"/>
          <w:szCs w:val="24"/>
          <w:highlight w:val="none"/>
          <w:lang w:eastAsia="zh-CN"/>
        </w:rPr>
        <w:t>金。</w:t>
      </w:r>
      <w:r>
        <w:rPr>
          <w:rFonts w:hint="eastAsia" w:ascii="仿宋" w:hAnsi="仿宋" w:eastAsia="仿宋" w:cs="仿宋"/>
          <w:color w:val="auto"/>
          <w:sz w:val="24"/>
          <w:szCs w:val="24"/>
          <w:highlight w:val="none"/>
          <w:lang w:val="en-US" w:eastAsia="zh-CN"/>
        </w:rPr>
        <w:t>因乙方在提供服务期间导致甲方或者第三人受到损害的，由乙方承担赔偿责任，甲方因此遭受第三方索赔的，有权向乙方追偿。</w:t>
      </w:r>
    </w:p>
    <w:p w14:paraId="05750E8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6.在乙方提供服务期间出现问题的，乙方应当在接到甲方通知后24小时内及时赶到现场进行处理，若乙方拒绝或怠于履行该义务的，甲方有权自行委托他人处理，所有费用由乙方承担，并加收发生费用的</w:t>
      </w:r>
      <w:r>
        <w:rPr>
          <w:rFonts w:hint="eastAsia" w:ascii="仿宋" w:hAnsi="仿宋" w:eastAsia="仿宋" w:cs="仿宋"/>
          <w:b w:val="0"/>
          <w:bCs w:val="0"/>
          <w:i w:val="0"/>
          <w:iCs w:val="0"/>
          <w:caps w:val="0"/>
          <w:color w:val="auto"/>
          <w:spacing w:val="0"/>
          <w:kern w:val="0"/>
          <w:sz w:val="24"/>
          <w:szCs w:val="24"/>
          <w:highlight w:val="none"/>
          <w:lang w:eastAsia="zh-CN" w:bidi="ar"/>
        </w:rPr>
        <w:t>1</w:t>
      </w:r>
      <w:r>
        <w:rPr>
          <w:rFonts w:hint="eastAsia" w:ascii="仿宋" w:hAnsi="仿宋" w:eastAsia="仿宋" w:cs="仿宋"/>
          <w:b w:val="0"/>
          <w:bCs w:val="0"/>
          <w:i w:val="0"/>
          <w:iCs w:val="0"/>
          <w:caps w:val="0"/>
          <w:color w:val="auto"/>
          <w:spacing w:val="0"/>
          <w:kern w:val="0"/>
          <w:sz w:val="24"/>
          <w:szCs w:val="24"/>
          <w:highlight w:val="none"/>
          <w:lang w:val="en-US" w:eastAsia="zh-CN" w:bidi="ar"/>
        </w:rPr>
        <w:t>0%作为违约金。</w:t>
      </w:r>
    </w:p>
    <w:p w14:paraId="0AB2114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it-IT"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7.</w:t>
      </w:r>
      <w:r>
        <w:rPr>
          <w:rFonts w:hint="eastAsia" w:ascii="仿宋" w:hAnsi="仿宋" w:eastAsia="仿宋" w:cs="仿宋"/>
          <w:b w:val="0"/>
          <w:bCs w:val="0"/>
          <w:i w:val="0"/>
          <w:iCs w:val="0"/>
          <w:caps w:val="0"/>
          <w:color w:val="auto"/>
          <w:spacing w:val="0"/>
          <w:kern w:val="0"/>
          <w:sz w:val="24"/>
          <w:szCs w:val="24"/>
          <w:highlight w:val="none"/>
          <w:lang w:val="it-IT" w:eastAsia="zh-CN" w:bidi="ar"/>
        </w:rPr>
        <w:t>因乙方违约解除合同：除法律明确规定外，出现乙方违反合同约定的违约情况时，甲方发出整改通知后，乙方在指定的合理期限内仍不纠正违约行为的，或者乙方因未能如期提供货物或服务的，或乙方因其他违约行为导致甲方解除合同的，本合同自甲方解除通知书到达后解除合同。合同解除后，甲方不免除或减轻乙方应承担的违约责任。且因乙方违约导致合同解除后，乙方应当承担的责任：</w:t>
      </w:r>
    </w:p>
    <w:p w14:paraId="3AE2D01B">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it-IT" w:eastAsia="zh-CN" w:bidi="ar"/>
        </w:rPr>
      </w:pP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1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⑴</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it-IT" w:eastAsia="zh-CN" w:bidi="ar"/>
        </w:rPr>
        <w:t>合同解除后，乙方应支付甲方违约金；</w:t>
      </w:r>
    </w:p>
    <w:p w14:paraId="5A423F3E">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it-IT" w:eastAsia="zh-CN" w:bidi="ar"/>
        </w:rPr>
      </w:pP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2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⑵</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it-IT" w:eastAsia="zh-CN" w:bidi="ar"/>
        </w:rPr>
        <w:t>合同解除后，因解除合同给甲方造成的损失；</w:t>
      </w:r>
    </w:p>
    <w:p w14:paraId="69FD1ECC">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it-IT" w:eastAsia="zh-CN" w:bidi="ar"/>
        </w:rPr>
      </w:pP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3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⑶</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it-IT" w:eastAsia="zh-CN" w:bidi="ar"/>
        </w:rPr>
        <w:t>甲方有权要求乙方退回已付款项；</w:t>
      </w:r>
    </w:p>
    <w:p w14:paraId="22CEDA08">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4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⑷</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it-IT" w:eastAsia="zh-CN" w:bidi="ar"/>
        </w:rPr>
        <w:t>其他乙</w:t>
      </w:r>
      <w:r>
        <w:rPr>
          <w:rFonts w:hint="eastAsia" w:ascii="仿宋" w:hAnsi="仿宋" w:eastAsia="仿宋" w:cs="仿宋"/>
          <w:color w:val="auto"/>
          <w:sz w:val="24"/>
          <w:szCs w:val="24"/>
          <w:highlight w:val="none"/>
          <w:lang w:val="it-IT"/>
        </w:rPr>
        <w:t>方依据本合同应当向甲方承担的责任。</w:t>
      </w:r>
    </w:p>
    <w:p w14:paraId="1D5EA8C4">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8.除本合同另有约定外，任何一方违反本合同，违约方应向守约方承担违约责任，赔偿因其违约行为给守约方造成的损失，如违约方不能在合理期限内采取补救措施，守约方有权解除合同，并要求违约方赔偿其由此而遭受的一切损失（包括但不限于律师费、公证费、诉讼费等合理支出）。   </w:t>
      </w:r>
    </w:p>
    <w:p w14:paraId="4EFEC9EF">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outlineLvl w:val="1"/>
        <w:rPr>
          <w:rFonts w:hint="eastAsia" w:ascii="仿宋" w:hAnsi="仿宋" w:eastAsia="仿宋" w:cs="仿宋"/>
          <w:b/>
          <w:bCs/>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9.</w:t>
      </w:r>
      <w:r>
        <w:rPr>
          <w:rFonts w:hint="eastAsia" w:ascii="仿宋" w:hAnsi="仿宋" w:eastAsia="仿宋" w:cs="仿宋"/>
          <w:color w:val="auto"/>
          <w:spacing w:val="-4"/>
          <w:sz w:val="24"/>
          <w:szCs w:val="24"/>
          <w:highlight w:val="none"/>
          <w:lang w:val="en-US" w:eastAsia="zh-CN"/>
        </w:rPr>
        <w:t>乙方</w:t>
      </w:r>
      <w:r>
        <w:rPr>
          <w:rFonts w:ascii="仿宋" w:hAnsi="仿宋" w:eastAsia="仿宋" w:cs="仿宋"/>
          <w:color w:val="auto"/>
          <w:spacing w:val="-4"/>
          <w:sz w:val="24"/>
          <w:szCs w:val="24"/>
          <w:highlight w:val="none"/>
        </w:rPr>
        <w:t>应该严格遵守</w:t>
      </w:r>
      <w:r>
        <w:rPr>
          <w:rFonts w:hint="eastAsia" w:ascii="仿宋" w:hAnsi="仿宋" w:eastAsia="仿宋" w:cs="仿宋"/>
          <w:color w:val="auto"/>
          <w:spacing w:val="-1"/>
          <w:sz w:val="24"/>
          <w:szCs w:val="24"/>
          <w:highlight w:val="none"/>
          <w:lang w:val="en-US" w:eastAsia="zh-CN"/>
        </w:rPr>
        <w:t>甲方储运</w:t>
      </w:r>
      <w:r>
        <w:rPr>
          <w:rFonts w:ascii="仿宋" w:hAnsi="仿宋" w:eastAsia="仿宋" w:cs="仿宋"/>
          <w:color w:val="auto"/>
          <w:spacing w:val="-1"/>
          <w:sz w:val="24"/>
          <w:szCs w:val="24"/>
          <w:highlight w:val="none"/>
        </w:rPr>
        <w:t>部</w:t>
      </w:r>
      <w:r>
        <w:rPr>
          <w:rFonts w:ascii="仿宋" w:hAnsi="仿宋" w:eastAsia="仿宋" w:cs="仿宋"/>
          <w:color w:val="auto"/>
          <w:spacing w:val="-5"/>
          <w:sz w:val="24"/>
          <w:szCs w:val="24"/>
          <w:highlight w:val="none"/>
        </w:rPr>
        <w:t>根据产品实际需求</w:t>
      </w:r>
      <w:r>
        <w:rPr>
          <w:rFonts w:ascii="仿宋" w:hAnsi="仿宋" w:eastAsia="仿宋" w:cs="仿宋"/>
          <w:color w:val="auto"/>
          <w:spacing w:val="-1"/>
          <w:sz w:val="24"/>
          <w:szCs w:val="24"/>
          <w:highlight w:val="none"/>
        </w:rPr>
        <w:t>以书面方式提出的其他仓储、运输要求</w:t>
      </w:r>
      <w:r>
        <w:rPr>
          <w:rFonts w:hint="eastAsia" w:ascii="仿宋" w:hAnsi="仿宋" w:eastAsia="仿宋" w:cs="仿宋"/>
          <w:color w:val="auto"/>
          <w:spacing w:val="-1"/>
          <w:sz w:val="24"/>
          <w:szCs w:val="24"/>
          <w:highlight w:val="none"/>
          <w:lang w:eastAsia="zh-CN"/>
        </w:rPr>
        <w:t>。</w:t>
      </w:r>
      <w:r>
        <w:rPr>
          <w:rFonts w:hint="eastAsia" w:ascii="仿宋" w:hAnsi="仿宋" w:eastAsia="仿宋" w:cs="仿宋"/>
          <w:color w:val="auto"/>
          <w:spacing w:val="-1"/>
          <w:sz w:val="24"/>
          <w:szCs w:val="24"/>
          <w:highlight w:val="none"/>
          <w:lang w:val="en-US" w:eastAsia="zh-CN"/>
        </w:rPr>
        <w:t>甲方储运</w:t>
      </w:r>
      <w:r>
        <w:rPr>
          <w:rFonts w:ascii="仿宋" w:hAnsi="仿宋" w:eastAsia="仿宋" w:cs="仿宋"/>
          <w:color w:val="auto"/>
          <w:spacing w:val="-1"/>
          <w:sz w:val="24"/>
          <w:szCs w:val="24"/>
          <w:highlight w:val="none"/>
        </w:rPr>
        <w:t>部不定期的对产品仓库、运输服务进行检查，</w:t>
      </w:r>
      <w:r>
        <w:rPr>
          <w:rFonts w:hint="eastAsia" w:ascii="仿宋" w:hAnsi="仿宋" w:eastAsia="仿宋" w:cs="仿宋"/>
          <w:color w:val="auto"/>
          <w:spacing w:val="-1"/>
          <w:sz w:val="24"/>
          <w:szCs w:val="24"/>
          <w:highlight w:val="none"/>
          <w:lang w:val="en-US" w:eastAsia="zh-CN"/>
        </w:rPr>
        <w:t>如</w:t>
      </w:r>
      <w:r>
        <w:rPr>
          <w:rFonts w:ascii="仿宋" w:hAnsi="仿宋" w:eastAsia="仿宋" w:cs="仿宋"/>
          <w:color w:val="auto"/>
          <w:spacing w:val="-1"/>
          <w:sz w:val="24"/>
          <w:szCs w:val="24"/>
          <w:highlight w:val="none"/>
        </w:rPr>
        <w:t>发现不合格，</w:t>
      </w:r>
      <w:r>
        <w:rPr>
          <w:rFonts w:hint="eastAsia" w:ascii="仿宋" w:hAnsi="仿宋" w:eastAsia="仿宋" w:cs="仿宋"/>
          <w:color w:val="auto"/>
          <w:spacing w:val="-1"/>
          <w:sz w:val="24"/>
          <w:szCs w:val="24"/>
          <w:highlight w:val="none"/>
          <w:lang w:val="en-US" w:eastAsia="zh-CN"/>
        </w:rPr>
        <w:t>第一次甲方将</w:t>
      </w:r>
      <w:r>
        <w:rPr>
          <w:rFonts w:ascii="仿宋" w:hAnsi="仿宋" w:eastAsia="仿宋" w:cs="仿宋"/>
          <w:color w:val="auto"/>
          <w:spacing w:val="-1"/>
          <w:sz w:val="24"/>
          <w:szCs w:val="24"/>
          <w:highlight w:val="none"/>
        </w:rPr>
        <w:t>书面警告，</w:t>
      </w:r>
      <w:r>
        <w:rPr>
          <w:rFonts w:hint="eastAsia" w:ascii="仿宋" w:hAnsi="仿宋" w:eastAsia="仿宋" w:cs="仿宋"/>
          <w:color w:val="auto"/>
          <w:spacing w:val="-1"/>
          <w:sz w:val="24"/>
          <w:szCs w:val="24"/>
          <w:highlight w:val="none"/>
          <w:lang w:val="en-US" w:eastAsia="zh-CN"/>
        </w:rPr>
        <w:t>第二次发现不合格，甲方有权扣除1万元/次的违约金，第三次发现不合格，甲方有权单方面终止</w:t>
      </w:r>
      <w:r>
        <w:rPr>
          <w:rFonts w:ascii="仿宋" w:hAnsi="仿宋" w:eastAsia="仿宋" w:cs="仿宋"/>
          <w:color w:val="auto"/>
          <w:spacing w:val="-4"/>
          <w:sz w:val="24"/>
          <w:szCs w:val="24"/>
          <w:highlight w:val="none"/>
        </w:rPr>
        <w:t>合作</w:t>
      </w:r>
      <w:r>
        <w:rPr>
          <w:rFonts w:hint="eastAsia" w:ascii="仿宋" w:hAnsi="仿宋" w:eastAsia="仿宋" w:cs="仿宋"/>
          <w:color w:val="auto"/>
          <w:spacing w:val="-4"/>
          <w:sz w:val="24"/>
          <w:szCs w:val="24"/>
          <w:highlight w:val="none"/>
          <w:lang w:eastAsia="zh-CN"/>
        </w:rPr>
        <w:t>。</w:t>
      </w:r>
    </w:p>
    <w:p w14:paraId="6854E971">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十一、不可抗力</w:t>
      </w:r>
    </w:p>
    <w:p w14:paraId="0E94E1E6">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1.不可抗力指下列事件：战争、动乱、瘟疫、严重火灾、洪水、地震、风暴或其他自然灾害，以及本合同各方不可预见、不可防止并不能避免或克服的一切其他事件。</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2.任何一方因不可抗力不能履行本合同规定的全部或部分义务，该方应尽快通知对方，并须在不可抗力发生后3日内以书面形式向对方提供详细情况报告及不可抗力对履行本合同的影响程度的说明。</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3.发生不可抗力事件，任何一方均不对因不可抗力无法履行或迟延履行本合同义务而使另外一方蒙受的任何损失承担责任。但遭受不可抗力影响的一方有责任尽可能及时采取适当或必要措施减少或消除不可抗力的影响。遭受不可抗力影响的一方对因未尽本项责任而造成的相关损失承担责任。</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4.合同双方应根据不可抗力对本合同履行的影响程度，协商确定是否终止本合同，或是继续履行本合同。</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十二、通知及送达</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1.合同双方发出与本合同有关的通知或回复，应以专人送递、传真或特快专递方式发出；如果以专人送递或特快专递发送，以送达对方的住所地或通讯联络地为送达；如果以传真方式发送，发件人在收到传真报告后视为送达。</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合同双方发出的与本合同有关的通知或回复均应按合同签署页所列信息发送，相关联系信息变更，应自变更之日起3个工作日内，将变更后的联系信息通知对方。变更方不履行通知义务的，应对此造成的一切后果承担法律责任。</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十三、合同的终止</w:t>
      </w:r>
    </w:p>
    <w:p w14:paraId="2D19E809">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1.本合同因下列原因而终止：</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1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⑴</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en-US" w:eastAsia="zh-CN" w:bidi="ar"/>
        </w:rPr>
        <w:t>本合同正常履行完毕；</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2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⑵</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en-US" w:eastAsia="zh-CN" w:bidi="ar"/>
        </w:rPr>
        <w:t>合同双方协议终止本合同的履行；</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3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⑶</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en-US" w:eastAsia="zh-CN" w:bidi="ar"/>
        </w:rPr>
        <w:t>不可抗力事件导致本合同无法履行；</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4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⑷</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en-US" w:eastAsia="zh-CN" w:bidi="ar"/>
        </w:rPr>
        <w:t>任何一方依据法律规定或本合同约定行使解除权，解除本合同。</w:t>
      </w:r>
    </w:p>
    <w:p w14:paraId="490488E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outlineLvl w:val="2"/>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2.本合同因任何原因终止，保密义务条款仍然有效。</w:t>
      </w:r>
    </w:p>
    <w:p w14:paraId="3C97E8BD">
      <w:pPr>
        <w:keepNext w:val="0"/>
        <w:keepLines w:val="0"/>
        <w:widowControl w:val="0"/>
        <w:suppressLineNumbers w:val="0"/>
        <w:autoSpaceDE w:val="0"/>
        <w:autoSpaceDN/>
        <w:snapToGrid w:val="0"/>
        <w:spacing w:before="0" w:beforeAutospacing="0" w:after="0" w:afterAutospacing="0" w:line="400" w:lineRule="exact"/>
        <w:ind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十四、争议的解决</w:t>
      </w:r>
    </w:p>
    <w:p w14:paraId="4876D467">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1.合同双方应通过友好协商解决因解释、执行本合同所发生的和本合同有关的一切争议。如协商不成，则双方同意在甲方住所地有管辖权的人民法院提起诉讼。</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2.在诉讼期间，除了必须在诉讼过程中进行解决的那部分问题外，合同其余部分应继续履行。</w:t>
      </w:r>
    </w:p>
    <w:p w14:paraId="7844F674">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十五、合同的补充、修改和变更</w:t>
      </w:r>
      <w:r>
        <w:rPr>
          <w:rFonts w:hint="eastAsia" w:ascii="仿宋" w:hAnsi="仿宋" w:eastAsia="仿宋" w:cs="仿宋"/>
          <w:b/>
          <w:bCs/>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1.双方协商一致，可以对本合同进行补充、修改或变更。</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2.对本合同的任何补充、修改或变更必须以书面形式进行。</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3.双方签订的补充协议以及修改或变更的条款与本合同具有同等法律效力。</w:t>
      </w:r>
    </w:p>
    <w:p w14:paraId="6FE7C0D9">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十六、其他约定事项</w:t>
      </w:r>
    </w:p>
    <w:p w14:paraId="4A108486">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1.本合同经双方法定代表人（负责人）或授权代表签字并加盖单位公章后生效。</w:t>
      </w:r>
    </w:p>
    <w:p w14:paraId="5B4BA589">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2.一方当事人未经另外一方书面同意，不得将其在合同项下的权利和义务全部或部分转让给第三人。</w:t>
      </w:r>
    </w:p>
    <w:p w14:paraId="7734D572">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3.招标文件、投标文件及评审过程中形成的文字资料、询标纪要均作为本合同的组成部分，具有同等效力。本合同未尽事宜，遵照《民法典》有关条文执行。</w:t>
      </w:r>
    </w:p>
    <w:p w14:paraId="51ED555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4.特别提醒条款：如乙方在合同履行期间造成人身、财产损害、伤亡事件等，由乙方负责赔偿，所有一切后果均由乙方自行承担，与甲方无关。</w:t>
      </w:r>
    </w:p>
    <w:p w14:paraId="31834B2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5.本合同正本一式陆份，具有同等法律效力，甲方执</w:t>
      </w:r>
      <w:r>
        <w:rPr>
          <w:rFonts w:hint="eastAsia" w:ascii="仿宋" w:hAnsi="仿宋" w:eastAsia="仿宋" w:cs="仿宋"/>
          <w:b w:val="0"/>
          <w:bCs w:val="0"/>
          <w:i w:val="0"/>
          <w:iCs w:val="0"/>
          <w:caps w:val="0"/>
          <w:color w:val="auto"/>
          <w:spacing w:val="0"/>
          <w:kern w:val="0"/>
          <w:sz w:val="24"/>
          <w:szCs w:val="24"/>
          <w:highlight w:val="none"/>
          <w:lang w:eastAsia="zh-CN" w:bidi="ar"/>
        </w:rPr>
        <w:t>肆</w:t>
      </w:r>
      <w:r>
        <w:rPr>
          <w:rFonts w:hint="eastAsia" w:ascii="仿宋" w:hAnsi="仿宋" w:eastAsia="仿宋" w:cs="仿宋"/>
          <w:b w:val="0"/>
          <w:bCs w:val="0"/>
          <w:i w:val="0"/>
          <w:iCs w:val="0"/>
          <w:caps w:val="0"/>
          <w:color w:val="auto"/>
          <w:spacing w:val="0"/>
          <w:kern w:val="0"/>
          <w:sz w:val="24"/>
          <w:szCs w:val="24"/>
          <w:highlight w:val="none"/>
          <w:lang w:val="en-US" w:eastAsia="zh-CN" w:bidi="ar"/>
        </w:rPr>
        <w:t>份，乙方执</w:t>
      </w:r>
      <w:r>
        <w:rPr>
          <w:rFonts w:hint="eastAsia" w:ascii="仿宋" w:hAnsi="仿宋" w:eastAsia="仿宋" w:cs="仿宋"/>
          <w:b w:val="0"/>
          <w:bCs w:val="0"/>
          <w:i w:val="0"/>
          <w:iCs w:val="0"/>
          <w:caps w:val="0"/>
          <w:color w:val="auto"/>
          <w:spacing w:val="0"/>
          <w:kern w:val="0"/>
          <w:sz w:val="24"/>
          <w:szCs w:val="24"/>
          <w:highlight w:val="none"/>
          <w:lang w:eastAsia="zh-CN" w:bidi="ar"/>
        </w:rPr>
        <w:t>贰</w:t>
      </w:r>
      <w:r>
        <w:rPr>
          <w:rFonts w:hint="eastAsia" w:ascii="仿宋" w:hAnsi="仿宋" w:eastAsia="仿宋" w:cs="仿宋"/>
          <w:b w:val="0"/>
          <w:bCs w:val="0"/>
          <w:i w:val="0"/>
          <w:iCs w:val="0"/>
          <w:caps w:val="0"/>
          <w:color w:val="auto"/>
          <w:spacing w:val="0"/>
          <w:kern w:val="0"/>
          <w:sz w:val="24"/>
          <w:szCs w:val="24"/>
          <w:highlight w:val="none"/>
          <w:lang w:val="en-US" w:eastAsia="zh-CN" w:bidi="ar"/>
        </w:rPr>
        <w:t>份。</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6.本合同中的附件均为本合同不可分割的部分，与本合同具有相同的法律效力。</w:t>
      </w:r>
    </w:p>
    <w:p w14:paraId="51653BD7">
      <w:pPr>
        <w:keepNext w:val="0"/>
        <w:keepLines w:val="0"/>
        <w:widowControl w:val="0"/>
        <w:suppressLineNumbers w:val="0"/>
        <w:autoSpaceDE w:val="0"/>
        <w:autoSpaceDN/>
        <w:snapToGrid w:val="0"/>
        <w:spacing w:before="0" w:beforeAutospacing="0" w:after="0" w:afterAutospacing="0" w:line="400" w:lineRule="exact"/>
        <w:ind w:left="239" w:leftChars="114" w:right="0" w:firstLine="240" w:firstLineChars="100"/>
        <w:jc w:val="both"/>
        <w:rPr>
          <w:rFonts w:hint="eastAsia" w:ascii="仿宋" w:hAnsi="仿宋" w:eastAsia="仿宋" w:cs="仿宋"/>
          <w:color w:val="auto"/>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（以下为本合同签署内容，无正文）</w:t>
      </w:r>
    </w:p>
    <w:p w14:paraId="3F36C13B">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p>
    <w:p w14:paraId="0CF49E3B">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甲方（盖章）：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乙方（盖章）：</w:t>
      </w:r>
    </w:p>
    <w:p w14:paraId="360C2EC0">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法定代表人（或授权代表）：</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法定代表人（或授权代表）：</w:t>
      </w:r>
    </w:p>
    <w:p w14:paraId="0B279770">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地址：</w:t>
      </w:r>
    </w:p>
    <w:p w14:paraId="421FCD69">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                           联系人：</w:t>
      </w:r>
    </w:p>
    <w:p w14:paraId="42E97844">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                         联系电话：</w:t>
      </w:r>
    </w:p>
    <w:p w14:paraId="320BB3FF">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                             传真：</w:t>
      </w:r>
    </w:p>
    <w:p w14:paraId="00D8DD9F">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429EA476">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银行账号：                         银行账号：</w:t>
      </w:r>
    </w:p>
    <w:p w14:paraId="5F8776AE">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FF0000"/>
          <w:sz w:val="24"/>
          <w:szCs w:val="24"/>
          <w:lang w:val="en-US" w:eastAsia="zh-CN" w:bidi="ar-SA"/>
        </w:rPr>
      </w:pPr>
      <w:r>
        <w:rPr>
          <w:rFonts w:hint="eastAsia" w:ascii="仿宋" w:hAnsi="仿宋" w:eastAsia="仿宋" w:cs="仿宋"/>
          <w:color w:val="auto"/>
          <w:sz w:val="24"/>
          <w:szCs w:val="24"/>
          <w:highlight w:val="none"/>
        </w:rPr>
        <w:t xml:space="preserve">签订地点：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签订日期：</w:t>
      </w:r>
    </w:p>
    <w:p w14:paraId="4ABCBC7F">
      <w:pPr>
        <w:jc w:val="center"/>
        <w:outlineLvl w:val="0"/>
        <w:rPr>
          <w:rFonts w:ascii="仿宋" w:hAnsi="仿宋" w:eastAsia="仿宋" w:cs="仿宋"/>
          <w:b/>
          <w:bCs/>
          <w:color w:val="auto"/>
          <w:sz w:val="28"/>
          <w:szCs w:val="28"/>
        </w:rPr>
      </w:pPr>
      <w:bookmarkStart w:id="91" w:name="_Toc25095"/>
      <w:bookmarkStart w:id="92" w:name="_Toc6965"/>
      <w:r>
        <w:rPr>
          <w:rFonts w:hint="eastAsia" w:ascii="仿宋" w:hAnsi="仿宋" w:eastAsia="仿宋" w:cs="仿宋"/>
          <w:b/>
          <w:bCs/>
          <w:color w:val="auto"/>
          <w:sz w:val="28"/>
          <w:szCs w:val="28"/>
          <w:lang w:val="zh-CN"/>
        </w:rPr>
        <w:t>第</w:t>
      </w:r>
      <w:r>
        <w:rPr>
          <w:rFonts w:hint="eastAsia" w:ascii="仿宋" w:hAnsi="仿宋" w:eastAsia="仿宋" w:cs="仿宋"/>
          <w:b/>
          <w:bCs/>
          <w:color w:val="auto"/>
          <w:sz w:val="28"/>
          <w:szCs w:val="28"/>
        </w:rPr>
        <w:t>五</w:t>
      </w:r>
      <w:r>
        <w:rPr>
          <w:rFonts w:hint="eastAsia" w:ascii="仿宋" w:hAnsi="仿宋" w:eastAsia="仿宋" w:cs="仿宋"/>
          <w:b/>
          <w:bCs/>
          <w:color w:val="auto"/>
          <w:sz w:val="28"/>
          <w:szCs w:val="28"/>
          <w:lang w:val="zh-CN"/>
        </w:rPr>
        <w:t>章</w:t>
      </w:r>
      <w:r>
        <w:rPr>
          <w:rFonts w:hint="eastAsia" w:ascii="仿宋" w:hAnsi="仿宋" w:eastAsia="仿宋" w:cs="仿宋"/>
          <w:b/>
          <w:bCs/>
          <w:color w:val="auto"/>
          <w:sz w:val="28"/>
          <w:szCs w:val="28"/>
        </w:rPr>
        <w:t xml:space="preserve">  </w:t>
      </w:r>
      <w:bookmarkStart w:id="93" w:name="评标办法及开标程序"/>
      <w:r>
        <w:rPr>
          <w:rFonts w:hint="eastAsia" w:ascii="仿宋" w:hAnsi="仿宋" w:eastAsia="仿宋" w:cs="仿宋"/>
          <w:b/>
          <w:bCs/>
          <w:color w:val="auto"/>
          <w:sz w:val="28"/>
          <w:szCs w:val="28"/>
          <w:lang w:val="zh-CN"/>
        </w:rPr>
        <w:t>评标办法</w:t>
      </w:r>
      <w:bookmarkEnd w:id="91"/>
      <w:bookmarkEnd w:id="92"/>
      <w:bookmarkEnd w:id="93"/>
    </w:p>
    <w:p w14:paraId="57497292">
      <w:pPr>
        <w:adjustRightInd w:val="0"/>
        <w:snapToGrid w:val="0"/>
        <w:spacing w:line="360" w:lineRule="auto"/>
        <w:ind w:left="425"/>
        <w:outlineLvl w:val="9"/>
        <w:rPr>
          <w:rFonts w:ascii="仿宋" w:hAnsi="仿宋" w:eastAsia="仿宋" w:cs="仿宋"/>
          <w:b/>
          <w:bCs/>
          <w:color w:val="auto"/>
          <w:sz w:val="24"/>
          <w:szCs w:val="24"/>
          <w:lang w:val="zh-CN"/>
        </w:rPr>
      </w:pPr>
      <w:bookmarkStart w:id="94" w:name="_Toc13283"/>
      <w:bookmarkStart w:id="95" w:name="_Toc31907"/>
      <w:bookmarkStart w:id="96" w:name="_Toc359856825"/>
      <w:bookmarkStart w:id="97" w:name="_Toc3944"/>
      <w:bookmarkStart w:id="98" w:name="_Toc4144"/>
      <w:r>
        <w:rPr>
          <w:rFonts w:hint="eastAsia" w:ascii="仿宋" w:hAnsi="仿宋" w:eastAsia="仿宋" w:cs="仿宋"/>
          <w:b/>
          <w:bCs/>
          <w:color w:val="auto"/>
          <w:sz w:val="24"/>
          <w:szCs w:val="24"/>
          <w:lang w:val="zh-CN"/>
        </w:rPr>
        <w:t>一、评审小组的组成</w:t>
      </w:r>
      <w:bookmarkEnd w:id="94"/>
      <w:bookmarkEnd w:id="95"/>
      <w:bookmarkEnd w:id="96"/>
      <w:bookmarkEnd w:id="97"/>
      <w:bookmarkEnd w:id="98"/>
    </w:p>
    <w:p w14:paraId="36CCF564">
      <w:pPr>
        <w:adjustRightInd w:val="0"/>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1.评审小组由</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人组成，由</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代表（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人）和评审专家（</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人）组成，评审专家从专家库里随机抽取，评审小组对投标文件进行评审。</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代表负责对本项目评审质量和结果的审查，但不得担任评审小组负责人。</w:t>
      </w:r>
    </w:p>
    <w:p w14:paraId="4EF48504">
      <w:pPr>
        <w:adjustRightInd w:val="0"/>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2.询标期间，投标人法定代表人</w:t>
      </w:r>
      <w:r>
        <w:rPr>
          <w:rFonts w:hint="eastAsia" w:ascii="仿宋" w:hAnsi="仿宋" w:eastAsia="仿宋" w:cs="仿宋"/>
          <w:bCs/>
          <w:color w:val="auto"/>
          <w:sz w:val="24"/>
          <w:szCs w:val="24"/>
        </w:rPr>
        <w:t>（负责人）</w:t>
      </w:r>
      <w:r>
        <w:rPr>
          <w:rFonts w:hint="eastAsia" w:ascii="仿宋" w:hAnsi="仿宋" w:eastAsia="仿宋" w:cs="仿宋"/>
          <w:color w:val="auto"/>
          <w:sz w:val="24"/>
          <w:szCs w:val="24"/>
        </w:rPr>
        <w:t>或法定代表人</w:t>
      </w:r>
      <w:r>
        <w:rPr>
          <w:rFonts w:hint="eastAsia" w:ascii="仿宋" w:hAnsi="仿宋" w:eastAsia="仿宋" w:cs="仿宋"/>
          <w:bCs/>
          <w:color w:val="auto"/>
          <w:sz w:val="24"/>
          <w:szCs w:val="24"/>
        </w:rPr>
        <w:t>（负责人）</w:t>
      </w:r>
      <w:r>
        <w:rPr>
          <w:rFonts w:hint="eastAsia" w:ascii="仿宋" w:hAnsi="仿宋" w:eastAsia="仿宋" w:cs="仿宋"/>
          <w:color w:val="auto"/>
          <w:sz w:val="24"/>
          <w:szCs w:val="24"/>
        </w:rPr>
        <w:t>委托人必须全程在线</w:t>
      </w:r>
      <w:r>
        <w:rPr>
          <w:rFonts w:ascii="仿宋" w:hAnsi="仿宋" w:eastAsia="仿宋" w:cs="仿宋"/>
          <w:color w:val="auto"/>
          <w:sz w:val="24"/>
          <w:szCs w:val="24"/>
        </w:rPr>
        <w:t>，</w:t>
      </w:r>
      <w:r>
        <w:rPr>
          <w:rFonts w:hint="eastAsia" w:ascii="仿宋" w:hAnsi="仿宋" w:eastAsia="仿宋" w:cs="仿宋"/>
          <w:color w:val="auto"/>
          <w:sz w:val="24"/>
          <w:szCs w:val="24"/>
        </w:rPr>
        <w:t>负责解答有关事宜，确保评标顺利进行。</w:t>
      </w:r>
    </w:p>
    <w:p w14:paraId="492C324C">
      <w:pPr>
        <w:adjustRightInd w:val="0"/>
        <w:snapToGrid w:val="0"/>
        <w:spacing w:line="360" w:lineRule="auto"/>
        <w:ind w:left="425"/>
        <w:outlineLvl w:val="9"/>
        <w:rPr>
          <w:rFonts w:ascii="仿宋" w:hAnsi="仿宋" w:eastAsia="仿宋" w:cs="仿宋"/>
          <w:b/>
          <w:bCs/>
          <w:color w:val="auto"/>
          <w:sz w:val="24"/>
          <w:szCs w:val="24"/>
          <w:lang w:val="zh-CN"/>
        </w:rPr>
      </w:pPr>
      <w:bookmarkStart w:id="99" w:name="_Toc3442"/>
      <w:bookmarkStart w:id="100" w:name="_Toc359856826"/>
      <w:bookmarkStart w:id="101" w:name="_Toc8502"/>
      <w:bookmarkStart w:id="102" w:name="_Toc10805"/>
      <w:bookmarkStart w:id="103" w:name="_Toc19711"/>
      <w:r>
        <w:rPr>
          <w:rFonts w:hint="eastAsia" w:ascii="仿宋" w:hAnsi="仿宋" w:eastAsia="仿宋" w:cs="仿宋"/>
          <w:b/>
          <w:bCs/>
          <w:color w:val="auto"/>
          <w:sz w:val="24"/>
          <w:szCs w:val="24"/>
          <w:lang w:val="zh-CN"/>
        </w:rPr>
        <w:t>二、评标原则</w:t>
      </w:r>
      <w:bookmarkEnd w:id="99"/>
      <w:bookmarkEnd w:id="100"/>
      <w:bookmarkEnd w:id="101"/>
      <w:bookmarkEnd w:id="102"/>
      <w:bookmarkEnd w:id="103"/>
    </w:p>
    <w:p w14:paraId="024BF3D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1.投标人得分由技术商务分和报价分合计组成，满分为100分。</w:t>
      </w:r>
    </w:p>
    <w:p w14:paraId="682AEB0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2.技术商务分与报价分合计得分最高者为第一中标候选人，得分第二高者为第二中标候选人，得分第三高者为第三中标候选人，总分相同时，价格低者优先。报价得分、技术商务得分均相同的，则现场抽签确定。</w:t>
      </w:r>
    </w:p>
    <w:p w14:paraId="0CC1FE39">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3.评审小组根据</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和投标文件，结合技术商务评分细则对各投标人的技术商务部分进行评审。评审小组各成员所评分值的算术平均值即为各投标人的技术商务分值（计算时四舍五入</w:t>
      </w:r>
      <w:r>
        <w:rPr>
          <w:rFonts w:hint="eastAsia" w:ascii="仿宋" w:hAnsi="仿宋" w:eastAsia="仿宋" w:cs="仿宋"/>
          <w:color w:val="auto"/>
          <w:sz w:val="24"/>
          <w:szCs w:val="24"/>
          <w:lang w:eastAsia="zh-CN"/>
        </w:rPr>
        <w:t>保留两位</w:t>
      </w:r>
      <w:r>
        <w:rPr>
          <w:rFonts w:hint="eastAsia" w:ascii="仿宋" w:hAnsi="仿宋" w:eastAsia="仿宋" w:cs="仿宋"/>
          <w:color w:val="auto"/>
          <w:sz w:val="24"/>
          <w:szCs w:val="24"/>
        </w:rPr>
        <w:t>小数）。</w:t>
      </w:r>
    </w:p>
    <w:p w14:paraId="19D20AF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4.评定结果经</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确定后，</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在中标人确定之日起2个工作日内在指定的媒体上公告中标结果同时将以书面形式发出中标通知书。</w:t>
      </w:r>
    </w:p>
    <w:p w14:paraId="457DA761">
      <w:pPr>
        <w:adjustRightInd w:val="0"/>
        <w:snapToGrid w:val="0"/>
        <w:spacing w:line="360" w:lineRule="auto"/>
        <w:ind w:left="425"/>
        <w:outlineLvl w:val="9"/>
        <w:rPr>
          <w:rFonts w:ascii="仿宋" w:hAnsi="仿宋" w:eastAsia="仿宋" w:cs="仿宋"/>
          <w:b/>
          <w:bCs/>
          <w:color w:val="auto"/>
          <w:sz w:val="24"/>
          <w:szCs w:val="24"/>
          <w:lang w:val="zh-CN"/>
        </w:rPr>
      </w:pPr>
      <w:bookmarkStart w:id="104" w:name="_Toc7940"/>
      <w:bookmarkStart w:id="105" w:name="_Toc7984"/>
      <w:bookmarkStart w:id="106" w:name="_Toc11400"/>
      <w:bookmarkStart w:id="107" w:name="_Toc16543"/>
      <w:bookmarkStart w:id="108" w:name="_Toc359856827"/>
      <w:r>
        <w:rPr>
          <w:rFonts w:hint="eastAsia" w:ascii="仿宋" w:hAnsi="仿宋" w:eastAsia="仿宋" w:cs="仿宋"/>
          <w:b/>
          <w:bCs/>
          <w:color w:val="auto"/>
          <w:sz w:val="24"/>
          <w:szCs w:val="24"/>
          <w:lang w:val="zh-CN"/>
        </w:rPr>
        <w:t>三、注意事项</w:t>
      </w:r>
      <w:bookmarkEnd w:id="104"/>
      <w:bookmarkEnd w:id="105"/>
      <w:bookmarkEnd w:id="106"/>
      <w:bookmarkEnd w:id="107"/>
      <w:bookmarkEnd w:id="108"/>
    </w:p>
    <w:p w14:paraId="4928A6A6">
      <w:pPr>
        <w:snapToGrid w:val="0"/>
        <w:spacing w:line="360" w:lineRule="auto"/>
        <w:ind w:firstLine="567"/>
        <w:outlineLvl w:val="9"/>
        <w:rPr>
          <w:rFonts w:ascii="仿宋" w:hAnsi="仿宋" w:eastAsia="仿宋" w:cs="仿宋"/>
          <w:color w:val="auto"/>
          <w:sz w:val="24"/>
          <w:szCs w:val="24"/>
        </w:rPr>
      </w:pPr>
      <w:r>
        <w:rPr>
          <w:rFonts w:hint="eastAsia" w:ascii="仿宋" w:hAnsi="仿宋" w:eastAsia="仿宋" w:cs="仿宋"/>
          <w:color w:val="auto"/>
          <w:sz w:val="24"/>
          <w:szCs w:val="24"/>
        </w:rPr>
        <w:t>评审时评审小组认为投标人的报价明显低于其他通过符合性审</w:t>
      </w:r>
      <w:r>
        <w:rPr>
          <w:rFonts w:hint="eastAsia" w:ascii="仿宋" w:hAnsi="仿宋" w:eastAsia="仿宋" w:cs="仿宋"/>
          <w:color w:val="auto"/>
          <w:sz w:val="24"/>
          <w:szCs w:val="24"/>
          <w:lang w:eastAsia="zh-CN"/>
        </w:rPr>
        <w:t>查的</w:t>
      </w:r>
      <w:r>
        <w:rPr>
          <w:rFonts w:hint="eastAsia" w:ascii="仿宋" w:hAnsi="仿宋" w:eastAsia="仿宋" w:cs="仿宋"/>
          <w:color w:val="auto"/>
          <w:sz w:val="24"/>
          <w:szCs w:val="24"/>
        </w:rPr>
        <w:t>投标人的报价，有可能影响产品质量或者不能诚信履约的，应当要求其在评标现场合理的时间内提供书面说明，必要时提交相关证明材料；投标人不能证明其报价合理性的，评审小组应当将其作为无效投标处理。</w:t>
      </w:r>
    </w:p>
    <w:p w14:paraId="1D48C08C">
      <w:pPr>
        <w:adjustRightInd w:val="0"/>
        <w:snapToGrid w:val="0"/>
        <w:spacing w:line="360" w:lineRule="auto"/>
        <w:ind w:left="425"/>
        <w:outlineLvl w:val="9"/>
        <w:rPr>
          <w:rFonts w:ascii="仿宋" w:hAnsi="仿宋" w:eastAsia="仿宋" w:cs="仿宋"/>
          <w:color w:val="auto"/>
          <w:sz w:val="24"/>
          <w:szCs w:val="24"/>
          <w:lang w:val="zh-CN"/>
        </w:rPr>
      </w:pPr>
      <w:bookmarkStart w:id="109" w:name="_Toc22893"/>
      <w:bookmarkStart w:id="110" w:name="_Toc7315"/>
      <w:bookmarkStart w:id="111" w:name="_Toc24857"/>
      <w:bookmarkStart w:id="112" w:name="_Toc359856828"/>
      <w:bookmarkStart w:id="113" w:name="_Toc2712"/>
      <w:r>
        <w:rPr>
          <w:rFonts w:hint="eastAsia" w:ascii="仿宋" w:hAnsi="仿宋" w:eastAsia="仿宋" w:cs="仿宋"/>
          <w:b/>
          <w:bCs/>
          <w:color w:val="auto"/>
          <w:sz w:val="24"/>
          <w:szCs w:val="24"/>
        </w:rPr>
        <w:t>四、</w:t>
      </w:r>
      <w:r>
        <w:rPr>
          <w:rFonts w:hint="eastAsia" w:ascii="仿宋" w:hAnsi="仿宋" w:eastAsia="仿宋" w:cs="仿宋"/>
          <w:b/>
          <w:bCs/>
          <w:color w:val="auto"/>
          <w:sz w:val="24"/>
          <w:szCs w:val="24"/>
          <w:lang w:val="zh-CN"/>
        </w:rPr>
        <w:t>评分标准</w:t>
      </w:r>
      <w:bookmarkEnd w:id="109"/>
      <w:bookmarkEnd w:id="110"/>
      <w:bookmarkEnd w:id="111"/>
      <w:bookmarkEnd w:id="112"/>
      <w:bookmarkEnd w:id="113"/>
    </w:p>
    <w:p w14:paraId="5E8D7344">
      <w:pPr>
        <w:pStyle w:val="8"/>
        <w:outlineLvl w:val="9"/>
        <w:rPr>
          <w:rFonts w:ascii="仿宋" w:hAnsi="仿宋" w:eastAsia="仿宋" w:cs="仿宋"/>
          <w:b w:val="0"/>
          <w:bCs w:val="0"/>
          <w:color w:val="auto"/>
          <w:sz w:val="24"/>
          <w:lang w:val="zh-CN"/>
        </w:rPr>
      </w:pPr>
    </w:p>
    <w:tbl>
      <w:tblPr>
        <w:tblStyle w:val="23"/>
        <w:tblW w:w="11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52"/>
        <w:gridCol w:w="900"/>
        <w:gridCol w:w="567"/>
        <w:gridCol w:w="260"/>
        <w:gridCol w:w="815"/>
        <w:gridCol w:w="1057"/>
        <w:gridCol w:w="1071"/>
        <w:gridCol w:w="1500"/>
        <w:gridCol w:w="1415"/>
        <w:gridCol w:w="341"/>
        <w:gridCol w:w="1152"/>
        <w:gridCol w:w="1387"/>
      </w:tblGrid>
      <w:tr w14:paraId="239B1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5269D35D">
            <w:pPr>
              <w:autoSpaceDE w:val="0"/>
              <w:autoSpaceDN w:val="0"/>
              <w:spacing w:after="0"/>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序号</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15E0DF5F">
            <w:pPr>
              <w:autoSpaceDE w:val="0"/>
              <w:autoSpaceDN w:val="0"/>
              <w:spacing w:after="0"/>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评分项目</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258C036E">
            <w:pPr>
              <w:autoSpaceDE w:val="0"/>
              <w:autoSpaceDN w:val="0"/>
              <w:spacing w:after="0"/>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评审细则</w:t>
            </w:r>
          </w:p>
        </w:tc>
        <w:tc>
          <w:tcPr>
            <w:tcW w:w="1152" w:type="dxa"/>
            <w:tcBorders>
              <w:top w:val="single" w:color="auto" w:sz="4" w:space="0"/>
              <w:left w:val="single" w:color="auto" w:sz="4" w:space="0"/>
              <w:bottom w:val="single" w:color="auto" w:sz="4" w:space="0"/>
              <w:right w:val="single" w:color="auto" w:sz="4" w:space="0"/>
            </w:tcBorders>
            <w:vAlign w:val="center"/>
          </w:tcPr>
          <w:p w14:paraId="7FACF629">
            <w:pPr>
              <w:autoSpaceDE w:val="0"/>
              <w:autoSpaceDN w:val="0"/>
              <w:spacing w:after="0"/>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分值</w:t>
            </w:r>
          </w:p>
        </w:tc>
      </w:tr>
      <w:tr w14:paraId="0282D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DB4804E">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1</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10426C4E">
            <w:pPr>
              <w:autoSpaceDE w:val="0"/>
              <w:autoSpaceDN w:val="0"/>
              <w:spacing w:after="0"/>
              <w:jc w:val="center"/>
              <w:rPr>
                <w:rFonts w:hint="eastAsia" w:ascii="仿宋" w:hAnsi="仿宋" w:eastAsia="仿宋" w:cs="仿宋"/>
                <w:color w:val="auto"/>
                <w:sz w:val="24"/>
                <w:szCs w:val="24"/>
                <w:highlight w:val="none"/>
                <w:lang w:val="zh-CN"/>
              </w:rPr>
            </w:pPr>
            <w:r>
              <w:rPr>
                <w:rFonts w:hint="eastAsia" w:ascii="仿宋" w:hAnsi="仿宋" w:eastAsia="仿宋" w:cs="仿宋"/>
                <w:b w:val="0"/>
                <w:bCs w:val="0"/>
                <w:color w:val="auto"/>
                <w:sz w:val="24"/>
                <w:szCs w:val="24"/>
                <w:highlight w:val="none"/>
              </w:rPr>
              <w:t>类似业绩</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7CC1AE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lang w:val="en-US" w:eastAsia="zh-CN"/>
              </w:rPr>
              <w:t>自</w:t>
            </w:r>
            <w:r>
              <w:rPr>
                <w:rFonts w:hint="eastAsia" w:ascii="仿宋" w:hAnsi="仿宋" w:eastAsia="仿宋" w:cs="仿宋"/>
                <w:b w:val="0"/>
                <w:bCs w:val="0"/>
                <w:color w:val="auto"/>
                <w:sz w:val="24"/>
                <w:szCs w:val="24"/>
                <w:highlight w:val="none"/>
              </w:rPr>
              <w:t>20</w:t>
            </w:r>
            <w:r>
              <w:rPr>
                <w:rFonts w:hint="eastAsia" w:ascii="仿宋" w:hAnsi="仿宋" w:eastAsia="仿宋" w:cs="仿宋"/>
                <w:b w:val="0"/>
                <w:bCs w:val="0"/>
                <w:color w:val="auto"/>
                <w:sz w:val="24"/>
                <w:szCs w:val="24"/>
                <w:highlight w:val="none"/>
                <w:lang w:val="en-US" w:eastAsia="zh-CN"/>
              </w:rPr>
              <w:t>23</w:t>
            </w:r>
            <w:r>
              <w:rPr>
                <w:rFonts w:hint="eastAsia" w:ascii="仿宋" w:hAnsi="仿宋" w:eastAsia="仿宋" w:cs="仿宋"/>
                <w:b w:val="0"/>
                <w:bCs w:val="0"/>
                <w:color w:val="auto"/>
                <w:sz w:val="24"/>
                <w:szCs w:val="24"/>
                <w:highlight w:val="none"/>
              </w:rPr>
              <w:t>年</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月1日起</w:t>
            </w:r>
            <w:r>
              <w:rPr>
                <w:rFonts w:hint="eastAsia" w:ascii="仿宋" w:hAnsi="仿宋" w:eastAsia="仿宋" w:cs="仿宋"/>
                <w:b w:val="0"/>
                <w:bCs w:val="0"/>
                <w:color w:val="auto"/>
                <w:sz w:val="24"/>
                <w:szCs w:val="24"/>
                <w:highlight w:val="none"/>
                <w:lang w:val="en-US" w:eastAsia="zh-CN"/>
              </w:rPr>
              <w:t>至今</w:t>
            </w:r>
            <w:r>
              <w:rPr>
                <w:rFonts w:hint="eastAsia" w:ascii="仿宋" w:hAnsi="仿宋" w:eastAsia="仿宋" w:cs="仿宋"/>
                <w:b w:val="0"/>
                <w:bCs w:val="0"/>
                <w:color w:val="auto"/>
                <w:sz w:val="24"/>
                <w:szCs w:val="24"/>
                <w:highlight w:val="none"/>
              </w:rPr>
              <w:t>（以签订合同时间为准），</w:t>
            </w:r>
            <w:r>
              <w:rPr>
                <w:rFonts w:hint="eastAsia" w:ascii="仿宋" w:hAnsi="仿宋" w:eastAsia="仿宋" w:cs="仿宋"/>
                <w:b w:val="0"/>
                <w:bCs w:val="0"/>
                <w:color w:val="auto"/>
                <w:sz w:val="24"/>
                <w:szCs w:val="24"/>
                <w:highlight w:val="none"/>
                <w:lang w:val="en-US" w:eastAsia="zh-CN"/>
              </w:rPr>
              <w:t>承担过类似冷链运输类业绩的，</w:t>
            </w:r>
            <w:r>
              <w:rPr>
                <w:rFonts w:hint="eastAsia" w:ascii="仿宋" w:hAnsi="仿宋" w:eastAsia="仿宋" w:cs="仿宋"/>
                <w:b w:val="0"/>
                <w:bCs w:val="0"/>
                <w:color w:val="auto"/>
                <w:sz w:val="24"/>
                <w:szCs w:val="24"/>
                <w:highlight w:val="none"/>
              </w:rPr>
              <w:t>每个得1分，本项最高得</w:t>
            </w:r>
            <w:r>
              <w:rPr>
                <w:rFonts w:hint="eastAsia" w:ascii="仿宋" w:hAnsi="仿宋" w:eastAsia="仿宋" w:cs="仿宋"/>
                <w:b w:val="0"/>
                <w:bCs w:val="0"/>
                <w:color w:val="auto"/>
                <w:sz w:val="24"/>
                <w:szCs w:val="24"/>
                <w:highlight w:val="none"/>
                <w:lang w:val="en-US" w:eastAsia="zh-CN"/>
              </w:rPr>
              <w:t>10</w:t>
            </w:r>
            <w:r>
              <w:rPr>
                <w:rFonts w:hint="eastAsia" w:ascii="仿宋" w:hAnsi="仿宋" w:eastAsia="仿宋" w:cs="仿宋"/>
                <w:b w:val="0"/>
                <w:bCs w:val="0"/>
                <w:color w:val="auto"/>
                <w:sz w:val="24"/>
                <w:szCs w:val="24"/>
                <w:highlight w:val="none"/>
              </w:rPr>
              <w:t>分。</w:t>
            </w:r>
          </w:p>
          <w:p w14:paraId="4AC1B3A3">
            <w:pPr>
              <w:autoSpaceDE w:val="0"/>
              <w:autoSpaceDN w:val="0"/>
              <w:spacing w:after="0"/>
              <w:ind w:firstLine="480" w:firstLineChars="200"/>
              <w:jc w:val="left"/>
              <w:rPr>
                <w:rFonts w:hint="eastAsia" w:ascii="宋体" w:hAnsi="宋体" w:eastAsia="宋体" w:cs="宋体"/>
                <w:b w:val="0"/>
                <w:bCs w:val="0"/>
                <w:color w:val="auto"/>
                <w:sz w:val="21"/>
                <w:szCs w:val="21"/>
                <w:highlight w:val="none"/>
                <w:lang w:val="zh-CN"/>
              </w:rPr>
            </w:pPr>
            <w:r>
              <w:rPr>
                <w:rFonts w:hint="eastAsia" w:ascii="仿宋" w:hAnsi="仿宋" w:eastAsia="仿宋" w:cs="仿宋"/>
                <w:b w:val="0"/>
                <w:bCs w:val="0"/>
                <w:color w:val="auto"/>
                <w:sz w:val="24"/>
                <w:szCs w:val="24"/>
                <w:highlight w:val="none"/>
                <w:lang w:val="en-US" w:eastAsia="zh-CN"/>
              </w:rPr>
              <w:t>注：</w:t>
            </w:r>
            <w:r>
              <w:rPr>
                <w:rFonts w:hint="eastAsia" w:ascii="仿宋" w:hAnsi="仿宋" w:eastAsia="仿宋" w:cs="仿宋"/>
                <w:b w:val="0"/>
                <w:bCs w:val="0"/>
                <w:color w:val="auto"/>
                <w:sz w:val="24"/>
                <w:szCs w:val="24"/>
                <w:highlight w:val="none"/>
              </w:rPr>
              <w:t>须提供合同</w:t>
            </w:r>
            <w:r>
              <w:rPr>
                <w:rFonts w:hint="eastAsia" w:ascii="仿宋" w:hAnsi="仿宋" w:eastAsia="仿宋" w:cs="仿宋"/>
                <w:b w:val="0"/>
                <w:bCs w:val="0"/>
                <w:color w:val="auto"/>
                <w:sz w:val="24"/>
                <w:szCs w:val="24"/>
                <w:highlight w:val="none"/>
                <w:lang w:val="en-US" w:eastAsia="zh-CN"/>
              </w:rPr>
              <w:t>首页及盖章页等关键页扫描件</w:t>
            </w:r>
            <w:r>
              <w:rPr>
                <w:rFonts w:hint="eastAsia" w:ascii="仿宋" w:hAnsi="仿宋" w:eastAsia="仿宋" w:cs="仿宋"/>
                <w:b w:val="0"/>
                <w:bCs w:val="0"/>
                <w:color w:val="auto"/>
                <w:sz w:val="24"/>
                <w:szCs w:val="24"/>
                <w:highlight w:val="none"/>
              </w:rPr>
              <w:t>加盖</w:t>
            </w:r>
            <w:r>
              <w:rPr>
                <w:rFonts w:hint="eastAsia" w:ascii="仿宋" w:hAnsi="仿宋" w:eastAsia="仿宋" w:cs="仿宋"/>
                <w:b w:val="0"/>
                <w:bCs w:val="0"/>
                <w:color w:val="auto"/>
                <w:sz w:val="24"/>
                <w:szCs w:val="24"/>
                <w:highlight w:val="none"/>
                <w:lang w:val="en-US" w:eastAsia="zh-CN"/>
              </w:rPr>
              <w:t>投标人</w:t>
            </w:r>
            <w:r>
              <w:rPr>
                <w:rFonts w:hint="eastAsia" w:ascii="仿宋" w:hAnsi="仿宋" w:eastAsia="仿宋" w:cs="仿宋"/>
                <w:b w:val="0"/>
                <w:bCs w:val="0"/>
                <w:color w:val="auto"/>
                <w:sz w:val="24"/>
                <w:szCs w:val="24"/>
                <w:highlight w:val="none"/>
              </w:rPr>
              <w:t>公章</w:t>
            </w:r>
            <w:r>
              <w:rPr>
                <w:rFonts w:hint="eastAsia" w:ascii="仿宋" w:hAnsi="仿宋" w:eastAsia="仿宋" w:cs="仿宋"/>
                <w:b w:val="0"/>
                <w:bCs w:val="0"/>
                <w:color w:val="auto"/>
                <w:sz w:val="24"/>
                <w:szCs w:val="24"/>
                <w:highlight w:val="none"/>
                <w:lang w:val="en-US" w:eastAsia="zh-CN"/>
              </w:rPr>
              <w:t>编入投标文件</w:t>
            </w: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en-US" w:eastAsia="zh-CN"/>
              </w:rPr>
              <w:t>否则</w:t>
            </w:r>
            <w:r>
              <w:rPr>
                <w:rFonts w:hint="eastAsia" w:ascii="仿宋" w:hAnsi="仿宋" w:eastAsia="仿宋" w:cs="仿宋"/>
                <w:b w:val="0"/>
                <w:bCs w:val="0"/>
                <w:color w:val="auto"/>
                <w:sz w:val="24"/>
                <w:szCs w:val="24"/>
                <w:highlight w:val="none"/>
              </w:rPr>
              <w:t>不得分。</w:t>
            </w:r>
          </w:p>
        </w:tc>
        <w:tc>
          <w:tcPr>
            <w:tcW w:w="1152" w:type="dxa"/>
            <w:tcBorders>
              <w:top w:val="single" w:color="auto" w:sz="4" w:space="0"/>
              <w:left w:val="single" w:color="auto" w:sz="4" w:space="0"/>
              <w:bottom w:val="single" w:color="auto" w:sz="4" w:space="0"/>
              <w:right w:val="single" w:color="auto" w:sz="4" w:space="0"/>
            </w:tcBorders>
            <w:vAlign w:val="center"/>
          </w:tcPr>
          <w:p w14:paraId="4658B47E">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0-10分</w:t>
            </w:r>
          </w:p>
        </w:tc>
      </w:tr>
      <w:tr w14:paraId="58C7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left w:val="single" w:color="auto" w:sz="4" w:space="0"/>
              <w:bottom w:val="single" w:color="auto" w:sz="4" w:space="0"/>
              <w:right w:val="single" w:color="auto" w:sz="4" w:space="0"/>
            </w:tcBorders>
            <w:vAlign w:val="center"/>
          </w:tcPr>
          <w:p w14:paraId="30B6567F">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2</w:t>
            </w:r>
          </w:p>
        </w:tc>
        <w:tc>
          <w:tcPr>
            <w:tcW w:w="1519" w:type="dxa"/>
            <w:gridSpan w:val="3"/>
            <w:tcBorders>
              <w:left w:val="single" w:color="auto" w:sz="4" w:space="0"/>
              <w:bottom w:val="single" w:color="auto" w:sz="4" w:space="0"/>
              <w:right w:val="single" w:color="auto" w:sz="4" w:space="0"/>
            </w:tcBorders>
            <w:vAlign w:val="center"/>
          </w:tcPr>
          <w:p w14:paraId="0E9A1139">
            <w:pPr>
              <w:autoSpaceDE w:val="0"/>
              <w:autoSpaceDN w:val="0"/>
              <w:spacing w:after="0"/>
              <w:jc w:val="center"/>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rPr>
              <w:t>体系认证</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37C830E1">
            <w:pPr>
              <w:autoSpaceDE w:val="0"/>
              <w:autoSpaceDN w:val="0"/>
              <w:spacing w:after="0"/>
              <w:ind w:firstLine="480" w:firstLineChars="200"/>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或其</w:t>
            </w:r>
            <w:r>
              <w:rPr>
                <w:rFonts w:hint="eastAsia" w:ascii="仿宋" w:hAnsi="仿宋" w:eastAsia="仿宋" w:cs="仿宋"/>
                <w:b w:val="0"/>
                <w:bCs w:val="0"/>
                <w:color w:val="auto"/>
                <w:sz w:val="24"/>
                <w:szCs w:val="24"/>
                <w:highlight w:val="none"/>
                <w:lang w:val="en-US" w:eastAsia="zh-CN"/>
              </w:rPr>
              <w:t>集团关联</w:t>
            </w:r>
            <w:r>
              <w:rPr>
                <w:rFonts w:hint="eastAsia" w:ascii="仿宋" w:hAnsi="仿宋" w:eastAsia="仿宋" w:cs="仿宋"/>
                <w:b w:val="0"/>
                <w:bCs w:val="0"/>
                <w:color w:val="auto"/>
                <w:sz w:val="24"/>
                <w:szCs w:val="24"/>
                <w:highlight w:val="none"/>
              </w:rPr>
              <w:t>公司具有</w:t>
            </w:r>
            <w:r>
              <w:rPr>
                <w:rFonts w:hint="eastAsia" w:ascii="仿宋" w:hAnsi="仿宋" w:eastAsia="仿宋" w:cs="仿宋"/>
                <w:b w:val="0"/>
                <w:bCs w:val="0"/>
                <w:color w:val="auto"/>
                <w:sz w:val="24"/>
                <w:szCs w:val="24"/>
                <w:highlight w:val="none"/>
                <w:lang w:val="en-US" w:eastAsia="zh-CN"/>
              </w:rPr>
              <w:t>有效的</w:t>
            </w:r>
            <w:r>
              <w:rPr>
                <w:rFonts w:hint="eastAsia" w:ascii="仿宋" w:hAnsi="仿宋" w:eastAsia="仿宋" w:cs="仿宋"/>
                <w:b w:val="0"/>
                <w:bCs w:val="0"/>
                <w:color w:val="auto"/>
                <w:sz w:val="24"/>
                <w:szCs w:val="24"/>
                <w:highlight w:val="none"/>
              </w:rPr>
              <w:t>信息安全管理体系认证的，得1分；</w:t>
            </w:r>
          </w:p>
          <w:p w14:paraId="2DBB74F7">
            <w:pPr>
              <w:autoSpaceDE w:val="0"/>
              <w:autoSpaceDN w:val="0"/>
              <w:spacing w:after="0"/>
              <w:ind w:firstLine="480" w:firstLineChars="200"/>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或其</w:t>
            </w:r>
            <w:r>
              <w:rPr>
                <w:rFonts w:hint="eastAsia" w:ascii="仿宋" w:hAnsi="仿宋" w:eastAsia="仿宋" w:cs="仿宋"/>
                <w:b w:val="0"/>
                <w:bCs w:val="0"/>
                <w:color w:val="auto"/>
                <w:sz w:val="24"/>
                <w:szCs w:val="24"/>
                <w:highlight w:val="none"/>
                <w:lang w:val="en-US" w:eastAsia="zh-CN"/>
              </w:rPr>
              <w:t>集团关联</w:t>
            </w:r>
            <w:r>
              <w:rPr>
                <w:rFonts w:hint="eastAsia" w:ascii="仿宋" w:hAnsi="仿宋" w:eastAsia="仿宋" w:cs="仿宋"/>
                <w:b w:val="0"/>
                <w:bCs w:val="0"/>
                <w:color w:val="auto"/>
                <w:sz w:val="24"/>
                <w:szCs w:val="24"/>
                <w:highlight w:val="none"/>
              </w:rPr>
              <w:t>公司</w:t>
            </w:r>
            <w:r>
              <w:rPr>
                <w:rFonts w:hint="eastAsia" w:ascii="仿宋" w:hAnsi="仿宋" w:eastAsia="仿宋" w:cs="仿宋"/>
                <w:b w:val="0"/>
                <w:bCs w:val="0"/>
                <w:color w:val="auto"/>
                <w:sz w:val="24"/>
                <w:szCs w:val="24"/>
                <w:highlight w:val="none"/>
                <w:lang w:val="en-US" w:eastAsia="zh-CN"/>
              </w:rPr>
              <w:t>具有有效的食品安全管理体系认证证书，得2分；</w:t>
            </w:r>
          </w:p>
          <w:p w14:paraId="34FCFDAF">
            <w:pPr>
              <w:autoSpaceDE w:val="0"/>
              <w:autoSpaceDN w:val="0"/>
              <w:spacing w:after="0"/>
              <w:ind w:firstLine="480" w:firstLineChars="200"/>
              <w:jc w:val="left"/>
              <w:rPr>
                <w:rFonts w:hint="eastAsia" w:ascii="宋体" w:hAnsi="宋体" w:cs="宋体"/>
                <w:color w:val="auto"/>
                <w:kern w:val="0"/>
                <w:szCs w:val="21"/>
                <w:highlight w:val="none"/>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或其</w:t>
            </w:r>
            <w:r>
              <w:rPr>
                <w:rFonts w:hint="eastAsia" w:ascii="仿宋" w:hAnsi="仿宋" w:eastAsia="仿宋" w:cs="仿宋"/>
                <w:b w:val="0"/>
                <w:bCs w:val="0"/>
                <w:color w:val="auto"/>
                <w:sz w:val="24"/>
                <w:szCs w:val="24"/>
                <w:highlight w:val="none"/>
                <w:lang w:val="en-US" w:eastAsia="zh-CN"/>
              </w:rPr>
              <w:t>集团关联</w:t>
            </w:r>
            <w:r>
              <w:rPr>
                <w:rFonts w:hint="eastAsia" w:ascii="仿宋" w:hAnsi="仿宋" w:eastAsia="仿宋" w:cs="仿宋"/>
                <w:b w:val="0"/>
                <w:bCs w:val="0"/>
                <w:color w:val="auto"/>
                <w:sz w:val="24"/>
                <w:szCs w:val="24"/>
                <w:highlight w:val="none"/>
              </w:rPr>
              <w:t>公司具有</w:t>
            </w:r>
            <w:r>
              <w:rPr>
                <w:rFonts w:hint="eastAsia" w:ascii="仿宋" w:hAnsi="仿宋" w:eastAsia="仿宋" w:cs="仿宋"/>
                <w:b w:val="0"/>
                <w:bCs w:val="0"/>
                <w:color w:val="auto"/>
                <w:sz w:val="24"/>
                <w:szCs w:val="24"/>
                <w:highlight w:val="none"/>
                <w:lang w:val="en-US" w:eastAsia="zh-CN"/>
              </w:rPr>
              <w:t>有效的质量管理体系认证证书得2分</w:t>
            </w:r>
            <w:r>
              <w:rPr>
                <w:rFonts w:hint="eastAsia" w:ascii="仿宋" w:hAnsi="仿宋" w:eastAsia="仿宋" w:cs="仿宋"/>
                <w:b w:val="0"/>
                <w:bCs w:val="0"/>
                <w:color w:val="auto"/>
                <w:sz w:val="24"/>
                <w:szCs w:val="24"/>
                <w:highlight w:val="none"/>
              </w:rPr>
              <w:t>。</w:t>
            </w:r>
          </w:p>
          <w:p w14:paraId="44E10A82">
            <w:pPr>
              <w:autoSpaceDE w:val="0"/>
              <w:autoSpaceDN w:val="0"/>
              <w:spacing w:after="0"/>
              <w:ind w:firstLine="480" w:firstLineChars="200"/>
              <w:jc w:val="left"/>
              <w:rPr>
                <w:rFonts w:hint="eastAsia" w:ascii="宋体" w:hAnsi="宋体" w:eastAsia="宋体" w:cs="宋体"/>
                <w:b w:val="0"/>
                <w:bCs w:val="0"/>
                <w:color w:val="auto"/>
                <w:sz w:val="21"/>
                <w:szCs w:val="21"/>
                <w:highlight w:val="none"/>
                <w:lang w:val="zh-CN"/>
              </w:rPr>
            </w:pPr>
            <w:r>
              <w:rPr>
                <w:rFonts w:hint="eastAsia" w:ascii="仿宋" w:hAnsi="仿宋" w:eastAsia="仿宋" w:cs="仿宋"/>
                <w:b w:val="0"/>
                <w:bCs w:val="0"/>
                <w:color w:val="auto"/>
                <w:sz w:val="24"/>
                <w:szCs w:val="24"/>
                <w:highlight w:val="none"/>
                <w:lang w:val="en-US" w:eastAsia="zh-CN"/>
              </w:rPr>
              <w:t>注：须</w:t>
            </w:r>
            <w:r>
              <w:rPr>
                <w:rFonts w:hint="eastAsia" w:ascii="仿宋" w:hAnsi="仿宋" w:eastAsia="仿宋" w:cs="仿宋"/>
                <w:b w:val="0"/>
                <w:bCs w:val="0"/>
                <w:color w:val="auto"/>
                <w:sz w:val="24"/>
                <w:szCs w:val="24"/>
                <w:highlight w:val="none"/>
              </w:rPr>
              <w:t>提供证书扫描件加盖</w:t>
            </w:r>
            <w:r>
              <w:rPr>
                <w:rFonts w:hint="eastAsia" w:ascii="仿宋" w:hAnsi="仿宋" w:eastAsia="仿宋" w:cs="仿宋"/>
                <w:b w:val="0"/>
                <w:bCs w:val="0"/>
                <w:color w:val="auto"/>
                <w:sz w:val="24"/>
                <w:szCs w:val="24"/>
                <w:highlight w:val="none"/>
                <w:lang w:val="en-US" w:eastAsia="zh-CN"/>
              </w:rPr>
              <w:t>投标人</w:t>
            </w:r>
            <w:r>
              <w:rPr>
                <w:rFonts w:hint="eastAsia" w:ascii="仿宋" w:hAnsi="仿宋" w:eastAsia="仿宋" w:cs="仿宋"/>
                <w:b w:val="0"/>
                <w:bCs w:val="0"/>
                <w:color w:val="auto"/>
                <w:sz w:val="24"/>
                <w:szCs w:val="24"/>
                <w:highlight w:val="none"/>
              </w:rPr>
              <w:t>公章</w:t>
            </w:r>
            <w:r>
              <w:rPr>
                <w:rFonts w:hint="eastAsia" w:ascii="仿宋" w:hAnsi="仿宋" w:eastAsia="仿宋" w:cs="仿宋"/>
                <w:b w:val="0"/>
                <w:bCs w:val="0"/>
                <w:color w:val="auto"/>
                <w:sz w:val="24"/>
                <w:szCs w:val="24"/>
                <w:highlight w:val="none"/>
                <w:lang w:val="en-US" w:eastAsia="zh-CN"/>
              </w:rPr>
              <w:t>编入投标文件</w:t>
            </w:r>
            <w:r>
              <w:rPr>
                <w:rFonts w:hint="eastAsia" w:ascii="仿宋" w:hAnsi="仿宋" w:eastAsia="仿宋" w:cs="仿宋"/>
                <w:b w:val="0"/>
                <w:bCs w:val="0"/>
                <w:color w:val="auto"/>
                <w:sz w:val="24"/>
                <w:szCs w:val="24"/>
                <w:highlight w:val="none"/>
              </w:rPr>
              <w:t>，否则不得分。</w:t>
            </w:r>
          </w:p>
        </w:tc>
        <w:tc>
          <w:tcPr>
            <w:tcW w:w="1152" w:type="dxa"/>
            <w:tcBorders>
              <w:left w:val="single" w:color="auto" w:sz="4" w:space="0"/>
              <w:bottom w:val="single" w:color="auto" w:sz="4" w:space="0"/>
              <w:right w:val="single" w:color="auto" w:sz="4" w:space="0"/>
            </w:tcBorders>
            <w:vAlign w:val="center"/>
          </w:tcPr>
          <w:p w14:paraId="37DC5868">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0-5分</w:t>
            </w:r>
          </w:p>
        </w:tc>
      </w:tr>
      <w:tr w14:paraId="739F4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left w:val="single" w:color="auto" w:sz="4" w:space="0"/>
              <w:bottom w:val="single" w:color="auto" w:sz="4" w:space="0"/>
              <w:right w:val="single" w:color="auto" w:sz="4" w:space="0"/>
            </w:tcBorders>
            <w:vAlign w:val="center"/>
          </w:tcPr>
          <w:p w14:paraId="71D58D55">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519" w:type="dxa"/>
            <w:gridSpan w:val="3"/>
            <w:tcBorders>
              <w:left w:val="single" w:color="auto" w:sz="4" w:space="0"/>
              <w:bottom w:val="single" w:color="auto" w:sz="4" w:space="0"/>
              <w:right w:val="single" w:color="auto" w:sz="4" w:space="0"/>
            </w:tcBorders>
            <w:vAlign w:val="center"/>
          </w:tcPr>
          <w:p w14:paraId="21F31E77">
            <w:pPr>
              <w:autoSpaceDE w:val="0"/>
              <w:autoSpaceDN w:val="0"/>
              <w:spacing w:after="0"/>
              <w:ind w:firstLine="240" w:firstLineChars="1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硬件设施</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0CE33793">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投标人具有低温封闭式仓储装卸平台的得2分。</w:t>
            </w:r>
          </w:p>
          <w:p w14:paraId="6BE57EDC">
            <w:pPr>
              <w:autoSpaceDE w:val="0"/>
              <w:autoSpaceDN w:val="0"/>
              <w:spacing w:after="0"/>
              <w:ind w:firstLine="480" w:firstLineChars="20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投标人及关联集团公司名下自营食品冷仓，仓储面积≥10万平米得1分，≥15万平米得2分，≥20万平米得3分，本项最高得3分。</w:t>
            </w:r>
          </w:p>
          <w:p w14:paraId="51272F4F">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投标人自有自营冷链车≥10台得1分，≥20台得3分，≥35台得5分，本项最高得5分。</w:t>
            </w:r>
          </w:p>
          <w:p w14:paraId="7808EB29">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注：须提供相关证明材料，仓储提供产权证扫描件或租赁合同扫描件，车辆信息提供行驶证+营运证扫描件，加盖投标人公章编入投标文件，否则不得分。</w:t>
            </w:r>
          </w:p>
        </w:tc>
        <w:tc>
          <w:tcPr>
            <w:tcW w:w="1152" w:type="dxa"/>
            <w:tcBorders>
              <w:left w:val="single" w:color="auto" w:sz="4" w:space="0"/>
              <w:bottom w:val="single" w:color="auto" w:sz="4" w:space="0"/>
              <w:right w:val="single" w:color="auto" w:sz="4" w:space="0"/>
            </w:tcBorders>
            <w:vAlign w:val="center"/>
          </w:tcPr>
          <w:p w14:paraId="0FA67F10">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0-10分</w:t>
            </w:r>
          </w:p>
        </w:tc>
      </w:tr>
      <w:tr w14:paraId="15BD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left w:val="single" w:color="auto" w:sz="4" w:space="0"/>
              <w:bottom w:val="single" w:color="auto" w:sz="4" w:space="0"/>
              <w:right w:val="single" w:color="auto" w:sz="4" w:space="0"/>
            </w:tcBorders>
            <w:vAlign w:val="center"/>
          </w:tcPr>
          <w:p w14:paraId="39CC668C">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519" w:type="dxa"/>
            <w:gridSpan w:val="3"/>
            <w:tcBorders>
              <w:left w:val="single" w:color="auto" w:sz="4" w:space="0"/>
              <w:bottom w:val="single" w:color="auto" w:sz="4" w:space="0"/>
              <w:right w:val="single" w:color="auto" w:sz="4" w:space="0"/>
            </w:tcBorders>
            <w:vAlign w:val="center"/>
          </w:tcPr>
          <w:p w14:paraId="23F26C70">
            <w:pPr>
              <w:autoSpaceDE w:val="0"/>
              <w:autoSpaceDN w:val="0"/>
              <w:spacing w:after="0"/>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保险保障</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2CE1AA3D">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投标人或其关联集团公司为仓储购买物资物业类及冷运仓储类保险，保险类型为财产一切险的，得5分。</w:t>
            </w:r>
          </w:p>
          <w:p w14:paraId="7888DEE5">
            <w:pPr>
              <w:autoSpaceDE w:val="0"/>
              <w:autoSpaceDN w:val="0"/>
              <w:spacing w:after="0"/>
              <w:ind w:firstLine="480" w:firstLineChars="20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注：须提供相关证明材料加盖投标人公章编入投标文件，否则不得分。</w:t>
            </w:r>
          </w:p>
        </w:tc>
        <w:tc>
          <w:tcPr>
            <w:tcW w:w="1152" w:type="dxa"/>
            <w:tcBorders>
              <w:left w:val="single" w:color="auto" w:sz="4" w:space="0"/>
              <w:bottom w:val="single" w:color="auto" w:sz="4" w:space="0"/>
              <w:right w:val="single" w:color="auto" w:sz="4" w:space="0"/>
            </w:tcBorders>
            <w:vAlign w:val="center"/>
          </w:tcPr>
          <w:p w14:paraId="275A2652">
            <w:pPr>
              <w:autoSpaceDE w:val="0"/>
              <w:autoSpaceDN w:val="0"/>
              <w:spacing w:after="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0-5分</w:t>
            </w:r>
          </w:p>
        </w:tc>
      </w:tr>
      <w:tr w14:paraId="6563B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DE01280">
            <w:pPr>
              <w:autoSpaceDE w:val="0"/>
              <w:autoSpaceDN w:val="0"/>
              <w:spacing w:after="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266B1E0D">
            <w:pPr>
              <w:autoSpaceDE w:val="0"/>
              <w:autoSpaceDN w:val="0"/>
              <w:spacing w:after="0"/>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项目实施方案</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4CA34CE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根据本项目实际情况和特点，</w:t>
            </w:r>
            <w:r>
              <w:rPr>
                <w:rFonts w:hint="eastAsia" w:ascii="仿宋" w:hAnsi="仿宋" w:eastAsia="仿宋" w:cs="仿宋"/>
                <w:b w:val="0"/>
                <w:bCs w:val="0"/>
                <w:color w:val="auto"/>
                <w:sz w:val="24"/>
                <w:szCs w:val="24"/>
                <w:highlight w:val="none"/>
                <w:lang w:val="en-US" w:eastAsia="zh-CN"/>
              </w:rPr>
              <w:t>拟定项目实施方案。评审小组根据</w:t>
            </w: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lang w:val="en-US" w:eastAsia="zh-CN"/>
              </w:rPr>
              <w:t>提供的内容</w:t>
            </w:r>
            <w:r>
              <w:rPr>
                <w:rFonts w:hint="eastAsia" w:ascii="仿宋" w:hAnsi="仿宋" w:eastAsia="仿宋" w:cs="仿宋"/>
                <w:b w:val="0"/>
                <w:bCs w:val="0"/>
                <w:color w:val="auto"/>
                <w:sz w:val="24"/>
                <w:szCs w:val="24"/>
                <w:highlight w:val="none"/>
              </w:rPr>
              <w:t>进行</w:t>
            </w:r>
            <w:r>
              <w:rPr>
                <w:rFonts w:hint="eastAsia" w:ascii="仿宋" w:hAnsi="仿宋" w:eastAsia="仿宋" w:cs="仿宋"/>
                <w:b w:val="0"/>
                <w:bCs w:val="0"/>
                <w:color w:val="auto"/>
                <w:sz w:val="24"/>
                <w:szCs w:val="24"/>
                <w:highlight w:val="none"/>
                <w:lang w:val="en-US" w:eastAsia="zh-CN"/>
              </w:rPr>
              <w:t>综合打分：</w:t>
            </w:r>
          </w:p>
          <w:p w14:paraId="4C2945F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方案内容完整，合理，可操作性强的得10（不含）-15分；</w:t>
            </w:r>
          </w:p>
          <w:p w14:paraId="68A3D3D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方案内容基本完整，比较合理，可操作性较强的得5（不含）-10（含）分；</w:t>
            </w:r>
          </w:p>
          <w:p w14:paraId="1888BFFA">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方案内容有所欠缺不够全面，无具体说明，可操作性一般的得0-5（含）分。</w:t>
            </w:r>
          </w:p>
        </w:tc>
        <w:tc>
          <w:tcPr>
            <w:tcW w:w="1152" w:type="dxa"/>
            <w:tcBorders>
              <w:top w:val="single" w:color="auto" w:sz="4" w:space="0"/>
              <w:left w:val="single" w:color="auto" w:sz="4" w:space="0"/>
              <w:bottom w:val="single" w:color="auto" w:sz="4" w:space="0"/>
              <w:right w:val="single" w:color="auto" w:sz="4" w:space="0"/>
            </w:tcBorders>
            <w:vAlign w:val="center"/>
          </w:tcPr>
          <w:p w14:paraId="6CC21128">
            <w:pPr>
              <w:autoSpaceDE w:val="0"/>
              <w:autoSpaceDN w:val="0"/>
              <w:spacing w:after="0"/>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0-15分</w:t>
            </w:r>
          </w:p>
        </w:tc>
      </w:tr>
      <w:tr w14:paraId="34BFA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48427EA0">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06296834">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服务质量保障方案</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070F2FB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根据本项目实际情况和特点，</w:t>
            </w:r>
            <w:r>
              <w:rPr>
                <w:rFonts w:hint="eastAsia" w:ascii="仿宋" w:hAnsi="仿宋" w:eastAsia="仿宋" w:cs="仿宋"/>
                <w:b w:val="0"/>
                <w:bCs w:val="0"/>
                <w:color w:val="auto"/>
                <w:sz w:val="24"/>
                <w:szCs w:val="24"/>
                <w:highlight w:val="none"/>
                <w:lang w:val="en-US" w:eastAsia="zh-CN"/>
              </w:rPr>
              <w:t>拟定服务质量保障方案。评审小组根据</w:t>
            </w: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lang w:val="en-US" w:eastAsia="zh-CN"/>
              </w:rPr>
              <w:t>提供的内容</w:t>
            </w:r>
            <w:r>
              <w:rPr>
                <w:rFonts w:hint="eastAsia" w:ascii="仿宋" w:hAnsi="仿宋" w:eastAsia="仿宋" w:cs="仿宋"/>
                <w:b w:val="0"/>
                <w:bCs w:val="0"/>
                <w:color w:val="auto"/>
                <w:sz w:val="24"/>
                <w:szCs w:val="24"/>
                <w:highlight w:val="none"/>
              </w:rPr>
              <w:t>进行</w:t>
            </w:r>
            <w:r>
              <w:rPr>
                <w:rFonts w:hint="eastAsia" w:ascii="仿宋" w:hAnsi="仿宋" w:eastAsia="仿宋" w:cs="仿宋"/>
                <w:b w:val="0"/>
                <w:bCs w:val="0"/>
                <w:color w:val="auto"/>
                <w:sz w:val="24"/>
                <w:szCs w:val="24"/>
                <w:highlight w:val="none"/>
                <w:lang w:val="en-US" w:eastAsia="zh-CN"/>
              </w:rPr>
              <w:t>综合打分：</w:t>
            </w:r>
          </w:p>
          <w:p w14:paraId="128F9D4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方案内容完整，合理，可操作性强的得10（不含）-15分；</w:t>
            </w:r>
          </w:p>
          <w:p w14:paraId="56ABAEC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方案内容基本完整，比较合理，可操作性较强的得5（不含）-10（含）分；</w:t>
            </w:r>
          </w:p>
          <w:p w14:paraId="4511C36B">
            <w:pPr>
              <w:autoSpaceDE w:val="0"/>
              <w:autoSpaceDN w:val="0"/>
              <w:spacing w:after="0"/>
              <w:ind w:firstLine="480" w:firstLineChars="200"/>
              <w:jc w:val="left"/>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方案内容有所欠缺不够全面，无具体说明，可操作性一般的得0-5（含）分。</w:t>
            </w:r>
          </w:p>
        </w:tc>
        <w:tc>
          <w:tcPr>
            <w:tcW w:w="1152" w:type="dxa"/>
            <w:tcBorders>
              <w:top w:val="single" w:color="auto" w:sz="4" w:space="0"/>
              <w:left w:val="single" w:color="auto" w:sz="4" w:space="0"/>
              <w:bottom w:val="single" w:color="auto" w:sz="4" w:space="0"/>
              <w:right w:val="single" w:color="auto" w:sz="4" w:space="0"/>
            </w:tcBorders>
            <w:vAlign w:val="center"/>
          </w:tcPr>
          <w:p w14:paraId="5609A8E2">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0-15分</w:t>
            </w:r>
          </w:p>
        </w:tc>
      </w:tr>
      <w:tr w14:paraId="40E6D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2F3BB9F5">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7</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66F8874E">
            <w:pPr>
              <w:autoSpaceDE w:val="0"/>
              <w:autoSpaceDN w:val="0"/>
              <w:spacing w:after="0"/>
              <w:jc w:val="center"/>
              <w:rPr>
                <w:rFonts w:hint="eastAsia" w:ascii="仿宋" w:hAnsi="仿宋" w:eastAsia="仿宋" w:cs="仿宋"/>
                <w:b w:val="0"/>
                <w:bCs w:val="0"/>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应急预案</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40C4757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评审小组</w:t>
            </w:r>
            <w:r>
              <w:rPr>
                <w:rFonts w:hint="eastAsia" w:ascii="仿宋" w:hAnsi="仿宋" w:eastAsia="仿宋" w:cs="仿宋"/>
                <w:b w:val="0"/>
                <w:bCs w:val="0"/>
                <w:color w:val="auto"/>
                <w:sz w:val="24"/>
                <w:szCs w:val="24"/>
                <w:highlight w:val="none"/>
              </w:rPr>
              <w:t>根据</w:t>
            </w: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针对本项目的合理应急预案、应急保障措施、应急响应时间等</w:t>
            </w:r>
            <w:r>
              <w:rPr>
                <w:rFonts w:hint="eastAsia" w:ascii="仿宋" w:hAnsi="仿宋" w:eastAsia="仿宋" w:cs="仿宋"/>
                <w:b w:val="0"/>
                <w:bCs w:val="0"/>
                <w:color w:val="auto"/>
                <w:sz w:val="24"/>
                <w:szCs w:val="24"/>
                <w:highlight w:val="none"/>
                <w:lang w:val="en-US" w:eastAsia="zh-CN"/>
              </w:rPr>
              <w:t>综合打分：</w:t>
            </w:r>
          </w:p>
          <w:p w14:paraId="47798E0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方案内容完整，合理，可操作性强，服务目标明确的得6（不含）-10分；</w:t>
            </w:r>
          </w:p>
          <w:p w14:paraId="5D8BFA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方案内容基本完整，比较合理，可操作性较强的得3（不含）-6（含）分；</w:t>
            </w:r>
          </w:p>
          <w:p w14:paraId="7F5BFA5F">
            <w:pPr>
              <w:autoSpaceDE w:val="0"/>
              <w:autoSpaceDN w:val="0"/>
              <w:spacing w:after="0"/>
              <w:ind w:firstLine="480" w:firstLineChars="200"/>
              <w:jc w:val="left"/>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方案内容有所欠缺不够全面，无具体说明，可操作性一般的得0-3（含）分。</w:t>
            </w:r>
          </w:p>
        </w:tc>
        <w:tc>
          <w:tcPr>
            <w:tcW w:w="1152" w:type="dxa"/>
            <w:tcBorders>
              <w:top w:val="single" w:color="auto" w:sz="4" w:space="0"/>
              <w:left w:val="single" w:color="auto" w:sz="4" w:space="0"/>
              <w:bottom w:val="single" w:color="auto" w:sz="4" w:space="0"/>
              <w:right w:val="single" w:color="auto" w:sz="4" w:space="0"/>
            </w:tcBorders>
            <w:vAlign w:val="center"/>
          </w:tcPr>
          <w:p w14:paraId="2BBA5481">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0-10分</w:t>
            </w:r>
          </w:p>
        </w:tc>
      </w:tr>
      <w:tr w14:paraId="57E4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A3678ED">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043EF7BC">
            <w:pPr>
              <w:autoSpaceDE w:val="0"/>
              <w:autoSpaceDN w:val="0"/>
              <w:spacing w:after="0"/>
              <w:jc w:val="center"/>
              <w:rPr>
                <w:rFonts w:hint="eastAsia" w:ascii="仿宋" w:hAnsi="仿宋" w:eastAsia="仿宋" w:cs="仿宋"/>
                <w:b w:val="0"/>
                <w:bCs w:val="0"/>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项目重点难点分析及解决方案</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70F1467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评审小组</w:t>
            </w:r>
            <w:r>
              <w:rPr>
                <w:rFonts w:hint="eastAsia" w:ascii="仿宋" w:hAnsi="仿宋" w:eastAsia="仿宋" w:cs="仿宋"/>
                <w:b w:val="0"/>
                <w:bCs w:val="0"/>
                <w:color w:val="auto"/>
                <w:sz w:val="24"/>
                <w:szCs w:val="24"/>
                <w:highlight w:val="none"/>
              </w:rPr>
              <w:t>根据</w:t>
            </w:r>
            <w:r>
              <w:rPr>
                <w:rFonts w:hint="eastAsia" w:ascii="仿宋" w:hAnsi="仿宋" w:eastAsia="仿宋" w:cs="仿宋"/>
                <w:b w:val="0"/>
                <w:bCs w:val="0"/>
                <w:color w:val="auto"/>
                <w:sz w:val="24"/>
                <w:szCs w:val="24"/>
                <w:highlight w:val="none"/>
                <w:lang w:val="en-US" w:eastAsia="zh-CN"/>
              </w:rPr>
              <w:t>投标人提供</w:t>
            </w:r>
            <w:r>
              <w:rPr>
                <w:rFonts w:hint="eastAsia" w:ascii="仿宋" w:hAnsi="仿宋" w:eastAsia="仿宋" w:cs="仿宋"/>
                <w:b w:val="0"/>
                <w:bCs w:val="0"/>
                <w:color w:val="auto"/>
                <w:sz w:val="24"/>
                <w:szCs w:val="24"/>
                <w:highlight w:val="none"/>
              </w:rPr>
              <w:t>的</w:t>
            </w:r>
            <w:r>
              <w:rPr>
                <w:rFonts w:hint="eastAsia" w:ascii="仿宋" w:hAnsi="仿宋" w:eastAsia="仿宋" w:cs="仿宋"/>
                <w:b w:val="0"/>
                <w:bCs w:val="0"/>
                <w:color w:val="auto"/>
                <w:sz w:val="24"/>
                <w:szCs w:val="24"/>
                <w:highlight w:val="none"/>
                <w:lang w:val="en-US" w:eastAsia="zh-CN"/>
              </w:rPr>
              <w:t>项目重点难点分析及解决方案综合打分：</w:t>
            </w:r>
          </w:p>
          <w:p w14:paraId="008F426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方案内容完整，合理，可操作性强，服务目标明确的得6（不含）-10分；</w:t>
            </w:r>
          </w:p>
          <w:p w14:paraId="6690E10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方案内容基本完整，比较合理，可操作性较强的得3（不含）-6（含）分；</w:t>
            </w:r>
          </w:p>
          <w:p w14:paraId="11A7253D">
            <w:pPr>
              <w:autoSpaceDE w:val="0"/>
              <w:autoSpaceDN w:val="0"/>
              <w:spacing w:after="0"/>
              <w:ind w:firstLine="480" w:firstLineChars="200"/>
              <w:jc w:val="left"/>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方案内容有所欠缺不够全面，无具体说明，可操作性一般的得0-3（含）分。</w:t>
            </w:r>
          </w:p>
        </w:tc>
        <w:tc>
          <w:tcPr>
            <w:tcW w:w="1152" w:type="dxa"/>
            <w:tcBorders>
              <w:top w:val="single" w:color="auto" w:sz="4" w:space="0"/>
              <w:left w:val="single" w:color="auto" w:sz="4" w:space="0"/>
              <w:bottom w:val="single" w:color="auto" w:sz="4" w:space="0"/>
              <w:right w:val="single" w:color="auto" w:sz="4" w:space="0"/>
            </w:tcBorders>
            <w:vAlign w:val="center"/>
          </w:tcPr>
          <w:p w14:paraId="7FB720EB">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0-10分</w:t>
            </w:r>
          </w:p>
        </w:tc>
      </w:tr>
      <w:tr w14:paraId="378F3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677" w:hRule="atLeast"/>
          <w:jc w:val="center"/>
        </w:trPr>
        <w:tc>
          <w:tcPr>
            <w:tcW w:w="714" w:type="dxa"/>
            <w:vMerge w:val="restart"/>
            <w:tcBorders>
              <w:top w:val="single" w:color="auto" w:sz="4" w:space="0"/>
              <w:left w:val="single" w:color="auto" w:sz="4" w:space="0"/>
              <w:right w:val="single" w:color="auto" w:sz="4" w:space="0"/>
            </w:tcBorders>
            <w:vAlign w:val="center"/>
          </w:tcPr>
          <w:p w14:paraId="210F0632">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519" w:type="dxa"/>
            <w:gridSpan w:val="3"/>
            <w:vMerge w:val="restart"/>
            <w:tcBorders>
              <w:top w:val="single" w:color="auto" w:sz="4" w:space="0"/>
              <w:left w:val="single" w:color="auto" w:sz="4" w:space="0"/>
              <w:right w:val="single" w:color="auto" w:sz="4" w:space="0"/>
            </w:tcBorders>
            <w:vAlign w:val="center"/>
          </w:tcPr>
          <w:p w14:paraId="0E7B0490">
            <w:pPr>
              <w:autoSpaceDE w:val="0"/>
              <w:autoSpaceDN w:val="0"/>
              <w:spacing w:after="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商务报价</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55563623">
            <w:pPr>
              <w:autoSpaceDE w:val="0"/>
              <w:autoSpaceDN w:val="0"/>
              <w:spacing w:after="0"/>
              <w:ind w:left="479" w:leftChars="228" w:firstLine="0" w:firstLineChars="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4.2米冷藏车型6条线路合计最高限价：5.5+5.5+5.5+5.5+6.6+5.5=34.1元</w:t>
            </w:r>
          </w:p>
          <w:p w14:paraId="5D6A895E">
            <w:pPr>
              <w:autoSpaceDE w:val="0"/>
              <w:autoSpaceDN w:val="0"/>
              <w:spacing w:after="0"/>
              <w:ind w:firstLine="480" w:firstLineChars="200"/>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基准价为满足评标要求且投标价格最低的投标报价，投标报价得分=(基准价／投标报价)×</w:t>
            </w:r>
            <w:r>
              <w:rPr>
                <w:rFonts w:hint="eastAsia" w:ascii="仿宋" w:hAnsi="仿宋" w:eastAsia="仿宋" w:cs="仿宋"/>
                <w:b w:val="0"/>
                <w:bCs w:val="0"/>
                <w:color w:val="auto"/>
                <w:sz w:val="24"/>
                <w:szCs w:val="24"/>
                <w:highlight w:val="none"/>
                <w:u w:val="none"/>
                <w:lang w:val="en-US" w:eastAsia="zh-CN"/>
              </w:rPr>
              <w:t>5</w:t>
            </w:r>
            <w:r>
              <w:rPr>
                <w:rFonts w:hint="eastAsia" w:ascii="仿宋" w:hAnsi="仿宋" w:eastAsia="仿宋" w:cs="仿宋"/>
                <w:b w:val="0"/>
                <w:bCs w:val="0"/>
                <w:color w:val="auto"/>
                <w:sz w:val="24"/>
                <w:szCs w:val="24"/>
                <w:highlight w:val="none"/>
                <w:lang w:eastAsia="zh-CN"/>
              </w:rPr>
              <w:t>，四舍五入，保留两位小数。报价高于</w:t>
            </w:r>
            <w:r>
              <w:rPr>
                <w:rFonts w:hint="eastAsia" w:ascii="仿宋" w:hAnsi="仿宋" w:eastAsia="仿宋" w:cs="仿宋"/>
                <w:b w:val="0"/>
                <w:bCs w:val="0"/>
                <w:color w:val="auto"/>
                <w:sz w:val="24"/>
                <w:szCs w:val="24"/>
                <w:highlight w:val="none"/>
                <w:lang w:val="en-US" w:eastAsia="zh-CN"/>
              </w:rPr>
              <w:t>各项单价</w:t>
            </w:r>
            <w:r>
              <w:rPr>
                <w:rFonts w:hint="eastAsia" w:ascii="仿宋" w:hAnsi="仿宋" w:eastAsia="仿宋" w:cs="仿宋"/>
                <w:b w:val="0"/>
                <w:bCs w:val="0"/>
                <w:color w:val="auto"/>
                <w:sz w:val="24"/>
                <w:szCs w:val="24"/>
                <w:highlight w:val="none"/>
                <w:lang w:eastAsia="zh-CN"/>
              </w:rPr>
              <w:t>最高限价的，其投标文件作无效处理。</w:t>
            </w:r>
          </w:p>
        </w:tc>
        <w:tc>
          <w:tcPr>
            <w:tcW w:w="1152" w:type="dxa"/>
            <w:tcBorders>
              <w:top w:val="single" w:color="auto" w:sz="4" w:space="0"/>
              <w:left w:val="single" w:color="auto" w:sz="4" w:space="0"/>
              <w:bottom w:val="single" w:color="auto" w:sz="4" w:space="0"/>
              <w:right w:val="single" w:color="auto" w:sz="4" w:space="0"/>
            </w:tcBorders>
            <w:vAlign w:val="center"/>
          </w:tcPr>
          <w:p w14:paraId="7A6BAB41">
            <w:pPr>
              <w:numPr>
                <w:ilvl w:val="0"/>
                <w:numId w:val="0"/>
              </w:numPr>
              <w:autoSpaceDE w:val="0"/>
              <w:autoSpaceDN w:val="0"/>
              <w:spacing w:after="0"/>
              <w:jc w:val="center"/>
              <w:rPr>
                <w:rFonts w:hint="default"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0-5分</w:t>
            </w:r>
          </w:p>
        </w:tc>
      </w:tr>
      <w:tr w14:paraId="37041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677" w:hRule="atLeast"/>
          <w:jc w:val="center"/>
        </w:trPr>
        <w:tc>
          <w:tcPr>
            <w:tcW w:w="714" w:type="dxa"/>
            <w:vMerge w:val="continue"/>
            <w:tcBorders>
              <w:left w:val="single" w:color="auto" w:sz="4" w:space="0"/>
              <w:right w:val="single" w:color="auto" w:sz="4" w:space="0"/>
            </w:tcBorders>
            <w:vAlign w:val="center"/>
          </w:tcPr>
          <w:p w14:paraId="4E1A29A0">
            <w:pPr>
              <w:autoSpaceDE w:val="0"/>
              <w:autoSpaceDN w:val="0"/>
              <w:spacing w:after="0"/>
              <w:jc w:val="center"/>
              <w:rPr>
                <w:rFonts w:hint="eastAsia" w:ascii="仿宋" w:hAnsi="仿宋" w:eastAsia="仿宋" w:cs="仿宋"/>
                <w:color w:val="auto"/>
                <w:sz w:val="24"/>
                <w:szCs w:val="24"/>
                <w:highlight w:val="none"/>
                <w:lang w:val="en-US" w:eastAsia="zh-CN"/>
              </w:rPr>
            </w:pPr>
          </w:p>
        </w:tc>
        <w:tc>
          <w:tcPr>
            <w:tcW w:w="1519" w:type="dxa"/>
            <w:gridSpan w:val="3"/>
            <w:vMerge w:val="continue"/>
            <w:tcBorders>
              <w:left w:val="single" w:color="auto" w:sz="4" w:space="0"/>
              <w:right w:val="single" w:color="auto" w:sz="4" w:space="0"/>
            </w:tcBorders>
            <w:vAlign w:val="center"/>
          </w:tcPr>
          <w:p w14:paraId="35022079">
            <w:pPr>
              <w:autoSpaceDE w:val="0"/>
              <w:autoSpaceDN w:val="0"/>
              <w:spacing w:after="0"/>
              <w:jc w:val="center"/>
              <w:rPr>
                <w:rFonts w:hint="eastAsia" w:ascii="仿宋" w:hAnsi="仿宋" w:eastAsia="仿宋" w:cs="仿宋"/>
                <w:color w:val="auto"/>
                <w:sz w:val="24"/>
                <w:szCs w:val="24"/>
                <w:highlight w:val="none"/>
                <w:lang w:val="en-US" w:eastAsia="zh-CN"/>
              </w:rPr>
            </w:pP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2C070716">
            <w:pPr>
              <w:autoSpaceDE w:val="0"/>
              <w:autoSpaceDN w:val="0"/>
              <w:spacing w:after="0"/>
              <w:ind w:left="479" w:leftChars="228"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7.6米冷藏车型6条线路合计最高限价：</w:t>
            </w:r>
          </w:p>
          <w:p w14:paraId="6C62CBFA">
            <w:pPr>
              <w:autoSpaceDE w:val="0"/>
              <w:autoSpaceDN w:val="0"/>
              <w:spacing w:after="0"/>
              <w:ind w:left="479" w:leftChars="228" w:firstLine="0" w:firstLineChars="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8.5+8.5+8.5+8.5+9+8.5=51.5元</w:t>
            </w:r>
          </w:p>
          <w:p w14:paraId="04C0961A">
            <w:pPr>
              <w:autoSpaceDE w:val="0"/>
              <w:autoSpaceDN w:val="0"/>
              <w:spacing w:after="0"/>
              <w:ind w:firstLine="480" w:firstLineChars="200"/>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基准价为满足评标要求且投标价格最低的投标报价，投标报价得分=(基准价／投标报价)×</w:t>
            </w:r>
            <w:r>
              <w:rPr>
                <w:rFonts w:hint="eastAsia" w:ascii="仿宋" w:hAnsi="仿宋" w:eastAsia="仿宋" w:cs="仿宋"/>
                <w:b w:val="0"/>
                <w:bCs w:val="0"/>
                <w:color w:val="auto"/>
                <w:sz w:val="24"/>
                <w:szCs w:val="24"/>
                <w:highlight w:val="none"/>
                <w:u w:val="none"/>
                <w:lang w:val="en-US" w:eastAsia="zh-CN"/>
              </w:rPr>
              <w:t>5</w:t>
            </w:r>
            <w:r>
              <w:rPr>
                <w:rFonts w:hint="eastAsia" w:ascii="仿宋" w:hAnsi="仿宋" w:eastAsia="仿宋" w:cs="仿宋"/>
                <w:b w:val="0"/>
                <w:bCs w:val="0"/>
                <w:color w:val="auto"/>
                <w:sz w:val="24"/>
                <w:szCs w:val="24"/>
                <w:highlight w:val="none"/>
                <w:lang w:eastAsia="zh-CN"/>
              </w:rPr>
              <w:t>，四舍五入，保留两位小数。报价高于</w:t>
            </w:r>
            <w:r>
              <w:rPr>
                <w:rFonts w:hint="eastAsia" w:ascii="仿宋" w:hAnsi="仿宋" w:eastAsia="仿宋" w:cs="仿宋"/>
                <w:b w:val="0"/>
                <w:bCs w:val="0"/>
                <w:color w:val="auto"/>
                <w:sz w:val="24"/>
                <w:szCs w:val="24"/>
                <w:highlight w:val="none"/>
                <w:lang w:val="en-US" w:eastAsia="zh-CN"/>
              </w:rPr>
              <w:t>各项单价</w:t>
            </w:r>
            <w:r>
              <w:rPr>
                <w:rFonts w:hint="eastAsia" w:ascii="仿宋" w:hAnsi="仿宋" w:eastAsia="仿宋" w:cs="仿宋"/>
                <w:b w:val="0"/>
                <w:bCs w:val="0"/>
                <w:color w:val="auto"/>
                <w:sz w:val="24"/>
                <w:szCs w:val="24"/>
                <w:highlight w:val="none"/>
                <w:lang w:eastAsia="zh-CN"/>
              </w:rPr>
              <w:t>最高限价的，其投标文件作无效处理。</w:t>
            </w:r>
          </w:p>
        </w:tc>
        <w:tc>
          <w:tcPr>
            <w:tcW w:w="1152" w:type="dxa"/>
            <w:tcBorders>
              <w:top w:val="single" w:color="auto" w:sz="4" w:space="0"/>
              <w:left w:val="single" w:color="auto" w:sz="4" w:space="0"/>
              <w:bottom w:val="single" w:color="auto" w:sz="4" w:space="0"/>
              <w:right w:val="single" w:color="auto" w:sz="4" w:space="0"/>
            </w:tcBorders>
            <w:vAlign w:val="center"/>
          </w:tcPr>
          <w:p w14:paraId="5D66E8F2">
            <w:pPr>
              <w:numPr>
                <w:ilvl w:val="0"/>
                <w:numId w:val="0"/>
              </w:numPr>
              <w:autoSpaceDE w:val="0"/>
              <w:autoSpaceDN w:val="0"/>
              <w:spacing w:after="0"/>
              <w:ind w:left="0" w:leftChars="0" w:firstLine="0" w:firstLineChars="0"/>
              <w:jc w:val="center"/>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0-5分</w:t>
            </w:r>
          </w:p>
        </w:tc>
      </w:tr>
      <w:tr w14:paraId="019A9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677" w:hRule="atLeast"/>
          <w:jc w:val="center"/>
        </w:trPr>
        <w:tc>
          <w:tcPr>
            <w:tcW w:w="714" w:type="dxa"/>
            <w:vMerge w:val="continue"/>
            <w:tcBorders>
              <w:left w:val="single" w:color="auto" w:sz="4" w:space="0"/>
              <w:right w:val="single" w:color="auto" w:sz="4" w:space="0"/>
            </w:tcBorders>
            <w:vAlign w:val="center"/>
          </w:tcPr>
          <w:p w14:paraId="5CE67653">
            <w:pPr>
              <w:autoSpaceDE w:val="0"/>
              <w:autoSpaceDN w:val="0"/>
              <w:spacing w:after="0"/>
              <w:jc w:val="center"/>
              <w:rPr>
                <w:rFonts w:hint="eastAsia" w:ascii="仿宋" w:hAnsi="仿宋" w:eastAsia="仿宋" w:cs="仿宋"/>
                <w:color w:val="auto"/>
                <w:sz w:val="24"/>
                <w:szCs w:val="24"/>
                <w:highlight w:val="none"/>
                <w:lang w:val="en-US" w:eastAsia="zh-CN"/>
              </w:rPr>
            </w:pPr>
          </w:p>
        </w:tc>
        <w:tc>
          <w:tcPr>
            <w:tcW w:w="1519" w:type="dxa"/>
            <w:gridSpan w:val="3"/>
            <w:vMerge w:val="continue"/>
            <w:tcBorders>
              <w:left w:val="single" w:color="auto" w:sz="4" w:space="0"/>
              <w:right w:val="single" w:color="auto" w:sz="4" w:space="0"/>
            </w:tcBorders>
            <w:vAlign w:val="center"/>
          </w:tcPr>
          <w:p w14:paraId="7CA6550E">
            <w:pPr>
              <w:autoSpaceDE w:val="0"/>
              <w:autoSpaceDN w:val="0"/>
              <w:spacing w:after="0"/>
              <w:jc w:val="center"/>
              <w:rPr>
                <w:rFonts w:hint="eastAsia" w:ascii="仿宋" w:hAnsi="仿宋" w:eastAsia="仿宋" w:cs="仿宋"/>
                <w:color w:val="auto"/>
                <w:sz w:val="24"/>
                <w:szCs w:val="24"/>
                <w:highlight w:val="none"/>
                <w:lang w:val="en-US" w:eastAsia="zh-CN"/>
              </w:rPr>
            </w:pP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5C8D7A5A">
            <w:pPr>
              <w:autoSpaceDE w:val="0"/>
              <w:autoSpaceDN w:val="0"/>
              <w:spacing w:after="0"/>
              <w:ind w:left="479" w:leftChars="228"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9.6米冷藏车型6条线路合计最高限价：</w:t>
            </w:r>
          </w:p>
          <w:p w14:paraId="30DF6CBE">
            <w:pPr>
              <w:autoSpaceDE w:val="0"/>
              <w:autoSpaceDN w:val="0"/>
              <w:spacing w:after="0"/>
              <w:ind w:left="479" w:leftChars="228" w:firstLine="0" w:firstLineChars="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9.5+9.5+9.5+9.5+10+9.5=57.5元</w:t>
            </w:r>
          </w:p>
          <w:p w14:paraId="5F727257">
            <w:pPr>
              <w:autoSpaceDE w:val="0"/>
              <w:autoSpaceDN w:val="0"/>
              <w:spacing w:after="0"/>
              <w:ind w:firstLine="480" w:firstLineChars="200"/>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基准价为满足评标要求且投标价格最低的投标报价，投标报价得分=(基准价／投标报价)×</w:t>
            </w:r>
            <w:r>
              <w:rPr>
                <w:rFonts w:hint="eastAsia" w:ascii="仿宋" w:hAnsi="仿宋" w:eastAsia="仿宋" w:cs="仿宋"/>
                <w:b w:val="0"/>
                <w:bCs w:val="0"/>
                <w:color w:val="auto"/>
                <w:sz w:val="24"/>
                <w:szCs w:val="24"/>
                <w:highlight w:val="none"/>
                <w:u w:val="none"/>
                <w:lang w:val="en-US" w:eastAsia="zh-CN"/>
              </w:rPr>
              <w:t>5</w:t>
            </w:r>
            <w:r>
              <w:rPr>
                <w:rFonts w:hint="eastAsia" w:ascii="仿宋" w:hAnsi="仿宋" w:eastAsia="仿宋" w:cs="仿宋"/>
                <w:b w:val="0"/>
                <w:bCs w:val="0"/>
                <w:color w:val="auto"/>
                <w:sz w:val="24"/>
                <w:szCs w:val="24"/>
                <w:highlight w:val="none"/>
                <w:lang w:eastAsia="zh-CN"/>
              </w:rPr>
              <w:t>，四舍五入，保留两位小数。报价高于</w:t>
            </w:r>
            <w:r>
              <w:rPr>
                <w:rFonts w:hint="eastAsia" w:ascii="仿宋" w:hAnsi="仿宋" w:eastAsia="仿宋" w:cs="仿宋"/>
                <w:b w:val="0"/>
                <w:bCs w:val="0"/>
                <w:color w:val="auto"/>
                <w:sz w:val="24"/>
                <w:szCs w:val="24"/>
                <w:highlight w:val="none"/>
                <w:lang w:val="en-US" w:eastAsia="zh-CN"/>
              </w:rPr>
              <w:t>各项单价</w:t>
            </w:r>
            <w:r>
              <w:rPr>
                <w:rFonts w:hint="eastAsia" w:ascii="仿宋" w:hAnsi="仿宋" w:eastAsia="仿宋" w:cs="仿宋"/>
                <w:b w:val="0"/>
                <w:bCs w:val="0"/>
                <w:color w:val="auto"/>
                <w:sz w:val="24"/>
                <w:szCs w:val="24"/>
                <w:highlight w:val="none"/>
                <w:lang w:eastAsia="zh-CN"/>
              </w:rPr>
              <w:t>最高限价的，其投标文件作无效处理。</w:t>
            </w:r>
          </w:p>
        </w:tc>
        <w:tc>
          <w:tcPr>
            <w:tcW w:w="1152" w:type="dxa"/>
            <w:tcBorders>
              <w:top w:val="single" w:color="auto" w:sz="4" w:space="0"/>
              <w:left w:val="single" w:color="auto" w:sz="4" w:space="0"/>
              <w:bottom w:val="single" w:color="auto" w:sz="4" w:space="0"/>
              <w:right w:val="single" w:color="auto" w:sz="4" w:space="0"/>
            </w:tcBorders>
            <w:vAlign w:val="center"/>
          </w:tcPr>
          <w:p w14:paraId="60B52C0F">
            <w:pPr>
              <w:numPr>
                <w:ilvl w:val="0"/>
                <w:numId w:val="0"/>
              </w:numPr>
              <w:autoSpaceDE w:val="0"/>
              <w:autoSpaceDN w:val="0"/>
              <w:spacing w:after="0"/>
              <w:ind w:left="0" w:leftChars="0" w:firstLine="0" w:firstLineChars="0"/>
              <w:jc w:val="center"/>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0-5分</w:t>
            </w:r>
          </w:p>
        </w:tc>
      </w:tr>
      <w:tr w14:paraId="2D610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vMerge w:val="continue"/>
            <w:tcBorders>
              <w:left w:val="single" w:color="auto" w:sz="4" w:space="0"/>
              <w:bottom w:val="single" w:color="auto" w:sz="4" w:space="0"/>
              <w:right w:val="single" w:color="auto" w:sz="4" w:space="0"/>
            </w:tcBorders>
            <w:vAlign w:val="center"/>
          </w:tcPr>
          <w:p w14:paraId="4F6AE542">
            <w:pPr>
              <w:autoSpaceDE w:val="0"/>
              <w:autoSpaceDN w:val="0"/>
              <w:spacing w:after="0"/>
              <w:jc w:val="center"/>
              <w:rPr>
                <w:rFonts w:hint="default" w:ascii="仿宋" w:hAnsi="仿宋" w:eastAsia="仿宋" w:cs="仿宋"/>
                <w:color w:val="auto"/>
                <w:sz w:val="24"/>
                <w:szCs w:val="24"/>
                <w:highlight w:val="none"/>
                <w:lang w:val="en-US" w:eastAsia="zh-CN"/>
              </w:rPr>
            </w:pPr>
          </w:p>
        </w:tc>
        <w:tc>
          <w:tcPr>
            <w:tcW w:w="1519" w:type="dxa"/>
            <w:gridSpan w:val="3"/>
            <w:vMerge w:val="continue"/>
            <w:tcBorders>
              <w:left w:val="single" w:color="auto" w:sz="4" w:space="0"/>
              <w:bottom w:val="single" w:color="auto" w:sz="4" w:space="0"/>
              <w:right w:val="single" w:color="auto" w:sz="4" w:space="0"/>
            </w:tcBorders>
            <w:vAlign w:val="center"/>
          </w:tcPr>
          <w:p w14:paraId="3822E903">
            <w:pPr>
              <w:autoSpaceDE w:val="0"/>
              <w:autoSpaceDN w:val="0"/>
              <w:spacing w:after="0"/>
              <w:jc w:val="center"/>
              <w:rPr>
                <w:rFonts w:hint="eastAsia" w:ascii="仿宋" w:hAnsi="仿宋" w:eastAsia="仿宋" w:cs="仿宋"/>
                <w:color w:val="auto"/>
                <w:sz w:val="24"/>
                <w:szCs w:val="24"/>
                <w:highlight w:val="none"/>
                <w:lang w:val="en-US" w:eastAsia="zh-CN"/>
              </w:rPr>
            </w:pP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7FF6A600">
            <w:pPr>
              <w:autoSpaceDE w:val="0"/>
              <w:autoSpaceDN w:val="0"/>
              <w:spacing w:after="0"/>
              <w:ind w:left="479" w:leftChars="228"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15米冷藏车型6条线路合计最高限价：</w:t>
            </w:r>
          </w:p>
          <w:p w14:paraId="1294C6D8">
            <w:pPr>
              <w:autoSpaceDE w:val="0"/>
              <w:autoSpaceDN w:val="0"/>
              <w:spacing w:after="0"/>
              <w:ind w:left="479" w:leftChars="228" w:firstLine="0" w:firstLineChars="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11+11+11+11+11+11=66元</w:t>
            </w:r>
          </w:p>
          <w:p w14:paraId="75598836">
            <w:pPr>
              <w:autoSpaceDE w:val="0"/>
              <w:autoSpaceDN w:val="0"/>
              <w:spacing w:after="0"/>
              <w:ind w:firstLine="480" w:firstLineChars="200"/>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基准价为满足评标要求且投标价格最低的投标报价，投标报价得分=(基准价／投标报价)×</w:t>
            </w:r>
            <w:r>
              <w:rPr>
                <w:rFonts w:hint="eastAsia" w:ascii="仿宋" w:hAnsi="仿宋" w:eastAsia="仿宋" w:cs="仿宋"/>
                <w:b w:val="0"/>
                <w:bCs w:val="0"/>
                <w:color w:val="auto"/>
                <w:sz w:val="24"/>
                <w:szCs w:val="24"/>
                <w:highlight w:val="none"/>
                <w:u w:val="none"/>
                <w:lang w:val="en-US" w:eastAsia="zh-CN"/>
              </w:rPr>
              <w:t>5</w:t>
            </w:r>
            <w:r>
              <w:rPr>
                <w:rFonts w:hint="eastAsia" w:ascii="仿宋" w:hAnsi="仿宋" w:eastAsia="仿宋" w:cs="仿宋"/>
                <w:b w:val="0"/>
                <w:bCs w:val="0"/>
                <w:color w:val="auto"/>
                <w:sz w:val="24"/>
                <w:szCs w:val="24"/>
                <w:highlight w:val="none"/>
                <w:lang w:eastAsia="zh-CN"/>
              </w:rPr>
              <w:t>，四舍五入，保留两位小数。报价高于</w:t>
            </w:r>
            <w:r>
              <w:rPr>
                <w:rFonts w:hint="eastAsia" w:ascii="仿宋" w:hAnsi="仿宋" w:eastAsia="仿宋" w:cs="仿宋"/>
                <w:b w:val="0"/>
                <w:bCs w:val="0"/>
                <w:color w:val="auto"/>
                <w:sz w:val="24"/>
                <w:szCs w:val="24"/>
                <w:highlight w:val="none"/>
                <w:lang w:val="en-US" w:eastAsia="zh-CN"/>
              </w:rPr>
              <w:t>各项单价</w:t>
            </w:r>
            <w:r>
              <w:rPr>
                <w:rFonts w:hint="eastAsia" w:ascii="仿宋" w:hAnsi="仿宋" w:eastAsia="仿宋" w:cs="仿宋"/>
                <w:b w:val="0"/>
                <w:bCs w:val="0"/>
                <w:color w:val="auto"/>
                <w:sz w:val="24"/>
                <w:szCs w:val="24"/>
                <w:highlight w:val="none"/>
                <w:lang w:eastAsia="zh-CN"/>
              </w:rPr>
              <w:t>最高限价的，其投标文件作无效处理。</w:t>
            </w:r>
          </w:p>
        </w:tc>
        <w:tc>
          <w:tcPr>
            <w:tcW w:w="1152" w:type="dxa"/>
            <w:tcBorders>
              <w:top w:val="single" w:color="auto" w:sz="4" w:space="0"/>
              <w:left w:val="single" w:color="auto" w:sz="4" w:space="0"/>
              <w:bottom w:val="single" w:color="auto" w:sz="4" w:space="0"/>
              <w:right w:val="single" w:color="auto" w:sz="4" w:space="0"/>
            </w:tcBorders>
            <w:vAlign w:val="center"/>
          </w:tcPr>
          <w:p w14:paraId="13CE9FDA">
            <w:pPr>
              <w:numPr>
                <w:ilvl w:val="0"/>
                <w:numId w:val="0"/>
              </w:numPr>
              <w:autoSpaceDE w:val="0"/>
              <w:autoSpaceDN w:val="0"/>
              <w:spacing w:after="0"/>
              <w:ind w:left="0" w:leftChars="0" w:firstLine="0" w:firstLineChars="0"/>
              <w:jc w:val="center"/>
              <w:rPr>
                <w:rFonts w:hint="default"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0-5分</w:t>
            </w:r>
          </w:p>
        </w:tc>
      </w:tr>
      <w:tr w14:paraId="2ED1E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gridSpan w:val="2"/>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5A43D58">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序号</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8A27F42">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性质</w:t>
            </w:r>
          </w:p>
        </w:tc>
        <w:tc>
          <w:tcPr>
            <w:tcW w:w="827" w:type="dxa"/>
            <w:gridSpan w:val="2"/>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AE11875">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始发省份</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28A00C8">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始发城市</w:t>
            </w:r>
          </w:p>
        </w:tc>
        <w:tc>
          <w:tcPr>
            <w:tcW w:w="1057"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B59E122">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目的省份</w:t>
            </w:r>
          </w:p>
        </w:tc>
        <w:tc>
          <w:tcPr>
            <w:tcW w:w="1071"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5A06F0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目的城市</w:t>
            </w:r>
          </w:p>
        </w:tc>
        <w:tc>
          <w:tcPr>
            <w:tcW w:w="1500" w:type="dxa"/>
            <w:tcBorders>
              <w:top w:val="single" w:color="000000" w:sz="4" w:space="0"/>
              <w:left w:val="single" w:color="000000" w:sz="4" w:space="0"/>
              <w:bottom w:val="single" w:color="000000" w:sz="4" w:space="0"/>
              <w:right w:val="nil"/>
            </w:tcBorders>
            <w:shd w:val="clear" w:color="auto" w:fill="B4C6E7"/>
            <w:noWrap/>
            <w:vAlign w:val="center"/>
          </w:tcPr>
          <w:p w14:paraId="23722D34">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4.2米</w:t>
            </w:r>
          </w:p>
          <w:p w14:paraId="4031D57D">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415" w:type="dxa"/>
            <w:tcBorders>
              <w:top w:val="single" w:color="000000" w:sz="4" w:space="0"/>
              <w:left w:val="single" w:color="000000" w:sz="4" w:space="0"/>
              <w:bottom w:val="single" w:color="000000" w:sz="4" w:space="0"/>
              <w:right w:val="nil"/>
            </w:tcBorders>
            <w:shd w:val="clear" w:color="auto" w:fill="B4C6E7"/>
            <w:noWrap/>
            <w:vAlign w:val="center"/>
          </w:tcPr>
          <w:p w14:paraId="0C345BA7">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7.6米</w:t>
            </w:r>
          </w:p>
          <w:p w14:paraId="79E31779">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493" w:type="dxa"/>
            <w:gridSpan w:val="2"/>
            <w:tcBorders>
              <w:top w:val="single" w:color="000000" w:sz="4" w:space="0"/>
              <w:left w:val="single" w:color="000000" w:sz="4" w:space="0"/>
              <w:bottom w:val="single" w:color="000000" w:sz="4" w:space="0"/>
              <w:right w:val="nil"/>
            </w:tcBorders>
            <w:shd w:val="clear" w:color="auto" w:fill="B4C6E7"/>
            <w:noWrap/>
            <w:vAlign w:val="center"/>
          </w:tcPr>
          <w:p w14:paraId="3F32F25B">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9.6米</w:t>
            </w:r>
          </w:p>
          <w:p w14:paraId="630C9D9D">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387"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1B51D09E">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15米冷</w:t>
            </w:r>
          </w:p>
          <w:p w14:paraId="1B774B53">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藏车型</w:t>
            </w:r>
          </w:p>
        </w:tc>
      </w:tr>
      <w:tr w14:paraId="07E96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gridSpan w:val="2"/>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E902C82">
            <w:pPr>
              <w:jc w:val="center"/>
              <w:rPr>
                <w:rFonts w:hint="eastAsia" w:ascii="仿宋" w:hAnsi="仿宋" w:eastAsia="仿宋" w:cs="仿宋"/>
                <w:b/>
                <w:bCs/>
                <w:i w:val="0"/>
                <w:iCs w:val="0"/>
                <w:color w:val="auto"/>
                <w:sz w:val="24"/>
                <w:szCs w:val="24"/>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0273A5A">
            <w:pPr>
              <w:jc w:val="center"/>
              <w:rPr>
                <w:rFonts w:hint="eastAsia" w:ascii="仿宋" w:hAnsi="仿宋" w:eastAsia="仿宋" w:cs="仿宋"/>
                <w:b/>
                <w:bCs/>
                <w:i w:val="0"/>
                <w:iCs w:val="0"/>
                <w:color w:val="auto"/>
                <w:sz w:val="24"/>
                <w:szCs w:val="24"/>
                <w:u w:val="none"/>
              </w:rPr>
            </w:pPr>
          </w:p>
        </w:tc>
        <w:tc>
          <w:tcPr>
            <w:tcW w:w="827" w:type="dxa"/>
            <w:gridSpan w:val="2"/>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668B4B4">
            <w:pPr>
              <w:jc w:val="center"/>
              <w:rPr>
                <w:rFonts w:hint="eastAsia" w:ascii="仿宋" w:hAnsi="仿宋" w:eastAsia="仿宋" w:cs="仿宋"/>
                <w:b/>
                <w:bCs/>
                <w:i w:val="0"/>
                <w:iCs w:val="0"/>
                <w:color w:val="auto"/>
                <w:sz w:val="24"/>
                <w:szCs w:val="24"/>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BB7024E">
            <w:pPr>
              <w:jc w:val="center"/>
              <w:rPr>
                <w:rFonts w:hint="eastAsia" w:ascii="仿宋" w:hAnsi="仿宋" w:eastAsia="仿宋" w:cs="仿宋"/>
                <w:b/>
                <w:bCs/>
                <w:i w:val="0"/>
                <w:iCs w:val="0"/>
                <w:color w:val="auto"/>
                <w:sz w:val="24"/>
                <w:szCs w:val="24"/>
                <w:u w:val="none"/>
              </w:rPr>
            </w:pPr>
          </w:p>
        </w:tc>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59B2215">
            <w:pPr>
              <w:jc w:val="center"/>
              <w:rPr>
                <w:rFonts w:hint="eastAsia" w:ascii="仿宋" w:hAnsi="仿宋" w:eastAsia="仿宋" w:cs="仿宋"/>
                <w:b/>
                <w:bCs/>
                <w:i w:val="0"/>
                <w:iCs w:val="0"/>
                <w:color w:val="auto"/>
                <w:sz w:val="24"/>
                <w:szCs w:val="24"/>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E8FA0D8">
            <w:pPr>
              <w:jc w:val="center"/>
              <w:rPr>
                <w:rFonts w:hint="eastAsia" w:ascii="仿宋" w:hAnsi="仿宋" w:eastAsia="仿宋" w:cs="仿宋"/>
                <w:b/>
                <w:bCs/>
                <w:i w:val="0"/>
                <w:iCs w:val="0"/>
                <w:color w:val="auto"/>
                <w:sz w:val="24"/>
                <w:szCs w:val="24"/>
                <w:u w:val="none"/>
              </w:rPr>
            </w:pPr>
          </w:p>
        </w:tc>
        <w:tc>
          <w:tcPr>
            <w:tcW w:w="1500" w:type="dxa"/>
            <w:tcBorders>
              <w:top w:val="single" w:color="000000" w:sz="4" w:space="0"/>
              <w:left w:val="single" w:color="000000" w:sz="4" w:space="0"/>
              <w:bottom w:val="nil"/>
              <w:right w:val="single" w:color="000000" w:sz="4" w:space="0"/>
            </w:tcBorders>
            <w:shd w:val="clear" w:color="auto" w:fill="B4C6E7"/>
            <w:noWrap/>
            <w:vAlign w:val="center"/>
          </w:tcPr>
          <w:p w14:paraId="2564149F">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最高限价</w:t>
            </w:r>
          </w:p>
          <w:p w14:paraId="1F23A967">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415" w:type="dxa"/>
            <w:tcBorders>
              <w:top w:val="single" w:color="000000" w:sz="4" w:space="0"/>
              <w:left w:val="single" w:color="000000" w:sz="4" w:space="0"/>
              <w:bottom w:val="nil"/>
              <w:right w:val="single" w:color="000000" w:sz="4" w:space="0"/>
            </w:tcBorders>
            <w:shd w:val="clear" w:color="auto" w:fill="B4C6E7"/>
            <w:noWrap/>
            <w:vAlign w:val="center"/>
          </w:tcPr>
          <w:p w14:paraId="26BF0FA0">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最高限价</w:t>
            </w:r>
          </w:p>
          <w:p w14:paraId="450F802B">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493" w:type="dxa"/>
            <w:gridSpan w:val="2"/>
            <w:tcBorders>
              <w:top w:val="single" w:color="000000" w:sz="4" w:space="0"/>
              <w:left w:val="single" w:color="000000" w:sz="4" w:space="0"/>
              <w:bottom w:val="nil"/>
              <w:right w:val="single" w:color="000000" w:sz="4" w:space="0"/>
            </w:tcBorders>
            <w:shd w:val="clear" w:color="auto" w:fill="B4C6E7"/>
            <w:noWrap/>
            <w:vAlign w:val="center"/>
          </w:tcPr>
          <w:p w14:paraId="10A1EBD1">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最高限价</w:t>
            </w:r>
          </w:p>
          <w:p w14:paraId="1002453F">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387" w:type="dxa"/>
            <w:tcBorders>
              <w:top w:val="single" w:color="000000" w:sz="4" w:space="0"/>
              <w:left w:val="single" w:color="000000" w:sz="4" w:space="0"/>
              <w:bottom w:val="nil"/>
              <w:right w:val="single" w:color="000000" w:sz="4" w:space="0"/>
            </w:tcBorders>
            <w:shd w:val="clear" w:color="auto" w:fill="B4C6E7"/>
            <w:noWrap/>
            <w:vAlign w:val="center"/>
          </w:tcPr>
          <w:p w14:paraId="0F2C311B">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最高限价</w:t>
            </w:r>
          </w:p>
          <w:p w14:paraId="68E46423">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r>
      <w:tr w14:paraId="3C658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CDC7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355B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38C2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F973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D09A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黑龙江</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9247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哈尔滨</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8AEE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140F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E32C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53EF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1A601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15AF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74A3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1F35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9170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E8E0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北京</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8816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北京</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27E3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70F1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34EC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DD92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15812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6F8C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FEAA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F709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376F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07C3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辽宁</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87FD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大连</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1994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AC3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C210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A7FE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77F32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70BF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8ED4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DE60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2037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554C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辽宁</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0DF0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沈阳</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1CB9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A30D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C0CC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1062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00D25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CBD8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83D7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8BB5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C03B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4E31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上海</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D97F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上海</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37F8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6.6</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74C8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2591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10</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D13B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7779E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44EE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0429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93AD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99F7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AAA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广东</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BFB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深圳</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35DC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2382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41A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DA46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bl>
    <w:p w14:paraId="5BD38B6D">
      <w:pPr>
        <w:keepNext/>
        <w:keepLines/>
        <w:widowControl/>
        <w:snapToGrid w:val="0"/>
        <w:spacing w:line="360" w:lineRule="auto"/>
        <w:jc w:val="center"/>
        <w:outlineLvl w:val="0"/>
        <w:rPr>
          <w:rFonts w:ascii="仿宋" w:hAnsi="仿宋" w:eastAsia="仿宋" w:cs="仿宋"/>
          <w:b/>
          <w:color w:val="auto"/>
          <w:sz w:val="28"/>
          <w:szCs w:val="28"/>
        </w:rPr>
      </w:pPr>
      <w:r>
        <w:rPr>
          <w:color w:val="auto"/>
        </w:rPr>
        <w:br w:type="page"/>
      </w:r>
      <w:bookmarkStart w:id="114" w:name="_Toc13469"/>
      <w:bookmarkStart w:id="115" w:name="_Toc30816"/>
      <w:r>
        <w:rPr>
          <w:rFonts w:hint="eastAsia" w:ascii="仿宋" w:hAnsi="仿宋" w:eastAsia="仿宋" w:cs="仿宋"/>
          <w:b/>
          <w:color w:val="auto"/>
          <w:sz w:val="28"/>
          <w:szCs w:val="28"/>
        </w:rPr>
        <w:t>第六章  应提交的有关格式范例</w:t>
      </w:r>
      <w:bookmarkEnd w:id="114"/>
      <w:bookmarkEnd w:id="115"/>
    </w:p>
    <w:p w14:paraId="55F1E3E8">
      <w:pPr>
        <w:snapToGrid w:val="0"/>
        <w:spacing w:line="360" w:lineRule="auto"/>
        <w:jc w:val="center"/>
        <w:outlineLvl w:val="9"/>
        <w:rPr>
          <w:rStyle w:val="34"/>
          <w:rFonts w:ascii="仿宋" w:hAnsi="仿宋" w:eastAsia="仿宋" w:cs="仿宋"/>
          <w:color w:val="auto"/>
          <w:sz w:val="28"/>
          <w:szCs w:val="28"/>
        </w:rPr>
      </w:pPr>
      <w:bookmarkStart w:id="116" w:name="_Toc29460"/>
    </w:p>
    <w:p w14:paraId="69EC8347">
      <w:pPr>
        <w:snapToGrid w:val="0"/>
        <w:spacing w:line="360" w:lineRule="auto"/>
        <w:jc w:val="center"/>
        <w:outlineLvl w:val="9"/>
        <w:rPr>
          <w:rFonts w:ascii="仿宋" w:hAnsi="仿宋" w:eastAsia="仿宋" w:cs="仿宋"/>
          <w:b/>
          <w:color w:val="auto"/>
          <w:sz w:val="28"/>
          <w:szCs w:val="28"/>
        </w:rPr>
      </w:pPr>
      <w:r>
        <w:rPr>
          <w:rStyle w:val="34"/>
          <w:rFonts w:hint="eastAsia" w:ascii="仿宋" w:hAnsi="仿宋" w:eastAsia="仿宋" w:cs="仿宋"/>
          <w:color w:val="auto"/>
          <w:sz w:val="28"/>
          <w:szCs w:val="28"/>
        </w:rPr>
        <w:t>一、资格审查文件封面</w:t>
      </w:r>
      <w:bookmarkEnd w:id="116"/>
    </w:p>
    <w:p w14:paraId="082679EB">
      <w:pPr>
        <w:spacing w:line="360" w:lineRule="auto"/>
        <w:jc w:val="right"/>
        <w:outlineLvl w:val="9"/>
        <w:rPr>
          <w:rFonts w:ascii="仿宋" w:hAnsi="仿宋" w:eastAsia="仿宋" w:cs="仿宋"/>
          <w:color w:val="auto"/>
          <w:sz w:val="28"/>
          <w:szCs w:val="28"/>
        </w:rPr>
      </w:pPr>
    </w:p>
    <w:p w14:paraId="69A879A0">
      <w:pPr>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 xml:space="preserve">                                                </w:t>
      </w:r>
    </w:p>
    <w:p w14:paraId="7DCCD590">
      <w:pPr>
        <w:spacing w:line="360" w:lineRule="auto"/>
        <w:outlineLvl w:val="9"/>
        <w:rPr>
          <w:rFonts w:ascii="仿宋" w:hAnsi="仿宋" w:eastAsia="仿宋" w:cs="仿宋"/>
          <w:color w:val="auto"/>
          <w:sz w:val="28"/>
          <w:szCs w:val="28"/>
        </w:rPr>
      </w:pPr>
    </w:p>
    <w:p w14:paraId="35263B1D">
      <w:pPr>
        <w:spacing w:line="360" w:lineRule="auto"/>
        <w:outlineLvl w:val="9"/>
        <w:rPr>
          <w:rFonts w:ascii="仿宋" w:hAnsi="仿宋" w:eastAsia="仿宋" w:cs="仿宋"/>
          <w:color w:val="auto"/>
          <w:sz w:val="28"/>
          <w:szCs w:val="28"/>
        </w:rPr>
      </w:pPr>
    </w:p>
    <w:p w14:paraId="3DEAE874">
      <w:pPr>
        <w:spacing w:line="360" w:lineRule="auto"/>
        <w:outlineLvl w:val="9"/>
        <w:rPr>
          <w:rFonts w:ascii="仿宋" w:hAnsi="仿宋" w:eastAsia="仿宋" w:cs="仿宋"/>
          <w:color w:val="auto"/>
          <w:sz w:val="28"/>
          <w:szCs w:val="28"/>
        </w:rPr>
      </w:pPr>
    </w:p>
    <w:p w14:paraId="1037F000">
      <w:pPr>
        <w:snapToGrid w:val="0"/>
        <w:spacing w:line="360" w:lineRule="auto"/>
        <w:jc w:val="center"/>
        <w:outlineLvl w:val="9"/>
        <w:rPr>
          <w:rFonts w:ascii="仿宋" w:hAnsi="仿宋" w:eastAsia="仿宋" w:cs="仿宋"/>
          <w:color w:val="auto"/>
          <w:sz w:val="28"/>
          <w:szCs w:val="28"/>
        </w:rPr>
      </w:pPr>
      <w:r>
        <w:rPr>
          <w:rFonts w:hint="eastAsia" w:ascii="仿宋" w:hAnsi="仿宋" w:eastAsia="仿宋" w:cs="仿宋"/>
          <w:color w:val="auto"/>
          <w:sz w:val="28"/>
          <w:szCs w:val="28"/>
        </w:rPr>
        <w:t>资格审查文件</w:t>
      </w:r>
    </w:p>
    <w:p w14:paraId="38F5DB4C">
      <w:pPr>
        <w:snapToGrid w:val="0"/>
        <w:spacing w:line="360" w:lineRule="auto"/>
        <w:jc w:val="center"/>
        <w:outlineLvl w:val="9"/>
        <w:rPr>
          <w:rFonts w:ascii="仿宋" w:hAnsi="仿宋" w:eastAsia="仿宋" w:cs="仿宋"/>
          <w:color w:val="auto"/>
          <w:sz w:val="28"/>
          <w:szCs w:val="28"/>
        </w:rPr>
      </w:pPr>
    </w:p>
    <w:p w14:paraId="43ECE8C8">
      <w:pPr>
        <w:snapToGrid w:val="0"/>
        <w:spacing w:line="360" w:lineRule="auto"/>
        <w:ind w:firstLine="1962" w:firstLineChars="698"/>
        <w:outlineLvl w:val="9"/>
        <w:rPr>
          <w:rFonts w:ascii="仿宋" w:hAnsi="仿宋" w:eastAsia="仿宋" w:cs="仿宋"/>
          <w:b/>
          <w:color w:val="auto"/>
          <w:sz w:val="28"/>
          <w:szCs w:val="28"/>
        </w:rPr>
      </w:pPr>
    </w:p>
    <w:p w14:paraId="2E01BDFC">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 xml:space="preserve">                    </w:t>
      </w:r>
    </w:p>
    <w:p w14:paraId="4E9F755E">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项目编号：</w:t>
      </w:r>
      <w:r>
        <w:rPr>
          <w:rFonts w:hint="eastAsia" w:ascii="仿宋" w:hAnsi="仿宋" w:eastAsia="仿宋" w:cs="仿宋"/>
          <w:color w:val="auto"/>
          <w:sz w:val="28"/>
          <w:szCs w:val="28"/>
          <w:u w:val="single"/>
        </w:rPr>
        <w:t xml:space="preserve">                    </w:t>
      </w:r>
    </w:p>
    <w:p w14:paraId="0C3209FA">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rPr>
        <w:t xml:space="preserve">                       （盖章）</w:t>
      </w:r>
    </w:p>
    <w:p w14:paraId="102B2184">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年   月   日</w:t>
      </w:r>
    </w:p>
    <w:p w14:paraId="54F9A39D">
      <w:pPr>
        <w:snapToGrid w:val="0"/>
        <w:spacing w:line="360" w:lineRule="auto"/>
        <w:outlineLvl w:val="9"/>
        <w:rPr>
          <w:rFonts w:ascii="仿宋" w:hAnsi="仿宋" w:eastAsia="仿宋" w:cs="仿宋"/>
          <w:color w:val="auto"/>
          <w:sz w:val="28"/>
          <w:szCs w:val="28"/>
        </w:rPr>
        <w:sectPr>
          <w:headerReference r:id="rId6" w:type="default"/>
          <w:footerReference r:id="rId7" w:type="default"/>
          <w:pgSz w:w="11922" w:h="16838"/>
          <w:pgMar w:top="1417" w:right="1304" w:bottom="1417" w:left="1304" w:header="397" w:footer="1037" w:gutter="0"/>
          <w:pgNumType w:fmt="decimal"/>
          <w:cols w:space="0" w:num="1"/>
          <w:docGrid w:linePitch="312" w:charSpace="0"/>
        </w:sectPr>
      </w:pPr>
    </w:p>
    <w:p w14:paraId="0DA4F5B1">
      <w:pPr>
        <w:pStyle w:val="22"/>
        <w:spacing w:line="420" w:lineRule="exact"/>
        <w:ind w:firstLine="0" w:firstLineChars="0"/>
        <w:jc w:val="center"/>
        <w:outlineLvl w:val="9"/>
        <w:rPr>
          <w:rStyle w:val="34"/>
          <w:rFonts w:ascii="仿宋" w:hAnsi="仿宋" w:eastAsia="仿宋" w:cs="仿宋"/>
          <w:b w:val="0"/>
          <w:bCs w:val="0"/>
          <w:color w:val="auto"/>
          <w:sz w:val="28"/>
          <w:szCs w:val="28"/>
        </w:rPr>
      </w:pPr>
      <w:bookmarkStart w:id="117" w:name="_Toc21539"/>
      <w:bookmarkStart w:id="118" w:name="_Toc29587"/>
      <w:bookmarkStart w:id="119" w:name="_Toc29565"/>
      <w:r>
        <w:rPr>
          <w:rStyle w:val="34"/>
          <w:rFonts w:hint="eastAsia" w:ascii="仿宋" w:hAnsi="仿宋" w:eastAsia="仿宋" w:cs="仿宋"/>
          <w:b w:val="0"/>
          <w:bCs w:val="0"/>
          <w:color w:val="auto"/>
          <w:sz w:val="28"/>
          <w:szCs w:val="28"/>
        </w:rPr>
        <w:t>1.投标人基本情况表</w:t>
      </w:r>
      <w:bookmarkEnd w:id="117"/>
      <w:bookmarkEnd w:id="118"/>
      <w:bookmarkEnd w:id="119"/>
    </w:p>
    <w:tbl>
      <w:tblPr>
        <w:tblStyle w:val="23"/>
        <w:tblW w:w="9566" w:type="dxa"/>
        <w:jc w:val="center"/>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57"/>
        <w:gridCol w:w="2708"/>
        <w:gridCol w:w="1735"/>
        <w:gridCol w:w="2966"/>
      </w:tblGrid>
      <w:tr w14:paraId="51900FBB">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66" w:type="dxa"/>
            <w:gridSpan w:val="4"/>
            <w:tcBorders>
              <w:top w:val="thinThickSmallGap" w:color="auto" w:sz="12" w:space="0"/>
            </w:tcBorders>
            <w:noWrap/>
            <w:vAlign w:val="center"/>
          </w:tcPr>
          <w:p w14:paraId="10713BED">
            <w:pPr>
              <w:snapToGrid w:val="0"/>
              <w:spacing w:before="93" w:after="93" w:line="400" w:lineRule="exact"/>
              <w:jc w:val="center"/>
              <w:outlineLvl w:val="9"/>
              <w:rPr>
                <w:rFonts w:ascii="仿宋" w:hAnsi="仿宋" w:eastAsia="仿宋" w:cs="仿宋"/>
                <w:color w:val="auto"/>
                <w:sz w:val="24"/>
                <w:szCs w:val="24"/>
              </w:rPr>
            </w:pPr>
            <w:r>
              <w:rPr>
                <w:rFonts w:hint="eastAsia" w:ascii="仿宋" w:hAnsi="仿宋" w:eastAsia="仿宋" w:cs="仿宋"/>
                <w:color w:val="auto"/>
                <w:sz w:val="24"/>
                <w:szCs w:val="24"/>
              </w:rPr>
              <w:t>投标人信息</w:t>
            </w:r>
          </w:p>
        </w:tc>
      </w:tr>
      <w:tr w14:paraId="62F74475">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583CFB1B">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企业名称</w:t>
            </w:r>
          </w:p>
        </w:tc>
        <w:tc>
          <w:tcPr>
            <w:tcW w:w="7409" w:type="dxa"/>
            <w:gridSpan w:val="3"/>
            <w:noWrap/>
            <w:vAlign w:val="center"/>
          </w:tcPr>
          <w:p w14:paraId="0AC83B6B">
            <w:pPr>
              <w:snapToGrid w:val="0"/>
              <w:spacing w:before="93" w:after="93" w:line="400" w:lineRule="exact"/>
              <w:outlineLvl w:val="9"/>
              <w:rPr>
                <w:rFonts w:ascii="仿宋" w:hAnsi="仿宋" w:eastAsia="仿宋" w:cs="仿宋"/>
                <w:color w:val="auto"/>
                <w:sz w:val="24"/>
                <w:szCs w:val="24"/>
              </w:rPr>
            </w:pPr>
          </w:p>
        </w:tc>
      </w:tr>
      <w:tr w14:paraId="07527B3C">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0EB43F5E">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性质</w:t>
            </w:r>
          </w:p>
        </w:tc>
        <w:tc>
          <w:tcPr>
            <w:tcW w:w="7409" w:type="dxa"/>
            <w:gridSpan w:val="3"/>
            <w:noWrap/>
            <w:vAlign w:val="center"/>
          </w:tcPr>
          <w:p w14:paraId="73FED0C4">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单位□                                个人□</w:t>
            </w:r>
          </w:p>
        </w:tc>
      </w:tr>
      <w:tr w14:paraId="5B49644F">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26275859">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统一社会信用代码</w:t>
            </w:r>
          </w:p>
        </w:tc>
        <w:tc>
          <w:tcPr>
            <w:tcW w:w="2708" w:type="dxa"/>
            <w:noWrap/>
            <w:vAlign w:val="center"/>
          </w:tcPr>
          <w:p w14:paraId="10EE30E4">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7C627134">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注册资金</w:t>
            </w:r>
          </w:p>
        </w:tc>
        <w:tc>
          <w:tcPr>
            <w:tcW w:w="2966" w:type="dxa"/>
            <w:noWrap/>
            <w:vAlign w:val="center"/>
          </w:tcPr>
          <w:p w14:paraId="704E084C">
            <w:pPr>
              <w:snapToGrid w:val="0"/>
              <w:spacing w:before="93" w:after="93" w:line="400" w:lineRule="exact"/>
              <w:outlineLvl w:val="9"/>
              <w:rPr>
                <w:rFonts w:ascii="仿宋" w:hAnsi="仿宋" w:eastAsia="仿宋" w:cs="仿宋"/>
                <w:color w:val="auto"/>
                <w:sz w:val="24"/>
                <w:szCs w:val="24"/>
              </w:rPr>
            </w:pPr>
          </w:p>
        </w:tc>
      </w:tr>
      <w:tr w14:paraId="73DABB6B">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57728A30">
            <w:pPr>
              <w:snapToGrid w:val="0"/>
              <w:spacing w:before="93" w:after="93" w:line="400" w:lineRule="exact"/>
              <w:jc w:val="lef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法定代表人（负责人）</w:t>
            </w:r>
          </w:p>
        </w:tc>
        <w:tc>
          <w:tcPr>
            <w:tcW w:w="2708" w:type="dxa"/>
            <w:noWrap/>
            <w:vAlign w:val="center"/>
          </w:tcPr>
          <w:p w14:paraId="48E41A5A">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30540956">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身份证号码</w:t>
            </w:r>
          </w:p>
        </w:tc>
        <w:tc>
          <w:tcPr>
            <w:tcW w:w="2966" w:type="dxa"/>
            <w:noWrap/>
            <w:vAlign w:val="center"/>
          </w:tcPr>
          <w:p w14:paraId="3F2A0B85">
            <w:pPr>
              <w:snapToGrid w:val="0"/>
              <w:spacing w:before="93" w:after="93" w:line="400" w:lineRule="exact"/>
              <w:outlineLvl w:val="9"/>
              <w:rPr>
                <w:rFonts w:ascii="仿宋" w:hAnsi="仿宋" w:eastAsia="仿宋" w:cs="仿宋"/>
                <w:color w:val="auto"/>
                <w:sz w:val="24"/>
                <w:szCs w:val="24"/>
              </w:rPr>
            </w:pPr>
          </w:p>
        </w:tc>
      </w:tr>
      <w:tr w14:paraId="5C9AEB9E">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5979BCCA">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通信地址</w:t>
            </w:r>
          </w:p>
        </w:tc>
        <w:tc>
          <w:tcPr>
            <w:tcW w:w="2708" w:type="dxa"/>
            <w:noWrap/>
            <w:vAlign w:val="center"/>
          </w:tcPr>
          <w:p w14:paraId="28874F1A">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0C9DA39D">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邮政编码</w:t>
            </w:r>
          </w:p>
        </w:tc>
        <w:tc>
          <w:tcPr>
            <w:tcW w:w="2966" w:type="dxa"/>
            <w:noWrap/>
            <w:vAlign w:val="center"/>
          </w:tcPr>
          <w:p w14:paraId="4819AE3E">
            <w:pPr>
              <w:snapToGrid w:val="0"/>
              <w:spacing w:before="93" w:after="93" w:line="400" w:lineRule="exact"/>
              <w:outlineLvl w:val="9"/>
              <w:rPr>
                <w:rFonts w:ascii="仿宋" w:hAnsi="仿宋" w:eastAsia="仿宋" w:cs="仿宋"/>
                <w:color w:val="auto"/>
                <w:sz w:val="24"/>
                <w:szCs w:val="24"/>
              </w:rPr>
            </w:pPr>
          </w:p>
        </w:tc>
      </w:tr>
      <w:tr w14:paraId="25B42FE8">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7BDAFE44">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公司电话</w:t>
            </w:r>
          </w:p>
        </w:tc>
        <w:tc>
          <w:tcPr>
            <w:tcW w:w="2708" w:type="dxa"/>
            <w:noWrap/>
            <w:vAlign w:val="center"/>
          </w:tcPr>
          <w:p w14:paraId="6866E354">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3EB069ED">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传真</w:t>
            </w:r>
          </w:p>
        </w:tc>
        <w:tc>
          <w:tcPr>
            <w:tcW w:w="2966" w:type="dxa"/>
            <w:noWrap/>
            <w:vAlign w:val="center"/>
          </w:tcPr>
          <w:p w14:paraId="1E519F93">
            <w:pPr>
              <w:snapToGrid w:val="0"/>
              <w:spacing w:before="93" w:after="93" w:line="400" w:lineRule="exact"/>
              <w:outlineLvl w:val="9"/>
              <w:rPr>
                <w:rFonts w:ascii="仿宋" w:hAnsi="仿宋" w:eastAsia="仿宋" w:cs="仿宋"/>
                <w:color w:val="auto"/>
                <w:sz w:val="24"/>
                <w:szCs w:val="24"/>
              </w:rPr>
            </w:pPr>
          </w:p>
        </w:tc>
      </w:tr>
      <w:tr w14:paraId="10FE0729">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054B8639">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公司网址</w:t>
            </w:r>
          </w:p>
        </w:tc>
        <w:tc>
          <w:tcPr>
            <w:tcW w:w="2708" w:type="dxa"/>
            <w:noWrap/>
            <w:vAlign w:val="center"/>
          </w:tcPr>
          <w:p w14:paraId="640CB2B5">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15D18734">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电子邮箱</w:t>
            </w:r>
          </w:p>
        </w:tc>
        <w:tc>
          <w:tcPr>
            <w:tcW w:w="2966" w:type="dxa"/>
            <w:noWrap/>
            <w:vAlign w:val="center"/>
          </w:tcPr>
          <w:p w14:paraId="26E283B0">
            <w:pPr>
              <w:snapToGrid w:val="0"/>
              <w:spacing w:before="93" w:after="93" w:line="400" w:lineRule="exact"/>
              <w:outlineLvl w:val="9"/>
              <w:rPr>
                <w:rFonts w:ascii="仿宋" w:hAnsi="仿宋" w:eastAsia="仿宋" w:cs="仿宋"/>
                <w:color w:val="auto"/>
                <w:sz w:val="24"/>
                <w:szCs w:val="24"/>
              </w:rPr>
            </w:pPr>
          </w:p>
        </w:tc>
      </w:tr>
      <w:tr w14:paraId="3BFFCD35">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5A0A426B">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开户银行及账号</w:t>
            </w:r>
          </w:p>
        </w:tc>
        <w:tc>
          <w:tcPr>
            <w:tcW w:w="7409" w:type="dxa"/>
            <w:gridSpan w:val="3"/>
            <w:noWrap/>
            <w:vAlign w:val="center"/>
          </w:tcPr>
          <w:p w14:paraId="62EDA15B">
            <w:pPr>
              <w:snapToGrid w:val="0"/>
              <w:spacing w:before="93" w:after="93" w:line="400" w:lineRule="exact"/>
              <w:outlineLvl w:val="9"/>
              <w:rPr>
                <w:rFonts w:ascii="仿宋" w:hAnsi="仿宋" w:eastAsia="仿宋" w:cs="仿宋"/>
                <w:color w:val="auto"/>
                <w:sz w:val="24"/>
                <w:szCs w:val="24"/>
              </w:rPr>
            </w:pPr>
          </w:p>
        </w:tc>
      </w:tr>
      <w:tr w14:paraId="656FE50E">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477F6EDC">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企业资质</w:t>
            </w:r>
          </w:p>
        </w:tc>
        <w:tc>
          <w:tcPr>
            <w:tcW w:w="7409" w:type="dxa"/>
            <w:gridSpan w:val="3"/>
            <w:noWrap/>
            <w:vAlign w:val="center"/>
          </w:tcPr>
          <w:p w14:paraId="3ED9BB91">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napToGrid w:val="0"/>
              <w:spacing w:before="156" w:after="156" w:line="400" w:lineRule="exact"/>
              <w:jc w:val="left"/>
              <w:outlineLvl w:val="9"/>
              <w:rPr>
                <w:rFonts w:ascii="仿宋" w:hAnsi="仿宋" w:eastAsia="仿宋" w:cs="仿宋"/>
                <w:b/>
                <w:color w:val="auto"/>
                <w:sz w:val="24"/>
                <w:szCs w:val="24"/>
              </w:rPr>
            </w:pPr>
          </w:p>
        </w:tc>
      </w:tr>
      <w:tr w14:paraId="4CE7423F">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2157" w:type="dxa"/>
            <w:noWrap/>
            <w:vAlign w:val="center"/>
          </w:tcPr>
          <w:p w14:paraId="3FB01548">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权威认证</w:t>
            </w:r>
          </w:p>
        </w:tc>
        <w:tc>
          <w:tcPr>
            <w:tcW w:w="7409" w:type="dxa"/>
            <w:gridSpan w:val="3"/>
            <w:noWrap/>
            <w:vAlign w:val="center"/>
          </w:tcPr>
          <w:p w14:paraId="30DE86E1">
            <w:pPr>
              <w:snapToGrid w:val="0"/>
              <w:spacing w:before="156" w:after="156" w:line="400" w:lineRule="exact"/>
              <w:outlineLvl w:val="9"/>
              <w:rPr>
                <w:rFonts w:ascii="仿宋" w:hAnsi="仿宋" w:eastAsia="仿宋" w:cs="仿宋"/>
                <w:color w:val="auto"/>
                <w:sz w:val="24"/>
                <w:szCs w:val="24"/>
              </w:rPr>
            </w:pPr>
          </w:p>
        </w:tc>
      </w:tr>
      <w:tr w14:paraId="29862D12">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10DB8062">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企业获奖（如有）</w:t>
            </w:r>
          </w:p>
        </w:tc>
        <w:tc>
          <w:tcPr>
            <w:tcW w:w="7409" w:type="dxa"/>
            <w:gridSpan w:val="3"/>
            <w:noWrap/>
            <w:vAlign w:val="center"/>
          </w:tcPr>
          <w:p w14:paraId="40FE031E">
            <w:pPr>
              <w:snapToGrid w:val="0"/>
              <w:spacing w:before="93" w:after="93" w:line="400" w:lineRule="exact"/>
              <w:outlineLvl w:val="9"/>
              <w:rPr>
                <w:rFonts w:ascii="仿宋" w:hAnsi="仿宋" w:eastAsia="仿宋" w:cs="仿宋"/>
                <w:color w:val="auto"/>
                <w:sz w:val="24"/>
                <w:szCs w:val="24"/>
              </w:rPr>
            </w:pPr>
          </w:p>
        </w:tc>
      </w:tr>
      <w:tr w14:paraId="23494B7A">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2157" w:type="dxa"/>
            <w:noWrap/>
            <w:vAlign w:val="center"/>
          </w:tcPr>
          <w:p w14:paraId="13EC5E6B">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备注</w:t>
            </w:r>
          </w:p>
        </w:tc>
        <w:tc>
          <w:tcPr>
            <w:tcW w:w="7409" w:type="dxa"/>
            <w:gridSpan w:val="3"/>
            <w:noWrap/>
            <w:vAlign w:val="center"/>
          </w:tcPr>
          <w:p w14:paraId="2EFC7916">
            <w:pPr>
              <w:snapToGrid w:val="0"/>
              <w:spacing w:before="93" w:after="93" w:line="400" w:lineRule="exact"/>
              <w:outlineLvl w:val="9"/>
              <w:rPr>
                <w:rFonts w:ascii="仿宋" w:hAnsi="仿宋" w:eastAsia="仿宋" w:cs="仿宋"/>
                <w:color w:val="auto"/>
                <w:sz w:val="24"/>
                <w:szCs w:val="24"/>
              </w:rPr>
            </w:pPr>
          </w:p>
        </w:tc>
      </w:tr>
      <w:tr w14:paraId="7E6ABFC4">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66" w:type="dxa"/>
            <w:gridSpan w:val="4"/>
            <w:noWrap/>
            <w:vAlign w:val="center"/>
          </w:tcPr>
          <w:p w14:paraId="5219DE55">
            <w:pPr>
              <w:snapToGrid w:val="0"/>
              <w:spacing w:before="93" w:after="93" w:line="400" w:lineRule="exact"/>
              <w:jc w:val="center"/>
              <w:outlineLvl w:val="9"/>
              <w:rPr>
                <w:rFonts w:ascii="仿宋" w:hAnsi="仿宋" w:eastAsia="仿宋" w:cs="仿宋"/>
                <w:color w:val="auto"/>
                <w:sz w:val="24"/>
                <w:szCs w:val="24"/>
              </w:rPr>
            </w:pPr>
            <w:r>
              <w:rPr>
                <w:rFonts w:hint="eastAsia" w:ascii="仿宋" w:hAnsi="仿宋" w:eastAsia="仿宋" w:cs="仿宋"/>
                <w:color w:val="auto"/>
                <w:sz w:val="24"/>
                <w:szCs w:val="24"/>
              </w:rPr>
              <w:t>投标人联系人信息</w:t>
            </w:r>
          </w:p>
        </w:tc>
      </w:tr>
      <w:tr w14:paraId="66FFC620">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2F40183D">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姓名</w:t>
            </w:r>
          </w:p>
        </w:tc>
        <w:tc>
          <w:tcPr>
            <w:tcW w:w="2708" w:type="dxa"/>
            <w:noWrap/>
            <w:vAlign w:val="center"/>
          </w:tcPr>
          <w:p w14:paraId="4C66D6FC">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297814F6">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手机</w:t>
            </w:r>
          </w:p>
        </w:tc>
        <w:tc>
          <w:tcPr>
            <w:tcW w:w="2966" w:type="dxa"/>
            <w:noWrap/>
            <w:vAlign w:val="center"/>
          </w:tcPr>
          <w:p w14:paraId="5270645E">
            <w:pPr>
              <w:snapToGrid w:val="0"/>
              <w:spacing w:before="93" w:after="93" w:line="400" w:lineRule="exact"/>
              <w:outlineLvl w:val="9"/>
              <w:rPr>
                <w:rFonts w:ascii="仿宋" w:hAnsi="仿宋" w:eastAsia="仿宋" w:cs="仿宋"/>
                <w:color w:val="auto"/>
                <w:sz w:val="24"/>
                <w:szCs w:val="24"/>
              </w:rPr>
            </w:pPr>
          </w:p>
        </w:tc>
      </w:tr>
      <w:tr w14:paraId="75D8AAD9">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4B54471C">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固定电话</w:t>
            </w:r>
          </w:p>
        </w:tc>
        <w:tc>
          <w:tcPr>
            <w:tcW w:w="2708" w:type="dxa"/>
            <w:noWrap/>
            <w:vAlign w:val="center"/>
          </w:tcPr>
          <w:p w14:paraId="30D7B037">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6F56370A">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电子邮箱</w:t>
            </w:r>
          </w:p>
        </w:tc>
        <w:tc>
          <w:tcPr>
            <w:tcW w:w="2966" w:type="dxa"/>
            <w:noWrap/>
            <w:vAlign w:val="center"/>
          </w:tcPr>
          <w:p w14:paraId="55D407F0">
            <w:pPr>
              <w:snapToGrid w:val="0"/>
              <w:spacing w:before="93" w:after="93" w:line="400" w:lineRule="exact"/>
              <w:outlineLvl w:val="9"/>
              <w:rPr>
                <w:rFonts w:ascii="仿宋" w:hAnsi="仿宋" w:eastAsia="仿宋" w:cs="仿宋"/>
                <w:color w:val="auto"/>
                <w:sz w:val="24"/>
                <w:szCs w:val="24"/>
              </w:rPr>
            </w:pPr>
          </w:p>
        </w:tc>
      </w:tr>
      <w:tr w14:paraId="7CF3CD47">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66" w:type="dxa"/>
            <w:gridSpan w:val="4"/>
            <w:tcBorders>
              <w:bottom w:val="thinThickSmallGap" w:color="auto" w:sz="12" w:space="0"/>
            </w:tcBorders>
            <w:noWrap/>
            <w:vAlign w:val="center"/>
          </w:tcPr>
          <w:p w14:paraId="0D15F57D">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企业简介：（可另附页或企业对外宣传手册）</w:t>
            </w:r>
          </w:p>
        </w:tc>
      </w:tr>
    </w:tbl>
    <w:p w14:paraId="6D10B844">
      <w:pPr>
        <w:pStyle w:val="22"/>
        <w:spacing w:line="420" w:lineRule="exact"/>
        <w:ind w:firstLine="0" w:firstLineChars="0"/>
        <w:outlineLvl w:val="9"/>
        <w:rPr>
          <w:rFonts w:ascii="仿宋" w:hAnsi="仿宋" w:eastAsia="仿宋" w:cs="仿宋"/>
          <w:b/>
          <w:color w:val="auto"/>
          <w:sz w:val="24"/>
        </w:rPr>
      </w:pPr>
    </w:p>
    <w:p w14:paraId="7959D91C">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1B09F762">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197A64E5">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6E740ABA">
      <w:pPr>
        <w:pStyle w:val="18"/>
        <w:ind w:left="2250" w:hanging="1200"/>
        <w:outlineLvl w:val="9"/>
        <w:rPr>
          <w:color w:val="auto"/>
        </w:rPr>
        <w:sectPr>
          <w:pgSz w:w="11906" w:h="16838"/>
          <w:pgMar w:top="1440" w:right="1800" w:bottom="1440" w:left="1800" w:header="851" w:footer="992" w:gutter="0"/>
          <w:pgNumType w:fmt="decimal"/>
          <w:cols w:space="425" w:num="1"/>
          <w:docGrid w:type="lines" w:linePitch="312" w:charSpace="0"/>
        </w:sectPr>
      </w:pPr>
    </w:p>
    <w:p w14:paraId="5B747007">
      <w:pPr>
        <w:spacing w:line="360" w:lineRule="auto"/>
        <w:jc w:val="center"/>
        <w:outlineLvl w:val="9"/>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2.</w:t>
      </w:r>
      <w:r>
        <w:rPr>
          <w:rFonts w:hint="eastAsia" w:ascii="仿宋" w:hAnsi="仿宋" w:eastAsia="仿宋" w:cs="仿宋"/>
          <w:color w:val="auto"/>
          <w:sz w:val="28"/>
          <w:szCs w:val="28"/>
          <w:highlight w:val="none"/>
          <w:lang w:eastAsia="zh-CN"/>
        </w:rPr>
        <w:t>法定代表人（负责人）</w:t>
      </w:r>
      <w:r>
        <w:rPr>
          <w:rFonts w:hint="eastAsia" w:ascii="仿宋" w:hAnsi="仿宋" w:eastAsia="仿宋" w:cs="仿宋"/>
          <w:color w:val="auto"/>
          <w:sz w:val="28"/>
          <w:szCs w:val="28"/>
          <w:highlight w:val="none"/>
        </w:rPr>
        <w:t>身份证明</w:t>
      </w:r>
    </w:p>
    <w:p w14:paraId="41F97F25">
      <w:pPr>
        <w:pStyle w:val="12"/>
        <w:keepNext w:val="0"/>
        <w:keepLines w:val="0"/>
        <w:pageBreakBefore w:val="0"/>
        <w:widowControl w:val="0"/>
        <w:kinsoku/>
        <w:wordWrap/>
        <w:overflowPunct/>
        <w:topLinePunct w:val="0"/>
        <w:autoSpaceDE/>
        <w:autoSpaceDN/>
        <w:bidi w:val="0"/>
        <w:adjustRightInd/>
        <w:snapToGrid/>
        <w:spacing w:line="240" w:lineRule="auto"/>
        <w:ind w:firstLine="700" w:firstLineChars="250"/>
        <w:textAlignment w:val="auto"/>
        <w:outlineLvl w:val="9"/>
        <w:rPr>
          <w:rFonts w:hint="eastAsia" w:ascii="仿宋" w:hAnsi="仿宋" w:eastAsia="仿宋" w:cs="仿宋"/>
          <w:color w:val="auto"/>
          <w:sz w:val="28"/>
          <w:szCs w:val="28"/>
          <w:highlight w:val="none"/>
        </w:rPr>
      </w:pPr>
    </w:p>
    <w:p w14:paraId="04286E42">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B35DBF2">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4C617B7">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p>
    <w:p w14:paraId="21B0F6D5">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3DB4EED">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320849BC">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5EEF6C07">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系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（投标人名称）的</w:t>
      </w: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w:t>
      </w:r>
    </w:p>
    <w:p w14:paraId="6D4020E7">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3E59F1E5">
      <w:pPr>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仿宋" w:hAnsi="仿宋" w:eastAsia="仿宋" w:cs="仿宋"/>
          <w:color w:val="auto"/>
          <w:sz w:val="24"/>
          <w:szCs w:val="24"/>
          <w:highlight w:val="none"/>
        </w:rPr>
      </w:pPr>
    </w:p>
    <w:p w14:paraId="586F4FBB">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11CFE2AC">
      <w:pPr>
        <w:keepNext w:val="0"/>
        <w:keepLines w:val="0"/>
        <w:pageBreakBefore w:val="0"/>
        <w:widowControl w:val="0"/>
        <w:kinsoku/>
        <w:wordWrap/>
        <w:overflowPunct/>
        <w:topLinePunct w:val="0"/>
        <w:autoSpaceDE/>
        <w:autoSpaceDN/>
        <w:bidi w:val="0"/>
        <w:adjustRightInd/>
        <w:snapToGrid w:val="0"/>
        <w:spacing w:line="480" w:lineRule="auto"/>
        <w:ind w:right="-817" w:rightChars="-389"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257ECF5C">
      <w:pPr>
        <w:keepNext w:val="0"/>
        <w:keepLines w:val="0"/>
        <w:pageBreakBefore w:val="0"/>
        <w:widowControl w:val="0"/>
        <w:kinsoku/>
        <w:wordWrap/>
        <w:overflowPunct/>
        <w:topLinePunct w:val="0"/>
        <w:autoSpaceDE/>
        <w:autoSpaceDN/>
        <w:bidi w:val="0"/>
        <w:adjustRightInd/>
        <w:snapToGrid/>
        <w:spacing w:line="480" w:lineRule="auto"/>
        <w:jc w:val="right"/>
        <w:textAlignment w:val="auto"/>
        <w:outlineLvl w:val="9"/>
        <w:rPr>
          <w:rFonts w:hint="eastAsia" w:ascii="仿宋" w:hAnsi="仿宋" w:eastAsia="仿宋" w:cs="仿宋"/>
          <w:color w:val="auto"/>
          <w:sz w:val="24"/>
          <w:szCs w:val="24"/>
          <w:highlight w:val="none"/>
        </w:rPr>
      </w:pPr>
    </w:p>
    <w:p w14:paraId="7560006A">
      <w:pPr>
        <w:spacing w:line="360" w:lineRule="auto"/>
        <w:jc w:val="center"/>
        <w:outlineLvl w:val="9"/>
        <w:rPr>
          <w:rFonts w:hint="eastAsia" w:ascii="仿宋" w:hAnsi="仿宋" w:eastAsia="仿宋" w:cs="仿宋"/>
          <w:color w:val="auto"/>
          <w:sz w:val="24"/>
          <w:szCs w:val="24"/>
          <w:highlight w:val="none"/>
        </w:rPr>
      </w:pPr>
    </w:p>
    <w:p w14:paraId="2544BA69">
      <w:pPr>
        <w:pStyle w:val="12"/>
        <w:spacing w:line="360" w:lineRule="auto"/>
        <w:ind w:firstLine="602" w:firstLineChars="250"/>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w:t>
      </w:r>
      <w:r>
        <w:rPr>
          <w:rFonts w:hint="eastAsia" w:ascii="仿宋" w:hAnsi="仿宋" w:eastAsia="仿宋" w:cs="仿宋"/>
          <w:b/>
          <w:bCs/>
          <w:color w:val="auto"/>
          <w:sz w:val="24"/>
          <w:szCs w:val="24"/>
          <w:highlight w:val="none"/>
          <w:lang w:eastAsia="zh-CN"/>
        </w:rPr>
        <w:t>法定代表人（负责人）</w:t>
      </w:r>
      <w:r>
        <w:rPr>
          <w:rFonts w:hint="eastAsia" w:ascii="仿宋" w:hAnsi="仿宋" w:eastAsia="仿宋" w:cs="仿宋"/>
          <w:b/>
          <w:bCs/>
          <w:color w:val="auto"/>
          <w:sz w:val="24"/>
          <w:szCs w:val="24"/>
          <w:highlight w:val="none"/>
        </w:rPr>
        <w:t>身份证复印件</w:t>
      </w:r>
    </w:p>
    <w:p w14:paraId="1F2B76F2">
      <w:pPr>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br w:type="page"/>
      </w:r>
    </w:p>
    <w:p w14:paraId="6CE72E9D">
      <w:pPr>
        <w:spacing w:line="600" w:lineRule="exact"/>
        <w:jc w:val="center"/>
        <w:outlineLvl w:val="9"/>
        <w:rPr>
          <w:rFonts w:ascii="仿宋" w:hAnsi="仿宋" w:eastAsia="仿宋" w:cs="仿宋"/>
          <w:color w:val="auto"/>
          <w:sz w:val="28"/>
          <w:szCs w:val="28"/>
        </w:rPr>
      </w:pPr>
      <w:r>
        <w:rPr>
          <w:rFonts w:hint="eastAsia" w:ascii="仿宋" w:hAnsi="仿宋" w:eastAsia="仿宋" w:cs="仿宋"/>
          <w:bCs/>
          <w:color w:val="auto"/>
          <w:sz w:val="28"/>
          <w:szCs w:val="28"/>
        </w:rPr>
        <w:t xml:space="preserve">3.法定代表人（负责人）授权书 </w:t>
      </w:r>
    </w:p>
    <w:p w14:paraId="4387800F">
      <w:pPr>
        <w:spacing w:line="360" w:lineRule="auto"/>
        <w:jc w:val="left"/>
        <w:outlineLvl w:val="9"/>
        <w:rPr>
          <w:rFonts w:hint="eastAsia" w:ascii="仿宋" w:hAnsi="仿宋" w:eastAsia="仿宋" w:cs="仿宋"/>
          <w:color w:val="auto"/>
          <w:sz w:val="24"/>
          <w:szCs w:val="24"/>
        </w:rPr>
      </w:pPr>
    </w:p>
    <w:p w14:paraId="12381672">
      <w:pPr>
        <w:spacing w:line="360" w:lineRule="auto"/>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lang w:eastAsia="zh-CN"/>
        </w:rPr>
        <w:t>马迭尔食品（浙江）有限公司</w:t>
      </w:r>
      <w:r>
        <w:rPr>
          <w:rFonts w:hint="eastAsia" w:ascii="仿宋" w:hAnsi="仿宋" w:eastAsia="仿宋" w:cs="仿宋"/>
          <w:color w:val="auto"/>
          <w:sz w:val="24"/>
          <w:szCs w:val="24"/>
        </w:rPr>
        <w:t>：</w:t>
      </w:r>
    </w:p>
    <w:p w14:paraId="04A4BAB7">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（投标人全称）法定代表人（负责人）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授权</w:t>
      </w:r>
      <w:r>
        <w:rPr>
          <w:rFonts w:hint="eastAsia" w:ascii="仿宋" w:hAnsi="仿宋" w:eastAsia="仿宋" w:cs="仿宋"/>
          <w:color w:val="auto"/>
          <w:sz w:val="24"/>
          <w:szCs w:val="24"/>
          <w:u w:val="single"/>
        </w:rPr>
        <w:t xml:space="preserve">       （全权代表姓名）</w:t>
      </w:r>
      <w:r>
        <w:rPr>
          <w:rFonts w:hint="eastAsia" w:ascii="仿宋" w:hAnsi="仿宋" w:eastAsia="仿宋" w:cs="仿宋"/>
          <w:color w:val="auto"/>
          <w:sz w:val="24"/>
          <w:szCs w:val="24"/>
        </w:rPr>
        <w:t>为全权代表，参加贵方组织的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u w:val="single"/>
        </w:rPr>
        <w:t>项目</w:t>
      </w:r>
      <w:r>
        <w:rPr>
          <w:rFonts w:hint="eastAsia" w:ascii="仿宋" w:hAnsi="仿宋" w:eastAsia="仿宋" w:cs="仿宋"/>
          <w:color w:val="auto"/>
          <w:sz w:val="24"/>
          <w:szCs w:val="24"/>
          <w:u w:val="single"/>
          <w:lang w:val="en-US" w:eastAsia="zh-CN"/>
        </w:rPr>
        <w:t>名称</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rPr>
        <w:t>（项目编号：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），并全权处理采购活动中的一切事宜。</w:t>
      </w:r>
    </w:p>
    <w:p w14:paraId="7C86F4CA">
      <w:pPr>
        <w:spacing w:line="360" w:lineRule="auto"/>
        <w:outlineLvl w:val="9"/>
        <w:rPr>
          <w:rFonts w:hint="eastAsia" w:ascii="仿宋" w:hAnsi="仿宋" w:eastAsia="仿宋" w:cs="仿宋"/>
          <w:color w:val="auto"/>
          <w:sz w:val="24"/>
          <w:szCs w:val="24"/>
        </w:rPr>
      </w:pPr>
    </w:p>
    <w:p w14:paraId="1EF777E0">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投标人名称：</w:t>
      </w:r>
      <w:r>
        <w:rPr>
          <w:rFonts w:hint="eastAsia" w:ascii="仿宋" w:hAnsi="仿宋" w:eastAsia="仿宋" w:cs="仿宋"/>
          <w:color w:val="auto"/>
          <w:sz w:val="24"/>
          <w:szCs w:val="24"/>
          <w:u w:val="single"/>
        </w:rPr>
        <w:t>（</w:t>
      </w:r>
      <w:r>
        <w:rPr>
          <w:rFonts w:hint="eastAsia" w:ascii="仿宋" w:hAnsi="仿宋" w:eastAsia="仿宋" w:cs="仿宋"/>
          <w:color w:val="auto"/>
          <w:sz w:val="24"/>
          <w:szCs w:val="24"/>
          <w:u w:val="single"/>
          <w:lang w:val="en-US" w:eastAsia="zh-CN"/>
        </w:rPr>
        <w:t>盖章</w:t>
      </w:r>
      <w:r>
        <w:rPr>
          <w:rFonts w:hint="eastAsia" w:ascii="仿宋" w:hAnsi="仿宋" w:eastAsia="仿宋" w:cs="仿宋"/>
          <w:color w:val="auto"/>
          <w:sz w:val="24"/>
          <w:szCs w:val="24"/>
          <w:u w:val="single"/>
        </w:rPr>
        <w:t>）</w:t>
      </w:r>
    </w:p>
    <w:p w14:paraId="12350618">
      <w:pPr>
        <w:spacing w:line="360" w:lineRule="auto"/>
        <w:outlineLvl w:val="9"/>
        <w:rPr>
          <w:rFonts w:ascii="仿宋" w:hAnsi="仿宋" w:eastAsia="仿宋" w:cs="仿宋"/>
          <w:color w:val="auto"/>
          <w:sz w:val="24"/>
          <w:szCs w:val="24"/>
          <w:u w:val="single"/>
        </w:rPr>
      </w:pPr>
      <w:r>
        <w:rPr>
          <w:rFonts w:hint="eastAsia" w:ascii="仿宋" w:hAnsi="仿宋" w:eastAsia="仿宋" w:cs="仿宋"/>
          <w:color w:val="auto"/>
          <w:sz w:val="24"/>
          <w:szCs w:val="24"/>
        </w:rPr>
        <w:t>法定代表人</w:t>
      </w:r>
      <w:r>
        <w:rPr>
          <w:rFonts w:hint="eastAsia" w:ascii="仿宋" w:hAnsi="仿宋" w:eastAsia="仿宋" w:cs="仿宋"/>
          <w:bCs/>
          <w:color w:val="auto"/>
          <w:sz w:val="24"/>
          <w:szCs w:val="24"/>
        </w:rPr>
        <w:t>（负责人）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u w:val="single"/>
        </w:rPr>
        <w:t>签字或盖章</w:t>
      </w:r>
      <w:r>
        <w:rPr>
          <w:rFonts w:hint="eastAsia" w:ascii="仿宋" w:hAnsi="仿宋" w:eastAsia="仿宋" w:cs="仿宋"/>
          <w:color w:val="auto"/>
          <w:sz w:val="24"/>
          <w:szCs w:val="24"/>
          <w:u w:val="single"/>
          <w:lang w:eastAsia="zh-CN"/>
        </w:rPr>
        <w:t>）</w:t>
      </w:r>
    </w:p>
    <w:p w14:paraId="13F35609">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年   月   日</w:t>
      </w:r>
    </w:p>
    <w:p w14:paraId="306770E4">
      <w:pPr>
        <w:spacing w:line="360" w:lineRule="auto"/>
        <w:outlineLvl w:val="9"/>
        <w:rPr>
          <w:rFonts w:ascii="仿宋" w:hAnsi="仿宋" w:eastAsia="仿宋" w:cs="仿宋"/>
          <w:color w:val="auto"/>
          <w:sz w:val="24"/>
          <w:szCs w:val="24"/>
        </w:rPr>
      </w:pPr>
    </w:p>
    <w:p w14:paraId="2FB3E504">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附：</w:t>
      </w:r>
    </w:p>
    <w:p w14:paraId="690399AE">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授权代表姓名：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性别：</w:t>
      </w:r>
    </w:p>
    <w:p w14:paraId="04979008">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职务：                     职称：</w:t>
      </w:r>
    </w:p>
    <w:p w14:paraId="3595CF9A">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详细通讯地址：</w:t>
      </w:r>
    </w:p>
    <w:p w14:paraId="1B33318E">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电话：                     传真：</w:t>
      </w:r>
    </w:p>
    <w:p w14:paraId="7501BA46">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移动电话：</w:t>
      </w:r>
    </w:p>
    <w:p w14:paraId="6C2AE10F">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邮政编码：</w:t>
      </w:r>
    </w:p>
    <w:p w14:paraId="79A79972">
      <w:pPr>
        <w:spacing w:line="360" w:lineRule="auto"/>
        <w:outlineLvl w:val="9"/>
        <w:rPr>
          <w:rFonts w:ascii="仿宋" w:hAnsi="仿宋" w:eastAsia="仿宋" w:cs="仿宋"/>
          <w:b/>
          <w:color w:val="auto"/>
          <w:sz w:val="24"/>
          <w:szCs w:val="24"/>
        </w:rPr>
      </w:pPr>
    </w:p>
    <w:p w14:paraId="5B132FED">
      <w:pPr>
        <w:spacing w:line="360" w:lineRule="auto"/>
        <w:outlineLvl w:val="9"/>
        <w:rPr>
          <w:rFonts w:ascii="仿宋" w:hAnsi="仿宋" w:eastAsia="仿宋" w:cs="仿宋"/>
          <w:b/>
          <w:color w:val="auto"/>
          <w:sz w:val="24"/>
          <w:szCs w:val="24"/>
        </w:rPr>
      </w:pPr>
      <w:r>
        <w:rPr>
          <w:rFonts w:hint="eastAsia" w:ascii="仿宋" w:hAnsi="仿宋" w:eastAsia="仿宋" w:cs="仿宋"/>
          <w:b/>
          <w:color w:val="auto"/>
          <w:sz w:val="24"/>
          <w:szCs w:val="24"/>
          <w:lang w:eastAsia="zh-CN"/>
        </w:rPr>
        <w:t>法定代表人（负责人）</w:t>
      </w:r>
      <w:r>
        <w:rPr>
          <w:rFonts w:hint="eastAsia" w:ascii="仿宋" w:hAnsi="仿宋" w:eastAsia="仿宋" w:cs="仿宋"/>
          <w:b/>
          <w:color w:val="auto"/>
          <w:sz w:val="24"/>
          <w:szCs w:val="24"/>
        </w:rPr>
        <w:t>身份证复印件：</w:t>
      </w:r>
    </w:p>
    <w:p w14:paraId="6AD88A01">
      <w:pPr>
        <w:spacing w:line="360" w:lineRule="auto"/>
        <w:outlineLvl w:val="9"/>
        <w:rPr>
          <w:rFonts w:ascii="仿宋" w:hAnsi="仿宋" w:eastAsia="仿宋" w:cs="仿宋"/>
          <w:b/>
          <w:color w:val="auto"/>
          <w:sz w:val="24"/>
          <w:szCs w:val="24"/>
        </w:rPr>
      </w:pPr>
    </w:p>
    <w:p w14:paraId="5CF3134E">
      <w:pPr>
        <w:spacing w:line="360" w:lineRule="auto"/>
        <w:outlineLvl w:val="9"/>
        <w:rPr>
          <w:rFonts w:ascii="仿宋" w:hAnsi="仿宋" w:eastAsia="仿宋" w:cs="仿宋"/>
          <w:b/>
          <w:color w:val="auto"/>
          <w:sz w:val="24"/>
          <w:szCs w:val="24"/>
        </w:rPr>
      </w:pPr>
      <w:r>
        <w:rPr>
          <w:rFonts w:hint="eastAsia" w:ascii="仿宋" w:hAnsi="仿宋" w:eastAsia="仿宋" w:cs="仿宋"/>
          <w:b/>
          <w:color w:val="auto"/>
          <w:sz w:val="24"/>
          <w:szCs w:val="24"/>
        </w:rPr>
        <w:t>授权</w:t>
      </w:r>
      <w:r>
        <w:rPr>
          <w:rFonts w:hint="eastAsia" w:ascii="仿宋" w:hAnsi="仿宋" w:eastAsia="仿宋" w:cs="仿宋"/>
          <w:b/>
          <w:color w:val="auto"/>
          <w:sz w:val="24"/>
          <w:szCs w:val="24"/>
          <w:lang w:val="en-US" w:eastAsia="zh-CN"/>
        </w:rPr>
        <w:t>代表</w:t>
      </w:r>
      <w:r>
        <w:rPr>
          <w:rFonts w:hint="eastAsia" w:ascii="仿宋" w:hAnsi="仿宋" w:eastAsia="仿宋" w:cs="仿宋"/>
          <w:b/>
          <w:color w:val="auto"/>
          <w:sz w:val="24"/>
          <w:szCs w:val="24"/>
        </w:rPr>
        <w:t>身份证复印件：</w:t>
      </w:r>
    </w:p>
    <w:p w14:paraId="6BE453E6">
      <w:pPr>
        <w:outlineLvl w:val="9"/>
        <w:rPr>
          <w:color w:val="auto"/>
        </w:rPr>
        <w:sectPr>
          <w:pgSz w:w="11906" w:h="16838"/>
          <w:pgMar w:top="1440" w:right="1800" w:bottom="1440" w:left="1800" w:header="851" w:footer="992" w:gutter="0"/>
          <w:pgNumType w:fmt="decimal"/>
          <w:cols w:space="425" w:num="1"/>
          <w:docGrid w:type="lines" w:linePitch="312" w:charSpace="0"/>
        </w:sectPr>
      </w:pPr>
    </w:p>
    <w:p w14:paraId="793DED06">
      <w:pPr>
        <w:numPr>
          <w:ilvl w:val="0"/>
          <w:numId w:val="3"/>
        </w:numPr>
        <w:adjustRightInd w:val="0"/>
        <w:jc w:val="center"/>
        <w:textAlignment w:val="baseline"/>
        <w:outlineLvl w:val="9"/>
        <w:rPr>
          <w:rFonts w:ascii="仿宋" w:hAnsi="仿宋" w:eastAsia="仿宋" w:cs="仿宋"/>
          <w:bCs/>
          <w:color w:val="auto"/>
          <w:sz w:val="28"/>
          <w:szCs w:val="28"/>
        </w:rPr>
      </w:pPr>
      <w:r>
        <w:rPr>
          <w:rFonts w:hint="eastAsia" w:ascii="仿宋" w:hAnsi="仿宋" w:eastAsia="仿宋" w:cs="仿宋"/>
          <w:bCs/>
          <w:color w:val="auto"/>
          <w:sz w:val="28"/>
          <w:szCs w:val="28"/>
        </w:rPr>
        <w:t>有效期内的营业执照（或事业法人登记证书</w:t>
      </w:r>
      <w:r>
        <w:rPr>
          <w:rFonts w:hint="eastAsia" w:ascii="仿宋" w:hAnsi="仿宋" w:eastAsia="仿宋" w:cs="仿宋"/>
          <w:bCs/>
          <w:color w:val="auto"/>
          <w:sz w:val="28"/>
          <w:szCs w:val="28"/>
          <w:lang w:eastAsia="zh-CN"/>
        </w:rPr>
        <w:t>或其他</w:t>
      </w:r>
      <w:r>
        <w:rPr>
          <w:rFonts w:hint="eastAsia" w:ascii="仿宋" w:hAnsi="仿宋" w:eastAsia="仿宋" w:cs="仿宋"/>
          <w:bCs/>
          <w:color w:val="auto"/>
          <w:sz w:val="28"/>
          <w:szCs w:val="28"/>
        </w:rPr>
        <w:t>工商等登记证明材料）扫描件</w:t>
      </w:r>
    </w:p>
    <w:p w14:paraId="63DA0B79">
      <w:pPr>
        <w:bidi w:val="0"/>
        <w:rPr>
          <w:rFonts w:ascii="Times New Roman" w:hAnsi="Times New Roman" w:eastAsia="宋体" w:cs="Times New Roman"/>
          <w:kern w:val="2"/>
          <w:sz w:val="21"/>
          <w:lang w:val="en-US" w:eastAsia="zh-CN" w:bidi="ar-SA"/>
        </w:rPr>
      </w:pPr>
    </w:p>
    <w:p w14:paraId="4C6403E9">
      <w:pPr>
        <w:bidi w:val="0"/>
        <w:rPr>
          <w:lang w:val="en-US" w:eastAsia="zh-CN"/>
        </w:rPr>
      </w:pPr>
    </w:p>
    <w:p w14:paraId="291213BB">
      <w:pPr>
        <w:bidi w:val="0"/>
        <w:rPr>
          <w:lang w:val="en-US" w:eastAsia="zh-CN"/>
        </w:rPr>
      </w:pPr>
    </w:p>
    <w:p w14:paraId="6EB85620">
      <w:pPr>
        <w:bidi w:val="0"/>
        <w:rPr>
          <w:lang w:val="en-US" w:eastAsia="zh-CN"/>
        </w:rPr>
      </w:pPr>
    </w:p>
    <w:p w14:paraId="297F0C9A">
      <w:pPr>
        <w:numPr>
          <w:ilvl w:val="0"/>
          <w:numId w:val="0"/>
        </w:numPr>
        <w:adjustRightInd w:val="0"/>
        <w:jc w:val="both"/>
        <w:textAlignment w:val="baseline"/>
        <w:outlineLvl w:val="9"/>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5.</w:t>
      </w:r>
      <w:r>
        <w:rPr>
          <w:rFonts w:hint="eastAsia" w:ascii="仿宋" w:hAnsi="仿宋" w:eastAsia="仿宋" w:cs="仿宋"/>
          <w:bCs/>
          <w:color w:val="auto"/>
          <w:sz w:val="28"/>
          <w:szCs w:val="28"/>
          <w:highlight w:val="none"/>
          <w:lang w:eastAsia="zh-CN"/>
        </w:rPr>
        <w:t>投标人</w:t>
      </w:r>
      <w:r>
        <w:rPr>
          <w:rFonts w:hint="eastAsia" w:ascii="仿宋" w:hAnsi="仿宋" w:eastAsia="仿宋" w:cs="仿宋"/>
          <w:bCs/>
          <w:color w:val="auto"/>
          <w:sz w:val="28"/>
          <w:szCs w:val="28"/>
          <w:highlight w:val="none"/>
        </w:rPr>
        <w:t>须具有有效的《道路运输许可证》</w:t>
      </w:r>
    </w:p>
    <w:p w14:paraId="74CBF876">
      <w:pPr>
        <w:bidi w:val="0"/>
        <w:rPr>
          <w:lang w:val="en-US" w:eastAsia="zh-CN"/>
        </w:rPr>
      </w:pPr>
    </w:p>
    <w:p w14:paraId="3E74DC66">
      <w:pPr>
        <w:bidi w:val="0"/>
        <w:rPr>
          <w:lang w:val="en-US" w:eastAsia="zh-CN"/>
        </w:rPr>
      </w:pPr>
    </w:p>
    <w:p w14:paraId="13300282">
      <w:pPr>
        <w:bidi w:val="0"/>
        <w:rPr>
          <w:lang w:val="en-US" w:eastAsia="zh-CN"/>
        </w:rPr>
      </w:pPr>
    </w:p>
    <w:p w14:paraId="5F12B97C">
      <w:pPr>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br w:type="page"/>
      </w:r>
    </w:p>
    <w:p w14:paraId="63219C73">
      <w:pPr>
        <w:adjustRightInd w:val="0"/>
        <w:jc w:val="center"/>
        <w:textAlignment w:val="baseline"/>
        <w:outlineLvl w:val="9"/>
        <w:rPr>
          <w:rFonts w:ascii="仿宋" w:hAnsi="仿宋" w:eastAsia="仿宋" w:cs="仿宋"/>
          <w:b/>
          <w:color w:val="auto"/>
          <w:sz w:val="32"/>
          <w:szCs w:val="32"/>
        </w:rPr>
      </w:pPr>
      <w:r>
        <w:rPr>
          <w:rFonts w:hint="eastAsia" w:ascii="仿宋" w:hAnsi="仿宋" w:eastAsia="仿宋" w:cs="仿宋"/>
          <w:bCs/>
          <w:color w:val="auto"/>
          <w:sz w:val="28"/>
          <w:szCs w:val="28"/>
          <w:lang w:val="en-US" w:eastAsia="zh-CN"/>
        </w:rPr>
        <w:t>6</w:t>
      </w:r>
      <w:r>
        <w:rPr>
          <w:rFonts w:hint="eastAsia" w:ascii="仿宋" w:hAnsi="仿宋" w:eastAsia="仿宋" w:cs="仿宋"/>
          <w:bCs/>
          <w:color w:val="auto"/>
          <w:sz w:val="28"/>
          <w:szCs w:val="28"/>
        </w:rPr>
        <w:t>.符合参加国企采购活动应当具备的一般条件的承诺函</w:t>
      </w:r>
    </w:p>
    <w:p w14:paraId="4D98D219">
      <w:pPr>
        <w:spacing w:line="360" w:lineRule="auto"/>
        <w:outlineLvl w:val="9"/>
        <w:rPr>
          <w:rFonts w:ascii="仿宋" w:hAnsi="仿宋" w:eastAsia="仿宋" w:cs="仿宋"/>
          <w:color w:val="auto"/>
        </w:rPr>
      </w:pPr>
    </w:p>
    <w:p w14:paraId="611D9CFC">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致：</w:t>
      </w:r>
      <w:r>
        <w:rPr>
          <w:rFonts w:hint="eastAsia" w:ascii="仿宋" w:hAnsi="仿宋" w:eastAsia="仿宋" w:cs="仿宋"/>
          <w:bCs/>
          <w:color w:val="auto"/>
          <w:kern w:val="0"/>
          <w:sz w:val="24"/>
          <w:szCs w:val="24"/>
          <w:u w:val="single"/>
        </w:rPr>
        <w:t xml:space="preserve">    </w:t>
      </w:r>
      <w:r>
        <w:rPr>
          <w:rFonts w:hint="eastAsia" w:ascii="仿宋" w:hAnsi="仿宋" w:eastAsia="仿宋" w:cs="仿宋"/>
          <w:bCs/>
          <w:color w:val="auto"/>
          <w:kern w:val="0"/>
          <w:sz w:val="24"/>
          <w:szCs w:val="24"/>
          <w:u w:val="single"/>
          <w:lang w:val="en-US" w:eastAsia="zh-CN"/>
        </w:rPr>
        <w:t xml:space="preserve">    </w:t>
      </w:r>
      <w:r>
        <w:rPr>
          <w:rFonts w:hint="eastAsia" w:ascii="仿宋" w:hAnsi="仿宋" w:eastAsia="仿宋" w:cs="仿宋"/>
          <w:bCs/>
          <w:color w:val="auto"/>
          <w:kern w:val="0"/>
          <w:sz w:val="24"/>
          <w:szCs w:val="24"/>
          <w:u w:val="single"/>
        </w:rPr>
        <w:t xml:space="preserve">     </w:t>
      </w:r>
      <w:r>
        <w:rPr>
          <w:rFonts w:hint="eastAsia" w:ascii="仿宋" w:hAnsi="仿宋" w:eastAsia="仿宋" w:cs="仿宋"/>
          <w:bCs/>
          <w:color w:val="auto"/>
          <w:kern w:val="0"/>
          <w:sz w:val="24"/>
          <w:szCs w:val="24"/>
          <w:lang w:val="zh-CN"/>
        </w:rPr>
        <w:t>（招标人）</w:t>
      </w:r>
    </w:p>
    <w:p w14:paraId="4A929049">
      <w:pPr>
        <w:pStyle w:val="19"/>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我方参加</w:t>
      </w:r>
      <w:r>
        <w:rPr>
          <w:rFonts w:hint="eastAsia" w:ascii="仿宋" w:hAnsi="仿宋" w:eastAsia="仿宋" w:cs="仿宋"/>
          <w:color w:val="auto"/>
          <w:sz w:val="24"/>
          <w:szCs w:val="24"/>
          <w:u w:val="single"/>
        </w:rPr>
        <w:t xml:space="preserve">       项目名称（项目编号：    ）</w:t>
      </w:r>
      <w:r>
        <w:rPr>
          <w:rFonts w:hint="eastAsia" w:ascii="仿宋" w:hAnsi="仿宋" w:eastAsia="仿宋" w:cs="仿宋"/>
          <w:color w:val="auto"/>
          <w:sz w:val="24"/>
          <w:szCs w:val="24"/>
        </w:rPr>
        <w:t>采购活动，郑重承诺：</w:t>
      </w:r>
    </w:p>
    <w:p w14:paraId="36C96A26">
      <w:pPr>
        <w:spacing w:line="360" w:lineRule="auto"/>
        <w:ind w:firstLine="480" w:firstLineChars="200"/>
        <w:outlineLvl w:val="9"/>
        <w:rPr>
          <w:rFonts w:ascii="仿宋" w:hAnsi="仿宋" w:eastAsia="仿宋" w:cs="仿宋"/>
          <w:color w:val="auto"/>
          <w:sz w:val="24"/>
          <w:szCs w:val="24"/>
        </w:rPr>
      </w:pPr>
      <w:bookmarkStart w:id="120" w:name="_Toc41"/>
      <w:bookmarkStart w:id="121" w:name="_Toc720"/>
      <w:bookmarkStart w:id="122" w:name="_Toc26842"/>
      <w:bookmarkStart w:id="123" w:name="_Toc27259"/>
      <w:bookmarkStart w:id="124" w:name="_Toc11246"/>
      <w:bookmarkStart w:id="125" w:name="_Toc11593"/>
      <w:bookmarkStart w:id="126" w:name="_Toc21843"/>
      <w:bookmarkStart w:id="127" w:name="_Toc7663"/>
      <w:bookmarkStart w:id="128" w:name="_Toc6784"/>
      <w:bookmarkStart w:id="129" w:name="_Toc10062"/>
      <w:r>
        <w:rPr>
          <w:rFonts w:hint="eastAsia" w:ascii="仿宋" w:hAnsi="仿宋" w:eastAsia="仿宋" w:cs="仿宋"/>
          <w:color w:val="auto"/>
          <w:sz w:val="24"/>
          <w:szCs w:val="24"/>
        </w:rPr>
        <w:t>一、</w:t>
      </w:r>
      <w:bookmarkEnd w:id="120"/>
      <w:bookmarkEnd w:id="121"/>
      <w:bookmarkEnd w:id="122"/>
      <w:bookmarkEnd w:id="123"/>
      <w:bookmarkEnd w:id="124"/>
      <w:bookmarkEnd w:id="125"/>
      <w:bookmarkEnd w:id="126"/>
      <w:r>
        <w:rPr>
          <w:rFonts w:hint="eastAsia" w:ascii="仿宋" w:hAnsi="仿宋" w:eastAsia="仿宋" w:cs="仿宋"/>
          <w:color w:val="auto"/>
          <w:sz w:val="24"/>
          <w:szCs w:val="24"/>
          <w:lang w:val="zh-CN"/>
        </w:rPr>
        <w:t>符合《</w:t>
      </w:r>
      <w:r>
        <w:rPr>
          <w:rFonts w:hint="eastAsia" w:ascii="仿宋" w:hAnsi="仿宋" w:eastAsia="仿宋" w:cs="仿宋"/>
          <w:color w:val="auto"/>
          <w:sz w:val="24"/>
          <w:szCs w:val="24"/>
        </w:rPr>
        <w:t>衢州市国有企业采购管理办法（试行）</w:t>
      </w:r>
      <w:r>
        <w:rPr>
          <w:rFonts w:hint="eastAsia" w:ascii="仿宋" w:hAnsi="仿宋" w:eastAsia="仿宋" w:cs="仿宋"/>
          <w:color w:val="auto"/>
          <w:sz w:val="24"/>
          <w:szCs w:val="24"/>
          <w:lang w:val="zh-CN"/>
        </w:rPr>
        <w:t>》第</w:t>
      </w:r>
      <w:r>
        <w:rPr>
          <w:rFonts w:hint="eastAsia" w:ascii="仿宋" w:hAnsi="仿宋" w:eastAsia="仿宋" w:cs="仿宋"/>
          <w:color w:val="auto"/>
          <w:sz w:val="24"/>
          <w:szCs w:val="24"/>
        </w:rPr>
        <w:t>十五</w:t>
      </w:r>
      <w:r>
        <w:rPr>
          <w:rFonts w:hint="eastAsia" w:ascii="仿宋" w:hAnsi="仿宋" w:eastAsia="仿宋" w:cs="仿宋"/>
          <w:color w:val="auto"/>
          <w:sz w:val="24"/>
          <w:szCs w:val="24"/>
          <w:lang w:val="zh-CN"/>
        </w:rPr>
        <w:t>条</w:t>
      </w:r>
      <w:r>
        <w:rPr>
          <w:rFonts w:hint="eastAsia" w:ascii="仿宋" w:hAnsi="仿宋" w:eastAsia="仿宋" w:cs="仿宋"/>
          <w:color w:val="auto"/>
          <w:sz w:val="24"/>
          <w:szCs w:val="24"/>
        </w:rPr>
        <w:t>规定：</w:t>
      </w:r>
      <w:bookmarkEnd w:id="127"/>
      <w:bookmarkEnd w:id="128"/>
      <w:bookmarkEnd w:id="129"/>
    </w:p>
    <w:p w14:paraId="73E23791">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具有独立承担民事责任的能力；</w:t>
      </w:r>
    </w:p>
    <w:p w14:paraId="6EE06A02">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具有良好的商业信誉和健全的财务会计制度；</w:t>
      </w:r>
    </w:p>
    <w:p w14:paraId="713ECEA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具有履行合同所必需的设备、技术和售后保障等能力；</w:t>
      </w:r>
    </w:p>
    <w:p w14:paraId="28B9108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有依法缴纳税收和社会保障资金的良好记录；</w:t>
      </w:r>
    </w:p>
    <w:p w14:paraId="0D734AF8">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参加采购、招投标等活动前3年内，在经营活动中没有重大违法记录和行贿犯罪记录；</w:t>
      </w:r>
    </w:p>
    <w:p w14:paraId="593E157C">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6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⑹</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具有法律法规和规范性文件规定的其他条件。</w:t>
      </w:r>
    </w:p>
    <w:p w14:paraId="5C89AE2C">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rPr>
        <w:t>二、未被“信用中国”（www.creditchina.gov.cn）、中国政府采购网（www.ccgp.gov.cn）列入失信被执行人、重大税收违法案件当事人名单、采购严重违法失信行为记录名单。</w:t>
      </w:r>
    </w:p>
    <w:p w14:paraId="59EE8625">
      <w:pPr>
        <w:pStyle w:val="19"/>
        <w:spacing w:line="360" w:lineRule="auto"/>
        <w:ind w:firstLine="48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三、我方</w:t>
      </w:r>
      <w:r>
        <w:rPr>
          <w:rFonts w:hint="eastAsia" w:ascii="仿宋" w:hAnsi="仿宋" w:eastAsia="仿宋" w:cs="仿宋"/>
          <w:color w:val="auto"/>
          <w:sz w:val="24"/>
          <w:szCs w:val="24"/>
        </w:rPr>
        <w:t>自投标截止时间前三年内无行贿犯罪记录（以中国裁判文书网（网址：</w:t>
      </w:r>
      <w:r>
        <w:rPr>
          <w:rFonts w:hint="eastAsia" w:ascii="仿宋" w:hAnsi="仿宋" w:eastAsia="仿宋" w:cs="仿宋"/>
          <w:color w:val="auto"/>
          <w:sz w:val="24"/>
          <w:szCs w:val="24"/>
          <w:u w:val="none"/>
        </w:rPr>
        <w:t>http://wenshu.court.gov.cn/）查询到的行贿判决书为准）。</w:t>
      </w:r>
    </w:p>
    <w:p w14:paraId="6ED6830E">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、没有下列情形：</w:t>
      </w:r>
    </w:p>
    <w:p w14:paraId="0DDD400B">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rPr>
        <w:t>单位负责人为同一人或者存在直接控股、管理关系的不同投标人参加同一合同项下的采购活动。</w:t>
      </w:r>
    </w:p>
    <w:p w14:paraId="40E34519">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rPr>
        <w:t>我方对上述承诺的内容事项真实性负责，如有虚假，由我方承担相关法律责任。</w:t>
      </w:r>
    </w:p>
    <w:p w14:paraId="4A28F1FD">
      <w:pPr>
        <w:spacing w:line="360" w:lineRule="auto"/>
        <w:ind w:firstLine="4320" w:firstLineChars="1800"/>
        <w:outlineLvl w:val="9"/>
        <w:rPr>
          <w:rFonts w:ascii="仿宋" w:hAnsi="仿宋" w:eastAsia="仿宋" w:cs="仿宋"/>
          <w:color w:val="auto"/>
          <w:sz w:val="24"/>
          <w:szCs w:val="24"/>
        </w:rPr>
      </w:pPr>
    </w:p>
    <w:p w14:paraId="285183A7">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2A5CC991">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00C1C023">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0278401F">
      <w:pPr>
        <w:pStyle w:val="18"/>
        <w:ind w:left="2250" w:hanging="1200"/>
        <w:outlineLvl w:val="9"/>
        <w:rPr>
          <w:color w:val="auto"/>
        </w:rPr>
        <w:sectPr>
          <w:pgSz w:w="11906" w:h="16838"/>
          <w:pgMar w:top="1440" w:right="1800" w:bottom="1440" w:left="1800" w:header="851" w:footer="992" w:gutter="0"/>
          <w:pgNumType w:fmt="decimal"/>
          <w:cols w:space="425" w:num="1"/>
          <w:docGrid w:type="lines" w:linePitch="312" w:charSpace="0"/>
        </w:sectPr>
      </w:pPr>
    </w:p>
    <w:p w14:paraId="0CE241B3">
      <w:pPr>
        <w:snapToGrid w:val="0"/>
        <w:spacing w:line="360" w:lineRule="auto"/>
        <w:jc w:val="center"/>
        <w:outlineLvl w:val="9"/>
        <w:rPr>
          <w:rFonts w:ascii="仿宋" w:hAnsi="仿宋" w:eastAsia="仿宋" w:cs="仿宋"/>
          <w:b/>
          <w:color w:val="auto"/>
          <w:sz w:val="28"/>
          <w:szCs w:val="28"/>
        </w:rPr>
      </w:pPr>
      <w:r>
        <w:rPr>
          <w:rStyle w:val="34"/>
          <w:rFonts w:hint="eastAsia" w:ascii="仿宋" w:hAnsi="仿宋" w:eastAsia="仿宋" w:cs="仿宋"/>
          <w:color w:val="auto"/>
          <w:sz w:val="28"/>
          <w:szCs w:val="28"/>
        </w:rPr>
        <w:t>二、技术商务文件封面</w:t>
      </w:r>
    </w:p>
    <w:p w14:paraId="3CA8A310">
      <w:pPr>
        <w:spacing w:line="360" w:lineRule="auto"/>
        <w:ind w:left="1800" w:leftChars="857"/>
        <w:jc w:val="right"/>
        <w:outlineLvl w:val="9"/>
        <w:rPr>
          <w:rFonts w:ascii="仿宋" w:hAnsi="仿宋" w:eastAsia="仿宋" w:cs="仿宋"/>
          <w:color w:val="auto"/>
          <w:sz w:val="28"/>
          <w:szCs w:val="28"/>
        </w:rPr>
      </w:pPr>
    </w:p>
    <w:p w14:paraId="1AA739B2">
      <w:pPr>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 xml:space="preserve">                                                </w:t>
      </w:r>
    </w:p>
    <w:p w14:paraId="2957A6CE">
      <w:pPr>
        <w:spacing w:line="360" w:lineRule="auto"/>
        <w:outlineLvl w:val="9"/>
        <w:rPr>
          <w:rFonts w:ascii="仿宋" w:hAnsi="仿宋" w:eastAsia="仿宋" w:cs="仿宋"/>
          <w:color w:val="auto"/>
          <w:sz w:val="28"/>
          <w:szCs w:val="28"/>
        </w:rPr>
      </w:pPr>
    </w:p>
    <w:p w14:paraId="5F83C64E">
      <w:pPr>
        <w:spacing w:line="360" w:lineRule="auto"/>
        <w:outlineLvl w:val="9"/>
        <w:rPr>
          <w:rFonts w:ascii="仿宋" w:hAnsi="仿宋" w:eastAsia="仿宋" w:cs="仿宋"/>
          <w:color w:val="auto"/>
          <w:sz w:val="28"/>
          <w:szCs w:val="28"/>
        </w:rPr>
      </w:pPr>
    </w:p>
    <w:p w14:paraId="2AF9B90A">
      <w:pPr>
        <w:spacing w:line="360" w:lineRule="auto"/>
        <w:outlineLvl w:val="9"/>
        <w:rPr>
          <w:rFonts w:ascii="仿宋" w:hAnsi="仿宋" w:eastAsia="仿宋" w:cs="仿宋"/>
          <w:color w:val="auto"/>
          <w:sz w:val="28"/>
          <w:szCs w:val="28"/>
        </w:rPr>
      </w:pPr>
    </w:p>
    <w:p w14:paraId="2322DAF1">
      <w:pPr>
        <w:snapToGrid w:val="0"/>
        <w:spacing w:line="360" w:lineRule="auto"/>
        <w:jc w:val="center"/>
        <w:outlineLvl w:val="9"/>
        <w:rPr>
          <w:rFonts w:ascii="仿宋" w:hAnsi="仿宋" w:eastAsia="仿宋" w:cs="仿宋"/>
          <w:color w:val="auto"/>
          <w:sz w:val="28"/>
          <w:szCs w:val="28"/>
        </w:rPr>
      </w:pPr>
      <w:r>
        <w:rPr>
          <w:rFonts w:hint="eastAsia" w:ascii="仿宋" w:hAnsi="仿宋" w:eastAsia="仿宋" w:cs="仿宋"/>
          <w:color w:val="auto"/>
          <w:sz w:val="28"/>
          <w:szCs w:val="28"/>
        </w:rPr>
        <w:t>技术商务文件</w:t>
      </w:r>
    </w:p>
    <w:p w14:paraId="613D14E9">
      <w:pPr>
        <w:snapToGrid w:val="0"/>
        <w:spacing w:line="360" w:lineRule="auto"/>
        <w:ind w:firstLine="1962" w:firstLineChars="698"/>
        <w:outlineLvl w:val="9"/>
        <w:rPr>
          <w:rFonts w:ascii="仿宋" w:hAnsi="仿宋" w:eastAsia="仿宋" w:cs="仿宋"/>
          <w:b/>
          <w:color w:val="auto"/>
          <w:sz w:val="28"/>
          <w:szCs w:val="28"/>
        </w:rPr>
      </w:pPr>
    </w:p>
    <w:p w14:paraId="3E5BD15E">
      <w:pPr>
        <w:pStyle w:val="10"/>
        <w:spacing w:line="360" w:lineRule="auto"/>
        <w:outlineLvl w:val="9"/>
        <w:rPr>
          <w:rFonts w:ascii="仿宋" w:hAnsi="仿宋" w:eastAsia="仿宋" w:cs="仿宋"/>
          <w:color w:val="auto"/>
        </w:rPr>
      </w:pPr>
    </w:p>
    <w:p w14:paraId="4D49CB5E">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 xml:space="preserve">                    </w:t>
      </w:r>
    </w:p>
    <w:p w14:paraId="616E4CC8">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项目编号：</w:t>
      </w:r>
      <w:r>
        <w:rPr>
          <w:rFonts w:hint="eastAsia" w:ascii="仿宋" w:hAnsi="仿宋" w:eastAsia="仿宋" w:cs="仿宋"/>
          <w:color w:val="auto"/>
          <w:sz w:val="28"/>
          <w:szCs w:val="28"/>
          <w:u w:val="single"/>
        </w:rPr>
        <w:t xml:space="preserve">                    </w:t>
      </w:r>
    </w:p>
    <w:p w14:paraId="3A7C166B">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rPr>
        <w:t xml:space="preserve">                       （盖章）</w:t>
      </w:r>
    </w:p>
    <w:p w14:paraId="2E8E5EE6">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年   月   日</w:t>
      </w:r>
    </w:p>
    <w:p w14:paraId="6A3E098F">
      <w:pPr>
        <w:snapToGrid w:val="0"/>
        <w:spacing w:line="360" w:lineRule="auto"/>
        <w:jc w:val="center"/>
        <w:outlineLvl w:val="9"/>
        <w:rPr>
          <w:rFonts w:ascii="仿宋" w:hAnsi="仿宋" w:eastAsia="仿宋" w:cs="仿宋"/>
          <w:color w:val="auto"/>
          <w:sz w:val="28"/>
          <w:szCs w:val="28"/>
        </w:rPr>
        <w:sectPr>
          <w:pgSz w:w="11922" w:h="16838"/>
          <w:pgMar w:top="1417" w:right="1304" w:bottom="1417" w:left="1304" w:header="397" w:footer="1037" w:gutter="0"/>
          <w:pgNumType w:fmt="decimal"/>
          <w:cols w:space="0" w:num="1"/>
          <w:docGrid w:linePitch="312" w:charSpace="0"/>
        </w:sectPr>
      </w:pPr>
    </w:p>
    <w:p w14:paraId="22633B13">
      <w:pPr>
        <w:adjustRightInd w:val="0"/>
        <w:spacing w:line="360" w:lineRule="auto"/>
        <w:jc w:val="center"/>
        <w:textAlignment w:val="baseline"/>
        <w:outlineLvl w:val="9"/>
        <w:rPr>
          <w:rFonts w:ascii="仿宋" w:hAnsi="仿宋" w:eastAsia="仿宋" w:cs="仿宋"/>
          <w:color w:val="auto"/>
          <w:sz w:val="28"/>
          <w:szCs w:val="28"/>
        </w:rPr>
      </w:pPr>
      <w:bookmarkStart w:id="130" w:name="_Toc12567"/>
      <w:bookmarkStart w:id="131" w:name="_Toc9300"/>
      <w:bookmarkStart w:id="132" w:name="_Toc208"/>
      <w:r>
        <w:rPr>
          <w:rFonts w:hint="eastAsia" w:ascii="仿宋" w:hAnsi="仿宋" w:eastAsia="仿宋" w:cs="仿宋"/>
          <w:bCs/>
          <w:color w:val="auto"/>
          <w:sz w:val="28"/>
          <w:szCs w:val="28"/>
        </w:rPr>
        <w:t>1. 评分索引表</w:t>
      </w:r>
      <w:bookmarkEnd w:id="130"/>
      <w:bookmarkEnd w:id="131"/>
      <w:bookmarkEnd w:id="132"/>
    </w:p>
    <w:tbl>
      <w:tblPr>
        <w:tblStyle w:val="23"/>
        <w:tblW w:w="9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206"/>
        <w:gridCol w:w="976"/>
        <w:gridCol w:w="1249"/>
        <w:gridCol w:w="585"/>
      </w:tblGrid>
      <w:tr w14:paraId="0D49E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1AED2811">
            <w:pPr>
              <w:jc w:val="center"/>
              <w:outlineLvl w:val="9"/>
              <w:rPr>
                <w:rFonts w:ascii="仿宋" w:hAnsi="仿宋" w:eastAsia="仿宋" w:cs="仿宋"/>
                <w:color w:val="auto"/>
                <w:sz w:val="24"/>
                <w:szCs w:val="24"/>
              </w:rPr>
            </w:pPr>
            <w:r>
              <w:rPr>
                <w:rFonts w:hint="eastAsia" w:ascii="仿宋" w:hAnsi="仿宋" w:eastAsia="仿宋" w:cs="仿宋"/>
                <w:color w:val="auto"/>
                <w:sz w:val="24"/>
                <w:szCs w:val="24"/>
              </w:rPr>
              <w:t>评分</w:t>
            </w:r>
          </w:p>
          <w:p w14:paraId="50A31C28">
            <w:pPr>
              <w:jc w:val="center"/>
              <w:outlineLvl w:val="9"/>
              <w:rPr>
                <w:rFonts w:ascii="仿宋" w:hAnsi="仿宋" w:eastAsia="仿宋" w:cs="仿宋"/>
                <w:color w:val="auto"/>
                <w:sz w:val="24"/>
                <w:szCs w:val="24"/>
              </w:rPr>
            </w:pPr>
            <w:r>
              <w:rPr>
                <w:rFonts w:hint="eastAsia" w:ascii="仿宋" w:hAnsi="仿宋" w:eastAsia="仿宋" w:cs="仿宋"/>
                <w:color w:val="auto"/>
                <w:sz w:val="24"/>
                <w:szCs w:val="24"/>
              </w:rPr>
              <w:t>项目</w:t>
            </w:r>
          </w:p>
        </w:tc>
        <w:tc>
          <w:tcPr>
            <w:tcW w:w="5206" w:type="dxa"/>
            <w:tcBorders>
              <w:top w:val="single" w:color="auto" w:sz="4" w:space="0"/>
              <w:left w:val="single" w:color="auto" w:sz="4" w:space="0"/>
              <w:bottom w:val="single" w:color="auto" w:sz="4" w:space="0"/>
              <w:right w:val="single" w:color="auto" w:sz="4" w:space="0"/>
            </w:tcBorders>
            <w:vAlign w:val="center"/>
          </w:tcPr>
          <w:p w14:paraId="68D0E9F1">
            <w:pPr>
              <w:pStyle w:val="12"/>
              <w:adjustRightInd w:val="0"/>
              <w:snapToGrid w:val="0"/>
              <w:jc w:val="center"/>
              <w:outlineLvl w:val="9"/>
              <w:rPr>
                <w:rFonts w:ascii="仿宋" w:hAnsi="仿宋" w:eastAsia="仿宋" w:cs="仿宋"/>
                <w:color w:val="auto"/>
                <w:sz w:val="24"/>
                <w:szCs w:val="24"/>
              </w:rPr>
            </w:pPr>
            <w:r>
              <w:rPr>
                <w:rFonts w:hint="eastAsia" w:ascii="仿宋" w:hAnsi="仿宋" w:eastAsia="仿宋" w:cs="仿宋"/>
                <w:color w:val="auto"/>
                <w:sz w:val="24"/>
                <w:szCs w:val="24"/>
              </w:rPr>
              <w:t>评分内容</w:t>
            </w:r>
          </w:p>
        </w:tc>
        <w:tc>
          <w:tcPr>
            <w:tcW w:w="976" w:type="dxa"/>
            <w:tcBorders>
              <w:top w:val="single" w:color="auto" w:sz="4" w:space="0"/>
              <w:left w:val="single" w:color="auto" w:sz="4" w:space="0"/>
              <w:bottom w:val="single" w:color="auto" w:sz="4" w:space="0"/>
              <w:right w:val="single" w:color="auto" w:sz="4" w:space="0"/>
            </w:tcBorders>
            <w:vAlign w:val="center"/>
          </w:tcPr>
          <w:p w14:paraId="372115CE">
            <w:pPr>
              <w:pStyle w:val="12"/>
              <w:adjustRightInd w:val="0"/>
              <w:snapToGrid w:val="0"/>
              <w:jc w:val="center"/>
              <w:outlineLvl w:val="9"/>
              <w:rPr>
                <w:rFonts w:ascii="仿宋" w:hAnsi="仿宋" w:eastAsia="仿宋" w:cs="仿宋"/>
                <w:color w:val="auto"/>
                <w:sz w:val="24"/>
                <w:szCs w:val="24"/>
              </w:rPr>
            </w:pPr>
            <w:r>
              <w:rPr>
                <w:rFonts w:hint="eastAsia" w:ascii="仿宋" w:hAnsi="仿宋" w:eastAsia="仿宋" w:cs="仿宋"/>
                <w:color w:val="auto"/>
                <w:sz w:val="24"/>
                <w:szCs w:val="24"/>
              </w:rPr>
              <w:t>自评分</w:t>
            </w:r>
          </w:p>
        </w:tc>
        <w:tc>
          <w:tcPr>
            <w:tcW w:w="1249" w:type="dxa"/>
            <w:tcBorders>
              <w:top w:val="single" w:color="auto" w:sz="4" w:space="0"/>
              <w:left w:val="single" w:color="auto" w:sz="4" w:space="0"/>
              <w:bottom w:val="single" w:color="auto" w:sz="4" w:space="0"/>
              <w:right w:val="single" w:color="auto" w:sz="4" w:space="0"/>
            </w:tcBorders>
            <w:vAlign w:val="center"/>
          </w:tcPr>
          <w:p w14:paraId="09F53661">
            <w:pPr>
              <w:jc w:val="center"/>
              <w:outlineLvl w:val="9"/>
              <w:rPr>
                <w:rFonts w:ascii="仿宋" w:hAnsi="仿宋" w:eastAsia="仿宋" w:cs="仿宋"/>
                <w:color w:val="auto"/>
                <w:sz w:val="24"/>
                <w:szCs w:val="24"/>
              </w:rPr>
            </w:pPr>
            <w:r>
              <w:rPr>
                <w:rFonts w:hint="eastAsia" w:ascii="仿宋" w:hAnsi="仿宋" w:eastAsia="仿宋" w:cs="仿宋"/>
                <w:color w:val="auto"/>
                <w:sz w:val="24"/>
                <w:szCs w:val="24"/>
              </w:rPr>
              <w:t>资料所在页码</w:t>
            </w:r>
          </w:p>
        </w:tc>
        <w:tc>
          <w:tcPr>
            <w:tcW w:w="585" w:type="dxa"/>
            <w:tcBorders>
              <w:top w:val="single" w:color="auto" w:sz="4" w:space="0"/>
              <w:left w:val="single" w:color="auto" w:sz="4" w:space="0"/>
              <w:bottom w:val="single" w:color="auto" w:sz="4" w:space="0"/>
              <w:right w:val="single" w:color="auto" w:sz="4" w:space="0"/>
            </w:tcBorders>
            <w:vAlign w:val="center"/>
          </w:tcPr>
          <w:p w14:paraId="3E2B412E">
            <w:pPr>
              <w:jc w:val="center"/>
              <w:outlineLvl w:val="9"/>
              <w:rPr>
                <w:rFonts w:ascii="仿宋" w:hAnsi="仿宋" w:eastAsia="仿宋" w:cs="仿宋"/>
                <w:color w:val="auto"/>
                <w:sz w:val="24"/>
                <w:szCs w:val="24"/>
              </w:rPr>
            </w:pPr>
            <w:r>
              <w:rPr>
                <w:rFonts w:hint="eastAsia" w:ascii="仿宋" w:hAnsi="仿宋" w:eastAsia="仿宋" w:cs="仿宋"/>
                <w:color w:val="auto"/>
                <w:sz w:val="24"/>
                <w:szCs w:val="24"/>
              </w:rPr>
              <w:t>备注</w:t>
            </w:r>
          </w:p>
        </w:tc>
      </w:tr>
      <w:tr w14:paraId="0A70A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5B16166B">
            <w:pPr>
              <w:adjustRightInd w:val="0"/>
              <w:spacing w:line="360" w:lineRule="auto"/>
              <w:ind w:firstLine="140" w:firstLineChars="50"/>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5237341D">
            <w:pPr>
              <w:adjustRightInd w:val="0"/>
              <w:spacing w:line="360" w:lineRule="auto"/>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11CB9DED">
            <w:pPr>
              <w:adjustRightInd w:val="0"/>
              <w:spacing w:line="360" w:lineRule="auto"/>
              <w:ind w:left="-94" w:leftChars="-45" w:right="-122" w:rightChars="-58"/>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22F73254">
            <w:pPr>
              <w:spacing w:line="360" w:lineRule="auto"/>
              <w:jc w:val="center"/>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692CD268">
            <w:pPr>
              <w:spacing w:line="360" w:lineRule="auto"/>
              <w:jc w:val="center"/>
              <w:outlineLvl w:val="9"/>
              <w:rPr>
                <w:rFonts w:ascii="仿宋" w:hAnsi="仿宋" w:eastAsia="仿宋" w:cs="仿宋"/>
                <w:color w:val="auto"/>
                <w:sz w:val="28"/>
                <w:szCs w:val="28"/>
              </w:rPr>
            </w:pPr>
          </w:p>
        </w:tc>
      </w:tr>
      <w:tr w14:paraId="57F40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51DB362B">
            <w:pPr>
              <w:pStyle w:val="35"/>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2DD72E70">
            <w:pPr>
              <w:pStyle w:val="35"/>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6214E7F3">
            <w:pPr>
              <w:pStyle w:val="35"/>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4E95EFBC">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7135A8FB">
            <w:pPr>
              <w:spacing w:line="360" w:lineRule="auto"/>
              <w:outlineLvl w:val="9"/>
              <w:rPr>
                <w:rFonts w:ascii="仿宋" w:hAnsi="仿宋" w:eastAsia="仿宋" w:cs="仿宋"/>
                <w:color w:val="auto"/>
                <w:sz w:val="28"/>
                <w:szCs w:val="28"/>
              </w:rPr>
            </w:pPr>
          </w:p>
        </w:tc>
      </w:tr>
      <w:tr w14:paraId="42E7A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4F6413BF">
            <w:pPr>
              <w:widowControl/>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0509F958">
            <w:pPr>
              <w:widowControl/>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1C5A2309">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0F0C2495">
            <w:pPr>
              <w:spacing w:line="360" w:lineRule="auto"/>
              <w:jc w:val="center"/>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6072DD82">
            <w:pPr>
              <w:spacing w:line="360" w:lineRule="auto"/>
              <w:jc w:val="center"/>
              <w:outlineLvl w:val="9"/>
              <w:rPr>
                <w:rFonts w:ascii="仿宋" w:hAnsi="仿宋" w:eastAsia="仿宋" w:cs="仿宋"/>
                <w:color w:val="auto"/>
                <w:sz w:val="28"/>
                <w:szCs w:val="28"/>
              </w:rPr>
            </w:pPr>
          </w:p>
        </w:tc>
      </w:tr>
      <w:tr w14:paraId="34EAB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5E347B57">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144C4712">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438494DF">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09988D1D">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2F1B2385">
            <w:pPr>
              <w:spacing w:line="360" w:lineRule="auto"/>
              <w:outlineLvl w:val="9"/>
              <w:rPr>
                <w:rFonts w:ascii="仿宋" w:hAnsi="仿宋" w:eastAsia="仿宋" w:cs="仿宋"/>
                <w:color w:val="auto"/>
                <w:sz w:val="28"/>
                <w:szCs w:val="28"/>
              </w:rPr>
            </w:pPr>
          </w:p>
        </w:tc>
      </w:tr>
      <w:tr w14:paraId="7DAE0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29B5369A">
            <w:pPr>
              <w:adjustRightInd w:val="0"/>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548BD1E4">
            <w:pPr>
              <w:adjustRightInd w:val="0"/>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6FE6C47E">
            <w:pPr>
              <w:adjustRightInd w:val="0"/>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3E4F6EB6">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379F2BB9">
            <w:pPr>
              <w:spacing w:line="360" w:lineRule="auto"/>
              <w:outlineLvl w:val="9"/>
              <w:rPr>
                <w:rFonts w:ascii="仿宋" w:hAnsi="仿宋" w:eastAsia="仿宋" w:cs="仿宋"/>
                <w:color w:val="auto"/>
                <w:sz w:val="28"/>
                <w:szCs w:val="28"/>
              </w:rPr>
            </w:pPr>
          </w:p>
        </w:tc>
      </w:tr>
      <w:tr w14:paraId="18BD6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42727FF0">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076DA9BE">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3B80399B">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2F1BB40F">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2C3FEA1E">
            <w:pPr>
              <w:spacing w:line="360" w:lineRule="auto"/>
              <w:outlineLvl w:val="9"/>
              <w:rPr>
                <w:rFonts w:ascii="仿宋" w:hAnsi="仿宋" w:eastAsia="仿宋" w:cs="仿宋"/>
                <w:color w:val="auto"/>
                <w:sz w:val="28"/>
                <w:szCs w:val="28"/>
              </w:rPr>
            </w:pPr>
          </w:p>
        </w:tc>
      </w:tr>
      <w:tr w14:paraId="2E512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0AB1541D">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15D0EB3C">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02441A6F">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56E3F8F4">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6DEA1164">
            <w:pPr>
              <w:spacing w:line="360" w:lineRule="auto"/>
              <w:outlineLvl w:val="9"/>
              <w:rPr>
                <w:rFonts w:ascii="仿宋" w:hAnsi="仿宋" w:eastAsia="仿宋" w:cs="仿宋"/>
                <w:color w:val="auto"/>
                <w:sz w:val="28"/>
                <w:szCs w:val="28"/>
              </w:rPr>
            </w:pPr>
          </w:p>
        </w:tc>
      </w:tr>
      <w:tr w14:paraId="7798E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63BEA9AD">
            <w:pPr>
              <w:pStyle w:val="35"/>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4113A8AD">
            <w:pPr>
              <w:pStyle w:val="35"/>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3B7605E7">
            <w:pPr>
              <w:pStyle w:val="35"/>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709CA690">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5C6D2630">
            <w:pPr>
              <w:spacing w:line="360" w:lineRule="auto"/>
              <w:outlineLvl w:val="9"/>
              <w:rPr>
                <w:rFonts w:ascii="仿宋" w:hAnsi="仿宋" w:eastAsia="仿宋" w:cs="仿宋"/>
                <w:color w:val="auto"/>
                <w:sz w:val="28"/>
                <w:szCs w:val="28"/>
              </w:rPr>
            </w:pPr>
          </w:p>
        </w:tc>
      </w:tr>
      <w:tr w14:paraId="04BF3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0A11CDE6">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3EA6C38A">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4E32FAA4">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09CBB339">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4B73E467">
            <w:pPr>
              <w:spacing w:line="360" w:lineRule="auto"/>
              <w:outlineLvl w:val="9"/>
              <w:rPr>
                <w:rFonts w:ascii="仿宋" w:hAnsi="仿宋" w:eastAsia="仿宋" w:cs="仿宋"/>
                <w:color w:val="auto"/>
                <w:sz w:val="28"/>
                <w:szCs w:val="28"/>
              </w:rPr>
            </w:pPr>
          </w:p>
        </w:tc>
      </w:tr>
      <w:tr w14:paraId="6F77C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68AB9904">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751DE944">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4460A5FE">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13B17266">
            <w:pPr>
              <w:adjustRightInd w:val="0"/>
              <w:snapToGrid w:val="0"/>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29280120">
            <w:pPr>
              <w:adjustRightInd w:val="0"/>
              <w:snapToGrid w:val="0"/>
              <w:spacing w:line="360" w:lineRule="auto"/>
              <w:outlineLvl w:val="9"/>
              <w:rPr>
                <w:rFonts w:ascii="仿宋" w:hAnsi="仿宋" w:eastAsia="仿宋" w:cs="仿宋"/>
                <w:color w:val="auto"/>
                <w:sz w:val="28"/>
                <w:szCs w:val="28"/>
              </w:rPr>
            </w:pPr>
          </w:p>
        </w:tc>
      </w:tr>
      <w:tr w14:paraId="5715A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3E370FAB">
            <w:pPr>
              <w:spacing w:line="360" w:lineRule="auto"/>
              <w:jc w:val="left"/>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2D902F55">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11D1ABCB">
            <w:pPr>
              <w:spacing w:line="360" w:lineRule="auto"/>
              <w:jc w:val="left"/>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32DCD527">
            <w:pPr>
              <w:adjustRightInd w:val="0"/>
              <w:snapToGrid w:val="0"/>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1290111D">
            <w:pPr>
              <w:adjustRightInd w:val="0"/>
              <w:snapToGrid w:val="0"/>
              <w:spacing w:line="360" w:lineRule="auto"/>
              <w:outlineLvl w:val="9"/>
              <w:rPr>
                <w:rFonts w:ascii="仿宋" w:hAnsi="仿宋" w:eastAsia="仿宋" w:cs="仿宋"/>
                <w:color w:val="auto"/>
                <w:sz w:val="28"/>
                <w:szCs w:val="28"/>
              </w:rPr>
            </w:pPr>
          </w:p>
        </w:tc>
      </w:tr>
    </w:tbl>
    <w:p w14:paraId="0F69C021">
      <w:pPr>
        <w:spacing w:line="360" w:lineRule="auto"/>
        <w:outlineLvl w:val="9"/>
        <w:rPr>
          <w:rFonts w:ascii="仿宋" w:hAnsi="仿宋" w:eastAsia="仿宋" w:cs="仿宋"/>
          <w:color w:val="auto"/>
          <w:sz w:val="28"/>
          <w:szCs w:val="28"/>
        </w:rPr>
      </w:pPr>
    </w:p>
    <w:p w14:paraId="2618D689">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注：投标人须填写此表，并附在技术商务文件目录之后。</w:t>
      </w:r>
    </w:p>
    <w:p w14:paraId="382F9CCF">
      <w:pPr>
        <w:spacing w:line="360" w:lineRule="auto"/>
        <w:jc w:val="center"/>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w:t>
      </w:r>
    </w:p>
    <w:p w14:paraId="7CB8AB43">
      <w:pPr>
        <w:snapToGrid w:val="0"/>
        <w:spacing w:line="360" w:lineRule="auto"/>
        <w:outlineLvl w:val="9"/>
        <w:rPr>
          <w:rFonts w:ascii="仿宋" w:hAnsi="仿宋" w:eastAsia="仿宋" w:cs="仿宋"/>
          <w:color w:val="auto"/>
          <w:sz w:val="24"/>
          <w:szCs w:val="24"/>
        </w:rPr>
      </w:pPr>
    </w:p>
    <w:p w14:paraId="7291B62F">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2C8ECB0F">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1874A473">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212E5DCA">
      <w:pPr>
        <w:pStyle w:val="18"/>
        <w:ind w:left="2250" w:hanging="1200"/>
        <w:outlineLvl w:val="9"/>
        <w:rPr>
          <w:color w:val="auto"/>
        </w:rPr>
        <w:sectPr>
          <w:pgSz w:w="11906" w:h="16838"/>
          <w:pgMar w:top="1440" w:right="1800" w:bottom="1440" w:left="1800" w:header="851" w:footer="992" w:gutter="0"/>
          <w:pgNumType w:fmt="decimal"/>
          <w:cols w:space="425" w:num="1"/>
          <w:docGrid w:type="lines" w:linePitch="312" w:charSpace="0"/>
        </w:sectPr>
      </w:pPr>
    </w:p>
    <w:p w14:paraId="3FDBF899">
      <w:pPr>
        <w:jc w:val="center"/>
        <w:rPr>
          <w:rStyle w:val="34"/>
          <w:rFonts w:hint="eastAsia" w:ascii="仿宋" w:hAnsi="仿宋" w:eastAsia="仿宋" w:cs="仿宋"/>
          <w:b w:val="0"/>
          <w:color w:val="auto"/>
          <w:sz w:val="28"/>
          <w:szCs w:val="28"/>
          <w:highlight w:val="none"/>
        </w:rPr>
      </w:pPr>
      <w:r>
        <w:rPr>
          <w:rFonts w:hint="eastAsia" w:ascii="仿宋" w:hAnsi="仿宋" w:eastAsia="仿宋" w:cs="仿宋"/>
          <w:bCs/>
          <w:color w:val="auto"/>
          <w:sz w:val="28"/>
          <w:szCs w:val="28"/>
          <w:highlight w:val="none"/>
        </w:rPr>
        <w:t>2.</w:t>
      </w:r>
      <w:r>
        <w:rPr>
          <w:rStyle w:val="25"/>
          <w:rFonts w:hint="eastAsia" w:ascii="仿宋" w:hAnsi="仿宋" w:eastAsia="仿宋" w:cs="仿宋"/>
          <w:b w:val="0"/>
          <w:bCs/>
          <w:color w:val="auto"/>
          <w:sz w:val="28"/>
          <w:szCs w:val="28"/>
          <w:highlight w:val="none"/>
        </w:rPr>
        <w:t>投标函</w:t>
      </w:r>
    </w:p>
    <w:p w14:paraId="7D0A8E06">
      <w:pPr>
        <w:spacing w:line="360" w:lineRule="auto"/>
        <w:ind w:firstLine="3920"/>
        <w:rPr>
          <w:rFonts w:hint="eastAsia" w:ascii="仿宋" w:hAnsi="仿宋" w:eastAsia="仿宋" w:cs="仿宋"/>
          <w:color w:val="auto"/>
          <w:sz w:val="28"/>
          <w:szCs w:val="28"/>
          <w:highlight w:val="none"/>
        </w:rPr>
      </w:pPr>
    </w:p>
    <w:p w14:paraId="7A82BFF4">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马迭尔食品（浙江）有限公司</w:t>
      </w:r>
    </w:p>
    <w:p w14:paraId="7A5C8329">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根据贵方</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的招标公告（项目编号：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投标人</w:t>
      </w:r>
      <w:r>
        <w:rPr>
          <w:rFonts w:hint="eastAsia" w:ascii="仿宋" w:hAnsi="仿宋" w:eastAsia="仿宋" w:cs="仿宋"/>
          <w:color w:val="auto"/>
          <w:sz w:val="24"/>
          <w:szCs w:val="24"/>
          <w:highlight w:val="none"/>
          <w:u w:val="single"/>
        </w:rPr>
        <w:t>全称）</w:t>
      </w:r>
      <w:r>
        <w:rPr>
          <w:rFonts w:hint="eastAsia" w:ascii="仿宋" w:hAnsi="仿宋" w:eastAsia="仿宋" w:cs="仿宋"/>
          <w:color w:val="auto"/>
          <w:sz w:val="24"/>
          <w:szCs w:val="24"/>
          <w:highlight w:val="none"/>
        </w:rPr>
        <w:t>正式授权</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全名</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为授权代表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代表本单位参加贵方组织的此次招标的有关活动，并</w:t>
      </w:r>
      <w:r>
        <w:rPr>
          <w:rFonts w:hint="eastAsia" w:ascii="仿宋" w:hAnsi="仿宋" w:eastAsia="仿宋" w:cs="仿宋"/>
          <w:color w:val="auto"/>
          <w:sz w:val="24"/>
          <w:szCs w:val="24"/>
          <w:highlight w:val="none"/>
        </w:rPr>
        <w:t>提交资格审查文件、</w:t>
      </w:r>
      <w:r>
        <w:rPr>
          <w:rFonts w:hint="eastAsia" w:ascii="仿宋" w:hAnsi="仿宋" w:eastAsia="仿宋" w:cs="仿宋"/>
          <w:color w:val="auto"/>
          <w:sz w:val="24"/>
          <w:szCs w:val="24"/>
          <w:highlight w:val="none"/>
          <w:lang w:eastAsia="zh-CN"/>
        </w:rPr>
        <w:t>技术商务</w:t>
      </w:r>
      <w:r>
        <w:rPr>
          <w:rFonts w:hint="eastAsia" w:ascii="仿宋" w:hAnsi="仿宋" w:eastAsia="仿宋" w:cs="仿宋"/>
          <w:color w:val="auto"/>
          <w:sz w:val="24"/>
          <w:szCs w:val="24"/>
          <w:highlight w:val="none"/>
        </w:rPr>
        <w:t>文件、报价文件各一份。</w:t>
      </w:r>
    </w:p>
    <w:p w14:paraId="59194AA7">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据此函，</w:t>
      </w:r>
      <w:r>
        <w:rPr>
          <w:rFonts w:hint="eastAsia" w:ascii="仿宋" w:hAnsi="仿宋" w:eastAsia="仿宋" w:cs="仿宋"/>
          <w:color w:val="auto"/>
          <w:sz w:val="24"/>
          <w:szCs w:val="24"/>
          <w:highlight w:val="none"/>
          <w:lang w:val="en-US" w:eastAsia="zh-CN"/>
        </w:rPr>
        <w:t>授权</w:t>
      </w:r>
      <w:r>
        <w:rPr>
          <w:rFonts w:hint="eastAsia" w:ascii="仿宋" w:hAnsi="仿宋" w:eastAsia="仿宋" w:cs="仿宋"/>
          <w:color w:val="auto"/>
          <w:sz w:val="24"/>
          <w:szCs w:val="24"/>
          <w:highlight w:val="none"/>
        </w:rPr>
        <w:t>代表宣布同意如下：</w:t>
      </w:r>
    </w:p>
    <w:p w14:paraId="4B392755">
      <w:pPr>
        <w:pStyle w:val="1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1.我方向贵方提交的所有投标文件、资料都是准确的和真实的。</w:t>
      </w:r>
    </w:p>
    <w:p w14:paraId="6222CEB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2.我方已详细审查全部“</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”，包括修改文件（如有）以及全部参考资料和有关附件，已经了解我方对于</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、采购过程、采购结果有依法进行询问、质疑、投诉的权利及相关渠道和要求。</w:t>
      </w:r>
    </w:p>
    <w:p w14:paraId="22E9521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3.我方在投标之前已经完全理解并接受</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的各项规定和要求，对</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的合理性、合法性不再有异议。</w:t>
      </w:r>
    </w:p>
    <w:p w14:paraId="5C0FB82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4.本投标有效期</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rPr>
        <w:t>投标文件递交截止之日起</w:t>
      </w:r>
      <w:r>
        <w:rPr>
          <w:rFonts w:hint="eastAsia" w:ascii="仿宋" w:hAnsi="仿宋" w:eastAsia="仿宋" w:cs="仿宋"/>
          <w:color w:val="auto"/>
          <w:sz w:val="24"/>
          <w:szCs w:val="24"/>
          <w:u w:val="single"/>
        </w:rPr>
        <w:t>90</w:t>
      </w:r>
      <w:r>
        <w:rPr>
          <w:rFonts w:hint="eastAsia" w:ascii="仿宋" w:hAnsi="仿宋" w:eastAsia="仿宋" w:cs="仿宋"/>
          <w:color w:val="auto"/>
          <w:sz w:val="24"/>
          <w:szCs w:val="24"/>
        </w:rPr>
        <w:t>天。</w:t>
      </w:r>
    </w:p>
    <w:p w14:paraId="468938E4">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5.如中标，本投标文件至本项目合同履行完毕止均保持有效，</w:t>
      </w:r>
      <w:r>
        <w:rPr>
          <w:rFonts w:hint="eastAsia" w:ascii="仿宋" w:hAnsi="仿宋" w:eastAsia="仿宋" w:cs="仿宋"/>
          <w:color w:val="auto"/>
          <w:sz w:val="24"/>
          <w:szCs w:val="24"/>
          <w:highlight w:val="none"/>
          <w:lang w:val="en-US" w:eastAsia="zh-CN"/>
        </w:rPr>
        <w:t>我方</w:t>
      </w:r>
      <w:r>
        <w:rPr>
          <w:rFonts w:hint="eastAsia" w:ascii="仿宋" w:hAnsi="仿宋" w:eastAsia="仿宋" w:cs="仿宋"/>
          <w:color w:val="auto"/>
          <w:sz w:val="24"/>
          <w:szCs w:val="24"/>
          <w:highlight w:val="none"/>
        </w:rPr>
        <w:t>将按“</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”及采购</w:t>
      </w:r>
      <w:r>
        <w:rPr>
          <w:rFonts w:hint="eastAsia" w:ascii="仿宋" w:hAnsi="仿宋" w:eastAsia="仿宋" w:cs="仿宋"/>
          <w:color w:val="auto"/>
          <w:sz w:val="24"/>
          <w:szCs w:val="24"/>
          <w:highlight w:val="none"/>
          <w:lang w:eastAsia="zh-CN"/>
        </w:rPr>
        <w:t>法律法规</w:t>
      </w:r>
      <w:r>
        <w:rPr>
          <w:rFonts w:hint="eastAsia" w:ascii="仿宋" w:hAnsi="仿宋" w:eastAsia="仿宋" w:cs="仿宋"/>
          <w:color w:val="auto"/>
          <w:sz w:val="24"/>
          <w:szCs w:val="24"/>
          <w:highlight w:val="none"/>
        </w:rPr>
        <w:t>的规定履行合同责任和义务。</w:t>
      </w:r>
    </w:p>
    <w:p w14:paraId="2C865367">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6.我方同意按照贵方要求提供与投标有关的一切数据或资料。</w:t>
      </w:r>
    </w:p>
    <w:p w14:paraId="708D308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7.与本投标有关的一切正式往来信函请寄：</w:t>
      </w:r>
    </w:p>
    <w:p w14:paraId="0D659022">
      <w:pPr>
        <w:snapToGrid w:val="0"/>
        <w:spacing w:line="360" w:lineRule="auto"/>
        <w:rPr>
          <w:rFonts w:hint="eastAsia" w:ascii="仿宋" w:hAnsi="仿宋" w:eastAsia="仿宋" w:cs="仿宋"/>
          <w:color w:val="auto"/>
          <w:sz w:val="24"/>
          <w:szCs w:val="24"/>
          <w:highlight w:val="none"/>
        </w:rPr>
      </w:pPr>
    </w:p>
    <w:p w14:paraId="3191169C">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邮编：</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电话：</w:t>
      </w:r>
      <w:r>
        <w:rPr>
          <w:rFonts w:hint="eastAsia" w:ascii="仿宋" w:hAnsi="仿宋" w:eastAsia="仿宋" w:cs="仿宋"/>
          <w:color w:val="auto"/>
          <w:sz w:val="24"/>
          <w:szCs w:val="24"/>
          <w:highlight w:val="none"/>
          <w:u w:val="single"/>
        </w:rPr>
        <w:t xml:space="preserve">             </w:t>
      </w:r>
    </w:p>
    <w:p w14:paraId="6190D0A6">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授权</w:t>
      </w:r>
      <w:r>
        <w:rPr>
          <w:rFonts w:hint="eastAsia" w:ascii="仿宋" w:hAnsi="仿宋" w:eastAsia="仿宋" w:cs="仿宋"/>
          <w:color w:val="auto"/>
          <w:sz w:val="24"/>
          <w:szCs w:val="24"/>
          <w:highlight w:val="none"/>
        </w:rPr>
        <w:t>代表姓名：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职务：</w:t>
      </w:r>
      <w:r>
        <w:rPr>
          <w:rFonts w:hint="eastAsia" w:ascii="仿宋" w:hAnsi="仿宋" w:eastAsia="仿宋" w:cs="仿宋"/>
          <w:color w:val="auto"/>
          <w:sz w:val="24"/>
          <w:szCs w:val="24"/>
          <w:highlight w:val="none"/>
          <w:u w:val="single"/>
        </w:rPr>
        <w:t xml:space="preserve">             </w:t>
      </w:r>
    </w:p>
    <w:p w14:paraId="0384FDC3">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2BD09DB2">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18CC148C">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3D541AA9">
      <w:pPr>
        <w:spacing w:line="540" w:lineRule="exact"/>
        <w:ind w:firstLine="480" w:firstLineChars="200"/>
        <w:rPr>
          <w:rFonts w:hint="eastAsia" w:ascii="仿宋" w:hAnsi="仿宋" w:eastAsia="仿宋" w:cs="仿宋"/>
          <w:color w:val="auto"/>
          <w:sz w:val="24"/>
          <w:szCs w:val="24"/>
          <w:highlight w:val="none"/>
        </w:rPr>
        <w:sectPr>
          <w:pgSz w:w="11922" w:h="16838"/>
          <w:pgMar w:top="1417" w:right="1304" w:bottom="1417" w:left="1304" w:header="397" w:footer="1037" w:gutter="0"/>
          <w:pgNumType w:fmt="decimal"/>
          <w:cols w:space="0" w:num="1"/>
          <w:rtlGutter w:val="0"/>
          <w:docGrid w:linePitch="312" w:charSpace="0"/>
        </w:sectPr>
      </w:pPr>
    </w:p>
    <w:p w14:paraId="65AE132A">
      <w:pPr>
        <w:autoSpaceDE w:val="0"/>
        <w:autoSpaceDN w:val="0"/>
        <w:adjustRightInd w:val="0"/>
        <w:spacing w:line="320" w:lineRule="atLeast"/>
        <w:jc w:val="center"/>
        <w:outlineLvl w:val="9"/>
        <w:rPr>
          <w:rFonts w:ascii="仿宋" w:hAnsi="仿宋" w:eastAsia="仿宋" w:cs="仿宋"/>
          <w:color w:val="auto"/>
          <w:spacing w:val="20"/>
          <w:sz w:val="28"/>
          <w:szCs w:val="28"/>
          <w:lang w:val="zh-CN"/>
        </w:rPr>
      </w:pPr>
      <w:r>
        <w:rPr>
          <w:rFonts w:hint="eastAsia" w:ascii="仿宋" w:hAnsi="仿宋" w:eastAsia="仿宋" w:cs="仿宋"/>
          <w:color w:val="auto"/>
          <w:spacing w:val="20"/>
          <w:sz w:val="28"/>
          <w:szCs w:val="28"/>
        </w:rPr>
        <w:t>3.</w:t>
      </w:r>
      <w:r>
        <w:rPr>
          <w:rFonts w:hint="eastAsia" w:ascii="仿宋" w:hAnsi="仿宋" w:eastAsia="仿宋" w:cs="仿宋"/>
          <w:color w:val="auto"/>
          <w:spacing w:val="20"/>
          <w:sz w:val="28"/>
          <w:szCs w:val="28"/>
          <w:lang w:val="zh-CN"/>
        </w:rPr>
        <w:t>业绩一览表</w:t>
      </w:r>
    </w:p>
    <w:p w14:paraId="2B0B0BC0">
      <w:pPr>
        <w:spacing w:line="320" w:lineRule="exact"/>
        <w:ind w:firstLine="435"/>
        <w:outlineLvl w:val="9"/>
        <w:rPr>
          <w:rFonts w:ascii="仿宋" w:hAnsi="仿宋" w:eastAsia="仿宋" w:cs="仿宋"/>
          <w:b/>
          <w:color w:val="auto"/>
          <w:sz w:val="28"/>
          <w:szCs w:val="28"/>
        </w:rPr>
      </w:pPr>
    </w:p>
    <w:tbl>
      <w:tblPr>
        <w:tblStyle w:val="23"/>
        <w:tblW w:w="9251" w:type="dxa"/>
        <w:jc w:val="center"/>
        <w:tblBorders>
          <w:top w:val="double" w:color="auto" w:sz="6" w:space="0"/>
          <w:left w:val="double" w:color="auto" w:sz="6" w:space="0"/>
          <w:bottom w:val="double" w:color="auto" w:sz="6" w:space="0"/>
          <w:right w:val="single" w:color="auto" w:sz="6" w:space="0"/>
          <w:insideH w:val="none" w:color="auto" w:sz="0" w:space="0"/>
          <w:insideV w:val="none" w:color="auto" w:sz="0" w:space="0"/>
        </w:tblBorders>
        <w:tblLayout w:type="fixed"/>
        <w:tblCellMar>
          <w:top w:w="0" w:type="dxa"/>
          <w:left w:w="10" w:type="dxa"/>
          <w:bottom w:w="0" w:type="dxa"/>
          <w:right w:w="10" w:type="dxa"/>
        </w:tblCellMar>
      </w:tblPr>
      <w:tblGrid>
        <w:gridCol w:w="712"/>
        <w:gridCol w:w="2285"/>
        <w:gridCol w:w="1515"/>
        <w:gridCol w:w="2364"/>
        <w:gridCol w:w="2375"/>
      </w:tblGrid>
      <w:tr w14:paraId="662F3770">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vAlign w:val="center"/>
          </w:tcPr>
          <w:p w14:paraId="294C0993">
            <w:pPr>
              <w:pStyle w:val="8"/>
              <w:tabs>
                <w:tab w:val="left" w:pos="8460"/>
                <w:tab w:val="left" w:pos="8640"/>
              </w:tabs>
              <w:spacing w:line="360" w:lineRule="auto"/>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序号</w:t>
            </w:r>
          </w:p>
        </w:tc>
        <w:tc>
          <w:tcPr>
            <w:tcW w:w="2285" w:type="dxa"/>
            <w:tcBorders>
              <w:top w:val="single" w:color="000000" w:sz="6" w:space="0"/>
              <w:left w:val="single" w:color="000000" w:sz="6" w:space="0"/>
              <w:bottom w:val="single" w:color="000000" w:sz="6" w:space="0"/>
              <w:right w:val="single" w:color="000000" w:sz="6" w:space="0"/>
            </w:tcBorders>
            <w:vAlign w:val="center"/>
          </w:tcPr>
          <w:p w14:paraId="7B49F635">
            <w:pPr>
              <w:pStyle w:val="8"/>
              <w:tabs>
                <w:tab w:val="left" w:pos="8460"/>
                <w:tab w:val="left" w:pos="8640"/>
              </w:tabs>
              <w:spacing w:line="360" w:lineRule="auto"/>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项目名称</w:t>
            </w:r>
          </w:p>
        </w:tc>
        <w:tc>
          <w:tcPr>
            <w:tcW w:w="1515" w:type="dxa"/>
            <w:tcBorders>
              <w:top w:val="single" w:color="000000" w:sz="6" w:space="0"/>
              <w:left w:val="single" w:color="000000" w:sz="6" w:space="0"/>
              <w:bottom w:val="single" w:color="000000" w:sz="6" w:space="0"/>
              <w:right w:val="single" w:color="000000" w:sz="6" w:space="0"/>
            </w:tcBorders>
            <w:vAlign w:val="center"/>
          </w:tcPr>
          <w:p w14:paraId="1771742E">
            <w:pPr>
              <w:pStyle w:val="8"/>
              <w:tabs>
                <w:tab w:val="left" w:pos="8460"/>
                <w:tab w:val="left" w:pos="8640"/>
              </w:tabs>
              <w:spacing w:line="360" w:lineRule="auto"/>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业主单位</w:t>
            </w:r>
          </w:p>
        </w:tc>
        <w:tc>
          <w:tcPr>
            <w:tcW w:w="2364" w:type="dxa"/>
            <w:tcBorders>
              <w:top w:val="single" w:color="000000" w:sz="6" w:space="0"/>
              <w:left w:val="single" w:color="000000" w:sz="6" w:space="0"/>
              <w:bottom w:val="single" w:color="000000" w:sz="6" w:space="0"/>
              <w:right w:val="single" w:color="000000" w:sz="6" w:space="0"/>
            </w:tcBorders>
            <w:vAlign w:val="center"/>
          </w:tcPr>
          <w:p w14:paraId="01C8F386">
            <w:pPr>
              <w:pStyle w:val="8"/>
              <w:tabs>
                <w:tab w:val="left" w:pos="8460"/>
                <w:tab w:val="left" w:pos="8640"/>
              </w:tabs>
              <w:spacing w:line="400" w:lineRule="exact"/>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合同签订时间及合同期限</w:t>
            </w:r>
          </w:p>
        </w:tc>
        <w:tc>
          <w:tcPr>
            <w:tcW w:w="2375" w:type="dxa"/>
            <w:tcBorders>
              <w:top w:val="single" w:color="000000" w:sz="6" w:space="0"/>
              <w:left w:val="single" w:color="000000" w:sz="6" w:space="0"/>
              <w:bottom w:val="single" w:color="000000" w:sz="6" w:space="0"/>
              <w:right w:val="single" w:color="000000" w:sz="6" w:space="0"/>
            </w:tcBorders>
            <w:vAlign w:val="center"/>
          </w:tcPr>
          <w:p w14:paraId="60636933">
            <w:pPr>
              <w:pStyle w:val="8"/>
              <w:tabs>
                <w:tab w:val="left" w:pos="8460"/>
                <w:tab w:val="left" w:pos="8640"/>
              </w:tabs>
              <w:spacing w:line="360" w:lineRule="auto"/>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合同金额</w:t>
            </w:r>
          </w:p>
        </w:tc>
      </w:tr>
      <w:tr w14:paraId="4B22D57C">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3C4DAA72">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181D73AD">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6D1B8A3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6A7FAA2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16F363B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66AF414D">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3C20C52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2FCA57B8">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73E06D9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20D1784D">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43EA2BC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2EF84599">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021F7EC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77EDA202">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312D806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0C0BD386">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77307E44">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19B1DE12">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4F4A650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0F3F8EAB">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6504E7AA">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006F83B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01F1A282">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081DD378">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90"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7292DB8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3C2A921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08E6A50B">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50FFEF7F">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13D0AC5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5E9BED6C">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546111C1">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3F858234">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22EBDE3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60CFBBF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1A8C7FE6">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69808ECF">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0803D65B">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4E465178">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696230E1">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5E3781D3">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716F6A6F">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7E72F1BD">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2385F403">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3B90E5ED">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1635C25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45F99B3F">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5DEED886">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6B0816F8">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2E227E36">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4ABE387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2974050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2B152DFE">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2379DC2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53049535">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625DBFA2">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762CAE9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3C7D22DE">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23708193">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08713241">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40155AED">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3A18EB9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28CF6E78">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66E4120E">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1C0D967E">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4E4D162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39A27354">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61"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3CDE5BED">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641FD1C5">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4A97812B">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2DA0BE45">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19EEFEF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bl>
    <w:p w14:paraId="20A7B504">
      <w:pPr>
        <w:autoSpaceDE w:val="0"/>
        <w:autoSpaceDN w:val="0"/>
        <w:adjustRightInd w:val="0"/>
        <w:spacing w:line="360" w:lineRule="auto"/>
        <w:outlineLvl w:val="9"/>
        <w:rPr>
          <w:rFonts w:ascii="仿宋" w:hAnsi="仿宋" w:eastAsia="仿宋" w:cs="仿宋"/>
          <w:color w:val="auto"/>
          <w:spacing w:val="20"/>
          <w:sz w:val="28"/>
          <w:szCs w:val="28"/>
        </w:rPr>
      </w:pPr>
    </w:p>
    <w:p w14:paraId="40B383C9">
      <w:pPr>
        <w:spacing w:line="360" w:lineRule="auto"/>
        <w:jc w:val="left"/>
        <w:outlineLvl w:val="9"/>
        <w:rPr>
          <w:rFonts w:ascii="仿宋" w:hAnsi="仿宋" w:eastAsia="仿宋" w:cs="仿宋"/>
          <w:color w:val="auto"/>
          <w:sz w:val="24"/>
          <w:szCs w:val="24"/>
        </w:rPr>
      </w:pPr>
      <w:r>
        <w:rPr>
          <w:rFonts w:hint="eastAsia" w:ascii="仿宋" w:hAnsi="仿宋" w:eastAsia="仿宋" w:cs="仿宋"/>
          <w:color w:val="auto"/>
          <w:sz w:val="24"/>
          <w:szCs w:val="24"/>
        </w:rPr>
        <w:t>注：1.以上表格为格式表格</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投标人可自行增减行数，但不得改变填写项目</w:t>
      </w:r>
      <w:r>
        <w:rPr>
          <w:rFonts w:hint="eastAsia" w:ascii="仿宋" w:hAnsi="仿宋" w:eastAsia="仿宋" w:cs="仿宋"/>
          <w:color w:val="auto"/>
          <w:sz w:val="24"/>
          <w:szCs w:val="24"/>
          <w:lang w:eastAsia="zh-CN"/>
        </w:rPr>
        <w:t>。</w:t>
      </w:r>
    </w:p>
    <w:p w14:paraId="25A32EB8">
      <w:pPr>
        <w:snapToGrid w:val="0"/>
        <w:spacing w:line="360" w:lineRule="auto"/>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2.</w:t>
      </w:r>
      <w:r>
        <w:rPr>
          <w:rFonts w:hint="eastAsia" w:ascii="仿宋" w:hAnsi="仿宋" w:eastAsia="仿宋" w:cs="仿宋"/>
          <w:color w:val="auto"/>
          <w:sz w:val="24"/>
          <w:szCs w:val="24"/>
        </w:rPr>
        <w:t>相关证明材料加盖公章附后。</w:t>
      </w:r>
    </w:p>
    <w:p w14:paraId="23153D27">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p>
    <w:p w14:paraId="49BFA7A9">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p>
    <w:p w14:paraId="4E753D0D">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5922B3C6">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460F403F">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3DD10E1D">
      <w:pPr>
        <w:rPr>
          <w:rFonts w:hint="eastAsia" w:ascii="仿宋" w:hAnsi="仿宋" w:eastAsia="仿宋" w:cs="仿宋"/>
          <w:color w:val="auto"/>
          <w:spacing w:val="20"/>
          <w:sz w:val="28"/>
          <w:szCs w:val="28"/>
        </w:rPr>
      </w:pPr>
      <w:r>
        <w:rPr>
          <w:rFonts w:hint="eastAsia" w:ascii="仿宋" w:hAnsi="仿宋" w:eastAsia="仿宋" w:cs="仿宋"/>
          <w:color w:val="auto"/>
          <w:spacing w:val="20"/>
          <w:sz w:val="28"/>
          <w:szCs w:val="28"/>
        </w:rPr>
        <w:br w:type="page"/>
      </w:r>
    </w:p>
    <w:p w14:paraId="074AEF15">
      <w:pPr>
        <w:pStyle w:val="10"/>
        <w:outlineLvl w:val="9"/>
        <w:rPr>
          <w:color w:val="auto"/>
        </w:rPr>
        <w:sectPr>
          <w:pgSz w:w="11922" w:h="16838"/>
          <w:pgMar w:top="1417" w:right="1304" w:bottom="1417" w:left="1304" w:header="397" w:footer="1037" w:gutter="0"/>
          <w:pgNumType w:fmt="decimal"/>
          <w:cols w:space="0" w:num="1"/>
          <w:docGrid w:linePitch="312" w:charSpace="0"/>
        </w:sectPr>
      </w:pPr>
    </w:p>
    <w:p w14:paraId="2F0F4C57">
      <w:pPr>
        <w:snapToGrid w:val="0"/>
        <w:spacing w:line="360" w:lineRule="auto"/>
        <w:jc w:val="center"/>
        <w:outlineLvl w:val="9"/>
        <w:rPr>
          <w:rFonts w:ascii="仿宋" w:hAnsi="仿宋" w:eastAsia="仿宋" w:cs="仿宋"/>
          <w:b/>
          <w:color w:val="auto"/>
          <w:sz w:val="28"/>
          <w:szCs w:val="28"/>
        </w:rPr>
      </w:pPr>
      <w:r>
        <w:rPr>
          <w:rStyle w:val="34"/>
          <w:rFonts w:hint="eastAsia" w:ascii="仿宋" w:hAnsi="仿宋" w:eastAsia="仿宋" w:cs="仿宋"/>
          <w:color w:val="auto"/>
          <w:sz w:val="28"/>
          <w:szCs w:val="28"/>
        </w:rPr>
        <w:t>三、报价文件封面</w:t>
      </w:r>
    </w:p>
    <w:p w14:paraId="3C6B8590">
      <w:pPr>
        <w:spacing w:line="360" w:lineRule="auto"/>
        <w:ind w:left="1800" w:leftChars="857"/>
        <w:jc w:val="right"/>
        <w:outlineLvl w:val="9"/>
        <w:rPr>
          <w:rFonts w:ascii="仿宋" w:hAnsi="仿宋" w:eastAsia="仿宋" w:cs="仿宋"/>
          <w:color w:val="auto"/>
          <w:sz w:val="28"/>
          <w:szCs w:val="28"/>
        </w:rPr>
      </w:pPr>
    </w:p>
    <w:p w14:paraId="7233BE6F">
      <w:pPr>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 xml:space="preserve">                                                </w:t>
      </w:r>
    </w:p>
    <w:p w14:paraId="6C852E44">
      <w:pPr>
        <w:spacing w:line="360" w:lineRule="auto"/>
        <w:outlineLvl w:val="9"/>
        <w:rPr>
          <w:rFonts w:ascii="仿宋" w:hAnsi="仿宋" w:eastAsia="仿宋" w:cs="仿宋"/>
          <w:color w:val="auto"/>
          <w:sz w:val="28"/>
          <w:szCs w:val="28"/>
        </w:rPr>
      </w:pPr>
    </w:p>
    <w:p w14:paraId="18DCF60C">
      <w:pPr>
        <w:spacing w:line="360" w:lineRule="auto"/>
        <w:outlineLvl w:val="9"/>
        <w:rPr>
          <w:rFonts w:ascii="仿宋" w:hAnsi="仿宋" w:eastAsia="仿宋" w:cs="仿宋"/>
          <w:color w:val="auto"/>
          <w:sz w:val="28"/>
          <w:szCs w:val="28"/>
        </w:rPr>
      </w:pPr>
    </w:p>
    <w:p w14:paraId="6DFF757C">
      <w:pPr>
        <w:spacing w:line="360" w:lineRule="auto"/>
        <w:outlineLvl w:val="9"/>
        <w:rPr>
          <w:rFonts w:ascii="仿宋" w:hAnsi="仿宋" w:eastAsia="仿宋" w:cs="仿宋"/>
          <w:color w:val="auto"/>
          <w:sz w:val="28"/>
          <w:szCs w:val="28"/>
        </w:rPr>
      </w:pPr>
    </w:p>
    <w:p w14:paraId="20E7CBEC">
      <w:pPr>
        <w:snapToGrid w:val="0"/>
        <w:spacing w:line="360" w:lineRule="auto"/>
        <w:jc w:val="center"/>
        <w:outlineLvl w:val="9"/>
        <w:rPr>
          <w:rFonts w:ascii="仿宋" w:hAnsi="仿宋" w:eastAsia="仿宋" w:cs="仿宋"/>
          <w:color w:val="auto"/>
          <w:sz w:val="28"/>
          <w:szCs w:val="28"/>
        </w:rPr>
      </w:pPr>
      <w:r>
        <w:rPr>
          <w:rFonts w:hint="eastAsia" w:ascii="仿宋" w:hAnsi="仿宋" w:eastAsia="仿宋" w:cs="仿宋"/>
          <w:color w:val="auto"/>
          <w:sz w:val="28"/>
          <w:szCs w:val="28"/>
        </w:rPr>
        <w:t>报价文件</w:t>
      </w:r>
    </w:p>
    <w:p w14:paraId="1B8AFEC0">
      <w:pPr>
        <w:snapToGrid w:val="0"/>
        <w:spacing w:line="360" w:lineRule="auto"/>
        <w:ind w:firstLine="1962" w:firstLineChars="698"/>
        <w:outlineLvl w:val="9"/>
        <w:rPr>
          <w:rFonts w:ascii="仿宋" w:hAnsi="仿宋" w:eastAsia="仿宋" w:cs="仿宋"/>
          <w:b/>
          <w:color w:val="auto"/>
          <w:sz w:val="28"/>
          <w:szCs w:val="28"/>
        </w:rPr>
      </w:pPr>
    </w:p>
    <w:p w14:paraId="42419FE2">
      <w:pPr>
        <w:pStyle w:val="10"/>
        <w:spacing w:line="360" w:lineRule="auto"/>
        <w:outlineLvl w:val="9"/>
        <w:rPr>
          <w:rFonts w:ascii="仿宋" w:hAnsi="仿宋" w:eastAsia="仿宋" w:cs="仿宋"/>
          <w:color w:val="auto"/>
          <w:sz w:val="28"/>
          <w:szCs w:val="28"/>
        </w:rPr>
      </w:pPr>
    </w:p>
    <w:p w14:paraId="58745920">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 xml:space="preserve">                    </w:t>
      </w:r>
    </w:p>
    <w:p w14:paraId="33551463">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项目编号：</w:t>
      </w:r>
      <w:r>
        <w:rPr>
          <w:rFonts w:hint="eastAsia" w:ascii="仿宋" w:hAnsi="仿宋" w:eastAsia="仿宋" w:cs="仿宋"/>
          <w:color w:val="auto"/>
          <w:sz w:val="28"/>
          <w:szCs w:val="28"/>
          <w:u w:val="single"/>
        </w:rPr>
        <w:t xml:space="preserve">                    </w:t>
      </w:r>
    </w:p>
    <w:p w14:paraId="6CBDFD9D">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rPr>
        <w:t xml:space="preserve">                       （盖单位公章）</w:t>
      </w:r>
    </w:p>
    <w:p w14:paraId="7BB50375">
      <w:pPr>
        <w:snapToGrid w:val="0"/>
        <w:spacing w:line="360" w:lineRule="auto"/>
        <w:jc w:val="left"/>
        <w:outlineLvl w:val="9"/>
        <w:rPr>
          <w:rFonts w:ascii="仿宋" w:hAnsi="仿宋" w:eastAsia="仿宋" w:cs="仿宋"/>
          <w:color w:val="auto"/>
          <w:sz w:val="28"/>
          <w:szCs w:val="28"/>
        </w:rPr>
        <w:sectPr>
          <w:pgSz w:w="11922" w:h="16838"/>
          <w:pgMar w:top="1417" w:right="1304" w:bottom="1417" w:left="1304" w:header="397" w:footer="1037" w:gutter="0"/>
          <w:pgNumType w:fmt="decimal"/>
          <w:cols w:space="0" w:num="1"/>
          <w:docGrid w:linePitch="312" w:charSpace="0"/>
        </w:sect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年   月   日</w:t>
      </w:r>
    </w:p>
    <w:p w14:paraId="311B3B72">
      <w:pPr>
        <w:numPr>
          <w:ilvl w:val="255"/>
          <w:numId w:val="0"/>
        </w:numPr>
        <w:autoSpaceDE w:val="0"/>
        <w:autoSpaceDN w:val="0"/>
        <w:adjustRightInd w:val="0"/>
        <w:spacing w:line="360" w:lineRule="auto"/>
        <w:jc w:val="center"/>
        <w:outlineLvl w:val="9"/>
        <w:rPr>
          <w:rFonts w:ascii="仿宋" w:hAnsi="仿宋" w:eastAsia="仿宋" w:cs="仿宋"/>
          <w:color w:val="auto"/>
        </w:rPr>
      </w:pPr>
      <w:r>
        <w:rPr>
          <w:rFonts w:hint="eastAsia" w:ascii="仿宋" w:hAnsi="仿宋" w:eastAsia="仿宋" w:cs="仿宋"/>
          <w:color w:val="auto"/>
          <w:spacing w:val="20"/>
          <w:sz w:val="28"/>
          <w:szCs w:val="28"/>
        </w:rPr>
        <w:t>1.开标一览表</w:t>
      </w:r>
    </w:p>
    <w:p w14:paraId="344C8486">
      <w:pPr>
        <w:snapToGrid w:val="0"/>
        <w:spacing w:line="360" w:lineRule="auto"/>
        <w:jc w:val="left"/>
        <w:outlineLvl w:val="9"/>
        <w:rPr>
          <w:rFonts w:ascii="仿宋" w:hAnsi="仿宋" w:eastAsia="仿宋" w:cs="仿宋"/>
          <w:color w:val="auto"/>
          <w:sz w:val="24"/>
          <w:szCs w:val="24"/>
        </w:rPr>
      </w:pPr>
      <w:r>
        <w:rPr>
          <w:rFonts w:hint="eastAsia" w:ascii="仿宋" w:hAnsi="仿宋" w:eastAsia="仿宋" w:cs="仿宋"/>
          <w:color w:val="auto"/>
          <w:sz w:val="24"/>
          <w:szCs w:val="24"/>
        </w:rPr>
        <w:t>项目名称：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项目编号：</w:t>
      </w:r>
      <w:r>
        <w:rPr>
          <w:rFonts w:hint="eastAsia" w:ascii="仿宋" w:hAnsi="仿宋" w:eastAsia="仿宋" w:cs="仿宋"/>
          <w:color w:val="auto"/>
          <w:sz w:val="24"/>
          <w:szCs w:val="24"/>
          <w:u w:val="single"/>
        </w:rPr>
        <w:t xml:space="preserve">             </w:t>
      </w:r>
    </w:p>
    <w:tbl>
      <w:tblPr>
        <w:tblStyle w:val="23"/>
        <w:tblW w:w="111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6"/>
        <w:gridCol w:w="801"/>
        <w:gridCol w:w="814"/>
        <w:gridCol w:w="943"/>
        <w:gridCol w:w="1057"/>
        <w:gridCol w:w="943"/>
        <w:gridCol w:w="1472"/>
        <w:gridCol w:w="1471"/>
        <w:gridCol w:w="1486"/>
        <w:gridCol w:w="1362"/>
      </w:tblGrid>
      <w:tr w14:paraId="05674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11115" w:type="dxa"/>
            <w:gridSpan w:val="10"/>
            <w:tcBorders>
              <w:top w:val="nil"/>
              <w:left w:val="nil"/>
              <w:bottom w:val="nil"/>
              <w:right w:val="nil"/>
            </w:tcBorders>
            <w:shd w:val="clear" w:color="auto" w:fill="auto"/>
            <w:noWrap/>
            <w:vAlign w:val="center"/>
          </w:tcPr>
          <w:p w14:paraId="24E304FE">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 xml:space="preserve">整车调拨报价表  </w:t>
            </w:r>
          </w:p>
        </w:tc>
      </w:tr>
      <w:tr w14:paraId="52056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66"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1F8CADE">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序号</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7D36F0D">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性质</w:t>
            </w: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56261F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始发省份</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67F7D89">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始发</w:t>
            </w:r>
          </w:p>
          <w:p w14:paraId="2B4CFEC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城市</w:t>
            </w:r>
          </w:p>
        </w:tc>
        <w:tc>
          <w:tcPr>
            <w:tcW w:w="1057"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9D9D570">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目的</w:t>
            </w:r>
          </w:p>
          <w:p w14:paraId="77263A97">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省份</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8FA553A">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目的</w:t>
            </w:r>
          </w:p>
          <w:p w14:paraId="49445950">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城市</w:t>
            </w:r>
          </w:p>
        </w:tc>
        <w:tc>
          <w:tcPr>
            <w:tcW w:w="1472" w:type="dxa"/>
            <w:tcBorders>
              <w:top w:val="single" w:color="000000" w:sz="4" w:space="0"/>
              <w:left w:val="single" w:color="000000" w:sz="4" w:space="0"/>
              <w:bottom w:val="single" w:color="000000" w:sz="4" w:space="0"/>
              <w:right w:val="nil"/>
            </w:tcBorders>
            <w:shd w:val="clear" w:color="auto" w:fill="B4C6E7"/>
            <w:noWrap/>
            <w:vAlign w:val="center"/>
          </w:tcPr>
          <w:p w14:paraId="7C503C74">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4.2米</w:t>
            </w:r>
          </w:p>
          <w:p w14:paraId="3666C1E0">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471" w:type="dxa"/>
            <w:tcBorders>
              <w:top w:val="single" w:color="000000" w:sz="4" w:space="0"/>
              <w:left w:val="single" w:color="000000" w:sz="4" w:space="0"/>
              <w:bottom w:val="single" w:color="000000" w:sz="4" w:space="0"/>
              <w:right w:val="nil"/>
            </w:tcBorders>
            <w:shd w:val="clear" w:color="auto" w:fill="B4C6E7"/>
            <w:noWrap/>
            <w:vAlign w:val="center"/>
          </w:tcPr>
          <w:p w14:paraId="1224095F">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7.6米</w:t>
            </w:r>
          </w:p>
          <w:p w14:paraId="128012F9">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486" w:type="dxa"/>
            <w:tcBorders>
              <w:top w:val="single" w:color="000000" w:sz="4" w:space="0"/>
              <w:left w:val="single" w:color="000000" w:sz="4" w:space="0"/>
              <w:bottom w:val="single" w:color="000000" w:sz="4" w:space="0"/>
              <w:right w:val="nil"/>
            </w:tcBorders>
            <w:shd w:val="clear" w:color="auto" w:fill="B4C6E7"/>
            <w:noWrap/>
            <w:vAlign w:val="center"/>
          </w:tcPr>
          <w:p w14:paraId="30506DE1">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9.6米</w:t>
            </w:r>
          </w:p>
          <w:p w14:paraId="559EF655">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362"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1D6EE78">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15米冷</w:t>
            </w:r>
          </w:p>
          <w:p w14:paraId="30E728A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藏车型</w:t>
            </w:r>
          </w:p>
        </w:tc>
      </w:tr>
      <w:tr w14:paraId="0E00A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367927F0">
            <w:pPr>
              <w:jc w:val="center"/>
              <w:rPr>
                <w:rFonts w:hint="eastAsia" w:ascii="仿宋" w:hAnsi="仿宋" w:eastAsia="仿宋" w:cs="仿宋"/>
                <w:b/>
                <w:bCs/>
                <w:i w:val="0"/>
                <w:iCs w:val="0"/>
                <w:color w:val="auto"/>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11467C3">
            <w:pPr>
              <w:jc w:val="center"/>
              <w:rPr>
                <w:rFonts w:hint="eastAsia" w:ascii="仿宋" w:hAnsi="仿宋" w:eastAsia="仿宋" w:cs="仿宋"/>
                <w:b/>
                <w:bCs/>
                <w:i w:val="0"/>
                <w:iCs w:val="0"/>
                <w:color w:val="auto"/>
                <w:sz w:val="24"/>
                <w:szCs w:val="24"/>
                <w:u w:val="none"/>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4B826E8">
            <w:pPr>
              <w:jc w:val="center"/>
              <w:rPr>
                <w:rFonts w:hint="eastAsia" w:ascii="仿宋" w:hAnsi="仿宋" w:eastAsia="仿宋" w:cs="仿宋"/>
                <w:b/>
                <w:bCs/>
                <w:i w:val="0"/>
                <w:iCs w:val="0"/>
                <w:color w:val="auto"/>
                <w:sz w:val="24"/>
                <w:szCs w:val="24"/>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4926D2D">
            <w:pPr>
              <w:jc w:val="center"/>
              <w:rPr>
                <w:rFonts w:hint="eastAsia" w:ascii="仿宋" w:hAnsi="仿宋" w:eastAsia="仿宋" w:cs="仿宋"/>
                <w:b/>
                <w:bCs/>
                <w:i w:val="0"/>
                <w:iCs w:val="0"/>
                <w:color w:val="auto"/>
                <w:sz w:val="24"/>
                <w:szCs w:val="24"/>
                <w:u w:val="none"/>
              </w:rPr>
            </w:pPr>
          </w:p>
        </w:tc>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A8F5251">
            <w:pPr>
              <w:jc w:val="center"/>
              <w:rPr>
                <w:rFonts w:hint="eastAsia" w:ascii="仿宋" w:hAnsi="仿宋" w:eastAsia="仿宋" w:cs="仿宋"/>
                <w:b/>
                <w:bCs/>
                <w:i w:val="0"/>
                <w:iCs w:val="0"/>
                <w:color w:val="auto"/>
                <w:sz w:val="24"/>
                <w:szCs w:val="24"/>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3F4A7C8">
            <w:pPr>
              <w:jc w:val="center"/>
              <w:rPr>
                <w:rFonts w:hint="eastAsia" w:ascii="仿宋" w:hAnsi="仿宋" w:eastAsia="仿宋" w:cs="仿宋"/>
                <w:b/>
                <w:bCs/>
                <w:i w:val="0"/>
                <w:iCs w:val="0"/>
                <w:color w:val="auto"/>
                <w:sz w:val="24"/>
                <w:szCs w:val="24"/>
                <w:u w:val="none"/>
              </w:rPr>
            </w:pPr>
          </w:p>
        </w:tc>
        <w:tc>
          <w:tcPr>
            <w:tcW w:w="1472" w:type="dxa"/>
            <w:tcBorders>
              <w:top w:val="single" w:color="000000" w:sz="4" w:space="0"/>
              <w:left w:val="single" w:color="000000" w:sz="4" w:space="0"/>
              <w:bottom w:val="nil"/>
              <w:right w:val="single" w:color="000000" w:sz="4" w:space="0"/>
            </w:tcBorders>
            <w:shd w:val="clear" w:color="auto" w:fill="B4C6E7"/>
            <w:noWrap/>
            <w:vAlign w:val="center"/>
          </w:tcPr>
          <w:p w14:paraId="747FB515">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单价</w:t>
            </w:r>
          </w:p>
          <w:p w14:paraId="6261075E">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471" w:type="dxa"/>
            <w:tcBorders>
              <w:top w:val="single" w:color="000000" w:sz="4" w:space="0"/>
              <w:left w:val="single" w:color="000000" w:sz="4" w:space="0"/>
              <w:bottom w:val="nil"/>
              <w:right w:val="single" w:color="000000" w:sz="4" w:space="0"/>
            </w:tcBorders>
            <w:shd w:val="clear" w:color="auto" w:fill="B4C6E7"/>
            <w:noWrap/>
            <w:vAlign w:val="center"/>
          </w:tcPr>
          <w:p w14:paraId="270B402D">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单价</w:t>
            </w:r>
          </w:p>
          <w:p w14:paraId="1AC54CE7">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486" w:type="dxa"/>
            <w:tcBorders>
              <w:top w:val="single" w:color="000000" w:sz="4" w:space="0"/>
              <w:left w:val="single" w:color="000000" w:sz="4" w:space="0"/>
              <w:bottom w:val="nil"/>
              <w:right w:val="single" w:color="000000" w:sz="4" w:space="0"/>
            </w:tcBorders>
            <w:shd w:val="clear" w:color="auto" w:fill="B4C6E7"/>
            <w:noWrap/>
            <w:vAlign w:val="center"/>
          </w:tcPr>
          <w:p w14:paraId="5EBE1038">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单价</w:t>
            </w:r>
          </w:p>
          <w:p w14:paraId="37C9DE6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362" w:type="dxa"/>
            <w:tcBorders>
              <w:top w:val="single" w:color="000000" w:sz="4" w:space="0"/>
              <w:left w:val="single" w:color="000000" w:sz="4" w:space="0"/>
              <w:bottom w:val="nil"/>
              <w:right w:val="single" w:color="000000" w:sz="4" w:space="0"/>
            </w:tcBorders>
            <w:shd w:val="clear" w:color="auto" w:fill="B4C6E7"/>
            <w:noWrap/>
            <w:vAlign w:val="center"/>
          </w:tcPr>
          <w:p w14:paraId="203C7D62">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单价</w:t>
            </w:r>
          </w:p>
          <w:p w14:paraId="7858ACE1">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r>
      <w:tr w14:paraId="6327B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6070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6FE7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0F56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7CE1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5C29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黑龙江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FA4E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哈尔滨</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6BF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FBBE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5EC8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9AF4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20717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0B72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7B5F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D5E9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52CF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BAEE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北京</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A1EC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北京</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EDED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AA72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AB2C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CC7E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4DDDA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08AF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D56D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98DF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8002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9875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辽宁</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A715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大连</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4339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CD3C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AD81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9586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75D1F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F151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1DC6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F836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2FC0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5F8A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辽宁</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B096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沈阳</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502D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78C8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F367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1A90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24FC3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9694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68A1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A1E1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6445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EE87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上海</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2F76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上海</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0A25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314B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3871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47CE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1A876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1909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F863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006F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1682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0EBD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广东</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EC79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深圳</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DC36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54D7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48F3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CC03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32090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jc w:val="center"/>
        </w:trPr>
        <w:tc>
          <w:tcPr>
            <w:tcW w:w="1111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994E489">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备注：</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1.以上价格不含装、卸货等增值服务。</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2.以上价格须包含9%的增值税税点。</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3.以上价格须包含基础保价服务，按4.2米车型10万元，7.6米车型20万元，9.6米车型25万元，15米车型30万元。</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4.具有多个卸货地址的订单，以高德地图货车导航始发地至第一个卸货地距离+相邻卸货地之间的距离累加公里数为结算里程依据。</w:t>
            </w:r>
          </w:p>
        </w:tc>
      </w:tr>
    </w:tbl>
    <w:p w14:paraId="4EF3C439">
      <w:pPr>
        <w:snapToGrid w:val="0"/>
        <w:spacing w:line="360" w:lineRule="auto"/>
        <w:ind w:firstLine="480" w:firstLineChars="200"/>
        <w:jc w:val="left"/>
        <w:outlineLvl w:val="9"/>
        <w:rPr>
          <w:rFonts w:hint="eastAsia" w:ascii="仿宋" w:hAnsi="仿宋" w:eastAsia="仿宋" w:cs="仿宋"/>
          <w:color w:val="auto"/>
          <w:sz w:val="24"/>
          <w:szCs w:val="24"/>
        </w:rPr>
      </w:pPr>
    </w:p>
    <w:p w14:paraId="392E92D4">
      <w:pPr>
        <w:snapToGrid w:val="0"/>
        <w:spacing w:line="360" w:lineRule="auto"/>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注：1.报价一经涂改，应在涂改处加盖投标人公章或者由</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或其授权代表签字或盖章，否则其投标作无效标处理。</w:t>
      </w:r>
    </w:p>
    <w:p w14:paraId="3519563C">
      <w:pPr>
        <w:snapToGrid w:val="0"/>
        <w:spacing w:line="360" w:lineRule="auto"/>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    2.</w:t>
      </w:r>
      <w:r>
        <w:rPr>
          <w:rFonts w:hint="eastAsia" w:ascii="仿宋" w:hAnsi="仿宋" w:eastAsia="仿宋" w:cs="仿宋"/>
          <w:b w:val="0"/>
          <w:bCs w:val="0"/>
          <w:color w:val="auto"/>
          <w:sz w:val="24"/>
          <w:szCs w:val="24"/>
          <w:highlight w:val="none"/>
          <w:lang w:val="en-US" w:eastAsia="zh-CN"/>
        </w:rPr>
        <w:t>投标报价应包括为完成该项目全部内容所需的一切人员工资、奖金、各种加班费、节假日补贴、夜餐费、各种社会保险、劳保福利、安全保险、食宿与交通、设备及工具、器材、消耗材料、安全、仓储、搬运、管理费用、税费、利润，完成合同所需的一切本身和不可或缺的所有工作开支、政策性文件规定及合同包含的所有风险、责任等各项全部费用并承担一切风险责任。在合同服务期间内不得违反国家相关政策规定。</w:t>
      </w:r>
      <w:r>
        <w:rPr>
          <w:rFonts w:hint="eastAsia" w:ascii="仿宋" w:hAnsi="仿宋" w:eastAsia="仿宋" w:cs="仿宋"/>
          <w:color w:val="auto"/>
          <w:sz w:val="24"/>
          <w:szCs w:val="24"/>
        </w:rPr>
        <w:t xml:space="preserve">   </w:t>
      </w:r>
    </w:p>
    <w:p w14:paraId="3FDA0286">
      <w:pPr>
        <w:snapToGrid w:val="0"/>
        <w:spacing w:line="360" w:lineRule="auto"/>
        <w:jc w:val="left"/>
        <w:outlineLvl w:val="9"/>
        <w:rPr>
          <w:rFonts w:ascii="仿宋" w:hAnsi="仿宋" w:eastAsia="仿宋" w:cs="仿宋"/>
          <w:color w:val="auto"/>
          <w:sz w:val="24"/>
        </w:rPr>
      </w:pPr>
      <w:r>
        <w:rPr>
          <w:rFonts w:hint="eastAsia" w:ascii="仿宋" w:hAnsi="仿宋" w:eastAsia="仿宋" w:cs="仿宋"/>
          <w:color w:val="auto"/>
          <w:sz w:val="24"/>
          <w:szCs w:val="24"/>
        </w:rPr>
        <w:t xml:space="preserve">   </w:t>
      </w:r>
    </w:p>
    <w:p w14:paraId="339618DB">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1F3778EB">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2E5EB04A">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505D0314">
      <w:pPr>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6D345826">
      <w:pPr>
        <w:pStyle w:val="37"/>
        <w:snapToGrid w:val="0"/>
        <w:spacing w:line="360" w:lineRule="auto"/>
        <w:jc w:val="center"/>
        <w:outlineLvl w:val="9"/>
        <w:rPr>
          <w:rFonts w:ascii="仿宋" w:hAnsi="仿宋" w:eastAsia="仿宋" w:cs="仿宋"/>
          <w:b/>
          <w:color w:val="auto"/>
          <w:sz w:val="28"/>
          <w:szCs w:val="28"/>
        </w:rPr>
      </w:pPr>
      <w:r>
        <w:rPr>
          <w:rFonts w:hint="eastAsia" w:ascii="仿宋" w:hAnsi="仿宋" w:eastAsia="仿宋" w:cs="仿宋"/>
          <w:b/>
          <w:color w:val="auto"/>
          <w:sz w:val="28"/>
          <w:szCs w:val="28"/>
        </w:rPr>
        <w:t>采购活动现场确认声明书</w:t>
      </w:r>
    </w:p>
    <w:p w14:paraId="177219D4">
      <w:pPr>
        <w:pStyle w:val="37"/>
        <w:keepNext w:val="0"/>
        <w:keepLines w:val="0"/>
        <w:pageBreakBefore w:val="0"/>
        <w:kinsoku/>
        <w:wordWrap/>
        <w:overflowPunct/>
        <w:topLinePunct w:val="0"/>
        <w:autoSpaceDE/>
        <w:autoSpaceDN/>
        <w:bidi w:val="0"/>
        <w:adjustRightInd w:val="0"/>
        <w:snapToGrid w:val="0"/>
        <w:spacing w:line="400" w:lineRule="exact"/>
        <w:textAlignment w:val="auto"/>
        <w:outlineLvl w:val="9"/>
        <w:rPr>
          <w:rFonts w:hint="eastAsia" w:ascii="仿宋" w:hAnsi="仿宋" w:eastAsia="仿宋" w:cs="仿宋"/>
          <w:color w:val="auto"/>
          <w:spacing w:val="6"/>
        </w:rPr>
      </w:pPr>
      <w:r>
        <w:rPr>
          <w:rFonts w:hint="eastAsia" w:ascii="仿宋" w:hAnsi="仿宋" w:eastAsia="仿宋" w:cs="仿宋"/>
          <w:color w:val="auto"/>
          <w:spacing w:val="6"/>
          <w:lang w:eastAsia="zh-CN"/>
        </w:rPr>
        <w:t>马迭尔食品（浙江）有限公司</w:t>
      </w:r>
      <w:r>
        <w:rPr>
          <w:rFonts w:hint="eastAsia" w:ascii="仿宋" w:hAnsi="仿宋" w:eastAsia="仿宋" w:cs="仿宋"/>
          <w:color w:val="auto"/>
          <w:spacing w:val="6"/>
        </w:rPr>
        <w:t>：</w:t>
      </w:r>
    </w:p>
    <w:p w14:paraId="10BFDA8F">
      <w:pPr>
        <w:pStyle w:val="37"/>
        <w:keepNext w:val="0"/>
        <w:keepLines w:val="0"/>
        <w:pageBreakBefore w:val="0"/>
        <w:kinsoku/>
        <w:wordWrap/>
        <w:overflowPunct/>
        <w:topLinePunct w:val="0"/>
        <w:autoSpaceDE/>
        <w:autoSpaceDN/>
        <w:bidi w:val="0"/>
        <w:adjustRightInd w:val="0"/>
        <w:snapToGrid w:val="0"/>
        <w:spacing w:line="400" w:lineRule="exact"/>
        <w:ind w:firstLine="504" w:firstLineChars="200"/>
        <w:textAlignment w:val="auto"/>
        <w:outlineLvl w:val="9"/>
        <w:rPr>
          <w:rFonts w:ascii="仿宋" w:hAnsi="仿宋" w:eastAsia="仿宋" w:cs="仿宋"/>
          <w:color w:val="auto"/>
          <w:spacing w:val="6"/>
        </w:rPr>
      </w:pPr>
      <w:r>
        <w:rPr>
          <w:rFonts w:hint="eastAsia" w:ascii="仿宋" w:hAnsi="仿宋" w:eastAsia="仿宋" w:cs="仿宋"/>
          <w:color w:val="auto"/>
          <w:spacing w:val="6"/>
        </w:rPr>
        <w:t>本人经由</w:t>
      </w:r>
      <w:r>
        <w:rPr>
          <w:rFonts w:hint="eastAsia" w:ascii="仿宋" w:hAnsi="仿宋" w:eastAsia="仿宋" w:cs="仿宋"/>
          <w:color w:val="auto"/>
          <w:spacing w:val="6"/>
          <w:u w:val="single"/>
        </w:rPr>
        <w:t xml:space="preserve">                  （单位）</w:t>
      </w:r>
      <w:r>
        <w:rPr>
          <w:rFonts w:hint="eastAsia" w:ascii="仿宋" w:hAnsi="仿宋" w:eastAsia="仿宋" w:cs="仿宋"/>
          <w:color w:val="auto"/>
          <w:spacing w:val="6"/>
        </w:rPr>
        <w:t>负责人</w:t>
      </w:r>
      <w:r>
        <w:rPr>
          <w:rFonts w:hint="eastAsia" w:ascii="仿宋" w:hAnsi="仿宋" w:eastAsia="仿宋" w:cs="仿宋"/>
          <w:color w:val="auto"/>
          <w:spacing w:val="6"/>
          <w:u w:val="single"/>
        </w:rPr>
        <w:t xml:space="preserve">        （姓名）</w:t>
      </w:r>
      <w:r>
        <w:rPr>
          <w:rFonts w:hint="eastAsia" w:ascii="仿宋" w:hAnsi="仿宋" w:eastAsia="仿宋" w:cs="仿宋"/>
          <w:color w:val="auto"/>
          <w:spacing w:val="6"/>
        </w:rPr>
        <w:t>合法授权参加</w:t>
      </w:r>
      <w:r>
        <w:rPr>
          <w:rFonts w:hint="eastAsia" w:ascii="仿宋" w:hAnsi="仿宋" w:eastAsia="仿宋" w:cs="仿宋"/>
          <w:color w:val="auto"/>
          <w:spacing w:val="6"/>
          <w:u w:val="single"/>
          <w:lang w:eastAsia="zh-CN"/>
        </w:rPr>
        <w:t>哈尔滨马迭尔食品股份有限公司物流服务项目</w:t>
      </w:r>
      <w:r>
        <w:rPr>
          <w:rFonts w:hint="eastAsia" w:ascii="仿宋" w:hAnsi="仿宋" w:eastAsia="仿宋" w:cs="仿宋"/>
          <w:color w:val="auto"/>
          <w:spacing w:val="6"/>
        </w:rPr>
        <w:t>（</w:t>
      </w:r>
      <w:r>
        <w:rPr>
          <w:rFonts w:hint="eastAsia" w:ascii="仿宋" w:hAnsi="仿宋" w:eastAsia="仿宋" w:cs="仿宋"/>
          <w:color w:val="auto"/>
          <w:spacing w:val="6"/>
          <w:lang w:val="en-US" w:eastAsia="zh-CN"/>
        </w:rPr>
        <w:t>项目</w:t>
      </w:r>
      <w:r>
        <w:rPr>
          <w:rFonts w:hint="eastAsia" w:ascii="仿宋" w:hAnsi="仿宋" w:eastAsia="仿宋" w:cs="仿宋"/>
          <w:color w:val="auto"/>
          <w:spacing w:val="6"/>
        </w:rPr>
        <w:t>编号：</w:t>
      </w:r>
      <w:r>
        <w:rPr>
          <w:rFonts w:hint="eastAsia" w:ascii="仿宋" w:hAnsi="仿宋" w:eastAsia="仿宋" w:cs="仿宋"/>
          <w:color w:val="auto"/>
          <w:spacing w:val="6"/>
          <w:lang w:eastAsia="zh-CN"/>
        </w:rPr>
        <w:t>LSZX-2025-CG0063-1</w:t>
      </w:r>
      <w:r>
        <w:rPr>
          <w:rFonts w:hint="eastAsia" w:ascii="仿宋" w:hAnsi="仿宋" w:eastAsia="仿宋" w:cs="仿宋"/>
          <w:color w:val="auto"/>
          <w:spacing w:val="6"/>
        </w:rPr>
        <w:t xml:space="preserve">）采购活动，经与本单位法人代表（负责人）联系确认，现就有关公平竞争事项郑重声明如下： </w:t>
      </w:r>
    </w:p>
    <w:p w14:paraId="531543C5">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kern w:val="0"/>
          <w:sz w:val="24"/>
          <w:szCs w:val="24"/>
        </w:rPr>
        <w:t>一、本单位与</w:t>
      </w:r>
      <w:r>
        <w:rPr>
          <w:rFonts w:hint="eastAsia" w:ascii="仿宋" w:hAnsi="仿宋" w:eastAsia="仿宋" w:cs="仿宋"/>
          <w:i w:val="0"/>
          <w:iCs w:val="0"/>
          <w:color w:val="auto"/>
          <w:kern w:val="0"/>
          <w:sz w:val="24"/>
          <w:szCs w:val="24"/>
          <w:lang w:eastAsia="zh-CN"/>
        </w:rPr>
        <w:t>招标人</w:t>
      </w:r>
      <w:r>
        <w:rPr>
          <w:rFonts w:ascii="仿宋" w:hAnsi="仿宋" w:eastAsia="仿宋" w:cs="仿宋"/>
          <w:i w:val="0"/>
          <w:iCs w:val="0"/>
          <w:color w:val="auto"/>
          <w:kern w:val="0"/>
          <w:sz w:val="24"/>
          <w:szCs w:val="24"/>
        </w:rPr>
        <w:t>之间 □不存在利害关系 □存在下列利害关系</w:t>
      </w:r>
      <w:r>
        <w:rPr>
          <w:rFonts w:ascii="仿宋" w:hAnsi="仿宋" w:eastAsia="仿宋" w:cs="仿宋"/>
          <w:i w:val="0"/>
          <w:iCs w:val="0"/>
          <w:color w:val="auto"/>
          <w:kern w:val="0"/>
          <w:sz w:val="24"/>
          <w:szCs w:val="24"/>
          <w:u w:val="single"/>
        </w:rPr>
        <w:t xml:space="preserve">           </w:t>
      </w:r>
      <w:r>
        <w:rPr>
          <w:rFonts w:ascii="仿宋" w:hAnsi="仿宋" w:eastAsia="仿宋" w:cs="仿宋"/>
          <w:i w:val="0"/>
          <w:iCs w:val="0"/>
          <w:color w:val="auto"/>
          <w:kern w:val="0"/>
          <w:sz w:val="24"/>
          <w:szCs w:val="24"/>
        </w:rPr>
        <w:t>：</w:t>
      </w:r>
    </w:p>
    <w:p w14:paraId="36CDFBDD">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kern w:val="0"/>
          <w:sz w:val="24"/>
          <w:szCs w:val="24"/>
        </w:rPr>
        <w:t>A.投资关系    B.行政隶属关系    C.业务指导关系</w:t>
      </w:r>
    </w:p>
    <w:p w14:paraId="552C81DD">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kern w:val="0"/>
          <w:sz w:val="24"/>
          <w:szCs w:val="24"/>
        </w:rPr>
        <w:t>D.其他可能</w:t>
      </w:r>
      <w:r>
        <w:rPr>
          <w:rFonts w:ascii="仿宋" w:hAnsi="仿宋" w:eastAsia="仿宋" w:cs="仿宋"/>
          <w:i w:val="0"/>
          <w:iCs w:val="0"/>
          <w:color w:val="auto"/>
          <w:sz w:val="24"/>
          <w:szCs w:val="24"/>
        </w:rPr>
        <w:t>影响采购公正的</w:t>
      </w:r>
      <w:r>
        <w:rPr>
          <w:rFonts w:ascii="仿宋" w:hAnsi="仿宋" w:eastAsia="仿宋" w:cs="仿宋"/>
          <w:i w:val="0"/>
          <w:iCs w:val="0"/>
          <w:color w:val="auto"/>
          <w:kern w:val="0"/>
          <w:sz w:val="24"/>
          <w:szCs w:val="24"/>
        </w:rPr>
        <w:t>利害关系</w:t>
      </w:r>
      <w:r>
        <w:rPr>
          <w:rFonts w:ascii="仿宋" w:hAnsi="仿宋" w:eastAsia="仿宋" w:cs="仿宋"/>
          <w:i w:val="0"/>
          <w:iCs w:val="0"/>
          <w:color w:val="auto"/>
          <w:kern w:val="0"/>
          <w:sz w:val="24"/>
          <w:szCs w:val="24"/>
          <w:u w:val="single"/>
        </w:rPr>
        <w:t xml:space="preserve">（如有，请如实说明）                 </w:t>
      </w:r>
      <w:r>
        <w:rPr>
          <w:rFonts w:ascii="仿宋" w:hAnsi="仿宋" w:eastAsia="仿宋" w:cs="仿宋"/>
          <w:i w:val="0"/>
          <w:iCs w:val="0"/>
          <w:color w:val="auto"/>
          <w:kern w:val="0"/>
          <w:sz w:val="24"/>
          <w:szCs w:val="24"/>
        </w:rPr>
        <w:t>。</w:t>
      </w:r>
    </w:p>
    <w:p w14:paraId="6453522D">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504"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spacing w:val="6"/>
          <w:sz w:val="24"/>
          <w:szCs w:val="24"/>
        </w:rPr>
        <w:t>二、</w:t>
      </w:r>
      <w:r>
        <w:rPr>
          <w:rFonts w:ascii="仿宋" w:hAnsi="仿宋" w:eastAsia="仿宋" w:cs="仿宋"/>
          <w:i w:val="0"/>
          <w:iCs w:val="0"/>
          <w:color w:val="auto"/>
          <w:kern w:val="0"/>
          <w:sz w:val="24"/>
          <w:szCs w:val="24"/>
        </w:rPr>
        <w:t>现已清楚知道参加本项目采购活动的其他所有投标人名称，本单位 □与其他所有投标人之间均不存在利害关系 □与</w:t>
      </w:r>
      <w:r>
        <w:rPr>
          <w:rFonts w:ascii="仿宋" w:hAnsi="仿宋" w:eastAsia="仿宋" w:cs="仿宋"/>
          <w:i w:val="0"/>
          <w:iCs w:val="0"/>
          <w:color w:val="auto"/>
          <w:kern w:val="0"/>
          <w:sz w:val="24"/>
          <w:szCs w:val="24"/>
          <w:u w:val="single"/>
        </w:rPr>
        <w:t xml:space="preserve">           （投标人名称）</w:t>
      </w:r>
      <w:r>
        <w:rPr>
          <w:rFonts w:ascii="仿宋" w:hAnsi="仿宋" w:eastAsia="仿宋" w:cs="仿宋"/>
          <w:i w:val="0"/>
          <w:iCs w:val="0"/>
          <w:color w:val="auto"/>
          <w:kern w:val="0"/>
          <w:sz w:val="24"/>
          <w:szCs w:val="24"/>
        </w:rPr>
        <w:t>之间存在下列利害关系</w:t>
      </w:r>
      <w:r>
        <w:rPr>
          <w:rFonts w:ascii="仿宋" w:hAnsi="仿宋" w:eastAsia="仿宋" w:cs="仿宋"/>
          <w:i w:val="0"/>
          <w:iCs w:val="0"/>
          <w:color w:val="auto"/>
          <w:kern w:val="0"/>
          <w:sz w:val="24"/>
          <w:szCs w:val="24"/>
          <w:u w:val="single"/>
        </w:rPr>
        <w:t xml:space="preserve">          </w:t>
      </w:r>
      <w:r>
        <w:rPr>
          <w:rFonts w:ascii="仿宋" w:hAnsi="仿宋" w:eastAsia="仿宋" w:cs="仿宋"/>
          <w:i w:val="0"/>
          <w:iCs w:val="0"/>
          <w:color w:val="auto"/>
          <w:kern w:val="0"/>
          <w:sz w:val="24"/>
          <w:szCs w:val="24"/>
        </w:rPr>
        <w:t>：</w:t>
      </w:r>
    </w:p>
    <w:p w14:paraId="24E89F2B">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i w:val="0"/>
          <w:iCs w:val="0"/>
          <w:color w:val="auto"/>
          <w:kern w:val="0"/>
        </w:rPr>
      </w:pPr>
      <w:r>
        <w:rPr>
          <w:rFonts w:hint="eastAsia" w:ascii="仿宋" w:hAnsi="仿宋" w:eastAsia="仿宋" w:cs="仿宋"/>
          <w:i w:val="0"/>
          <w:iCs w:val="0"/>
          <w:color w:val="auto"/>
          <w:kern w:val="0"/>
        </w:rPr>
        <w:t>A.法定代表人或负责人或实际控制人是同一人</w:t>
      </w:r>
    </w:p>
    <w:p w14:paraId="565F66D4">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i w:val="0"/>
          <w:iCs w:val="0"/>
          <w:color w:val="auto"/>
          <w:spacing w:val="6"/>
        </w:rPr>
      </w:pPr>
      <w:r>
        <w:rPr>
          <w:rFonts w:hint="eastAsia" w:ascii="仿宋" w:hAnsi="仿宋" w:eastAsia="仿宋" w:cs="仿宋"/>
          <w:i w:val="0"/>
          <w:iCs w:val="0"/>
          <w:color w:val="auto"/>
          <w:kern w:val="0"/>
        </w:rPr>
        <w:t>B.法定代表人或负责人或实际控制人是夫妻关系</w:t>
      </w:r>
    </w:p>
    <w:p w14:paraId="00484FF4">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spacing w:val="6"/>
        </w:rPr>
      </w:pPr>
      <w:r>
        <w:rPr>
          <w:rFonts w:hint="eastAsia" w:ascii="仿宋" w:hAnsi="仿宋" w:eastAsia="仿宋" w:cs="仿宋"/>
          <w:color w:val="auto"/>
          <w:kern w:val="0"/>
        </w:rPr>
        <w:t>C.法定代表人或负责人或实际控制人是直系血亲关系</w:t>
      </w:r>
    </w:p>
    <w:p w14:paraId="429BD8C0">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spacing w:val="6"/>
        </w:rPr>
      </w:pPr>
      <w:r>
        <w:rPr>
          <w:rFonts w:hint="eastAsia" w:ascii="仿宋" w:hAnsi="仿宋" w:eastAsia="仿宋" w:cs="仿宋"/>
          <w:color w:val="auto"/>
          <w:kern w:val="0"/>
        </w:rPr>
        <w:t>D.法定代表人或负责人或实际控制人存在三代以内旁系血亲关系</w:t>
      </w:r>
    </w:p>
    <w:p w14:paraId="112C29BF">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kern w:val="0"/>
        </w:rPr>
      </w:pPr>
      <w:r>
        <w:rPr>
          <w:rFonts w:hint="eastAsia" w:ascii="仿宋" w:hAnsi="仿宋" w:eastAsia="仿宋" w:cs="仿宋"/>
          <w:color w:val="auto"/>
          <w:kern w:val="0"/>
        </w:rPr>
        <w:t>E.法定代表人或负责人或实际控制人存在近姻亲关系</w:t>
      </w:r>
    </w:p>
    <w:p w14:paraId="23BD9C59">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kern w:val="0"/>
        </w:rPr>
      </w:pPr>
      <w:r>
        <w:rPr>
          <w:rFonts w:hint="eastAsia" w:ascii="仿宋" w:hAnsi="仿宋" w:eastAsia="仿宋" w:cs="仿宋"/>
          <w:color w:val="auto"/>
          <w:kern w:val="0"/>
        </w:rPr>
        <w:t>F.法定代表人或负责人或实际控制人存在股份控制或实际控制关系</w:t>
      </w:r>
    </w:p>
    <w:p w14:paraId="562BD2C4">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kern w:val="0"/>
        </w:rPr>
      </w:pPr>
      <w:r>
        <w:rPr>
          <w:rFonts w:hint="eastAsia" w:ascii="仿宋" w:hAnsi="仿宋" w:eastAsia="仿宋" w:cs="仿宋"/>
          <w:color w:val="auto"/>
          <w:kern w:val="0"/>
        </w:rPr>
        <w:t>G.存在共同直接或间接投资设立子公司、联营企业和合营企业情况</w:t>
      </w:r>
    </w:p>
    <w:p w14:paraId="4FA8471E">
      <w:pPr>
        <w:pStyle w:val="37"/>
        <w:keepNext w:val="0"/>
        <w:keepLines w:val="0"/>
        <w:pageBreakBefore w:val="0"/>
        <w:kinsoku/>
        <w:wordWrap/>
        <w:overflowPunct/>
        <w:topLinePunct w:val="0"/>
        <w:autoSpaceDE/>
        <w:autoSpaceDN/>
        <w:bidi w:val="0"/>
        <w:adjustRightInd w:val="0"/>
        <w:snapToGrid w:val="0"/>
        <w:spacing w:line="400" w:lineRule="exact"/>
        <w:textAlignment w:val="auto"/>
        <w:outlineLvl w:val="9"/>
        <w:rPr>
          <w:rFonts w:ascii="仿宋" w:hAnsi="仿宋" w:eastAsia="仿宋" w:cs="仿宋"/>
          <w:color w:val="auto"/>
        </w:rPr>
      </w:pPr>
      <w:r>
        <w:rPr>
          <w:rFonts w:hint="eastAsia" w:ascii="仿宋" w:hAnsi="仿宋" w:eastAsia="仿宋" w:cs="仿宋"/>
          <w:color w:val="auto"/>
          <w:kern w:val="0"/>
        </w:rPr>
        <w:t xml:space="preserve">  </w:t>
      </w:r>
      <w:r>
        <w:rPr>
          <w:rFonts w:hint="eastAsia" w:ascii="仿宋" w:hAnsi="仿宋" w:eastAsia="仿宋" w:cs="仿宋"/>
          <w:color w:val="auto"/>
          <w:kern w:val="0"/>
          <w:lang w:val="en-US" w:eastAsia="zh-CN"/>
        </w:rPr>
        <w:t xml:space="preserve">  </w:t>
      </w:r>
      <w:r>
        <w:rPr>
          <w:rFonts w:hint="eastAsia" w:ascii="仿宋" w:hAnsi="仿宋" w:eastAsia="仿宋" w:cs="仿宋"/>
          <w:color w:val="auto"/>
          <w:kern w:val="0"/>
        </w:rPr>
        <w:t>H.存在分级代理或代销关系、同一生产制造商关系、</w:t>
      </w:r>
      <w:r>
        <w:rPr>
          <w:rFonts w:hint="eastAsia" w:ascii="仿宋" w:hAnsi="仿宋" w:eastAsia="仿宋" w:cs="仿宋"/>
          <w:color w:val="auto"/>
        </w:rPr>
        <w:t>管理关系、重要业务（占主营业务收入50%以上）或重要财务往来关系（如融资）等其他实质性控制关系</w:t>
      </w:r>
    </w:p>
    <w:p w14:paraId="3D41BD63">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spacing w:val="6"/>
        </w:rPr>
      </w:pPr>
      <w:bookmarkStart w:id="133" w:name="_Toc31860"/>
      <w:r>
        <w:rPr>
          <w:rFonts w:hint="eastAsia" w:ascii="仿宋" w:hAnsi="仿宋" w:eastAsia="仿宋" w:cs="仿宋"/>
          <w:color w:val="auto"/>
        </w:rPr>
        <w:t>I</w:t>
      </w:r>
      <w:r>
        <w:rPr>
          <w:rFonts w:hint="eastAsia" w:ascii="仿宋" w:hAnsi="仿宋" w:eastAsia="仿宋" w:cs="仿宋"/>
          <w:color w:val="auto"/>
          <w:kern w:val="0"/>
        </w:rPr>
        <w:t>.</w:t>
      </w:r>
      <w:r>
        <w:rPr>
          <w:rFonts w:hint="eastAsia" w:ascii="仿宋" w:hAnsi="仿宋" w:eastAsia="仿宋" w:cs="仿宋"/>
          <w:color w:val="auto"/>
        </w:rPr>
        <w:t>其他利害关系情况</w:t>
      </w:r>
      <w:r>
        <w:rPr>
          <w:rFonts w:hint="eastAsia" w:ascii="仿宋" w:hAnsi="仿宋" w:eastAsia="仿宋" w:cs="仿宋"/>
          <w:color w:val="auto"/>
          <w:u w:val="single"/>
        </w:rPr>
        <w:t xml:space="preserve">                              </w:t>
      </w:r>
      <w:r>
        <w:rPr>
          <w:rFonts w:hint="eastAsia" w:ascii="仿宋" w:hAnsi="仿宋" w:eastAsia="仿宋" w:cs="仿宋"/>
          <w:color w:val="auto"/>
          <w:kern w:val="0"/>
        </w:rPr>
        <w:t>。</w:t>
      </w:r>
      <w:bookmarkEnd w:id="133"/>
    </w:p>
    <w:p w14:paraId="447091D9">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sz w:val="24"/>
          <w:szCs w:val="24"/>
        </w:rPr>
        <w:t>三、现已清楚知道并</w:t>
      </w:r>
      <w:r>
        <w:rPr>
          <w:rFonts w:ascii="仿宋" w:hAnsi="仿宋" w:eastAsia="仿宋" w:cs="仿宋"/>
          <w:i w:val="0"/>
          <w:iCs w:val="0"/>
          <w:color w:val="auto"/>
          <w:kern w:val="0"/>
          <w:sz w:val="24"/>
          <w:szCs w:val="24"/>
        </w:rPr>
        <w:t>严格遵守采购法律法规和现场纪律。</w:t>
      </w:r>
    </w:p>
    <w:p w14:paraId="51F9915A">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kern w:val="0"/>
          <w:sz w:val="24"/>
          <w:szCs w:val="24"/>
        </w:rPr>
        <w:t>四、我发现</w:t>
      </w:r>
      <w:r>
        <w:rPr>
          <w:rFonts w:ascii="仿宋" w:hAnsi="仿宋" w:eastAsia="仿宋" w:cs="仿宋"/>
          <w:i w:val="0"/>
          <w:iCs w:val="0"/>
          <w:color w:val="auto"/>
          <w:kern w:val="0"/>
          <w:sz w:val="24"/>
          <w:szCs w:val="24"/>
          <w:u w:val="single"/>
        </w:rPr>
        <w:t xml:space="preserve">                    </w:t>
      </w:r>
      <w:r>
        <w:rPr>
          <w:rFonts w:ascii="仿宋" w:hAnsi="仿宋" w:eastAsia="仿宋" w:cs="仿宋"/>
          <w:i w:val="0"/>
          <w:iCs w:val="0"/>
          <w:color w:val="auto"/>
          <w:kern w:val="0"/>
          <w:sz w:val="24"/>
          <w:szCs w:val="24"/>
        </w:rPr>
        <w:t>投标人之间存在或可能存在上述第二条第</w:t>
      </w:r>
      <w:r>
        <w:rPr>
          <w:rFonts w:ascii="仿宋" w:hAnsi="仿宋" w:eastAsia="仿宋" w:cs="仿宋"/>
          <w:i w:val="0"/>
          <w:iCs w:val="0"/>
          <w:color w:val="auto"/>
          <w:kern w:val="0"/>
          <w:sz w:val="24"/>
          <w:szCs w:val="24"/>
          <w:u w:val="single"/>
        </w:rPr>
        <w:t xml:space="preserve">        </w:t>
      </w:r>
      <w:r>
        <w:rPr>
          <w:rFonts w:ascii="仿宋" w:hAnsi="仿宋" w:eastAsia="仿宋" w:cs="仿宋"/>
          <w:i w:val="0"/>
          <w:iCs w:val="0"/>
          <w:color w:val="auto"/>
          <w:kern w:val="0"/>
          <w:sz w:val="24"/>
          <w:szCs w:val="24"/>
        </w:rPr>
        <w:t>项利害关系。</w:t>
      </w:r>
    </w:p>
    <w:p w14:paraId="5A42269D">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rPr>
      </w:pPr>
      <w:r>
        <w:rPr>
          <w:rFonts w:hint="eastAsia" w:ascii="仿宋" w:hAnsi="仿宋" w:eastAsia="仿宋" w:cs="仿宋"/>
          <w:color w:val="auto"/>
        </w:rPr>
        <w:t xml:space="preserve">投标人代表签名：                           </w:t>
      </w:r>
      <w:r>
        <w:rPr>
          <w:rFonts w:hint="eastAsia" w:ascii="仿宋" w:hAnsi="仿宋" w:eastAsia="仿宋" w:cs="仿宋"/>
          <w:color w:val="auto"/>
          <w:u w:val="single"/>
        </w:rPr>
        <w:t xml:space="preserve">    年   月   日</w:t>
      </w:r>
    </w:p>
    <w:p w14:paraId="4081252D">
      <w:pPr>
        <w:pStyle w:val="37"/>
        <w:keepNext w:val="0"/>
        <w:keepLines w:val="0"/>
        <w:pageBreakBefore w:val="0"/>
        <w:kinsoku/>
        <w:wordWrap/>
        <w:overflowPunct/>
        <w:topLinePunct w:val="0"/>
        <w:autoSpaceDE/>
        <w:autoSpaceDN/>
        <w:bidi w:val="0"/>
        <w:adjustRightInd w:val="0"/>
        <w:snapToGrid w:val="0"/>
        <w:spacing w:line="400" w:lineRule="exact"/>
        <w:ind w:firstLine="420" w:firstLineChars="200"/>
        <w:textAlignment w:val="auto"/>
        <w:outlineLvl w:val="9"/>
        <w:rPr>
          <w:rFonts w:ascii="仿宋" w:hAnsi="仿宋" w:eastAsia="仿宋" w:cs="仿宋"/>
          <w:color w:val="auto"/>
          <w:sz w:val="21"/>
          <w:szCs w:val="21"/>
        </w:rPr>
      </w:pPr>
    </w:p>
    <w:p w14:paraId="562D0597">
      <w:pPr>
        <w:pStyle w:val="20"/>
        <w:keepNext w:val="0"/>
        <w:keepLines w:val="0"/>
        <w:widowControl/>
        <w:suppressLineNumbers w:val="0"/>
        <w:autoSpaceDE w:val="0"/>
        <w:autoSpaceDN/>
        <w:adjustRightInd w:val="0"/>
        <w:snapToGrid w:val="0"/>
        <w:spacing w:before="0" w:beforeAutospacing="0" w:after="0" w:afterAutospacing="0" w:line="360" w:lineRule="auto"/>
        <w:ind w:left="0" w:right="0" w:firstLine="420" w:firstLineChars="200"/>
        <w:jc w:val="left"/>
        <w:rPr>
          <w:rFonts w:hint="default" w:ascii="仿宋" w:hAnsi="仿宋" w:eastAsia="仿宋" w:cs="仿宋"/>
          <w:i w:val="0"/>
          <w:color w:val="auto"/>
          <w:kern w:val="2"/>
          <w:sz w:val="21"/>
          <w:szCs w:val="21"/>
          <w:woUserID w:val="2"/>
        </w:rPr>
      </w:pPr>
      <w:r>
        <w:rPr>
          <w:rFonts w:hint="default" w:ascii="仿宋" w:hAnsi="仿宋" w:eastAsia="仿宋" w:cs="仿宋"/>
          <w:i w:val="0"/>
          <w:color w:val="auto"/>
          <w:kern w:val="2"/>
          <w:sz w:val="21"/>
          <w:szCs w:val="21"/>
          <w:lang w:val="en-US" w:eastAsia="zh-CN" w:bidi="ar"/>
          <w:woUserID w:val="2"/>
        </w:rPr>
        <w:t>注：1.投标人认为有利害关系和需要回避的人员，应提供相关证明材料，与本声明书一同提交。由</w:t>
      </w:r>
      <w:r>
        <w:rPr>
          <w:rFonts w:hint="eastAsia" w:ascii="仿宋" w:hAnsi="仿宋" w:eastAsia="仿宋" w:cs="仿宋"/>
          <w:i w:val="0"/>
          <w:color w:val="auto"/>
          <w:kern w:val="2"/>
          <w:sz w:val="21"/>
          <w:szCs w:val="21"/>
          <w:lang w:val="en-US" w:eastAsia="zh-CN" w:bidi="ar"/>
          <w:woUserID w:val="2"/>
        </w:rPr>
        <w:t>招标代理机构</w:t>
      </w:r>
      <w:r>
        <w:rPr>
          <w:rFonts w:hint="default" w:ascii="仿宋" w:hAnsi="仿宋" w:eastAsia="仿宋" w:cs="仿宋"/>
          <w:i w:val="0"/>
          <w:color w:val="auto"/>
          <w:kern w:val="2"/>
          <w:sz w:val="21"/>
          <w:szCs w:val="21"/>
          <w:lang w:val="en-US" w:eastAsia="zh-CN" w:bidi="ar"/>
          <w:woUserID w:val="2"/>
        </w:rPr>
        <w:t>和监督部门负责询问核查。</w:t>
      </w:r>
    </w:p>
    <w:p w14:paraId="0F218F5A">
      <w:pPr>
        <w:pStyle w:val="20"/>
        <w:keepNext w:val="0"/>
        <w:keepLines w:val="0"/>
        <w:widowControl/>
        <w:suppressLineNumbers w:val="0"/>
        <w:autoSpaceDE w:val="0"/>
        <w:autoSpaceDN/>
        <w:adjustRightInd w:val="0"/>
        <w:snapToGrid w:val="0"/>
        <w:spacing w:before="0" w:beforeAutospacing="0" w:after="0" w:afterAutospacing="0" w:line="360" w:lineRule="auto"/>
        <w:ind w:left="0" w:right="0" w:firstLine="420" w:firstLineChars="200"/>
        <w:jc w:val="left"/>
        <w:rPr>
          <w:color w:val="auto"/>
        </w:rPr>
      </w:pPr>
      <w:r>
        <w:rPr>
          <w:rFonts w:hint="default" w:ascii="仿宋" w:hAnsi="仿宋" w:eastAsia="仿宋" w:cs="仿宋"/>
          <w:i w:val="0"/>
          <w:color w:val="auto"/>
          <w:kern w:val="2"/>
          <w:sz w:val="21"/>
          <w:szCs w:val="21"/>
          <w:lang w:val="en-US" w:eastAsia="zh-CN" w:bidi="ar"/>
          <w:woUserID w:val="2"/>
        </w:rPr>
        <w:t>2.投标人根据解密后交易平台公布的</w:t>
      </w:r>
      <w:r>
        <w:rPr>
          <w:rFonts w:hint="default" w:ascii="仿宋" w:hAnsi="仿宋" w:eastAsia="仿宋" w:cs="仿宋"/>
          <w:i w:val="0"/>
          <w:color w:val="auto"/>
          <w:kern w:val="2"/>
          <w:sz w:val="21"/>
          <w:szCs w:val="21"/>
          <w:lang w:eastAsia="zh-CN" w:bidi="ar"/>
          <w:woUserID w:val="2"/>
        </w:rPr>
        <w:t>投标人</w:t>
      </w:r>
      <w:r>
        <w:rPr>
          <w:rFonts w:hint="default" w:ascii="仿宋" w:hAnsi="仿宋" w:eastAsia="仿宋" w:cs="仿宋"/>
          <w:i w:val="0"/>
          <w:color w:val="auto"/>
          <w:kern w:val="2"/>
          <w:sz w:val="21"/>
          <w:szCs w:val="21"/>
          <w:lang w:val="en-US" w:eastAsia="zh-CN" w:bidi="ar"/>
          <w:woUserID w:val="2"/>
        </w:rPr>
        <w:t>名单及信息，30分钟内将填写完整且经授权代表签署的《采购活动现场确认声明书》扫描件通过不见面开标大厅现场或邮箱（邮箱地址：</w:t>
      </w:r>
      <w:r>
        <w:rPr>
          <w:rFonts w:hint="eastAsia" w:ascii="仿宋" w:hAnsi="仿宋" w:eastAsia="仿宋" w:cs="仿宋"/>
          <w:i w:val="0"/>
          <w:color w:val="auto"/>
          <w:kern w:val="2"/>
          <w:sz w:val="21"/>
          <w:szCs w:val="21"/>
          <w:lang w:eastAsia="zh-CN" w:bidi="ar"/>
          <w:woUserID w:val="2"/>
        </w:rPr>
        <w:t>shuqi@qzjrkg.com.cn</w:t>
      </w:r>
      <w:r>
        <w:rPr>
          <w:rFonts w:hint="default" w:ascii="仿宋" w:hAnsi="仿宋" w:eastAsia="仿宋" w:cs="仿宋"/>
          <w:i w:val="0"/>
          <w:color w:val="auto"/>
          <w:kern w:val="2"/>
          <w:sz w:val="21"/>
          <w:szCs w:val="21"/>
          <w:lang w:val="en-US" w:eastAsia="zh-CN" w:bidi="ar"/>
          <w:woUserID w:val="2"/>
        </w:rPr>
        <w:t xml:space="preserve"> ）方式提交，未按规定提交的，视为均无利害关系。</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00" w:usb3="00000000" w:csb0="0004009F" w:csb1="DFD7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A4088">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3B8A98">
                          <w:pPr>
                            <w:pStyle w:val="14"/>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13B8A98">
                    <w:pPr>
                      <w:pStyle w:val="14"/>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4C07E">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F868D5">
                          <w:pPr>
                            <w:pStyle w:val="14"/>
                          </w:pPr>
                          <w:r>
                            <w:t xml:space="preserve">第 </w:t>
                          </w:r>
                          <w:r>
                            <w:fldChar w:fldCharType="begin"/>
                          </w:r>
                          <w:r>
                            <w:instrText xml:space="preserve"> PAGE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3F868D5">
                    <w:pPr>
                      <w:pStyle w:val="14"/>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27876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16205" cy="278765"/>
                      </a:xfrm>
                      <a:prstGeom prst="rect">
                        <a:avLst/>
                      </a:prstGeom>
                      <a:noFill/>
                      <a:ln>
                        <a:noFill/>
                      </a:ln>
                      <a:effectLst/>
                    </wps:spPr>
                    <wps:txbx>
                      <w:txbxContent>
                        <w:p w14:paraId="59BE4241">
                          <w:pPr>
                            <w:pStyle w:val="14"/>
                          </w:pPr>
                        </w:p>
                      </w:txbxContent>
                    </wps:txbx>
                    <wps:bodyPr wrap="none" lIns="0" tIns="0" rIns="0" bIns="0">
                      <a:spAutoFit/>
                    </wps:bodyPr>
                  </wps:wsp>
                </a:graphicData>
              </a:graphic>
            </wp:anchor>
          </w:drawing>
        </mc:Choice>
        <mc:Fallback>
          <w:pict>
            <v:shape id="_x0000_s1026" o:spid="_x0000_s1026" o:spt="202" type="#_x0000_t202" style="position:absolute;left:0pt;margin-top:0pt;height:21.95pt;width:9.15pt;mso-position-horizontal:center;mso-position-horizontal-relative:margin;mso-wrap-style:none;z-index:251659264;mso-width-relative:page;mso-height-relative:page;" filled="f" stroked="f" coordsize="21600,21600" o:gfxdata="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W42PWdEAAAADAQAADwAAAAAAAAABACAAAAAiAAAAZHJzL2Rvd25y&#10;ZXYueG1sUEsBAhQAFAAAAAgAh07iQIUmwjXMAQAAmQMAAA4AAAAAAAAAAQAgAAAAIAEAAGRycy9l&#10;Mm9Eb2MueG1sUEsFBgAAAAAGAAYAWQEAAF4FAAAAAA==&#10;">
              <v:fill on="f" focussize="0,0"/>
              <v:stroke on="f"/>
              <v:imagedata o:title=""/>
              <o:lock v:ext="edit" aspectratio="f"/>
              <v:textbox inset="0mm,0mm,0mm,0mm" style="mso-fit-shape-to-text:t;">
                <w:txbxContent>
                  <w:p w14:paraId="59BE4241">
                    <w:pPr>
                      <w:pStyle w:val="14"/>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9ECE9">
    <w:pPr>
      <w:spacing w:line="176" w:lineRule="auto"/>
      <w:ind w:left="48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40CCD">
    <w:pPr>
      <w:pStyle w:val="14"/>
      <w:tabs>
        <w:tab w:val="left" w:pos="5009"/>
        <w:tab w:val="clear" w:pos="4153"/>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14ECC">
                          <w:pPr>
                            <w:pStyle w:val="14"/>
                          </w:pPr>
                          <w:r>
                            <w:t xml:space="preserve">第 </w:t>
                          </w:r>
                          <w:r>
                            <w:fldChar w:fldCharType="begin"/>
                          </w:r>
                          <w:r>
                            <w:instrText xml:space="preserve"> PAGE  \* MERGEFORMAT </w:instrText>
                          </w:r>
                          <w:r>
                            <w:fldChar w:fldCharType="separate"/>
                          </w:r>
                          <w:r>
                            <w:t>23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6114ECC">
                    <w:pPr>
                      <w:pStyle w:val="14"/>
                    </w:pPr>
                    <w:r>
                      <w:t xml:space="preserve">第 </w:t>
                    </w:r>
                    <w:r>
                      <w:fldChar w:fldCharType="begin"/>
                    </w:r>
                    <w:r>
                      <w:instrText xml:space="preserve"> PAGE  \* MERGEFORMAT </w:instrText>
                    </w:r>
                    <w:r>
                      <w:fldChar w:fldCharType="separate"/>
                    </w:r>
                    <w:r>
                      <w:t>23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B102B">
    <w:pPr>
      <w:pStyle w:val="15"/>
      <w:rPr>
        <w:rFonts w:eastAsia="华文仿宋"/>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11BFF"/>
    <w:multiLevelType w:val="multilevel"/>
    <w:tmpl w:val="39A11BFF"/>
    <w:lvl w:ilvl="0" w:tentative="0">
      <w:start w:val="1"/>
      <w:numFmt w:val="chineseCountingThousand"/>
      <w:lvlText w:val="第%1章"/>
      <w:lvlJc w:val="center"/>
      <w:pPr>
        <w:tabs>
          <w:tab w:val="left" w:pos="1134"/>
        </w:tabs>
        <w:ind w:left="0" w:firstLine="288"/>
      </w:pPr>
      <w:rPr>
        <w:rFonts w:hint="eastAsia"/>
      </w:rPr>
    </w:lvl>
    <w:lvl w:ilvl="1" w:tentative="0">
      <w:start w:val="1"/>
      <w:numFmt w:val="decimal"/>
      <w:isLgl/>
      <w:lvlText w:val="%1.%2"/>
      <w:lvlJc w:val="left"/>
      <w:pPr>
        <w:tabs>
          <w:tab w:val="left" w:pos="567"/>
        </w:tabs>
        <w:ind w:left="0" w:firstLine="0"/>
      </w:pPr>
      <w:rPr>
        <w:rFonts w:hint="eastAsia"/>
      </w:rPr>
    </w:lvl>
    <w:lvl w:ilvl="2" w:tentative="0">
      <w:start w:val="1"/>
      <w:numFmt w:val="decimal"/>
      <w:isLgl/>
      <w:lvlText w:val="%1.%2.%3"/>
      <w:lvlJc w:val="left"/>
      <w:pPr>
        <w:tabs>
          <w:tab w:val="left" w:pos="851"/>
        </w:tabs>
        <w:ind w:left="0" w:firstLine="0"/>
      </w:pPr>
      <w:rPr>
        <w:rFonts w:hint="eastAsia"/>
      </w:rPr>
    </w:lvl>
    <w:lvl w:ilvl="3" w:tentative="0">
      <w:start w:val="1"/>
      <w:numFmt w:val="decimal"/>
      <w:pStyle w:val="5"/>
      <w:isLgl/>
      <w:lvlText w:val="%1.%2.%3.%4"/>
      <w:lvlJc w:val="left"/>
      <w:pPr>
        <w:tabs>
          <w:tab w:val="left" w:pos="964"/>
        </w:tabs>
        <w:ind w:left="0" w:firstLine="0"/>
      </w:pPr>
      <w:rPr>
        <w:rFonts w:hint="eastAsia"/>
      </w:rPr>
    </w:lvl>
    <w:lvl w:ilvl="4" w:tentative="0">
      <w:start w:val="1"/>
      <w:numFmt w:val="decimal"/>
      <w:isLgl/>
      <w:lvlText w:val="%1.%2.%3.%4.%5"/>
      <w:lvlJc w:val="left"/>
      <w:pPr>
        <w:tabs>
          <w:tab w:val="left" w:pos="1134"/>
        </w:tabs>
        <w:ind w:left="0" w:firstLine="0"/>
      </w:pPr>
      <w:rPr>
        <w:rFonts w:hint="eastAsia"/>
      </w:rPr>
    </w:lvl>
    <w:lvl w:ilvl="5" w:tentative="0">
      <w:start w:val="1"/>
      <w:numFmt w:val="decimal"/>
      <w:isLgl/>
      <w:lvlText w:val="%1.%2.%3.%4.%5.%6"/>
      <w:lvlJc w:val="left"/>
      <w:pPr>
        <w:ind w:left="0" w:firstLine="0"/>
      </w:pPr>
      <w:rPr>
        <w:rFonts w:hint="eastAsia"/>
      </w:rPr>
    </w:lvl>
    <w:lvl w:ilvl="6" w:tentative="0">
      <w:start w:val="1"/>
      <w:numFmt w:val="decimal"/>
      <w:isLgl/>
      <w:lvlText w:val="%1.%2.%3.%4.%5.%6.%7"/>
      <w:lvlJc w:val="left"/>
      <w:pPr>
        <w:ind w:left="3827" w:hanging="1276"/>
      </w:pPr>
      <w:rPr>
        <w:rFonts w:hint="eastAsia"/>
      </w:rPr>
    </w:lvl>
    <w:lvl w:ilvl="7" w:tentative="0">
      <w:start w:val="1"/>
      <w:numFmt w:val="decimal"/>
      <w:isLgl/>
      <w:lvlText w:val="%1.%2.%3.%4.%5.%6.%7.%8"/>
      <w:lvlJc w:val="left"/>
      <w:pPr>
        <w:ind w:left="4394" w:hanging="1418"/>
      </w:pPr>
      <w:rPr>
        <w:rFonts w:hint="eastAsia"/>
      </w:rPr>
    </w:lvl>
    <w:lvl w:ilvl="8" w:tentative="0">
      <w:start w:val="1"/>
      <w:numFmt w:val="decimal"/>
      <w:isLgl/>
      <w:lvlText w:val="%1.%2.%3.%4.%5.%6.%7.%8.%9"/>
      <w:lvlJc w:val="left"/>
      <w:pPr>
        <w:ind w:left="5102" w:hanging="1700"/>
      </w:pPr>
      <w:rPr>
        <w:rFonts w:hint="eastAsia"/>
      </w:rPr>
    </w:lvl>
  </w:abstractNum>
  <w:abstractNum w:abstractNumId="1">
    <w:nsid w:val="45133286"/>
    <w:multiLevelType w:val="multilevel"/>
    <w:tmpl w:val="45133286"/>
    <w:lvl w:ilvl="0" w:tentative="0">
      <w:start w:val="1"/>
      <w:numFmt w:val="chineseCountingThousand"/>
      <w:lvlText w:val="%1."/>
      <w:lvlJc w:val="left"/>
      <w:pPr>
        <w:ind w:left="0" w:firstLine="0"/>
      </w:pPr>
      <w:rPr>
        <w:rFonts w:hint="eastAsia" w:ascii="宋体" w:hAnsi="宋体" w:eastAsia="宋体"/>
        <w:b/>
        <w:i w:val="0"/>
        <w:sz w:val="32"/>
        <w:szCs w:val="21"/>
      </w:rPr>
    </w:lvl>
    <w:lvl w:ilvl="1" w:tentative="0">
      <w:start w:val="1"/>
      <w:numFmt w:val="decimal"/>
      <w:lvlText w:val="%2."/>
      <w:lvlJc w:val="left"/>
      <w:pPr>
        <w:ind w:left="0" w:firstLine="0"/>
      </w:pPr>
      <w:rPr>
        <w:rFonts w:hint="eastAsia"/>
      </w:rPr>
    </w:lvl>
    <w:lvl w:ilvl="2" w:tentative="0">
      <w:start w:val="1"/>
      <w:numFmt w:val="decimal"/>
      <w:pStyle w:val="4"/>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2.%3.%4.%5."/>
      <w:lvlJc w:val="left"/>
      <w:pPr>
        <w:ind w:left="0" w:firstLine="0"/>
      </w:pPr>
      <w:rPr>
        <w:rFonts w:hint="eastAsia"/>
      </w:rPr>
    </w:lvl>
    <w:lvl w:ilvl="5" w:tentative="0">
      <w:start w:val="1"/>
      <w:numFmt w:val="decimal"/>
      <w:isLgl/>
      <w:lvlText w:val="%2.%3.%4.%5.%6."/>
      <w:lvlJc w:val="left"/>
      <w:pPr>
        <w:ind w:left="0" w:firstLine="0"/>
      </w:pPr>
      <w:rPr>
        <w:rFonts w:hint="eastAsia" w:ascii="宋体" w:hAnsi="宋体" w:eastAsia="宋体" w:cs="Times New Roman"/>
        <w:b/>
        <w:bCs w:val="0"/>
        <w:i w:val="0"/>
        <w:iCs w:val="0"/>
        <w:caps w:val="0"/>
        <w:smallCaps w:val="0"/>
        <w:strike w:val="0"/>
        <w:dstrike w:val="0"/>
        <w:vanish w:val="0"/>
        <w:spacing w:val="0"/>
        <w:position w:val="0"/>
        <w:sz w:val="24"/>
        <w:u w:val="none"/>
        <w:vertAlign w:val="baseline"/>
      </w:rPr>
    </w:lvl>
    <w:lvl w:ilvl="6" w:tentative="0">
      <w:start w:val="1"/>
      <w:numFmt w:val="decimal"/>
      <w:isLg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73198BB0"/>
    <w:multiLevelType w:val="singleLevel"/>
    <w:tmpl w:val="73198BB0"/>
    <w:lvl w:ilvl="0" w:tentative="0">
      <w:start w:val="4"/>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kMDI5NGJiMDZmMzhhNjIxZGI1NjUwZDA0MDNkODEifQ=="/>
  </w:docVars>
  <w:rsids>
    <w:rsidRoot w:val="73AB533F"/>
    <w:rsid w:val="00150371"/>
    <w:rsid w:val="001A31B6"/>
    <w:rsid w:val="001B6CF3"/>
    <w:rsid w:val="0022467C"/>
    <w:rsid w:val="00414F54"/>
    <w:rsid w:val="0044544F"/>
    <w:rsid w:val="00455050"/>
    <w:rsid w:val="00501EE6"/>
    <w:rsid w:val="00522E47"/>
    <w:rsid w:val="00563BBD"/>
    <w:rsid w:val="00575F11"/>
    <w:rsid w:val="005A7208"/>
    <w:rsid w:val="005C6ADC"/>
    <w:rsid w:val="00665037"/>
    <w:rsid w:val="00700C5E"/>
    <w:rsid w:val="007402CA"/>
    <w:rsid w:val="00786EFA"/>
    <w:rsid w:val="00985934"/>
    <w:rsid w:val="00AE30B0"/>
    <w:rsid w:val="00B1056F"/>
    <w:rsid w:val="00BC3A1F"/>
    <w:rsid w:val="00D24FF0"/>
    <w:rsid w:val="00D73B7A"/>
    <w:rsid w:val="00DB1B38"/>
    <w:rsid w:val="00F306AC"/>
    <w:rsid w:val="01423F24"/>
    <w:rsid w:val="01675739"/>
    <w:rsid w:val="018F4C90"/>
    <w:rsid w:val="019B53E2"/>
    <w:rsid w:val="01A22C15"/>
    <w:rsid w:val="01D46B46"/>
    <w:rsid w:val="01E16E78"/>
    <w:rsid w:val="021D229B"/>
    <w:rsid w:val="02590C8E"/>
    <w:rsid w:val="027D0F8C"/>
    <w:rsid w:val="0284231A"/>
    <w:rsid w:val="028E13EB"/>
    <w:rsid w:val="029C1412"/>
    <w:rsid w:val="029F0F02"/>
    <w:rsid w:val="02B155C3"/>
    <w:rsid w:val="032469B6"/>
    <w:rsid w:val="035B7A01"/>
    <w:rsid w:val="038A1A0A"/>
    <w:rsid w:val="038F71C9"/>
    <w:rsid w:val="03C81C0C"/>
    <w:rsid w:val="03F86B1C"/>
    <w:rsid w:val="03FD6699"/>
    <w:rsid w:val="040F20B8"/>
    <w:rsid w:val="045D1075"/>
    <w:rsid w:val="048552F8"/>
    <w:rsid w:val="04891E6A"/>
    <w:rsid w:val="04BA734B"/>
    <w:rsid w:val="04D72BD5"/>
    <w:rsid w:val="054364BD"/>
    <w:rsid w:val="054C2DCF"/>
    <w:rsid w:val="05544226"/>
    <w:rsid w:val="05755D60"/>
    <w:rsid w:val="05AA2098"/>
    <w:rsid w:val="05AE092A"/>
    <w:rsid w:val="05D2339D"/>
    <w:rsid w:val="05DB04A3"/>
    <w:rsid w:val="05E73680"/>
    <w:rsid w:val="05ED6429"/>
    <w:rsid w:val="06163BD1"/>
    <w:rsid w:val="066F5090"/>
    <w:rsid w:val="06A00465"/>
    <w:rsid w:val="06AB2AD9"/>
    <w:rsid w:val="06BA5035"/>
    <w:rsid w:val="06DD649D"/>
    <w:rsid w:val="06EC66E0"/>
    <w:rsid w:val="06F927FE"/>
    <w:rsid w:val="07140111"/>
    <w:rsid w:val="07283BBC"/>
    <w:rsid w:val="073F0F06"/>
    <w:rsid w:val="074526C1"/>
    <w:rsid w:val="074D53D1"/>
    <w:rsid w:val="07632E46"/>
    <w:rsid w:val="0792547D"/>
    <w:rsid w:val="07996868"/>
    <w:rsid w:val="07D57174"/>
    <w:rsid w:val="07DD49A7"/>
    <w:rsid w:val="07EE6FF0"/>
    <w:rsid w:val="07F24004"/>
    <w:rsid w:val="07F92E63"/>
    <w:rsid w:val="08031F33"/>
    <w:rsid w:val="084C38DA"/>
    <w:rsid w:val="085D5AE7"/>
    <w:rsid w:val="08732C15"/>
    <w:rsid w:val="08797F3E"/>
    <w:rsid w:val="08B374B6"/>
    <w:rsid w:val="08E56BF3"/>
    <w:rsid w:val="08FB56DE"/>
    <w:rsid w:val="091F0FEF"/>
    <w:rsid w:val="092B34F0"/>
    <w:rsid w:val="095575D7"/>
    <w:rsid w:val="097F55EA"/>
    <w:rsid w:val="098A3FEA"/>
    <w:rsid w:val="09975029"/>
    <w:rsid w:val="09A26656"/>
    <w:rsid w:val="09A339CE"/>
    <w:rsid w:val="09A775EB"/>
    <w:rsid w:val="0A0F2E11"/>
    <w:rsid w:val="0A1608A9"/>
    <w:rsid w:val="0A173A74"/>
    <w:rsid w:val="0A376556"/>
    <w:rsid w:val="0A682522"/>
    <w:rsid w:val="0A6A0048"/>
    <w:rsid w:val="0A6F05B3"/>
    <w:rsid w:val="0A963553"/>
    <w:rsid w:val="0A9B1C3D"/>
    <w:rsid w:val="0AB45767"/>
    <w:rsid w:val="0AB55AF0"/>
    <w:rsid w:val="0B0E131B"/>
    <w:rsid w:val="0B2226D0"/>
    <w:rsid w:val="0B24469B"/>
    <w:rsid w:val="0B770C6E"/>
    <w:rsid w:val="0B8E5FB8"/>
    <w:rsid w:val="0B955598"/>
    <w:rsid w:val="0B957346"/>
    <w:rsid w:val="0BE45BD8"/>
    <w:rsid w:val="0C020E1C"/>
    <w:rsid w:val="0C090665"/>
    <w:rsid w:val="0C313BAA"/>
    <w:rsid w:val="0C3B1C9C"/>
    <w:rsid w:val="0C564D28"/>
    <w:rsid w:val="0CBA3508"/>
    <w:rsid w:val="0CCB16D7"/>
    <w:rsid w:val="0CCD48BE"/>
    <w:rsid w:val="0CD90EE9"/>
    <w:rsid w:val="0D0504FC"/>
    <w:rsid w:val="0D4508F8"/>
    <w:rsid w:val="0D541E54"/>
    <w:rsid w:val="0D6B4803"/>
    <w:rsid w:val="0D984545"/>
    <w:rsid w:val="0DA46170"/>
    <w:rsid w:val="0DC92276"/>
    <w:rsid w:val="0DE46363"/>
    <w:rsid w:val="0DFC7D10"/>
    <w:rsid w:val="0DFF4F4B"/>
    <w:rsid w:val="0E252C04"/>
    <w:rsid w:val="0E2624D8"/>
    <w:rsid w:val="0E3B12E3"/>
    <w:rsid w:val="0E440BB0"/>
    <w:rsid w:val="0E4F1A2E"/>
    <w:rsid w:val="0E85485E"/>
    <w:rsid w:val="0EC56195"/>
    <w:rsid w:val="0ED65CAC"/>
    <w:rsid w:val="0EFE271E"/>
    <w:rsid w:val="0F1862C4"/>
    <w:rsid w:val="0F9067A2"/>
    <w:rsid w:val="0F9B0CA3"/>
    <w:rsid w:val="0FF11F36"/>
    <w:rsid w:val="100E4041"/>
    <w:rsid w:val="104D4694"/>
    <w:rsid w:val="1054157E"/>
    <w:rsid w:val="10AD6EE0"/>
    <w:rsid w:val="10DE353E"/>
    <w:rsid w:val="10F3513F"/>
    <w:rsid w:val="111B02EE"/>
    <w:rsid w:val="113969C6"/>
    <w:rsid w:val="11460865"/>
    <w:rsid w:val="11AE4CBE"/>
    <w:rsid w:val="11DD37F5"/>
    <w:rsid w:val="11E10BF2"/>
    <w:rsid w:val="123E4294"/>
    <w:rsid w:val="12633CFA"/>
    <w:rsid w:val="126D4B79"/>
    <w:rsid w:val="12861777"/>
    <w:rsid w:val="12AD1419"/>
    <w:rsid w:val="12B24C82"/>
    <w:rsid w:val="12BE7183"/>
    <w:rsid w:val="12DE5A77"/>
    <w:rsid w:val="12F64B6E"/>
    <w:rsid w:val="12F9465F"/>
    <w:rsid w:val="12FC1F1B"/>
    <w:rsid w:val="13076D7C"/>
    <w:rsid w:val="13143247"/>
    <w:rsid w:val="131B6383"/>
    <w:rsid w:val="133E02C4"/>
    <w:rsid w:val="134F0723"/>
    <w:rsid w:val="13516249"/>
    <w:rsid w:val="137141F5"/>
    <w:rsid w:val="137D3D07"/>
    <w:rsid w:val="138D4DAC"/>
    <w:rsid w:val="13E73327"/>
    <w:rsid w:val="144638D4"/>
    <w:rsid w:val="14467430"/>
    <w:rsid w:val="144D4C62"/>
    <w:rsid w:val="145D355A"/>
    <w:rsid w:val="147C72F5"/>
    <w:rsid w:val="149C739C"/>
    <w:rsid w:val="14A66120"/>
    <w:rsid w:val="14E07FD6"/>
    <w:rsid w:val="15284946"/>
    <w:rsid w:val="156A53A0"/>
    <w:rsid w:val="157128DB"/>
    <w:rsid w:val="15777F8A"/>
    <w:rsid w:val="15932B49"/>
    <w:rsid w:val="15AA0A99"/>
    <w:rsid w:val="15BD1CB8"/>
    <w:rsid w:val="15C251DC"/>
    <w:rsid w:val="16175528"/>
    <w:rsid w:val="1672275E"/>
    <w:rsid w:val="167B6338"/>
    <w:rsid w:val="16AB3EC2"/>
    <w:rsid w:val="16C44F84"/>
    <w:rsid w:val="171F21BA"/>
    <w:rsid w:val="17345C65"/>
    <w:rsid w:val="17375161"/>
    <w:rsid w:val="173C05FF"/>
    <w:rsid w:val="17710C68"/>
    <w:rsid w:val="179153E0"/>
    <w:rsid w:val="17A252C5"/>
    <w:rsid w:val="17AF79E2"/>
    <w:rsid w:val="17DA4A5F"/>
    <w:rsid w:val="17F453F5"/>
    <w:rsid w:val="17F84EE5"/>
    <w:rsid w:val="17F90C5D"/>
    <w:rsid w:val="18143A95"/>
    <w:rsid w:val="18207F2E"/>
    <w:rsid w:val="18420856"/>
    <w:rsid w:val="18463EA2"/>
    <w:rsid w:val="18817CD6"/>
    <w:rsid w:val="18925F93"/>
    <w:rsid w:val="18CB43A7"/>
    <w:rsid w:val="19353F17"/>
    <w:rsid w:val="193C7053"/>
    <w:rsid w:val="194303E2"/>
    <w:rsid w:val="194B7296"/>
    <w:rsid w:val="195471D4"/>
    <w:rsid w:val="1981715C"/>
    <w:rsid w:val="19A74E14"/>
    <w:rsid w:val="19BC1F42"/>
    <w:rsid w:val="19D142FC"/>
    <w:rsid w:val="19DD0836"/>
    <w:rsid w:val="19E35721"/>
    <w:rsid w:val="1A3A17E5"/>
    <w:rsid w:val="1A584BBA"/>
    <w:rsid w:val="1A6B4094"/>
    <w:rsid w:val="1A770D10"/>
    <w:rsid w:val="1AA2382E"/>
    <w:rsid w:val="1AA80E44"/>
    <w:rsid w:val="1ABA0B77"/>
    <w:rsid w:val="1AF3780F"/>
    <w:rsid w:val="1AF44089"/>
    <w:rsid w:val="1AFA71C6"/>
    <w:rsid w:val="1B155DAE"/>
    <w:rsid w:val="1B1738D4"/>
    <w:rsid w:val="1B184F4E"/>
    <w:rsid w:val="1B1E1106"/>
    <w:rsid w:val="1B245FF1"/>
    <w:rsid w:val="1B26620D"/>
    <w:rsid w:val="1B46065D"/>
    <w:rsid w:val="1B5A5081"/>
    <w:rsid w:val="1B742AD4"/>
    <w:rsid w:val="1B75684C"/>
    <w:rsid w:val="1BA15893"/>
    <w:rsid w:val="1BD619E1"/>
    <w:rsid w:val="1BE372C5"/>
    <w:rsid w:val="1BF41E67"/>
    <w:rsid w:val="1C0A0066"/>
    <w:rsid w:val="1C0F4EF3"/>
    <w:rsid w:val="1C4667A4"/>
    <w:rsid w:val="1C5D7A0C"/>
    <w:rsid w:val="1C67088B"/>
    <w:rsid w:val="1C767277"/>
    <w:rsid w:val="1C8A6328"/>
    <w:rsid w:val="1CA078F9"/>
    <w:rsid w:val="1CF92E9A"/>
    <w:rsid w:val="1D100F23"/>
    <w:rsid w:val="1D232325"/>
    <w:rsid w:val="1D3A7D4E"/>
    <w:rsid w:val="1D4971FB"/>
    <w:rsid w:val="1D644DCB"/>
    <w:rsid w:val="1D6628F1"/>
    <w:rsid w:val="1D76522A"/>
    <w:rsid w:val="1DA653E3"/>
    <w:rsid w:val="1DE32193"/>
    <w:rsid w:val="1DF919B7"/>
    <w:rsid w:val="1E032835"/>
    <w:rsid w:val="1E306F41"/>
    <w:rsid w:val="1E6A4663"/>
    <w:rsid w:val="1E763007"/>
    <w:rsid w:val="1E91399D"/>
    <w:rsid w:val="1EB42DD3"/>
    <w:rsid w:val="1EBE00B7"/>
    <w:rsid w:val="1ED57D2E"/>
    <w:rsid w:val="1ED65854"/>
    <w:rsid w:val="1EEC5078"/>
    <w:rsid w:val="1F0423C1"/>
    <w:rsid w:val="1F550E6F"/>
    <w:rsid w:val="1F630062"/>
    <w:rsid w:val="1F83778A"/>
    <w:rsid w:val="1FAD0019"/>
    <w:rsid w:val="1FB21E1D"/>
    <w:rsid w:val="1FF37AF6"/>
    <w:rsid w:val="2003526B"/>
    <w:rsid w:val="204C400B"/>
    <w:rsid w:val="205D622D"/>
    <w:rsid w:val="208E4638"/>
    <w:rsid w:val="209D0D1F"/>
    <w:rsid w:val="20BD0AAB"/>
    <w:rsid w:val="211C005A"/>
    <w:rsid w:val="2127683B"/>
    <w:rsid w:val="21315582"/>
    <w:rsid w:val="21380A48"/>
    <w:rsid w:val="21773EE7"/>
    <w:rsid w:val="219113B4"/>
    <w:rsid w:val="2193435A"/>
    <w:rsid w:val="219F2875"/>
    <w:rsid w:val="21C67E02"/>
    <w:rsid w:val="21DA38AD"/>
    <w:rsid w:val="21EB5ABA"/>
    <w:rsid w:val="21F26E49"/>
    <w:rsid w:val="221548E5"/>
    <w:rsid w:val="224B3761"/>
    <w:rsid w:val="224D22D1"/>
    <w:rsid w:val="224F42CF"/>
    <w:rsid w:val="22614D52"/>
    <w:rsid w:val="22680EB9"/>
    <w:rsid w:val="22702A50"/>
    <w:rsid w:val="229E2B2D"/>
    <w:rsid w:val="22E22A19"/>
    <w:rsid w:val="22E9024C"/>
    <w:rsid w:val="22FD1376"/>
    <w:rsid w:val="233174FD"/>
    <w:rsid w:val="23496F3C"/>
    <w:rsid w:val="235D4796"/>
    <w:rsid w:val="23621DAC"/>
    <w:rsid w:val="236C7631"/>
    <w:rsid w:val="2393640A"/>
    <w:rsid w:val="23A61E5A"/>
    <w:rsid w:val="23BF71FF"/>
    <w:rsid w:val="23CD5478"/>
    <w:rsid w:val="23D9206E"/>
    <w:rsid w:val="23E10F23"/>
    <w:rsid w:val="23E26A49"/>
    <w:rsid w:val="24044C11"/>
    <w:rsid w:val="242D23BA"/>
    <w:rsid w:val="24305A06"/>
    <w:rsid w:val="2463402E"/>
    <w:rsid w:val="24661428"/>
    <w:rsid w:val="24D97E4C"/>
    <w:rsid w:val="24F007E4"/>
    <w:rsid w:val="24FB4266"/>
    <w:rsid w:val="251F7F6D"/>
    <w:rsid w:val="25220AC0"/>
    <w:rsid w:val="254C4AC2"/>
    <w:rsid w:val="255045B2"/>
    <w:rsid w:val="255407AE"/>
    <w:rsid w:val="25553977"/>
    <w:rsid w:val="255A6ACB"/>
    <w:rsid w:val="258A19A4"/>
    <w:rsid w:val="258E6E89"/>
    <w:rsid w:val="25981632"/>
    <w:rsid w:val="25A322A1"/>
    <w:rsid w:val="25BC39F6"/>
    <w:rsid w:val="25F9379F"/>
    <w:rsid w:val="261E020C"/>
    <w:rsid w:val="26325D34"/>
    <w:rsid w:val="26402840"/>
    <w:rsid w:val="26431A21"/>
    <w:rsid w:val="26633E71"/>
    <w:rsid w:val="26720558"/>
    <w:rsid w:val="268F4C66"/>
    <w:rsid w:val="26971D6D"/>
    <w:rsid w:val="26BE3BC4"/>
    <w:rsid w:val="26C64400"/>
    <w:rsid w:val="26CD1C32"/>
    <w:rsid w:val="26F63A40"/>
    <w:rsid w:val="27247AA4"/>
    <w:rsid w:val="275F0DCF"/>
    <w:rsid w:val="275F4517"/>
    <w:rsid w:val="27871DE1"/>
    <w:rsid w:val="27D824EE"/>
    <w:rsid w:val="27F8683B"/>
    <w:rsid w:val="2852441C"/>
    <w:rsid w:val="286745CE"/>
    <w:rsid w:val="286B0DF3"/>
    <w:rsid w:val="28C52BC1"/>
    <w:rsid w:val="29001E4B"/>
    <w:rsid w:val="290A2CCA"/>
    <w:rsid w:val="291B14CB"/>
    <w:rsid w:val="295B52D4"/>
    <w:rsid w:val="29673C78"/>
    <w:rsid w:val="296A552B"/>
    <w:rsid w:val="29791C1A"/>
    <w:rsid w:val="299114E8"/>
    <w:rsid w:val="29982084"/>
    <w:rsid w:val="29A24CB1"/>
    <w:rsid w:val="29E72052"/>
    <w:rsid w:val="2A0515D6"/>
    <w:rsid w:val="2A113B46"/>
    <w:rsid w:val="2A1F27A5"/>
    <w:rsid w:val="2A3224D8"/>
    <w:rsid w:val="2A3F0751"/>
    <w:rsid w:val="2A497822"/>
    <w:rsid w:val="2A585CB7"/>
    <w:rsid w:val="2AA50EFC"/>
    <w:rsid w:val="2AA84549"/>
    <w:rsid w:val="2AAD2F42"/>
    <w:rsid w:val="2AB56C65"/>
    <w:rsid w:val="2ABE3D6C"/>
    <w:rsid w:val="2AE40E6C"/>
    <w:rsid w:val="2AEC0683"/>
    <w:rsid w:val="2AFA0B1C"/>
    <w:rsid w:val="2B1772E8"/>
    <w:rsid w:val="2B4A5600"/>
    <w:rsid w:val="2B577D1D"/>
    <w:rsid w:val="2B656699"/>
    <w:rsid w:val="2BA967CA"/>
    <w:rsid w:val="2BAF7B59"/>
    <w:rsid w:val="2BEB619B"/>
    <w:rsid w:val="2C365B84"/>
    <w:rsid w:val="2C3818FC"/>
    <w:rsid w:val="2C736DD8"/>
    <w:rsid w:val="2C930CBA"/>
    <w:rsid w:val="2C992A9B"/>
    <w:rsid w:val="2C9A25B7"/>
    <w:rsid w:val="2CB371D5"/>
    <w:rsid w:val="2CC47634"/>
    <w:rsid w:val="2CC969F8"/>
    <w:rsid w:val="2CF36511"/>
    <w:rsid w:val="2D0D0FDB"/>
    <w:rsid w:val="2D401592"/>
    <w:rsid w:val="2D5C786C"/>
    <w:rsid w:val="2D686211"/>
    <w:rsid w:val="2D6D7CCB"/>
    <w:rsid w:val="2D8127B5"/>
    <w:rsid w:val="2D963C58"/>
    <w:rsid w:val="2D9708A4"/>
    <w:rsid w:val="2D99286E"/>
    <w:rsid w:val="2DB33930"/>
    <w:rsid w:val="2DCD229F"/>
    <w:rsid w:val="2DD13DB6"/>
    <w:rsid w:val="2DEE2E51"/>
    <w:rsid w:val="2E086719"/>
    <w:rsid w:val="2E23315A"/>
    <w:rsid w:val="2E2B44BD"/>
    <w:rsid w:val="2E3600BD"/>
    <w:rsid w:val="2E381567"/>
    <w:rsid w:val="2E426A62"/>
    <w:rsid w:val="2E494294"/>
    <w:rsid w:val="2EAC037F"/>
    <w:rsid w:val="2EDA6C9B"/>
    <w:rsid w:val="2EE8585B"/>
    <w:rsid w:val="2EF91817"/>
    <w:rsid w:val="2F094ABE"/>
    <w:rsid w:val="2F106B60"/>
    <w:rsid w:val="2F1070CC"/>
    <w:rsid w:val="2F3445FD"/>
    <w:rsid w:val="2F350375"/>
    <w:rsid w:val="2F471741"/>
    <w:rsid w:val="2F4E3303"/>
    <w:rsid w:val="2F5A3045"/>
    <w:rsid w:val="2FC85904"/>
    <w:rsid w:val="2FD22068"/>
    <w:rsid w:val="2FDB2CCA"/>
    <w:rsid w:val="2FF41FDE"/>
    <w:rsid w:val="306453B6"/>
    <w:rsid w:val="30756572"/>
    <w:rsid w:val="309E19D2"/>
    <w:rsid w:val="309F37C0"/>
    <w:rsid w:val="30A6152A"/>
    <w:rsid w:val="30E43E01"/>
    <w:rsid w:val="30EC0F07"/>
    <w:rsid w:val="313E1763"/>
    <w:rsid w:val="314B5D2A"/>
    <w:rsid w:val="3195334D"/>
    <w:rsid w:val="31A067F6"/>
    <w:rsid w:val="31A87524"/>
    <w:rsid w:val="31D8363B"/>
    <w:rsid w:val="32075FF9"/>
    <w:rsid w:val="321E77E6"/>
    <w:rsid w:val="3220355E"/>
    <w:rsid w:val="32346467"/>
    <w:rsid w:val="323E39E4"/>
    <w:rsid w:val="329B423D"/>
    <w:rsid w:val="32A221C5"/>
    <w:rsid w:val="32AC4DF2"/>
    <w:rsid w:val="32D06D32"/>
    <w:rsid w:val="32D95A79"/>
    <w:rsid w:val="32DA307B"/>
    <w:rsid w:val="32E225C2"/>
    <w:rsid w:val="32E93950"/>
    <w:rsid w:val="32FC18D5"/>
    <w:rsid w:val="33105381"/>
    <w:rsid w:val="33324454"/>
    <w:rsid w:val="33460DA3"/>
    <w:rsid w:val="335965DB"/>
    <w:rsid w:val="335D7E9A"/>
    <w:rsid w:val="33A37FA3"/>
    <w:rsid w:val="33A77F0C"/>
    <w:rsid w:val="33B26438"/>
    <w:rsid w:val="33DE0FDB"/>
    <w:rsid w:val="33F10E61"/>
    <w:rsid w:val="33FC0937"/>
    <w:rsid w:val="341C1B03"/>
    <w:rsid w:val="3444054E"/>
    <w:rsid w:val="344F012B"/>
    <w:rsid w:val="34605E94"/>
    <w:rsid w:val="346805D5"/>
    <w:rsid w:val="34735BC7"/>
    <w:rsid w:val="349F56CD"/>
    <w:rsid w:val="34B668D8"/>
    <w:rsid w:val="34B677B6"/>
    <w:rsid w:val="34D16D92"/>
    <w:rsid w:val="34DF14AF"/>
    <w:rsid w:val="34EC3BCC"/>
    <w:rsid w:val="35303AB8"/>
    <w:rsid w:val="3546508A"/>
    <w:rsid w:val="355F614C"/>
    <w:rsid w:val="356D5162"/>
    <w:rsid w:val="3578720D"/>
    <w:rsid w:val="35AD5109"/>
    <w:rsid w:val="35C07BB9"/>
    <w:rsid w:val="35C661CB"/>
    <w:rsid w:val="35C80195"/>
    <w:rsid w:val="35ED7BFB"/>
    <w:rsid w:val="35F9034E"/>
    <w:rsid w:val="35FC56A1"/>
    <w:rsid w:val="36323860"/>
    <w:rsid w:val="36462E68"/>
    <w:rsid w:val="367D2D2D"/>
    <w:rsid w:val="368C11C2"/>
    <w:rsid w:val="36910587"/>
    <w:rsid w:val="36964BB1"/>
    <w:rsid w:val="36992FA1"/>
    <w:rsid w:val="36A24189"/>
    <w:rsid w:val="36B16BE4"/>
    <w:rsid w:val="36BA5D2F"/>
    <w:rsid w:val="36BB3856"/>
    <w:rsid w:val="37327F66"/>
    <w:rsid w:val="37381DB4"/>
    <w:rsid w:val="3756532C"/>
    <w:rsid w:val="3768578B"/>
    <w:rsid w:val="3776777C"/>
    <w:rsid w:val="37781747"/>
    <w:rsid w:val="37863E63"/>
    <w:rsid w:val="37AE6F16"/>
    <w:rsid w:val="37B87D95"/>
    <w:rsid w:val="37D42E21"/>
    <w:rsid w:val="381E409C"/>
    <w:rsid w:val="38342E9A"/>
    <w:rsid w:val="384A0EEA"/>
    <w:rsid w:val="384C75EF"/>
    <w:rsid w:val="38552C1D"/>
    <w:rsid w:val="386677F1"/>
    <w:rsid w:val="386B4E07"/>
    <w:rsid w:val="38795776"/>
    <w:rsid w:val="38797524"/>
    <w:rsid w:val="38A438A5"/>
    <w:rsid w:val="38CC58A6"/>
    <w:rsid w:val="38DE1A7D"/>
    <w:rsid w:val="38E000DA"/>
    <w:rsid w:val="38E01351"/>
    <w:rsid w:val="39331DC9"/>
    <w:rsid w:val="39535FC7"/>
    <w:rsid w:val="39754190"/>
    <w:rsid w:val="399F120C"/>
    <w:rsid w:val="39B27192"/>
    <w:rsid w:val="39D215E2"/>
    <w:rsid w:val="39E906DA"/>
    <w:rsid w:val="3A557B1D"/>
    <w:rsid w:val="3A83468A"/>
    <w:rsid w:val="3A8B353F"/>
    <w:rsid w:val="3AAF722D"/>
    <w:rsid w:val="3AB02FA5"/>
    <w:rsid w:val="3AB46F3A"/>
    <w:rsid w:val="3B003F2D"/>
    <w:rsid w:val="3B20012B"/>
    <w:rsid w:val="3B3F4A55"/>
    <w:rsid w:val="3B436219"/>
    <w:rsid w:val="3B8406BA"/>
    <w:rsid w:val="3B84690C"/>
    <w:rsid w:val="3B871F58"/>
    <w:rsid w:val="3BA63A7F"/>
    <w:rsid w:val="3BE95B58"/>
    <w:rsid w:val="3BEE0229"/>
    <w:rsid w:val="3C067748"/>
    <w:rsid w:val="3C1732DC"/>
    <w:rsid w:val="3C345B6C"/>
    <w:rsid w:val="3C502C92"/>
    <w:rsid w:val="3C6D73A0"/>
    <w:rsid w:val="3C72596D"/>
    <w:rsid w:val="3C917532"/>
    <w:rsid w:val="3CBD0327"/>
    <w:rsid w:val="3CC176EC"/>
    <w:rsid w:val="3CCF1E09"/>
    <w:rsid w:val="3CEF0B3D"/>
    <w:rsid w:val="3CFE3C20"/>
    <w:rsid w:val="3D2D6B2F"/>
    <w:rsid w:val="3D4A148F"/>
    <w:rsid w:val="3D8059DB"/>
    <w:rsid w:val="3D9D5A63"/>
    <w:rsid w:val="3DA90835"/>
    <w:rsid w:val="3DBE17F8"/>
    <w:rsid w:val="3DC41242"/>
    <w:rsid w:val="3DE31F88"/>
    <w:rsid w:val="3DE4102B"/>
    <w:rsid w:val="3E1A5306"/>
    <w:rsid w:val="3E2C6DE7"/>
    <w:rsid w:val="3E3208A1"/>
    <w:rsid w:val="3E4660FB"/>
    <w:rsid w:val="3E497999"/>
    <w:rsid w:val="3E725142"/>
    <w:rsid w:val="3E86299B"/>
    <w:rsid w:val="3E99447C"/>
    <w:rsid w:val="3E9A1FA2"/>
    <w:rsid w:val="3EB43064"/>
    <w:rsid w:val="3EC139D3"/>
    <w:rsid w:val="3EC51715"/>
    <w:rsid w:val="3ED454B4"/>
    <w:rsid w:val="3EFE0783"/>
    <w:rsid w:val="3EFF6A5E"/>
    <w:rsid w:val="3F28582E"/>
    <w:rsid w:val="3F3465D1"/>
    <w:rsid w:val="3F5950EF"/>
    <w:rsid w:val="3F6B1A21"/>
    <w:rsid w:val="3F8A64BB"/>
    <w:rsid w:val="3FBB0422"/>
    <w:rsid w:val="3FBD419A"/>
    <w:rsid w:val="3FC92B3F"/>
    <w:rsid w:val="401A339B"/>
    <w:rsid w:val="401F09B1"/>
    <w:rsid w:val="402715B4"/>
    <w:rsid w:val="4033445D"/>
    <w:rsid w:val="403C77B5"/>
    <w:rsid w:val="403F1053"/>
    <w:rsid w:val="4066621E"/>
    <w:rsid w:val="406805AA"/>
    <w:rsid w:val="406E36E7"/>
    <w:rsid w:val="40866C82"/>
    <w:rsid w:val="40970E8F"/>
    <w:rsid w:val="409E221E"/>
    <w:rsid w:val="40AD420F"/>
    <w:rsid w:val="40E8793D"/>
    <w:rsid w:val="40F50041"/>
    <w:rsid w:val="410013EE"/>
    <w:rsid w:val="41016309"/>
    <w:rsid w:val="411424E0"/>
    <w:rsid w:val="41270465"/>
    <w:rsid w:val="41453D85"/>
    <w:rsid w:val="41686388"/>
    <w:rsid w:val="41760AA5"/>
    <w:rsid w:val="419158DF"/>
    <w:rsid w:val="419329F4"/>
    <w:rsid w:val="41E40104"/>
    <w:rsid w:val="420E5181"/>
    <w:rsid w:val="42386BE7"/>
    <w:rsid w:val="423D7815"/>
    <w:rsid w:val="42446DF5"/>
    <w:rsid w:val="427319A1"/>
    <w:rsid w:val="42903DE8"/>
    <w:rsid w:val="42984A4B"/>
    <w:rsid w:val="42A41642"/>
    <w:rsid w:val="42A87384"/>
    <w:rsid w:val="42AD26E1"/>
    <w:rsid w:val="42BC698B"/>
    <w:rsid w:val="42CB6BCE"/>
    <w:rsid w:val="42D355FF"/>
    <w:rsid w:val="42E67EAC"/>
    <w:rsid w:val="42F15886"/>
    <w:rsid w:val="431467C7"/>
    <w:rsid w:val="43397FDC"/>
    <w:rsid w:val="434D7F2B"/>
    <w:rsid w:val="43592669"/>
    <w:rsid w:val="437756F8"/>
    <w:rsid w:val="43860D47"/>
    <w:rsid w:val="43A15B81"/>
    <w:rsid w:val="43D121CA"/>
    <w:rsid w:val="43E73EDC"/>
    <w:rsid w:val="43EC53BF"/>
    <w:rsid w:val="44000AFA"/>
    <w:rsid w:val="440365B3"/>
    <w:rsid w:val="44112D07"/>
    <w:rsid w:val="44307631"/>
    <w:rsid w:val="44366C11"/>
    <w:rsid w:val="44446C38"/>
    <w:rsid w:val="4456696C"/>
    <w:rsid w:val="446077EA"/>
    <w:rsid w:val="45196317"/>
    <w:rsid w:val="453503C5"/>
    <w:rsid w:val="453B4C15"/>
    <w:rsid w:val="45401AF6"/>
    <w:rsid w:val="45442C68"/>
    <w:rsid w:val="454951DC"/>
    <w:rsid w:val="457A6B98"/>
    <w:rsid w:val="45BC6244"/>
    <w:rsid w:val="45FB325E"/>
    <w:rsid w:val="460F14C8"/>
    <w:rsid w:val="46405B25"/>
    <w:rsid w:val="464576D7"/>
    <w:rsid w:val="4646115E"/>
    <w:rsid w:val="46796C37"/>
    <w:rsid w:val="468772B0"/>
    <w:rsid w:val="4689127A"/>
    <w:rsid w:val="46963997"/>
    <w:rsid w:val="46CB5EB5"/>
    <w:rsid w:val="46DA1AD6"/>
    <w:rsid w:val="46E110B6"/>
    <w:rsid w:val="470152B5"/>
    <w:rsid w:val="47122F66"/>
    <w:rsid w:val="471F593F"/>
    <w:rsid w:val="47503B46"/>
    <w:rsid w:val="47721D0E"/>
    <w:rsid w:val="477D1761"/>
    <w:rsid w:val="479003E6"/>
    <w:rsid w:val="47A26054"/>
    <w:rsid w:val="47B864FE"/>
    <w:rsid w:val="47B93F12"/>
    <w:rsid w:val="47C02A7A"/>
    <w:rsid w:val="47D91D8D"/>
    <w:rsid w:val="47F941DE"/>
    <w:rsid w:val="482C010F"/>
    <w:rsid w:val="48315726"/>
    <w:rsid w:val="48592672"/>
    <w:rsid w:val="487823F9"/>
    <w:rsid w:val="48850709"/>
    <w:rsid w:val="48A979B2"/>
    <w:rsid w:val="48B87BF5"/>
    <w:rsid w:val="48CA7928"/>
    <w:rsid w:val="48D507A7"/>
    <w:rsid w:val="48D928B8"/>
    <w:rsid w:val="48EC789E"/>
    <w:rsid w:val="49107A31"/>
    <w:rsid w:val="4924125D"/>
    <w:rsid w:val="493A1BD6"/>
    <w:rsid w:val="498975CF"/>
    <w:rsid w:val="49A07007"/>
    <w:rsid w:val="49CA7BE0"/>
    <w:rsid w:val="49CF51F6"/>
    <w:rsid w:val="49D547D7"/>
    <w:rsid w:val="4A174DEF"/>
    <w:rsid w:val="4A471230"/>
    <w:rsid w:val="4A506A7B"/>
    <w:rsid w:val="4A834233"/>
    <w:rsid w:val="4AB3549B"/>
    <w:rsid w:val="4AE66C9B"/>
    <w:rsid w:val="4AEB42B2"/>
    <w:rsid w:val="4AEF3676"/>
    <w:rsid w:val="4AFF250A"/>
    <w:rsid w:val="4B094E45"/>
    <w:rsid w:val="4B3774F7"/>
    <w:rsid w:val="4B3F45FD"/>
    <w:rsid w:val="4B72052F"/>
    <w:rsid w:val="4B9135EE"/>
    <w:rsid w:val="4BB072A9"/>
    <w:rsid w:val="4BC048A8"/>
    <w:rsid w:val="4BCE14DD"/>
    <w:rsid w:val="4BCF3BD3"/>
    <w:rsid w:val="4BD50ABE"/>
    <w:rsid w:val="4BEA375E"/>
    <w:rsid w:val="4C076384"/>
    <w:rsid w:val="4C211F55"/>
    <w:rsid w:val="4C59349D"/>
    <w:rsid w:val="4C60482B"/>
    <w:rsid w:val="4C8C3872"/>
    <w:rsid w:val="4C9444D5"/>
    <w:rsid w:val="4CA3296A"/>
    <w:rsid w:val="4CBB7CB4"/>
    <w:rsid w:val="4CD11285"/>
    <w:rsid w:val="4CD40D75"/>
    <w:rsid w:val="4D1A2C2C"/>
    <w:rsid w:val="4D1A70D0"/>
    <w:rsid w:val="4D643C9B"/>
    <w:rsid w:val="4D830B3C"/>
    <w:rsid w:val="4DB36BDD"/>
    <w:rsid w:val="4DBF1A26"/>
    <w:rsid w:val="4DCD7C9F"/>
    <w:rsid w:val="4E361CE8"/>
    <w:rsid w:val="4E3822EA"/>
    <w:rsid w:val="4E8D576B"/>
    <w:rsid w:val="4E9344EF"/>
    <w:rsid w:val="4E9B55A6"/>
    <w:rsid w:val="4E9B5FEF"/>
    <w:rsid w:val="4EAB4AA5"/>
    <w:rsid w:val="4EC15DD0"/>
    <w:rsid w:val="4EC70B92"/>
    <w:rsid w:val="4EC72940"/>
    <w:rsid w:val="4ECF5C98"/>
    <w:rsid w:val="4F1D3493"/>
    <w:rsid w:val="4F5A1A06"/>
    <w:rsid w:val="4F76028D"/>
    <w:rsid w:val="4F7B6FEF"/>
    <w:rsid w:val="4F846082"/>
    <w:rsid w:val="4F950C90"/>
    <w:rsid w:val="4F9547EC"/>
    <w:rsid w:val="4FA42C81"/>
    <w:rsid w:val="4FC02CB5"/>
    <w:rsid w:val="4FC450D1"/>
    <w:rsid w:val="4FE92D8A"/>
    <w:rsid w:val="4FFA6D45"/>
    <w:rsid w:val="50072EA7"/>
    <w:rsid w:val="501B5899"/>
    <w:rsid w:val="50265D8C"/>
    <w:rsid w:val="50617B7C"/>
    <w:rsid w:val="50854860"/>
    <w:rsid w:val="509176A9"/>
    <w:rsid w:val="50940F47"/>
    <w:rsid w:val="509C1BAA"/>
    <w:rsid w:val="50A218B6"/>
    <w:rsid w:val="50A82C45"/>
    <w:rsid w:val="50AC34E7"/>
    <w:rsid w:val="50C07F8E"/>
    <w:rsid w:val="50E53551"/>
    <w:rsid w:val="50EA500B"/>
    <w:rsid w:val="51077BCA"/>
    <w:rsid w:val="51453FF0"/>
    <w:rsid w:val="5153670D"/>
    <w:rsid w:val="517A073C"/>
    <w:rsid w:val="519D3E2C"/>
    <w:rsid w:val="51B66C9C"/>
    <w:rsid w:val="51D81308"/>
    <w:rsid w:val="51EB01DD"/>
    <w:rsid w:val="522D51B0"/>
    <w:rsid w:val="52354064"/>
    <w:rsid w:val="527C1C93"/>
    <w:rsid w:val="529214B7"/>
    <w:rsid w:val="529C2335"/>
    <w:rsid w:val="52A116FA"/>
    <w:rsid w:val="52BA0E2C"/>
    <w:rsid w:val="52C12298"/>
    <w:rsid w:val="52C5363A"/>
    <w:rsid w:val="52E87329"/>
    <w:rsid w:val="53081779"/>
    <w:rsid w:val="53130849"/>
    <w:rsid w:val="534053B7"/>
    <w:rsid w:val="53530C46"/>
    <w:rsid w:val="53642E53"/>
    <w:rsid w:val="53B813F1"/>
    <w:rsid w:val="53D01A68"/>
    <w:rsid w:val="53E45333"/>
    <w:rsid w:val="5413739A"/>
    <w:rsid w:val="545E3D46"/>
    <w:rsid w:val="545F361A"/>
    <w:rsid w:val="54703A7A"/>
    <w:rsid w:val="54720E6F"/>
    <w:rsid w:val="548E0A81"/>
    <w:rsid w:val="54B020C8"/>
    <w:rsid w:val="54B95421"/>
    <w:rsid w:val="54C6369A"/>
    <w:rsid w:val="54E65AEA"/>
    <w:rsid w:val="54FA3343"/>
    <w:rsid w:val="54FC530D"/>
    <w:rsid w:val="55175CA3"/>
    <w:rsid w:val="55344AA7"/>
    <w:rsid w:val="55733821"/>
    <w:rsid w:val="557650C0"/>
    <w:rsid w:val="55986DE4"/>
    <w:rsid w:val="55B04EE9"/>
    <w:rsid w:val="55BF6A67"/>
    <w:rsid w:val="55C1052C"/>
    <w:rsid w:val="55C23E61"/>
    <w:rsid w:val="55D122F6"/>
    <w:rsid w:val="55D43B94"/>
    <w:rsid w:val="5622328A"/>
    <w:rsid w:val="56432596"/>
    <w:rsid w:val="56463818"/>
    <w:rsid w:val="56554CD5"/>
    <w:rsid w:val="567A2D7B"/>
    <w:rsid w:val="568B650B"/>
    <w:rsid w:val="569E1CA8"/>
    <w:rsid w:val="56AA475F"/>
    <w:rsid w:val="572052E3"/>
    <w:rsid w:val="572A43B4"/>
    <w:rsid w:val="57325016"/>
    <w:rsid w:val="57544F8D"/>
    <w:rsid w:val="576F0018"/>
    <w:rsid w:val="57EE3633"/>
    <w:rsid w:val="57EF2F07"/>
    <w:rsid w:val="58005F43"/>
    <w:rsid w:val="583234D8"/>
    <w:rsid w:val="58337722"/>
    <w:rsid w:val="585F1E3B"/>
    <w:rsid w:val="58676F42"/>
    <w:rsid w:val="586B2E5B"/>
    <w:rsid w:val="587578B0"/>
    <w:rsid w:val="58B06B3A"/>
    <w:rsid w:val="58C223CA"/>
    <w:rsid w:val="58E10AA2"/>
    <w:rsid w:val="58E560D9"/>
    <w:rsid w:val="591C41D0"/>
    <w:rsid w:val="59252BC0"/>
    <w:rsid w:val="594D6137"/>
    <w:rsid w:val="59AF6DF2"/>
    <w:rsid w:val="59E752BC"/>
    <w:rsid w:val="59ED3476"/>
    <w:rsid w:val="5A081245"/>
    <w:rsid w:val="5A442897"/>
    <w:rsid w:val="5A534435"/>
    <w:rsid w:val="5A6000EC"/>
    <w:rsid w:val="5A7D2A4C"/>
    <w:rsid w:val="5AD54636"/>
    <w:rsid w:val="5ADB6887"/>
    <w:rsid w:val="5AE20B01"/>
    <w:rsid w:val="5AEE56F8"/>
    <w:rsid w:val="5B0C5083"/>
    <w:rsid w:val="5B1A029B"/>
    <w:rsid w:val="5B2179FC"/>
    <w:rsid w:val="5B2E3D47"/>
    <w:rsid w:val="5B631C42"/>
    <w:rsid w:val="5B6634E0"/>
    <w:rsid w:val="5B687259"/>
    <w:rsid w:val="5B6B0AF7"/>
    <w:rsid w:val="5B7200D7"/>
    <w:rsid w:val="5BB97AB4"/>
    <w:rsid w:val="5BD42DFF"/>
    <w:rsid w:val="5BDB5443"/>
    <w:rsid w:val="5BE508A9"/>
    <w:rsid w:val="5BEF797A"/>
    <w:rsid w:val="5BFB1E7B"/>
    <w:rsid w:val="5C250D3B"/>
    <w:rsid w:val="5C2A6C04"/>
    <w:rsid w:val="5C3D2493"/>
    <w:rsid w:val="5C3F26AF"/>
    <w:rsid w:val="5C4A4BB0"/>
    <w:rsid w:val="5C5D2B35"/>
    <w:rsid w:val="5C8A1451"/>
    <w:rsid w:val="5C8F6A67"/>
    <w:rsid w:val="5CA41D28"/>
    <w:rsid w:val="5CD27DB2"/>
    <w:rsid w:val="5CD56B70"/>
    <w:rsid w:val="5CD66444"/>
    <w:rsid w:val="5CEE5789"/>
    <w:rsid w:val="5CF8285E"/>
    <w:rsid w:val="5D0928E5"/>
    <w:rsid w:val="5D3A4C25"/>
    <w:rsid w:val="5D683540"/>
    <w:rsid w:val="5D944335"/>
    <w:rsid w:val="5D997B9D"/>
    <w:rsid w:val="5DC85EBB"/>
    <w:rsid w:val="5DD5494D"/>
    <w:rsid w:val="5DD66AB8"/>
    <w:rsid w:val="5DE54B90"/>
    <w:rsid w:val="5DF66D9E"/>
    <w:rsid w:val="5E20787C"/>
    <w:rsid w:val="5E4C10B3"/>
    <w:rsid w:val="5E551358"/>
    <w:rsid w:val="5E8C325E"/>
    <w:rsid w:val="5E921CD9"/>
    <w:rsid w:val="5E9640DD"/>
    <w:rsid w:val="5EE412EC"/>
    <w:rsid w:val="5EF157B7"/>
    <w:rsid w:val="5F2A5DE9"/>
    <w:rsid w:val="5F2E6A0B"/>
    <w:rsid w:val="5F4270F5"/>
    <w:rsid w:val="5F797C86"/>
    <w:rsid w:val="5F8C454F"/>
    <w:rsid w:val="5F9A7BFD"/>
    <w:rsid w:val="5FF27A39"/>
    <w:rsid w:val="60011A2A"/>
    <w:rsid w:val="60056BDD"/>
    <w:rsid w:val="60067040"/>
    <w:rsid w:val="601654D5"/>
    <w:rsid w:val="601E25DC"/>
    <w:rsid w:val="602B6AA7"/>
    <w:rsid w:val="604F6C39"/>
    <w:rsid w:val="60681AA9"/>
    <w:rsid w:val="608658E3"/>
    <w:rsid w:val="6089214B"/>
    <w:rsid w:val="608A688B"/>
    <w:rsid w:val="60976207"/>
    <w:rsid w:val="60AF76D8"/>
    <w:rsid w:val="60C2565D"/>
    <w:rsid w:val="60C50CA9"/>
    <w:rsid w:val="60F90953"/>
    <w:rsid w:val="611A7247"/>
    <w:rsid w:val="614F7FA2"/>
    <w:rsid w:val="61B72CE8"/>
    <w:rsid w:val="61E433B1"/>
    <w:rsid w:val="61E92979"/>
    <w:rsid w:val="62123C84"/>
    <w:rsid w:val="62173786"/>
    <w:rsid w:val="62210161"/>
    <w:rsid w:val="62233ED9"/>
    <w:rsid w:val="623D4D59"/>
    <w:rsid w:val="624F1172"/>
    <w:rsid w:val="62A75558"/>
    <w:rsid w:val="62B64D4D"/>
    <w:rsid w:val="62C37EFC"/>
    <w:rsid w:val="62F12229"/>
    <w:rsid w:val="6300421A"/>
    <w:rsid w:val="63220635"/>
    <w:rsid w:val="63474B13"/>
    <w:rsid w:val="635D341B"/>
    <w:rsid w:val="63634C5A"/>
    <w:rsid w:val="637D2246"/>
    <w:rsid w:val="63846BFA"/>
    <w:rsid w:val="63A63014"/>
    <w:rsid w:val="63C45248"/>
    <w:rsid w:val="63D26179"/>
    <w:rsid w:val="645760BC"/>
    <w:rsid w:val="64722EF6"/>
    <w:rsid w:val="64754794"/>
    <w:rsid w:val="648844C8"/>
    <w:rsid w:val="64AA005A"/>
    <w:rsid w:val="653D3504"/>
    <w:rsid w:val="656942F9"/>
    <w:rsid w:val="656D5D36"/>
    <w:rsid w:val="657B402C"/>
    <w:rsid w:val="658904F7"/>
    <w:rsid w:val="65CB6D62"/>
    <w:rsid w:val="65DB36A3"/>
    <w:rsid w:val="65EB7404"/>
    <w:rsid w:val="65EE67C8"/>
    <w:rsid w:val="660B715E"/>
    <w:rsid w:val="66134265"/>
    <w:rsid w:val="66157C81"/>
    <w:rsid w:val="661F0E5C"/>
    <w:rsid w:val="662D3578"/>
    <w:rsid w:val="66486604"/>
    <w:rsid w:val="66490E8D"/>
    <w:rsid w:val="66513A06"/>
    <w:rsid w:val="665E3732"/>
    <w:rsid w:val="66664CDC"/>
    <w:rsid w:val="668D4017"/>
    <w:rsid w:val="66A065EB"/>
    <w:rsid w:val="66A06F02"/>
    <w:rsid w:val="66A80E51"/>
    <w:rsid w:val="66A91BD9"/>
    <w:rsid w:val="66AF0431"/>
    <w:rsid w:val="66CB2085"/>
    <w:rsid w:val="66E3459E"/>
    <w:rsid w:val="66F13846"/>
    <w:rsid w:val="679B7525"/>
    <w:rsid w:val="67E61C31"/>
    <w:rsid w:val="67E80936"/>
    <w:rsid w:val="680E3F00"/>
    <w:rsid w:val="681A18DB"/>
    <w:rsid w:val="684E77D6"/>
    <w:rsid w:val="685D3FEE"/>
    <w:rsid w:val="68882CE8"/>
    <w:rsid w:val="688A2F04"/>
    <w:rsid w:val="68BA4E6C"/>
    <w:rsid w:val="68C6449E"/>
    <w:rsid w:val="68F14D31"/>
    <w:rsid w:val="693B7D5A"/>
    <w:rsid w:val="695E07FC"/>
    <w:rsid w:val="696574CD"/>
    <w:rsid w:val="696C43B8"/>
    <w:rsid w:val="696C5793"/>
    <w:rsid w:val="69937B96"/>
    <w:rsid w:val="69BF098B"/>
    <w:rsid w:val="69C51D1A"/>
    <w:rsid w:val="69EB1780"/>
    <w:rsid w:val="69FA19C4"/>
    <w:rsid w:val="6A0E1913"/>
    <w:rsid w:val="6A317FAE"/>
    <w:rsid w:val="6A3B1A94"/>
    <w:rsid w:val="6A445335"/>
    <w:rsid w:val="6A6809E4"/>
    <w:rsid w:val="6A687275"/>
    <w:rsid w:val="6A6B39DC"/>
    <w:rsid w:val="6A902328"/>
    <w:rsid w:val="6AA85E77"/>
    <w:rsid w:val="6AAE6690"/>
    <w:rsid w:val="6AAF6C52"/>
    <w:rsid w:val="6AE85CC0"/>
    <w:rsid w:val="6B1271E1"/>
    <w:rsid w:val="6B340F05"/>
    <w:rsid w:val="6B4A5A0A"/>
    <w:rsid w:val="6B530BD2"/>
    <w:rsid w:val="6B782B8D"/>
    <w:rsid w:val="6B99520C"/>
    <w:rsid w:val="6BBD714D"/>
    <w:rsid w:val="6BE446D9"/>
    <w:rsid w:val="6C111246"/>
    <w:rsid w:val="6C3513D9"/>
    <w:rsid w:val="6C423CA9"/>
    <w:rsid w:val="6C6475C8"/>
    <w:rsid w:val="6C79791D"/>
    <w:rsid w:val="6C7A503E"/>
    <w:rsid w:val="6C97174C"/>
    <w:rsid w:val="6CA420BB"/>
    <w:rsid w:val="6CDF3626"/>
    <w:rsid w:val="6CE4695B"/>
    <w:rsid w:val="6CFA1CDB"/>
    <w:rsid w:val="6D164609"/>
    <w:rsid w:val="6D7221B9"/>
    <w:rsid w:val="6D760823"/>
    <w:rsid w:val="6D9E2FAE"/>
    <w:rsid w:val="6DCC7033"/>
    <w:rsid w:val="6DD250FC"/>
    <w:rsid w:val="6DF40E20"/>
    <w:rsid w:val="6DF66946"/>
    <w:rsid w:val="6E3556C0"/>
    <w:rsid w:val="6E657628"/>
    <w:rsid w:val="6E775CD9"/>
    <w:rsid w:val="6E7D35D3"/>
    <w:rsid w:val="6E946A7C"/>
    <w:rsid w:val="6EB5235D"/>
    <w:rsid w:val="6EBA7973"/>
    <w:rsid w:val="6EC50D23"/>
    <w:rsid w:val="6EC80A4E"/>
    <w:rsid w:val="6EE54D71"/>
    <w:rsid w:val="6EFD5AB2"/>
    <w:rsid w:val="6F0230C8"/>
    <w:rsid w:val="6F173018"/>
    <w:rsid w:val="6F2319BD"/>
    <w:rsid w:val="6F2F287D"/>
    <w:rsid w:val="6F4A363E"/>
    <w:rsid w:val="6F768FEE"/>
    <w:rsid w:val="6F8E1E81"/>
    <w:rsid w:val="6F9E54E7"/>
    <w:rsid w:val="6FC50CC6"/>
    <w:rsid w:val="6FCC795E"/>
    <w:rsid w:val="6FD1766A"/>
    <w:rsid w:val="6FD35191"/>
    <w:rsid w:val="6FD607DD"/>
    <w:rsid w:val="6FE0340A"/>
    <w:rsid w:val="6FEF7AF1"/>
    <w:rsid w:val="6FF13869"/>
    <w:rsid w:val="6FF84BF7"/>
    <w:rsid w:val="700C06A3"/>
    <w:rsid w:val="700E6A8A"/>
    <w:rsid w:val="70180DF5"/>
    <w:rsid w:val="701E3F32"/>
    <w:rsid w:val="70271038"/>
    <w:rsid w:val="70291255"/>
    <w:rsid w:val="70330545"/>
    <w:rsid w:val="703A6FBE"/>
    <w:rsid w:val="70531C4A"/>
    <w:rsid w:val="705F6A24"/>
    <w:rsid w:val="70981F36"/>
    <w:rsid w:val="70B52AE8"/>
    <w:rsid w:val="70E433CD"/>
    <w:rsid w:val="70EC5DDE"/>
    <w:rsid w:val="710B6BAC"/>
    <w:rsid w:val="71353C29"/>
    <w:rsid w:val="714B4F48"/>
    <w:rsid w:val="71662034"/>
    <w:rsid w:val="71665B90"/>
    <w:rsid w:val="717621F9"/>
    <w:rsid w:val="71E76CD1"/>
    <w:rsid w:val="71EF202A"/>
    <w:rsid w:val="71F413EE"/>
    <w:rsid w:val="72273C06"/>
    <w:rsid w:val="723B701D"/>
    <w:rsid w:val="726246F7"/>
    <w:rsid w:val="72646574"/>
    <w:rsid w:val="726500C8"/>
    <w:rsid w:val="72BC4113"/>
    <w:rsid w:val="72C77465"/>
    <w:rsid w:val="72D60AF4"/>
    <w:rsid w:val="72E651DB"/>
    <w:rsid w:val="72F01BB6"/>
    <w:rsid w:val="72F1592E"/>
    <w:rsid w:val="72F83160"/>
    <w:rsid w:val="73290DA0"/>
    <w:rsid w:val="732B52E4"/>
    <w:rsid w:val="732E5992"/>
    <w:rsid w:val="73412411"/>
    <w:rsid w:val="73634A7D"/>
    <w:rsid w:val="73707D24"/>
    <w:rsid w:val="73797DFD"/>
    <w:rsid w:val="73874A0A"/>
    <w:rsid w:val="73AB533F"/>
    <w:rsid w:val="7419513C"/>
    <w:rsid w:val="744523D5"/>
    <w:rsid w:val="745148D6"/>
    <w:rsid w:val="748618FD"/>
    <w:rsid w:val="74890514"/>
    <w:rsid w:val="74C520B0"/>
    <w:rsid w:val="74CB0B2C"/>
    <w:rsid w:val="74DF6B68"/>
    <w:rsid w:val="74E120FE"/>
    <w:rsid w:val="74EE0377"/>
    <w:rsid w:val="74F17E67"/>
    <w:rsid w:val="750E0A19"/>
    <w:rsid w:val="75243D99"/>
    <w:rsid w:val="75422471"/>
    <w:rsid w:val="755F4EA1"/>
    <w:rsid w:val="75630D65"/>
    <w:rsid w:val="757F1917"/>
    <w:rsid w:val="75826D11"/>
    <w:rsid w:val="75944D83"/>
    <w:rsid w:val="75B52270"/>
    <w:rsid w:val="75C4732A"/>
    <w:rsid w:val="75E82CFE"/>
    <w:rsid w:val="75ED300A"/>
    <w:rsid w:val="75F776FF"/>
    <w:rsid w:val="7601232C"/>
    <w:rsid w:val="76013E56"/>
    <w:rsid w:val="7616395E"/>
    <w:rsid w:val="761D53B8"/>
    <w:rsid w:val="76206C56"/>
    <w:rsid w:val="76342701"/>
    <w:rsid w:val="7655415E"/>
    <w:rsid w:val="767660B0"/>
    <w:rsid w:val="767C19B2"/>
    <w:rsid w:val="768C7E47"/>
    <w:rsid w:val="7699259C"/>
    <w:rsid w:val="76BD44A5"/>
    <w:rsid w:val="76C75323"/>
    <w:rsid w:val="76E9529A"/>
    <w:rsid w:val="76EA0E72"/>
    <w:rsid w:val="76EA2DC0"/>
    <w:rsid w:val="771D13E7"/>
    <w:rsid w:val="77212C85"/>
    <w:rsid w:val="77560455"/>
    <w:rsid w:val="777D3C34"/>
    <w:rsid w:val="77901BB9"/>
    <w:rsid w:val="77950F7E"/>
    <w:rsid w:val="77977FC3"/>
    <w:rsid w:val="77A613DD"/>
    <w:rsid w:val="77CE623E"/>
    <w:rsid w:val="77E45A61"/>
    <w:rsid w:val="77EF5AEB"/>
    <w:rsid w:val="77F5255B"/>
    <w:rsid w:val="780B56E4"/>
    <w:rsid w:val="781B5927"/>
    <w:rsid w:val="783267CC"/>
    <w:rsid w:val="78397B5B"/>
    <w:rsid w:val="78544995"/>
    <w:rsid w:val="78615304"/>
    <w:rsid w:val="78713799"/>
    <w:rsid w:val="787D213D"/>
    <w:rsid w:val="78A23952"/>
    <w:rsid w:val="78B90C9C"/>
    <w:rsid w:val="790E548B"/>
    <w:rsid w:val="793A71A1"/>
    <w:rsid w:val="79512818"/>
    <w:rsid w:val="796B04FA"/>
    <w:rsid w:val="79870D9A"/>
    <w:rsid w:val="798F0624"/>
    <w:rsid w:val="79907273"/>
    <w:rsid w:val="799F0938"/>
    <w:rsid w:val="79AA4526"/>
    <w:rsid w:val="79B576B5"/>
    <w:rsid w:val="79FC7092"/>
    <w:rsid w:val="7A140880"/>
    <w:rsid w:val="7A1C14E2"/>
    <w:rsid w:val="7A37493B"/>
    <w:rsid w:val="7A5A025C"/>
    <w:rsid w:val="7A613399"/>
    <w:rsid w:val="7A7B65ED"/>
    <w:rsid w:val="7AC7528E"/>
    <w:rsid w:val="7ACB4CB6"/>
    <w:rsid w:val="7AD84386"/>
    <w:rsid w:val="7B0D52CF"/>
    <w:rsid w:val="7B226FCC"/>
    <w:rsid w:val="7B311871"/>
    <w:rsid w:val="7B364826"/>
    <w:rsid w:val="7B42766E"/>
    <w:rsid w:val="7B5D1DB2"/>
    <w:rsid w:val="7B66229B"/>
    <w:rsid w:val="7B713AB0"/>
    <w:rsid w:val="7B7517F2"/>
    <w:rsid w:val="7B98728E"/>
    <w:rsid w:val="7BAC2D3A"/>
    <w:rsid w:val="7BE91898"/>
    <w:rsid w:val="7C0E57A2"/>
    <w:rsid w:val="7CA37C99"/>
    <w:rsid w:val="7CA91B14"/>
    <w:rsid w:val="7CAC5D04"/>
    <w:rsid w:val="7CAF4890"/>
    <w:rsid w:val="7CBF3134"/>
    <w:rsid w:val="7CD27528"/>
    <w:rsid w:val="7CF95B0B"/>
    <w:rsid w:val="7D1666BD"/>
    <w:rsid w:val="7D494CE4"/>
    <w:rsid w:val="7D513B99"/>
    <w:rsid w:val="7D871368"/>
    <w:rsid w:val="7D8D510B"/>
    <w:rsid w:val="7DC720AD"/>
    <w:rsid w:val="7DD50326"/>
    <w:rsid w:val="7DDA3B8E"/>
    <w:rsid w:val="7DE86181"/>
    <w:rsid w:val="7DF30332"/>
    <w:rsid w:val="7E066731"/>
    <w:rsid w:val="7E292420"/>
    <w:rsid w:val="7E2968C4"/>
    <w:rsid w:val="7E551467"/>
    <w:rsid w:val="7E96559F"/>
    <w:rsid w:val="7E9B57F0"/>
    <w:rsid w:val="7EDE145C"/>
    <w:rsid w:val="7EE8052D"/>
    <w:rsid w:val="7F2E7F87"/>
    <w:rsid w:val="7F435763"/>
    <w:rsid w:val="7F7928FA"/>
    <w:rsid w:val="7F8D69DE"/>
    <w:rsid w:val="7FAF7A5E"/>
    <w:rsid w:val="7FB03B0B"/>
    <w:rsid w:val="7FD36AE7"/>
    <w:rsid w:val="A637FE1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Lines="50" w:afterLines="50" w:line="360" w:lineRule="auto"/>
      <w:outlineLvl w:val="2"/>
    </w:pPr>
    <w:rPr>
      <w:rFonts w:ascii="Times New Roman" w:hAnsi="Times New Roman"/>
      <w:b/>
      <w:sz w:val="28"/>
      <w:szCs w:val="20"/>
    </w:rPr>
  </w:style>
  <w:style w:type="paragraph" w:styleId="5">
    <w:name w:val="heading 4"/>
    <w:basedOn w:val="1"/>
    <w:next w:val="1"/>
    <w:qFormat/>
    <w:uiPriority w:val="0"/>
    <w:pPr>
      <w:numPr>
        <w:ilvl w:val="3"/>
        <w:numId w:val="2"/>
      </w:numPr>
      <w:spacing w:before="240" w:after="240" w:line="377" w:lineRule="auto"/>
      <w:outlineLvl w:val="3"/>
    </w:pPr>
    <w:rPr>
      <w:rFonts w:eastAsia="黑体"/>
      <w:b/>
      <w:bCs/>
      <w:sz w:val="28"/>
      <w:szCs w:val="28"/>
    </w:rPr>
  </w:style>
  <w:style w:type="paragraph" w:styleId="6">
    <w:name w:val="heading 5"/>
    <w:basedOn w:val="1"/>
    <w:next w:val="1"/>
    <w:qFormat/>
    <w:uiPriority w:val="0"/>
    <w:pPr>
      <w:widowControl/>
      <w:overflowPunct w:val="0"/>
      <w:autoSpaceDE w:val="0"/>
      <w:autoSpaceDN w:val="0"/>
      <w:adjustRightInd w:val="0"/>
      <w:spacing w:before="240" w:after="60"/>
      <w:jc w:val="left"/>
      <w:textAlignment w:val="baseline"/>
      <w:outlineLvl w:val="4"/>
    </w:pPr>
    <w:rPr>
      <w:rFonts w:ascii="Arial" w:hAnsi="Arial"/>
      <w:sz w:val="22"/>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qFormat/>
    <w:uiPriority w:val="0"/>
    <w:pPr>
      <w:jc w:val="left"/>
    </w:pPr>
  </w:style>
  <w:style w:type="paragraph" w:styleId="8">
    <w:name w:val="Body Text"/>
    <w:basedOn w:val="1"/>
    <w:qFormat/>
    <w:uiPriority w:val="0"/>
    <w:rPr>
      <w:rFonts w:eastAsia="黑体"/>
      <w:b/>
      <w:bCs/>
      <w:spacing w:val="20"/>
      <w:kern w:val="52"/>
      <w:sz w:val="56"/>
      <w:szCs w:val="24"/>
    </w:rPr>
  </w:style>
  <w:style w:type="paragraph" w:styleId="9">
    <w:name w:val="Body Text Indent"/>
    <w:basedOn w:val="1"/>
    <w:next w:val="1"/>
    <w:qFormat/>
    <w:uiPriority w:val="0"/>
    <w:pPr>
      <w:spacing w:line="360" w:lineRule="auto"/>
      <w:ind w:firstLine="435"/>
    </w:pPr>
    <w:rPr>
      <w:sz w:val="28"/>
      <w:szCs w:val="24"/>
    </w:rPr>
  </w:style>
  <w:style w:type="paragraph" w:styleId="10">
    <w:name w:val="List 2"/>
    <w:basedOn w:val="1"/>
    <w:qFormat/>
    <w:uiPriority w:val="0"/>
    <w:pPr>
      <w:spacing w:after="120" w:line="400" w:lineRule="exact"/>
    </w:pPr>
    <w:rPr>
      <w:sz w:val="24"/>
    </w:rPr>
  </w:style>
  <w:style w:type="paragraph" w:styleId="11">
    <w:name w:val="toc 3"/>
    <w:basedOn w:val="1"/>
    <w:next w:val="1"/>
    <w:qFormat/>
    <w:uiPriority w:val="0"/>
    <w:pPr>
      <w:ind w:left="420"/>
      <w:jc w:val="left"/>
    </w:pPr>
    <w:rPr>
      <w:rFonts w:ascii="仿宋_GB2312" w:eastAsia="仿宋_GB2312"/>
      <w:i/>
      <w:iCs/>
      <w:sz w:val="20"/>
      <w:szCs w:val="20"/>
    </w:rPr>
  </w:style>
  <w:style w:type="paragraph" w:styleId="12">
    <w:name w:val="Plain Text"/>
    <w:basedOn w:val="1"/>
    <w:next w:val="13"/>
    <w:qFormat/>
    <w:uiPriority w:val="0"/>
    <w:rPr>
      <w:rFonts w:ascii="宋体" w:hAnsi="Courier New"/>
    </w:rPr>
  </w:style>
  <w:style w:type="paragraph" w:styleId="13">
    <w:name w:val="toc 2"/>
    <w:basedOn w:val="1"/>
    <w:next w:val="1"/>
    <w:qFormat/>
    <w:uiPriority w:val="0"/>
    <w:pPr>
      <w:ind w:left="210"/>
      <w:jc w:val="left"/>
    </w:pPr>
    <w:rPr>
      <w:rFonts w:ascii="仿宋_GB2312" w:eastAsia="仿宋_GB2312"/>
      <w:smallCaps/>
      <w:sz w:val="20"/>
    </w:rPr>
  </w:style>
  <w:style w:type="paragraph" w:styleId="14">
    <w:name w:val="footer"/>
    <w:basedOn w:val="1"/>
    <w:qFormat/>
    <w:uiPriority w:val="99"/>
    <w:pPr>
      <w:tabs>
        <w:tab w:val="center" w:pos="4153"/>
        <w:tab w:val="right" w:pos="8306"/>
      </w:tabs>
      <w:snapToGrid w:val="0"/>
      <w:jc w:val="left"/>
    </w:pPr>
    <w:rPr>
      <w:sz w:val="18"/>
      <w:szCs w:val="18"/>
    </w:rPr>
  </w:style>
  <w:style w:type="paragraph" w:styleId="1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0"/>
  </w:style>
  <w:style w:type="paragraph" w:styleId="17">
    <w:name w:val="footnote text"/>
    <w:basedOn w:val="1"/>
    <w:semiHidden/>
    <w:qFormat/>
    <w:uiPriority w:val="99"/>
    <w:pPr>
      <w:snapToGrid w:val="0"/>
      <w:jc w:val="left"/>
    </w:pPr>
    <w:rPr>
      <w:rFonts w:ascii="Calibri" w:hAnsi="Calibri" w:eastAsia="宋体" w:cs="黑体"/>
      <w:sz w:val="18"/>
      <w:szCs w:val="18"/>
    </w:rPr>
  </w:style>
  <w:style w:type="paragraph" w:styleId="18">
    <w:name w:val="Message Header"/>
    <w:basedOn w:val="1"/>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Arial" w:hAnsi="Arial" w:cs="Arial"/>
      <w:sz w:val="24"/>
      <w:szCs w:val="24"/>
    </w:rPr>
  </w:style>
  <w:style w:type="paragraph" w:styleId="19">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style>
  <w:style w:type="paragraph" w:styleId="20">
    <w:name w:val="Normal (Web)"/>
    <w:basedOn w:val="1"/>
    <w:qFormat/>
    <w:uiPriority w:val="0"/>
    <w:rPr>
      <w:sz w:val="24"/>
    </w:rPr>
  </w:style>
  <w:style w:type="paragraph" w:styleId="21">
    <w:name w:val="Body Text First Indent"/>
    <w:basedOn w:val="1"/>
    <w:next w:val="1"/>
    <w:qFormat/>
    <w:uiPriority w:val="0"/>
    <w:pPr>
      <w:adjustRightInd w:val="0"/>
      <w:spacing w:after="120" w:line="360" w:lineRule="auto"/>
      <w:ind w:firstLine="420"/>
      <w:textAlignment w:val="baseline"/>
    </w:pPr>
    <w:rPr>
      <w:rFonts w:ascii="Calibri" w:hAnsi="Calibri" w:eastAsia="楷体_GB2312"/>
      <w:kern w:val="0"/>
      <w:sz w:val="24"/>
    </w:rPr>
  </w:style>
  <w:style w:type="paragraph" w:styleId="22">
    <w:name w:val="Body Text First Indent 2"/>
    <w:basedOn w:val="9"/>
    <w:next w:val="21"/>
    <w:qFormat/>
    <w:uiPriority w:val="0"/>
    <w:pPr>
      <w:spacing w:after="120"/>
      <w:ind w:firstLine="420" w:firstLineChars="200"/>
    </w:p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qFormat/>
    <w:uiPriority w:val="99"/>
    <w:rPr>
      <w:color w:val="0000FF"/>
      <w:u w:val="single"/>
    </w:rPr>
  </w:style>
  <w:style w:type="paragraph" w:customStyle="1" w:styleId="27">
    <w:name w:val="正文1"/>
    <w:basedOn w:val="11"/>
    <w:next w:val="28"/>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8">
    <w:name w:val="自动更正"/>
    <w:next w:val="2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xl39"/>
    <w:basedOn w:val="1"/>
    <w:next w:val="30"/>
    <w:qFormat/>
    <w:uiPriority w:val="0"/>
    <w:pPr>
      <w:widowControl/>
      <w:pBdr>
        <w:top w:val="single" w:color="auto" w:sz="4" w:space="0"/>
        <w:bottom w:val="single" w:color="auto" w:sz="4" w:space="0"/>
        <w:right w:val="single" w:color="auto" w:sz="4" w:space="0"/>
      </w:pBdr>
      <w:spacing w:before="100" w:after="100"/>
      <w:jc w:val="left"/>
      <w:textAlignment w:val="center"/>
    </w:pPr>
    <w:rPr>
      <w:kern w:val="0"/>
      <w:szCs w:val="20"/>
    </w:rPr>
  </w:style>
  <w:style w:type="paragraph" w:customStyle="1" w:styleId="30">
    <w:name w:val="分手多日，近况如何？"/>
    <w:next w:val="1"/>
    <w:qFormat/>
    <w:uiPriority w:val="0"/>
    <w:pPr>
      <w:widowControl w:val="0"/>
      <w:jc w:val="both"/>
    </w:pPr>
    <w:rPr>
      <w:rFonts w:ascii="Times New Roman" w:hAnsi="Times New Roman" w:eastAsia="宋体" w:cs="Times New Roman"/>
      <w:sz w:val="21"/>
      <w:lang w:val="en-US" w:eastAsia="zh-CN" w:bidi="ar-SA"/>
    </w:rPr>
  </w:style>
  <w:style w:type="paragraph" w:customStyle="1" w:styleId="31">
    <w:name w:val="WPSOffice手动目录 1"/>
    <w:qFormat/>
    <w:uiPriority w:val="0"/>
    <w:rPr>
      <w:rFonts w:ascii="Times New Roman" w:hAnsi="Times New Roman" w:eastAsia="宋体" w:cs="Times New Roman"/>
      <w:lang w:val="en-US" w:eastAsia="zh-CN" w:bidi="ar-SA"/>
    </w:rPr>
  </w:style>
  <w:style w:type="paragraph" w:customStyle="1" w:styleId="32">
    <w:name w:val="表格文字"/>
    <w:basedOn w:val="1"/>
    <w:next w:val="8"/>
    <w:qFormat/>
    <w:uiPriority w:val="0"/>
    <w:pPr>
      <w:spacing w:line="420" w:lineRule="atLeast"/>
      <w:textAlignment w:val="baseline"/>
    </w:pPr>
  </w:style>
  <w:style w:type="paragraph" w:customStyle="1" w:styleId="33">
    <w:name w:val="_Style 3"/>
    <w:qFormat/>
    <w:uiPriority w:val="99"/>
    <w:pPr>
      <w:widowControl w:val="0"/>
      <w:jc w:val="both"/>
    </w:pPr>
    <w:rPr>
      <w:rFonts w:ascii="Times New Roman" w:hAnsi="Times New Roman" w:eastAsia="宋体" w:cs="Times New Roman"/>
      <w:kern w:val="2"/>
      <w:sz w:val="21"/>
      <w:szCs w:val="22"/>
      <w:lang w:val="en-US" w:eastAsia="zh-CN" w:bidi="ar-SA"/>
    </w:rPr>
  </w:style>
  <w:style w:type="character" w:customStyle="1" w:styleId="34">
    <w:name w:val="标题 2 Char"/>
    <w:qFormat/>
    <w:uiPriority w:val="9"/>
    <w:rPr>
      <w:rFonts w:ascii="宋体" w:hAnsi="宋体" w:eastAsia="黑体"/>
      <w:b/>
      <w:bCs/>
      <w:kern w:val="2"/>
      <w:sz w:val="24"/>
      <w:szCs w:val="32"/>
      <w:lang w:val="en-US" w:eastAsia="zh-CN" w:bidi="ar-SA"/>
    </w:rPr>
  </w:style>
  <w:style w:type="paragraph" w:customStyle="1" w:styleId="35">
    <w:name w:val="参数表格"/>
    <w:basedOn w:val="36"/>
    <w:qFormat/>
    <w:uiPriority w:val="0"/>
    <w:pPr>
      <w:ind w:firstLine="0" w:firstLineChars="0"/>
    </w:pPr>
    <w:rPr>
      <w:rFonts w:ascii="Times New Roman" w:hAnsi="Times New Roman"/>
    </w:rPr>
  </w:style>
  <w:style w:type="paragraph" w:customStyle="1" w:styleId="36">
    <w:name w:val="参数正文"/>
    <w:basedOn w:val="1"/>
    <w:qFormat/>
    <w:uiPriority w:val="0"/>
    <w:pPr>
      <w:spacing w:line="360" w:lineRule="auto"/>
      <w:ind w:firstLine="480" w:firstLineChars="200"/>
      <w:jc w:val="left"/>
    </w:pPr>
    <w:rPr>
      <w:rFonts w:ascii="宋体" w:hAnsi="宋体"/>
      <w:sz w:val="24"/>
      <w:szCs w:val="24"/>
    </w:rPr>
  </w:style>
  <w:style w:type="paragraph" w:customStyle="1" w:styleId="37">
    <w:name w:val="纯文本1"/>
    <w:basedOn w:val="1"/>
    <w:qFormat/>
    <w:uiPriority w:val="0"/>
    <w:rPr>
      <w:rFonts w:ascii="宋体" w:hAnsi="Courier New"/>
      <w:sz w:val="24"/>
      <w:szCs w:val="24"/>
    </w:rPr>
  </w:style>
  <w:style w:type="paragraph" w:customStyle="1" w:styleId="38">
    <w:name w:val="首行缩进"/>
    <w:basedOn w:val="1"/>
    <w:qFormat/>
    <w:uiPriority w:val="0"/>
    <w:pPr>
      <w:spacing w:line="360" w:lineRule="auto"/>
      <w:ind w:firstLine="420" w:firstLineChars="200"/>
    </w:pPr>
    <w:rPr>
      <w:rFonts w:ascii="宋体" w:hAnsi="宋体"/>
    </w:rPr>
  </w:style>
  <w:style w:type="paragraph" w:customStyle="1" w:styleId="39">
    <w:name w:val="Default Text"/>
    <w:basedOn w:val="1"/>
    <w:qFormat/>
    <w:uiPriority w:val="99"/>
    <w:pPr>
      <w:widowControl/>
      <w:jc w:val="left"/>
    </w:pPr>
    <w:rPr>
      <w:rFonts w:ascii="Tahoma" w:hAnsi="Tahoma" w:eastAsia="仿宋_GB2312" w:cs="Tahoma"/>
      <w:kern w:val="0"/>
      <w:sz w:val="24"/>
      <w:szCs w:val="24"/>
      <w:lang w:eastAsia="en-US"/>
    </w:rPr>
  </w:style>
  <w:style w:type="paragraph" w:customStyle="1" w:styleId="40">
    <w:name w:val="小正文"/>
    <w:basedOn w:val="1"/>
    <w:qFormat/>
    <w:uiPriority w:val="0"/>
    <w:pPr>
      <w:widowControl w:val="0"/>
      <w:adjustRightInd/>
      <w:snapToGrid/>
      <w:spacing w:after="0" w:line="560" w:lineRule="exact"/>
      <w:ind w:firstLine="560" w:firstLineChars="200"/>
    </w:pPr>
    <w:rPr>
      <w:rFonts w:ascii="仿宋_GB2312" w:hAnsi="宋体" w:eastAsia="仿宋_GB2312"/>
      <w:sz w:val="28"/>
      <w:szCs w:val="28"/>
    </w:rPr>
  </w:style>
  <w:style w:type="character" w:customStyle="1" w:styleId="41">
    <w:name w:val="font21"/>
    <w:basedOn w:val="25"/>
    <w:qFormat/>
    <w:uiPriority w:val="0"/>
    <w:rPr>
      <w:rFonts w:hint="eastAsia" w:ascii="微软雅黑" w:hAnsi="微软雅黑" w:eastAsia="微软雅黑" w:cs="微软雅黑"/>
      <w:color w:val="000000"/>
      <w:sz w:val="12"/>
      <w:szCs w:val="12"/>
      <w:u w:val="none"/>
    </w:rPr>
  </w:style>
  <w:style w:type="character" w:customStyle="1" w:styleId="42">
    <w:name w:val="font61"/>
    <w:basedOn w:val="25"/>
    <w:qFormat/>
    <w:uiPriority w:val="0"/>
    <w:rPr>
      <w:rFonts w:hint="eastAsia" w:ascii="微软雅黑" w:hAnsi="微软雅黑" w:eastAsia="微软雅黑" w:cs="微软雅黑"/>
      <w:color w:val="000000"/>
      <w:sz w:val="12"/>
      <w:szCs w:val="12"/>
      <w:u w:val="none"/>
    </w:rPr>
  </w:style>
  <w:style w:type="character" w:customStyle="1" w:styleId="43">
    <w:name w:val="font71"/>
    <w:basedOn w:val="25"/>
    <w:qFormat/>
    <w:uiPriority w:val="0"/>
    <w:rPr>
      <w:rFonts w:hint="eastAsia" w:ascii="微软雅黑" w:hAnsi="微软雅黑" w:eastAsia="微软雅黑" w:cs="微软雅黑"/>
      <w:b/>
      <w:bCs/>
      <w:color w:val="000000"/>
      <w:sz w:val="12"/>
      <w:szCs w:val="1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51</Pages>
  <Words>277</Words>
  <Characters>302</Characters>
  <Lines>1</Lines>
  <Paragraphs>1</Paragraphs>
  <TotalTime>1</TotalTime>
  <ScaleCrop>false</ScaleCrop>
  <LinksUpToDate>false</LinksUpToDate>
  <CharactersWithSpaces>334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2024-04-17T01:24:00Z</dcterms:created>
  <dc:creator>cvbh</dc:creator>
  <cp:lastModifiedBy>舒琪</cp:lastModifiedBy>
  <dcterms:modified xsi:type="dcterms:W3CDTF">2025-05-09T03:33:38Z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E1B081A425654CB083161D6B3037AF3E_13</vt:lpwstr>
  </property>
  <property fmtid="{D5CDD505-2E9C-101B-9397-08002B2CF9AE}" pid="4" name="KSOTemplateDocerSaveRecord">
    <vt:lpwstr>eyJoZGlkIjoiM2RkMDI5NGJiMDZmMzhhNjIxZGI1NjUwZDA0MDNkODEiLCJ1c2VySWQiOiIxNDc5ODQxODc4In0=</vt:lpwstr>
  </property>
</Properties>
</file>