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4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925"/>
        <w:gridCol w:w="764"/>
        <w:gridCol w:w="957"/>
        <w:gridCol w:w="1576"/>
        <w:gridCol w:w="2595"/>
        <w:gridCol w:w="745"/>
        <w:gridCol w:w="419"/>
      </w:tblGrid>
      <w:tr w14:paraId="1EE82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842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  <w:noWrap/>
            <w:vAlign w:val="center"/>
          </w:tcPr>
          <w:p w14:paraId="2ADA36D4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运输管理关键考核指标</w:t>
            </w:r>
          </w:p>
        </w:tc>
      </w:tr>
      <w:tr w14:paraId="1C1A2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  <w:vAlign w:val="center"/>
          </w:tcPr>
          <w:p w14:paraId="22BAC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考核内容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  <w:vAlign w:val="center"/>
          </w:tcPr>
          <w:p w14:paraId="1E6D7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考核指标分解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  <w:vAlign w:val="center"/>
          </w:tcPr>
          <w:p w14:paraId="41592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基准值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  <w:vAlign w:val="center"/>
          </w:tcPr>
          <w:p w14:paraId="36141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计算办法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  <w:vAlign w:val="center"/>
          </w:tcPr>
          <w:p w14:paraId="372F0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描述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  <w:vAlign w:val="center"/>
          </w:tcPr>
          <w:p w14:paraId="6ACF8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计分方式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  <w:vAlign w:val="center"/>
          </w:tcPr>
          <w:p w14:paraId="021CD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考核权重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EECE1"/>
            <w:vAlign w:val="center"/>
          </w:tcPr>
          <w:p w14:paraId="52834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考核得分</w:t>
            </w:r>
          </w:p>
        </w:tc>
      </w:tr>
      <w:tr w14:paraId="0F380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70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7F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时效达标率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59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97D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达标区域数量/总发运区域数量*100%；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B7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按上药控股物流中心下发的指标判断是否达标，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以合同时效为准，不可抗力造成的延误配送除外。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6FE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1、达标得100分；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2、不达标，按月度达标区域的比例计算得分：达标比例*100（如：总发运5个区域，达标了4个区域，月度得分为4/5*100=80分）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11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25.0%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C2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DA1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4987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F1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退货及时率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40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90%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99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当月退货及时订单数/当月总退货订单数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9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常温商品退货：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退货天数&lt;=正向物流合同天+10天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CA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1、达到基准值及以上得100分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2、退货及时率&lt;90%，每低0.1个百分比扣除1分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5E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10.0%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06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C0D3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C7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CE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破损率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84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0.02%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853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发生破损盒数/总发运盒数*100%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085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以盒为单位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E9A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1、达到基准值及以上得100分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2、盒数破损率&gt;0.02%，每高0.002个百分比扣除1分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18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15.0%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C90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012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6359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 w14:paraId="253A3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冷链/温控商品应急处理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BB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FD8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CB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未能在规定时限内送达及时通知甲方，特殊情况配合甲方应急处理。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C0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1、未能在规定时限内送达并及时通知甲方一笔扣除50分。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2、未配合甲方应急处理发生一笔扣除50分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AB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10.0%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1E2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C9C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6B89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 w14:paraId="37DBA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错送次数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4E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E42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7F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串货、漏提、送错等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3F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1、没有发生错送，得100分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2、发生一笔扣除50分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61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10.0%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FF6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E26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F2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单据与信息节点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29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签单返回及时率（原件）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65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40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当月已回签单数/当月总签单数*100%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4F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1、返回纸质原件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2、每月15日前返回上月回单；若回单未齐，则暂停支付该月全部运费，直至签单及时率达到基准值后再启动该月的运费支付流程。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31E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1、达到基准值及以上得100分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2、签单返回及时率&lt;95%，每低0.1个百分比扣除1分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B4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15.0%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84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20C4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5" w:hRule="atLeast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1429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 w14:paraId="447C7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TMS节点信息完整率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BC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F3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当月上传节点数/当月总节点数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FA1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1、车辆安排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2、提货完成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3、发运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4、到达中转城市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5、安排配送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6、签收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7、回单上传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8、冷藏/温控整车上传GPS位置数据和温度数据；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9、打包上传温度数据。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B70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1、达到基准值及以上得100分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2、完整率＜95%，每低0.5个百分比扣除3分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3、非完整运单超三单以上，每增加一单扣3分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4、取2、3项分值低的作为计分值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AA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5.0%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0AB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6F9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2" w:hRule="atLeast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EE49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 w14:paraId="7FBAF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TMS节点信息准确率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5A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90%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BF7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当月信息准确的运单数/当月总运单数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7F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1、提货车辆、交接人员准确性（与仓库交接单据上留存信息保持一致）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2、签收时间准确性（签收当天时间）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3、上传的单据准确性（单据清晰完整，单据正确）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F85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1、达到基准值及以上得100分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2、准确率＜90%，每低0.5个点扣除3分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3、非准确运单超三单以上，每增加一单扣3分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4、取2、3项分值低的作为计分值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57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5.0%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BD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A45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5" w:hRule="atLeast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33E7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 w14:paraId="6429A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TMS节点信息及时率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60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85%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53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当月信息及时上传的运单数/当月总运单数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9C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1、车辆安排(提货当天录入）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2、提货完成（提货完成隔天录入）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3、发运（货物离港当天录入）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4、到达中转城市（货物到达中转城市当天录入）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5、安排配送（货物配送的当天录入）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6、签收（货物签收后1个工作日内录入）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7、回单上传（货物签收后3个工作日内录入）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8、冷藏/温控整车实时上传GPS数据和车载温度数据；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9、打包的温度数据上传（到货后5个工作日内录入）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D0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1、达到基准值及以上得100分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2、及时率＜85%，每低0.5个点扣除3分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3、非及时运单超三单以上，每增加一单扣3分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4、取2、3项分值低的作为计分值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F1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5.0%</w:t>
            </w: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70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42FC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AC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CB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客户投诉次数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84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528E0"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3156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013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每发生一笔扣除10分，一个季度内发生3笔直接暂停合同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63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34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C30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BAAB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 w14:paraId="09C16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投诉处理及时率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A1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16C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24</w:t>
            </w:r>
            <w:r>
              <w:rPr>
                <w:rStyle w:val="5"/>
                <w:lang w:val="en-US" w:eastAsia="zh-CN" w:bidi="ar"/>
              </w:rPr>
              <w:t>小时响应，</w:t>
            </w:r>
            <w:r>
              <w:rPr>
                <w:rStyle w:val="4"/>
                <w:rFonts w:eastAsia="宋体"/>
                <w:lang w:val="en-US" w:eastAsia="zh-CN" w:bidi="ar"/>
              </w:rPr>
              <w:t>3</w:t>
            </w:r>
            <w:r>
              <w:rPr>
                <w:rStyle w:val="5"/>
                <w:lang w:val="en-US" w:eastAsia="zh-CN" w:bidi="ar"/>
              </w:rPr>
              <w:t>天内提供有效解决方案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C8A30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7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每发生一次，扣5分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C8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55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736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EFD1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46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单据缺失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5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735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EFF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经确认是由承运商原因导致的单据丢失，包括签收交接单、随货同行单、药检单、冷链交接单等。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B15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每发生一次，扣5分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1D6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BDB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F21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CF4C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vAlign w:val="center"/>
          </w:tcPr>
          <w:p w14:paraId="54ACF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保温箱回收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39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1D0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保温箱回收率=1-未回收笔数/发运笔数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0AB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发运后，于10个工作日内返还保温箱；</w:t>
            </w: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C0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逾期未返的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保温箱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，每一个扣5分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9B6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A5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852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04B7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A8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托运接受程度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D6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86E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托运接受程度=1-拒运笔数/发运笔数</w:t>
            </w: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66A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21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每发生一次，扣10分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E0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CFE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A0E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36D1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86A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紧急情况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ADB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248B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051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A5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视情节进行加分</w:t>
            </w:r>
          </w:p>
        </w:tc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63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2A6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05D08077">
      <w:pPr>
        <w:rPr>
          <w:rFonts w:hint="eastAsia"/>
          <w:lang w:val="en-US" w:eastAsia="zh-CN"/>
        </w:rPr>
      </w:pPr>
    </w:p>
    <w:p w14:paraId="05B1104A">
      <w:pPr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90分以上为达标，90分以下的发出书面整改，并出具整改报告。连续三次整改不达标的则终止该标段合作。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13822"/>
    <w:rsid w:val="23D13822"/>
    <w:rsid w:val="28985CFF"/>
    <w:rsid w:val="2F5C5FEA"/>
    <w:rsid w:val="6CDE55CC"/>
    <w:rsid w:val="766C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1437</Words>
  <Characters>1594</Characters>
  <Lines>0</Lines>
  <Paragraphs>0</Paragraphs>
  <TotalTime>15</TotalTime>
  <ScaleCrop>false</ScaleCrop>
  <LinksUpToDate>false</LinksUpToDate>
  <CharactersWithSpaces>1597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2025-04-20T11:46:00Z</dcterms:created>
  <dc:creator>缪祥蓉</dc:creator>
  <cp:lastModifiedBy>周明召</cp:lastModifiedBy>
  <dcterms:modified xsi:type="dcterms:W3CDTF">2025-05-09T08:44:32Z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4EE3ADB38DAE4A1CAB383B0021ED8995_11</vt:lpwstr>
  </property>
  <property fmtid="{D5CDD505-2E9C-101B-9397-08002B2CF9AE}" pid="4" name="KSOTemplateDocerSaveRecord">
    <vt:lpwstr>eyJoZGlkIjoiZjc1NjI0MmY5MjQ5MTY5NGRjNmIzZDA2MzBhZDZhMTUiLCJ1c2VySWQiOiIzNTI3ODQ2MTUifQ==</vt:lpwstr>
  </property>
</Properties>
</file>