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F5D5D"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上药控股云南有限公司</w:t>
      </w:r>
    </w:p>
    <w:p w14:paraId="4859BD73">
      <w:pPr>
        <w:pStyle w:val="2"/>
        <w:jc w:val="center"/>
      </w:pPr>
      <w:r>
        <w:rPr>
          <w:rFonts w:hint="eastAsia"/>
          <w:lang w:val="en-US" w:eastAsia="zh-CN"/>
        </w:rPr>
        <w:t>委托运输服务邀标</w:t>
      </w:r>
      <w:r>
        <w:t>评分表</w:t>
      </w:r>
    </w:p>
    <w:p w14:paraId="484B5A7D">
      <w:pPr>
        <w:pStyle w:val="16"/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55"/>
        <w:gridCol w:w="5628"/>
        <w:gridCol w:w="864"/>
        <w:gridCol w:w="1219"/>
      </w:tblGrid>
      <w:tr w14:paraId="58FFD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5333304">
            <w:pPr>
              <w:pStyle w:val="1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评分项目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8BF6B63">
            <w:pPr>
              <w:pStyle w:val="1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评分细则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6E2FE81">
            <w:pPr>
              <w:pStyle w:val="1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分值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9B5B786">
            <w:pPr>
              <w:pStyle w:val="1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得分</w:t>
            </w:r>
          </w:p>
        </w:tc>
      </w:tr>
      <w:tr w14:paraId="45DD7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E15429D">
            <w:pPr>
              <w:pStyle w:val="16"/>
            </w:pPr>
            <w:r>
              <w:t>商务部分 - 公司资质（20 分）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309D0D0">
            <w:pPr>
              <w:pStyle w:val="16"/>
            </w:pPr>
            <w:r>
              <w:t>营业执照、资质证书等相关证明文件齐全，复印件加盖公章，资质证书与药品运输业务高度相关，符合行业规范要求，得 15 - 20 分；文件基本齐全，但部分资质相关性稍弱，得 8 - 14 分；文件不齐全或存在明显瑕疵，得 0 - 7 分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A4CE632">
            <w:pPr>
              <w:pStyle w:val="16"/>
            </w:pPr>
            <w:r>
              <w:t>20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A8DC93D">
            <w:pPr>
              <w:pStyle w:val="16"/>
            </w:pPr>
          </w:p>
        </w:tc>
      </w:tr>
      <w:tr w14:paraId="74772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BB2194C">
            <w:pPr>
              <w:pStyle w:val="16"/>
            </w:pPr>
            <w:r>
              <w:t>商务部分 - 业绩情况（25 分）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42F985B">
            <w:pPr>
              <w:pStyle w:val="16"/>
            </w:pPr>
            <w:r>
              <w:t>近三年药品运输业绩丰富，涵盖多种药品类型和运输线路，合作单位信誉良好，合同复印件等证明材料完整，得 18 - 25 分；业绩数量和类型一般，证明材料基本完整，得 10 - 17 分；业绩较少或证明材料缺失较多，得 0 - 9 分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62C70F2">
            <w:pPr>
              <w:pStyle w:val="16"/>
            </w:pPr>
            <w:r>
              <w:t>25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C25C17B">
            <w:pPr>
              <w:pStyle w:val="16"/>
            </w:pPr>
          </w:p>
        </w:tc>
      </w:tr>
      <w:tr w14:paraId="6A726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E5B79A5">
            <w:pPr>
              <w:pStyle w:val="16"/>
            </w:pPr>
            <w:r>
              <w:t>商务部分 - 运输报价（20 分）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DCE2233">
            <w:pPr>
              <w:pStyle w:val="16"/>
            </w:pPr>
            <w:r>
              <w:t>运输服务报价单清晰明确，不同线路、药品类型的运输单价及计费方式合理，具有市场竞争力，得 14 - 20 分；报价单基本完整，但单价或计费方式存在部分不合理之处，得 8 - 13 分；报价不清晰或缺乏合理性，得 0 - 7 分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28DAAD9">
            <w:pPr>
              <w:pStyle w:val="16"/>
            </w:pPr>
            <w:r>
              <w:t>20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1EA8402">
            <w:pPr>
              <w:pStyle w:val="16"/>
            </w:pPr>
          </w:p>
        </w:tc>
      </w:tr>
      <w:tr w14:paraId="6A161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00931E7">
            <w:pPr>
              <w:pStyle w:val="16"/>
            </w:pPr>
            <w:r>
              <w:t>技术部分 - 运输方案（20 分）</w:t>
            </w:r>
            <w:bookmarkStart w:id="0" w:name="_GoBack"/>
            <w:bookmarkEnd w:id="0"/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0DB74A1">
            <w:pPr>
              <w:pStyle w:val="16"/>
            </w:pPr>
            <w:r>
              <w:t>运输车辆配置合理，能充分满足药品运输需求，人员安排专业，运输流程详细、规范，时效保障措施有效，得 14 - 20 分；方案基本可行，但部分环节存在不足，得 8 - 13 分；方案存在明显缺陷，难以保障运输任务顺利完成，得 0 - 7 分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38D7EB8">
            <w:pPr>
              <w:pStyle w:val="16"/>
            </w:pPr>
            <w:r>
              <w:t>20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C471CFA">
            <w:pPr>
              <w:pStyle w:val="16"/>
            </w:pPr>
          </w:p>
        </w:tc>
      </w:tr>
      <w:tr w14:paraId="721A3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F0FC822">
            <w:pPr>
              <w:pStyle w:val="16"/>
              <w:rPr>
                <w:rFonts w:hint="eastAsia" w:eastAsia="等线"/>
                <w:lang w:val="en-US" w:eastAsia="zh-CN"/>
              </w:rPr>
            </w:pPr>
            <w:r>
              <w:t>技术部分</w:t>
            </w:r>
            <w:r>
              <w:rPr>
                <w:rFonts w:hint="eastAsia"/>
                <w:lang w:val="en-US" w:eastAsia="zh-CN"/>
              </w:rPr>
              <w:t>-冷链运输</w:t>
            </w:r>
            <w:r>
              <w:t>（</w:t>
            </w:r>
            <w:r>
              <w:rPr>
                <w:rFonts w:hint="eastAsia"/>
                <w:lang w:val="en-US" w:eastAsia="zh-CN"/>
              </w:rPr>
              <w:t>5</w:t>
            </w:r>
            <w:r>
              <w:t xml:space="preserve"> 分）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69AD472">
            <w:pPr>
              <w:pStyle w:val="16"/>
            </w:pPr>
            <w:r>
              <w:t xml:space="preserve">冷藏运输温度控制方案科学、精准，应急预案完善，针对各类突发情况的处理流程清晰、责任明确，得 </w:t>
            </w:r>
            <w:r>
              <w:rPr>
                <w:rFonts w:hint="eastAsia"/>
                <w:lang w:val="en-US" w:eastAsia="zh-CN"/>
              </w:rPr>
              <w:t>4</w:t>
            </w:r>
            <w:r>
              <w:t xml:space="preserve"> - </w:t>
            </w:r>
            <w:r>
              <w:rPr>
                <w:rFonts w:hint="eastAsia"/>
                <w:lang w:val="en-US" w:eastAsia="zh-CN"/>
              </w:rPr>
              <w:t>5</w:t>
            </w:r>
            <w:r>
              <w:t xml:space="preserve">分；方案基本满足要求，但存在一些细节问题，得 </w:t>
            </w:r>
            <w:r>
              <w:rPr>
                <w:rFonts w:hint="eastAsia"/>
                <w:lang w:val="en-US" w:eastAsia="zh-CN"/>
              </w:rPr>
              <w:t>2</w:t>
            </w:r>
            <w:r>
              <w:t xml:space="preserve"> - 3 分；方案不完善，无法有效保障药品质量安全，得 0 - </w:t>
            </w:r>
            <w:r>
              <w:rPr>
                <w:rFonts w:hint="eastAsia"/>
                <w:lang w:val="en-US" w:eastAsia="zh-CN"/>
              </w:rPr>
              <w:t>1</w:t>
            </w:r>
            <w:r>
              <w:t xml:space="preserve"> 分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F1251D7">
            <w:pPr>
              <w:pStyle w:val="16"/>
              <w:rPr>
                <w:rFonts w:hint="eastAsia" w:eastAsia="等线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2C319ED">
            <w:pPr>
              <w:pStyle w:val="16"/>
            </w:pPr>
          </w:p>
        </w:tc>
      </w:tr>
      <w:tr w14:paraId="30F1D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E72F43F">
            <w:pPr>
              <w:pStyle w:val="16"/>
            </w:pPr>
            <w:r>
              <w:t>技术部分 - 信息化管理方案（</w:t>
            </w:r>
            <w:r>
              <w:rPr>
                <w:rFonts w:hint="eastAsia"/>
                <w:lang w:val="en-US" w:eastAsia="zh-CN"/>
              </w:rPr>
              <w:t>10</w:t>
            </w:r>
            <w:r>
              <w:t xml:space="preserve"> 分）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87E7623">
            <w:pPr>
              <w:pStyle w:val="16"/>
            </w:pPr>
            <w:r>
              <w:t xml:space="preserve">信息化管理系统功能全面，涵盖订单、车辆监控及数据统计分析等关键功能，与招标方数据对接方式灵活、可靠，得 </w:t>
            </w:r>
            <w:r>
              <w:rPr>
                <w:rFonts w:hint="eastAsia"/>
                <w:lang w:val="en-US" w:eastAsia="zh-CN"/>
              </w:rPr>
              <w:t>8</w:t>
            </w:r>
            <w:r>
              <w:t xml:space="preserve"> - </w:t>
            </w:r>
            <w:r>
              <w:rPr>
                <w:rFonts w:hint="eastAsia"/>
                <w:lang w:val="en-US" w:eastAsia="zh-CN"/>
              </w:rPr>
              <w:t>10</w:t>
            </w:r>
            <w:r>
              <w:t xml:space="preserve">分；系统功能基本满足需求，但对接方式存在一定局限性，得 </w:t>
            </w:r>
            <w:r>
              <w:rPr>
                <w:rFonts w:hint="eastAsia"/>
                <w:lang w:val="en-US" w:eastAsia="zh-CN"/>
              </w:rPr>
              <w:t>4</w:t>
            </w:r>
            <w:r>
              <w:t xml:space="preserve"> - </w:t>
            </w:r>
            <w:r>
              <w:rPr>
                <w:rFonts w:hint="eastAsia"/>
                <w:lang w:val="en-US" w:eastAsia="zh-CN"/>
              </w:rPr>
              <w:t>7</w:t>
            </w:r>
            <w:r>
              <w:t xml:space="preserve">分；系统功能不完善或对接方式不可行，得 0 - </w:t>
            </w:r>
            <w:r>
              <w:rPr>
                <w:rFonts w:hint="eastAsia"/>
                <w:lang w:val="en-US" w:eastAsia="zh-CN"/>
              </w:rPr>
              <w:t>3</w:t>
            </w:r>
            <w:r>
              <w:t xml:space="preserve"> 分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B9DAD69">
            <w:pPr>
              <w:pStyle w:val="16"/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4CFC57D">
            <w:pPr>
              <w:pStyle w:val="16"/>
            </w:pPr>
          </w:p>
        </w:tc>
      </w:tr>
      <w:tr w14:paraId="0B66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8E23597">
            <w:pPr>
              <w:pStyle w:val="16"/>
            </w:pPr>
            <w:r>
              <w:t>总分</w:t>
            </w:r>
          </w:p>
        </w:tc>
        <w:tc>
          <w:tcPr>
            <w:tcW w:w="5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0FEA6B7">
            <w:pPr>
              <w:pStyle w:val="16"/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0E5B800">
            <w:pPr>
              <w:pStyle w:val="16"/>
            </w:pPr>
            <w:r>
              <w:t>1</w:t>
            </w:r>
            <w:r>
              <w:rPr>
                <w:rFonts w:hint="eastAsia"/>
                <w:lang w:val="en-US" w:eastAsia="zh-CN"/>
              </w:rPr>
              <w:t>0</w:t>
            </w:r>
            <w:r>
              <w:t>0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98D8A92">
            <w:pPr>
              <w:pStyle w:val="16"/>
            </w:pPr>
          </w:p>
        </w:tc>
      </w:tr>
    </w:tbl>
    <w:p w14:paraId="38CF95ED">
      <w:pPr>
        <w:pStyle w:val="16"/>
      </w:pP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189664AC"/>
    <w:rsid w:val="1FB23330"/>
    <w:rsid w:val="39E76710"/>
    <w:rsid w:val="72751362"/>
    <w:rsid w:val="791E10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719</Words>
  <Characters>745</Characters>
  <TotalTime>1</TotalTime>
  <ScaleCrop>false</ScaleCrop>
  <LinksUpToDate>false</LinksUpToDate>
  <CharactersWithSpaces>832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2025-05-07T03:41:00Z</dcterms:created>
  <dc:creator>Un-named</dc:creator>
  <cp:lastModifiedBy>周明召</cp:lastModifiedBy>
  <dcterms:modified xsi:type="dcterms:W3CDTF">2025-05-09T09:16:39Z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eyJoZGlkIjoiZjc1NjI0MmY5MjQ5MTY5NGRjNmIzZDA2MzBhZDZhMTUiLCJ1c2VySWQiOiIzNTI3ODQ2MTUifQ==</vt:lpwstr>
  </property>
  <property fmtid="{D5CDD505-2E9C-101B-9397-08002B2CF9AE}" pid="3" name="KSOProductBuildVer">
    <vt:lpwstr>2052-12.1.0.20784</vt:lpwstr>
  </property>
  <property fmtid="{D5CDD505-2E9C-101B-9397-08002B2CF9AE}" pid="4" name="ICV">
    <vt:lpwstr>B68929B35C3E4C73806A9E7B0C329D5E_12</vt:lpwstr>
  </property>
</Properties>
</file>