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rFonts w:ascii="宋体" w:hAnsi="宋体" w:eastAsia="宋体"/>
          <w:color w:val="auto"/>
        </w:rPr>
      </w:pPr>
      <w:bookmarkStart w:id="0" w:name="_Toc7762"/>
      <w:r>
        <w:rPr>
          <w:rFonts w:hint="eastAsia" w:ascii="宋体" w:hAnsi="宋体" w:eastAsia="宋体" w:cs="宋体"/>
          <w:color w:val="FF0000"/>
          <w:szCs w:val="21"/>
        </w:rPr>
        <w:t>★</w:t>
      </w:r>
      <w:r>
        <w:rPr>
          <w:rFonts w:hint="eastAsia" w:ascii="宋体" w:hAnsi="宋体" w:eastAsia="宋体"/>
          <w:color w:val="auto"/>
        </w:rPr>
        <w:t xml:space="preserve">第四章 </w:t>
      </w:r>
      <w:bookmarkStart w:id="128" w:name="_GoBack"/>
      <w:r>
        <w:rPr>
          <w:rFonts w:hint="eastAsia" w:ascii="宋体" w:hAnsi="宋体" w:eastAsia="宋体"/>
          <w:color w:val="auto"/>
        </w:rPr>
        <w:t xml:space="preserve"> </w:t>
      </w:r>
      <w:bookmarkStart w:id="1" w:name="OLE_LINK35"/>
      <w:r>
        <w:rPr>
          <w:rFonts w:hint="eastAsia" w:ascii="宋体" w:hAnsi="宋体" w:eastAsia="宋体"/>
          <w:color w:val="auto"/>
        </w:rPr>
        <w:t>招标人要求</w:t>
      </w:r>
      <w:bookmarkEnd w:id="0"/>
      <w:bookmarkEnd w:id="128"/>
    </w:p>
    <w:p>
      <w:pPr>
        <w:spacing w:line="400" w:lineRule="exact"/>
        <w:ind w:firstLine="422" w:firstLineChars="200"/>
        <w:outlineLvl w:val="1"/>
        <w:rPr>
          <w:rFonts w:ascii="宋体" w:hAnsi="宋体" w:eastAsia="宋体" w:cs="Arial"/>
          <w:b/>
          <w:bCs/>
          <w:color w:val="auto"/>
          <w:sz w:val="21"/>
          <w:szCs w:val="21"/>
        </w:rPr>
      </w:pPr>
      <w:bookmarkStart w:id="2" w:name="_Toc1957"/>
      <w:bookmarkStart w:id="3" w:name="_Toc13727"/>
      <w:bookmarkStart w:id="4" w:name="_Toc12799"/>
      <w:bookmarkStart w:id="5" w:name="_Toc14211"/>
      <w:bookmarkStart w:id="6" w:name="_Toc11276"/>
      <w:bookmarkStart w:id="7" w:name="_Toc5798"/>
      <w:bookmarkStart w:id="8" w:name="_Toc23687"/>
      <w:bookmarkStart w:id="9" w:name="_Toc12958"/>
      <w:bookmarkStart w:id="10" w:name="_Toc14759"/>
      <w:bookmarkStart w:id="11" w:name="_Toc13537"/>
      <w:bookmarkStart w:id="12" w:name="_Toc25246"/>
      <w:bookmarkStart w:id="13" w:name="_Toc45009714"/>
      <w:bookmarkStart w:id="14" w:name="_Toc20470"/>
      <w:r>
        <w:rPr>
          <w:rFonts w:hint="eastAsia" w:ascii="宋体" w:hAnsi="宋体" w:eastAsia="宋体" w:cs="Arial"/>
          <w:b/>
          <w:bCs/>
          <w:color w:val="auto"/>
          <w:sz w:val="21"/>
          <w:szCs w:val="21"/>
          <w:lang w:val="zh-CN"/>
        </w:rPr>
        <w:t>一、服务内容</w:t>
      </w:r>
      <w:bookmarkEnd w:id="2"/>
      <w:bookmarkEnd w:id="3"/>
      <w:bookmarkEnd w:id="4"/>
      <w:bookmarkEnd w:id="5"/>
      <w:bookmarkEnd w:id="6"/>
      <w:bookmarkEnd w:id="7"/>
      <w:bookmarkEnd w:id="8"/>
      <w:bookmarkEnd w:id="9"/>
      <w:bookmarkEnd w:id="10"/>
      <w:bookmarkEnd w:id="11"/>
      <w:bookmarkEnd w:id="12"/>
      <w:bookmarkEnd w:id="13"/>
      <w:bookmarkEnd w:id="14"/>
    </w:p>
    <w:p>
      <w:pPr>
        <w:spacing w:line="440" w:lineRule="exact"/>
        <w:ind w:firstLine="420" w:firstLineChars="200"/>
        <w:rPr>
          <w:rFonts w:hint="eastAsia" w:ascii="宋体" w:hAnsi="宋体" w:eastAsia="宋体"/>
          <w:color w:val="auto"/>
          <w:szCs w:val="21"/>
          <w:lang w:val="en-US" w:eastAsia="zh-CN"/>
        </w:rPr>
      </w:pPr>
      <w:bookmarkStart w:id="15" w:name="_Toc3877"/>
      <w:bookmarkStart w:id="16" w:name="_Toc45009715"/>
      <w:bookmarkStart w:id="17" w:name="_Toc24675"/>
      <w:r>
        <w:rPr>
          <w:rFonts w:hint="eastAsia" w:ascii="宋体" w:hAnsi="宋体" w:eastAsia="宋体"/>
          <w:color w:val="auto"/>
          <w:szCs w:val="21"/>
          <w:lang w:val="en-US" w:eastAsia="zh-CN"/>
        </w:rPr>
        <w:t>按照招标人要求，将全部货物从天津港运至伊拉克乌木卡萨港北港并完成卸货。物流服务包括但不限于港口地面操作服务（港口接卸货、装箱加固、绑扎加固、港口堆存、外观验收、数量清点、检重检尺、搬移、防潮防雨苫盖、货物件数拆解或绑扎合并、协助唛头整改、短倒、港口装船）、出口口岸通关服务（报检、海关编码的归类、报关单据制作、报关）、租船订舱海运、代理购买保险、目的港口卸货、资料交接、单据审核、货损理赔等全程服务。</w:t>
      </w:r>
    </w:p>
    <w:p>
      <w:pPr>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本批货物预计分多票报关，清关文件需要根据清关要求合单或者分单。目前货物还未出厂，箱单为预测箱单，件重尺的数据及报关金额以最终出厂数据为准。关于货物是否需要入舱，具体要求见箱单备注。钻具易损坏，装船时要避免挤压。营房叠装时，需做好垫木防护，避免压坏房顶。</w:t>
      </w:r>
    </w:p>
    <w:p>
      <w:pPr>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 xml:space="preserve">    运输周期要求：中标人应在货物具备集港交货条件之日（具体集港交货日期以国际钻采物资供应分公司进出口贸易部的通知为准）起在投标人承诺日期内将全部货物送达伊拉克乌木卡萨港北港并完成卸货。</w:t>
      </w:r>
    </w:p>
    <w:p>
      <w:pPr>
        <w:spacing w:line="400" w:lineRule="exact"/>
        <w:ind w:firstLine="422" w:firstLineChars="200"/>
        <w:outlineLvl w:val="1"/>
        <w:rPr>
          <w:rFonts w:hint="eastAsia" w:ascii="宋体" w:hAnsi="宋体" w:eastAsia="宋体" w:cs="Arial"/>
          <w:b/>
          <w:bCs/>
          <w:color w:val="auto"/>
          <w:sz w:val="21"/>
          <w:szCs w:val="21"/>
          <w:lang w:val="zh-CN"/>
        </w:rPr>
      </w:pPr>
      <w:bookmarkStart w:id="18" w:name="_Toc10065"/>
      <w:bookmarkStart w:id="19" w:name="_Toc32619"/>
      <w:bookmarkStart w:id="20" w:name="_Toc31004"/>
      <w:bookmarkStart w:id="21" w:name="_Toc17460"/>
      <w:bookmarkStart w:id="22" w:name="_Toc12705"/>
      <w:bookmarkStart w:id="23" w:name="_Toc23301"/>
      <w:bookmarkStart w:id="24" w:name="_Toc7328"/>
      <w:bookmarkStart w:id="25" w:name="_Toc32323"/>
      <w:bookmarkStart w:id="26" w:name="_Toc32"/>
      <w:bookmarkStart w:id="27" w:name="_Toc21402"/>
      <w:r>
        <w:rPr>
          <w:rFonts w:hint="eastAsia" w:ascii="宋体" w:hAnsi="宋体" w:eastAsia="宋体" w:cs="Arial"/>
          <w:b/>
          <w:bCs/>
          <w:color w:val="auto"/>
          <w:sz w:val="21"/>
          <w:szCs w:val="21"/>
          <w:lang w:val="zh-CN"/>
        </w:rPr>
        <w:t>二、</w:t>
      </w:r>
      <w:r>
        <w:rPr>
          <w:rFonts w:hint="eastAsia" w:ascii="宋体" w:hAnsi="宋体" w:eastAsia="宋体" w:cs="Arial"/>
          <w:b/>
          <w:bCs/>
          <w:color w:val="auto"/>
          <w:sz w:val="21"/>
          <w:szCs w:val="21"/>
          <w:lang w:val="en-US" w:eastAsia="zh-CN"/>
        </w:rPr>
        <w:t>最高限价及</w:t>
      </w:r>
      <w:r>
        <w:rPr>
          <w:rFonts w:hint="eastAsia" w:ascii="宋体" w:hAnsi="宋体" w:eastAsia="宋体" w:cs="Arial"/>
          <w:b/>
          <w:bCs/>
          <w:color w:val="auto"/>
          <w:sz w:val="21"/>
          <w:szCs w:val="21"/>
          <w:lang w:val="zh-CN"/>
        </w:rPr>
        <w:t>报价要求</w:t>
      </w:r>
      <w:bookmarkEnd w:id="15"/>
      <w:bookmarkEnd w:id="16"/>
      <w:bookmarkEnd w:id="17"/>
      <w:bookmarkEnd w:id="18"/>
      <w:bookmarkEnd w:id="19"/>
      <w:bookmarkEnd w:id="20"/>
      <w:bookmarkEnd w:id="21"/>
      <w:bookmarkEnd w:id="22"/>
      <w:bookmarkEnd w:id="23"/>
      <w:bookmarkEnd w:id="24"/>
      <w:bookmarkEnd w:id="25"/>
      <w:bookmarkEnd w:id="26"/>
      <w:bookmarkEnd w:id="27"/>
    </w:p>
    <w:p>
      <w:pPr>
        <w:spacing w:line="400" w:lineRule="exact"/>
        <w:ind w:firstLine="420" w:firstLineChars="200"/>
        <w:outlineLvl w:val="1"/>
        <w:rPr>
          <w:rFonts w:hint="eastAsia" w:ascii="宋体" w:hAnsi="宋体" w:eastAsia="宋体" w:cs="Arial"/>
          <w:b w:val="0"/>
          <w:bCs w:val="0"/>
          <w:color w:val="auto"/>
          <w:sz w:val="21"/>
          <w:szCs w:val="21"/>
          <w:lang w:val="en-US" w:eastAsia="zh-CN"/>
        </w:rPr>
      </w:pPr>
      <w:bookmarkStart w:id="28" w:name="_Toc8957"/>
      <w:bookmarkStart w:id="29" w:name="_Toc3069"/>
      <w:r>
        <w:rPr>
          <w:rFonts w:hint="eastAsia" w:ascii="宋体" w:hAnsi="宋体" w:eastAsia="宋体" w:cs="Arial"/>
          <w:b w:val="0"/>
          <w:bCs w:val="0"/>
          <w:color w:val="auto"/>
          <w:sz w:val="21"/>
          <w:szCs w:val="21"/>
          <w:lang w:val="en-US" w:eastAsia="zh-CN"/>
        </w:rPr>
        <w:t>（一）最高限价</w:t>
      </w:r>
      <w:bookmarkEnd w:id="28"/>
      <w:bookmarkEnd w:id="2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Arial"/>
          <w:b w:val="0"/>
          <w:bCs w:val="0"/>
          <w:color w:val="auto"/>
          <w:sz w:val="21"/>
          <w:szCs w:val="21"/>
          <w:lang w:val="en-US" w:eastAsia="zh-CN"/>
        </w:rPr>
      </w:pPr>
      <w:bookmarkStart w:id="30" w:name="_Toc19307"/>
      <w:r>
        <w:rPr>
          <w:rFonts w:hint="eastAsia" w:ascii="宋体" w:hAnsi="宋体" w:eastAsia="宋体" w:cs="Arial"/>
          <w:b w:val="0"/>
          <w:bCs w:val="0"/>
          <w:color w:val="auto"/>
          <w:sz w:val="21"/>
          <w:szCs w:val="21"/>
          <w:lang w:val="en-US" w:eastAsia="zh-CN"/>
        </w:rPr>
        <w:t>本项目不设置最高投标限价。</w:t>
      </w:r>
      <w:bookmarkEnd w:id="30"/>
    </w:p>
    <w:p>
      <w:pPr>
        <w:spacing w:line="400" w:lineRule="exact"/>
        <w:ind w:firstLine="420" w:firstLineChars="200"/>
        <w:outlineLvl w:val="1"/>
        <w:rPr>
          <w:rFonts w:hint="default" w:ascii="宋体" w:hAnsi="宋体" w:cs="宋体"/>
          <w:b w:val="0"/>
          <w:bCs w:val="0"/>
          <w:color w:val="000000"/>
          <w:kern w:val="0"/>
          <w:szCs w:val="21"/>
          <w:lang w:val="en-US" w:eastAsia="zh-CN"/>
        </w:rPr>
      </w:pPr>
      <w:bookmarkStart w:id="31" w:name="_Toc11393"/>
      <w:bookmarkStart w:id="32" w:name="_Toc20225"/>
      <w:r>
        <w:rPr>
          <w:rFonts w:hint="eastAsia" w:ascii="宋体" w:hAnsi="宋体" w:eastAsia="宋体" w:cs="Arial"/>
          <w:b w:val="0"/>
          <w:bCs w:val="0"/>
          <w:color w:val="auto"/>
          <w:sz w:val="21"/>
          <w:szCs w:val="21"/>
          <w:lang w:val="en-US" w:eastAsia="zh-CN"/>
        </w:rPr>
        <w:t>（二）</w:t>
      </w:r>
      <w:bookmarkStart w:id="33" w:name="_Toc17325"/>
      <w:bookmarkStart w:id="34" w:name="_Toc3702"/>
      <w:bookmarkStart w:id="35" w:name="_Toc14630"/>
      <w:bookmarkStart w:id="36" w:name="_Toc11191"/>
      <w:bookmarkStart w:id="37" w:name="_Toc2360"/>
      <w:bookmarkStart w:id="38" w:name="_Toc8524"/>
      <w:bookmarkStart w:id="39" w:name="_Toc45009716"/>
      <w:r>
        <w:rPr>
          <w:rFonts w:hint="eastAsia" w:ascii="宋体" w:hAnsi="宋体" w:eastAsia="宋体" w:cs="Arial"/>
          <w:b w:val="0"/>
          <w:bCs w:val="0"/>
          <w:color w:val="auto"/>
          <w:sz w:val="21"/>
          <w:szCs w:val="21"/>
          <w:lang w:val="en-US" w:eastAsia="zh-CN"/>
        </w:rPr>
        <w:t>报价要求</w:t>
      </w:r>
      <w:bookmarkEnd w:id="31"/>
      <w:bookmarkEnd w:id="32"/>
    </w:p>
    <w:p>
      <w:pPr>
        <w:widowControl/>
        <w:spacing w:line="240" w:lineRule="atLeast"/>
        <w:ind w:firstLine="422"/>
        <w:jc w:val="center"/>
        <w:rPr>
          <w:rFonts w:hint="eastAsia" w:ascii="宋体" w:hAnsi="宋体" w:cs="宋体"/>
          <w:b/>
          <w:bCs/>
          <w:color w:val="000000"/>
          <w:kern w:val="0"/>
          <w:szCs w:val="21"/>
          <w:lang w:val="en-US" w:eastAsia="zh-CN"/>
        </w:rPr>
      </w:pPr>
    </w:p>
    <w:p>
      <w:pPr>
        <w:widowControl/>
        <w:spacing w:line="240" w:lineRule="atLeast"/>
        <w:ind w:firstLine="422"/>
        <w:jc w:val="left"/>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A标段报价表：</w:t>
      </w:r>
    </w:p>
    <w:p>
      <w:pPr>
        <w:spacing w:line="240" w:lineRule="atLeast"/>
        <w:jc w:val="left"/>
        <w:rPr>
          <w:rFonts w:hint="eastAsia" w:ascii="宋体" w:hAnsi="宋体" w:cs="宋体"/>
          <w:b/>
          <w:bCs/>
          <w:color w:val="000000"/>
          <w:kern w:val="0"/>
        </w:rPr>
      </w:pPr>
    </w:p>
    <w:p>
      <w:pPr>
        <w:spacing w:line="240" w:lineRule="atLeast"/>
        <w:jc w:val="center"/>
        <w:rPr>
          <w:rFonts w:hint="eastAsia" w:ascii="宋体" w:hAnsi="宋体" w:cs="宋体"/>
          <w:b w:val="0"/>
          <w:bCs w:val="0"/>
          <w:color w:val="000000"/>
          <w:kern w:val="0"/>
          <w:szCs w:val="21"/>
        </w:rPr>
      </w:pPr>
      <w:r>
        <w:rPr>
          <w:rFonts w:hint="eastAsia" w:ascii="宋体" w:hAnsi="宋体" w:cs="宋体"/>
          <w:b w:val="0"/>
          <w:bCs w:val="0"/>
          <w:color w:val="000000"/>
          <w:kern w:val="0"/>
        </w:rPr>
        <w:t>天津港－伊拉克乌木卡萨港北港（港到港）报价表（美元含税价）</w:t>
      </w:r>
    </w:p>
    <w:tbl>
      <w:tblPr>
        <w:tblStyle w:val="4"/>
        <w:tblpPr w:leftFromText="180" w:rightFromText="180" w:vertAnchor="text" w:horzAnchor="page" w:tblpX="1023" w:tblpY="294"/>
        <w:tblOverlap w:val="never"/>
        <w:tblW w:w="10527" w:type="dxa"/>
        <w:tblInd w:w="0" w:type="dxa"/>
        <w:tblLayout w:type="fixed"/>
        <w:tblCellMar>
          <w:top w:w="0" w:type="dxa"/>
          <w:left w:w="108" w:type="dxa"/>
          <w:bottom w:w="0" w:type="dxa"/>
          <w:right w:w="108" w:type="dxa"/>
        </w:tblCellMar>
      </w:tblPr>
      <w:tblGrid>
        <w:gridCol w:w="796"/>
        <w:gridCol w:w="3790"/>
        <w:gridCol w:w="1615"/>
        <w:gridCol w:w="1499"/>
        <w:gridCol w:w="1392"/>
        <w:gridCol w:w="1435"/>
      </w:tblGrid>
      <w:tr>
        <w:tblPrEx>
          <w:tblCellMar>
            <w:top w:w="0" w:type="dxa"/>
            <w:left w:w="108" w:type="dxa"/>
            <w:bottom w:w="0" w:type="dxa"/>
            <w:right w:w="108" w:type="dxa"/>
          </w:tblCellMar>
        </w:tblPrEx>
        <w:trPr>
          <w:trHeight w:val="432"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序号</w:t>
            </w:r>
          </w:p>
        </w:tc>
        <w:tc>
          <w:tcPr>
            <w:tcW w:w="37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费用名称</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数量</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单价</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（美元）</w:t>
            </w: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总价</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(美元)</w:t>
            </w:r>
          </w:p>
        </w:tc>
        <w:tc>
          <w:tcPr>
            <w:tcW w:w="14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1324"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7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港口杂费（包括报关费、文件费、设备交接单费、舱单费、安保费、加固费、港杂费、THC、CHC、VGM过磅称重费、装卸费、仓储费、短倒费等费用）（美元）</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sz w:val="20"/>
                <w:szCs w:val="20"/>
              </w:rPr>
              <w:t>12880计费吨</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3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76"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7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海运费（美元）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sz w:val="20"/>
                <w:szCs w:val="20"/>
              </w:rPr>
              <w:t>12880计费吨</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7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全程保险费（美元）(包含海洋货物运输一切险）</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10800000美元</w:t>
            </w: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1.1X费率</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单价栏补填费率</w:t>
            </w: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7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COI证书（美元）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1票</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1.06X费率</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单价栏补填费率</w:t>
            </w: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7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宋体" w:hAnsi="宋体" w:cs="宋体"/>
                <w:kern w:val="0"/>
                <w:sz w:val="18"/>
                <w:szCs w:val="18"/>
              </w:rPr>
            </w:pPr>
            <w:r>
              <w:rPr>
                <w:rFonts w:hint="eastAsia" w:ascii="宋体" w:hAnsi="宋体" w:cs="宋体"/>
                <w:kern w:val="0"/>
                <w:sz w:val="18"/>
                <w:szCs w:val="18"/>
              </w:rPr>
              <w:t>电放提单（</w:t>
            </w:r>
            <w:r>
              <w:rPr>
                <w:rFonts w:hint="eastAsia" w:ascii="宋体" w:hAnsi="宋体" w:cs="宋体"/>
                <w:color w:val="C00000"/>
                <w:kern w:val="0"/>
                <w:sz w:val="18"/>
                <w:szCs w:val="18"/>
              </w:rPr>
              <w:t>不能接受SEAWAY BILL</w:t>
            </w:r>
            <w:r>
              <w:rPr>
                <w:rFonts w:hint="eastAsia" w:ascii="宋体" w:hAnsi="宋体" w:cs="宋体"/>
                <w:kern w:val="0"/>
                <w:sz w:val="18"/>
                <w:szCs w:val="18"/>
              </w:rPr>
              <w:t>）</w:t>
            </w:r>
          </w:p>
        </w:tc>
        <w:tc>
          <w:tcPr>
            <w:tcW w:w="16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1票</w:t>
            </w: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96" w:hRule="atLeast"/>
        </w:trPr>
        <w:tc>
          <w:tcPr>
            <w:tcW w:w="6201" w:type="dxa"/>
            <w:gridSpan w:val="3"/>
            <w:tcBorders>
              <w:top w:val="nil"/>
              <w:left w:val="single" w:color="auto" w:sz="4" w:space="0"/>
              <w:bottom w:val="single" w:color="auto" w:sz="4" w:space="0"/>
              <w:right w:val="single" w:color="auto" w:sz="4" w:space="0"/>
            </w:tcBorders>
            <w:noWrap w:val="0"/>
            <w:vAlign w:val="center"/>
          </w:tcPr>
          <w:p>
            <w:pPr>
              <w:widowControl/>
              <w:jc w:val="center"/>
            </w:pPr>
            <w:r>
              <w:rPr>
                <w:rFonts w:hint="eastAsia"/>
                <w:b/>
                <w:bCs/>
              </w:rPr>
              <w:t>中国天津港</w:t>
            </w:r>
            <w:r>
              <w:rPr>
                <w:rFonts w:hint="eastAsia" w:ascii="宋体" w:hAnsi="宋体" w:cs="宋体"/>
                <w:b/>
                <w:bCs/>
                <w:color w:val="000000"/>
                <w:kern w:val="0"/>
              </w:rPr>
              <w:t>－伊拉克乌木卡萨港北港（港到港）</w:t>
            </w:r>
            <w:r>
              <w:rPr>
                <w:rFonts w:hint="eastAsia"/>
                <w:b/>
                <w:bCs/>
              </w:rPr>
              <w:t>全部物流费用总计（美元）</w:t>
            </w:r>
            <w:r>
              <w:rPr>
                <w:rFonts w:hint="eastAsia" w:ascii="宋体" w:hAnsi="宋体" w:cs="宋体"/>
                <w:kern w:val="0"/>
                <w:sz w:val="20"/>
                <w:szCs w:val="20"/>
              </w:rPr>
              <w:t xml:space="preserve">      </w:t>
            </w:r>
            <w:r>
              <w:rPr>
                <w:rFonts w:hint="eastAsia" w:ascii="宋体" w:hAnsi="宋体" w:cs="宋体"/>
                <w:b/>
                <w:bCs/>
                <w:color w:val="000000"/>
                <w:kern w:val="0"/>
                <w:szCs w:val="21"/>
              </w:rPr>
              <w:t>总价=（1+2+3+4+5）</w:t>
            </w:r>
          </w:p>
        </w:tc>
        <w:tc>
          <w:tcPr>
            <w:tcW w:w="4326"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bl>
    <w:p>
      <w:pPr>
        <w:widowControl/>
        <w:spacing w:line="240" w:lineRule="atLeast"/>
        <w:ind w:firstLine="422"/>
        <w:jc w:val="center"/>
        <w:rPr>
          <w:rFonts w:hint="eastAsia" w:ascii="宋体" w:hAnsi="宋体" w:cs="宋体"/>
          <w:b/>
          <w:bCs/>
          <w:color w:val="000000"/>
          <w:kern w:val="0"/>
          <w:szCs w:val="21"/>
        </w:rPr>
      </w:pPr>
      <w:r>
        <w:rPr>
          <w:rFonts w:hint="eastAsia" w:ascii="宋体" w:hAnsi="宋体" w:cs="宋体"/>
          <w:b/>
          <w:bCs/>
          <w:color w:val="000000"/>
          <w:kern w:val="0"/>
          <w:szCs w:val="21"/>
        </w:rPr>
        <w:t xml:space="preserve">　　　　　　　　                                  </w:t>
      </w:r>
    </w:p>
    <w:p>
      <w:pPr>
        <w:spacing w:line="240" w:lineRule="atLeast"/>
        <w:ind w:firstLine="360"/>
        <w:rPr>
          <w:rFonts w:hint="eastAsia" w:ascii="宋体" w:hAnsi="宋体"/>
          <w:sz w:val="18"/>
          <w:szCs w:val="18"/>
        </w:rPr>
      </w:pPr>
    </w:p>
    <w:p>
      <w:pPr>
        <w:widowControl/>
        <w:spacing w:line="240" w:lineRule="atLeast"/>
        <w:jc w:val="both"/>
        <w:rPr>
          <w:rFonts w:hint="eastAsia" w:ascii="宋体" w:hAnsi="宋体" w:cs="宋体"/>
          <w:b/>
          <w:bCs/>
          <w:color w:val="000000"/>
          <w:kern w:val="0"/>
          <w:szCs w:val="21"/>
        </w:rPr>
      </w:pPr>
      <w:r>
        <w:rPr>
          <w:rFonts w:hint="eastAsia" w:ascii="宋体" w:hAnsi="宋体" w:cs="宋体"/>
          <w:b/>
          <w:bCs/>
          <w:color w:val="000000"/>
          <w:kern w:val="0"/>
          <w:szCs w:val="21"/>
        </w:rPr>
        <w:t xml:space="preserve">　                                  </w:t>
      </w:r>
    </w:p>
    <w:bookmarkEnd w:id="33"/>
    <w:bookmarkEnd w:id="34"/>
    <w:bookmarkEnd w:id="35"/>
    <w:bookmarkEnd w:id="36"/>
    <w:bookmarkEnd w:id="37"/>
    <w:bookmarkEnd w:id="38"/>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bookmarkStart w:id="40" w:name="_Toc15982"/>
      <w:bookmarkStart w:id="41" w:name="_Toc27414"/>
      <w:bookmarkStart w:id="42" w:name="_Toc22204"/>
      <w:bookmarkStart w:id="43" w:name="_Toc2590"/>
      <w:bookmarkStart w:id="44" w:name="_Toc18569"/>
      <w:bookmarkStart w:id="45" w:name="_Toc10688"/>
      <w:bookmarkStart w:id="46" w:name="_Toc12501"/>
      <w:bookmarkStart w:id="47" w:name="_Toc25022"/>
      <w:r>
        <w:rPr>
          <w:rFonts w:hint="eastAsia" w:asciiTheme="minorEastAsia" w:hAnsiTheme="minorEastAsia" w:cstheme="minorEastAsia"/>
          <w:b w:val="0"/>
          <w:bCs/>
          <w:color w:val="auto"/>
          <w:sz w:val="21"/>
          <w:szCs w:val="21"/>
          <w:lang w:val="en-US" w:eastAsia="zh-CN"/>
        </w:rPr>
        <w:t>报价说明:</w:t>
      </w:r>
      <w:bookmarkEnd w:id="40"/>
      <w:bookmarkEnd w:id="41"/>
      <w:bookmarkEnd w:id="42"/>
      <w:bookmarkEnd w:id="43"/>
      <w:bookmarkEnd w:id="44"/>
      <w:bookmarkEnd w:id="45"/>
      <w:bookmarkEnd w:id="46"/>
    </w:p>
    <w:bookmarkEnd w:id="47"/>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bookmarkStart w:id="48" w:name="_Toc31707"/>
      <w:bookmarkStart w:id="49" w:name="_Toc29356"/>
      <w:bookmarkStart w:id="50" w:name="_Toc7164"/>
      <w:bookmarkStart w:id="51" w:name="_Toc30847"/>
      <w:bookmarkStart w:id="52" w:name="_Toc29734"/>
      <w:bookmarkStart w:id="53" w:name="_Toc21548"/>
      <w:bookmarkStart w:id="54" w:name="_Toc10704"/>
      <w:r>
        <w:rPr>
          <w:rFonts w:hint="eastAsia" w:asciiTheme="minorEastAsia" w:hAnsiTheme="minorEastAsia" w:cstheme="minorEastAsia"/>
          <w:b w:val="0"/>
          <w:bCs/>
          <w:color w:val="auto"/>
          <w:sz w:val="21"/>
          <w:szCs w:val="21"/>
          <w:lang w:val="en-US" w:eastAsia="zh-CN"/>
        </w:rPr>
        <w:t>1.除非合同中另有规定，本报价应为完成本次天津港接货－伊拉克乌木卡萨港北港完成卸货所发生的各项费用总和。投标人要综合考虑各种因素，报出所有可能的、合理的、且必要的费用，如后期结算中除计费吨和货物总价值变化引起的报价增加之外的其它非我司因素引起的额外费用，我司将不予以接受，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2.本价格表中单价为所运设备（货物）到伊拉克乌木卡萨港北港的固定不变价格。序号1、2、项单价按照（美元/计费吨）报价，序号3、4项单价栏补填费率。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3.当分项价之和与总价不符时，以分项价为准。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4.全程保险费，在同等条件下建议选择中国石油昆仑保险经纪股份有限公司天津分公司.（联系人：徐浩   手机：13820691459    办公室电话：022-65278792）。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5.所有费用应以美元报价和结算，不接收人民币报价。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6.报价表格式及固定内容不允许私自修改。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7.不接受有不确定附加条件的报价。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8.最终结算依据为打尺报告数量和报关金额。</w:t>
      </w:r>
      <w:bookmarkEnd w:id="48"/>
      <w:bookmarkEnd w:id="49"/>
      <w:bookmarkEnd w:id="50"/>
      <w:bookmarkEnd w:id="51"/>
      <w:bookmarkEnd w:id="52"/>
      <w:bookmarkEnd w:id="53"/>
      <w:bookmarkEnd w:id="54"/>
    </w:p>
    <w:p>
      <w:pPr>
        <w:widowControl/>
        <w:spacing w:line="240" w:lineRule="atLeast"/>
        <w:ind w:firstLine="422"/>
        <w:jc w:val="left"/>
        <w:rPr>
          <w:rFonts w:hint="eastAsia" w:ascii="方正仿宋简体" w:hAnsi="宋体" w:eastAsia="方正仿宋简体"/>
          <w:b/>
          <w:bCs/>
          <w:kern w:val="2"/>
          <w:sz w:val="32"/>
          <w:szCs w:val="32"/>
        </w:rPr>
      </w:pPr>
    </w:p>
    <w:p>
      <w:pPr>
        <w:widowControl/>
        <w:spacing w:line="240" w:lineRule="atLeast"/>
        <w:ind w:firstLine="422"/>
        <w:jc w:val="left"/>
        <w:rPr>
          <w:rFonts w:hint="eastAsia" w:ascii="方正仿宋简体" w:hAnsi="宋体" w:eastAsia="方正仿宋简体"/>
          <w:b/>
          <w:bCs/>
          <w:kern w:val="2"/>
          <w:sz w:val="32"/>
          <w:szCs w:val="32"/>
          <w:lang w:eastAsia="zh-CN"/>
        </w:rPr>
      </w:pPr>
      <w:r>
        <w:rPr>
          <w:rFonts w:hint="eastAsia" w:ascii="方正仿宋简体" w:hAnsi="宋体" w:eastAsia="方正仿宋简体"/>
          <w:b/>
          <w:bCs/>
          <w:kern w:val="2"/>
          <w:sz w:val="32"/>
          <w:szCs w:val="32"/>
        </w:rPr>
        <w:t>B标段报价表</w:t>
      </w:r>
      <w:r>
        <w:rPr>
          <w:rFonts w:hint="eastAsia" w:ascii="方正仿宋简体" w:hAnsi="宋体" w:eastAsia="方正仿宋简体"/>
          <w:b/>
          <w:bCs/>
          <w:kern w:val="2"/>
          <w:sz w:val="32"/>
          <w:szCs w:val="32"/>
          <w:lang w:eastAsia="zh-CN"/>
        </w:rPr>
        <w:t>：</w:t>
      </w:r>
    </w:p>
    <w:p>
      <w:pPr>
        <w:spacing w:line="240" w:lineRule="atLeast"/>
        <w:jc w:val="left"/>
        <w:rPr>
          <w:rFonts w:hint="eastAsia" w:ascii="宋体" w:hAnsi="宋体" w:cs="宋体"/>
          <w:b/>
          <w:bCs/>
          <w:color w:val="000000"/>
          <w:kern w:val="0"/>
        </w:rPr>
      </w:pPr>
    </w:p>
    <w:p>
      <w:pPr>
        <w:spacing w:line="240" w:lineRule="atLeast"/>
        <w:jc w:val="center"/>
        <w:rPr>
          <w:rFonts w:hint="eastAsia" w:ascii="宋体" w:hAnsi="宋体" w:cs="宋体"/>
          <w:b/>
          <w:bCs/>
          <w:color w:val="000000"/>
          <w:kern w:val="0"/>
          <w:szCs w:val="21"/>
        </w:rPr>
      </w:pPr>
      <w:r>
        <w:rPr>
          <w:rFonts w:hint="eastAsia" w:ascii="宋体" w:hAnsi="宋体" w:cs="宋体"/>
          <w:b/>
          <w:bCs/>
          <w:color w:val="000000"/>
          <w:kern w:val="0"/>
        </w:rPr>
        <w:t>天津港－伊拉克乌木卡萨港北港（港到港）报价表（美元含税价）</w:t>
      </w:r>
    </w:p>
    <w:tbl>
      <w:tblPr>
        <w:tblStyle w:val="4"/>
        <w:tblpPr w:leftFromText="180" w:rightFromText="180" w:vertAnchor="text" w:horzAnchor="page" w:tblpX="1023" w:tblpY="294"/>
        <w:tblOverlap w:val="never"/>
        <w:tblW w:w="10527" w:type="dxa"/>
        <w:tblInd w:w="0" w:type="dxa"/>
        <w:tblLayout w:type="fixed"/>
        <w:tblCellMar>
          <w:top w:w="0" w:type="dxa"/>
          <w:left w:w="108" w:type="dxa"/>
          <w:bottom w:w="0" w:type="dxa"/>
          <w:right w:w="108" w:type="dxa"/>
        </w:tblCellMar>
      </w:tblPr>
      <w:tblGrid>
        <w:gridCol w:w="796"/>
        <w:gridCol w:w="3790"/>
        <w:gridCol w:w="1615"/>
        <w:gridCol w:w="1499"/>
        <w:gridCol w:w="1392"/>
        <w:gridCol w:w="1435"/>
      </w:tblGrid>
      <w:tr>
        <w:tblPrEx>
          <w:tblCellMar>
            <w:top w:w="0" w:type="dxa"/>
            <w:left w:w="108" w:type="dxa"/>
            <w:bottom w:w="0" w:type="dxa"/>
            <w:right w:w="108" w:type="dxa"/>
          </w:tblCellMar>
        </w:tblPrEx>
        <w:trPr>
          <w:trHeight w:val="432"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序号</w:t>
            </w:r>
          </w:p>
        </w:tc>
        <w:tc>
          <w:tcPr>
            <w:tcW w:w="37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费用名称</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数量</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单价</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（美元）</w:t>
            </w: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总价</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(美元)</w:t>
            </w:r>
          </w:p>
        </w:tc>
        <w:tc>
          <w:tcPr>
            <w:tcW w:w="14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1324"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7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港口杂费（包括报关费、文件费、设备交接单费、舱单费、安保费、加固费、港杂费、THC、CHC、VGM过磅称重费、装卸费、仓储费、短倒费等费用）（美元）</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sz w:val="20"/>
                <w:szCs w:val="20"/>
              </w:rPr>
              <w:t>14760计费吨</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3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376"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7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海运费（美元）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sz w:val="20"/>
                <w:szCs w:val="20"/>
              </w:rPr>
              <w:t>14760计费吨</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7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全程保险费（美元）(包含海洋货物运输一切险）</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14600000美元</w:t>
            </w: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1.1X费率</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单价栏补填费率</w:t>
            </w: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7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COI证书（美元）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1票</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1.06X费率</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单价栏补填费率</w:t>
            </w: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790"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宋体" w:hAnsi="宋体" w:cs="宋体"/>
                <w:kern w:val="0"/>
                <w:sz w:val="18"/>
                <w:szCs w:val="18"/>
              </w:rPr>
            </w:pPr>
            <w:r>
              <w:rPr>
                <w:rFonts w:hint="eastAsia" w:ascii="宋体" w:hAnsi="宋体" w:cs="宋体"/>
                <w:kern w:val="0"/>
                <w:sz w:val="18"/>
                <w:szCs w:val="18"/>
              </w:rPr>
              <w:t>电放提单（</w:t>
            </w:r>
            <w:r>
              <w:rPr>
                <w:rFonts w:hint="eastAsia" w:ascii="宋体" w:hAnsi="宋体" w:cs="宋体"/>
                <w:color w:val="C00000"/>
                <w:kern w:val="0"/>
                <w:sz w:val="18"/>
                <w:szCs w:val="18"/>
              </w:rPr>
              <w:t>不能接受SEAWAY BILL</w:t>
            </w:r>
            <w:r>
              <w:rPr>
                <w:rFonts w:hint="eastAsia" w:ascii="宋体" w:hAnsi="宋体" w:cs="宋体"/>
                <w:kern w:val="0"/>
                <w:sz w:val="18"/>
                <w:szCs w:val="18"/>
              </w:rPr>
              <w:t>）</w:t>
            </w:r>
          </w:p>
        </w:tc>
        <w:tc>
          <w:tcPr>
            <w:tcW w:w="16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1票</w:t>
            </w:r>
          </w:p>
        </w:tc>
        <w:tc>
          <w:tcPr>
            <w:tcW w:w="14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96" w:hRule="atLeast"/>
        </w:trPr>
        <w:tc>
          <w:tcPr>
            <w:tcW w:w="6201" w:type="dxa"/>
            <w:gridSpan w:val="3"/>
            <w:tcBorders>
              <w:top w:val="nil"/>
              <w:left w:val="single" w:color="auto" w:sz="4" w:space="0"/>
              <w:bottom w:val="single" w:color="auto" w:sz="4" w:space="0"/>
              <w:right w:val="single" w:color="auto" w:sz="4" w:space="0"/>
            </w:tcBorders>
            <w:noWrap w:val="0"/>
            <w:vAlign w:val="center"/>
          </w:tcPr>
          <w:p>
            <w:pPr>
              <w:widowControl/>
              <w:jc w:val="center"/>
            </w:pPr>
            <w:r>
              <w:rPr>
                <w:rFonts w:hint="eastAsia"/>
                <w:b/>
                <w:bCs/>
              </w:rPr>
              <w:t>中国天津港</w:t>
            </w:r>
            <w:r>
              <w:rPr>
                <w:rFonts w:hint="eastAsia" w:ascii="宋体" w:hAnsi="宋体" w:cs="宋体"/>
                <w:b/>
                <w:bCs/>
                <w:color w:val="000000"/>
                <w:kern w:val="0"/>
              </w:rPr>
              <w:t>－伊拉克乌木卡萨港北港（港到港）</w:t>
            </w:r>
            <w:r>
              <w:rPr>
                <w:rFonts w:hint="eastAsia"/>
                <w:b/>
                <w:bCs/>
              </w:rPr>
              <w:t>全部物流费用总计（美元）</w:t>
            </w:r>
            <w:r>
              <w:rPr>
                <w:rFonts w:hint="eastAsia" w:ascii="宋体" w:hAnsi="宋体" w:cs="宋体"/>
                <w:kern w:val="0"/>
                <w:sz w:val="20"/>
                <w:szCs w:val="20"/>
              </w:rPr>
              <w:t xml:space="preserve">      </w:t>
            </w:r>
            <w:r>
              <w:rPr>
                <w:rFonts w:hint="eastAsia" w:ascii="宋体" w:hAnsi="宋体" w:cs="宋体"/>
                <w:b/>
                <w:bCs/>
                <w:color w:val="000000"/>
                <w:kern w:val="0"/>
                <w:szCs w:val="21"/>
              </w:rPr>
              <w:t>总价=（1+2+3+4+5）</w:t>
            </w:r>
          </w:p>
        </w:tc>
        <w:tc>
          <w:tcPr>
            <w:tcW w:w="4326"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r>
    </w:tbl>
    <w:p>
      <w:pPr>
        <w:pStyle w:val="2"/>
        <w:rPr>
          <w:rFonts w:hint="eastAsia"/>
          <w:lang w:val="en-US" w:eastAsia="zh-CN"/>
        </w:rPr>
      </w:pPr>
      <w:r>
        <w:rPr>
          <w:rFonts w:hint="eastAsia"/>
          <w:lang w:val="en-US" w:eastAsia="zh-CN"/>
        </w:rPr>
        <w:t>报价说明:</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zh-CN" w:eastAsia="zh-CN"/>
        </w:rPr>
        <w:t>1.</w:t>
      </w:r>
      <w:r>
        <w:rPr>
          <w:rFonts w:hint="eastAsia"/>
          <w:lang w:val="en-US" w:eastAsia="zh-CN"/>
        </w:rPr>
        <w:t>除非合同中另有规定，本报价应为完成本次天津港接货－伊拉克乌木卡萨港北港完成卸货所发生的各项费用总和。投标人要综合考虑各种因素，报出所有可能的、合理的、且必要的费用，如后期结算中除计费吨和货物总价值变化引起的报价增加之外的其它非我司因素引起的额外费用，我司将不予以接受，由投标人自行承担。</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lang w:val="zh-CN" w:eastAsia="zh-CN"/>
        </w:rPr>
        <w:t>.</w:t>
      </w:r>
      <w:r>
        <w:rPr>
          <w:rFonts w:hint="eastAsia"/>
          <w:lang w:val="en-US" w:eastAsia="zh-CN"/>
        </w:rPr>
        <w:t>本价格表中单价为所运设备（货物）到伊拉克乌木卡萨港北港的固定不变价格。序号1、2、项单价按照（美元/计费吨）报价，序号3、4项单价栏补填费率。</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lang w:val="zh-CN" w:eastAsia="zh-CN"/>
        </w:rPr>
        <w:t>.</w:t>
      </w:r>
      <w:r>
        <w:rPr>
          <w:rFonts w:hint="eastAsia"/>
          <w:lang w:val="en-US" w:eastAsia="zh-CN"/>
        </w:rPr>
        <w:t>当分项价之和与总价不符时，以分项价为准。</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eastAsia="zh-CN"/>
        </w:rPr>
        <w:t>.</w:t>
      </w:r>
      <w:r>
        <w:rPr>
          <w:rFonts w:hint="eastAsia"/>
          <w:lang w:val="en-US" w:eastAsia="zh-CN"/>
        </w:rPr>
        <w:t>全程保险费，在同等条件下建议选择中国石油昆仑保险经纪股份有限公司天津分公司.（联系人：徐浩   手机：13820691459    办公室电话：022-65278792）。</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lang w:val="zh-CN" w:eastAsia="zh-CN"/>
        </w:rPr>
        <w:t>.</w:t>
      </w:r>
      <w:r>
        <w:rPr>
          <w:rFonts w:hint="eastAsia"/>
          <w:lang w:val="en-US" w:eastAsia="zh-CN"/>
        </w:rPr>
        <w:t>所有费用应以美元报价和结算，不接收人民币报价。</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lang w:val="zh-CN" w:eastAsia="zh-CN"/>
        </w:rPr>
        <w:t>.</w:t>
      </w:r>
      <w:r>
        <w:rPr>
          <w:rFonts w:hint="eastAsia"/>
          <w:lang w:val="en-US" w:eastAsia="zh-CN"/>
        </w:rPr>
        <w:t>报价表格式及固定内容不允许私自修改。</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lang w:val="zh-CN" w:eastAsia="zh-CN"/>
        </w:rPr>
        <w:t>.</w:t>
      </w:r>
      <w:r>
        <w:rPr>
          <w:rFonts w:hint="eastAsia"/>
          <w:lang w:val="en-US" w:eastAsia="zh-CN"/>
        </w:rPr>
        <w:t>不接受有不确定附加条件的报价。</w:t>
      </w:r>
    </w:p>
    <w:p>
      <w:pPr>
        <w:pStyle w:val="2"/>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8</w:t>
      </w:r>
      <w:r>
        <w:rPr>
          <w:rFonts w:hint="eastAsia" w:asciiTheme="minorEastAsia" w:hAnsiTheme="minorEastAsia" w:eastAsiaTheme="minorEastAsia" w:cstheme="minorEastAsia"/>
          <w:b w:val="0"/>
          <w:bCs/>
          <w:color w:val="auto"/>
          <w:sz w:val="21"/>
          <w:szCs w:val="21"/>
          <w:lang w:val="zh-CN" w:eastAsia="zh-CN"/>
        </w:rPr>
        <w:t>.</w:t>
      </w:r>
      <w:r>
        <w:rPr>
          <w:rFonts w:hint="eastAsia"/>
          <w:lang w:val="en-US" w:eastAsia="zh-CN"/>
        </w:rPr>
        <w:t>最终结算依据为打尺报告数量和报关金额。</w:t>
      </w:r>
    </w:p>
    <w:bookmarkEnd w:id="39"/>
    <w:p>
      <w:pPr>
        <w:spacing w:line="400" w:lineRule="exact"/>
        <w:ind w:firstLine="422" w:firstLineChars="200"/>
        <w:outlineLvl w:val="1"/>
        <w:rPr>
          <w:rFonts w:hint="default" w:ascii="宋体" w:hAnsi="宋体" w:eastAsia="宋体" w:cs="Arial"/>
          <w:b/>
          <w:bCs/>
          <w:color w:val="auto"/>
          <w:sz w:val="21"/>
          <w:szCs w:val="21"/>
          <w:lang w:val="en-US" w:eastAsia="zh-CN"/>
        </w:rPr>
      </w:pPr>
      <w:bookmarkStart w:id="55" w:name="_Toc21296"/>
      <w:bookmarkStart w:id="56" w:name="_Toc22305"/>
      <w:bookmarkStart w:id="57" w:name="_Toc6130"/>
      <w:bookmarkStart w:id="58" w:name="_Toc11718"/>
      <w:bookmarkStart w:id="59" w:name="_Toc13015"/>
      <w:bookmarkStart w:id="60" w:name="_Toc12215"/>
      <w:bookmarkStart w:id="61" w:name="_Toc29483"/>
      <w:bookmarkStart w:id="62" w:name="_Toc8569"/>
      <w:bookmarkStart w:id="63" w:name="_Toc21850"/>
      <w:bookmarkStart w:id="64" w:name="_Toc13839"/>
      <w:bookmarkStart w:id="65" w:name="_Toc45009719"/>
      <w:bookmarkStart w:id="66" w:name="_Toc10170"/>
      <w:bookmarkStart w:id="67" w:name="_Toc922"/>
      <w:r>
        <w:rPr>
          <w:rFonts w:hint="eastAsia" w:ascii="宋体" w:hAnsi="宋体" w:eastAsia="宋体" w:cs="Arial"/>
          <w:b/>
          <w:bCs/>
          <w:color w:val="auto"/>
          <w:sz w:val="21"/>
          <w:szCs w:val="21"/>
          <w:lang w:val="en-US" w:eastAsia="zh-CN"/>
        </w:rPr>
        <w:t>三</w:t>
      </w:r>
      <w:r>
        <w:rPr>
          <w:rFonts w:hint="eastAsia" w:ascii="宋体" w:hAnsi="宋体" w:eastAsia="宋体" w:cs="Arial"/>
          <w:b/>
          <w:bCs/>
          <w:color w:val="auto"/>
          <w:sz w:val="21"/>
          <w:szCs w:val="21"/>
          <w:lang w:val="zh-CN"/>
        </w:rPr>
        <w:t>、</w:t>
      </w:r>
      <w:r>
        <w:rPr>
          <w:rFonts w:hint="eastAsia" w:ascii="宋体" w:hAnsi="宋体" w:eastAsia="宋体" w:cs="Arial"/>
          <w:b/>
          <w:bCs/>
          <w:color w:val="auto"/>
          <w:sz w:val="21"/>
          <w:szCs w:val="21"/>
          <w:lang w:val="en-US" w:eastAsia="zh-CN"/>
        </w:rPr>
        <w:t>报价形式</w:t>
      </w:r>
      <w:bookmarkEnd w:id="55"/>
      <w:bookmarkEnd w:id="56"/>
      <w:bookmarkEnd w:id="57"/>
      <w:bookmarkEnd w:id="58"/>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bookmarkStart w:id="68" w:name="_Toc3139"/>
      <w:bookmarkStart w:id="69" w:name="_Toc27192"/>
      <w:bookmarkStart w:id="70" w:name="_Toc7842"/>
      <w:bookmarkStart w:id="71" w:name="_Toc3138"/>
      <w:bookmarkStart w:id="72" w:name="_Toc30268"/>
      <w:bookmarkStart w:id="73" w:name="_Toc28512"/>
      <w:bookmarkStart w:id="74" w:name="_Toc3122"/>
      <w:bookmarkStart w:id="75" w:name="_Toc14389"/>
      <w:bookmarkStart w:id="76" w:name="_Toc7458"/>
      <w:bookmarkStart w:id="77" w:name="_Toc30023"/>
      <w:bookmarkStart w:id="78" w:name="_Toc15574"/>
      <w:bookmarkStart w:id="79" w:name="_Toc13420"/>
      <w:bookmarkStart w:id="80" w:name="_Toc14047"/>
      <w:r>
        <w:rPr>
          <w:rFonts w:hint="eastAsia" w:asciiTheme="minorEastAsia" w:hAnsiTheme="minorEastAsia" w:eastAsiaTheme="minorEastAsia" w:cstheme="minorEastAsia"/>
          <w:b w:val="0"/>
          <w:bCs/>
          <w:color w:val="auto"/>
          <w:sz w:val="21"/>
          <w:szCs w:val="21"/>
          <w:lang w:val="zh-CN" w:eastAsia="zh-CN"/>
        </w:rPr>
        <w:t>固定单价。投标人按照本项目所列分项明细，填写投标报价，投标报价保留2位小数。</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bookmarkStart w:id="81" w:name="_Toc3155"/>
      <w:bookmarkStart w:id="82" w:name="_Toc12637"/>
      <w:bookmarkStart w:id="83" w:name="_Toc6279"/>
      <w:bookmarkStart w:id="84" w:name="_Toc17395"/>
      <w:r>
        <w:rPr>
          <w:rFonts w:hint="eastAsia" w:asciiTheme="minorEastAsia" w:hAnsiTheme="minorEastAsia" w:eastAsiaTheme="minorEastAsia" w:cstheme="minorEastAsia"/>
          <w:b w:val="0"/>
          <w:bCs/>
          <w:color w:val="auto"/>
          <w:sz w:val="21"/>
          <w:szCs w:val="21"/>
          <w:lang w:val="zh-CN" w:eastAsia="zh-CN"/>
        </w:rPr>
        <w:t>按照本项目投标总报价进行价格评审，投标总报价=∑〖数量×投标单价〗。</w:t>
      </w:r>
      <w:bookmarkEnd w:id="81"/>
      <w:bookmarkEnd w:id="82"/>
      <w:bookmarkEnd w:id="83"/>
      <w:bookmarkEnd w:id="84"/>
    </w:p>
    <w:bookmarkEnd w:id="72"/>
    <w:bookmarkEnd w:id="73"/>
    <w:bookmarkEnd w:id="74"/>
    <w:bookmarkEnd w:id="75"/>
    <w:bookmarkEnd w:id="76"/>
    <w:bookmarkEnd w:id="77"/>
    <w:bookmarkEnd w:id="78"/>
    <w:bookmarkEnd w:id="79"/>
    <w:bookmarkEnd w:id="80"/>
    <w:p>
      <w:pPr>
        <w:spacing w:line="400" w:lineRule="exact"/>
        <w:ind w:firstLine="422" w:firstLineChars="200"/>
        <w:outlineLvl w:val="1"/>
        <w:rPr>
          <w:rFonts w:hint="default" w:ascii="宋体" w:hAnsi="宋体" w:eastAsia="宋体" w:cs="Arial"/>
          <w:b/>
          <w:bCs/>
          <w:color w:val="auto"/>
          <w:sz w:val="21"/>
          <w:szCs w:val="21"/>
          <w:lang w:val="en-US" w:eastAsia="zh-CN"/>
        </w:rPr>
      </w:pPr>
      <w:bookmarkStart w:id="85" w:name="_Toc72"/>
      <w:bookmarkStart w:id="86" w:name="_Toc7191"/>
      <w:bookmarkStart w:id="87" w:name="_Toc31544"/>
      <w:bookmarkStart w:id="88" w:name="_Toc12597"/>
      <w:bookmarkStart w:id="89" w:name="_Toc10682"/>
      <w:bookmarkStart w:id="90" w:name="_Toc28865"/>
      <w:bookmarkStart w:id="91" w:name="_Toc32566"/>
      <w:bookmarkStart w:id="92" w:name="_Toc9988"/>
      <w:bookmarkStart w:id="93" w:name="_Toc12960"/>
      <w:bookmarkStart w:id="94" w:name="_Toc15641"/>
      <w:r>
        <w:rPr>
          <w:rFonts w:hint="eastAsia" w:ascii="宋体" w:hAnsi="宋体" w:eastAsia="宋体" w:cs="Arial"/>
          <w:b/>
          <w:bCs/>
          <w:color w:val="auto"/>
          <w:sz w:val="21"/>
          <w:szCs w:val="21"/>
          <w:lang w:val="en-US" w:eastAsia="zh-CN"/>
        </w:rPr>
        <w:t>四</w:t>
      </w:r>
      <w:r>
        <w:rPr>
          <w:rFonts w:hint="eastAsia" w:ascii="宋体" w:hAnsi="宋体" w:eastAsia="宋体" w:cs="Arial"/>
          <w:b/>
          <w:bCs/>
          <w:color w:val="auto"/>
          <w:sz w:val="21"/>
          <w:szCs w:val="21"/>
          <w:lang w:val="zh-CN"/>
        </w:rPr>
        <w:t>、</w:t>
      </w:r>
      <w:r>
        <w:rPr>
          <w:rFonts w:hint="eastAsia" w:ascii="宋体" w:hAnsi="宋体" w:eastAsia="宋体" w:cs="Arial"/>
          <w:b/>
          <w:bCs/>
          <w:color w:val="auto"/>
          <w:sz w:val="21"/>
          <w:szCs w:val="21"/>
          <w:lang w:val="en-US" w:eastAsia="zh-CN"/>
        </w:rPr>
        <w:t>结算方式及付款</w:t>
      </w:r>
      <w:bookmarkEnd w:id="85"/>
      <w:bookmarkEnd w:id="86"/>
      <w:bookmarkEnd w:id="87"/>
      <w:bookmarkEnd w:id="88"/>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bookmarkStart w:id="95" w:name="_Toc23910"/>
      <w:bookmarkStart w:id="96" w:name="_Toc22017"/>
      <w:bookmarkStart w:id="97" w:name="_Toc8317"/>
      <w:bookmarkStart w:id="98" w:name="_Toc28546"/>
      <w:bookmarkStart w:id="99" w:name="_Toc17032"/>
      <w:bookmarkStart w:id="100" w:name="_Toc2271"/>
      <w:bookmarkStart w:id="101" w:name="_Toc20218"/>
      <w:bookmarkStart w:id="102" w:name="_Toc20404"/>
      <w:bookmarkStart w:id="103" w:name="_Toc6551"/>
      <w:bookmarkStart w:id="104" w:name="_Toc4498"/>
      <w:bookmarkStart w:id="105" w:name="_Toc2770"/>
      <w:bookmarkStart w:id="106" w:name="_Toc31406"/>
      <w:bookmarkStart w:id="107" w:name="_Toc9819"/>
      <w:bookmarkStart w:id="108" w:name="_Toc1990"/>
      <w:r>
        <w:rPr>
          <w:rFonts w:hint="eastAsia" w:asciiTheme="minorEastAsia" w:hAnsiTheme="minorEastAsia" w:eastAsiaTheme="minorEastAsia" w:cstheme="minorEastAsia"/>
          <w:b w:val="0"/>
          <w:bCs/>
          <w:color w:val="auto"/>
          <w:sz w:val="21"/>
          <w:szCs w:val="21"/>
          <w:lang w:val="zh-CN" w:eastAsia="zh-CN"/>
        </w:rPr>
        <w:t xml:space="preserve">1. 结算方式：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r>
        <w:rPr>
          <w:rFonts w:hint="eastAsia" w:asciiTheme="minorEastAsia" w:hAnsiTheme="minorEastAsia" w:eastAsiaTheme="minorEastAsia" w:cstheme="minorEastAsia"/>
          <w:b w:val="0"/>
          <w:bCs/>
          <w:color w:val="auto"/>
          <w:sz w:val="21"/>
          <w:szCs w:val="21"/>
          <w:lang w:val="zh-CN" w:eastAsia="zh-CN"/>
        </w:rPr>
        <w:t>渤海钻探伊拉克项目部与中标物流服务商签订合同并结算，结算货币种类为美元。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r>
        <w:rPr>
          <w:rFonts w:hint="eastAsia" w:asciiTheme="minorEastAsia" w:hAnsiTheme="minorEastAsia" w:eastAsiaTheme="minorEastAsia" w:cstheme="minorEastAsia"/>
          <w:b w:val="0"/>
          <w:bCs/>
          <w:color w:val="auto"/>
          <w:sz w:val="21"/>
          <w:szCs w:val="21"/>
          <w:lang w:val="zh-CN" w:eastAsia="zh-CN"/>
        </w:rPr>
        <w:t>2. 付款时间：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r>
        <w:rPr>
          <w:rFonts w:hint="eastAsia" w:asciiTheme="minorEastAsia" w:hAnsiTheme="minorEastAsia" w:eastAsiaTheme="minorEastAsia" w:cstheme="minorEastAsia"/>
          <w:b w:val="0"/>
          <w:bCs/>
          <w:color w:val="auto"/>
          <w:sz w:val="21"/>
          <w:szCs w:val="21"/>
          <w:lang w:val="zh-CN" w:eastAsia="zh-CN"/>
        </w:rPr>
        <w:t>所有货物运至伊拉克乌木卡萨港北港并完成卸货，伊拉克项目部根据合同、报价和其他相关资料对费用明细进行审核、确认无误后，通知中标人出具发票，伊拉克项目部收到中标人合格发票后180日内付款。</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400" w:lineRule="exact"/>
        <w:ind w:firstLine="422" w:firstLineChars="200"/>
        <w:outlineLvl w:val="1"/>
        <w:rPr>
          <w:rFonts w:hint="eastAsia" w:ascii="宋体" w:hAnsi="宋体" w:eastAsia="宋体" w:cs="Arial"/>
          <w:b/>
          <w:bCs/>
          <w:color w:val="auto"/>
          <w:sz w:val="21"/>
          <w:szCs w:val="21"/>
          <w:lang w:val="zh-CN" w:eastAsia="zh-CN"/>
        </w:rPr>
      </w:pPr>
      <w:bookmarkStart w:id="109" w:name="_Toc32376"/>
      <w:bookmarkStart w:id="110" w:name="_Toc7381"/>
      <w:bookmarkStart w:id="111" w:name="_Toc31395"/>
      <w:bookmarkStart w:id="112" w:name="_Toc24943"/>
      <w:r>
        <w:rPr>
          <w:rFonts w:hint="eastAsia" w:ascii="宋体" w:hAnsi="宋体" w:eastAsia="宋体" w:cs="Arial"/>
          <w:b/>
          <w:bCs/>
          <w:color w:val="auto"/>
          <w:sz w:val="21"/>
          <w:szCs w:val="21"/>
          <w:lang w:val="en-US" w:eastAsia="zh-CN"/>
        </w:rPr>
        <w:t>五、</w:t>
      </w:r>
      <w:r>
        <w:rPr>
          <w:rFonts w:hint="eastAsia" w:ascii="宋体" w:hAnsi="宋体" w:eastAsia="宋体" w:cs="Arial"/>
          <w:b/>
          <w:bCs/>
          <w:color w:val="auto"/>
          <w:sz w:val="21"/>
          <w:szCs w:val="21"/>
          <w:lang w:val="zh-CN" w:eastAsia="zh-CN"/>
        </w:rPr>
        <w:t>技术标准和要求</w:t>
      </w:r>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bookmarkStart w:id="113" w:name="_Toc17321"/>
      <w:bookmarkStart w:id="114" w:name="_Toc22428"/>
      <w:bookmarkStart w:id="115" w:name="_Toc8952"/>
      <w:bookmarkStart w:id="116" w:name="_Toc21484"/>
      <w:r>
        <w:rPr>
          <w:rFonts w:hint="eastAsia" w:asciiTheme="minorEastAsia" w:hAnsiTheme="minorEastAsia" w:eastAsiaTheme="minorEastAsia" w:cstheme="minorEastAsia"/>
          <w:b w:val="0"/>
          <w:bCs/>
          <w:color w:val="auto"/>
          <w:sz w:val="21"/>
          <w:szCs w:val="21"/>
          <w:lang w:val="zh-CN" w:eastAsia="zh-CN"/>
        </w:rPr>
        <w:t>1、投标人采用包船或者拼船直航方式运输，不可分批发运，船型要适合装运发运设备等配套物资，船龄要求小于等于25年，设计航速高于12节。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r>
        <w:rPr>
          <w:rFonts w:hint="eastAsia" w:asciiTheme="minorEastAsia" w:hAnsiTheme="minorEastAsia" w:eastAsiaTheme="minorEastAsia" w:cstheme="minorEastAsia"/>
          <w:b w:val="0"/>
          <w:bCs/>
          <w:color w:val="auto"/>
          <w:sz w:val="21"/>
          <w:szCs w:val="21"/>
          <w:lang w:val="zh-CN" w:eastAsia="zh-CN"/>
        </w:rPr>
        <w:t>2、投标人须派遣至少1-2名项目操作人员驻扎在货物堆场和起运港口现场，主要工作是指导现场打包、绑扎、唛头粘贴等工作和港口的监装工作。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r>
        <w:rPr>
          <w:rFonts w:hint="eastAsia" w:asciiTheme="minorEastAsia" w:hAnsiTheme="minorEastAsia" w:eastAsiaTheme="minorEastAsia" w:cstheme="minorEastAsia"/>
          <w:b w:val="0"/>
          <w:bCs/>
          <w:color w:val="auto"/>
          <w:sz w:val="21"/>
          <w:szCs w:val="21"/>
          <w:lang w:val="zh-CN" w:eastAsia="zh-CN"/>
        </w:rPr>
        <w:t>3、投标人根据自身经验充分考虑货物情况，包括重载货物吨位及相应运输安排，招标人所提供货物信息仅作为参考，具体货物信息以最终箱单为准。招标文件中如有任何疑问，发标方负责解释澄清。投标人中标后不得以货物信息不准为由，提出责任或赔偿问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r>
        <w:rPr>
          <w:rFonts w:hint="eastAsia" w:asciiTheme="minorEastAsia" w:hAnsiTheme="minorEastAsia" w:eastAsiaTheme="minorEastAsia" w:cstheme="minorEastAsia"/>
          <w:b w:val="0"/>
          <w:bCs/>
          <w:color w:val="auto"/>
          <w:sz w:val="21"/>
          <w:szCs w:val="21"/>
          <w:lang w:val="zh-CN" w:eastAsia="zh-CN"/>
        </w:rPr>
        <w:t>4、发生货损、货差等问题，第一时间向招标人通报，收集提供保险索赔所需的一切相关证明资料，并积极开展索赔工作。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 w:val="0"/>
          <w:bCs/>
          <w:color w:val="auto"/>
          <w:sz w:val="21"/>
          <w:szCs w:val="21"/>
          <w:lang w:val="zh-CN" w:eastAsia="zh-CN"/>
        </w:rPr>
      </w:pPr>
      <w:r>
        <w:rPr>
          <w:rFonts w:hint="eastAsia" w:asciiTheme="minorEastAsia" w:hAnsiTheme="minorEastAsia" w:eastAsiaTheme="minorEastAsia" w:cstheme="minorEastAsia"/>
          <w:b w:val="0"/>
          <w:bCs/>
          <w:color w:val="auto"/>
          <w:sz w:val="21"/>
          <w:szCs w:val="21"/>
          <w:lang w:val="zh-CN" w:eastAsia="zh-CN"/>
        </w:rPr>
        <w:t>5、及时提供运载船舶的主要参数和起运港集港周期、装船周期、海运周期、目的港卸货周期等。船舶装卸过程中要确保货物安全，要按照招标人的要求装载货物。</w:t>
      </w:r>
      <w:bookmarkEnd w:id="113"/>
      <w:bookmarkEnd w:id="114"/>
      <w:bookmarkEnd w:id="115"/>
    </w:p>
    <w:bookmarkEnd w:id="116"/>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Arial"/>
          <w:b/>
          <w:bCs/>
          <w:color w:val="auto"/>
          <w:sz w:val="21"/>
          <w:szCs w:val="21"/>
          <w:lang w:val="en-US" w:eastAsia="zh-CN"/>
        </w:rPr>
      </w:pPr>
      <w:bookmarkStart w:id="117" w:name="_Toc3425"/>
      <w:bookmarkStart w:id="118" w:name="_Toc25367"/>
      <w:bookmarkStart w:id="119" w:name="_Toc13615"/>
      <w:bookmarkStart w:id="120" w:name="_Toc8208"/>
      <w:bookmarkStart w:id="121" w:name="_Toc15935"/>
      <w:bookmarkStart w:id="122" w:name="_Toc20376"/>
      <w:bookmarkStart w:id="123" w:name="_Toc1842"/>
      <w:bookmarkStart w:id="124" w:name="_Toc3637"/>
      <w:bookmarkStart w:id="125" w:name="_Toc28415"/>
      <w:bookmarkStart w:id="126" w:name="_Toc5807"/>
      <w:r>
        <w:rPr>
          <w:rFonts w:hint="eastAsia" w:ascii="宋体" w:hAnsi="宋体" w:eastAsia="宋体" w:cs="Arial"/>
          <w:b/>
          <w:bCs/>
          <w:color w:val="auto"/>
          <w:sz w:val="21"/>
          <w:szCs w:val="21"/>
          <w:lang w:val="en-US" w:eastAsia="zh-CN"/>
        </w:rPr>
        <w:t>六</w:t>
      </w:r>
      <w:r>
        <w:rPr>
          <w:rFonts w:hint="eastAsia" w:ascii="宋体" w:hAnsi="宋体" w:eastAsia="宋体" w:cs="Arial"/>
          <w:b/>
          <w:bCs/>
          <w:color w:val="auto"/>
          <w:sz w:val="21"/>
          <w:szCs w:val="21"/>
          <w:lang w:val="zh-CN"/>
        </w:rPr>
        <w:t>、</w:t>
      </w:r>
      <w:bookmarkEnd w:id="65"/>
      <w:r>
        <w:rPr>
          <w:rFonts w:hint="eastAsia" w:ascii="宋体" w:hAnsi="宋体" w:eastAsia="宋体" w:cs="Arial"/>
          <w:b/>
          <w:bCs/>
          <w:color w:val="auto"/>
          <w:sz w:val="21"/>
          <w:szCs w:val="21"/>
          <w:lang w:val="en-US" w:eastAsia="zh-CN"/>
        </w:rPr>
        <w:t>招标人其他要求</w:t>
      </w:r>
      <w:bookmarkEnd w:id="66"/>
      <w:bookmarkEnd w:id="67"/>
      <w:bookmarkEnd w:id="117"/>
      <w:bookmarkEnd w:id="118"/>
      <w:bookmarkEnd w:id="119"/>
      <w:bookmarkEnd w:id="120"/>
      <w:bookmarkEnd w:id="121"/>
      <w:bookmarkEnd w:id="122"/>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heme="minorEastAsia" w:hAnsiTheme="minorEastAsia" w:eastAsiaTheme="minorEastAsia" w:cstheme="minorEastAsia"/>
          <w:b w:val="0"/>
          <w:bCs/>
          <w:color w:val="auto"/>
          <w:sz w:val="21"/>
          <w:szCs w:val="21"/>
          <w:lang w:val="en-US" w:eastAsia="zh-CN"/>
        </w:rPr>
        <w:sectPr>
          <w:pgSz w:w="11906" w:h="16838"/>
          <w:pgMar w:top="1417" w:right="1474" w:bottom="1417" w:left="1474" w:header="851" w:footer="992" w:gutter="0"/>
          <w:pgNumType w:fmt="decimal"/>
          <w:cols w:space="0" w:num="1"/>
          <w:rtlGutter w:val="0"/>
          <w:docGrid w:linePitch="312" w:charSpace="0"/>
        </w:sectPr>
      </w:pPr>
      <w:bookmarkStart w:id="127" w:name="_Toc27963"/>
      <w:r>
        <w:rPr>
          <w:rFonts w:hint="eastAsia" w:asciiTheme="minorEastAsia" w:hAnsiTheme="minorEastAsia" w:eastAsiaTheme="minorEastAsia" w:cstheme="minorEastAsia"/>
          <w:b w:val="0"/>
          <w:bCs/>
          <w:color w:val="auto"/>
          <w:sz w:val="21"/>
          <w:szCs w:val="21"/>
          <w:lang w:val="zh-CN" w:eastAsia="zh-CN"/>
        </w:rPr>
        <w:t>投标人应签订履约承诺书。</w:t>
      </w:r>
      <w:bookmarkEnd w:id="127"/>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F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30"/>
      <w:szCs w:val="44"/>
    </w:rPr>
  </w:style>
  <w:style w:type="paragraph" w:styleId="2">
    <w:name w:val="heading 4"/>
    <w:basedOn w:val="1"/>
    <w:next w:val="1"/>
    <w:unhideWhenUsed/>
    <w:qFormat/>
    <w:uiPriority w:val="9"/>
    <w:pPr>
      <w:keepNext/>
      <w:keepLines/>
      <w:spacing w:line="440" w:lineRule="exact"/>
      <w:ind w:firstLine="200" w:firstLineChars="200"/>
      <w:outlineLvl w:val="3"/>
    </w:pPr>
    <w:rPr>
      <w:rFonts w:asciiTheme="majorHAnsi" w:hAnsiTheme="majorHAnsi" w:eastAsiaTheme="majorEastAsia" w:cstheme="majorBidi"/>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2025-05-19T09:19:30Z</dcterms:created>
  <dc:creator>Lenovo</dc:creator>
  <cp:lastModifiedBy>付月永</cp:lastModifiedBy>
  <dcterms:modified xsi:type="dcterms:W3CDTF">2025-05-19T09:19:37Z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EBAFA36111C44510BE07D9BED7DDD6C4</vt:lpwstr>
  </property>
</Properties>
</file>