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陕西锌业有限公司</w:t>
      </w:r>
    </w:p>
    <w:p>
      <w:pPr>
        <w:spacing w:line="52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eastAsia="zh-CN"/>
        </w:rPr>
        <w:t>原料公路运输</w:t>
      </w:r>
      <w:r>
        <w:rPr>
          <w:rFonts w:hint="eastAsia" w:ascii="方正小标宋简体" w:hAnsi="方正小标宋简体" w:eastAsia="方正小标宋简体" w:cs="方正小标宋简体"/>
          <w:b/>
          <w:sz w:val="44"/>
          <w:szCs w:val="44"/>
        </w:rPr>
        <w:t>业务</w:t>
      </w:r>
      <w:r>
        <w:rPr>
          <w:rFonts w:hint="eastAsia" w:ascii="方正小标宋简体" w:hAnsi="方正小标宋简体" w:eastAsia="方正小标宋简体" w:cs="方正小标宋简体"/>
          <w:b/>
          <w:sz w:val="44"/>
          <w:szCs w:val="44"/>
          <w:lang w:val="en-US" w:eastAsia="zh-CN"/>
        </w:rPr>
        <w:t>询比采购文件</w:t>
      </w:r>
    </w:p>
    <w:p>
      <w:pPr>
        <w:spacing w:line="520" w:lineRule="exact"/>
        <w:ind w:left="105" w:leftChars="50"/>
        <w:jc w:val="left"/>
        <w:rPr>
          <w:rFonts w:hint="eastAsia" w:ascii="仿宋" w:hAnsi="仿宋" w:eastAsia="仿宋" w:cs="仿宋"/>
          <w:sz w:val="32"/>
          <w:szCs w:val="32"/>
          <w:lang w:val="en-US" w:eastAsia="zh-CN"/>
        </w:rPr>
      </w:pPr>
      <w:r>
        <w:rPr>
          <w:sz w:val="30"/>
          <w:szCs w:val="30"/>
        </w:rPr>
        <w:t xml:space="preserve">  </w:t>
      </w:r>
      <w:r>
        <w:rPr>
          <w:sz w:val="28"/>
          <w:szCs w:val="28"/>
        </w:rPr>
        <w:t xml:space="preserve">  </w:t>
      </w:r>
      <w:r>
        <w:rPr>
          <w:rFonts w:hint="eastAsia" w:ascii="仿宋" w:hAnsi="仿宋" w:eastAsia="仿宋" w:cs="仿宋"/>
          <w:sz w:val="32"/>
          <w:szCs w:val="32"/>
        </w:rPr>
        <w:t>陕西锌业有限公司（以下称</w:t>
      </w:r>
      <w:r>
        <w:rPr>
          <w:rFonts w:hint="eastAsia" w:ascii="仿宋" w:hAnsi="仿宋" w:eastAsia="仿宋" w:cs="仿宋"/>
          <w:sz w:val="32"/>
          <w:szCs w:val="32"/>
          <w:lang w:val="en-US" w:eastAsia="zh-CN"/>
        </w:rPr>
        <w:t>采购方</w:t>
      </w:r>
      <w:r>
        <w:rPr>
          <w:rFonts w:hint="eastAsia" w:ascii="仿宋" w:hAnsi="仿宋" w:eastAsia="仿宋" w:cs="仿宋"/>
          <w:sz w:val="32"/>
          <w:szCs w:val="32"/>
        </w:rPr>
        <w:t>）</w:t>
      </w:r>
      <w:r>
        <w:rPr>
          <w:rFonts w:hint="eastAsia" w:ascii="仿宋" w:hAnsi="仿宋" w:eastAsia="仿宋" w:cs="仿宋"/>
          <w:sz w:val="32"/>
          <w:szCs w:val="32"/>
          <w:lang w:val="en-US" w:eastAsia="zh-CN"/>
        </w:rPr>
        <w:t>因</w:t>
      </w:r>
      <w:r>
        <w:rPr>
          <w:rFonts w:hint="eastAsia" w:ascii="仿宋" w:hAnsi="仿宋" w:eastAsia="仿宋" w:cs="仿宋"/>
          <w:sz w:val="32"/>
          <w:szCs w:val="32"/>
        </w:rPr>
        <w:t>部分货物拟</w:t>
      </w:r>
      <w:r>
        <w:rPr>
          <w:rFonts w:hint="eastAsia" w:ascii="仿宋" w:hAnsi="仿宋" w:eastAsia="仿宋" w:cs="仿宋"/>
          <w:sz w:val="32"/>
          <w:szCs w:val="32"/>
          <w:lang w:eastAsia="zh-CN"/>
        </w:rPr>
        <w:t>从内蒙古乌拉特后旗公路运输回厂</w:t>
      </w:r>
      <w:r>
        <w:rPr>
          <w:rFonts w:hint="eastAsia" w:ascii="仿宋" w:hAnsi="仿宋" w:eastAsia="仿宋" w:cs="仿宋"/>
          <w:sz w:val="32"/>
          <w:szCs w:val="32"/>
        </w:rPr>
        <w:t>，</w:t>
      </w:r>
      <w:r>
        <w:rPr>
          <w:rFonts w:hint="eastAsia" w:ascii="仿宋" w:hAnsi="仿宋" w:eastAsia="仿宋" w:cs="仿宋"/>
          <w:sz w:val="32"/>
          <w:szCs w:val="32"/>
          <w:lang w:val="en-US" w:eastAsia="zh-CN"/>
        </w:rPr>
        <w:t>按照公司相关制度要求，拟通过询比方式选择公路运输物流公司，欢迎具备相应资质及能力的单位参与该项目询比采购，具体内容如下：</w:t>
      </w:r>
    </w:p>
    <w:p>
      <w:pPr>
        <w:spacing w:line="520" w:lineRule="exact"/>
        <w:ind w:left="105" w:leftChars="50" w:firstLine="643" w:firstLineChars="200"/>
        <w:jc w:val="left"/>
        <w:rPr>
          <w:rFonts w:hint="eastAsia" w:ascii="仿宋" w:hAnsi="仿宋" w:eastAsia="仿宋" w:cs="仿宋"/>
          <w:b/>
          <w:bCs/>
          <w:sz w:val="32"/>
          <w:szCs w:val="32"/>
          <w:lang w:val="en-US"/>
        </w:rPr>
      </w:pPr>
      <w:bookmarkStart w:id="0" w:name="_Toc4593"/>
      <w:bookmarkStart w:id="1" w:name="_Toc20230"/>
      <w:bookmarkStart w:id="2" w:name="_Toc14440"/>
      <w:bookmarkStart w:id="3" w:name="_Toc33795775"/>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采购项目</w:t>
      </w:r>
      <w:bookmarkEnd w:id="0"/>
      <w:bookmarkEnd w:id="1"/>
      <w:bookmarkEnd w:id="2"/>
      <w:bookmarkEnd w:id="3"/>
      <w:r>
        <w:rPr>
          <w:rFonts w:hint="eastAsia" w:ascii="仿宋" w:hAnsi="仿宋" w:eastAsia="仿宋" w:cs="仿宋"/>
          <w:b/>
          <w:bCs/>
          <w:sz w:val="32"/>
          <w:szCs w:val="32"/>
          <w:lang w:val="en-US" w:eastAsia="zh-CN"/>
        </w:rPr>
        <w:t>基本要求</w:t>
      </w:r>
    </w:p>
    <w:p>
      <w:pPr>
        <w:spacing w:line="5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（一）采购人：陕西锌业有限公司</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采购项目</w:t>
      </w:r>
      <w:r>
        <w:rPr>
          <w:rFonts w:hint="eastAsia" w:ascii="仿宋" w:hAnsi="仿宋" w:eastAsia="仿宋" w:cs="仿宋"/>
          <w:sz w:val="32"/>
          <w:szCs w:val="32"/>
        </w:rPr>
        <w:t>名称：</w:t>
      </w:r>
      <w:bookmarkStart w:id="4" w:name="_Toc33795776"/>
      <w:bookmarkStart w:id="5" w:name="_Toc7037"/>
      <w:bookmarkStart w:id="6" w:name="_Toc14565"/>
      <w:bookmarkStart w:id="7" w:name="_Toc11471"/>
      <w:r>
        <w:rPr>
          <w:rFonts w:hint="eastAsia" w:ascii="仿宋" w:hAnsi="仿宋" w:eastAsia="仿宋" w:cs="仿宋"/>
          <w:sz w:val="32"/>
          <w:szCs w:val="32"/>
          <w:lang w:eastAsia="zh-CN"/>
        </w:rPr>
        <w:t>陕西锌业有限公司乌拉特后旗原料公路运输</w:t>
      </w:r>
      <w:r>
        <w:rPr>
          <w:rFonts w:hint="eastAsia" w:ascii="仿宋" w:hAnsi="仿宋" w:eastAsia="仿宋" w:cs="仿宋"/>
          <w:sz w:val="32"/>
          <w:szCs w:val="32"/>
          <w:lang w:val="en-US" w:eastAsia="zh-CN"/>
        </w:rPr>
        <w:t>项目</w:t>
      </w:r>
      <w:bookmarkEnd w:id="4"/>
      <w:bookmarkEnd w:id="5"/>
      <w:bookmarkEnd w:id="6"/>
      <w:bookmarkEnd w:id="7"/>
      <w:r>
        <w:rPr>
          <w:rFonts w:hint="eastAsia" w:ascii="仿宋" w:hAnsi="仿宋" w:eastAsia="仿宋" w:cs="仿宋"/>
          <w:sz w:val="32"/>
          <w:szCs w:val="32"/>
          <w:lang w:val="en-US" w:eastAsia="zh-CN"/>
        </w:rPr>
        <w:t>。</w:t>
      </w:r>
    </w:p>
    <w:p>
      <w:pPr>
        <w:numPr>
          <w:ilvl w:val="0"/>
          <w:numId w:val="0"/>
        </w:numPr>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代理</w:t>
      </w:r>
      <w:r>
        <w:rPr>
          <w:rFonts w:hint="eastAsia" w:ascii="仿宋" w:hAnsi="仿宋" w:eastAsia="仿宋" w:cs="仿宋"/>
          <w:sz w:val="32"/>
          <w:szCs w:val="32"/>
          <w:lang w:val="en-US" w:eastAsia="zh-CN"/>
        </w:rPr>
        <w:t>业务内容</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1. </w:t>
      </w:r>
      <w:r>
        <w:rPr>
          <w:rFonts w:hint="eastAsia" w:ascii="仿宋" w:hAnsi="仿宋" w:eastAsia="仿宋" w:cs="仿宋"/>
          <w:sz w:val="32"/>
          <w:szCs w:val="32"/>
        </w:rPr>
        <w:t>货物名称：锌精矿或含锌物料；</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2. </w:t>
      </w:r>
      <w:r>
        <w:rPr>
          <w:rFonts w:hint="eastAsia" w:ascii="仿宋" w:hAnsi="仿宋" w:eastAsia="仿宋" w:cs="仿宋"/>
          <w:sz w:val="32"/>
          <w:szCs w:val="32"/>
        </w:rPr>
        <w:t>项目：</w:t>
      </w:r>
      <w:r>
        <w:rPr>
          <w:rFonts w:hint="eastAsia" w:ascii="仿宋" w:hAnsi="仿宋" w:eastAsia="仿宋" w:cs="仿宋"/>
          <w:sz w:val="32"/>
          <w:szCs w:val="32"/>
          <w:lang w:eastAsia="zh-CN"/>
        </w:rPr>
        <w:t>原料公路运输</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3. </w:t>
      </w:r>
      <w:r>
        <w:rPr>
          <w:rFonts w:hint="eastAsia" w:ascii="仿宋" w:hAnsi="仿宋" w:eastAsia="仿宋" w:cs="仿宋"/>
          <w:sz w:val="32"/>
          <w:szCs w:val="32"/>
        </w:rPr>
        <w:t>数量：</w:t>
      </w:r>
      <w:r>
        <w:rPr>
          <w:rFonts w:hint="eastAsia" w:ascii="仿宋" w:hAnsi="仿宋" w:eastAsia="仿宋" w:cs="仿宋"/>
          <w:sz w:val="32"/>
          <w:szCs w:val="32"/>
          <w:lang w:eastAsia="zh-CN"/>
        </w:rPr>
        <w:t>以当月实际发运数量（</w:t>
      </w:r>
      <w:r>
        <w:rPr>
          <w:rFonts w:hint="eastAsia" w:ascii="仿宋" w:hAnsi="仿宋" w:eastAsia="仿宋" w:cs="仿宋"/>
          <w:sz w:val="32"/>
          <w:szCs w:val="32"/>
        </w:rPr>
        <w:t>实物吨</w:t>
      </w:r>
      <w:r>
        <w:rPr>
          <w:rFonts w:hint="eastAsia" w:ascii="仿宋" w:hAnsi="仿宋" w:eastAsia="仿宋" w:cs="仿宋"/>
          <w:sz w:val="32"/>
          <w:szCs w:val="32"/>
          <w:lang w:eastAsia="zh-CN"/>
        </w:rPr>
        <w:t>）为准</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4. </w:t>
      </w:r>
      <w:r>
        <w:rPr>
          <w:rFonts w:hint="eastAsia" w:ascii="仿宋" w:hAnsi="仿宋" w:eastAsia="仿宋" w:cs="仿宋"/>
          <w:sz w:val="32"/>
          <w:szCs w:val="32"/>
        </w:rPr>
        <w:t>货物装运地点：</w:t>
      </w:r>
      <w:r>
        <w:rPr>
          <w:rFonts w:hint="eastAsia" w:ascii="仿宋" w:hAnsi="仿宋" w:eastAsia="仿宋" w:cs="仿宋"/>
          <w:sz w:val="32"/>
          <w:szCs w:val="32"/>
          <w:lang w:eastAsia="zh-CN"/>
        </w:rPr>
        <w:t>乌拉特后旗区域选矿厂等堆场</w:t>
      </w:r>
      <w:r>
        <w:rPr>
          <w:rFonts w:hint="eastAsia" w:ascii="仿宋" w:hAnsi="仿宋" w:eastAsia="仿宋" w:cs="仿宋"/>
          <w:sz w:val="32"/>
          <w:szCs w:val="32"/>
        </w:rPr>
        <w:t>；</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 xml:space="preserve">5. </w:t>
      </w:r>
      <w:r>
        <w:rPr>
          <w:rFonts w:hint="eastAsia" w:ascii="仿宋" w:hAnsi="仿宋" w:eastAsia="仿宋" w:cs="仿宋"/>
          <w:sz w:val="32"/>
          <w:szCs w:val="32"/>
        </w:rPr>
        <w:t>卸货地点：陕西省商洛市沙河子镇陕西锌业公司</w:t>
      </w:r>
      <w:r>
        <w:rPr>
          <w:rFonts w:hint="eastAsia" w:ascii="仿宋" w:hAnsi="仿宋" w:eastAsia="仿宋" w:cs="仿宋"/>
          <w:sz w:val="32"/>
          <w:szCs w:val="32"/>
          <w:lang w:eastAsia="zh-CN"/>
        </w:rPr>
        <w:t>仓库；</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期限：从合同签订之日起至20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日止。</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费用</w:t>
      </w:r>
      <w:r>
        <w:rPr>
          <w:rFonts w:hint="eastAsia" w:ascii="仿宋" w:hAnsi="仿宋" w:eastAsia="仿宋" w:cs="仿宋"/>
          <w:sz w:val="32"/>
          <w:szCs w:val="32"/>
        </w:rPr>
        <w:t>结算方式：</w:t>
      </w:r>
      <w:r>
        <w:rPr>
          <w:rFonts w:hint="eastAsia" w:ascii="仿宋" w:hAnsi="仿宋" w:eastAsia="仿宋" w:cs="仿宋"/>
          <w:sz w:val="32"/>
          <w:szCs w:val="32"/>
          <w:lang w:eastAsia="zh-CN"/>
        </w:rPr>
        <w:t>承运</w:t>
      </w:r>
      <w:r>
        <w:rPr>
          <w:rFonts w:hint="eastAsia" w:ascii="仿宋" w:hAnsi="仿宋" w:eastAsia="仿宋" w:cs="仿宋"/>
          <w:sz w:val="32"/>
          <w:szCs w:val="32"/>
          <w:lang w:val="en-US" w:eastAsia="zh-CN"/>
        </w:rPr>
        <w:t>方</w:t>
      </w:r>
      <w:r>
        <w:rPr>
          <w:rFonts w:hint="eastAsia" w:ascii="仿宋" w:hAnsi="仿宋" w:eastAsia="仿宋" w:cs="仿宋"/>
          <w:sz w:val="32"/>
          <w:szCs w:val="32"/>
        </w:rPr>
        <w:t>提供发票后</w:t>
      </w:r>
      <w:r>
        <w:rPr>
          <w:rFonts w:hint="eastAsia" w:ascii="仿宋" w:hAnsi="仿宋" w:eastAsia="仿宋" w:cs="仿宋"/>
          <w:sz w:val="32"/>
          <w:szCs w:val="32"/>
          <w:lang w:val="en-US" w:eastAsia="zh-CN"/>
        </w:rPr>
        <w:t>委托方</w:t>
      </w:r>
      <w:r>
        <w:rPr>
          <w:rFonts w:hint="eastAsia" w:ascii="仿宋" w:hAnsi="仿宋" w:eastAsia="仿宋" w:cs="仿宋"/>
          <w:sz w:val="32"/>
          <w:szCs w:val="32"/>
        </w:rPr>
        <w:t>一月内付款。</w:t>
      </w:r>
    </w:p>
    <w:p>
      <w:pPr>
        <w:numPr>
          <w:ilvl w:val="0"/>
          <w:numId w:val="0"/>
        </w:num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(六）供应商</w:t>
      </w:r>
      <w:r>
        <w:rPr>
          <w:rFonts w:hint="eastAsia" w:ascii="仿宋" w:hAnsi="仿宋" w:eastAsia="仿宋" w:cs="仿宋"/>
          <w:sz w:val="32"/>
          <w:szCs w:val="32"/>
        </w:rPr>
        <w:t>资质要求：</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1. 供应商须为中华人民共和国境内的企业法人，</w:t>
      </w:r>
      <w:r>
        <w:rPr>
          <w:rFonts w:hint="eastAsia" w:ascii="仿宋" w:hAnsi="仿宋" w:eastAsia="仿宋" w:cs="仿宋"/>
          <w:sz w:val="32"/>
          <w:szCs w:val="32"/>
        </w:rPr>
        <w:t>具</w:t>
      </w:r>
      <w:r>
        <w:rPr>
          <w:rFonts w:hint="eastAsia" w:ascii="仿宋" w:hAnsi="仿宋" w:eastAsia="仿宋" w:cs="仿宋"/>
          <w:sz w:val="32"/>
          <w:szCs w:val="32"/>
          <w:lang w:val="en-US" w:eastAsia="zh-CN"/>
        </w:rPr>
        <w:t>有</w:t>
      </w:r>
      <w:r>
        <w:rPr>
          <w:rFonts w:hint="eastAsia" w:ascii="仿宋" w:hAnsi="仿宋" w:eastAsia="仿宋" w:cs="仿宋"/>
          <w:sz w:val="32"/>
          <w:szCs w:val="32"/>
        </w:rPr>
        <w:t>货物</w:t>
      </w:r>
      <w:r>
        <w:rPr>
          <w:rFonts w:hint="eastAsia" w:ascii="仿宋" w:hAnsi="仿宋" w:eastAsia="仿宋" w:cs="仿宋"/>
          <w:sz w:val="32"/>
          <w:szCs w:val="32"/>
          <w:lang w:eastAsia="zh-CN"/>
        </w:rPr>
        <w:t>公路运输</w:t>
      </w:r>
      <w:r>
        <w:rPr>
          <w:rFonts w:hint="eastAsia" w:ascii="仿宋" w:hAnsi="仿宋" w:eastAsia="仿宋" w:cs="仿宋"/>
          <w:sz w:val="32"/>
          <w:szCs w:val="32"/>
        </w:rPr>
        <w:t>资格以及相应的经营范围。</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 </w:t>
      </w:r>
      <w:r>
        <w:rPr>
          <w:rFonts w:hint="eastAsia" w:ascii="仿宋" w:hAnsi="仿宋" w:eastAsia="仿宋" w:cs="仿宋"/>
          <w:sz w:val="32"/>
          <w:szCs w:val="32"/>
        </w:rPr>
        <w:t>注册资金在</w:t>
      </w:r>
      <w:r>
        <w:rPr>
          <w:rFonts w:hint="eastAsia" w:ascii="仿宋" w:hAnsi="仿宋" w:eastAsia="仿宋" w:cs="仿宋"/>
          <w:sz w:val="32"/>
          <w:szCs w:val="32"/>
          <w:lang w:val="en-US" w:eastAsia="zh-CN"/>
        </w:rPr>
        <w:t>5</w:t>
      </w:r>
      <w:r>
        <w:rPr>
          <w:rFonts w:hint="eastAsia" w:ascii="仿宋" w:hAnsi="仿宋" w:eastAsia="仿宋" w:cs="仿宋"/>
          <w:sz w:val="32"/>
          <w:szCs w:val="32"/>
        </w:rPr>
        <w:t>00万元以上。</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 具有良好的银行资信和商业信誉，没有处于被责令停业、财产被接管、冻结、破产状态；</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 不得在“信用中国-中国执行信息公开网”被列为失信被执行人；</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 业绩要求：2023年5月至今具有类似业绩（提供合同复印件不少于两份，时间以合同签订时间为准）；</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6.联合体响应：本项目不接受联合体响应。</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7.供应商不得存在下列情形之一：</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（1）与采购人存在利害关系可能影响询比采购公正性；</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（2）法定代表人（单位负责人）为同一人或者存在控股、管理关系的不同法人或其他组织同时参加询比采购；</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（3）被依法暂停或者取消询比采购资格； </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（4）被暂扣或者吊销许可证、暂扣或者吊销执照；</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（5）进入清算程序，或被宣告破产，或其他丧失履约能力的情形；</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（6）在最近三年内发生重大服务质量问题；</w:t>
      </w:r>
    </w:p>
    <w:p>
      <w:pPr>
        <w:numPr>
          <w:ilvl w:val="0"/>
          <w:numId w:val="0"/>
        </w:numPr>
        <w:spacing w:line="520" w:lineRule="exact"/>
        <w:ind w:left="105" w:leftChars="5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（7）法律法规规定的其他情形。</w:t>
      </w:r>
    </w:p>
    <w:p>
      <w:pPr>
        <w:numPr>
          <w:ilvl w:val="0"/>
          <w:numId w:val="0"/>
        </w:numPr>
        <w:spacing w:line="520" w:lineRule="exact"/>
        <w:ind w:left="105" w:leftChars="5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二、询比采购文件的获取</w:t>
      </w:r>
    </w:p>
    <w:p>
      <w:pPr>
        <w:numPr>
          <w:ilvl w:val="0"/>
          <w:numId w:val="0"/>
        </w:numPr>
        <w:spacing w:line="520" w:lineRule="exact"/>
        <w:ind w:left="105" w:leftChars="50"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询比采购文件在陕西锌业有限公司网络询比信息平台（www.sxxyjjpt.com）发布，符合条件的单位可自行下载采购文件。</w:t>
      </w:r>
    </w:p>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beforeAutospacing="0" w:after="0" w:afterAutospacing="0" w:line="520" w:lineRule="exact"/>
        <w:ind w:leftChars="0"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sz w:val="32"/>
          <w:szCs w:val="32"/>
          <w:lang w:val="en-US" w:eastAsia="zh-CN"/>
        </w:rPr>
        <w:t>三、</w:t>
      </w:r>
      <w:r>
        <w:rPr>
          <w:rFonts w:hint="eastAsia" w:ascii="仿宋" w:hAnsi="仿宋" w:eastAsia="仿宋" w:cs="仿宋"/>
          <w:b/>
          <w:bCs/>
          <w:color w:val="auto"/>
          <w:spacing w:val="1"/>
          <w:sz w:val="32"/>
          <w:szCs w:val="32"/>
          <w:highlight w:val="none"/>
          <w:lang w:eastAsia="zh-CN"/>
        </w:rPr>
        <w:t>响应文件的</w:t>
      </w:r>
      <w:r>
        <w:rPr>
          <w:rFonts w:hint="eastAsia" w:ascii="仿宋" w:hAnsi="仿宋" w:eastAsia="仿宋" w:cs="仿宋"/>
          <w:b/>
          <w:bCs/>
          <w:color w:val="auto"/>
          <w:spacing w:val="1"/>
          <w:sz w:val="32"/>
          <w:szCs w:val="32"/>
          <w:highlight w:val="none"/>
          <w:lang w:val="en-US" w:eastAsia="zh-CN"/>
        </w:rPr>
        <w:t>提</w:t>
      </w:r>
      <w:r>
        <w:rPr>
          <w:rFonts w:hint="eastAsia" w:ascii="仿宋" w:hAnsi="仿宋" w:eastAsia="仿宋" w:cs="仿宋"/>
          <w:b/>
          <w:bCs/>
          <w:color w:val="auto"/>
          <w:spacing w:val="1"/>
          <w:sz w:val="32"/>
          <w:szCs w:val="32"/>
          <w:highlight w:val="none"/>
          <w:lang w:eastAsia="zh-CN"/>
        </w:rPr>
        <w:t>交</w:t>
      </w:r>
    </w:p>
    <w:p>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20" w:lineRule="exact"/>
        <w:ind w:leftChars="0"/>
        <w:jc w:val="both"/>
        <w:textAlignment w:val="auto"/>
        <w:rPr>
          <w:rFonts w:hint="eastAsia" w:ascii="仿宋" w:hAnsi="仿宋" w:eastAsia="仿宋" w:cs="仿宋"/>
          <w:sz w:val="32"/>
          <w:szCs w:val="32"/>
          <w:lang w:val="en-US"/>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（一）响应报价</w:t>
      </w:r>
    </w:p>
    <w:p>
      <w:pPr>
        <w:pStyle w:val="9"/>
        <w:numPr>
          <w:ilvl w:val="0"/>
          <w:numId w:val="0"/>
        </w:numPr>
        <w:spacing w:line="520" w:lineRule="exact"/>
        <w:ind w:leftChars="5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1.响应文件</w:t>
      </w:r>
      <w:r>
        <w:rPr>
          <w:rFonts w:hint="eastAsia" w:ascii="仿宋" w:hAnsi="仿宋" w:eastAsia="仿宋" w:cs="仿宋"/>
          <w:sz w:val="32"/>
          <w:szCs w:val="32"/>
        </w:rPr>
        <w:t>采用</w:t>
      </w:r>
      <w:r>
        <w:rPr>
          <w:rFonts w:hint="eastAsia" w:ascii="仿宋" w:hAnsi="仿宋" w:eastAsia="仿宋" w:cs="仿宋"/>
          <w:sz w:val="32"/>
          <w:szCs w:val="32"/>
          <w:lang w:eastAsia="zh-CN"/>
        </w:rPr>
        <w:t>电子邮件</w:t>
      </w:r>
      <w:r>
        <w:rPr>
          <w:rFonts w:hint="eastAsia" w:ascii="仿宋" w:hAnsi="仿宋" w:eastAsia="仿宋" w:cs="仿宋"/>
          <w:sz w:val="32"/>
          <w:szCs w:val="32"/>
        </w:rPr>
        <w:t>报价方式，</w:t>
      </w:r>
      <w:r>
        <w:rPr>
          <w:rFonts w:hint="eastAsia" w:ascii="仿宋" w:hAnsi="仿宋" w:eastAsia="仿宋" w:cs="仿宋"/>
          <w:sz w:val="32"/>
          <w:szCs w:val="32"/>
          <w:lang w:eastAsia="zh-CN"/>
        </w:rPr>
        <w:t>邮箱号：</w:t>
      </w:r>
      <w:r>
        <w:rPr>
          <w:rFonts w:hint="eastAsia" w:ascii="仿宋" w:hAnsi="仿宋" w:eastAsia="仿宋" w:cs="仿宋"/>
          <w:sz w:val="32"/>
          <w:szCs w:val="32"/>
          <w:lang w:val="en-US" w:eastAsia="zh-CN"/>
        </w:rPr>
        <w:t>1930635@qq.com，</w:t>
      </w:r>
      <w:r>
        <w:rPr>
          <w:rFonts w:hint="eastAsia" w:ascii="仿宋" w:hAnsi="仿宋" w:eastAsia="仿宋" w:cs="仿宋"/>
          <w:sz w:val="32"/>
          <w:szCs w:val="32"/>
        </w:rPr>
        <w:t>报价为含税价（</w:t>
      </w:r>
      <w:r>
        <w:rPr>
          <w:rFonts w:hint="eastAsia" w:ascii="仿宋" w:hAnsi="仿宋" w:eastAsia="仿宋" w:cs="仿宋"/>
          <w:sz w:val="32"/>
          <w:szCs w:val="32"/>
          <w:lang w:val="en-US" w:eastAsia="zh-CN"/>
        </w:rPr>
        <w:t>9</w:t>
      </w:r>
      <w:r>
        <w:rPr>
          <w:rFonts w:hint="eastAsia" w:ascii="仿宋" w:hAnsi="仿宋" w:eastAsia="仿宋" w:cs="仿宋"/>
          <w:sz w:val="32"/>
          <w:szCs w:val="32"/>
        </w:rPr>
        <w:t>%的增值税发票）。</w:t>
      </w:r>
    </w:p>
    <w:p>
      <w:pPr>
        <w:pStyle w:val="9"/>
        <w:numPr>
          <w:ilvl w:val="0"/>
          <w:numId w:val="0"/>
        </w:numPr>
        <w:spacing w:line="520" w:lineRule="exact"/>
        <w:ind w:leftChars="5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 响应报价文件应</w:t>
      </w:r>
      <w:r>
        <w:rPr>
          <w:rFonts w:hint="eastAsia" w:ascii="仿宋" w:hAnsi="仿宋" w:eastAsia="仿宋" w:cs="仿宋"/>
          <w:sz w:val="32"/>
          <w:szCs w:val="32"/>
        </w:rPr>
        <w:t>加盖公司公章，公司法定代表人或法人授权委托人</w:t>
      </w:r>
      <w:r>
        <w:rPr>
          <w:rFonts w:hint="eastAsia" w:ascii="仿宋" w:hAnsi="仿宋" w:eastAsia="仿宋" w:cs="仿宋"/>
          <w:sz w:val="32"/>
          <w:szCs w:val="32"/>
          <w:lang w:eastAsia="zh-CN"/>
        </w:rPr>
        <w:t>应</w:t>
      </w:r>
      <w:r>
        <w:rPr>
          <w:rFonts w:hint="eastAsia" w:ascii="仿宋" w:hAnsi="仿宋" w:eastAsia="仿宋" w:cs="仿宋"/>
          <w:sz w:val="32"/>
          <w:szCs w:val="32"/>
        </w:rPr>
        <w:t>签字确认。</w:t>
      </w:r>
    </w:p>
    <w:p>
      <w:pPr>
        <w:pStyle w:val="9"/>
        <w:numPr>
          <w:ilvl w:val="0"/>
          <w:numId w:val="0"/>
        </w:numPr>
        <w:spacing w:line="520" w:lineRule="exact"/>
        <w:ind w:leftChars="5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 </w:t>
      </w:r>
      <w:r>
        <w:rPr>
          <w:rFonts w:hint="eastAsia" w:ascii="仿宋" w:hAnsi="仿宋" w:eastAsia="仿宋" w:cs="仿宋"/>
          <w:color w:val="auto"/>
          <w:spacing w:val="1"/>
          <w:sz w:val="32"/>
          <w:szCs w:val="32"/>
          <w:highlight w:val="none"/>
          <w:lang w:val="en-US" w:eastAsia="zh-CN"/>
        </w:rPr>
        <w:t>响应文件提交截止时间：</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日1</w:t>
      </w:r>
      <w:r>
        <w:rPr>
          <w:rFonts w:hint="eastAsia" w:ascii="仿宋" w:hAnsi="仿宋" w:eastAsia="仿宋" w:cs="仿宋"/>
          <w:sz w:val="32"/>
          <w:szCs w:val="32"/>
          <w:lang w:val="en-US" w:eastAsia="zh-CN"/>
        </w:rPr>
        <w:t>0</w:t>
      </w:r>
      <w:r>
        <w:rPr>
          <w:rFonts w:hint="eastAsia" w:ascii="仿宋" w:hAnsi="仿宋" w:eastAsia="仿宋" w:cs="仿宋"/>
          <w:sz w:val="32"/>
          <w:szCs w:val="32"/>
        </w:rPr>
        <w:t>：00时前</w:t>
      </w:r>
      <w:r>
        <w:rPr>
          <w:rFonts w:hint="eastAsia" w:ascii="仿宋" w:hAnsi="仿宋" w:eastAsia="仿宋" w:cs="仿宋"/>
          <w:color w:val="auto"/>
          <w:spacing w:val="1"/>
          <w:sz w:val="32"/>
          <w:szCs w:val="32"/>
          <w:highlight w:val="none"/>
          <w:lang w:val="en-US"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）响应保证金</w:t>
      </w:r>
    </w:p>
    <w:p>
      <w:pPr>
        <w:kinsoku/>
        <w:wordWrap/>
        <w:overflowPunct/>
        <w:topLinePunct w:val="0"/>
        <w:autoSpaceDE/>
        <w:autoSpaceDN/>
        <w:bidi w:val="0"/>
        <w:snapToGrid/>
        <w:spacing w:line="52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保证金：</w:t>
      </w:r>
      <w:r>
        <w:rPr>
          <w:rFonts w:hint="eastAsia" w:ascii="仿宋" w:hAnsi="仿宋" w:eastAsia="仿宋" w:cs="仿宋"/>
          <w:sz w:val="32"/>
          <w:szCs w:val="32"/>
          <w:lang w:val="en-US" w:eastAsia="zh-CN"/>
        </w:rPr>
        <w:t>响应供应商</w:t>
      </w:r>
      <w:r>
        <w:rPr>
          <w:rFonts w:hint="eastAsia" w:ascii="仿宋" w:hAnsi="仿宋" w:eastAsia="仿宋" w:cs="仿宋"/>
          <w:sz w:val="32"/>
          <w:szCs w:val="32"/>
        </w:rPr>
        <w:t>应缴纳</w:t>
      </w:r>
      <w:r>
        <w:rPr>
          <w:rFonts w:hint="eastAsia" w:ascii="仿宋" w:hAnsi="仿宋" w:eastAsia="仿宋" w:cs="仿宋"/>
          <w:sz w:val="32"/>
          <w:szCs w:val="32"/>
          <w:lang w:val="en-US" w:eastAsia="zh-CN"/>
        </w:rPr>
        <w:t>2</w:t>
      </w:r>
      <w:r>
        <w:rPr>
          <w:rFonts w:hint="eastAsia" w:ascii="仿宋" w:hAnsi="仿宋" w:eastAsia="仿宋" w:cs="仿宋"/>
          <w:sz w:val="32"/>
          <w:szCs w:val="32"/>
        </w:rPr>
        <w:t>0万元保证金到</w:t>
      </w:r>
      <w:r>
        <w:rPr>
          <w:rFonts w:hint="eastAsia" w:ascii="仿宋" w:hAnsi="仿宋" w:eastAsia="仿宋" w:cs="仿宋"/>
          <w:sz w:val="32"/>
          <w:szCs w:val="32"/>
          <w:lang w:val="en-US" w:eastAsia="zh-CN"/>
        </w:rPr>
        <w:t>采购方</w:t>
      </w:r>
      <w:r>
        <w:rPr>
          <w:rFonts w:hint="eastAsia" w:ascii="仿宋" w:hAnsi="仿宋" w:eastAsia="仿宋" w:cs="仿宋"/>
          <w:sz w:val="32"/>
          <w:szCs w:val="32"/>
        </w:rPr>
        <w:t>指定账户</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以现金</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，应当从其基本账户转出</w:t>
      </w:r>
      <w:r>
        <w:rPr>
          <w:rFonts w:hint="eastAsia" w:ascii="仿宋" w:hAnsi="仿宋" w:eastAsia="仿宋" w:cs="仿宋"/>
          <w:color w:val="auto"/>
          <w:sz w:val="32"/>
          <w:szCs w:val="32"/>
          <w:lang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保证金支付账户如下：</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收款人：陕西锌业有限公司</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开户银行：中国农业银行商洛商州区支行</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账号：26805701040010332</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lang w:val="en-US" w:eastAsia="zh-CN"/>
        </w:rPr>
        <w:t>文件</w:t>
      </w:r>
      <w:r>
        <w:rPr>
          <w:rFonts w:hint="eastAsia" w:ascii="仿宋" w:hAnsi="仿宋" w:eastAsia="仿宋" w:cs="仿宋"/>
          <w:color w:val="auto"/>
          <w:sz w:val="32"/>
          <w:szCs w:val="32"/>
          <w:lang w:eastAsia="zh-CN"/>
        </w:rPr>
        <w:t>有效期</w:t>
      </w:r>
      <w:r>
        <w:rPr>
          <w:rFonts w:hint="eastAsia" w:ascii="仿宋" w:hAnsi="仿宋" w:eastAsia="仿宋" w:cs="仿宋"/>
          <w:color w:val="auto"/>
          <w:sz w:val="32"/>
          <w:szCs w:val="32"/>
        </w:rPr>
        <w:t>一致。</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8" w:name="_Toc369531533"/>
      <w:bookmarkStart w:id="9" w:name="_Toc352691490"/>
      <w:bookmarkStart w:id="10" w:name="_Toc361508602"/>
      <w:bookmarkStart w:id="11" w:name="_Toc384308227"/>
      <w:bookmarkStart w:id="12"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8"/>
      <w:bookmarkEnd w:id="9"/>
      <w:bookmarkEnd w:id="10"/>
      <w:bookmarkEnd w:id="11"/>
      <w:bookmarkEnd w:id="12"/>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13" w:name="_Toc152045546"/>
      <w:bookmarkStart w:id="14" w:name="_Toc369531534"/>
      <w:bookmarkStart w:id="15" w:name="_Toc300834967"/>
      <w:bookmarkStart w:id="16" w:name="_Toc152042322"/>
      <w:bookmarkStart w:id="17" w:name="_Toc247513970"/>
      <w:bookmarkStart w:id="18" w:name="_Toc384308228"/>
      <w:bookmarkStart w:id="19" w:name="_Toc247527571"/>
      <w:bookmarkStart w:id="20" w:name="_Toc14751"/>
      <w:bookmarkStart w:id="21" w:name="_Toc361508603"/>
      <w:bookmarkStart w:id="22" w:name="_Toc144974514"/>
      <w:bookmarkStart w:id="23" w:name="_Toc35269149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13"/>
      <w:bookmarkEnd w:id="14"/>
      <w:bookmarkEnd w:id="15"/>
      <w:bookmarkEnd w:id="16"/>
      <w:bookmarkEnd w:id="17"/>
      <w:bookmarkEnd w:id="18"/>
      <w:bookmarkEnd w:id="19"/>
      <w:bookmarkEnd w:id="20"/>
      <w:bookmarkEnd w:id="21"/>
      <w:bookmarkEnd w:id="22"/>
      <w:bookmarkEnd w:id="23"/>
      <w:r>
        <w:rPr>
          <w:rFonts w:hint="eastAsia" w:ascii="仿宋" w:hAnsi="仿宋" w:eastAsia="仿宋" w:cs="仿宋"/>
          <w:color w:val="auto"/>
          <w:sz w:val="32"/>
          <w:szCs w:val="32"/>
        </w:rPr>
        <w:t>内</w:t>
      </w:r>
      <w:bookmarkStart w:id="24" w:name="_Toc247527572"/>
      <w:bookmarkStart w:id="25" w:name="_Toc369531535"/>
      <w:bookmarkStart w:id="26" w:name="_Toc17952"/>
      <w:bookmarkStart w:id="27" w:name="_Toc144974515"/>
      <w:bookmarkStart w:id="28" w:name="_Toc152042323"/>
      <w:bookmarkStart w:id="29" w:name="_Toc300834968"/>
      <w:bookmarkStart w:id="30" w:name="_Toc361508604"/>
      <w:bookmarkStart w:id="31" w:name="_Toc247513971"/>
      <w:bookmarkStart w:id="32" w:name="_Toc352691492"/>
      <w:bookmarkStart w:id="33" w:name="_Toc384308229"/>
      <w:bookmarkStart w:id="34" w:name="_Toc152045547"/>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24"/>
      <w:bookmarkEnd w:id="25"/>
      <w:bookmarkEnd w:id="26"/>
      <w:bookmarkEnd w:id="27"/>
      <w:bookmarkEnd w:id="28"/>
      <w:bookmarkEnd w:id="29"/>
      <w:bookmarkEnd w:id="30"/>
      <w:bookmarkEnd w:id="31"/>
      <w:bookmarkEnd w:id="32"/>
      <w:bookmarkEnd w:id="33"/>
      <w:bookmarkEnd w:id="3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pPr>
        <w:pStyle w:val="3"/>
        <w:kinsoku/>
        <w:wordWrap/>
        <w:overflowPunct/>
        <w:topLinePunct w:val="0"/>
        <w:autoSpaceDE/>
        <w:autoSpaceDN/>
        <w:bidi w:val="0"/>
        <w:snapToGrid/>
        <w:spacing w:before="0" w:after="0" w:line="520" w:lineRule="exact"/>
        <w:ind w:left="0" w:firstLine="320" w:firstLineChars="100"/>
        <w:jc w:val="both"/>
        <w:rPr>
          <w:rFonts w:hint="eastAsia" w:ascii="仿宋" w:hAnsi="仿宋" w:eastAsia="仿宋" w:cs="仿宋"/>
          <w:color w:val="auto"/>
          <w:sz w:val="32"/>
          <w:szCs w:val="32"/>
        </w:rPr>
      </w:pPr>
      <w:bookmarkStart w:id="35" w:name="_Toc21871"/>
      <w:bookmarkStart w:id="36" w:name="_Toc24514"/>
      <w:bookmarkStart w:id="37" w:name="_Toc33795794"/>
      <w:bookmarkStart w:id="38"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35"/>
      <w:bookmarkEnd w:id="36"/>
      <w:bookmarkEnd w:id="37"/>
      <w:bookmarkEnd w:id="38"/>
    </w:p>
    <w:p>
      <w:pPr>
        <w:pStyle w:val="3"/>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“近年财务状况表”应</w:t>
      </w:r>
      <w:r>
        <w:rPr>
          <w:rFonts w:hint="eastAsia" w:ascii="仿宋" w:hAnsi="仿宋" w:eastAsia="仿宋" w:cs="仿宋"/>
          <w:color w:val="auto"/>
          <w:sz w:val="32"/>
          <w:szCs w:val="32"/>
          <w:lang w:val="en-US" w:eastAsia="zh-CN"/>
        </w:rPr>
        <w:t>附近两年来的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财务报表或经审计机构审计的财务会计报表，包括资产负债表、现金流量表、利润表和财务情况说明书的复印件，成立的时间不足</w:t>
      </w:r>
      <w:r>
        <w:rPr>
          <w:rFonts w:hint="eastAsia" w:ascii="仿宋" w:hAnsi="仿宋" w:eastAsia="仿宋" w:cs="仿宋"/>
          <w:color w:val="auto"/>
          <w:sz w:val="32"/>
          <w:szCs w:val="32"/>
          <w:lang w:val="en-US" w:eastAsia="zh-CN"/>
        </w:rPr>
        <w:t>两年</w:t>
      </w:r>
      <w:r>
        <w:rPr>
          <w:rFonts w:hint="eastAsia" w:ascii="仿宋" w:hAnsi="仿宋" w:eastAsia="仿宋" w:cs="仿宋"/>
          <w:color w:val="auto"/>
          <w:sz w:val="32"/>
          <w:szCs w:val="32"/>
        </w:rPr>
        <w:t>的，应提供成立以来的财务状况。</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“近年完成的类似项目情况表”应附</w:t>
      </w:r>
      <w:r>
        <w:rPr>
          <w:rFonts w:hint="eastAsia" w:ascii="仿宋" w:hAnsi="仿宋" w:eastAsia="仿宋" w:cs="仿宋"/>
          <w:color w:val="auto"/>
          <w:sz w:val="32"/>
          <w:szCs w:val="32"/>
          <w:lang w:val="en-US" w:eastAsia="zh-CN"/>
        </w:rPr>
        <w:t>从2023年5月至今的</w:t>
      </w:r>
      <w:r>
        <w:rPr>
          <w:rFonts w:hint="eastAsia" w:ascii="仿宋" w:hAnsi="仿宋" w:eastAsia="仿宋" w:cs="仿宋"/>
          <w:color w:val="auto"/>
          <w:sz w:val="32"/>
          <w:szCs w:val="32"/>
        </w:rPr>
        <w:t>合同复印件，并标明序号。</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“近年发生的诉讼及仲裁情况”应说明相关情况，并附</w:t>
      </w:r>
      <w:r>
        <w:rPr>
          <w:rFonts w:hint="eastAsia" w:ascii="仿宋" w:hAnsi="仿宋" w:eastAsia="仿宋" w:cs="仿宋"/>
          <w:color w:val="auto"/>
          <w:sz w:val="32"/>
          <w:szCs w:val="32"/>
          <w:lang w:val="en-US" w:eastAsia="zh-CN"/>
        </w:rPr>
        <w:t>2022年5月至今的</w:t>
      </w:r>
      <w:r>
        <w:rPr>
          <w:rFonts w:hint="eastAsia" w:ascii="仿宋" w:hAnsi="仿宋" w:eastAsia="仿宋" w:cs="仿宋"/>
          <w:color w:val="auto"/>
          <w:sz w:val="32"/>
          <w:szCs w:val="32"/>
        </w:rPr>
        <w:t>法院或仲裁机构作出的判决、裁决等有关法律文书复印件。</w:t>
      </w:r>
    </w:p>
    <w:p>
      <w:pPr>
        <w:pStyle w:val="8"/>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beforeAutospacing="0" w:after="0" w:afterAutospacing="0" w:line="520" w:lineRule="exact"/>
        <w:ind w:firstLine="647" w:firstLineChars="200"/>
        <w:jc w:val="both"/>
        <w:textAlignment w:val="auto"/>
        <w:rPr>
          <w:rFonts w:hint="eastAsia" w:ascii="仿宋" w:hAnsi="仿宋" w:eastAsia="仿宋" w:cs="仿宋"/>
          <w:b/>
          <w:bCs/>
          <w:color w:val="auto"/>
          <w:spacing w:val="1"/>
          <w:sz w:val="32"/>
          <w:szCs w:val="32"/>
          <w:highlight w:val="none"/>
          <w:lang w:eastAsia="zh-CN"/>
        </w:rPr>
      </w:pPr>
      <w:r>
        <w:rPr>
          <w:rFonts w:hint="eastAsia" w:ascii="仿宋" w:hAnsi="仿宋" w:eastAsia="仿宋" w:cs="仿宋"/>
          <w:b/>
          <w:bCs/>
          <w:color w:val="auto"/>
          <w:spacing w:val="1"/>
          <w:sz w:val="32"/>
          <w:szCs w:val="32"/>
          <w:highlight w:val="none"/>
          <w:lang w:val="en-US" w:eastAsia="zh-CN"/>
        </w:rPr>
        <w:t>四</w:t>
      </w:r>
      <w:r>
        <w:rPr>
          <w:rFonts w:hint="eastAsia" w:ascii="仿宋" w:hAnsi="仿宋" w:eastAsia="仿宋" w:cs="仿宋"/>
          <w:b/>
          <w:bCs/>
          <w:color w:val="auto"/>
          <w:spacing w:val="1"/>
          <w:sz w:val="32"/>
          <w:szCs w:val="32"/>
          <w:highlight w:val="none"/>
          <w:lang w:eastAsia="zh-CN"/>
        </w:rPr>
        <w:t>、响应文件开启时间及地点</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Autospacing="0" w:afterAutospacing="0" w:line="520" w:lineRule="exact"/>
        <w:ind w:leftChars="0" w:firstLine="644" w:firstLineChars="200"/>
        <w:jc w:val="both"/>
        <w:textAlignment w:val="auto"/>
        <w:rPr>
          <w:rFonts w:hint="eastAsia" w:ascii="仿宋" w:hAnsi="仿宋" w:eastAsia="仿宋" w:cs="仿宋"/>
          <w:color w:val="auto"/>
          <w:spacing w:val="1"/>
          <w:kern w:val="0"/>
          <w:sz w:val="32"/>
          <w:szCs w:val="32"/>
          <w:highlight w:val="yellow"/>
          <w:lang w:val="en-US" w:eastAsia="zh-CN" w:bidi="ar-SA"/>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2025年5月26日10</w:t>
      </w:r>
      <w:bookmarkStart w:id="181" w:name="_GoBack"/>
      <w:bookmarkEnd w:id="181"/>
      <w:r>
        <w:rPr>
          <w:rFonts w:hint="eastAsia" w:ascii="仿宋" w:hAnsi="仿宋" w:eastAsia="仿宋" w:cs="仿宋"/>
          <w:color w:val="auto"/>
          <w:spacing w:val="1"/>
          <w:sz w:val="32"/>
          <w:szCs w:val="32"/>
          <w:highlight w:val="none"/>
          <w:lang w:val="en-US" w:eastAsia="zh-CN"/>
        </w:rPr>
        <w:t>时0分</w:t>
      </w:r>
      <w:r>
        <w:rPr>
          <w:rFonts w:hint="eastAsia" w:ascii="仿宋" w:hAnsi="仿宋" w:eastAsia="仿宋" w:cs="仿宋"/>
          <w:color w:val="auto"/>
          <w:spacing w:val="1"/>
          <w:kern w:val="0"/>
          <w:sz w:val="32"/>
          <w:szCs w:val="32"/>
          <w:highlight w:val="none"/>
          <w:lang w:val="en-US" w:eastAsia="zh-CN" w:bidi="ar-SA"/>
        </w:rPr>
        <w:t>；</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Autospacing="0" w:afterAutospacing="0" w:line="520" w:lineRule="exact"/>
        <w:ind w:leftChars="0" w:firstLine="644"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1"/>
          <w:kern w:val="0"/>
          <w:sz w:val="32"/>
          <w:szCs w:val="32"/>
          <w:highlight w:val="none"/>
          <w:lang w:val="en-US" w:eastAsia="zh-CN" w:bidi="ar-SA"/>
        </w:rPr>
        <w:t>（二）响应文件的开启地点：陕西锌业有限公司办公楼二楼开标办公室</w:t>
      </w:r>
    </w:p>
    <w:p>
      <w:pPr>
        <w:pStyle w:val="2"/>
        <w:keepNext w:val="0"/>
        <w:keepLines w:val="0"/>
        <w:pageBreakBefore w:val="0"/>
        <w:widowControl w:val="0"/>
        <w:kinsoku w:val="0"/>
        <w:wordWrap/>
        <w:overflowPunct/>
        <w:topLinePunct w:val="0"/>
        <w:autoSpaceDE w:val="0"/>
        <w:autoSpaceDN w:val="0"/>
        <w:bidi w:val="0"/>
        <w:adjustRightInd w:val="0"/>
        <w:snapToGrid w:val="0"/>
        <w:spacing w:before="0" w:beforeAutospacing="0" w:after="0" w:afterAutospacing="0" w:line="520" w:lineRule="exact"/>
        <w:ind w:leftChars="0" w:firstLine="643" w:firstLineChars="200"/>
        <w:jc w:val="both"/>
        <w:textAlignment w:val="auto"/>
        <w:rPr>
          <w:rFonts w:hint="eastAsia" w:ascii="仿宋" w:hAnsi="仿宋" w:eastAsia="仿宋" w:cs="仿宋"/>
          <w:color w:val="auto"/>
          <w:sz w:val="32"/>
          <w:szCs w:val="32"/>
          <w:lang w:val="en-US" w:eastAsia="zh-CN"/>
        </w:rPr>
      </w:pPr>
      <w:r>
        <w:rPr>
          <w:rStyle w:val="7"/>
          <w:rFonts w:hint="eastAsia" w:ascii="仿宋" w:hAnsi="仿宋" w:eastAsia="仿宋" w:cs="仿宋"/>
          <w:b/>
          <w:i w:val="0"/>
          <w:iCs w:val="0"/>
          <w:caps w:val="0"/>
          <w:color w:val="000000"/>
          <w:spacing w:val="0"/>
          <w:sz w:val="32"/>
          <w:szCs w:val="32"/>
          <w:lang w:val="en-US" w:eastAsia="zh-CN"/>
        </w:rPr>
        <w:t>五</w:t>
      </w:r>
      <w:r>
        <w:rPr>
          <w:rStyle w:val="7"/>
          <w:rFonts w:hint="eastAsia" w:ascii="仿宋" w:hAnsi="仿宋" w:eastAsia="仿宋" w:cs="仿宋"/>
          <w:b/>
          <w:i w:val="0"/>
          <w:iCs w:val="0"/>
          <w:caps w:val="0"/>
          <w:color w:val="000000"/>
          <w:spacing w:val="0"/>
          <w:sz w:val="32"/>
          <w:szCs w:val="32"/>
        </w:rPr>
        <w:t>、</w:t>
      </w:r>
      <w:r>
        <w:rPr>
          <w:rStyle w:val="7"/>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pPr>
        <w:rPr>
          <w:rFonts w:hint="eastAsia" w:ascii="仿宋" w:hAnsi="仿宋" w:eastAsia="仿宋" w:cs="仿宋"/>
          <w:sz w:val="32"/>
          <w:szCs w:val="32"/>
          <w:lang w:val="en-US"/>
        </w:rPr>
      </w:pPr>
      <w:r>
        <w:rPr>
          <w:rFonts w:hint="eastAsia" w:ascii="仿宋" w:hAnsi="仿宋" w:eastAsia="仿宋" w:cs="仿宋"/>
          <w:color w:val="auto"/>
          <w:sz w:val="32"/>
          <w:szCs w:val="32"/>
          <w:lang w:val="en-US" w:eastAsia="zh-CN"/>
        </w:rPr>
        <w:t xml:space="preserve">    （一）响应文件评审办法</w:t>
      </w:r>
    </w:p>
    <w:p>
      <w:pPr>
        <w:pStyle w:val="4"/>
        <w:keepNext w:val="0"/>
        <w:keepLines w:val="0"/>
        <w:widowControl/>
        <w:suppressLineNumbers w:val="0"/>
        <w:spacing w:before="0" w:beforeAutospacing="0" w:after="0" w:afterAutospacing="0" w:line="405" w:lineRule="atLeas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本次评</w:t>
      </w:r>
      <w:r>
        <w:rPr>
          <w:rFonts w:hint="eastAsia" w:ascii="仿宋" w:hAnsi="仿宋" w:eastAsia="仿宋" w:cs="仿宋"/>
          <w:color w:val="auto"/>
          <w:sz w:val="32"/>
          <w:szCs w:val="32"/>
          <w:lang w:val="en-US" w:eastAsia="zh-CN"/>
        </w:rPr>
        <w:t>审采用最低价法，是在响应文件满足采购文件实质性要求的前提下，按照响应供应商经评审的价格由低到高的顺序确定供应商优先次序的评审方法。</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w:t>
      </w:r>
      <w:r>
        <w:rPr>
          <w:rFonts w:hint="eastAsia" w:ascii="仿宋" w:hAnsi="仿宋" w:eastAsia="仿宋" w:cs="仿宋"/>
          <w:color w:val="auto"/>
          <w:sz w:val="32"/>
          <w:szCs w:val="32"/>
          <w:lang w:val="en-US" w:eastAsia="zh-CN"/>
        </w:rPr>
        <w:t>第一条第六项</w:t>
      </w:r>
      <w:r>
        <w:rPr>
          <w:rFonts w:hint="eastAsia" w:ascii="仿宋" w:hAnsi="仿宋" w:eastAsia="仿宋" w:cs="仿宋"/>
          <w:color w:val="auto"/>
          <w:sz w:val="32"/>
          <w:szCs w:val="32"/>
        </w:rPr>
        <w:t>规定的有关证明和证件的原件，</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进行初步评审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有一项不符合评审标准的，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或授权委托人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签字或盖章的；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39" w:name="_Toc144974570"/>
      <w:bookmarkStart w:id="40" w:name="_Toc300835013"/>
      <w:bookmarkStart w:id="41" w:name="_Toc2907"/>
      <w:bookmarkStart w:id="42" w:name="_Toc247514027"/>
      <w:bookmarkStart w:id="43" w:name="_Toc384308277"/>
      <w:bookmarkStart w:id="44" w:name="_Toc247527628"/>
      <w:bookmarkStart w:id="45" w:name="_Toc369531582"/>
      <w:bookmarkStart w:id="46" w:name="_Toc352691538"/>
      <w:bookmarkStart w:id="47" w:name="_Toc152042380"/>
      <w:bookmarkStart w:id="48" w:name="_Toc361508651"/>
      <w:bookmarkStart w:id="49" w:name="_Toc152045603"/>
      <w:r>
        <w:rPr>
          <w:rFonts w:hint="eastAsia" w:ascii="仿宋" w:hAnsi="仿宋" w:eastAsia="仿宋" w:cs="仿宋"/>
          <w:color w:val="auto"/>
          <w:sz w:val="32"/>
          <w:szCs w:val="32"/>
        </w:rPr>
        <w:t>行书面澄清确认。</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50" w:name="_Toc16955"/>
      <w:bookmarkStart w:id="51" w:name="_Toc33795835"/>
      <w:bookmarkStart w:id="52" w:name="_Toc29291"/>
      <w:bookmarkStart w:id="53" w:name="_Toc13563"/>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pPr>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bookmarkEnd w:id="50"/>
      <w:bookmarkEnd w:id="51"/>
      <w:bookmarkEnd w:id="52"/>
      <w:bookmarkEnd w:id="53"/>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pPr>
        <w:pStyle w:val="3"/>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54" w:name="_Toc32669"/>
      <w:bookmarkStart w:id="55" w:name="_Toc15253"/>
      <w:bookmarkStart w:id="56" w:name="_Toc3366"/>
      <w:bookmarkStart w:id="57"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54"/>
      <w:bookmarkEnd w:id="55"/>
      <w:bookmarkEnd w:id="56"/>
      <w:bookmarkEnd w:id="57"/>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pPr>
        <w:pStyle w:val="3"/>
        <w:pageBreakBefore w:val="0"/>
        <w:widowControl w:val="0"/>
        <w:kinsoku/>
        <w:wordWrap/>
        <w:overflowPunct/>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）评审结果</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pPr>
        <w:pStyle w:val="2"/>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58" w:name="_Toc8518"/>
      <w:bookmarkStart w:id="59" w:name="_Toc9481"/>
      <w:bookmarkStart w:id="60"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58"/>
      <w:bookmarkEnd w:id="59"/>
      <w:bookmarkEnd w:id="60"/>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61" w:name="_Toc21093"/>
      <w:bookmarkStart w:id="62" w:name="_Toc33795808"/>
      <w:bookmarkStart w:id="63" w:name="_Toc30852"/>
      <w:bookmarkStart w:id="64"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61"/>
      <w:bookmarkEnd w:id="62"/>
      <w:bookmarkEnd w:id="63"/>
      <w:bookmarkEnd w:id="64"/>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65" w:name="_Toc10372"/>
      <w:bookmarkStart w:id="66" w:name="_Toc33795809"/>
      <w:bookmarkStart w:id="67" w:name="_Toc7018"/>
      <w:bookmarkStart w:id="68"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65"/>
      <w:bookmarkEnd w:id="66"/>
      <w:bookmarkEnd w:id="67"/>
      <w:bookmarkEnd w:id="68"/>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69" w:name="_Toc300834982"/>
      <w:bookmarkStart w:id="70" w:name="_Toc361508618"/>
      <w:bookmarkStart w:id="71" w:name="_Toc152045561"/>
      <w:bookmarkStart w:id="72" w:name="_Toc144974529"/>
      <w:bookmarkStart w:id="73" w:name="_Toc30095"/>
      <w:bookmarkStart w:id="74" w:name="_Toc152042337"/>
      <w:bookmarkStart w:id="75" w:name="_Toc247527586"/>
      <w:bookmarkStart w:id="76" w:name="_Toc352691505"/>
      <w:bookmarkStart w:id="77" w:name="_Toc369531549"/>
      <w:bookmarkStart w:id="78" w:name="_Toc384308243"/>
      <w:bookmarkStart w:id="79" w:name="_Toc247513985"/>
      <w:r>
        <w:rPr>
          <w:rFonts w:hint="eastAsia" w:ascii="仿宋" w:hAnsi="仿宋" w:eastAsia="仿宋" w:cs="仿宋"/>
          <w:color w:val="auto"/>
          <w:sz w:val="32"/>
          <w:szCs w:val="32"/>
        </w:rPr>
        <w:t>害关系人对</w:t>
      </w:r>
      <w:bookmarkEnd w:id="69"/>
      <w:bookmarkEnd w:id="70"/>
      <w:bookmarkEnd w:id="71"/>
      <w:bookmarkEnd w:id="72"/>
      <w:bookmarkEnd w:id="73"/>
      <w:bookmarkEnd w:id="74"/>
      <w:bookmarkEnd w:id="75"/>
      <w:bookmarkEnd w:id="76"/>
      <w:bookmarkEnd w:id="77"/>
      <w:bookmarkEnd w:id="78"/>
      <w:bookmarkEnd w:id="79"/>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0" w:name="_Toc25590"/>
      <w:bookmarkStart w:id="81" w:name="_Toc28756"/>
      <w:bookmarkStart w:id="82" w:name="_Toc33795810"/>
      <w:bookmarkStart w:id="83" w:name="_Toc2164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80"/>
      <w:bookmarkEnd w:id="81"/>
      <w:bookmarkEnd w:id="82"/>
      <w:bookmarkEnd w:id="83"/>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lang w:val="en-US"/>
        </w:rPr>
      </w:pPr>
      <w:bookmarkStart w:id="84" w:name="_Toc33795811"/>
      <w:bookmarkStart w:id="85" w:name="_Toc19470"/>
      <w:bookmarkStart w:id="86" w:name="_Toc2191"/>
      <w:bookmarkStart w:id="87"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84"/>
      <w:bookmarkEnd w:id="85"/>
      <w:bookmarkEnd w:id="86"/>
      <w:bookmarkEnd w:id="87"/>
      <w:r>
        <w:rPr>
          <w:rFonts w:hint="eastAsia" w:ascii="仿宋" w:hAnsi="仿宋" w:eastAsia="仿宋" w:cs="仿宋"/>
          <w:color w:val="auto"/>
          <w:sz w:val="32"/>
          <w:szCs w:val="32"/>
          <w:lang w:val="en-US" w:eastAsia="zh-CN"/>
        </w:rPr>
        <w:t>确定成交人</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88" w:name="_Toc10813"/>
      <w:bookmarkStart w:id="89" w:name="_Toc31681"/>
      <w:bookmarkStart w:id="90" w:name="_Toc33795812"/>
      <w:bookmarkStart w:id="91"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88"/>
      <w:bookmarkEnd w:id="89"/>
      <w:bookmarkEnd w:id="90"/>
      <w:bookmarkEnd w:id="9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以书面形式向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92" w:name="_Toc352691506"/>
      <w:bookmarkStart w:id="93" w:name="_Toc300834983"/>
      <w:bookmarkStart w:id="94" w:name="_Toc369531550"/>
      <w:bookmarkStart w:id="95" w:name="_Toc5668"/>
      <w:bookmarkStart w:id="96" w:name="_Toc361508619"/>
      <w:bookmarkStart w:id="97"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通知书，同时将</w:t>
      </w:r>
      <w:bookmarkEnd w:id="92"/>
      <w:bookmarkEnd w:id="93"/>
      <w:bookmarkEnd w:id="94"/>
      <w:bookmarkEnd w:id="95"/>
      <w:bookmarkEnd w:id="96"/>
      <w:bookmarkEnd w:id="97"/>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结果通知未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98" w:name="_Toc33795813"/>
      <w:bookmarkStart w:id="99" w:name="_Toc21613"/>
      <w:bookmarkStart w:id="100" w:name="_Toc30705"/>
      <w:bookmarkStart w:id="101" w:name="_Toc434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98"/>
      <w:bookmarkEnd w:id="99"/>
      <w:bookmarkEnd w:id="100"/>
      <w:bookmarkEnd w:id="10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1.成交后成交人应提供履约担保，之前所交的20万元响应保证金转为合同履约保证金</w:t>
      </w:r>
      <w:r>
        <w:rPr>
          <w:rFonts w:hint="eastAsia" w:ascii="仿宋" w:hAnsi="仿宋" w:eastAsia="仿宋" w:cs="仿宋"/>
          <w:color w:val="auto"/>
          <w:sz w:val="32"/>
          <w:szCs w:val="32"/>
        </w:rPr>
        <w:t>。</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pStyle w:val="3"/>
        <w:kinsoku/>
        <w:wordWrap/>
        <w:overflowPunct/>
        <w:topLinePunct w:val="0"/>
        <w:autoSpaceDE/>
        <w:autoSpaceDN/>
        <w:bidi w:val="0"/>
        <w:snapToGrid/>
        <w:spacing w:before="0" w:after="0" w:line="520" w:lineRule="exact"/>
        <w:ind w:left="0" w:leftChars="0" w:firstLine="320" w:firstLineChars="100"/>
        <w:jc w:val="both"/>
        <w:rPr>
          <w:rFonts w:hint="eastAsia" w:ascii="仿宋" w:hAnsi="仿宋" w:eastAsia="仿宋" w:cs="仿宋"/>
          <w:color w:val="auto"/>
          <w:sz w:val="32"/>
          <w:szCs w:val="32"/>
        </w:rPr>
      </w:pPr>
      <w:bookmarkStart w:id="102" w:name="_Toc33795814"/>
      <w:bookmarkStart w:id="103" w:name="_Toc3671"/>
      <w:bookmarkStart w:id="104" w:name="_Toc14362"/>
      <w:bookmarkStart w:id="105" w:name="_Toc1118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02"/>
      <w:bookmarkEnd w:id="103"/>
      <w:bookmarkEnd w:id="104"/>
      <w:bookmarkEnd w:id="105"/>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06" w:name="_Toc384308247"/>
      <w:bookmarkStart w:id="107" w:name="_Toc247513988"/>
      <w:bookmarkStart w:id="108" w:name="_Toc300834986"/>
      <w:bookmarkStart w:id="109" w:name="_Toc152045564"/>
      <w:bookmarkStart w:id="110" w:name="_Toc4656"/>
      <w:bookmarkStart w:id="111" w:name="_Toc144974532"/>
      <w:bookmarkStart w:id="112" w:name="_Toc361508622"/>
      <w:bookmarkStart w:id="113" w:name="_Toc152042340"/>
      <w:bookmarkStart w:id="114" w:name="_Toc247527589"/>
      <w:bookmarkStart w:id="115" w:name="_Toc352691509"/>
      <w:bookmarkStart w:id="116" w:name="_Toc369531553"/>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日内，根据</w:t>
      </w:r>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17" w:name="_Toc352691510"/>
      <w:bookmarkStart w:id="118" w:name="_Toc18247"/>
      <w:bookmarkStart w:id="119" w:name="_Toc152042341"/>
      <w:bookmarkStart w:id="120" w:name="_Toc152045565"/>
      <w:bookmarkStart w:id="121" w:name="_Toc144974533"/>
      <w:bookmarkStart w:id="122" w:name="_Toc300834987"/>
      <w:bookmarkStart w:id="123" w:name="_Toc247527590"/>
      <w:bookmarkStart w:id="124" w:name="_Toc361508623"/>
      <w:bookmarkStart w:id="125" w:name="_Toc369531554"/>
      <w:bookmarkStart w:id="126" w:name="_Toc247513989"/>
      <w:bookmarkStart w:id="127" w:name="_Toc384308248"/>
      <w:r>
        <w:rPr>
          <w:rFonts w:hint="eastAsia" w:ascii="仿宋" w:hAnsi="仿宋" w:eastAsia="仿宋" w:cs="仿宋"/>
          <w:color w:val="auto"/>
          <w:sz w:val="32"/>
          <w:szCs w:val="32"/>
        </w:rPr>
        <w:t>当理由拒签合</w:t>
      </w:r>
      <w:bookmarkEnd w:id="117"/>
      <w:bookmarkEnd w:id="118"/>
      <w:bookmarkEnd w:id="119"/>
      <w:bookmarkEnd w:id="120"/>
      <w:bookmarkEnd w:id="121"/>
      <w:bookmarkEnd w:id="122"/>
      <w:bookmarkEnd w:id="123"/>
      <w:bookmarkEnd w:id="124"/>
      <w:bookmarkEnd w:id="125"/>
      <w:bookmarkEnd w:id="126"/>
      <w:bookmarkEnd w:id="127"/>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28" w:name="_Toc361508627"/>
      <w:bookmarkStart w:id="129" w:name="_Toc24067"/>
      <w:bookmarkStart w:id="130" w:name="_Toc384308252"/>
      <w:bookmarkStart w:id="131" w:name="_Toc247527593"/>
      <w:bookmarkStart w:id="132" w:name="_Toc152042344"/>
      <w:bookmarkStart w:id="133" w:name="_Toc144974536"/>
      <w:bookmarkStart w:id="134" w:name="_Toc247513992"/>
      <w:bookmarkStart w:id="135" w:name="_Toc152045568"/>
      <w:bookmarkStart w:id="136" w:name="_Toc300834991"/>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代理合同签订后，成交方违反合同的，应向采购方支付合同总额20%的违约金，由此给采购方造成经济损失的，成交方还应赔偿采购方实际损失，成交方承担的违约金及损失，采购方可直接从成交方履约保证金中扣收，不足部分从应付费用或其它款项中扣收，采购方继续要求履行合同的，报价方应继续履行。</w:t>
      </w:r>
    </w:p>
    <w:bookmarkEnd w:id="128"/>
    <w:bookmarkEnd w:id="129"/>
    <w:bookmarkEnd w:id="130"/>
    <w:p>
      <w:pPr>
        <w:pStyle w:val="2"/>
        <w:kinsoku/>
        <w:wordWrap/>
        <w:overflowPunct/>
        <w:topLinePunct w:val="0"/>
        <w:autoSpaceDE/>
        <w:autoSpaceDN/>
        <w:bidi w:val="0"/>
        <w:snapToGrid/>
        <w:spacing w:before="0" w:after="0" w:line="520" w:lineRule="exact"/>
        <w:ind w:left="0" w:firstLine="643" w:firstLineChars="200"/>
        <w:jc w:val="both"/>
        <w:rPr>
          <w:rFonts w:hint="eastAsia" w:ascii="仿宋" w:hAnsi="仿宋" w:eastAsia="仿宋" w:cs="仿宋"/>
          <w:color w:val="auto"/>
          <w:sz w:val="32"/>
          <w:szCs w:val="32"/>
        </w:rPr>
      </w:pPr>
      <w:bookmarkStart w:id="137" w:name="_Toc25347"/>
      <w:bookmarkStart w:id="138" w:name="_Toc14752"/>
      <w:bookmarkStart w:id="139"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37"/>
      <w:bookmarkEnd w:id="138"/>
      <w:bookmarkEnd w:id="139"/>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pPr>
        <w:kinsoku/>
        <w:wordWrap/>
        <w:overflowPunct/>
        <w:topLinePunct w:val="0"/>
        <w:autoSpaceDE/>
        <w:autoSpaceDN/>
        <w:bidi w:val="0"/>
        <w:snapToGrid/>
        <w:spacing w:line="52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40" w:name="_Toc384308253"/>
      <w:bookmarkStart w:id="141" w:name="_Toc361508628"/>
      <w:bookmarkStart w:id="142" w:name="_Toc352691515"/>
      <w:bookmarkStart w:id="143" w:name="_Toc13644"/>
      <w:bookmarkStart w:id="144" w:name="_Toc369531559"/>
      <w:r>
        <w:rPr>
          <w:rFonts w:hint="eastAsia" w:ascii="仿宋" w:hAnsi="仿宋" w:eastAsia="仿宋" w:cs="仿宋"/>
          <w:color w:val="auto"/>
          <w:sz w:val="32"/>
          <w:szCs w:val="32"/>
        </w:rPr>
        <w:t>和比较、</w:t>
      </w:r>
      <w:bookmarkEnd w:id="131"/>
      <w:bookmarkEnd w:id="132"/>
      <w:bookmarkEnd w:id="133"/>
      <w:bookmarkEnd w:id="134"/>
      <w:bookmarkEnd w:id="135"/>
      <w:bookmarkEnd w:id="136"/>
      <w:bookmarkEnd w:id="140"/>
      <w:bookmarkEnd w:id="141"/>
      <w:bookmarkEnd w:id="142"/>
      <w:bookmarkEnd w:id="143"/>
      <w:bookmarkEnd w:id="144"/>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pPr>
        <w:pStyle w:val="3"/>
        <w:numPr>
          <w:ilvl w:val="0"/>
          <w:numId w:val="0"/>
        </w:numPr>
        <w:kinsoku/>
        <w:wordWrap/>
        <w:overflowPunct/>
        <w:topLinePunct w:val="0"/>
        <w:autoSpaceDE/>
        <w:autoSpaceDN/>
        <w:bidi w:val="0"/>
        <w:snapToGrid/>
        <w:spacing w:before="0" w:after="0" w:line="520" w:lineRule="exact"/>
        <w:ind w:left="0" w:firstLine="640" w:firstLineChars="200"/>
        <w:jc w:val="both"/>
        <w:rPr>
          <w:rFonts w:hint="eastAsia" w:ascii="仿宋" w:hAnsi="仿宋" w:eastAsia="仿宋" w:cs="仿宋"/>
          <w:color w:val="auto"/>
          <w:sz w:val="32"/>
          <w:szCs w:val="32"/>
        </w:rPr>
      </w:pPr>
      <w:bookmarkStart w:id="145" w:name="_Toc33795820"/>
      <w:bookmarkStart w:id="146" w:name="_Toc24957"/>
      <w:bookmarkStart w:id="147" w:name="_Toc18070"/>
      <w:bookmarkStart w:id="148" w:name="_Toc22294"/>
      <w:r>
        <w:rPr>
          <w:rFonts w:hint="eastAsia" w:ascii="仿宋" w:hAnsi="仿宋" w:eastAsia="仿宋" w:cs="仿宋"/>
          <w:color w:val="auto"/>
          <w:sz w:val="32"/>
          <w:szCs w:val="32"/>
          <w:lang w:val="en-US" w:eastAsia="zh-CN"/>
        </w:rPr>
        <w:t>（三）异议</w:t>
      </w:r>
      <w:bookmarkEnd w:id="145"/>
      <w:bookmarkEnd w:id="146"/>
      <w:bookmarkEnd w:id="147"/>
      <w:bookmarkEnd w:id="148"/>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1.供应商或者其他利害关系人认为采购人采购活动存在不合法或违反民事活动中平等自愿、公平诚信原则情形的，可以直接向采购人单位招标办公室提出提出异议。</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pPr>
        <w:keepNext w:val="0"/>
        <w:keepLines w:val="0"/>
        <w:pageBreakBefore w:val="0"/>
        <w:widowControl w:val="0"/>
        <w:suppressLineNumbers w:val="0"/>
        <w:kinsoku/>
        <w:wordWrap/>
        <w:overflowPunct/>
        <w:topLinePunct w:val="0"/>
        <w:autoSpaceDE/>
        <w:autoSpaceDN/>
        <w:bidi w:val="0"/>
        <w:adjustRightInd/>
        <w:snapToGrid/>
        <w:spacing w:line="520" w:lineRule="exact"/>
        <w:ind w:left="0" w:firstLine="640" w:firstLineChars="200"/>
        <w:jc w:val="both"/>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的，招标办应及时予以改正或补救。 </w:t>
      </w:r>
    </w:p>
    <w:p>
      <w:pPr>
        <w:pStyle w:val="9"/>
        <w:numPr>
          <w:ilvl w:val="0"/>
          <w:numId w:val="0"/>
        </w:numPr>
        <w:spacing w:line="520" w:lineRule="exact"/>
        <w:ind w:leftChars="50"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业务联系方式</w:t>
      </w:r>
    </w:p>
    <w:p>
      <w:pPr>
        <w:pStyle w:val="9"/>
        <w:spacing w:line="520" w:lineRule="exact"/>
        <w:ind w:left="105" w:leftChars="50" w:firstLine="560"/>
        <w:rPr>
          <w:rFonts w:hint="eastAsia" w:ascii="仿宋" w:hAnsi="仿宋" w:eastAsia="仿宋" w:cs="仿宋"/>
          <w:sz w:val="32"/>
          <w:szCs w:val="32"/>
          <w:lang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李锋</w:t>
      </w:r>
    </w:p>
    <w:p>
      <w:pPr>
        <w:pStyle w:val="9"/>
        <w:spacing w:line="520" w:lineRule="exact"/>
        <w:ind w:left="105" w:leftChars="50" w:firstLine="560"/>
        <w:rPr>
          <w:rFonts w:hint="eastAsia" w:ascii="仿宋" w:hAnsi="仿宋" w:eastAsia="仿宋" w:cs="仿宋"/>
          <w:sz w:val="32"/>
          <w:szCs w:val="32"/>
          <w:lang w:val="en-US" w:eastAsia="zh-CN"/>
        </w:rPr>
      </w:pPr>
      <w:r>
        <w:rPr>
          <w:rFonts w:hint="eastAsia" w:ascii="仿宋" w:hAnsi="仿宋" w:eastAsia="仿宋" w:cs="仿宋"/>
          <w:sz w:val="32"/>
          <w:szCs w:val="32"/>
        </w:rPr>
        <w:t>电话：</w:t>
      </w:r>
      <w:r>
        <w:rPr>
          <w:rFonts w:hint="eastAsia" w:ascii="仿宋" w:hAnsi="仿宋" w:eastAsia="仿宋" w:cs="仿宋"/>
          <w:sz w:val="32"/>
          <w:szCs w:val="32"/>
          <w:lang w:val="en-US" w:eastAsia="zh-CN"/>
        </w:rPr>
        <w:t>18909143196</w:t>
      </w:r>
    </w:p>
    <w:p>
      <w:pPr>
        <w:pStyle w:val="9"/>
        <w:spacing w:line="520" w:lineRule="exact"/>
        <w:ind w:left="105" w:leftChars="50" w:firstLine="560"/>
        <w:rPr>
          <w:rFonts w:hint="eastAsia" w:ascii="仿宋" w:hAnsi="仿宋" w:eastAsia="仿宋" w:cs="仿宋"/>
          <w:sz w:val="32"/>
          <w:szCs w:val="32"/>
        </w:rPr>
      </w:pPr>
      <w:r>
        <w:rPr>
          <w:rFonts w:hint="eastAsia" w:ascii="仿宋" w:hAnsi="仿宋" w:eastAsia="仿宋" w:cs="仿宋"/>
          <w:sz w:val="32"/>
          <w:szCs w:val="32"/>
        </w:rPr>
        <w:t>地址：陕西省商洛市商州区沙河子镇陕西锌业公司</w:t>
      </w:r>
      <w:r>
        <w:rPr>
          <w:rFonts w:hint="eastAsia" w:ascii="仿宋" w:hAnsi="仿宋" w:eastAsia="仿宋" w:cs="仿宋"/>
          <w:sz w:val="32"/>
          <w:szCs w:val="32"/>
          <w:lang w:eastAsia="zh-CN"/>
        </w:rPr>
        <w:t>市场营销</w:t>
      </w:r>
      <w:r>
        <w:rPr>
          <w:rFonts w:hint="eastAsia" w:ascii="仿宋" w:hAnsi="仿宋" w:eastAsia="仿宋" w:cs="仿宋"/>
          <w:sz w:val="32"/>
          <w:szCs w:val="32"/>
        </w:rPr>
        <w:t>部</w:t>
      </w:r>
    </w:p>
    <w:p>
      <w:pPr>
        <w:spacing w:line="520" w:lineRule="exact"/>
        <w:ind w:left="105" w:leftChars="50" w:firstLine="320" w:firstLineChars="10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0" w:firstLineChars="100"/>
        <w:rPr>
          <w:rFonts w:hint="eastAsia" w:ascii="仿宋" w:hAnsi="仿宋" w:eastAsia="仿宋" w:cs="仿宋"/>
          <w:sz w:val="32"/>
          <w:szCs w:val="32"/>
        </w:rPr>
      </w:pPr>
    </w:p>
    <w:p>
      <w:pPr>
        <w:spacing w:line="520" w:lineRule="exact"/>
        <w:ind w:left="105" w:leftChars="50" w:firstLine="321" w:firstLineChars="100"/>
        <w:rPr>
          <w:rFonts w:hint="default" w:ascii="黑体" w:hAnsi="黑体" w:eastAsia="黑体" w:cs="黑体"/>
          <w:b/>
          <w:bCs w:val="0"/>
          <w:color w:val="auto"/>
          <w:sz w:val="36"/>
          <w:szCs w:val="36"/>
          <w:lang w:val="en-US"/>
        </w:rPr>
      </w:pPr>
      <w:r>
        <w:rPr>
          <w:rFonts w:hint="eastAsia" w:ascii="仿宋" w:hAnsi="仿宋" w:eastAsia="仿宋" w:cs="仿宋"/>
          <w:b/>
          <w:bCs/>
          <w:sz w:val="32"/>
          <w:szCs w:val="32"/>
          <w:lang w:val="en-US" w:eastAsia="zh-CN"/>
        </w:rPr>
        <w:t>附：响应文件模版</w:t>
      </w:r>
    </w:p>
    <w:p>
      <w:pPr>
        <w:spacing w:line="540" w:lineRule="exact"/>
        <w:rPr>
          <w:rFonts w:hint="eastAsia" w:ascii="仿宋" w:hAnsi="仿宋" w:eastAsia="仿宋" w:cs="仿宋"/>
          <w:color w:val="auto"/>
          <w:sz w:val="32"/>
          <w:szCs w:val="32"/>
        </w:rPr>
      </w:pP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jc w:val="center"/>
        <w:rPr>
          <w:rFonts w:hint="eastAsia" w:ascii="黑体" w:hAnsi="黑体" w:eastAsia="黑体" w:cs="黑体"/>
          <w:b w:val="0"/>
          <w:bCs/>
          <w:color w:val="auto"/>
          <w:sz w:val="36"/>
          <w:szCs w:val="36"/>
        </w:rPr>
      </w:pPr>
      <w:bookmarkStart w:id="149" w:name="_Toc16531"/>
      <w:bookmarkStart w:id="150" w:name="_Toc504488768"/>
      <w:r>
        <w:rPr>
          <w:rFonts w:hint="eastAsia" w:ascii="黑体" w:hAnsi="黑体" w:eastAsia="黑体" w:cs="黑体"/>
          <w:b w:val="0"/>
          <w:bCs/>
          <w:color w:val="auto"/>
          <w:sz w:val="36"/>
          <w:szCs w:val="36"/>
        </w:rPr>
        <w:t>一、</w:t>
      </w:r>
      <w:bookmarkEnd w:id="149"/>
      <w:bookmarkEnd w:id="150"/>
      <w:r>
        <w:rPr>
          <w:rFonts w:hint="eastAsia" w:ascii="黑体" w:hAnsi="黑体" w:eastAsia="黑体" w:cs="黑体"/>
          <w:b w:val="0"/>
          <w:bCs/>
          <w:color w:val="auto"/>
          <w:sz w:val="36"/>
          <w:szCs w:val="36"/>
          <w:lang w:eastAsia="zh-CN"/>
        </w:rPr>
        <w:t>响应函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b w:val="0"/>
          <w:bCs w:val="0"/>
          <w:color w:val="auto"/>
          <w:sz w:val="32"/>
          <w:szCs w:val="32"/>
          <w:u w:val="single"/>
        </w:rPr>
        <w:t xml:space="preserve">     </w:t>
      </w:r>
      <w:r>
        <w:rPr>
          <w:rFonts w:hint="eastAsia" w:ascii="仿宋" w:hAnsi="仿宋" w:eastAsia="仿宋" w:cs="仿宋"/>
          <w:b w:val="0"/>
          <w:bCs w:val="0"/>
          <w:color w:val="auto"/>
          <w:sz w:val="32"/>
          <w:szCs w:val="32"/>
          <w:u w:val="single"/>
          <w:lang w:val="en-US" w:eastAsia="zh-CN"/>
        </w:rPr>
        <w:t>元</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提供服务，质量标准</w:t>
      </w:r>
      <w:r>
        <w:rPr>
          <w:rFonts w:hint="eastAsia" w:ascii="仿宋" w:hAnsi="仿宋" w:eastAsia="仿宋" w:cs="仿宋"/>
          <w:color w:val="auto"/>
          <w:sz w:val="32"/>
          <w:szCs w:val="32"/>
          <w:lang w:val="en-US" w:eastAsia="zh-CN"/>
        </w:rPr>
        <w:t>满足贵司要求</w:t>
      </w:r>
      <w:r>
        <w:rPr>
          <w:rFonts w:hint="eastAsia" w:ascii="仿宋" w:hAnsi="仿宋" w:eastAsia="仿宋" w:cs="仿宋"/>
          <w:color w:val="auto"/>
          <w:sz w:val="32"/>
          <w:szCs w:val="32"/>
        </w:rPr>
        <w:t xml:space="preserve"> ，并按合同约定履行义务。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在签订合同时不向你方提出附加条件；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w:t>
      </w:r>
      <w:r>
        <w:rPr>
          <w:rFonts w:hint="eastAsia" w:ascii="仿宋" w:hAnsi="仿宋" w:eastAsia="仿宋" w:cs="仿宋"/>
          <w:color w:val="auto"/>
          <w:sz w:val="32"/>
          <w:szCs w:val="32"/>
          <w:lang w:val="en-US" w:eastAsia="zh-CN"/>
        </w:rPr>
        <w:t>一条第六款第7</w:t>
      </w:r>
      <w:r>
        <w:rPr>
          <w:rFonts w:hint="eastAsia" w:ascii="仿宋" w:hAnsi="仿宋" w:eastAsia="仿宋" w:cs="仿宋"/>
          <w:color w:val="auto"/>
          <w:sz w:val="32"/>
          <w:szCs w:val="32"/>
        </w:rPr>
        <w:t>项规定的任何一种情形。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51" w:name="_Toc28734"/>
      <w:bookmarkStart w:id="152" w:name="_Toc504488769"/>
    </w:p>
    <w:p>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51"/>
      <w:bookmarkEnd w:id="152"/>
    </w:p>
    <w:p>
      <w:pPr>
        <w:spacing w:line="440" w:lineRule="exact"/>
        <w:rPr>
          <w:rFonts w:hint="eastAsia" w:ascii="仿宋" w:hAnsi="仿宋" w:eastAsia="仿宋" w:cs="仿宋"/>
          <w:color w:val="auto"/>
          <w:sz w:val="32"/>
          <w:szCs w:val="32"/>
        </w:rPr>
      </w:pPr>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53" w:name="_Toc27897"/>
      <w:bookmarkStart w:id="154" w:name="_Toc369531698"/>
      <w:bookmarkStart w:id="155"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53"/>
      <w:bookmarkEnd w:id="154"/>
      <w:bookmarkEnd w:id="155"/>
      <w:r>
        <w:rPr>
          <w:rFonts w:hint="eastAsia" w:ascii="仿宋" w:hAnsi="仿宋" w:eastAsia="仿宋" w:cs="仿宋"/>
          <w:color w:val="auto"/>
          <w:sz w:val="32"/>
          <w:szCs w:val="32"/>
        </w:rPr>
        <w:t>龄</w:t>
      </w:r>
      <w:bookmarkStart w:id="156" w:name="_Toc300835211"/>
      <w:bookmarkStart w:id="157" w:name="_Toc361508754"/>
      <w:bookmarkStart w:id="158" w:name="_Toc144974858"/>
      <w:bookmarkStart w:id="159" w:name="_Toc247527829"/>
      <w:bookmarkStart w:id="160" w:name="_Toc152042578"/>
      <w:bookmarkStart w:id="161" w:name="_Toc369531699"/>
      <w:bookmarkStart w:id="162" w:name="_Toc15573"/>
      <w:bookmarkStart w:id="163" w:name="_Toc152045789"/>
      <w:bookmarkStart w:id="164" w:name="_Toc352691663"/>
      <w:bookmarkStart w:id="165" w:name="_Toc384308377"/>
      <w:bookmarkStart w:id="166" w:name="_Toc247514248"/>
      <w:r>
        <w:rPr>
          <w:rFonts w:hint="eastAsia" w:ascii="仿宋" w:hAnsi="仿宋" w:eastAsia="仿宋" w:cs="仿宋"/>
          <w:color w:val="auto"/>
          <w:sz w:val="32"/>
          <w:szCs w:val="32"/>
        </w:rPr>
        <w:t>：</w:t>
      </w:r>
      <w:bookmarkEnd w:id="156"/>
      <w:bookmarkEnd w:id="157"/>
      <w:bookmarkEnd w:id="158"/>
      <w:bookmarkEnd w:id="159"/>
      <w:bookmarkEnd w:id="160"/>
      <w:bookmarkEnd w:id="161"/>
      <w:bookmarkEnd w:id="162"/>
      <w:bookmarkEnd w:id="163"/>
      <w:bookmarkEnd w:id="164"/>
      <w:bookmarkEnd w:id="165"/>
      <w:bookmarkEnd w:id="166"/>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jc w:val="center"/>
        <w:rPr>
          <w:rFonts w:hint="eastAsia" w:ascii="黑体" w:hAnsi="黑体" w:eastAsia="黑体" w:cs="黑体"/>
          <w:color w:val="auto"/>
          <w:sz w:val="36"/>
          <w:szCs w:val="36"/>
        </w:rPr>
      </w:pPr>
      <w:bookmarkStart w:id="167" w:name="_Toc504488770"/>
      <w:bookmarkStart w:id="168" w:name="_Toc2777"/>
      <w:r>
        <w:rPr>
          <w:rFonts w:hint="eastAsia" w:ascii="黑体" w:hAnsi="黑体" w:eastAsia="黑体" w:cs="黑体"/>
          <w:color w:val="auto"/>
          <w:sz w:val="36"/>
          <w:szCs w:val="36"/>
        </w:rPr>
        <w:t>二、授权委托书</w:t>
      </w:r>
      <w:bookmarkEnd w:id="167"/>
      <w:bookmarkEnd w:id="168"/>
    </w:p>
    <w:p>
      <w:pPr>
        <w:spacing w:line="440" w:lineRule="exact"/>
        <w:rPr>
          <w:rFonts w:hint="eastAsia" w:ascii="仿宋" w:hAnsi="仿宋" w:eastAsia="仿宋" w:cs="仿宋"/>
          <w:color w:val="auto"/>
          <w:sz w:val="32"/>
          <w:szCs w:val="32"/>
        </w:rPr>
      </w:pPr>
    </w:p>
    <w:p>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spacing w:after="0" w:line="413" w:lineRule="auto"/>
        <w:jc w:val="center"/>
        <w:rPr>
          <w:rFonts w:hint="eastAsia" w:ascii="黑体" w:hAnsi="黑体" w:eastAsia="黑体" w:cs="黑体"/>
          <w:color w:val="auto"/>
          <w:sz w:val="36"/>
          <w:szCs w:val="36"/>
          <w:u w:val="single"/>
          <w:lang w:eastAsia="zh-CN"/>
        </w:rPr>
      </w:pPr>
      <w:bookmarkStart w:id="169" w:name="_Toc7842"/>
      <w:bookmarkStart w:id="170"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69"/>
      <w:bookmarkEnd w:id="170"/>
      <w:r>
        <w:rPr>
          <w:rFonts w:hint="eastAsia" w:ascii="黑体" w:hAnsi="黑体" w:eastAsia="黑体" w:cs="黑体"/>
          <w:color w:val="auto"/>
          <w:sz w:val="36"/>
          <w:szCs w:val="36"/>
          <w:lang w:eastAsia="zh-CN"/>
        </w:rPr>
        <w:t>响应保证金</w:t>
      </w:r>
    </w:p>
    <w:p>
      <w:pPr>
        <w:spacing w:line="440" w:lineRule="exact"/>
        <w:rPr>
          <w:rFonts w:hint="eastAsia" w:ascii="仿宋" w:hAnsi="仿宋" w:eastAsia="仿宋" w:cs="仿宋"/>
          <w:b/>
          <w:bCs/>
          <w:color w:val="auto"/>
          <w:sz w:val="32"/>
          <w:szCs w:val="32"/>
        </w:rPr>
      </w:pPr>
    </w:p>
    <w:p>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pPr>
        <w:spacing w:line="440" w:lineRule="exact"/>
        <w:rPr>
          <w:rFonts w:hint="eastAsia" w:ascii="仿宋" w:hAnsi="仿宋" w:eastAsia="仿宋" w:cs="仿宋"/>
          <w:color w:val="auto"/>
          <w:sz w:val="32"/>
          <w:szCs w:val="32"/>
        </w:rPr>
      </w:pPr>
      <w:r>
        <w:rPr>
          <w:rFonts w:hint="eastAsia" w:ascii="仿宋" w:hAnsi="仿宋" w:eastAsia="仿宋" w:cs="仿宋"/>
          <w:b/>
          <w:bCs/>
          <w:color w:val="auto"/>
          <w:sz w:val="32"/>
          <w:szCs w:val="32"/>
        </w:rPr>
        <w:t>银行开户许可证明材料（复印件）</w:t>
      </w:r>
    </w:p>
    <w:p>
      <w:pPr>
        <w:widowControl/>
        <w:jc w:val="left"/>
        <w:rPr>
          <w:rFonts w:ascii="Times New Roman" w:hAnsi="Times New Roman"/>
          <w:color w:val="auto"/>
          <w:sz w:val="24"/>
          <w:szCs w:val="24"/>
        </w:rPr>
      </w:pPr>
    </w:p>
    <w:p>
      <w:pPr>
        <w:spacing w:line="440" w:lineRule="exact"/>
        <w:jc w:val="center"/>
        <w:rPr>
          <w:rFonts w:ascii="Times New Roman" w:hAnsi="Times New Roman" w:eastAsia="黑体"/>
          <w:color w:val="auto"/>
          <w:sz w:val="27"/>
          <w:szCs w:val="27"/>
        </w:rPr>
      </w:pPr>
    </w:p>
    <w:p>
      <w:pPr>
        <w:spacing w:line="440" w:lineRule="exact"/>
        <w:ind w:firstLine="420" w:firstLineChars="200"/>
        <w:rPr>
          <w:rFonts w:ascii="Times New Roman" w:hAnsi="Times New Roman"/>
          <w:color w:val="auto"/>
          <w:szCs w:val="21"/>
        </w:rPr>
      </w:pPr>
    </w:p>
    <w:p>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pPr>
        <w:pStyle w:val="2"/>
        <w:numPr>
          <w:ilvl w:val="0"/>
          <w:numId w:val="0"/>
        </w:numPr>
        <w:ind w:left="0" w:leftChars="0" w:firstLine="723" w:firstLineChars="200"/>
        <w:jc w:val="left"/>
        <w:rPr>
          <w:rFonts w:hint="eastAsia" w:ascii="黑体" w:hAnsi="黑体" w:eastAsia="黑体" w:cs="黑体"/>
          <w:b/>
          <w:bCs/>
          <w:color w:val="auto"/>
          <w:kern w:val="2"/>
          <w:sz w:val="36"/>
          <w:szCs w:val="36"/>
          <w:lang w:val="en-US" w:eastAsia="zh-CN" w:bidi="ar-SA"/>
        </w:rPr>
      </w:pPr>
      <w:bookmarkStart w:id="171" w:name="_Toc1755"/>
      <w:bookmarkStart w:id="172" w:name="_Toc504488775"/>
      <w:r>
        <w:rPr>
          <w:rFonts w:hint="eastAsia" w:ascii="黑体" w:hAnsi="黑体" w:eastAsia="黑体" w:cs="黑体"/>
          <w:b/>
          <w:bCs/>
          <w:color w:val="auto"/>
          <w:kern w:val="2"/>
          <w:sz w:val="36"/>
          <w:szCs w:val="36"/>
          <w:lang w:val="en-US" w:eastAsia="zh-CN" w:bidi="ar-SA"/>
        </w:rPr>
        <w:t>五、分项报价表</w:t>
      </w:r>
    </w:p>
    <w:tbl>
      <w:tblPr>
        <w:tblStyle w:val="5"/>
        <w:tblpPr w:leftFromText="180" w:rightFromText="180" w:vertAnchor="page" w:horzAnchor="page" w:tblpX="1592" w:tblpY="2612"/>
        <w:tblOverlap w:val="never"/>
        <w:tblW w:w="8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1524"/>
        <w:gridCol w:w="1476"/>
        <w:gridCol w:w="1488"/>
        <w:gridCol w:w="1676"/>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44" w:type="dxa"/>
            <w:tcBorders>
              <w:top w:val="single" w:color="auto" w:sz="6" w:space="0"/>
              <w:left w:val="single" w:color="auto" w:sz="6" w:space="0"/>
              <w:bottom w:val="single" w:color="auto" w:sz="4" w:space="0"/>
              <w:right w:val="single" w:color="auto" w:sz="6" w:space="0"/>
              <w:tl2br w:val="nil"/>
              <w:tr2bl w:val="nil"/>
            </w:tcBorders>
            <w:noWrap w:val="0"/>
            <w:vAlign w:val="center"/>
            <mc:AlternateContent>
              <mc:Choice Requires="wpsCustomData">
                <wpsCustomData:diagonals>
                  <wpsCustomData:diagonal from="10000" to="30000">
                    <wpsCustomData:border w:val="single" w:color="auto" w:sz="6"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mc:AlternateContent>
                <mc:Choice Requires="wpsCustomData">
                  <wpsCustomData:diagonalParaType/>
                </mc:Choice>
              </mc:AlternateConten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w:t>
            </w:r>
          </w:p>
        </w:tc>
        <w:tc>
          <w:tcPr>
            <w:tcW w:w="1524" w:type="dxa"/>
            <w:tcBorders>
              <w:top w:val="single" w:color="auto" w:sz="6" w:space="0"/>
              <w:left w:val="single" w:color="auto" w:sz="6" w:space="0"/>
              <w:bottom w:val="single" w:color="auto" w:sz="4"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p>
        </w:tc>
        <w:tc>
          <w:tcPr>
            <w:tcW w:w="14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eastAsia="zh-CN"/>
              </w:rPr>
            </w:pPr>
          </w:p>
        </w:tc>
        <w:tc>
          <w:tcPr>
            <w:tcW w:w="16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 xml:space="preserve">    </w:t>
            </w: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p>
        </w:tc>
        <w:tc>
          <w:tcPr>
            <w:tcW w:w="1476"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6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04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p>
        </w:tc>
        <w:tc>
          <w:tcPr>
            <w:tcW w:w="152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宋体" w:hAnsi="宋体" w:eastAsia="宋体" w:cs="宋体"/>
                <w:color w:val="000000"/>
                <w:sz w:val="24"/>
                <w:szCs w:val="24"/>
                <w:lang w:val="en-US" w:eastAsia="zh-CN"/>
              </w:rPr>
            </w:pPr>
          </w:p>
        </w:tc>
        <w:tc>
          <w:tcPr>
            <w:tcW w:w="1476" w:type="dxa"/>
            <w:tcBorders>
              <w:top w:val="single" w:color="auto" w:sz="6" w:space="0"/>
              <w:left w:val="single" w:color="auto" w:sz="4"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default" w:ascii="宋体" w:hAnsi="宋体" w:eastAsia="宋体" w:cs="宋体"/>
                <w:color w:val="000000"/>
                <w:sz w:val="24"/>
                <w:szCs w:val="24"/>
                <w:lang w:val="en-US" w:eastAsia="zh-CN"/>
              </w:rPr>
            </w:pPr>
          </w:p>
        </w:tc>
        <w:tc>
          <w:tcPr>
            <w:tcW w:w="1676"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5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pPr>
        <w:pStyle w:val="2"/>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171"/>
      <w:bookmarkEnd w:id="172"/>
    </w:p>
    <w:p>
      <w:pPr>
        <w:pStyle w:val="3"/>
        <w:spacing w:before="20" w:after="0"/>
        <w:ind w:firstLine="103"/>
        <w:rPr>
          <w:rFonts w:ascii="Times New Roman"/>
          <w:color w:val="auto"/>
          <w:sz w:val="32"/>
          <w:szCs w:val="32"/>
        </w:rPr>
      </w:pPr>
      <w:bookmarkStart w:id="173" w:name="_Toc13906"/>
      <w:bookmarkStart w:id="174" w:name="_Toc504488776"/>
      <w:r>
        <w:rPr>
          <w:rFonts w:hint="eastAsia" w:ascii="Times New Roman"/>
          <w:color w:val="auto"/>
          <w:sz w:val="32"/>
          <w:szCs w:val="32"/>
        </w:rPr>
        <w:t>（一）基本情况表</w:t>
      </w:r>
      <w:bookmarkEnd w:id="173"/>
      <w:bookmarkEnd w:id="174"/>
    </w:p>
    <w:tbl>
      <w:tblPr>
        <w:tblStyle w:val="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0"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宋体" w:hAnsi="宋体" w:eastAsia="宋体" w:cs="宋体"/>
                <w:color w:val="auto"/>
                <w:sz w:val="24"/>
                <w:szCs w:val="24"/>
                <w:lang w:val="en-US"/>
              </w:rPr>
            </w:pPr>
            <w:r>
              <w:rPr>
                <w:rFonts w:hint="eastAsia" w:ascii="宋体" w:hAnsi="宋体" w:cs="宋体"/>
                <w:color w:val="auto"/>
                <w:sz w:val="24"/>
                <w:szCs w:val="24"/>
                <w:lang w:val="en-US" w:eastAsia="zh-CN"/>
              </w:rPr>
              <w:t>响应文件所提供服务项目</w:t>
            </w:r>
          </w:p>
        </w:tc>
        <w:tc>
          <w:tcPr>
            <w:tcW w:w="6307" w:type="dxa"/>
            <w:gridSpan w:val="4"/>
            <w:tcBorders>
              <w:top w:val="single" w:color="auto" w:sz="4" w:space="0"/>
              <w:lef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pPr>
        <w:spacing w:line="360" w:lineRule="auto"/>
        <w:rPr>
          <w:rFonts w:hint="eastAsia" w:ascii="宋体" w:hAnsi="宋体" w:eastAsia="宋体" w:cs="宋体"/>
          <w:b w:val="0"/>
          <w:bCs w:val="0"/>
          <w:color w:val="auto"/>
          <w:sz w:val="24"/>
          <w:szCs w:val="24"/>
        </w:rPr>
      </w:pPr>
    </w:p>
    <w:p>
      <w:pPr>
        <w:rPr>
          <w:b/>
          <w:color w:val="auto"/>
          <w:sz w:val="28"/>
          <w:szCs w:val="28"/>
        </w:rPr>
      </w:pPr>
      <w:r>
        <w:rPr>
          <w:rFonts w:hint="eastAsia" w:ascii="宋体" w:hAnsi="宋体" w:eastAsia="宋体" w:cs="宋体"/>
          <w:color w:val="auto"/>
          <w:sz w:val="24"/>
          <w:szCs w:val="24"/>
        </w:rPr>
        <w:br w:type="page"/>
      </w:r>
    </w:p>
    <w:p>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pPr>
        <w:spacing w:line="440" w:lineRule="exact"/>
        <w:ind w:firstLine="643" w:firstLineChars="200"/>
        <w:jc w:val="left"/>
        <w:rPr>
          <w:rFonts w:hint="eastAsia" w:ascii="仿宋" w:hAnsi="仿宋" w:eastAsia="仿宋" w:cs="仿宋"/>
          <w:b/>
          <w:color w:val="auto"/>
          <w:sz w:val="32"/>
          <w:szCs w:val="32"/>
          <w:u w:val="single"/>
        </w:rPr>
      </w:pPr>
    </w:p>
    <w:p>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pPr>
        <w:pStyle w:val="3"/>
        <w:ind w:firstLine="103"/>
        <w:rPr>
          <w:rFonts w:ascii="Times New Roman"/>
          <w:color w:val="auto"/>
          <w:sz w:val="32"/>
          <w:szCs w:val="32"/>
        </w:rPr>
      </w:pPr>
      <w:bookmarkStart w:id="175" w:name="_Toc19475"/>
      <w:bookmarkStart w:id="17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175"/>
      <w:bookmarkEnd w:id="176"/>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合同编号</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pPr>
        <w:spacing w:line="440" w:lineRule="exact"/>
        <w:ind w:firstLine="480" w:firstLineChars="200"/>
        <w:rPr>
          <w:color w:val="auto"/>
          <w:sz w:val="24"/>
          <w:szCs w:val="24"/>
        </w:rPr>
      </w:pPr>
    </w:p>
    <w:p>
      <w:pPr>
        <w:spacing w:line="440" w:lineRule="exact"/>
        <w:rPr>
          <w:rFonts w:ascii="Times New Roman" w:hAnsi="Times New Roman"/>
          <w:color w:val="auto"/>
        </w:rPr>
      </w:pPr>
    </w:p>
    <w:p>
      <w:pPr>
        <w:spacing w:line="440" w:lineRule="exact"/>
        <w:rPr>
          <w:rFonts w:ascii="Times New Roman" w:hAnsi="Times New Roman"/>
          <w:color w:val="auto"/>
        </w:rPr>
      </w:pPr>
    </w:p>
    <w:p>
      <w:pPr>
        <w:topLinePunct/>
        <w:spacing w:line="440" w:lineRule="exact"/>
        <w:rPr>
          <w:rFonts w:ascii="Times New Roman" w:hAnsi="Times New Roman"/>
          <w:color w:val="auto"/>
        </w:rPr>
      </w:pPr>
      <w:r>
        <w:rPr>
          <w:rFonts w:ascii="Times New Roman" w:hAnsi="Times New Roman"/>
          <w:color w:val="auto"/>
        </w:rPr>
        <w:br w:type="page"/>
      </w:r>
    </w:p>
    <w:p>
      <w:pPr>
        <w:spacing w:line="440" w:lineRule="exact"/>
        <w:rPr>
          <w:rFonts w:ascii="Times New Roman"/>
          <w:b/>
          <w:bCs/>
          <w:color w:val="auto"/>
          <w:sz w:val="32"/>
          <w:szCs w:val="32"/>
        </w:rPr>
      </w:pPr>
      <w:bookmarkStart w:id="177" w:name="_Toc14234"/>
      <w:bookmarkStart w:id="178"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177"/>
      <w:bookmarkEnd w:id="17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pPr>
        <w:rPr>
          <w:rFonts w:hint="eastAsia" w:ascii="Times New Roman" w:hAnsi="Times New Roman"/>
          <w:color w:val="auto"/>
        </w:rPr>
      </w:pPr>
    </w:p>
    <w:p>
      <w:pPr>
        <w:pStyle w:val="2"/>
        <w:spacing w:line="400" w:lineRule="exact"/>
        <w:jc w:val="both"/>
        <w:rPr>
          <w:rFonts w:hint="eastAsia" w:ascii="仿宋" w:hAnsi="仿宋" w:eastAsia="仿宋" w:cs="仿宋"/>
          <w:color w:val="auto"/>
          <w:sz w:val="32"/>
          <w:szCs w:val="32"/>
          <w:lang w:val="en-US" w:eastAsia="zh-CN"/>
        </w:rPr>
      </w:pPr>
      <w:bookmarkStart w:id="179" w:name="_Toc22199"/>
      <w:bookmarkStart w:id="180" w:name="_Toc504488783"/>
    </w:p>
    <w:p>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179"/>
    <w:bookmarkEnd w:id="180"/>
    <w:p>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pPr>
        <w:rPr>
          <w:rFonts w:hint="eastAsia" w:ascii="Times New Roman" w:hAnsi="Times New Roman" w:eastAsia="黑体" w:cs="Times New Roman"/>
          <w:b/>
          <w:color w:val="auto"/>
          <w:kern w:val="2"/>
          <w:sz w:val="32"/>
          <w:szCs w:val="20"/>
          <w:lang w:val="en-US" w:eastAsia="zh-CN" w:bidi="ar-SA"/>
        </w:rPr>
      </w:pPr>
    </w:p>
    <w:p>
      <w:pPr>
        <w:jc w:val="center"/>
        <w:rPr>
          <w:color w:val="auto"/>
        </w:rPr>
      </w:pPr>
    </w:p>
    <w:p>
      <w:pPr>
        <w:rPr>
          <w:color w:val="auto"/>
        </w:rPr>
      </w:pPr>
    </w:p>
    <w:p>
      <w:pPr>
        <w:pStyle w:val="4"/>
        <w:keepNext w:val="0"/>
        <w:keepLines w:val="0"/>
        <w:widowControl/>
        <w:suppressLineNumbers w:val="0"/>
        <w:spacing w:before="0" w:beforeAutospacing="0" w:after="0" w:afterAutospacing="0" w:line="405" w:lineRule="atLeast"/>
        <w:ind w:left="0" w:firstLine="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8"/>
          <w:szCs w:val="28"/>
        </w:rPr>
        <w:t> </w:t>
      </w:r>
    </w:p>
    <w:p>
      <w:pPr>
        <w:pStyle w:val="4"/>
        <w:keepNext w:val="0"/>
        <w:keepLines w:val="0"/>
        <w:widowControl/>
        <w:suppressLineNumbers w:val="0"/>
        <w:spacing w:before="0" w:beforeAutospacing="0" w:after="0" w:afterAutospacing="0" w:line="405" w:lineRule="atLeast"/>
        <w:ind w:left="0" w:firstLine="0"/>
        <w:jc w:val="center"/>
        <w:rPr>
          <w:rFonts w:hint="eastAsia" w:ascii="宋体" w:hAnsi="宋体" w:eastAsia="宋体" w:cs="宋体"/>
          <w:i w:val="0"/>
          <w:iCs w:val="0"/>
          <w:caps w:val="0"/>
          <w:color w:val="000000"/>
          <w:spacing w:val="0"/>
          <w:sz w:val="32"/>
          <w:szCs w:val="32"/>
        </w:rPr>
      </w:pPr>
      <w:r>
        <w:rPr>
          <w:rFonts w:hint="eastAsia" w:ascii="仿宋" w:hAnsi="仿宋" w:eastAsia="仿宋" w:cs="仿宋"/>
          <w:i w:val="0"/>
          <w:iCs w:val="0"/>
          <w:caps w:val="0"/>
          <w:color w:val="000000"/>
          <w:spacing w:val="0"/>
          <w:sz w:val="28"/>
          <w:szCs w:val="28"/>
        </w:rPr>
        <w:t>                                         </w:t>
      </w:r>
      <w:r>
        <w:rPr>
          <w:rFonts w:hint="eastAsia" w:ascii="宋体" w:hAnsi="宋体" w:eastAsia="宋体" w:cs="宋体"/>
          <w:i w:val="0"/>
          <w:iCs w:val="0"/>
          <w:caps w:val="0"/>
          <w:color w:val="000000"/>
          <w:spacing w:val="0"/>
          <w:sz w:val="32"/>
          <w:szCs w:val="32"/>
        </w:rPr>
        <w:t> </w:t>
      </w:r>
    </w:p>
    <w:p>
      <w:pPr>
        <w:pStyle w:val="4"/>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 xml:space="preserve">                  </w:t>
      </w:r>
    </w:p>
    <w:p>
      <w:pPr>
        <w:pStyle w:val="4"/>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 xml:space="preserve">       </w:t>
      </w:r>
    </w:p>
    <w:p/>
    <w:p>
      <w:pPr>
        <w:spacing w:line="520" w:lineRule="exact"/>
        <w:ind w:left="105" w:leftChars="50"/>
        <w:rPr>
          <w:rFonts w:hint="eastAsia" w:ascii="仿宋" w:hAnsi="仿宋" w:eastAsia="仿宋" w:cs="仿宋"/>
          <w:sz w:val="32"/>
          <w:szCs w:val="32"/>
          <w:lang w:val="en-US" w:eastAsia="zh-CN"/>
        </w:rPr>
      </w:pPr>
    </w:p>
    <w:p>
      <w:pPr>
        <w:spacing w:line="520" w:lineRule="exact"/>
        <w:ind w:left="105" w:leftChars="50"/>
        <w:rPr>
          <w:rFonts w:hint="eastAsia" w:ascii="仿宋" w:hAnsi="仿宋" w:eastAsia="仿宋" w:cs="仿宋"/>
          <w:sz w:val="32"/>
          <w:szCs w:val="32"/>
        </w:rPr>
      </w:pPr>
      <w:r>
        <w:rPr>
          <w:rFonts w:hint="eastAsia" w:ascii="仿宋" w:hAnsi="仿宋" w:eastAsia="仿宋" w:cs="仿宋"/>
          <w:sz w:val="32"/>
          <w:szCs w:val="32"/>
        </w:rPr>
        <w:t xml:space="preserve">                      </w:t>
      </w:r>
    </w:p>
    <w:p>
      <w:pPr>
        <w:spacing w:line="520" w:lineRule="exact"/>
        <w:rPr>
          <w:sz w:val="28"/>
          <w:szCs w:val="28"/>
        </w:rPr>
      </w:pPr>
    </w:p>
    <w:p>
      <w:pPr>
        <w:rPr>
          <w:rFonts w:hint="eastAsia" w:eastAsiaTheme="minor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2Q5YTUyNmQ3YzIzZDIxMDI3ZWY3YmMwYTllNGUifQ=="/>
    <w:docVar w:name="KSO_WPS_MARK_KEY" w:val="bd604254-440c-4855-902c-4e4327e01dc6"/>
  </w:docVars>
  <w:rsids>
    <w:rsidRoot w:val="09B75AA1"/>
    <w:rsid w:val="09B75AA1"/>
    <w:rsid w:val="18E77DD3"/>
    <w:rsid w:val="2F32585C"/>
    <w:rsid w:val="4741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_8"/>
    <w:qFormat/>
    <w:uiPriority w:val="0"/>
    <w:pPr>
      <w:spacing w:before="120" w:after="240"/>
      <w:jc w:val="both"/>
    </w:pPr>
    <w:rPr>
      <w:rFonts w:ascii="等线" w:hAnsi="等线" w:eastAsia="等线" w:cs="Times New Roman"/>
      <w:sz w:val="22"/>
      <w:szCs w:val="22"/>
      <w:lang w:val="en-US" w:eastAsia="en-US"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5541</Words>
  <Characters>5685</Characters>
  <Lines>0</Lines>
  <Paragraphs>0</Paragraphs>
  <TotalTime>54</TotalTime>
  <ScaleCrop>false</ScaleCrop>
  <LinksUpToDate>false</LinksUpToDate>
  <CharactersWithSpaces>6050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2025-05-21T01:13:00Z</dcterms:created>
  <dc:creator>风清月朗1386306908</dc:creator>
  <cp:lastModifiedBy>风清月朗1386306908</cp:lastModifiedBy>
  <dcterms:modified xsi:type="dcterms:W3CDTF">2025-05-22T03:49:12Z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6D5E88C4DC824EBE940451DD17EC7A6A_11</vt:lpwstr>
  </property>
</Properties>
</file>