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A3352D">
      <w:pPr>
        <w:widowControl/>
        <w:jc w:val="left"/>
      </w:pPr>
    </w:p>
    <w:p w14:paraId="705D96AC">
      <w:pPr>
        <w:widowControl/>
        <w:jc w:val="center"/>
      </w:pPr>
      <w:r>
        <w:rPr>
          <w:rFonts w:ascii="Times New Roman" w:hAnsi="Times New Roman" w:eastAsia="宋体" w:cs="Times New Roman"/>
          <w:b/>
          <w:snapToGrid w:val="0"/>
          <w:kern w:val="0"/>
          <w:sz w:val="44"/>
          <w:szCs w:val="44"/>
        </w:rPr>
        <w:t>湖北宝业建筑工业化</w:t>
      </w:r>
      <w:r>
        <w:rPr>
          <w:rFonts w:hint="eastAsia" w:ascii="Times New Roman" w:hAnsi="Times New Roman" w:eastAsia="宋体" w:cs="Times New Roman"/>
          <w:b/>
          <w:snapToGrid w:val="0"/>
          <w:kern w:val="0"/>
          <w:sz w:val="44"/>
          <w:szCs w:val="44"/>
          <w:lang w:val="en-US" w:eastAsia="zh-CN"/>
        </w:rPr>
        <w:t>有限</w:t>
      </w:r>
      <w:r>
        <w:rPr>
          <w:rFonts w:ascii="Times New Roman" w:hAnsi="Times New Roman" w:eastAsia="宋体" w:cs="Times New Roman"/>
          <w:b/>
          <w:snapToGrid w:val="0"/>
          <w:kern w:val="0"/>
          <w:sz w:val="44"/>
          <w:szCs w:val="44"/>
        </w:rPr>
        <w:t>公司</w:t>
      </w:r>
    </w:p>
    <w:p w14:paraId="094B221C">
      <w:pPr>
        <w:spacing w:before="156" w:beforeLines="50" w:line="480" w:lineRule="exact"/>
        <w:jc w:val="center"/>
        <w:rPr>
          <w:rFonts w:ascii="Times New Roman" w:hAnsi="Times New Roman" w:eastAsia="宋体" w:cs="Times New Roman"/>
          <w:b/>
          <w:snapToGrid w:val="0"/>
          <w:kern w:val="0"/>
          <w:sz w:val="44"/>
          <w:szCs w:val="44"/>
        </w:rPr>
      </w:pPr>
      <w:r>
        <w:rPr>
          <w:rFonts w:hint="eastAsia" w:ascii="Times New Roman" w:hAnsi="Times New Roman" w:eastAsia="宋体" w:cs="Times New Roman"/>
          <w:b/>
          <w:snapToGrid w:val="0"/>
          <w:kern w:val="0"/>
          <w:sz w:val="44"/>
          <w:szCs w:val="44"/>
        </w:rPr>
        <w:t>PC预制构件物流</w:t>
      </w:r>
      <w:r>
        <w:rPr>
          <w:rFonts w:hint="eastAsia" w:ascii="Times New Roman" w:hAnsi="Times New Roman" w:eastAsia="宋体" w:cs="Times New Roman"/>
          <w:b/>
          <w:snapToGrid w:val="0"/>
          <w:kern w:val="0"/>
          <w:sz w:val="44"/>
          <w:szCs w:val="44"/>
          <w:lang w:val="en-US" w:eastAsia="zh-CN"/>
        </w:rPr>
        <w:t>运输</w:t>
      </w:r>
      <w:r>
        <w:rPr>
          <w:rFonts w:hint="eastAsia" w:ascii="Times New Roman" w:hAnsi="Times New Roman" w:eastAsia="宋体" w:cs="Times New Roman"/>
          <w:b/>
          <w:snapToGrid w:val="0"/>
          <w:kern w:val="0"/>
          <w:sz w:val="44"/>
          <w:szCs w:val="44"/>
        </w:rPr>
        <w:t>服务</w:t>
      </w:r>
    </w:p>
    <w:p w14:paraId="018411EC">
      <w:pPr>
        <w:pStyle w:val="11"/>
        <w:ind w:left="420" w:firstLine="0" w:firstLineChars="0"/>
        <w:jc w:val="center"/>
        <w:rPr>
          <w:b/>
          <w:bCs/>
          <w:sz w:val="72"/>
          <w:szCs w:val="72"/>
        </w:rPr>
      </w:pPr>
    </w:p>
    <w:p w14:paraId="6697EACA">
      <w:pPr>
        <w:pStyle w:val="11"/>
        <w:ind w:left="420" w:firstLine="0" w:firstLineChars="0"/>
        <w:jc w:val="center"/>
        <w:rPr>
          <w:b/>
          <w:bCs/>
          <w:sz w:val="72"/>
          <w:szCs w:val="72"/>
        </w:rPr>
      </w:pPr>
    </w:p>
    <w:p w14:paraId="2F825A18">
      <w:pPr>
        <w:pStyle w:val="11"/>
        <w:ind w:left="420" w:firstLine="0" w:firstLineChars="0"/>
        <w:jc w:val="center"/>
        <w:rPr>
          <w:b/>
          <w:bCs/>
          <w:sz w:val="72"/>
          <w:szCs w:val="72"/>
        </w:rPr>
      </w:pPr>
    </w:p>
    <w:p w14:paraId="195699D4">
      <w:pPr>
        <w:pStyle w:val="11"/>
        <w:ind w:left="420" w:firstLine="0" w:firstLineChars="0"/>
        <w:jc w:val="center"/>
        <w:rPr>
          <w:b/>
          <w:bCs/>
          <w:sz w:val="72"/>
          <w:szCs w:val="72"/>
        </w:rPr>
      </w:pPr>
    </w:p>
    <w:p w14:paraId="2B146B13">
      <w:pPr>
        <w:pStyle w:val="11"/>
        <w:ind w:firstLine="0" w:firstLineChars="0"/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招标文件</w:t>
      </w:r>
    </w:p>
    <w:p w14:paraId="328370C5">
      <w:pPr>
        <w:pStyle w:val="11"/>
        <w:ind w:left="420" w:firstLine="0" w:firstLineChars="0"/>
        <w:jc w:val="center"/>
        <w:rPr>
          <w:sz w:val="28"/>
          <w:szCs w:val="28"/>
        </w:rPr>
      </w:pPr>
    </w:p>
    <w:p w14:paraId="6FED2511">
      <w:pPr>
        <w:pStyle w:val="11"/>
        <w:ind w:left="420" w:firstLine="0" w:firstLineChars="0"/>
        <w:jc w:val="center"/>
        <w:rPr>
          <w:sz w:val="28"/>
          <w:szCs w:val="28"/>
        </w:rPr>
      </w:pPr>
    </w:p>
    <w:p w14:paraId="647BB07D">
      <w:pPr>
        <w:pStyle w:val="11"/>
        <w:ind w:left="420" w:firstLine="0" w:firstLineChars="0"/>
        <w:jc w:val="center"/>
        <w:rPr>
          <w:sz w:val="28"/>
          <w:szCs w:val="28"/>
        </w:rPr>
      </w:pPr>
    </w:p>
    <w:p w14:paraId="54641269">
      <w:pPr>
        <w:pStyle w:val="11"/>
        <w:ind w:left="420" w:firstLine="0" w:firstLineChars="0"/>
        <w:jc w:val="center"/>
        <w:rPr>
          <w:sz w:val="28"/>
          <w:szCs w:val="28"/>
        </w:rPr>
      </w:pPr>
    </w:p>
    <w:p w14:paraId="5411880D">
      <w:pPr>
        <w:pStyle w:val="11"/>
        <w:ind w:left="420" w:firstLine="0" w:firstLineChars="0"/>
        <w:jc w:val="center"/>
        <w:rPr>
          <w:sz w:val="28"/>
          <w:szCs w:val="28"/>
        </w:rPr>
      </w:pPr>
    </w:p>
    <w:p w14:paraId="175B1A36">
      <w:pPr>
        <w:pStyle w:val="11"/>
        <w:ind w:left="420" w:firstLine="0" w:firstLineChars="0"/>
        <w:jc w:val="center"/>
        <w:rPr>
          <w:sz w:val="28"/>
          <w:szCs w:val="28"/>
        </w:rPr>
      </w:pPr>
    </w:p>
    <w:p w14:paraId="2157B6EF">
      <w:pPr>
        <w:pStyle w:val="11"/>
        <w:ind w:left="420" w:firstLine="0" w:firstLineChars="0"/>
        <w:jc w:val="center"/>
        <w:rPr>
          <w:sz w:val="28"/>
          <w:szCs w:val="28"/>
        </w:rPr>
      </w:pPr>
    </w:p>
    <w:p w14:paraId="3E4C3768">
      <w:pPr>
        <w:rPr>
          <w:sz w:val="28"/>
          <w:szCs w:val="28"/>
        </w:rPr>
      </w:pPr>
    </w:p>
    <w:p w14:paraId="2C5ED4A7">
      <w:pPr>
        <w:pStyle w:val="11"/>
        <w:ind w:left="420" w:firstLine="0" w:firstLineChars="0"/>
        <w:jc w:val="center"/>
        <w:rPr>
          <w:color w:val="0000FF"/>
          <w:sz w:val="32"/>
          <w:szCs w:val="32"/>
        </w:rPr>
      </w:pPr>
      <w:r>
        <w:rPr>
          <w:rFonts w:hint="eastAsia"/>
          <w:sz w:val="32"/>
          <w:szCs w:val="32"/>
        </w:rPr>
        <w:t>招标人：湖北宝业建筑工业化</w:t>
      </w:r>
      <w:r>
        <w:rPr>
          <w:rFonts w:hint="eastAsia"/>
          <w:sz w:val="32"/>
          <w:szCs w:val="32"/>
          <w:lang w:val="en-US" w:eastAsia="zh-CN"/>
        </w:rPr>
        <w:t>有限</w:t>
      </w:r>
      <w:r>
        <w:rPr>
          <w:rFonts w:hint="eastAsia"/>
          <w:sz w:val="32"/>
          <w:szCs w:val="32"/>
        </w:rPr>
        <w:t>公司</w:t>
      </w:r>
    </w:p>
    <w:p w14:paraId="353466FD">
      <w:pPr>
        <w:pStyle w:val="11"/>
        <w:ind w:left="420" w:firstLine="0" w:firstLineChars="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20</w:t>
      </w:r>
      <w:r>
        <w:rPr>
          <w:rFonts w:hint="eastAsia"/>
          <w:sz w:val="32"/>
          <w:szCs w:val="32"/>
          <w:lang w:val="en-US" w:eastAsia="zh-CN"/>
        </w:rPr>
        <w:t>25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30</w:t>
      </w:r>
      <w:r>
        <w:rPr>
          <w:rFonts w:hint="eastAsia"/>
          <w:sz w:val="32"/>
          <w:szCs w:val="32"/>
        </w:rPr>
        <w:t>日</w:t>
      </w:r>
    </w:p>
    <w:p w14:paraId="5A11783F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7420A87">
      <w:pPr>
        <w:tabs>
          <w:tab w:val="left" w:pos="840"/>
          <w:tab w:val="left" w:pos="1080"/>
          <w:tab w:val="left" w:pos="1140"/>
        </w:tabs>
        <w:snapToGrid w:val="0"/>
        <w:spacing w:line="360" w:lineRule="auto"/>
        <w:ind w:firstLine="562" w:firstLineChars="200"/>
        <w:rPr>
          <w:rFonts w:ascii="Times New Roman" w:hAnsi="Times New Roman" w:eastAsia="宋体" w:cs="Times New Roman"/>
          <w:b/>
          <w:snapToGrid w:val="0"/>
          <w:kern w:val="0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napToGrid w:val="0"/>
          <w:kern w:val="0"/>
          <w:sz w:val="28"/>
          <w:szCs w:val="28"/>
        </w:rPr>
        <w:t>一、投标人须知</w:t>
      </w:r>
    </w:p>
    <w:p w14:paraId="203E379E">
      <w:pPr>
        <w:tabs>
          <w:tab w:val="left" w:pos="840"/>
          <w:tab w:val="left" w:pos="1080"/>
          <w:tab w:val="left" w:pos="1140"/>
        </w:tabs>
        <w:snapToGrid w:val="0"/>
        <w:spacing w:line="360" w:lineRule="auto"/>
        <w:ind w:firstLine="482" w:firstLineChars="200"/>
        <w:rPr>
          <w:rFonts w:asciiTheme="minorEastAsia" w:hAnsiTheme="minorEastAsia" w:cstheme="minorEastAsia"/>
          <w:b/>
          <w:snapToGrid w:val="0"/>
          <w:kern w:val="0"/>
          <w:sz w:val="24"/>
          <w:szCs w:val="20"/>
        </w:rPr>
      </w:pPr>
      <w:r>
        <w:rPr>
          <w:rFonts w:hint="eastAsia" w:asciiTheme="minorEastAsia" w:hAnsiTheme="minorEastAsia" w:cstheme="minorEastAsia"/>
          <w:b/>
          <w:snapToGrid w:val="0"/>
          <w:kern w:val="0"/>
          <w:sz w:val="24"/>
          <w:szCs w:val="20"/>
        </w:rPr>
        <w:t>1、物流</w:t>
      </w:r>
      <w:r>
        <w:rPr>
          <w:rFonts w:hint="eastAsia" w:asciiTheme="minorEastAsia" w:hAnsiTheme="minorEastAsia" w:cstheme="minorEastAsia"/>
          <w:b/>
          <w:snapToGrid w:val="0"/>
          <w:kern w:val="0"/>
          <w:sz w:val="24"/>
          <w:szCs w:val="20"/>
          <w:lang w:val="en-US" w:eastAsia="zh-CN"/>
        </w:rPr>
        <w:t>运输</w:t>
      </w:r>
      <w:r>
        <w:rPr>
          <w:rFonts w:hint="eastAsia" w:asciiTheme="minorEastAsia" w:hAnsiTheme="minorEastAsia" w:cstheme="minorEastAsia"/>
          <w:b/>
          <w:snapToGrid w:val="0"/>
          <w:kern w:val="0"/>
          <w:sz w:val="24"/>
          <w:szCs w:val="20"/>
        </w:rPr>
        <w:t>服务概况：</w:t>
      </w:r>
    </w:p>
    <w:p w14:paraId="016BDC0C">
      <w:pPr>
        <w:tabs>
          <w:tab w:val="left" w:pos="840"/>
          <w:tab w:val="left" w:pos="1080"/>
          <w:tab w:val="left" w:pos="1140"/>
        </w:tabs>
        <w:spacing w:line="400" w:lineRule="exact"/>
        <w:ind w:firstLine="480" w:firstLineChars="200"/>
        <w:rPr>
          <w:rFonts w:hint="eastAsia" w:ascii="Times New Roman" w:hAnsi="Times New Roman" w:eastAsia="宋体" w:cs="Times New Roman"/>
          <w:snapToGrid w:val="0"/>
          <w:kern w:val="0"/>
          <w:sz w:val="24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snapToGrid w:val="0"/>
          <w:kern w:val="0"/>
          <w:sz w:val="24"/>
          <w:szCs w:val="20"/>
        </w:rPr>
        <w:t>1.1 招标项目：装配式建筑PC构件物流运输</w:t>
      </w:r>
      <w:r>
        <w:rPr>
          <w:rFonts w:hint="eastAsia" w:ascii="Times New Roman" w:hAnsi="Times New Roman" w:eastAsia="宋体" w:cs="Times New Roman"/>
          <w:snapToGrid w:val="0"/>
          <w:kern w:val="0"/>
          <w:sz w:val="24"/>
          <w:szCs w:val="20"/>
          <w:lang w:val="en-US" w:eastAsia="zh-CN"/>
        </w:rPr>
        <w:t>服务</w:t>
      </w:r>
    </w:p>
    <w:p w14:paraId="3AEE5838">
      <w:pPr>
        <w:pStyle w:val="11"/>
        <w:spacing w:line="400" w:lineRule="exact"/>
        <w:ind w:firstLine="480"/>
        <w:rPr>
          <w:rFonts w:hint="eastAsia" w:asciiTheme="minorEastAsia" w:hAnsiTheme="minorEastAsia" w:cstheme="minorEastAsia"/>
          <w:sz w:val="24"/>
        </w:rPr>
      </w:pPr>
      <w:r>
        <w:rPr>
          <w:rFonts w:hint="eastAsia" w:ascii="Times New Roman" w:hAnsi="Times New Roman" w:eastAsia="宋体" w:cs="Times New Roman"/>
          <w:snapToGrid w:val="0"/>
          <w:kern w:val="0"/>
          <w:sz w:val="24"/>
          <w:szCs w:val="20"/>
        </w:rPr>
        <w:t>1.2物流运输范围：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以</w:t>
      </w:r>
      <w:r>
        <w:rPr>
          <w:rFonts w:hint="eastAsia" w:asciiTheme="minorEastAsia" w:hAnsiTheme="minorEastAsia" w:cstheme="minorEastAsia"/>
          <w:sz w:val="24"/>
        </w:rPr>
        <w:t>湖北宝业建筑工业化有限公司葛店基地为中心，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100</w:t>
      </w:r>
      <w:r>
        <w:rPr>
          <w:rFonts w:hint="eastAsia" w:asciiTheme="minorEastAsia" w:hAnsiTheme="minorEastAsia" w:cstheme="minorEastAsia"/>
          <w:sz w:val="24"/>
        </w:rPr>
        <w:t>公里辐射范围以内。</w:t>
      </w:r>
    </w:p>
    <w:p w14:paraId="7DA754E8">
      <w:pPr>
        <w:pStyle w:val="11"/>
        <w:spacing w:line="400" w:lineRule="exact"/>
        <w:ind w:firstLine="480"/>
        <w:rPr>
          <w:rFonts w:hint="eastAsia" w:asciiTheme="minorEastAsia" w:hAnsi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</w:rPr>
        <w:t>葛店基地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地址：</w:t>
      </w:r>
      <w:r>
        <w:rPr>
          <w:rFonts w:hint="eastAsia" w:ascii="宋体" w:hAnsi="宋体" w:cs="宋体"/>
          <w:snapToGrid w:val="0"/>
          <w:kern w:val="0"/>
          <w:sz w:val="24"/>
          <w:szCs w:val="24"/>
        </w:rPr>
        <w:t>鄂州市华容区创业大道宝业路宝业工业园</w:t>
      </w:r>
    </w:p>
    <w:p w14:paraId="3408BC8A">
      <w:pPr>
        <w:spacing w:line="440" w:lineRule="exact"/>
        <w:ind w:firstLine="480" w:firstLineChars="200"/>
        <w:rPr>
          <w:sz w:val="24"/>
        </w:rPr>
      </w:pPr>
      <w:r>
        <w:rPr>
          <w:rFonts w:hint="eastAsia" w:ascii="Times New Roman" w:hAnsi="Times New Roman" w:eastAsia="宋体" w:cs="Times New Roman"/>
          <w:snapToGrid w:val="0"/>
          <w:kern w:val="0"/>
          <w:sz w:val="24"/>
          <w:szCs w:val="20"/>
        </w:rPr>
        <w:t>1.3物流服务内容：</w:t>
      </w:r>
      <w:r>
        <w:rPr>
          <w:rFonts w:hint="eastAsia" w:asciiTheme="minorEastAsia" w:hAnsi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运输的货物为PC构件（</w:t>
      </w:r>
      <w:r>
        <w:rPr>
          <w:rFonts w:hint="eastAsia" w:ascii="宋体" w:hAnsi="宋体" w:cs="宋体"/>
          <w:snapToGrid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包含</w:t>
      </w:r>
      <w:r>
        <w:rPr>
          <w:rFonts w:hint="eastAsia" w:ascii="宋体" w:hAnsi="宋体" w:cs="宋体"/>
          <w:snapToGrid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墙板类（实心剪力墙、非承重墙、飘窗墙）</w:t>
      </w:r>
      <w:r>
        <w:rPr>
          <w:rFonts w:hint="eastAsia" w:ascii="宋体" w:hAnsi="宋体" w:cs="宋体"/>
          <w:snapToGrid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、叠合楼板、楼梯、阳台板</w:t>
      </w:r>
      <w:r>
        <w:rPr>
          <w:rFonts w:hint="eastAsia" w:ascii="宋体" w:hAnsi="宋体" w:cs="宋体"/>
          <w:snapToGrid w:val="0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snapToGrid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柱梁</w:t>
      </w:r>
      <w:r>
        <w:rPr>
          <w:rFonts w:hint="eastAsia" w:asciiTheme="minorEastAsia" w:hAnsi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Theme="minorEastAsia" w:hAnsiTheme="minorEastAsia" w:cs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inorEastAsia" w:hAnsi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cstheme="minorEastAsia"/>
          <w:sz w:val="24"/>
        </w:rPr>
        <w:t>具体</w:t>
      </w:r>
      <w:r>
        <w:rPr>
          <w:rFonts w:hint="eastAsia"/>
          <w:sz w:val="24"/>
        </w:rPr>
        <w:t>明细内容以</w:t>
      </w:r>
      <w:r>
        <w:rPr>
          <w:rFonts w:hint="eastAsia" w:asciiTheme="minorEastAsia" w:hAnsiTheme="minorEastAsia" w:cstheme="minorEastAsia"/>
          <w:sz w:val="24"/>
        </w:rPr>
        <w:t>甲方委托乙方运输的PC构件及随车的辅助材料工具等</w:t>
      </w:r>
      <w:r>
        <w:rPr>
          <w:rFonts w:hint="eastAsia"/>
          <w:sz w:val="24"/>
        </w:rPr>
        <w:t>的发货单据为准。</w:t>
      </w:r>
    </w:p>
    <w:p w14:paraId="1B78BF6E">
      <w:pPr>
        <w:pStyle w:val="11"/>
        <w:spacing w:line="400" w:lineRule="exact"/>
        <w:ind w:left="2399" w:leftChars="228" w:hanging="1920" w:hangingChars="8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1.4运输要求：1.车辆型号：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6.8米平板车、7.2米平板车、9.6米平板车、</w:t>
      </w:r>
      <w:r>
        <w:rPr>
          <w:rFonts w:hint="eastAsia" w:asciiTheme="minorEastAsia" w:hAnsiTheme="minorEastAsia" w:cstheme="minorEastAsia"/>
          <w:sz w:val="24"/>
        </w:rPr>
        <w:t>13米平板挂车</w:t>
      </w:r>
      <w:r>
        <w:rPr>
          <w:rFonts w:hint="eastAsia" w:asciiTheme="minorEastAsia" w:hAnsiTheme="minorEastAsia" w:cstheme="minorEastAsia"/>
          <w:sz w:val="24"/>
          <w:lang w:eastAsia="zh-CN"/>
        </w:rPr>
        <w:t>、</w:t>
      </w:r>
      <w:r>
        <w:rPr>
          <w:rFonts w:hint="eastAsia" w:asciiTheme="minorEastAsia" w:hAnsiTheme="minorEastAsia" w:cstheme="minorEastAsia"/>
          <w:sz w:val="24"/>
        </w:rPr>
        <w:t>1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cstheme="minorEastAsia"/>
          <w:sz w:val="24"/>
        </w:rPr>
        <w:t>.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7</w:t>
      </w:r>
      <w:r>
        <w:rPr>
          <w:rFonts w:hint="eastAsia" w:asciiTheme="minorEastAsia" w:hAnsiTheme="minorEastAsia" w:cstheme="minorEastAsia"/>
          <w:sz w:val="24"/>
        </w:rPr>
        <w:t>5米高低板挂车、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17.5米高低板挂车（以13.75米高低板挂车为主要车型）</w:t>
      </w:r>
      <w:r>
        <w:rPr>
          <w:rFonts w:hint="eastAsia" w:asciiTheme="minorEastAsia" w:hAnsiTheme="minorEastAsia" w:cstheme="minorEastAsia"/>
          <w:sz w:val="24"/>
        </w:rPr>
        <w:t>；</w:t>
      </w:r>
    </w:p>
    <w:p w14:paraId="60C5C0E2">
      <w:pPr>
        <w:pStyle w:val="11"/>
        <w:spacing w:line="400" w:lineRule="exact"/>
        <w:ind w:firstLine="2160" w:firstLineChars="9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2.车辆必须具备道路运输资格，且保险手续齐全；</w:t>
      </w:r>
    </w:p>
    <w:p w14:paraId="2E117311">
      <w:pPr>
        <w:pStyle w:val="11"/>
        <w:spacing w:line="400" w:lineRule="exact"/>
        <w:ind w:firstLine="2160" w:firstLineChars="9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3.</w:t>
      </w:r>
      <w:r>
        <w:rPr>
          <w:rFonts w:asciiTheme="minorEastAsia" w:hAnsiTheme="minorEastAsia" w:cstheme="minorEastAsia"/>
          <w:sz w:val="24"/>
        </w:rPr>
        <w:t>驾驶员必须持证上岗，且无重大运输违法记录</w:t>
      </w:r>
      <w:r>
        <w:rPr>
          <w:rFonts w:hint="eastAsia" w:asciiTheme="minorEastAsia" w:hAnsiTheme="minorEastAsia" w:cstheme="minorEastAsia"/>
          <w:sz w:val="24"/>
        </w:rPr>
        <w:t>。</w:t>
      </w:r>
    </w:p>
    <w:p w14:paraId="5747D538">
      <w:pPr>
        <w:tabs>
          <w:tab w:val="left" w:pos="840"/>
          <w:tab w:val="left" w:pos="1080"/>
          <w:tab w:val="left" w:pos="1140"/>
        </w:tabs>
        <w:snapToGrid w:val="0"/>
        <w:spacing w:before="156" w:beforeLines="50" w:line="360" w:lineRule="auto"/>
        <w:ind w:firstLine="482" w:firstLineChars="200"/>
        <w:rPr>
          <w:rFonts w:asciiTheme="minorEastAsia" w:hAnsiTheme="minorEastAsia" w:cstheme="minorEastAsia"/>
          <w:b/>
          <w:snapToGrid w:val="0"/>
          <w:kern w:val="0"/>
          <w:sz w:val="24"/>
          <w:szCs w:val="20"/>
        </w:rPr>
      </w:pPr>
      <w:r>
        <w:rPr>
          <w:rFonts w:hint="eastAsia" w:asciiTheme="minorEastAsia" w:hAnsiTheme="minorEastAsia" w:cstheme="minorEastAsia"/>
          <w:b/>
          <w:snapToGrid w:val="0"/>
          <w:kern w:val="0"/>
          <w:sz w:val="24"/>
          <w:szCs w:val="20"/>
        </w:rPr>
        <w:t>2、招标人：湖北宝业建筑工业化有限公司</w:t>
      </w:r>
    </w:p>
    <w:p w14:paraId="1577C209">
      <w:pPr>
        <w:tabs>
          <w:tab w:val="left" w:pos="840"/>
          <w:tab w:val="left" w:pos="1080"/>
          <w:tab w:val="left" w:pos="1140"/>
        </w:tabs>
        <w:snapToGrid w:val="0"/>
        <w:spacing w:line="360" w:lineRule="auto"/>
        <w:ind w:firstLine="482" w:firstLineChars="200"/>
        <w:rPr>
          <w:rFonts w:hint="default" w:ascii="Times New Roman" w:hAnsi="Times New Roman" w:eastAsia="宋体" w:cs="Times New Roman"/>
          <w:snapToGrid w:val="0"/>
          <w:kern w:val="0"/>
          <w:sz w:val="24"/>
          <w:szCs w:val="20"/>
          <w:lang w:val="en-US" w:eastAsia="zh-CN"/>
        </w:rPr>
      </w:pPr>
      <w:r>
        <w:rPr>
          <w:rFonts w:hint="eastAsia" w:asciiTheme="minorEastAsia" w:hAnsiTheme="minorEastAsia" w:cstheme="minorEastAsia"/>
          <w:b/>
          <w:snapToGrid w:val="0"/>
          <w:kern w:val="0"/>
          <w:sz w:val="24"/>
          <w:szCs w:val="20"/>
        </w:rPr>
        <w:t xml:space="preserve">2.1 </w:t>
      </w:r>
      <w:r>
        <w:rPr>
          <w:rFonts w:hint="eastAsia" w:asciiTheme="minorEastAsia" w:hAnsiTheme="minorEastAsia" w:cstheme="minorEastAsia"/>
          <w:snapToGrid w:val="0"/>
          <w:kern w:val="0"/>
          <w:sz w:val="24"/>
          <w:szCs w:val="20"/>
        </w:rPr>
        <w:t>招标</w:t>
      </w:r>
      <w:r>
        <w:rPr>
          <w:rFonts w:hint="eastAsia" w:ascii="Times New Roman" w:hAnsi="Times New Roman" w:eastAsia="宋体" w:cs="Times New Roman"/>
          <w:snapToGrid w:val="0"/>
          <w:kern w:val="0"/>
          <w:sz w:val="24"/>
          <w:szCs w:val="20"/>
        </w:rPr>
        <w:t>地址：</w:t>
      </w:r>
      <w:r>
        <w:rPr>
          <w:rFonts w:hint="eastAsia" w:ascii="Times New Roman" w:hAnsi="Times New Roman" w:eastAsia="宋体" w:cs="Times New Roman"/>
          <w:snapToGrid w:val="0"/>
          <w:kern w:val="0"/>
          <w:sz w:val="24"/>
          <w:szCs w:val="20"/>
          <w:lang w:val="en-US" w:eastAsia="zh-CN"/>
        </w:rPr>
        <w:t>鄂州市葛店开发区创业大道宝业工业园</w:t>
      </w:r>
    </w:p>
    <w:p w14:paraId="7E58111B">
      <w:pPr>
        <w:spacing w:line="360" w:lineRule="auto"/>
        <w:ind w:firstLine="480" w:firstLineChars="200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napToGrid w:val="0"/>
          <w:kern w:val="0"/>
          <w:sz w:val="24"/>
          <w:szCs w:val="20"/>
        </w:rPr>
        <w:t>2.2 招标联系方式</w:t>
      </w:r>
      <w:r>
        <w:rPr>
          <w:rFonts w:hint="eastAsia" w:ascii="宋体" w:hAnsi="宋体" w:cs="宋体"/>
          <w:snapToGrid w:val="0"/>
          <w:kern w:val="0"/>
          <w:sz w:val="24"/>
          <w:szCs w:val="24"/>
        </w:rPr>
        <w:t>：</w:t>
      </w:r>
      <w:r>
        <w:rPr>
          <w:rFonts w:hint="eastAsia" w:ascii="宋体" w:hAnsi="宋体" w:cs="宋体"/>
          <w:snapToGrid w:val="0"/>
          <w:kern w:val="0"/>
          <w:sz w:val="24"/>
          <w:szCs w:val="24"/>
          <w:lang w:val="en-US" w:eastAsia="zh-CN"/>
        </w:rPr>
        <w:t>张进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>18571710270</w:t>
      </w:r>
    </w:p>
    <w:p w14:paraId="43F9E5AB">
      <w:pPr>
        <w:tabs>
          <w:tab w:val="left" w:pos="840"/>
          <w:tab w:val="left" w:pos="1080"/>
          <w:tab w:val="left" w:pos="1140"/>
        </w:tabs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napToGrid w:val="0"/>
          <w:kern w:val="0"/>
          <w:sz w:val="24"/>
          <w:szCs w:val="20"/>
        </w:rPr>
      </w:pPr>
      <w:r>
        <w:rPr>
          <w:rFonts w:hint="eastAsia" w:ascii="Times New Roman" w:hAnsi="Times New Roman" w:eastAsia="宋体" w:cs="Times New Roman"/>
          <w:snapToGrid w:val="0"/>
          <w:kern w:val="0"/>
          <w:sz w:val="24"/>
          <w:szCs w:val="20"/>
        </w:rPr>
        <w:t xml:space="preserve">                 </w:t>
      </w:r>
      <w:r>
        <w:rPr>
          <w:rFonts w:hint="eastAsia" w:ascii="Times New Roman" w:hAnsi="Times New Roman" w:eastAsia="宋体" w:cs="Times New Roman"/>
          <w:snapToGrid w:val="0"/>
          <w:kern w:val="0"/>
          <w:sz w:val="24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napToGrid w:val="0"/>
          <w:kern w:val="0"/>
          <w:sz w:val="24"/>
          <w:szCs w:val="20"/>
        </w:rPr>
        <w:t xml:space="preserve">邮箱 </w:t>
      </w:r>
      <w:r>
        <w:rPr>
          <w:rFonts w:hint="eastAsia" w:ascii="Times New Roman" w:hAnsi="Times New Roman" w:eastAsia="宋体" w:cs="Times New Roman"/>
          <w:snapToGrid w:val="0"/>
          <w:kern w:val="0"/>
          <w:sz w:val="24"/>
          <w:szCs w:val="20"/>
          <w:lang w:val="en-US" w:eastAsia="zh-CN"/>
        </w:rPr>
        <w:t xml:space="preserve"> 3501211428@qq.com</w:t>
      </w:r>
    </w:p>
    <w:p w14:paraId="13CF59CB">
      <w:pPr>
        <w:tabs>
          <w:tab w:val="left" w:pos="840"/>
          <w:tab w:val="left" w:pos="1080"/>
          <w:tab w:val="left" w:pos="1140"/>
        </w:tabs>
        <w:snapToGrid w:val="0"/>
        <w:spacing w:line="360" w:lineRule="auto"/>
        <w:ind w:firstLine="482" w:firstLineChars="200"/>
        <w:rPr>
          <w:rFonts w:ascii="Times New Roman" w:hAnsi="Times New Roman" w:eastAsia="宋体" w:cs="Times New Roman"/>
          <w:snapToGrid w:val="0"/>
          <w:kern w:val="0"/>
          <w:sz w:val="24"/>
          <w:szCs w:val="20"/>
        </w:rPr>
      </w:pPr>
      <w:r>
        <w:rPr>
          <w:rFonts w:hint="eastAsia" w:asciiTheme="minorEastAsia" w:hAnsiTheme="minorEastAsia" w:cstheme="minorEastAsia"/>
          <w:b/>
          <w:snapToGrid w:val="0"/>
          <w:kern w:val="0"/>
          <w:sz w:val="24"/>
          <w:szCs w:val="20"/>
        </w:rPr>
        <w:t>3、招标方式：</w:t>
      </w:r>
      <w:r>
        <w:rPr>
          <w:rFonts w:hint="eastAsia" w:ascii="Times New Roman" w:hAnsi="Times New Roman" w:eastAsia="宋体" w:cs="Times New Roman"/>
          <w:snapToGrid w:val="0"/>
          <w:kern w:val="0"/>
          <w:sz w:val="24"/>
          <w:szCs w:val="20"/>
        </w:rPr>
        <w:t>公开竞标</w:t>
      </w:r>
    </w:p>
    <w:p w14:paraId="48DA193D">
      <w:pPr>
        <w:tabs>
          <w:tab w:val="left" w:pos="840"/>
          <w:tab w:val="left" w:pos="1080"/>
          <w:tab w:val="left" w:pos="1140"/>
        </w:tabs>
        <w:snapToGrid w:val="0"/>
        <w:spacing w:line="360" w:lineRule="auto"/>
        <w:ind w:firstLine="482" w:firstLineChars="200"/>
        <w:rPr>
          <w:rFonts w:asciiTheme="minorEastAsia" w:hAnsiTheme="minorEastAsia" w:cstheme="minorEastAsia"/>
          <w:b/>
          <w:snapToGrid w:val="0"/>
          <w:kern w:val="0"/>
          <w:sz w:val="24"/>
          <w:szCs w:val="20"/>
        </w:rPr>
      </w:pPr>
      <w:r>
        <w:rPr>
          <w:rFonts w:hint="eastAsia" w:asciiTheme="minorEastAsia" w:hAnsiTheme="minorEastAsia" w:cstheme="minorEastAsia"/>
          <w:b/>
          <w:snapToGrid w:val="0"/>
          <w:kern w:val="0"/>
          <w:sz w:val="24"/>
          <w:szCs w:val="20"/>
        </w:rPr>
        <w:t>4、投标人资格条件：</w:t>
      </w:r>
    </w:p>
    <w:p w14:paraId="7BDEC8EE">
      <w:pPr>
        <w:tabs>
          <w:tab w:val="left" w:pos="840"/>
          <w:tab w:val="left" w:pos="1080"/>
          <w:tab w:val="left" w:pos="1140"/>
        </w:tabs>
        <w:snapToGrid w:val="0"/>
        <w:spacing w:line="360" w:lineRule="auto"/>
        <w:ind w:firstLine="480" w:firstLineChars="200"/>
        <w:rPr>
          <w:rFonts w:ascii="宋体" w:hAnsi="宋体" w:cs="宋体"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snapToGrid w:val="0"/>
          <w:kern w:val="0"/>
          <w:sz w:val="24"/>
          <w:szCs w:val="24"/>
        </w:rPr>
        <w:t>4.1具有相应资质的独立法人，提供有效的营业执照及道路运输许可证。</w:t>
      </w:r>
    </w:p>
    <w:p w14:paraId="403B5E27">
      <w:pPr>
        <w:spacing w:line="360" w:lineRule="auto"/>
        <w:ind w:firstLine="480" w:firstLineChars="200"/>
        <w:rPr>
          <w:rFonts w:ascii="宋体" w:hAnsi="宋体" w:cs="宋体"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snapToGrid w:val="0"/>
          <w:kern w:val="0"/>
          <w:sz w:val="24"/>
          <w:szCs w:val="24"/>
        </w:rPr>
        <w:t>4.2具有与本次招标相适应的业绩或类似经验，</w:t>
      </w:r>
      <w:r>
        <w:rPr>
          <w:rFonts w:hint="eastAsia" w:ascii="Times New Roman" w:hAnsi="Times New Roman" w:eastAsia="宋体" w:cs="Times New Roman"/>
          <w:snapToGrid w:val="0"/>
          <w:kern w:val="0"/>
          <w:sz w:val="24"/>
          <w:szCs w:val="20"/>
        </w:rPr>
        <w:t>具备良好的运输服务能力</w:t>
      </w:r>
      <w:r>
        <w:rPr>
          <w:rFonts w:hint="eastAsia" w:ascii="宋体" w:hAnsi="宋体" w:cs="宋体"/>
          <w:snapToGrid w:val="0"/>
          <w:kern w:val="0"/>
          <w:sz w:val="24"/>
          <w:szCs w:val="24"/>
        </w:rPr>
        <w:t>。</w:t>
      </w:r>
    </w:p>
    <w:p w14:paraId="3135E1DB">
      <w:pPr>
        <w:spacing w:line="360" w:lineRule="auto"/>
        <w:ind w:left="719" w:leftChars="228" w:hanging="240" w:hangingChars="100"/>
        <w:rPr>
          <w:rFonts w:hint="eastAsia" w:ascii="Times New Roman" w:hAnsi="Times New Roman" w:eastAsia="宋体" w:cs="Times New Roman"/>
          <w:snapToGrid w:val="0"/>
          <w:kern w:val="0"/>
          <w:sz w:val="24"/>
          <w:szCs w:val="20"/>
        </w:rPr>
      </w:pPr>
      <w:r>
        <w:rPr>
          <w:rFonts w:hint="eastAsia" w:ascii="宋体" w:hAnsi="宋体" w:cs="宋体"/>
          <w:snapToGrid w:val="0"/>
          <w:kern w:val="0"/>
          <w:sz w:val="24"/>
          <w:szCs w:val="24"/>
        </w:rPr>
        <w:t>4.3</w:t>
      </w:r>
      <w:r>
        <w:rPr>
          <w:rFonts w:hint="eastAsia" w:ascii="宋体" w:hAnsi="宋体" w:cs="宋体"/>
          <w:snapToGrid w:val="0"/>
          <w:kern w:val="0"/>
          <w:sz w:val="24"/>
          <w:szCs w:val="24"/>
          <w:lang w:val="en-US" w:eastAsia="zh-CN"/>
        </w:rPr>
        <w:t xml:space="preserve"> 满足招标人运输要求的</w:t>
      </w:r>
      <w:r>
        <w:rPr>
          <w:rFonts w:hint="eastAsia" w:ascii="宋体" w:hAnsi="宋体" w:cs="宋体"/>
          <w:snapToGrid w:val="0"/>
          <w:kern w:val="0"/>
          <w:sz w:val="24"/>
          <w:szCs w:val="24"/>
        </w:rPr>
        <w:t>自有车辆不少于5台，</w:t>
      </w:r>
      <w:r>
        <w:rPr>
          <w:rFonts w:hint="eastAsia" w:ascii="Times New Roman" w:hAnsi="Times New Roman" w:eastAsia="宋体" w:cs="Times New Roman"/>
          <w:snapToGrid w:val="0"/>
          <w:kern w:val="0"/>
          <w:sz w:val="24"/>
          <w:szCs w:val="20"/>
        </w:rPr>
        <w:t>提供车辆登记证书复印件</w:t>
      </w:r>
    </w:p>
    <w:p w14:paraId="1CC074CD">
      <w:pPr>
        <w:spacing w:line="360" w:lineRule="auto"/>
        <w:rPr>
          <w:rFonts w:hint="eastAsia" w:ascii="宋体" w:hAnsi="宋体" w:cs="宋体" w:eastAsiaTheme="minorEastAsia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napToGrid w:val="0"/>
          <w:kern w:val="0"/>
          <w:sz w:val="24"/>
          <w:szCs w:val="20"/>
        </w:rPr>
        <w:t>（原件备查）</w:t>
      </w:r>
      <w:r>
        <w:rPr>
          <w:rFonts w:hint="eastAsia" w:ascii="宋体" w:hAnsi="宋体" w:cs="宋体"/>
          <w:snapToGrid w:val="0"/>
          <w:kern w:val="0"/>
          <w:sz w:val="24"/>
          <w:szCs w:val="24"/>
        </w:rPr>
        <w:t>。</w:t>
      </w:r>
    </w:p>
    <w:p w14:paraId="41EFDC25">
      <w:pPr>
        <w:spacing w:line="360" w:lineRule="auto"/>
        <w:ind w:left="719" w:leftChars="228" w:hanging="240" w:hangingChars="100"/>
        <w:rPr>
          <w:rFonts w:hint="eastAsia" w:ascii="宋体" w:hAnsi="宋体" w:cs="宋体"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snapToGrid w:val="0"/>
          <w:kern w:val="0"/>
          <w:sz w:val="24"/>
          <w:szCs w:val="24"/>
          <w:lang w:val="en-US" w:eastAsia="zh-CN"/>
        </w:rPr>
        <w:t>4.4</w:t>
      </w:r>
      <w:r>
        <w:rPr>
          <w:rFonts w:hint="eastAsia" w:ascii="宋体" w:hAnsi="宋体" w:cs="宋体"/>
          <w:snapToGrid w:val="0"/>
          <w:kern w:val="0"/>
          <w:sz w:val="24"/>
          <w:szCs w:val="24"/>
        </w:rPr>
        <w:t>具有良好的信誉和合同履约能力；近三年内无重大安全事故和业内无不</w:t>
      </w:r>
    </w:p>
    <w:p w14:paraId="5EA1CB70">
      <w:pPr>
        <w:spacing w:line="360" w:lineRule="auto"/>
        <w:rPr>
          <w:rFonts w:ascii="宋体" w:hAnsi="宋体" w:cs="宋体"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snapToGrid w:val="0"/>
          <w:kern w:val="0"/>
          <w:sz w:val="24"/>
          <w:szCs w:val="24"/>
        </w:rPr>
        <w:t>良记录。若有隐瞒，将取消竞标资格。</w:t>
      </w:r>
    </w:p>
    <w:p w14:paraId="12A7E334">
      <w:pPr>
        <w:tabs>
          <w:tab w:val="left" w:pos="840"/>
          <w:tab w:val="left" w:pos="1080"/>
          <w:tab w:val="left" w:pos="1140"/>
        </w:tabs>
        <w:snapToGrid w:val="0"/>
        <w:spacing w:line="360" w:lineRule="auto"/>
        <w:ind w:firstLine="482" w:firstLineChars="200"/>
        <w:rPr>
          <w:rFonts w:asciiTheme="minorEastAsia" w:hAnsiTheme="minorEastAsia" w:cstheme="minorEastAsia"/>
          <w:b/>
          <w:snapToGrid w:val="0"/>
          <w:kern w:val="0"/>
          <w:sz w:val="24"/>
          <w:szCs w:val="20"/>
        </w:rPr>
      </w:pPr>
      <w:r>
        <w:rPr>
          <w:rFonts w:hint="eastAsia" w:asciiTheme="minorEastAsia" w:hAnsiTheme="minorEastAsia" w:cstheme="minorEastAsia"/>
          <w:b/>
          <w:snapToGrid w:val="0"/>
          <w:kern w:val="0"/>
          <w:sz w:val="24"/>
          <w:szCs w:val="20"/>
        </w:rPr>
        <w:t>5、投标文件：</w:t>
      </w:r>
    </w:p>
    <w:p w14:paraId="43EE5FA7">
      <w:pPr>
        <w:tabs>
          <w:tab w:val="left" w:pos="840"/>
          <w:tab w:val="left" w:pos="1080"/>
          <w:tab w:val="left" w:pos="1140"/>
        </w:tabs>
        <w:snapToGrid w:val="0"/>
        <w:spacing w:line="360" w:lineRule="auto"/>
        <w:ind w:firstLine="480" w:firstLineChars="200"/>
        <w:rPr>
          <w:rFonts w:hint="eastAsia" w:ascii="Times New Roman" w:hAnsi="Times New Roman" w:cs="Times New Roman" w:eastAsiaTheme="minorEastAsia"/>
          <w:snapToGrid w:val="0"/>
          <w:kern w:val="0"/>
          <w:sz w:val="24"/>
          <w:szCs w:val="20"/>
          <w:lang w:eastAsia="zh-CN"/>
        </w:rPr>
      </w:pPr>
      <w:r>
        <w:rPr>
          <w:rFonts w:hint="eastAsia" w:ascii="Times New Roman" w:hAnsi="Times New Roman" w:eastAsia="宋体" w:cs="Times New Roman"/>
          <w:snapToGrid w:val="0"/>
          <w:kern w:val="0"/>
          <w:sz w:val="24"/>
          <w:szCs w:val="20"/>
        </w:rPr>
        <w:t>5.1投标文件递交方式及时间：电子投标文件</w:t>
      </w:r>
      <w:r>
        <w:rPr>
          <w:rFonts w:hint="eastAsia" w:ascii="Times New Roman" w:hAnsi="Times New Roman" w:eastAsia="宋体" w:cs="Times New Roman"/>
          <w:snapToGrid w:val="0"/>
          <w:kern w:val="0"/>
          <w:sz w:val="24"/>
          <w:szCs w:val="20"/>
          <w:lang w:val="en-US" w:eastAsia="zh-CN"/>
        </w:rPr>
        <w:t>须在</w:t>
      </w:r>
      <w:r>
        <w:rPr>
          <w:rFonts w:hint="eastAsia" w:ascii="Times New Roman" w:hAnsi="Times New Roman" w:eastAsia="宋体" w:cs="Times New Roman"/>
          <w:snapToGrid w:val="0"/>
          <w:kern w:val="0"/>
          <w:sz w:val="24"/>
          <w:szCs w:val="20"/>
        </w:rPr>
        <w:t>宝业湖北建工集团集采平台http://jc.baoyehb.com/sign.jsp上投递</w:t>
      </w:r>
      <w:r>
        <w:rPr>
          <w:rFonts w:hint="eastAsia" w:ascii="Times New Roman" w:hAnsi="Times New Roman" w:eastAsia="宋体" w:cs="Times New Roman"/>
          <w:snapToGrid w:val="0"/>
          <w:kern w:val="0"/>
          <w:sz w:val="24"/>
          <w:szCs w:val="20"/>
          <w:lang w:eastAsia="zh-CN"/>
        </w:rPr>
        <w:t>，</w:t>
      </w:r>
      <w:r>
        <w:rPr>
          <w:rFonts w:hint="eastAsia" w:ascii="Times New Roman" w:hAnsi="Times New Roman" w:eastAsia="宋体" w:cs="Times New Roman"/>
          <w:snapToGrid w:val="0"/>
          <w:kern w:val="0"/>
          <w:sz w:val="24"/>
          <w:szCs w:val="20"/>
          <w:lang w:val="en-US" w:eastAsia="zh-CN"/>
        </w:rPr>
        <w:t>同时纸质</w:t>
      </w:r>
      <w:r>
        <w:rPr>
          <w:rFonts w:hint="eastAsia" w:ascii="Times New Roman" w:hAnsi="Times New Roman" w:eastAsia="宋体" w:cs="Times New Roman"/>
          <w:snapToGrid w:val="0"/>
          <w:kern w:val="0"/>
          <w:sz w:val="24"/>
          <w:szCs w:val="20"/>
        </w:rPr>
        <w:t>投标文件</w:t>
      </w:r>
      <w:r>
        <w:rPr>
          <w:rFonts w:hint="eastAsia" w:ascii="Times New Roman" w:hAnsi="Times New Roman" w:eastAsia="宋体" w:cs="Times New Roman"/>
          <w:snapToGrid w:val="0"/>
          <w:kern w:val="0"/>
          <w:sz w:val="24"/>
          <w:szCs w:val="20"/>
          <w:lang w:val="en-US" w:eastAsia="zh-CN"/>
        </w:rPr>
        <w:t>需</w:t>
      </w:r>
      <w:r>
        <w:rPr>
          <w:rFonts w:hint="eastAsia" w:ascii="宋体" w:hAnsi="宋体" w:cs="宋体"/>
          <w:snapToGrid w:val="0"/>
          <w:kern w:val="0"/>
          <w:sz w:val="24"/>
          <w:szCs w:val="24"/>
        </w:rPr>
        <w:t>递交或邮寄至</w:t>
      </w:r>
      <w:r>
        <w:rPr>
          <w:rFonts w:hint="eastAsia" w:ascii="宋体" w:hAnsi="宋体" w:cs="宋体"/>
          <w:snapToGrid w:val="0"/>
          <w:kern w:val="0"/>
          <w:sz w:val="24"/>
          <w:szCs w:val="24"/>
          <w:lang w:val="en-US" w:eastAsia="zh-CN"/>
        </w:rPr>
        <w:t>鄂州市葛店开发区创业大道宝业工业园</w:t>
      </w:r>
      <w:r>
        <w:rPr>
          <w:rFonts w:hint="eastAsia" w:ascii="宋体" w:hAnsi="宋体" w:cs="宋体"/>
          <w:snapToGrid w:val="0"/>
          <w:kern w:val="0"/>
          <w:sz w:val="24"/>
          <w:szCs w:val="24"/>
          <w:lang w:eastAsia="zh-CN"/>
        </w:rPr>
        <w:t>。</w:t>
      </w:r>
    </w:p>
    <w:p w14:paraId="5B09899A">
      <w:pPr>
        <w:tabs>
          <w:tab w:val="left" w:pos="840"/>
          <w:tab w:val="left" w:pos="1080"/>
          <w:tab w:val="left" w:pos="1140"/>
        </w:tabs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napToGrid w:val="0"/>
          <w:kern w:val="0"/>
          <w:sz w:val="24"/>
          <w:szCs w:val="20"/>
        </w:rPr>
      </w:pPr>
      <w:r>
        <w:rPr>
          <w:rFonts w:hint="eastAsia" w:ascii="Times New Roman" w:hAnsi="Times New Roman" w:eastAsia="宋体" w:cs="Times New Roman"/>
          <w:snapToGrid w:val="0"/>
          <w:kern w:val="0"/>
          <w:sz w:val="24"/>
          <w:szCs w:val="20"/>
        </w:rPr>
        <w:t>5.2 投标截止时间：202</w:t>
      </w:r>
      <w:r>
        <w:rPr>
          <w:rFonts w:hint="eastAsia" w:ascii="Times New Roman" w:hAnsi="Times New Roman" w:eastAsia="宋体" w:cs="Times New Roman"/>
          <w:snapToGrid w:val="0"/>
          <w:kern w:val="0"/>
          <w:sz w:val="24"/>
          <w:szCs w:val="20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snapToGrid w:val="0"/>
          <w:kern w:val="0"/>
          <w:sz w:val="24"/>
          <w:szCs w:val="20"/>
        </w:rPr>
        <w:t>年</w:t>
      </w:r>
      <w:r>
        <w:rPr>
          <w:rFonts w:hint="eastAsia" w:ascii="Times New Roman" w:hAnsi="Times New Roman" w:eastAsia="宋体" w:cs="Times New Roman"/>
          <w:snapToGrid w:val="0"/>
          <w:kern w:val="0"/>
          <w:sz w:val="24"/>
          <w:szCs w:val="20"/>
          <w:lang w:val="en-US" w:eastAsia="zh-CN"/>
        </w:rPr>
        <w:t>6</w:t>
      </w:r>
      <w:r>
        <w:rPr>
          <w:rFonts w:hint="eastAsia" w:ascii="Times New Roman" w:hAnsi="Times New Roman" w:eastAsia="宋体" w:cs="Times New Roman"/>
          <w:snapToGrid w:val="0"/>
          <w:kern w:val="0"/>
          <w:sz w:val="24"/>
          <w:szCs w:val="20"/>
        </w:rPr>
        <w:t>月</w:t>
      </w:r>
      <w:r>
        <w:rPr>
          <w:rFonts w:hint="eastAsia" w:ascii="Times New Roman" w:hAnsi="Times New Roman" w:eastAsia="宋体" w:cs="Times New Roman"/>
          <w:snapToGrid w:val="0"/>
          <w:kern w:val="0"/>
          <w:sz w:val="24"/>
          <w:szCs w:val="20"/>
          <w:lang w:val="en-US" w:eastAsia="zh-CN"/>
        </w:rPr>
        <w:t>15</w:t>
      </w:r>
      <w:r>
        <w:rPr>
          <w:rFonts w:hint="eastAsia" w:ascii="Times New Roman" w:hAnsi="Times New Roman" w:eastAsia="宋体" w:cs="Times New Roman"/>
          <w:snapToGrid w:val="0"/>
          <w:kern w:val="0"/>
          <w:sz w:val="24"/>
          <w:szCs w:val="20"/>
        </w:rPr>
        <w:t>日</w:t>
      </w:r>
      <w:r>
        <w:rPr>
          <w:rFonts w:hint="eastAsia" w:ascii="Times New Roman" w:hAnsi="Times New Roman" w:eastAsia="宋体" w:cs="Times New Roman"/>
          <w:snapToGrid w:val="0"/>
          <w:kern w:val="0"/>
          <w:sz w:val="24"/>
          <w:szCs w:val="20"/>
          <w:lang w:val="en-US" w:eastAsia="zh-CN"/>
        </w:rPr>
        <w:t>17</w:t>
      </w:r>
      <w:r>
        <w:rPr>
          <w:rFonts w:hint="eastAsia" w:ascii="Times New Roman" w:hAnsi="Times New Roman" w:eastAsia="宋体" w:cs="Times New Roman"/>
          <w:snapToGrid w:val="0"/>
          <w:kern w:val="0"/>
          <w:sz w:val="24"/>
          <w:szCs w:val="20"/>
        </w:rPr>
        <w:t>:30分</w:t>
      </w:r>
    </w:p>
    <w:p w14:paraId="68C42013">
      <w:pPr>
        <w:tabs>
          <w:tab w:val="left" w:pos="840"/>
          <w:tab w:val="left" w:pos="1080"/>
          <w:tab w:val="left" w:pos="1140"/>
        </w:tabs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napToGrid w:val="0"/>
          <w:kern w:val="0"/>
          <w:sz w:val="24"/>
          <w:szCs w:val="20"/>
        </w:rPr>
      </w:pPr>
      <w:r>
        <w:rPr>
          <w:rFonts w:hint="eastAsia" w:ascii="Times New Roman" w:hAnsi="Times New Roman" w:eastAsia="宋体" w:cs="Times New Roman"/>
          <w:snapToGrid w:val="0"/>
          <w:kern w:val="0"/>
          <w:sz w:val="24"/>
          <w:szCs w:val="20"/>
        </w:rPr>
        <w:t>5.3 投标文件份数：正本壹份，密封装。</w:t>
      </w:r>
    </w:p>
    <w:p w14:paraId="1EB84E2E">
      <w:pPr>
        <w:tabs>
          <w:tab w:val="left" w:pos="840"/>
          <w:tab w:val="left" w:pos="1080"/>
          <w:tab w:val="left" w:pos="1140"/>
        </w:tabs>
        <w:snapToGrid w:val="0"/>
        <w:spacing w:line="360" w:lineRule="auto"/>
        <w:ind w:firstLine="482" w:firstLineChars="200"/>
        <w:rPr>
          <w:rFonts w:asciiTheme="minorEastAsia" w:hAnsiTheme="minorEastAsia" w:cstheme="minorEastAsia"/>
          <w:b/>
          <w:bCs/>
          <w:snapToGrid w:val="0"/>
          <w:kern w:val="0"/>
          <w:sz w:val="24"/>
          <w:szCs w:val="20"/>
        </w:rPr>
      </w:pPr>
      <w:r>
        <w:rPr>
          <w:rFonts w:hint="eastAsia" w:asciiTheme="minorEastAsia" w:hAnsiTheme="minorEastAsia" w:cstheme="minorEastAsia"/>
          <w:b/>
          <w:bCs/>
          <w:snapToGrid w:val="0"/>
          <w:kern w:val="0"/>
          <w:sz w:val="24"/>
          <w:szCs w:val="20"/>
        </w:rPr>
        <w:t>6、履约保证金</w:t>
      </w:r>
    </w:p>
    <w:p w14:paraId="1E2075E9">
      <w:pPr>
        <w:tabs>
          <w:tab w:val="left" w:pos="840"/>
          <w:tab w:val="left" w:pos="1080"/>
          <w:tab w:val="left" w:pos="1140"/>
        </w:tabs>
        <w:snapToGrid w:val="0"/>
        <w:spacing w:line="360" w:lineRule="auto"/>
        <w:ind w:firstLine="480" w:firstLineChars="200"/>
        <w:rPr>
          <w:rFonts w:hint="eastAsia" w:ascii="Times New Roman" w:hAnsi="Times New Roman" w:eastAsia="宋体" w:cs="Times New Roman"/>
          <w:snapToGrid w:val="0"/>
          <w:kern w:val="0"/>
          <w:sz w:val="24"/>
          <w:szCs w:val="20"/>
        </w:rPr>
      </w:pPr>
      <w:r>
        <w:rPr>
          <w:rFonts w:ascii="Times New Roman" w:hAnsi="Times New Roman" w:eastAsia="宋体" w:cs="Times New Roman"/>
          <w:snapToGrid w:val="0"/>
          <w:kern w:val="0"/>
          <w:sz w:val="24"/>
          <w:szCs w:val="20"/>
        </w:rPr>
        <w:t>中标人在签订合同时，向招标人缴纳履约保证金</w:t>
      </w:r>
      <w:r>
        <w:rPr>
          <w:rFonts w:hint="eastAsia" w:ascii="Times New Roman" w:hAnsi="Times New Roman" w:eastAsia="宋体" w:cs="Times New Roman"/>
          <w:snapToGrid w:val="0"/>
          <w:kern w:val="0"/>
          <w:sz w:val="24"/>
          <w:szCs w:val="20"/>
        </w:rPr>
        <w:t>3</w:t>
      </w:r>
      <w:r>
        <w:rPr>
          <w:rFonts w:ascii="Times New Roman" w:hAnsi="Times New Roman" w:eastAsia="宋体" w:cs="Times New Roman"/>
          <w:snapToGrid w:val="0"/>
          <w:kern w:val="0"/>
          <w:sz w:val="24"/>
          <w:szCs w:val="20"/>
        </w:rPr>
        <w:t>万元</w:t>
      </w:r>
      <w:r>
        <w:rPr>
          <w:rFonts w:hint="eastAsia" w:ascii="Times New Roman" w:hAnsi="Times New Roman" w:eastAsia="宋体" w:cs="Times New Roman"/>
          <w:snapToGrid w:val="0"/>
          <w:kern w:val="0"/>
          <w:sz w:val="24"/>
          <w:szCs w:val="20"/>
        </w:rPr>
        <w:t>。</w:t>
      </w:r>
    </w:p>
    <w:p w14:paraId="68AAC16E">
      <w:pPr>
        <w:tabs>
          <w:tab w:val="left" w:pos="840"/>
          <w:tab w:val="left" w:pos="1080"/>
          <w:tab w:val="left" w:pos="1140"/>
        </w:tabs>
        <w:snapToGrid w:val="0"/>
        <w:spacing w:line="360" w:lineRule="auto"/>
        <w:ind w:firstLine="480" w:firstLineChars="200"/>
        <w:rPr>
          <w:rFonts w:hint="eastAsia" w:ascii="Times New Roman" w:hAnsi="Times New Roman" w:eastAsia="宋体" w:cs="Times New Roman"/>
          <w:snapToGrid w:val="0"/>
          <w:kern w:val="0"/>
          <w:sz w:val="24"/>
          <w:szCs w:val="20"/>
        </w:rPr>
      </w:pPr>
    </w:p>
    <w:p w14:paraId="2A800051">
      <w:pPr>
        <w:numPr>
          <w:ilvl w:val="0"/>
          <w:numId w:val="1"/>
        </w:numPr>
        <w:tabs>
          <w:tab w:val="left" w:pos="840"/>
          <w:tab w:val="left" w:pos="1080"/>
          <w:tab w:val="left" w:pos="1140"/>
        </w:tabs>
        <w:snapToGrid w:val="0"/>
        <w:spacing w:line="240" w:lineRule="auto"/>
        <w:ind w:firstLine="0" w:firstLineChars="0"/>
        <w:rPr>
          <w:rFonts w:hint="eastAsia" w:ascii="Times New Roman" w:hAnsi="Times New Roman" w:eastAsia="宋体" w:cs="Times New Roman"/>
          <w:b/>
          <w:snapToGrid w:val="0"/>
          <w:kern w:val="0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napToGrid w:val="0"/>
          <w:kern w:val="0"/>
          <w:sz w:val="28"/>
          <w:szCs w:val="28"/>
        </w:rPr>
        <w:t>投标报价</w:t>
      </w:r>
    </w:p>
    <w:p w14:paraId="4D2F2FD6">
      <w:pPr>
        <w:numPr>
          <w:ilvl w:val="0"/>
          <w:numId w:val="0"/>
        </w:numPr>
        <w:tabs>
          <w:tab w:val="left" w:pos="840"/>
          <w:tab w:val="left" w:pos="1080"/>
          <w:tab w:val="left" w:pos="1140"/>
        </w:tabs>
        <w:snapToGrid w:val="0"/>
        <w:spacing w:line="240" w:lineRule="auto"/>
        <w:rPr>
          <w:rFonts w:hint="eastAsia" w:ascii="Times New Roman" w:hAnsi="Times New Roman" w:eastAsia="宋体" w:cs="Times New Roman"/>
          <w:b/>
          <w:snapToGrid w:val="0"/>
          <w:kern w:val="0"/>
          <w:sz w:val="28"/>
          <w:szCs w:val="28"/>
        </w:rPr>
      </w:pPr>
    </w:p>
    <w:p w14:paraId="0B15C276">
      <w:pPr>
        <w:numPr>
          <w:ilvl w:val="0"/>
          <w:numId w:val="2"/>
        </w:numPr>
        <w:tabs>
          <w:tab w:val="left" w:pos="840"/>
          <w:tab w:val="left" w:pos="1080"/>
          <w:tab w:val="left" w:pos="1140"/>
        </w:tabs>
        <w:snapToGrid w:val="0"/>
        <w:spacing w:line="240" w:lineRule="auto"/>
        <w:ind w:left="400" w:leftChars="0" w:firstLine="0" w:firstLineChars="0"/>
        <w:rPr>
          <w:rFonts w:hint="eastAsia" w:ascii="Times New Roman" w:hAnsi="Times New Roman" w:eastAsia="宋体" w:cs="Times New Roman"/>
          <w:snapToGrid w:val="0"/>
          <w:kern w:val="0"/>
          <w:sz w:val="24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snapToGrid w:val="0"/>
          <w:kern w:val="0"/>
          <w:sz w:val="24"/>
          <w:szCs w:val="20"/>
          <w:lang w:val="en-US" w:eastAsia="zh-CN"/>
        </w:rPr>
        <w:t>投标人可以选择同时参与各基地的物流运输服务报价，也可以参与其中</w:t>
      </w:r>
    </w:p>
    <w:p w14:paraId="78413B7F">
      <w:pPr>
        <w:numPr>
          <w:ilvl w:val="0"/>
          <w:numId w:val="0"/>
        </w:numPr>
        <w:tabs>
          <w:tab w:val="left" w:pos="840"/>
          <w:tab w:val="left" w:pos="1080"/>
          <w:tab w:val="left" w:pos="1140"/>
        </w:tabs>
        <w:snapToGrid w:val="0"/>
        <w:spacing w:line="240" w:lineRule="auto"/>
        <w:rPr>
          <w:rFonts w:hint="eastAsia" w:ascii="Times New Roman" w:hAnsi="Times New Roman" w:eastAsia="宋体" w:cs="Times New Roman"/>
          <w:snapToGrid w:val="0"/>
          <w:kern w:val="0"/>
          <w:sz w:val="24"/>
          <w:szCs w:val="20"/>
          <w:lang w:val="en-US" w:eastAsia="zh-CN"/>
        </w:rPr>
      </w:pPr>
    </w:p>
    <w:p w14:paraId="6E01A837">
      <w:pPr>
        <w:numPr>
          <w:ilvl w:val="0"/>
          <w:numId w:val="0"/>
        </w:numPr>
        <w:tabs>
          <w:tab w:val="left" w:pos="840"/>
          <w:tab w:val="left" w:pos="1080"/>
          <w:tab w:val="left" w:pos="1140"/>
        </w:tabs>
        <w:snapToGrid w:val="0"/>
        <w:spacing w:line="240" w:lineRule="auto"/>
        <w:rPr>
          <w:rFonts w:hint="eastAsia" w:ascii="Times New Roman" w:hAnsi="Times New Roman" w:eastAsia="宋体" w:cs="Times New Roman"/>
          <w:snapToGrid w:val="0"/>
          <w:kern w:val="0"/>
          <w:sz w:val="24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snapToGrid w:val="0"/>
          <w:kern w:val="0"/>
          <w:sz w:val="24"/>
          <w:szCs w:val="20"/>
          <w:lang w:val="en-US" w:eastAsia="zh-CN"/>
        </w:rPr>
        <w:t>一个或二个基地的物流运输服务报价。</w:t>
      </w:r>
    </w:p>
    <w:p w14:paraId="744B343A">
      <w:pPr>
        <w:numPr>
          <w:ilvl w:val="0"/>
          <w:numId w:val="0"/>
        </w:numPr>
        <w:tabs>
          <w:tab w:val="left" w:pos="840"/>
          <w:tab w:val="left" w:pos="1080"/>
          <w:tab w:val="left" w:pos="1140"/>
        </w:tabs>
        <w:snapToGrid w:val="0"/>
        <w:spacing w:line="240" w:lineRule="auto"/>
        <w:rPr>
          <w:rFonts w:hint="eastAsia" w:ascii="Times New Roman" w:hAnsi="Times New Roman" w:eastAsia="宋体" w:cs="Times New Roman"/>
          <w:snapToGrid w:val="0"/>
          <w:kern w:val="0"/>
          <w:sz w:val="24"/>
          <w:szCs w:val="20"/>
          <w:lang w:val="en-US" w:eastAsia="zh-CN"/>
        </w:rPr>
      </w:pPr>
    </w:p>
    <w:p w14:paraId="27BB510D">
      <w:pPr>
        <w:numPr>
          <w:ilvl w:val="0"/>
          <w:numId w:val="2"/>
        </w:numPr>
        <w:tabs>
          <w:tab w:val="left" w:pos="840"/>
          <w:tab w:val="left" w:pos="1080"/>
          <w:tab w:val="left" w:pos="1140"/>
        </w:tabs>
        <w:snapToGrid w:val="0"/>
        <w:spacing w:line="240" w:lineRule="auto"/>
        <w:ind w:left="400" w:leftChars="0" w:firstLine="0" w:firstLineChars="0"/>
        <w:rPr>
          <w:rFonts w:hint="eastAsia" w:ascii="Times New Roman" w:hAnsi="Times New Roman" w:eastAsia="宋体" w:cs="Times New Roman"/>
          <w:snapToGrid w:val="0"/>
          <w:kern w:val="0"/>
          <w:sz w:val="24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snapToGrid w:val="0"/>
          <w:kern w:val="0"/>
          <w:sz w:val="24"/>
          <w:szCs w:val="20"/>
          <w:lang w:val="en-US" w:eastAsia="zh-CN"/>
        </w:rPr>
        <w:t>投标报价表</w:t>
      </w:r>
    </w:p>
    <w:p w14:paraId="6913823B">
      <w:pPr>
        <w:numPr>
          <w:ilvl w:val="0"/>
          <w:numId w:val="0"/>
        </w:numPr>
        <w:tabs>
          <w:tab w:val="left" w:pos="840"/>
          <w:tab w:val="left" w:pos="1080"/>
          <w:tab w:val="left" w:pos="1140"/>
        </w:tabs>
        <w:snapToGrid w:val="0"/>
        <w:spacing w:line="240" w:lineRule="auto"/>
        <w:ind w:left="400" w:leftChars="0"/>
        <w:rPr>
          <w:rFonts w:hint="default" w:ascii="Times New Roman" w:hAnsi="Times New Roman" w:eastAsia="宋体" w:cs="Times New Roman"/>
          <w:snapToGrid w:val="0"/>
          <w:kern w:val="0"/>
          <w:sz w:val="24"/>
          <w:szCs w:val="20"/>
          <w:lang w:val="en-US" w:eastAsia="zh-CN"/>
        </w:rPr>
      </w:pPr>
    </w:p>
    <w:p w14:paraId="0FF04283">
      <w:pPr>
        <w:numPr>
          <w:ilvl w:val="0"/>
          <w:numId w:val="0"/>
        </w:numPr>
        <w:tabs>
          <w:tab w:val="left" w:pos="840"/>
          <w:tab w:val="left" w:pos="1080"/>
          <w:tab w:val="left" w:pos="1140"/>
        </w:tabs>
        <w:snapToGrid w:val="0"/>
        <w:spacing w:line="240" w:lineRule="auto"/>
        <w:ind w:left="400" w:leftChars="0"/>
        <w:rPr>
          <w:rFonts w:hint="default" w:ascii="Times New Roman" w:hAnsi="Times New Roman" w:eastAsia="宋体" w:cs="Times New Roman"/>
          <w:snapToGrid w:val="0"/>
          <w:kern w:val="0"/>
          <w:sz w:val="24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snapToGrid w:val="0"/>
          <w:kern w:val="0"/>
          <w:sz w:val="24"/>
          <w:szCs w:val="20"/>
          <w:lang w:val="en-US" w:eastAsia="zh-CN"/>
        </w:rPr>
        <w:t>投标人须按统一报价表格式分别按不带货架和带货架两种形式报价。</w:t>
      </w:r>
    </w:p>
    <w:p w14:paraId="4D58D6B3">
      <w:pPr>
        <w:widowControl w:val="0"/>
        <w:numPr>
          <w:ilvl w:val="0"/>
          <w:numId w:val="0"/>
        </w:numPr>
        <w:tabs>
          <w:tab w:val="left" w:pos="840"/>
          <w:tab w:val="left" w:pos="1080"/>
          <w:tab w:val="left" w:pos="1140"/>
        </w:tabs>
        <w:snapToGrid w:val="0"/>
        <w:spacing w:line="240" w:lineRule="auto"/>
        <w:jc w:val="both"/>
        <w:rPr>
          <w:rFonts w:hint="eastAsia" w:ascii="Times New Roman" w:hAnsi="Times New Roman" w:eastAsia="宋体" w:cs="Times New Roman"/>
          <w:snapToGrid w:val="0"/>
          <w:kern w:val="0"/>
          <w:sz w:val="24"/>
          <w:szCs w:val="20"/>
          <w:lang w:val="en-US" w:eastAsia="zh-CN"/>
        </w:rPr>
      </w:pPr>
    </w:p>
    <w:p w14:paraId="3CA9DFB9">
      <w:pPr>
        <w:widowControl w:val="0"/>
        <w:numPr>
          <w:ilvl w:val="0"/>
          <w:numId w:val="0"/>
        </w:numPr>
        <w:tabs>
          <w:tab w:val="left" w:pos="840"/>
          <w:tab w:val="left" w:pos="1080"/>
          <w:tab w:val="left" w:pos="1140"/>
        </w:tabs>
        <w:snapToGrid w:val="0"/>
        <w:spacing w:line="240" w:lineRule="auto"/>
        <w:ind w:firstLine="3132" w:firstLineChars="1300"/>
        <w:jc w:val="both"/>
        <w:rPr>
          <w:rFonts w:hint="default" w:ascii="Times New Roman" w:hAnsi="Times New Roman" w:eastAsia="宋体" w:cs="Times New Roman"/>
          <w:snapToGrid w:val="0"/>
          <w:kern w:val="0"/>
          <w:sz w:val="24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napToGrid w:val="0"/>
          <w:kern w:val="0"/>
          <w:sz w:val="24"/>
          <w:szCs w:val="20"/>
          <w:lang w:val="en-US" w:eastAsia="zh-CN"/>
        </w:rPr>
        <w:t>葛店基地报价表（不带货架）</w:t>
      </w:r>
    </w:p>
    <w:tbl>
      <w:tblPr>
        <w:tblStyle w:val="6"/>
        <w:tblpPr w:leftFromText="180" w:rightFromText="180" w:vertAnchor="text" w:horzAnchor="page" w:tblpX="1929" w:tblpY="189"/>
        <w:tblOverlap w:val="never"/>
        <w:tblW w:w="82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508"/>
        <w:gridCol w:w="1038"/>
        <w:gridCol w:w="956"/>
        <w:gridCol w:w="1012"/>
        <w:gridCol w:w="1117"/>
        <w:gridCol w:w="1579"/>
      </w:tblGrid>
      <w:tr w14:paraId="45199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01670F74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报价形式</w:t>
            </w:r>
          </w:p>
        </w:tc>
        <w:tc>
          <w:tcPr>
            <w:tcW w:w="1508" w:type="dxa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6CF926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车型</w:t>
            </w:r>
          </w:p>
        </w:tc>
        <w:tc>
          <w:tcPr>
            <w:tcW w:w="41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B40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val="en-US" w:eastAsia="zh-CN" w:bidi="ar"/>
              </w:rPr>
              <w:t>不同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运距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val="en-US" w:eastAsia="zh-CN" w:bidi="ar"/>
              </w:rPr>
              <w:t>L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val="en-US" w:eastAsia="zh-CN" w:bidi="ar"/>
              </w:rPr>
              <w:t>价格</w:t>
            </w:r>
          </w:p>
        </w:tc>
        <w:tc>
          <w:tcPr>
            <w:tcW w:w="15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B56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val="en-US" w:eastAsia="zh-CN" w:bidi="ar"/>
              </w:rPr>
              <w:t>备注</w:t>
            </w:r>
          </w:p>
        </w:tc>
      </w:tr>
      <w:tr w14:paraId="4F1DB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068" w:type="dxa"/>
            <w:vMerge w:val="continue"/>
            <w:tcBorders>
              <w:left w:val="single" w:color="000000" w:sz="4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30C71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8" w:type="dxa"/>
            <w:vMerge w:val="continue"/>
            <w:tcBorders>
              <w:left w:val="single" w:color="000000" w:sz="4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02FF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412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val="en-US" w:eastAsia="zh-CN" w:bidi="ar"/>
              </w:rPr>
              <w:t>L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≤30Km以内</w:t>
            </w:r>
          </w:p>
        </w:tc>
        <w:tc>
          <w:tcPr>
            <w:tcW w:w="2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DDF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val="en-US" w:eastAsia="zh-CN" w:bidi="ar"/>
              </w:rPr>
              <w:t>L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＞30Km,在100Km以内，</w:t>
            </w:r>
          </w:p>
          <w:p w14:paraId="4F478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每公里每吨增加</w:t>
            </w:r>
          </w:p>
        </w:tc>
        <w:tc>
          <w:tcPr>
            <w:tcW w:w="15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A49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99BF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61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方量计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价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89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13米平板挂车</w:t>
            </w:r>
          </w:p>
          <w:p w14:paraId="64D8A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13.75或17.5米高低板挂车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DD3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0DD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元/m³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8A5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A0C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元/m³.km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00F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必报</w:t>
            </w:r>
          </w:p>
        </w:tc>
      </w:tr>
      <w:tr w14:paraId="0D78C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0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52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9D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9.6米平板车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EF2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472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元/m³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601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C53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元/m³.km³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3E0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必报</w:t>
            </w:r>
          </w:p>
        </w:tc>
      </w:tr>
      <w:tr w14:paraId="33176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0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BD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68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6.8米或7.2米平板车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A55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E15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元/m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BE7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A4D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元/m³.km³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C12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必报</w:t>
            </w:r>
          </w:p>
        </w:tc>
      </w:tr>
    </w:tbl>
    <w:p w14:paraId="03AE6119">
      <w:pPr>
        <w:numPr>
          <w:ilvl w:val="0"/>
          <w:numId w:val="0"/>
        </w:numPr>
        <w:tabs>
          <w:tab w:val="left" w:pos="840"/>
          <w:tab w:val="left" w:pos="1080"/>
          <w:tab w:val="left" w:pos="1140"/>
        </w:tabs>
        <w:snapToGrid w:val="0"/>
        <w:spacing w:line="240" w:lineRule="auto"/>
        <w:ind w:left="400" w:leftChars="0"/>
        <w:rPr>
          <w:rFonts w:hint="default" w:ascii="Times New Roman" w:hAnsi="Times New Roman" w:eastAsia="宋体" w:cs="Times New Roman"/>
          <w:snapToGrid w:val="0"/>
          <w:kern w:val="0"/>
          <w:sz w:val="24"/>
          <w:szCs w:val="20"/>
          <w:lang w:val="en-US" w:eastAsia="zh-CN"/>
        </w:rPr>
      </w:pPr>
    </w:p>
    <w:p w14:paraId="0EA744DC">
      <w:pPr>
        <w:numPr>
          <w:ilvl w:val="0"/>
          <w:numId w:val="0"/>
        </w:numPr>
        <w:tabs>
          <w:tab w:val="left" w:pos="840"/>
          <w:tab w:val="left" w:pos="1080"/>
          <w:tab w:val="left" w:pos="1140"/>
        </w:tabs>
        <w:snapToGrid w:val="0"/>
        <w:spacing w:line="240" w:lineRule="auto"/>
        <w:rPr>
          <w:rFonts w:hint="eastAsia" w:ascii="Times New Roman" w:hAnsi="Times New Roman" w:eastAsia="宋体" w:cs="Times New Roman"/>
          <w:b/>
          <w:bCs/>
          <w:snapToGrid w:val="0"/>
          <w:kern w:val="0"/>
          <w:sz w:val="24"/>
          <w:szCs w:val="20"/>
          <w:lang w:val="en-US" w:eastAsia="zh-CN"/>
        </w:rPr>
      </w:pPr>
    </w:p>
    <w:p w14:paraId="7F4C18BE">
      <w:pPr>
        <w:widowControl w:val="0"/>
        <w:numPr>
          <w:ilvl w:val="0"/>
          <w:numId w:val="0"/>
        </w:numPr>
        <w:tabs>
          <w:tab w:val="left" w:pos="840"/>
          <w:tab w:val="left" w:pos="1080"/>
          <w:tab w:val="left" w:pos="1140"/>
        </w:tabs>
        <w:snapToGrid w:val="0"/>
        <w:spacing w:line="240" w:lineRule="auto"/>
        <w:ind w:firstLine="3132" w:firstLineChars="1300"/>
        <w:jc w:val="both"/>
        <w:rPr>
          <w:rFonts w:hint="default" w:ascii="Times New Roman" w:hAnsi="Times New Roman" w:eastAsia="宋体" w:cs="Times New Roman"/>
          <w:snapToGrid w:val="0"/>
          <w:kern w:val="0"/>
          <w:sz w:val="24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napToGrid w:val="0"/>
          <w:kern w:val="0"/>
          <w:sz w:val="24"/>
          <w:szCs w:val="20"/>
          <w:lang w:val="en-US" w:eastAsia="zh-CN"/>
        </w:rPr>
        <w:t>葛店基地报价表（带货架）</w:t>
      </w:r>
    </w:p>
    <w:tbl>
      <w:tblPr>
        <w:tblStyle w:val="6"/>
        <w:tblpPr w:leftFromText="180" w:rightFromText="180" w:vertAnchor="text" w:horzAnchor="page" w:tblpX="1929" w:tblpY="189"/>
        <w:tblOverlap w:val="never"/>
        <w:tblW w:w="82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508"/>
        <w:gridCol w:w="1038"/>
        <w:gridCol w:w="956"/>
        <w:gridCol w:w="1012"/>
        <w:gridCol w:w="1117"/>
        <w:gridCol w:w="1579"/>
      </w:tblGrid>
      <w:tr w14:paraId="1B5C9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7EC26056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报价形式</w:t>
            </w:r>
          </w:p>
        </w:tc>
        <w:tc>
          <w:tcPr>
            <w:tcW w:w="1508" w:type="dxa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329DEB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车型</w:t>
            </w:r>
          </w:p>
        </w:tc>
        <w:tc>
          <w:tcPr>
            <w:tcW w:w="41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AC9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val="en-US" w:eastAsia="zh-CN" w:bidi="ar"/>
              </w:rPr>
              <w:t>不同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运距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val="en-US" w:eastAsia="zh-CN" w:bidi="ar"/>
              </w:rPr>
              <w:t>L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val="en-US" w:eastAsia="zh-CN" w:bidi="ar"/>
              </w:rPr>
              <w:t>价格</w:t>
            </w:r>
          </w:p>
        </w:tc>
        <w:tc>
          <w:tcPr>
            <w:tcW w:w="15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EA3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val="en-US" w:eastAsia="zh-CN" w:bidi="ar"/>
              </w:rPr>
              <w:t>备注</w:t>
            </w:r>
          </w:p>
        </w:tc>
      </w:tr>
      <w:tr w14:paraId="32EA9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068" w:type="dxa"/>
            <w:vMerge w:val="continue"/>
            <w:tcBorders>
              <w:left w:val="single" w:color="000000" w:sz="4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D030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8" w:type="dxa"/>
            <w:vMerge w:val="continue"/>
            <w:tcBorders>
              <w:left w:val="single" w:color="000000" w:sz="4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BA819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58B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val="en-US" w:eastAsia="zh-CN" w:bidi="ar"/>
              </w:rPr>
              <w:t>L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≤30Km以内</w:t>
            </w:r>
          </w:p>
        </w:tc>
        <w:tc>
          <w:tcPr>
            <w:tcW w:w="2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709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val="en-US" w:eastAsia="zh-CN" w:bidi="ar"/>
              </w:rPr>
              <w:t>L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＞30Km,在100Km以内，</w:t>
            </w:r>
          </w:p>
          <w:p w14:paraId="33A69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每公里每吨增加</w:t>
            </w:r>
          </w:p>
        </w:tc>
        <w:tc>
          <w:tcPr>
            <w:tcW w:w="15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305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FE98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88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方量计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价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AA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13米平板挂车</w:t>
            </w:r>
          </w:p>
          <w:p w14:paraId="6D8CF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13.75或17.5米高低板挂车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679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0B9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元/m³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067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76B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元/m³.km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1A5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必报</w:t>
            </w:r>
          </w:p>
        </w:tc>
      </w:tr>
      <w:tr w14:paraId="58189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0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57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6A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9.6米平板车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999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71E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元/m³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03B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CB1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元/m³.km³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9D7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必报</w:t>
            </w:r>
          </w:p>
        </w:tc>
      </w:tr>
      <w:tr w14:paraId="44EA2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0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B9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AD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6.8米或7.2米平板车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BAB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EC7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元/m³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69C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024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元/m³.km³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43C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必报</w:t>
            </w:r>
          </w:p>
        </w:tc>
      </w:tr>
    </w:tbl>
    <w:p w14:paraId="0D91DE3D">
      <w:pPr>
        <w:numPr>
          <w:ilvl w:val="0"/>
          <w:numId w:val="0"/>
        </w:numPr>
        <w:tabs>
          <w:tab w:val="left" w:pos="840"/>
          <w:tab w:val="left" w:pos="1080"/>
          <w:tab w:val="left" w:pos="1140"/>
        </w:tabs>
        <w:snapToGrid w:val="0"/>
        <w:spacing w:line="240" w:lineRule="auto"/>
        <w:rPr>
          <w:rFonts w:hint="eastAsia" w:ascii="Times New Roman" w:hAnsi="Times New Roman" w:eastAsia="宋体" w:cs="Times New Roman"/>
          <w:b/>
          <w:bCs/>
          <w:snapToGrid w:val="0"/>
          <w:kern w:val="0"/>
          <w:sz w:val="24"/>
          <w:szCs w:val="20"/>
          <w:lang w:val="en-US" w:eastAsia="zh-CN"/>
        </w:rPr>
      </w:pPr>
    </w:p>
    <w:p w14:paraId="6C73DE41">
      <w:pPr>
        <w:tabs>
          <w:tab w:val="left" w:pos="840"/>
          <w:tab w:val="left" w:pos="1080"/>
          <w:tab w:val="left" w:pos="1140"/>
        </w:tabs>
        <w:snapToGrid w:val="0"/>
        <w:spacing w:before="156" w:beforeLines="50" w:line="360" w:lineRule="auto"/>
        <w:ind w:left="1925" w:leftChars="228" w:hanging="1446" w:hangingChars="600"/>
        <w:rPr>
          <w:rFonts w:hint="eastAsia" w:ascii="Times New Roman" w:hAnsi="Times New Roman" w:eastAsia="宋体" w:cs="Times New Roman"/>
          <w:snapToGrid w:val="0"/>
          <w:kern w:val="0"/>
          <w:sz w:val="24"/>
          <w:szCs w:val="20"/>
        </w:rPr>
      </w:pPr>
      <w:r>
        <w:rPr>
          <w:rFonts w:hint="eastAsia" w:ascii="Times New Roman" w:hAnsi="Times New Roman" w:eastAsia="宋体" w:cs="Times New Roman"/>
          <w:b/>
          <w:bCs/>
          <w:snapToGrid w:val="0"/>
          <w:kern w:val="0"/>
          <w:sz w:val="24"/>
          <w:szCs w:val="20"/>
        </w:rPr>
        <w:t>报价说明：</w:t>
      </w:r>
      <w:r>
        <w:rPr>
          <w:rFonts w:hint="eastAsia" w:ascii="Times New Roman" w:hAnsi="Times New Roman" w:eastAsia="宋体" w:cs="Times New Roman"/>
          <w:snapToGrid w:val="0"/>
          <w:kern w:val="0"/>
          <w:sz w:val="24"/>
          <w:szCs w:val="20"/>
        </w:rPr>
        <w:t xml:space="preserve"> </w:t>
      </w:r>
      <w:r>
        <w:rPr>
          <w:rFonts w:hint="eastAsia" w:ascii="Times New Roman" w:hAnsi="Times New Roman" w:eastAsia="宋体" w:cs="Times New Roman"/>
          <w:snapToGrid w:val="0"/>
          <w:kern w:val="0"/>
          <w:sz w:val="24"/>
          <w:szCs w:val="20"/>
          <w:lang w:eastAsia="zh-CN"/>
        </w:rPr>
        <w:t>（</w:t>
      </w:r>
      <w:r>
        <w:rPr>
          <w:rFonts w:hint="eastAsia" w:ascii="Times New Roman" w:hAnsi="Times New Roman" w:eastAsia="宋体" w:cs="Times New Roman"/>
          <w:snapToGrid w:val="0"/>
          <w:kern w:val="0"/>
          <w:sz w:val="24"/>
          <w:szCs w:val="20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snapToGrid w:val="0"/>
          <w:kern w:val="0"/>
          <w:sz w:val="24"/>
          <w:szCs w:val="20"/>
          <w:lang w:eastAsia="zh-CN"/>
        </w:rPr>
        <w:t>）</w:t>
      </w:r>
      <w:r>
        <w:rPr>
          <w:rFonts w:hint="eastAsia" w:ascii="Times New Roman" w:hAnsi="Times New Roman" w:eastAsia="宋体" w:cs="Times New Roman"/>
          <w:snapToGrid w:val="0"/>
          <w:kern w:val="0"/>
          <w:sz w:val="24"/>
          <w:szCs w:val="20"/>
        </w:rPr>
        <w:t>报价价格均包含但不限于运输及装卸车服务费、税费、陆运综合险保险费、人工工资、管理费、风险费、</w:t>
      </w:r>
      <w:r>
        <w:rPr>
          <w:rFonts w:hint="eastAsia" w:ascii="Times New Roman" w:hAnsi="Times New Roman" w:eastAsia="宋体" w:cs="Times New Roman"/>
          <w:snapToGrid w:val="0"/>
          <w:kern w:val="0"/>
          <w:sz w:val="24"/>
          <w:szCs w:val="20"/>
          <w:highlight w:val="none"/>
        </w:rPr>
        <w:t>交通行政性收费</w:t>
      </w:r>
      <w:r>
        <w:rPr>
          <w:rFonts w:hint="eastAsia" w:ascii="Times New Roman" w:hAnsi="Times New Roman" w:eastAsia="宋体" w:cs="Times New Roman"/>
          <w:snapToGrid w:val="0"/>
          <w:kern w:val="0"/>
          <w:sz w:val="24"/>
          <w:szCs w:val="20"/>
          <w:highlight w:val="none"/>
          <w:lang w:eastAsia="zh-CN"/>
        </w:rPr>
        <w:t>、</w:t>
      </w:r>
      <w:r>
        <w:rPr>
          <w:rFonts w:hint="eastAsia" w:ascii="Times New Roman" w:hAnsi="Times New Roman" w:eastAsia="宋体" w:cs="Times New Roman"/>
          <w:snapToGrid w:val="0"/>
          <w:color w:val="FF0000"/>
          <w:kern w:val="0"/>
          <w:sz w:val="24"/>
          <w:szCs w:val="20"/>
          <w:highlight w:val="none"/>
          <w:lang w:val="en-US" w:eastAsia="zh-CN"/>
        </w:rPr>
        <w:t>随车周转材料回收及返厂</w:t>
      </w:r>
      <w:r>
        <w:rPr>
          <w:rFonts w:hint="eastAsia" w:ascii="Times New Roman" w:hAnsi="Times New Roman" w:eastAsia="宋体" w:cs="Times New Roman"/>
          <w:snapToGrid w:val="0"/>
          <w:kern w:val="0"/>
          <w:sz w:val="24"/>
          <w:szCs w:val="20"/>
        </w:rPr>
        <w:t>等全部费用。</w:t>
      </w:r>
    </w:p>
    <w:p w14:paraId="1C7A3F1D">
      <w:pPr>
        <w:tabs>
          <w:tab w:val="left" w:pos="840"/>
          <w:tab w:val="left" w:pos="1080"/>
          <w:tab w:val="left" w:pos="1140"/>
        </w:tabs>
        <w:snapToGrid w:val="0"/>
        <w:spacing w:line="360" w:lineRule="auto"/>
        <w:ind w:left="1886" w:leftChars="898" w:firstLine="0" w:firstLineChars="0"/>
        <w:rPr>
          <w:rFonts w:ascii="Times New Roman" w:hAnsi="Times New Roman" w:eastAsia="宋体" w:cs="Times New Roman"/>
          <w:snapToGrid w:val="0"/>
          <w:kern w:val="0"/>
          <w:sz w:val="24"/>
          <w:szCs w:val="20"/>
        </w:rPr>
      </w:pPr>
      <w:r>
        <w:rPr>
          <w:rFonts w:hint="eastAsia" w:ascii="Times New Roman" w:hAnsi="Times New Roman" w:eastAsia="宋体" w:cs="Times New Roman"/>
          <w:snapToGrid w:val="0"/>
          <w:kern w:val="0"/>
          <w:sz w:val="24"/>
          <w:szCs w:val="20"/>
          <w:lang w:val="en-US" w:eastAsia="zh-CN"/>
        </w:rPr>
        <w:t>（2）</w:t>
      </w:r>
      <w:r>
        <w:rPr>
          <w:rFonts w:hint="eastAsia" w:ascii="Times New Roman" w:hAnsi="Times New Roman" w:eastAsia="宋体" w:cs="Times New Roman"/>
          <w:snapToGrid w:val="0"/>
          <w:kern w:val="0"/>
          <w:sz w:val="24"/>
          <w:szCs w:val="20"/>
        </w:rPr>
        <w:t>承运工作包括：PC构件在招标人工厂装车（由招标人负责装车、投标人司机配合），按指定路线运抵施工现场，卸货配合（卸货由收货人负责），卸货完成后将货架</w:t>
      </w:r>
      <w:r>
        <w:rPr>
          <w:rFonts w:hint="eastAsia" w:ascii="Times New Roman" w:hAnsi="Times New Roman" w:eastAsia="宋体" w:cs="Times New Roman"/>
          <w:snapToGrid w:val="0"/>
          <w:kern w:val="0"/>
          <w:sz w:val="24"/>
          <w:szCs w:val="20"/>
          <w:lang w:val="en-US" w:eastAsia="zh-CN"/>
        </w:rPr>
        <w:t>、垫梁、</w:t>
      </w:r>
      <w:r>
        <w:rPr>
          <w:rFonts w:hint="eastAsia" w:ascii="Times New Roman" w:hAnsi="Times New Roman" w:eastAsia="宋体" w:cs="Times New Roman"/>
          <w:snapToGrid w:val="0"/>
          <w:kern w:val="0"/>
          <w:sz w:val="24"/>
          <w:szCs w:val="20"/>
        </w:rPr>
        <w:t>垫木</w:t>
      </w:r>
      <w:r>
        <w:rPr>
          <w:rFonts w:hint="eastAsia" w:ascii="Times New Roman" w:hAnsi="Times New Roman" w:eastAsia="宋体" w:cs="Times New Roman"/>
          <w:snapToGrid w:val="0"/>
          <w:kern w:val="0"/>
          <w:sz w:val="24"/>
          <w:szCs w:val="20"/>
          <w:lang w:eastAsia="zh-CN"/>
        </w:rPr>
        <w:t>、</w:t>
      </w:r>
      <w:r>
        <w:rPr>
          <w:rFonts w:hint="eastAsia" w:ascii="Times New Roman" w:hAnsi="Times New Roman" w:eastAsia="宋体" w:cs="Times New Roman"/>
          <w:snapToGrid w:val="0"/>
          <w:kern w:val="0"/>
          <w:sz w:val="24"/>
          <w:szCs w:val="20"/>
        </w:rPr>
        <w:t>工装</w:t>
      </w:r>
      <w:r>
        <w:rPr>
          <w:rFonts w:hint="eastAsia" w:ascii="Times New Roman" w:hAnsi="Times New Roman" w:eastAsia="宋体" w:cs="Times New Roman"/>
          <w:snapToGrid w:val="0"/>
          <w:kern w:val="0"/>
          <w:sz w:val="24"/>
          <w:szCs w:val="20"/>
          <w:lang w:val="en-US" w:eastAsia="zh-CN"/>
        </w:rPr>
        <w:t>等随车周材</w:t>
      </w:r>
      <w:r>
        <w:rPr>
          <w:rFonts w:hint="eastAsia" w:ascii="Times New Roman" w:hAnsi="Times New Roman" w:eastAsia="宋体" w:cs="Times New Roman"/>
          <w:snapToGrid w:val="0"/>
          <w:kern w:val="0"/>
          <w:sz w:val="24"/>
          <w:szCs w:val="20"/>
        </w:rPr>
        <w:t>回收运至招标人工厂，发货单由收货人签收后带回工厂。</w:t>
      </w:r>
    </w:p>
    <w:p w14:paraId="7FD52C18">
      <w:pPr>
        <w:tabs>
          <w:tab w:val="left" w:pos="840"/>
          <w:tab w:val="left" w:pos="1080"/>
          <w:tab w:val="left" w:pos="1140"/>
        </w:tabs>
        <w:snapToGrid w:val="0"/>
        <w:spacing w:line="360" w:lineRule="auto"/>
        <w:ind w:left="1886" w:leftChars="898" w:firstLine="0" w:firstLineChars="0"/>
        <w:rPr>
          <w:rFonts w:hint="eastAsia" w:ascii="Times New Roman" w:hAnsi="Times New Roman" w:eastAsia="仿宋" w:cs="Times New Roman"/>
          <w:snapToGrid w:val="0"/>
          <w:kern w:val="0"/>
          <w:sz w:val="24"/>
          <w:szCs w:val="20"/>
          <w:lang w:eastAsia="zh-CN"/>
        </w:rPr>
      </w:pPr>
      <w:r>
        <w:rPr>
          <w:rFonts w:hint="eastAsia" w:ascii="Times New Roman" w:hAnsi="Times New Roman" w:eastAsia="宋体" w:cs="Times New Roman"/>
          <w:snapToGrid w:val="0"/>
          <w:kern w:val="0"/>
          <w:sz w:val="24"/>
          <w:szCs w:val="20"/>
          <w:lang w:val="en-US" w:eastAsia="zh-CN"/>
        </w:rPr>
        <w:t>（3）</w:t>
      </w:r>
      <w:r>
        <w:rPr>
          <w:rFonts w:hint="eastAsia" w:ascii="Times New Roman" w:hAnsi="Times New Roman" w:eastAsia="宋体" w:cs="Times New Roman"/>
          <w:snapToGrid w:val="0"/>
          <w:kern w:val="0"/>
          <w:sz w:val="24"/>
          <w:szCs w:val="20"/>
        </w:rPr>
        <w:t>随构件供货车辆发往现场的垫木、垫梁、工装</w:t>
      </w:r>
      <w:r>
        <w:rPr>
          <w:rFonts w:hint="eastAsia" w:ascii="Times New Roman" w:hAnsi="Times New Roman" w:eastAsia="宋体" w:cs="Times New Roman"/>
          <w:snapToGrid w:val="0"/>
          <w:kern w:val="0"/>
          <w:sz w:val="24"/>
          <w:szCs w:val="20"/>
          <w:lang w:eastAsia="zh-CN"/>
        </w:rPr>
        <w:t>、</w:t>
      </w:r>
      <w:r>
        <w:rPr>
          <w:rFonts w:hint="eastAsia" w:ascii="Times New Roman" w:hAnsi="Times New Roman" w:eastAsia="宋体" w:cs="Times New Roman"/>
          <w:snapToGrid w:val="0"/>
          <w:kern w:val="0"/>
          <w:sz w:val="24"/>
          <w:szCs w:val="20"/>
          <w:lang w:val="en-US" w:eastAsia="zh-CN"/>
        </w:rPr>
        <w:t>槽钢</w:t>
      </w:r>
      <w:r>
        <w:rPr>
          <w:rFonts w:hint="eastAsia" w:ascii="Times New Roman" w:hAnsi="Times New Roman" w:eastAsia="宋体" w:cs="Times New Roman"/>
          <w:snapToGrid w:val="0"/>
          <w:kern w:val="0"/>
          <w:sz w:val="24"/>
          <w:szCs w:val="20"/>
        </w:rPr>
        <w:t>及货架等周转辅材的回收</w:t>
      </w:r>
      <w:r>
        <w:rPr>
          <w:rFonts w:hint="eastAsia" w:ascii="Times New Roman" w:hAnsi="Times New Roman" w:eastAsia="宋体" w:cs="Times New Roman"/>
          <w:snapToGrid w:val="0"/>
          <w:kern w:val="0"/>
          <w:sz w:val="24"/>
          <w:szCs w:val="20"/>
          <w:lang w:val="en-US" w:eastAsia="zh-CN"/>
        </w:rPr>
        <w:t>达标要求：</w:t>
      </w:r>
      <w:r>
        <w:rPr>
          <w:rFonts w:hint="eastAsia" w:ascii="Times New Roman" w:hAnsi="Times New Roman" w:eastAsia="宋体" w:cs="Times New Roman"/>
          <w:snapToGrid w:val="0"/>
          <w:kern w:val="0"/>
          <w:sz w:val="24"/>
          <w:szCs w:val="20"/>
        </w:rPr>
        <w:t>垫木回收率至少达</w:t>
      </w:r>
      <w:r>
        <w:rPr>
          <w:rFonts w:hint="eastAsia" w:ascii="Times New Roman" w:hAnsi="Times New Roman" w:eastAsia="宋体" w:cs="Times New Roman"/>
          <w:snapToGrid w:val="0"/>
          <w:kern w:val="0"/>
          <w:sz w:val="24"/>
          <w:szCs w:val="20"/>
          <w:lang w:val="en-US" w:eastAsia="zh-CN"/>
        </w:rPr>
        <w:t>95</w:t>
      </w:r>
      <w:r>
        <w:rPr>
          <w:rFonts w:hint="eastAsia" w:ascii="Times New Roman" w:hAnsi="Times New Roman" w:eastAsia="宋体" w:cs="Times New Roman"/>
          <w:snapToGrid w:val="0"/>
          <w:kern w:val="0"/>
          <w:sz w:val="24"/>
          <w:szCs w:val="20"/>
        </w:rPr>
        <w:t>%，工装</w:t>
      </w:r>
      <w:r>
        <w:rPr>
          <w:rFonts w:hint="eastAsia" w:ascii="Times New Roman" w:hAnsi="Times New Roman" w:eastAsia="宋体" w:cs="Times New Roman"/>
          <w:snapToGrid w:val="0"/>
          <w:kern w:val="0"/>
          <w:sz w:val="24"/>
          <w:szCs w:val="20"/>
          <w:lang w:eastAsia="zh-CN"/>
        </w:rPr>
        <w:t>、</w:t>
      </w:r>
      <w:r>
        <w:rPr>
          <w:rFonts w:hint="eastAsia" w:ascii="Times New Roman" w:hAnsi="Times New Roman" w:eastAsia="宋体" w:cs="Times New Roman"/>
          <w:snapToGrid w:val="0"/>
          <w:kern w:val="0"/>
          <w:sz w:val="24"/>
          <w:szCs w:val="20"/>
          <w:lang w:val="en-US" w:eastAsia="zh-CN"/>
        </w:rPr>
        <w:t>槽钢</w:t>
      </w:r>
      <w:r>
        <w:rPr>
          <w:rFonts w:hint="eastAsia" w:ascii="Times New Roman" w:hAnsi="Times New Roman" w:eastAsia="宋体" w:cs="Times New Roman"/>
          <w:snapToGrid w:val="0"/>
          <w:kern w:val="0"/>
          <w:sz w:val="24"/>
          <w:szCs w:val="20"/>
        </w:rPr>
        <w:t>回收率至少达</w:t>
      </w:r>
      <w:r>
        <w:rPr>
          <w:rFonts w:hint="eastAsia" w:ascii="Times New Roman" w:hAnsi="Times New Roman" w:eastAsia="宋体" w:cs="Times New Roman"/>
          <w:snapToGrid w:val="0"/>
          <w:kern w:val="0"/>
          <w:sz w:val="24"/>
          <w:szCs w:val="20"/>
          <w:lang w:val="en-US" w:eastAsia="zh-CN"/>
        </w:rPr>
        <w:t>95</w:t>
      </w:r>
      <w:r>
        <w:rPr>
          <w:rFonts w:hint="eastAsia" w:ascii="Times New Roman" w:hAnsi="Times New Roman" w:eastAsia="宋体" w:cs="Times New Roman"/>
          <w:snapToGrid w:val="0"/>
          <w:kern w:val="0"/>
          <w:sz w:val="24"/>
          <w:szCs w:val="20"/>
        </w:rPr>
        <w:t>%，垫梁、货架回收率达100%</w:t>
      </w:r>
      <w:r>
        <w:rPr>
          <w:rFonts w:hint="eastAsia" w:ascii="Times New Roman" w:hAnsi="Times New Roman" w:eastAsia="宋体" w:cs="Times New Roman"/>
          <w:snapToGrid w:val="0"/>
          <w:kern w:val="0"/>
          <w:sz w:val="24"/>
          <w:szCs w:val="20"/>
          <w:lang w:eastAsia="zh-CN"/>
        </w:rPr>
        <w:t>。</w:t>
      </w:r>
      <w:r>
        <w:rPr>
          <w:rFonts w:hint="eastAsia" w:ascii="Times New Roman" w:hAnsi="Times New Roman" w:eastAsia="宋体" w:cs="Times New Roman"/>
          <w:snapToGrid w:val="0"/>
          <w:kern w:val="0"/>
          <w:sz w:val="24"/>
          <w:szCs w:val="20"/>
          <w:lang w:val="en-US" w:eastAsia="zh-CN"/>
        </w:rPr>
        <w:t>按季度进行收发单统计，</w:t>
      </w:r>
      <w:r>
        <w:rPr>
          <w:rFonts w:hint="eastAsia" w:ascii="Times New Roman" w:hAnsi="Times New Roman" w:eastAsia="宋体" w:cs="Times New Roman"/>
          <w:snapToGrid w:val="0"/>
          <w:kern w:val="0"/>
          <w:sz w:val="24"/>
          <w:szCs w:val="20"/>
        </w:rPr>
        <w:t>未达到回收比例的</w:t>
      </w:r>
      <w:r>
        <w:rPr>
          <w:rFonts w:hint="eastAsia" w:ascii="Times New Roman" w:hAnsi="Times New Roman" w:eastAsia="宋体" w:cs="Times New Roman"/>
          <w:snapToGrid w:val="0"/>
          <w:kern w:val="0"/>
          <w:sz w:val="24"/>
          <w:szCs w:val="20"/>
          <w:lang w:eastAsia="zh-CN"/>
        </w:rPr>
        <w:t>，</w:t>
      </w:r>
      <w:r>
        <w:rPr>
          <w:rFonts w:hint="eastAsia" w:ascii="Times New Roman" w:hAnsi="Times New Roman" w:eastAsia="宋体" w:cs="Times New Roman"/>
          <w:snapToGrid w:val="0"/>
          <w:kern w:val="0"/>
          <w:sz w:val="24"/>
          <w:szCs w:val="20"/>
        </w:rPr>
        <w:t>差额部分按甲方采购价从乙方结算款中扣减</w:t>
      </w:r>
      <w:r>
        <w:rPr>
          <w:rFonts w:hint="eastAsia" w:ascii="Times New Roman" w:hAnsi="Times New Roman" w:eastAsia="宋体" w:cs="Times New Roman"/>
          <w:snapToGrid w:val="0"/>
          <w:kern w:val="0"/>
          <w:sz w:val="24"/>
          <w:szCs w:val="20"/>
          <w:lang w:eastAsia="zh-CN"/>
        </w:rPr>
        <w:t>；</w:t>
      </w:r>
      <w:r>
        <w:rPr>
          <w:rFonts w:hint="eastAsia" w:ascii="Times New Roman" w:hAnsi="Times New Roman" w:eastAsia="宋体" w:cs="Times New Roman"/>
          <w:snapToGrid w:val="0"/>
          <w:kern w:val="0"/>
          <w:sz w:val="24"/>
          <w:szCs w:val="20"/>
        </w:rPr>
        <w:t>垫木</w:t>
      </w:r>
      <w:r>
        <w:rPr>
          <w:rFonts w:hint="eastAsia" w:ascii="Times New Roman" w:hAnsi="Times New Roman" w:eastAsia="宋体" w:cs="Times New Roman"/>
          <w:snapToGrid w:val="0"/>
          <w:kern w:val="0"/>
          <w:sz w:val="24"/>
          <w:szCs w:val="20"/>
          <w:lang w:eastAsia="zh-CN"/>
        </w:rPr>
        <w:t>、</w:t>
      </w:r>
      <w:r>
        <w:rPr>
          <w:rFonts w:hint="eastAsia" w:ascii="Times New Roman" w:hAnsi="Times New Roman" w:eastAsia="宋体" w:cs="Times New Roman"/>
          <w:snapToGrid w:val="0"/>
          <w:kern w:val="0"/>
          <w:sz w:val="24"/>
          <w:szCs w:val="20"/>
        </w:rPr>
        <w:t>工装</w:t>
      </w:r>
      <w:r>
        <w:rPr>
          <w:rFonts w:hint="eastAsia" w:ascii="Times New Roman" w:hAnsi="Times New Roman" w:eastAsia="宋体" w:cs="Times New Roman"/>
          <w:snapToGrid w:val="0"/>
          <w:kern w:val="0"/>
          <w:sz w:val="24"/>
          <w:szCs w:val="20"/>
          <w:lang w:eastAsia="zh-CN"/>
        </w:rPr>
        <w:t>、</w:t>
      </w:r>
      <w:r>
        <w:rPr>
          <w:rFonts w:hint="eastAsia" w:ascii="Times New Roman" w:hAnsi="Times New Roman" w:eastAsia="宋体" w:cs="Times New Roman"/>
          <w:snapToGrid w:val="0"/>
          <w:kern w:val="0"/>
          <w:sz w:val="24"/>
          <w:szCs w:val="20"/>
          <w:lang w:val="en-US" w:eastAsia="zh-CN"/>
        </w:rPr>
        <w:t>槽钢回收比例超过95%的，超过部分（即5%以内）</w:t>
      </w:r>
      <w:r>
        <w:rPr>
          <w:rFonts w:hint="eastAsia" w:ascii="Times New Roman" w:hAnsi="Times New Roman" w:eastAsia="宋体" w:cs="Times New Roman"/>
          <w:snapToGrid w:val="0"/>
          <w:kern w:val="0"/>
          <w:sz w:val="24"/>
          <w:szCs w:val="20"/>
        </w:rPr>
        <w:t>按甲方采购价</w:t>
      </w:r>
      <w:r>
        <w:rPr>
          <w:rFonts w:hint="eastAsia" w:ascii="Times New Roman" w:hAnsi="Times New Roman" w:eastAsia="宋体" w:cs="Times New Roman"/>
          <w:snapToGrid w:val="0"/>
          <w:kern w:val="0"/>
          <w:sz w:val="24"/>
          <w:szCs w:val="20"/>
          <w:lang w:val="en-US" w:eastAsia="zh-CN"/>
        </w:rPr>
        <w:t>的50%金额给予奖励</w:t>
      </w:r>
      <w:r>
        <w:rPr>
          <w:rFonts w:hint="eastAsia" w:ascii="Times New Roman" w:hAnsi="Times New Roman" w:eastAsia="宋体" w:cs="Times New Roman"/>
          <w:snapToGrid w:val="0"/>
          <w:kern w:val="0"/>
          <w:sz w:val="24"/>
          <w:szCs w:val="20"/>
          <w:lang w:eastAsia="zh-CN"/>
        </w:rPr>
        <w:t>。</w:t>
      </w:r>
    </w:p>
    <w:p w14:paraId="5B4BB29C">
      <w:pPr>
        <w:tabs>
          <w:tab w:val="left" w:pos="840"/>
          <w:tab w:val="left" w:pos="1080"/>
          <w:tab w:val="left" w:pos="1140"/>
        </w:tabs>
        <w:snapToGrid w:val="0"/>
        <w:spacing w:line="360" w:lineRule="auto"/>
        <w:ind w:left="449" w:leftChars="214" w:firstLine="1440" w:firstLineChars="600"/>
        <w:rPr>
          <w:rFonts w:hint="eastAsia" w:ascii="Times New Roman" w:hAnsi="Times New Roman" w:eastAsia="宋体" w:cs="Times New Roman"/>
          <w:snapToGrid w:val="0"/>
          <w:kern w:val="0"/>
          <w:sz w:val="24"/>
          <w:szCs w:val="20"/>
          <w:lang w:eastAsia="zh-CN"/>
        </w:rPr>
      </w:pPr>
      <w:r>
        <w:rPr>
          <w:rFonts w:hint="eastAsia" w:ascii="Times New Roman" w:hAnsi="Times New Roman" w:eastAsia="宋体" w:cs="Times New Roman"/>
          <w:snapToGrid w:val="0"/>
          <w:kern w:val="0"/>
          <w:sz w:val="24"/>
          <w:szCs w:val="20"/>
          <w:lang w:val="en-US" w:eastAsia="zh-CN"/>
        </w:rPr>
        <w:t>（4）报价不含高速费，若</w:t>
      </w:r>
      <w:r>
        <w:rPr>
          <w:rFonts w:hint="eastAsia" w:ascii="Times New Roman" w:hAnsi="Times New Roman" w:eastAsia="宋体" w:cs="Times New Roman"/>
          <w:snapToGrid w:val="0"/>
          <w:kern w:val="0"/>
          <w:sz w:val="24"/>
          <w:szCs w:val="20"/>
        </w:rPr>
        <w:t>如</w:t>
      </w:r>
      <w:r>
        <w:rPr>
          <w:rFonts w:hint="eastAsia" w:ascii="Times New Roman" w:hAnsi="Times New Roman" w:eastAsia="宋体" w:cs="Times New Roman"/>
          <w:snapToGrid w:val="0"/>
          <w:kern w:val="0"/>
          <w:sz w:val="24"/>
          <w:szCs w:val="20"/>
          <w:lang w:val="en-US" w:eastAsia="zh-CN"/>
        </w:rPr>
        <w:t>需</w:t>
      </w:r>
      <w:r>
        <w:rPr>
          <w:rFonts w:hint="eastAsia" w:ascii="Times New Roman" w:hAnsi="Times New Roman" w:eastAsia="宋体" w:cs="Times New Roman"/>
          <w:snapToGrid w:val="0"/>
          <w:kern w:val="0"/>
          <w:sz w:val="24"/>
          <w:szCs w:val="20"/>
        </w:rPr>
        <w:t>走高速的</w:t>
      </w:r>
      <w:r>
        <w:rPr>
          <w:rFonts w:hint="eastAsia" w:ascii="Times New Roman" w:hAnsi="Times New Roman" w:eastAsia="宋体" w:cs="Times New Roman"/>
          <w:snapToGrid w:val="0"/>
          <w:kern w:val="0"/>
          <w:sz w:val="24"/>
          <w:szCs w:val="20"/>
          <w:lang w:eastAsia="zh-CN"/>
        </w:rPr>
        <w:t>，</w:t>
      </w:r>
      <w:r>
        <w:rPr>
          <w:rFonts w:hint="eastAsia" w:ascii="Times New Roman" w:hAnsi="Times New Roman" w:eastAsia="宋体" w:cs="Times New Roman"/>
          <w:snapToGrid w:val="0"/>
          <w:kern w:val="0"/>
          <w:sz w:val="24"/>
          <w:szCs w:val="20"/>
        </w:rPr>
        <w:t>高速费</w:t>
      </w:r>
      <w:r>
        <w:rPr>
          <w:rFonts w:hint="eastAsia" w:ascii="Times New Roman" w:hAnsi="Times New Roman" w:eastAsia="宋体" w:cs="Times New Roman"/>
          <w:snapToGrid w:val="0"/>
          <w:kern w:val="0"/>
          <w:sz w:val="24"/>
          <w:szCs w:val="20"/>
          <w:lang w:val="en-US" w:eastAsia="zh-CN"/>
        </w:rPr>
        <w:t>按实</w:t>
      </w:r>
      <w:r>
        <w:rPr>
          <w:rFonts w:hint="eastAsia" w:ascii="Times New Roman" w:hAnsi="Times New Roman" w:eastAsia="宋体" w:cs="Times New Roman"/>
          <w:snapToGrid w:val="0"/>
          <w:kern w:val="0"/>
          <w:sz w:val="24"/>
          <w:szCs w:val="20"/>
        </w:rPr>
        <w:t>另计</w:t>
      </w:r>
      <w:r>
        <w:rPr>
          <w:rFonts w:hint="eastAsia" w:ascii="Times New Roman" w:hAnsi="Times New Roman" w:eastAsia="宋体" w:cs="Times New Roman"/>
          <w:snapToGrid w:val="0"/>
          <w:kern w:val="0"/>
          <w:sz w:val="24"/>
          <w:szCs w:val="20"/>
          <w:lang w:eastAsia="zh-CN"/>
        </w:rPr>
        <w:t>。</w:t>
      </w:r>
    </w:p>
    <w:p w14:paraId="1F1CF56C">
      <w:pPr>
        <w:tabs>
          <w:tab w:val="left" w:pos="840"/>
          <w:tab w:val="left" w:pos="1080"/>
          <w:tab w:val="left" w:pos="1140"/>
        </w:tabs>
        <w:snapToGrid w:val="0"/>
        <w:spacing w:line="360" w:lineRule="auto"/>
        <w:ind w:left="1920" w:hanging="1920" w:hangingChars="800"/>
        <w:rPr>
          <w:rFonts w:ascii="Times New Roman" w:hAnsi="Times New Roman" w:eastAsia="宋体" w:cs="Times New Roman"/>
          <w:snapToGrid w:val="0"/>
          <w:kern w:val="0"/>
          <w:sz w:val="24"/>
          <w:szCs w:val="20"/>
        </w:rPr>
      </w:pPr>
      <w:r>
        <w:rPr>
          <w:rFonts w:hint="eastAsia" w:ascii="Times New Roman" w:hAnsi="Times New Roman" w:eastAsia="宋体" w:cs="Times New Roman"/>
          <w:snapToGrid w:val="0"/>
          <w:kern w:val="0"/>
          <w:sz w:val="24"/>
          <w:szCs w:val="20"/>
        </w:rPr>
        <w:t xml:space="preserve">             </w:t>
      </w:r>
      <w:r>
        <w:rPr>
          <w:rFonts w:hint="eastAsia" w:ascii="Times New Roman" w:hAnsi="Times New Roman" w:eastAsia="宋体" w:cs="Times New Roman"/>
          <w:snapToGrid w:val="0"/>
          <w:kern w:val="0"/>
          <w:sz w:val="24"/>
          <w:szCs w:val="20"/>
          <w:lang w:val="en-US" w:eastAsia="zh-CN"/>
        </w:rPr>
        <w:t xml:space="preserve">   （5）</w:t>
      </w:r>
      <w:r>
        <w:rPr>
          <w:rFonts w:hint="eastAsia" w:ascii="Times New Roman" w:hAnsi="Times New Roman" w:eastAsia="宋体" w:cs="Times New Roman"/>
          <w:snapToGrid w:val="0"/>
          <w:kern w:val="0"/>
          <w:sz w:val="24"/>
          <w:szCs w:val="20"/>
        </w:rPr>
        <w:t>运费为含税，税率9%，由投标人开具增值税专用发票，运输费每月办完结算后支付。</w:t>
      </w:r>
    </w:p>
    <w:p w14:paraId="348F17A7">
      <w:pPr>
        <w:tabs>
          <w:tab w:val="left" w:pos="840"/>
          <w:tab w:val="left" w:pos="1080"/>
          <w:tab w:val="left" w:pos="1140"/>
        </w:tabs>
        <w:snapToGrid w:val="0"/>
        <w:spacing w:line="360" w:lineRule="auto"/>
        <w:ind w:left="481" w:leftChars="229"/>
        <w:rPr>
          <w:rFonts w:hint="eastAsia" w:ascii="Times New Roman" w:hAnsi="Times New Roman" w:eastAsia="宋体" w:cs="Times New Roman"/>
          <w:b/>
          <w:bCs/>
          <w:snapToGrid w:val="0"/>
          <w:kern w:val="0"/>
          <w:sz w:val="28"/>
          <w:szCs w:val="28"/>
        </w:rPr>
      </w:pPr>
    </w:p>
    <w:p w14:paraId="5F19AF87">
      <w:pPr>
        <w:tabs>
          <w:tab w:val="left" w:pos="840"/>
          <w:tab w:val="left" w:pos="1080"/>
          <w:tab w:val="left" w:pos="1140"/>
        </w:tabs>
        <w:snapToGrid w:val="0"/>
        <w:spacing w:line="360" w:lineRule="auto"/>
        <w:ind w:left="481" w:leftChars="229"/>
        <w:rPr>
          <w:rFonts w:ascii="Times New Roman" w:hAnsi="Times New Roman" w:eastAsia="宋体" w:cs="Times New Roman"/>
          <w:b/>
          <w:bCs/>
          <w:snapToGrid w:val="0"/>
          <w:kern w:val="0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snapToGrid w:val="0"/>
          <w:kern w:val="0"/>
          <w:sz w:val="28"/>
          <w:szCs w:val="28"/>
        </w:rPr>
        <w:t>三、投标文件</w:t>
      </w:r>
    </w:p>
    <w:p w14:paraId="6C309C41">
      <w:pPr>
        <w:tabs>
          <w:tab w:val="left" w:pos="840"/>
          <w:tab w:val="left" w:pos="1080"/>
          <w:tab w:val="left" w:pos="1140"/>
        </w:tabs>
        <w:snapToGrid w:val="0"/>
        <w:spacing w:line="360" w:lineRule="auto"/>
        <w:ind w:left="479" w:leftChars="228"/>
        <w:rPr>
          <w:rFonts w:asciiTheme="minorEastAsia" w:hAnsiTheme="minorEastAsia" w:cstheme="minorEastAsia"/>
          <w:b/>
          <w:bCs/>
          <w:snapToGrid w:val="0"/>
          <w:kern w:val="0"/>
          <w:sz w:val="24"/>
          <w:szCs w:val="20"/>
        </w:rPr>
      </w:pPr>
      <w:r>
        <w:rPr>
          <w:rFonts w:hint="eastAsia" w:asciiTheme="minorEastAsia" w:hAnsiTheme="minorEastAsia" w:cstheme="minorEastAsia"/>
          <w:b/>
          <w:bCs/>
          <w:snapToGrid w:val="0"/>
          <w:kern w:val="0"/>
          <w:sz w:val="24"/>
          <w:szCs w:val="20"/>
        </w:rPr>
        <w:t>1、投标文件组成</w:t>
      </w:r>
    </w:p>
    <w:p w14:paraId="3814631B">
      <w:pPr>
        <w:tabs>
          <w:tab w:val="left" w:pos="840"/>
          <w:tab w:val="left" w:pos="1080"/>
          <w:tab w:val="left" w:pos="1140"/>
        </w:tabs>
        <w:snapToGrid w:val="0"/>
        <w:spacing w:line="360" w:lineRule="auto"/>
        <w:ind w:left="479" w:leftChars="228"/>
        <w:rPr>
          <w:rFonts w:ascii="Times New Roman" w:hAnsi="Times New Roman" w:eastAsia="宋体" w:cs="Times New Roman"/>
          <w:snapToGrid w:val="0"/>
          <w:kern w:val="0"/>
          <w:sz w:val="24"/>
          <w:szCs w:val="20"/>
        </w:rPr>
      </w:pPr>
      <w:r>
        <w:rPr>
          <w:rFonts w:hint="eastAsia" w:ascii="Times New Roman" w:hAnsi="Times New Roman" w:eastAsia="宋体" w:cs="Times New Roman"/>
          <w:snapToGrid w:val="0"/>
          <w:kern w:val="0"/>
          <w:sz w:val="24"/>
          <w:szCs w:val="20"/>
        </w:rPr>
        <w:t>1.1 封面及投标函（格式见附件</w:t>
      </w:r>
      <w:r>
        <w:rPr>
          <w:rFonts w:hint="eastAsia" w:ascii="Times New Roman" w:hAnsi="Times New Roman" w:eastAsia="宋体" w:cs="Times New Roman"/>
          <w:snapToGrid w:val="0"/>
          <w:kern w:val="0"/>
          <w:sz w:val="24"/>
          <w:szCs w:val="20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snapToGrid w:val="0"/>
          <w:kern w:val="0"/>
          <w:sz w:val="24"/>
          <w:szCs w:val="20"/>
        </w:rPr>
        <w:t>）</w:t>
      </w:r>
    </w:p>
    <w:p w14:paraId="783614F6">
      <w:pPr>
        <w:tabs>
          <w:tab w:val="left" w:pos="840"/>
          <w:tab w:val="left" w:pos="1080"/>
          <w:tab w:val="left" w:pos="1140"/>
        </w:tabs>
        <w:snapToGrid w:val="0"/>
        <w:spacing w:line="360" w:lineRule="auto"/>
        <w:ind w:left="479" w:leftChars="228"/>
        <w:rPr>
          <w:rFonts w:ascii="Times New Roman" w:hAnsi="Times New Roman" w:eastAsia="宋体" w:cs="Times New Roman"/>
          <w:snapToGrid w:val="0"/>
          <w:kern w:val="0"/>
          <w:sz w:val="24"/>
          <w:szCs w:val="20"/>
        </w:rPr>
      </w:pPr>
      <w:r>
        <w:rPr>
          <w:rFonts w:hint="eastAsia" w:ascii="Times New Roman" w:hAnsi="Times New Roman" w:eastAsia="宋体" w:cs="Times New Roman"/>
          <w:snapToGrid w:val="0"/>
          <w:kern w:val="0"/>
          <w:sz w:val="24"/>
          <w:szCs w:val="20"/>
        </w:rPr>
        <w:t>1.2 投标人公司介绍材料 （包括提供投标人用于本招标运输服务车辆清单，含车型车况、购买日期）</w:t>
      </w:r>
    </w:p>
    <w:p w14:paraId="4E3B2EDB">
      <w:pPr>
        <w:tabs>
          <w:tab w:val="left" w:pos="840"/>
          <w:tab w:val="left" w:pos="1080"/>
          <w:tab w:val="left" w:pos="1140"/>
        </w:tabs>
        <w:snapToGrid w:val="0"/>
        <w:spacing w:line="360" w:lineRule="auto"/>
        <w:ind w:left="479" w:leftChars="228"/>
        <w:rPr>
          <w:rFonts w:ascii="Times New Roman" w:hAnsi="Times New Roman" w:eastAsia="宋体" w:cs="Times New Roman"/>
          <w:snapToGrid w:val="0"/>
          <w:kern w:val="0"/>
          <w:sz w:val="24"/>
          <w:szCs w:val="20"/>
        </w:rPr>
      </w:pPr>
      <w:r>
        <w:rPr>
          <w:rFonts w:hint="eastAsia" w:ascii="Times New Roman" w:hAnsi="Times New Roman" w:eastAsia="宋体" w:cs="Times New Roman"/>
          <w:snapToGrid w:val="0"/>
          <w:kern w:val="0"/>
          <w:sz w:val="24"/>
          <w:szCs w:val="20"/>
        </w:rPr>
        <w:t>1.3 资格证明文件  </w:t>
      </w:r>
    </w:p>
    <w:p w14:paraId="755C5DAE">
      <w:pPr>
        <w:tabs>
          <w:tab w:val="left" w:pos="840"/>
          <w:tab w:val="left" w:pos="1080"/>
          <w:tab w:val="left" w:pos="1140"/>
        </w:tabs>
        <w:snapToGrid w:val="0"/>
        <w:spacing w:line="360" w:lineRule="auto"/>
        <w:ind w:left="479" w:leftChars="228"/>
        <w:rPr>
          <w:rFonts w:ascii="Times New Roman" w:hAnsi="Times New Roman" w:eastAsia="宋体" w:cs="Times New Roman"/>
          <w:snapToGrid w:val="0"/>
          <w:kern w:val="0"/>
          <w:sz w:val="24"/>
          <w:szCs w:val="20"/>
        </w:rPr>
      </w:pPr>
      <w:r>
        <w:rPr>
          <w:rFonts w:hint="eastAsia" w:ascii="Times New Roman" w:hAnsi="Times New Roman" w:eastAsia="宋体" w:cs="Times New Roman"/>
          <w:snapToGrid w:val="0"/>
          <w:kern w:val="0"/>
          <w:sz w:val="24"/>
          <w:szCs w:val="20"/>
        </w:rPr>
        <w:t>（1）法人营业执照副本的复印件</w:t>
      </w:r>
    </w:p>
    <w:p w14:paraId="26E617D7">
      <w:pPr>
        <w:tabs>
          <w:tab w:val="left" w:pos="840"/>
          <w:tab w:val="left" w:pos="1080"/>
          <w:tab w:val="left" w:pos="1140"/>
        </w:tabs>
        <w:snapToGrid w:val="0"/>
        <w:spacing w:line="360" w:lineRule="auto"/>
        <w:ind w:left="479" w:leftChars="228"/>
        <w:rPr>
          <w:rFonts w:ascii="Times New Roman" w:hAnsi="Times New Roman" w:eastAsia="宋体" w:cs="Times New Roman"/>
          <w:snapToGrid w:val="0"/>
          <w:kern w:val="0"/>
          <w:sz w:val="24"/>
          <w:szCs w:val="20"/>
        </w:rPr>
      </w:pPr>
      <w:r>
        <w:rPr>
          <w:rFonts w:hint="eastAsia" w:ascii="Times New Roman" w:hAnsi="Times New Roman" w:eastAsia="宋体" w:cs="Times New Roman"/>
          <w:snapToGrid w:val="0"/>
          <w:kern w:val="0"/>
          <w:sz w:val="24"/>
          <w:szCs w:val="20"/>
        </w:rPr>
        <w:t>（2）法定代表人身份证明书</w:t>
      </w:r>
    </w:p>
    <w:p w14:paraId="084850FA">
      <w:pPr>
        <w:tabs>
          <w:tab w:val="left" w:pos="840"/>
          <w:tab w:val="left" w:pos="1080"/>
          <w:tab w:val="left" w:pos="1140"/>
        </w:tabs>
        <w:snapToGrid w:val="0"/>
        <w:spacing w:line="360" w:lineRule="auto"/>
        <w:ind w:left="480" w:hanging="480" w:hangingChars="200"/>
        <w:rPr>
          <w:rFonts w:ascii="Times New Roman" w:hAnsi="Times New Roman" w:eastAsia="宋体" w:cs="Times New Roman"/>
          <w:snapToGrid w:val="0"/>
          <w:kern w:val="0"/>
          <w:sz w:val="24"/>
          <w:szCs w:val="20"/>
        </w:rPr>
      </w:pPr>
      <w:r>
        <w:rPr>
          <w:rFonts w:hint="eastAsia" w:ascii="Times New Roman" w:hAnsi="Times New Roman" w:eastAsia="宋体" w:cs="Times New Roman"/>
          <w:snapToGrid w:val="0"/>
          <w:kern w:val="0"/>
          <w:sz w:val="24"/>
          <w:szCs w:val="20"/>
        </w:rPr>
        <w:t xml:space="preserve">   </w:t>
      </w:r>
      <w:r>
        <w:rPr>
          <w:rFonts w:hint="eastAsia" w:ascii="Times New Roman" w:hAnsi="Times New Roman" w:eastAsia="宋体" w:cs="Times New Roman"/>
          <w:snapToGrid w:val="0"/>
          <w:kern w:val="0"/>
          <w:sz w:val="24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napToGrid w:val="0"/>
          <w:kern w:val="0"/>
          <w:sz w:val="24"/>
          <w:szCs w:val="20"/>
        </w:rPr>
        <w:t>（3）法定代表人授权委托书</w:t>
      </w:r>
    </w:p>
    <w:p w14:paraId="0CC27DE8">
      <w:pPr>
        <w:tabs>
          <w:tab w:val="left" w:pos="840"/>
          <w:tab w:val="left" w:pos="1080"/>
          <w:tab w:val="left" w:pos="1140"/>
        </w:tabs>
        <w:snapToGrid w:val="0"/>
        <w:spacing w:line="360" w:lineRule="auto"/>
        <w:ind w:left="479" w:leftChars="228"/>
        <w:rPr>
          <w:rFonts w:ascii="Times New Roman" w:hAnsi="Times New Roman" w:eastAsia="宋体" w:cs="Times New Roman"/>
          <w:snapToGrid w:val="0"/>
          <w:kern w:val="0"/>
          <w:sz w:val="24"/>
          <w:szCs w:val="20"/>
        </w:rPr>
      </w:pPr>
      <w:r>
        <w:rPr>
          <w:rFonts w:hint="eastAsia" w:ascii="Times New Roman" w:hAnsi="Times New Roman" w:eastAsia="宋体" w:cs="Times New Roman"/>
          <w:snapToGrid w:val="0"/>
          <w:kern w:val="0"/>
          <w:sz w:val="24"/>
          <w:szCs w:val="20"/>
        </w:rPr>
        <w:t>（4）相关经营资质证书（道路运输经营许可证、道路货运资质证明）   </w:t>
      </w:r>
    </w:p>
    <w:p w14:paraId="62235CFD">
      <w:pPr>
        <w:tabs>
          <w:tab w:val="left" w:pos="840"/>
          <w:tab w:val="left" w:pos="1080"/>
          <w:tab w:val="left" w:pos="1140"/>
        </w:tabs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napToGrid w:val="0"/>
          <w:kern w:val="0"/>
          <w:sz w:val="24"/>
          <w:szCs w:val="20"/>
        </w:rPr>
      </w:pPr>
      <w:r>
        <w:rPr>
          <w:rFonts w:hint="eastAsia" w:ascii="Times New Roman" w:hAnsi="Times New Roman" w:eastAsia="宋体" w:cs="Times New Roman"/>
          <w:snapToGrid w:val="0"/>
          <w:kern w:val="0"/>
          <w:sz w:val="24"/>
          <w:szCs w:val="20"/>
        </w:rPr>
        <w:t>1.4 投标报价表（按统一的格式要求）</w:t>
      </w:r>
    </w:p>
    <w:p w14:paraId="2EECB6D0">
      <w:pPr>
        <w:tabs>
          <w:tab w:val="left" w:pos="840"/>
          <w:tab w:val="left" w:pos="1080"/>
          <w:tab w:val="left" w:pos="1140"/>
        </w:tabs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napToGrid w:val="0"/>
          <w:kern w:val="0"/>
          <w:sz w:val="24"/>
          <w:szCs w:val="20"/>
        </w:rPr>
      </w:pPr>
      <w:r>
        <w:rPr>
          <w:rFonts w:hint="eastAsia" w:ascii="Times New Roman" w:hAnsi="Times New Roman" w:eastAsia="宋体" w:cs="Times New Roman"/>
          <w:snapToGrid w:val="0"/>
          <w:kern w:val="0"/>
          <w:sz w:val="24"/>
          <w:szCs w:val="20"/>
        </w:rPr>
        <w:t>1.5 PC</w:t>
      </w:r>
      <w:r>
        <w:rPr>
          <w:rFonts w:hint="eastAsia" w:ascii="Times New Roman" w:hAnsi="Times New Roman" w:eastAsia="宋体" w:cs="Times New Roman"/>
          <w:bCs/>
          <w:snapToGrid w:val="0"/>
          <w:kern w:val="0"/>
          <w:sz w:val="24"/>
          <w:szCs w:val="20"/>
        </w:rPr>
        <w:t>构件运输安全保障措施方案</w:t>
      </w:r>
    </w:p>
    <w:p w14:paraId="447EBDB0">
      <w:pPr>
        <w:pStyle w:val="2"/>
        <w:spacing w:before="10" w:after="10" w:line="360" w:lineRule="auto"/>
        <w:ind w:firstLine="482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2、投标文件要求</w:t>
      </w:r>
    </w:p>
    <w:p w14:paraId="236D0302">
      <w:pPr>
        <w:pStyle w:val="2"/>
        <w:spacing w:before="10" w:after="10" w:line="360" w:lineRule="auto"/>
        <w:ind w:firstLine="480" w:firstLineChars="200"/>
        <w:rPr>
          <w:rFonts w:asciiTheme="minorEastAsia" w:hAnsiTheme="minorEastAsia" w:cstheme="minorEastAsia"/>
          <w:b w:val="0"/>
          <w:bCs/>
          <w:snapToGrid w:val="0"/>
          <w:kern w:val="0"/>
          <w:sz w:val="24"/>
          <w:szCs w:val="20"/>
        </w:rPr>
      </w:pPr>
      <w:r>
        <w:rPr>
          <w:rFonts w:hint="eastAsia" w:asciiTheme="minorEastAsia" w:hAnsiTheme="minorEastAsia" w:cstheme="minorEastAsia"/>
          <w:b w:val="0"/>
          <w:bCs/>
          <w:snapToGrid w:val="0"/>
          <w:kern w:val="0"/>
          <w:sz w:val="24"/>
          <w:szCs w:val="20"/>
        </w:rPr>
        <w:t>2.1 投标文件份数要求：正本壹份。</w:t>
      </w:r>
    </w:p>
    <w:p w14:paraId="57C1864B">
      <w:pPr>
        <w:tabs>
          <w:tab w:val="left" w:pos="840"/>
          <w:tab w:val="left" w:pos="1080"/>
          <w:tab w:val="left" w:pos="1140"/>
        </w:tabs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napToGrid w:val="0"/>
          <w:kern w:val="0"/>
          <w:sz w:val="24"/>
          <w:szCs w:val="20"/>
        </w:rPr>
      </w:pPr>
      <w:r>
        <w:rPr>
          <w:rFonts w:hint="eastAsia" w:ascii="Times New Roman" w:hAnsi="Times New Roman" w:eastAsia="宋体" w:cs="Times New Roman"/>
          <w:snapToGrid w:val="0"/>
          <w:kern w:val="0"/>
          <w:sz w:val="24"/>
          <w:szCs w:val="20"/>
        </w:rPr>
        <w:t>2.2 所有资料复印件及报价单均需加盖公章，投标文件每页须加盖骑缝章。</w:t>
      </w:r>
    </w:p>
    <w:p w14:paraId="1C77C123">
      <w:pPr>
        <w:tabs>
          <w:tab w:val="left" w:pos="840"/>
          <w:tab w:val="left" w:pos="1080"/>
          <w:tab w:val="left" w:pos="1140"/>
        </w:tabs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napToGrid w:val="0"/>
          <w:kern w:val="0"/>
          <w:sz w:val="24"/>
          <w:szCs w:val="20"/>
        </w:rPr>
      </w:pPr>
      <w:r>
        <w:rPr>
          <w:rFonts w:hint="eastAsia" w:ascii="Times New Roman" w:hAnsi="Times New Roman" w:eastAsia="宋体" w:cs="Times New Roman"/>
          <w:snapToGrid w:val="0"/>
          <w:kern w:val="0"/>
          <w:sz w:val="24"/>
          <w:szCs w:val="20"/>
        </w:rPr>
        <w:t>2.3 密封要求：投标文件要求密封，并加盖投标单位公章。</w:t>
      </w:r>
    </w:p>
    <w:p w14:paraId="40B3F328">
      <w:pPr>
        <w:tabs>
          <w:tab w:val="left" w:pos="840"/>
          <w:tab w:val="left" w:pos="1080"/>
          <w:tab w:val="left" w:pos="1140"/>
        </w:tabs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napToGrid w:val="0"/>
          <w:kern w:val="0"/>
          <w:sz w:val="24"/>
          <w:szCs w:val="20"/>
        </w:rPr>
      </w:pPr>
      <w:r>
        <w:rPr>
          <w:rFonts w:hint="eastAsia" w:ascii="Times New Roman" w:hAnsi="Times New Roman" w:eastAsia="宋体" w:cs="Times New Roman"/>
          <w:snapToGrid w:val="0"/>
          <w:kern w:val="0"/>
          <w:sz w:val="24"/>
          <w:szCs w:val="20"/>
        </w:rPr>
        <w:t>2.4投标文件递交：按投标须知规定的时间和方式递交。</w:t>
      </w:r>
    </w:p>
    <w:p w14:paraId="0C31FC59">
      <w:pPr>
        <w:pStyle w:val="11"/>
        <w:ind w:left="420" w:firstLine="0" w:firstLineChars="0"/>
        <w:rPr>
          <w:sz w:val="24"/>
          <w:szCs w:val="24"/>
        </w:rPr>
      </w:pPr>
    </w:p>
    <w:p w14:paraId="5097BE88">
      <w:pPr>
        <w:ind w:firstLine="281" w:firstLineChars="100"/>
        <w:rPr>
          <w:rFonts w:asciiTheme="minorEastAsia" w:hAnsiTheme="minorEastAsia" w:cstheme="minorEastAsia"/>
          <w:b/>
          <w:bCs/>
          <w:snapToGrid w:val="0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napToGrid w:val="0"/>
          <w:kern w:val="0"/>
          <w:sz w:val="28"/>
          <w:szCs w:val="28"/>
        </w:rPr>
        <w:t>四、评标</w:t>
      </w:r>
    </w:p>
    <w:p w14:paraId="2DF99464">
      <w:pPr>
        <w:tabs>
          <w:tab w:val="left" w:pos="840"/>
          <w:tab w:val="left" w:pos="1080"/>
          <w:tab w:val="left" w:pos="1140"/>
        </w:tabs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napToGrid w:val="0"/>
          <w:kern w:val="0"/>
          <w:sz w:val="24"/>
          <w:szCs w:val="20"/>
        </w:rPr>
      </w:pPr>
      <w:r>
        <w:rPr>
          <w:rFonts w:hint="eastAsia" w:ascii="Times New Roman" w:hAnsi="Times New Roman" w:eastAsia="宋体" w:cs="Times New Roman"/>
          <w:snapToGrid w:val="0"/>
          <w:kern w:val="0"/>
          <w:sz w:val="24"/>
          <w:szCs w:val="20"/>
        </w:rPr>
        <w:t>1、评标人：由招标人组织内部评审。</w:t>
      </w:r>
    </w:p>
    <w:p w14:paraId="7EF2EDDD">
      <w:pPr>
        <w:tabs>
          <w:tab w:val="left" w:pos="840"/>
          <w:tab w:val="left" w:pos="1080"/>
          <w:tab w:val="left" w:pos="1140"/>
        </w:tabs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napToGrid w:val="0"/>
          <w:kern w:val="0"/>
          <w:sz w:val="24"/>
          <w:szCs w:val="20"/>
        </w:rPr>
      </w:pPr>
      <w:r>
        <w:rPr>
          <w:rFonts w:hint="eastAsia" w:ascii="Times New Roman" w:hAnsi="Times New Roman" w:eastAsia="宋体" w:cs="Times New Roman"/>
          <w:snapToGrid w:val="0"/>
          <w:kern w:val="0"/>
          <w:sz w:val="24"/>
          <w:szCs w:val="20"/>
        </w:rPr>
        <w:t>2、评标原则：依据投标人的竞价和综合实力，评选合理低价者为中标人。</w:t>
      </w:r>
    </w:p>
    <w:p w14:paraId="1E9CD1FE">
      <w:pPr>
        <w:tabs>
          <w:tab w:val="left" w:pos="840"/>
          <w:tab w:val="left" w:pos="1080"/>
          <w:tab w:val="left" w:pos="1140"/>
        </w:tabs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napToGrid w:val="0"/>
          <w:kern w:val="0"/>
          <w:sz w:val="24"/>
          <w:szCs w:val="20"/>
        </w:rPr>
      </w:pPr>
      <w:r>
        <w:rPr>
          <w:rFonts w:hint="eastAsia" w:ascii="Times New Roman" w:hAnsi="Times New Roman" w:eastAsia="宋体" w:cs="Times New Roman"/>
          <w:snapToGrid w:val="0"/>
          <w:kern w:val="0"/>
          <w:sz w:val="24"/>
          <w:szCs w:val="20"/>
        </w:rPr>
        <w:t>3、评标结束后，招标人将向中标人发出中标通知；对未中标人不作任何解释。</w:t>
      </w:r>
    </w:p>
    <w:p w14:paraId="06F593A7">
      <w:pPr>
        <w:pStyle w:val="11"/>
        <w:spacing w:after="156" w:afterLines="50" w:line="400" w:lineRule="exact"/>
        <w:ind w:left="420" w:leftChars="200" w:firstLine="0" w:firstLineChars="0"/>
        <w:rPr>
          <w:rFonts w:asciiTheme="minorEastAsia" w:hAnsiTheme="minorEastAsia" w:cstheme="minorEastAsia"/>
          <w:b/>
          <w:bCs/>
          <w:snapToGrid w:val="0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五、</w:t>
      </w:r>
      <w:r>
        <w:rPr>
          <w:rFonts w:hint="eastAsia" w:asciiTheme="minorEastAsia" w:hAnsiTheme="minorEastAsia" w:cstheme="minorEastAsia"/>
          <w:b/>
          <w:bCs/>
          <w:snapToGrid w:val="0"/>
          <w:kern w:val="0"/>
          <w:sz w:val="28"/>
          <w:szCs w:val="28"/>
        </w:rPr>
        <w:t>合同</w:t>
      </w:r>
      <w:r>
        <w:rPr>
          <w:rFonts w:hint="eastAsia" w:asciiTheme="minorEastAsia" w:hAnsiTheme="minorEastAsia" w:cstheme="minorEastAsia"/>
          <w:b/>
          <w:bCs/>
          <w:snapToGrid w:val="0"/>
          <w:kern w:val="0"/>
          <w:sz w:val="28"/>
          <w:szCs w:val="28"/>
          <w:lang w:val="en-US" w:eastAsia="zh-CN"/>
        </w:rPr>
        <w:t>及合同</w:t>
      </w:r>
      <w:r>
        <w:rPr>
          <w:rFonts w:hint="eastAsia" w:asciiTheme="minorEastAsia" w:hAnsiTheme="minorEastAsia" w:cstheme="minorEastAsia"/>
          <w:b/>
          <w:bCs/>
          <w:snapToGrid w:val="0"/>
          <w:kern w:val="0"/>
          <w:sz w:val="28"/>
          <w:szCs w:val="28"/>
        </w:rPr>
        <w:t>签订</w:t>
      </w:r>
    </w:p>
    <w:p w14:paraId="21FD3369">
      <w:pPr>
        <w:tabs>
          <w:tab w:val="left" w:pos="840"/>
          <w:tab w:val="left" w:pos="1080"/>
          <w:tab w:val="left" w:pos="1140"/>
        </w:tabs>
        <w:snapToGrid w:val="0"/>
        <w:spacing w:line="360" w:lineRule="auto"/>
        <w:ind w:firstLine="480" w:firstLineChars="200"/>
        <w:rPr>
          <w:rFonts w:hint="eastAsia"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snapToGrid w:val="0"/>
          <w:kern w:val="0"/>
          <w:sz w:val="24"/>
          <w:szCs w:val="20"/>
        </w:rPr>
        <w:t>中标通知书发出后，</w:t>
      </w:r>
      <w:r>
        <w:rPr>
          <w:rFonts w:hint="eastAsia" w:ascii="Times New Roman" w:hAnsi="Times New Roman" w:eastAsia="宋体" w:cs="Times New Roman"/>
          <w:snapToGrid w:val="0"/>
          <w:kern w:val="0"/>
          <w:sz w:val="24"/>
          <w:szCs w:val="20"/>
          <w:lang w:val="en-US" w:eastAsia="zh-CN"/>
        </w:rPr>
        <w:t>招标人各基地与相应中标人分别</w:t>
      </w:r>
      <w:r>
        <w:rPr>
          <w:rFonts w:hint="eastAsia" w:ascii="Times New Roman" w:hAnsi="Times New Roman" w:eastAsia="宋体" w:cs="Times New Roman"/>
          <w:snapToGrid w:val="0"/>
          <w:kern w:val="0"/>
          <w:sz w:val="24"/>
          <w:szCs w:val="20"/>
        </w:rPr>
        <w:t>签订</w:t>
      </w:r>
      <w:r>
        <w:rPr>
          <w:rFonts w:hint="eastAsia" w:ascii="Times New Roman" w:hAnsi="Times New Roman" w:eastAsia="宋体" w:cs="Times New Roman"/>
          <w:snapToGrid w:val="0"/>
          <w:kern w:val="0"/>
          <w:sz w:val="24"/>
          <w:szCs w:val="20"/>
          <w:lang w:val="en-US" w:eastAsia="zh-CN"/>
        </w:rPr>
        <w:t>一年期物流运输合同见附件2（若采取带货架形式签订，合同中涉及货架回收的条款会做相应调整）</w:t>
      </w:r>
      <w:r>
        <w:rPr>
          <w:rFonts w:hint="eastAsia" w:ascii="Times New Roman" w:hAnsi="Times New Roman" w:eastAsia="宋体" w:cs="Times New Roman"/>
          <w:snapToGrid w:val="0"/>
          <w:kern w:val="0"/>
          <w:sz w:val="24"/>
          <w:szCs w:val="20"/>
        </w:rPr>
        <w:t>。</w:t>
      </w:r>
    </w:p>
    <w:p w14:paraId="29F1B7BB">
      <w:pPr>
        <w:pStyle w:val="11"/>
        <w:spacing w:after="156" w:afterLines="50" w:line="400" w:lineRule="exact"/>
        <w:ind w:left="420" w:leftChars="200" w:firstLine="0" w:firstLineChars="0"/>
        <w:rPr>
          <w:rFonts w:ascii="仿宋_GB2312" w:hAnsi="仿宋_GB2312" w:eastAsia="仿宋_GB2312" w:cs="仿宋_GB2312"/>
          <w:b/>
          <w:bCs/>
          <w:snapToGrid w:val="0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六、</w:t>
      </w:r>
      <w:r>
        <w:rPr>
          <w:rFonts w:hint="eastAsia" w:asciiTheme="minorEastAsia" w:hAnsiTheme="minorEastAsia" w:cstheme="minorEastAsia"/>
          <w:b/>
          <w:bCs/>
          <w:snapToGrid w:val="0"/>
          <w:kern w:val="0"/>
          <w:sz w:val="28"/>
          <w:szCs w:val="28"/>
        </w:rPr>
        <w:t>其它</w:t>
      </w:r>
    </w:p>
    <w:p w14:paraId="4C12F34E">
      <w:pPr>
        <w:tabs>
          <w:tab w:val="left" w:pos="840"/>
          <w:tab w:val="left" w:pos="1080"/>
          <w:tab w:val="left" w:pos="1140"/>
        </w:tabs>
        <w:snapToGrid w:val="0"/>
        <w:spacing w:line="360" w:lineRule="auto"/>
        <w:ind w:firstLine="480" w:firstLineChars="200"/>
        <w:rPr>
          <w:rFonts w:hint="eastAsia" w:ascii="Times New Roman" w:hAnsi="Times New Roman" w:eastAsia="宋体" w:cs="Times New Roman"/>
          <w:snapToGrid w:val="0"/>
          <w:kern w:val="0"/>
          <w:sz w:val="24"/>
          <w:szCs w:val="20"/>
        </w:rPr>
      </w:pPr>
      <w:r>
        <w:rPr>
          <w:rFonts w:hint="eastAsia" w:ascii="Times New Roman" w:hAnsi="Times New Roman" w:eastAsia="宋体" w:cs="Times New Roman"/>
          <w:snapToGrid w:val="0"/>
          <w:kern w:val="0"/>
          <w:sz w:val="24"/>
          <w:szCs w:val="20"/>
        </w:rPr>
        <w:t>招标文件的解释：招标人对本文件拥有最终解释权。</w:t>
      </w:r>
    </w:p>
    <w:p w14:paraId="64A9A2E0">
      <w:pPr>
        <w:tabs>
          <w:tab w:val="left" w:pos="840"/>
          <w:tab w:val="left" w:pos="1080"/>
          <w:tab w:val="left" w:pos="1140"/>
        </w:tabs>
        <w:snapToGri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snapToGrid w:val="0"/>
          <w:kern w:val="0"/>
          <w:sz w:val="24"/>
          <w:szCs w:val="20"/>
          <w:lang w:val="en-US" w:eastAsia="zh-CN"/>
        </w:rPr>
      </w:pPr>
    </w:p>
    <w:p w14:paraId="1A108094">
      <w:pPr>
        <w:widowControl/>
        <w:jc w:val="left"/>
        <w:rPr>
          <w:rFonts w:ascii="Times New Roman" w:hAnsi="Times New Roman" w:eastAsia="宋体" w:cs="Times New Roman"/>
          <w:snapToGrid w:val="0"/>
          <w:kern w:val="0"/>
          <w:sz w:val="24"/>
          <w:szCs w:val="20"/>
        </w:rPr>
      </w:pPr>
      <w:r>
        <w:rPr>
          <w:rFonts w:ascii="Times New Roman" w:hAnsi="Times New Roman" w:eastAsia="宋体" w:cs="Times New Roman"/>
          <w:snapToGrid w:val="0"/>
          <w:kern w:val="0"/>
          <w:sz w:val="24"/>
          <w:szCs w:val="20"/>
        </w:rPr>
        <w:br w:type="page"/>
      </w:r>
    </w:p>
    <w:p w14:paraId="7FB71B1A">
      <w:pPr>
        <w:spacing w:line="480" w:lineRule="exact"/>
        <w:jc w:val="left"/>
        <w:rPr>
          <w:rFonts w:hint="eastAsia" w:ascii="宋体" w:hAnsi="宋体" w:eastAsia="宋体" w:cs="Times New Roman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附件</w:t>
      </w:r>
      <w:r>
        <w:rPr>
          <w:rFonts w:hint="eastAsia" w:ascii="宋体" w:hAnsi="宋体" w:eastAsia="宋体" w:cs="Times New Roman"/>
          <w:bCs/>
          <w:sz w:val="24"/>
          <w:szCs w:val="24"/>
          <w:lang w:val="en-US" w:eastAsia="zh-CN"/>
        </w:rPr>
        <w:t>1</w:t>
      </w:r>
    </w:p>
    <w:p w14:paraId="4771B72E">
      <w:pPr>
        <w:spacing w:line="480" w:lineRule="exact"/>
        <w:jc w:val="left"/>
        <w:rPr>
          <w:rFonts w:ascii="宋体" w:hAnsi="宋体" w:eastAsia="宋体" w:cs="Times New Roman"/>
          <w:bCs/>
          <w:sz w:val="24"/>
          <w:szCs w:val="24"/>
        </w:rPr>
      </w:pPr>
    </w:p>
    <w:p w14:paraId="6CF6AF4F">
      <w:pPr>
        <w:spacing w:line="480" w:lineRule="exact"/>
        <w:jc w:val="center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投标承诺函</w:t>
      </w:r>
    </w:p>
    <w:p w14:paraId="552C734C">
      <w:pPr>
        <w:spacing w:line="480" w:lineRule="exact"/>
        <w:jc w:val="center"/>
        <w:rPr>
          <w:rFonts w:ascii="宋体" w:hAnsi="宋体" w:eastAsia="宋体" w:cs="宋体"/>
          <w:b/>
          <w:sz w:val="30"/>
          <w:szCs w:val="30"/>
        </w:rPr>
      </w:pPr>
    </w:p>
    <w:p w14:paraId="2B216C53">
      <w:pPr>
        <w:spacing w:line="460" w:lineRule="exact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致：湖北宝业建筑工业化有限公司</w:t>
      </w:r>
    </w:p>
    <w:p w14:paraId="60C996ED">
      <w:pPr>
        <w:spacing w:line="460" w:lineRule="exact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我公司已全面认真阅读理解贵方装配式建筑PC构件物流服务招标的相关文件资料，我方完全接受上述招标文件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和物流运输合同</w:t>
      </w:r>
      <w:r>
        <w:rPr>
          <w:rFonts w:hint="eastAsia" w:ascii="宋体" w:hAnsi="宋体" w:eastAsia="宋体" w:cs="Times New Roman"/>
          <w:sz w:val="24"/>
          <w:szCs w:val="24"/>
        </w:rPr>
        <w:t>的要求，愿意承担招标约定的物流服务工作任务；全面履行招标文件中对投标人所规定的全部要求。一旦中标，按时、保质保量完成招标文件及合同约定。</w:t>
      </w:r>
    </w:p>
    <w:p w14:paraId="49F571E3">
      <w:pPr>
        <w:spacing w:line="460" w:lineRule="exact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我方在此郑重承诺：我方保证没有处于被责令停业，投标资格被取消，财产被接管、冻结，破产状态；保证在最近三年内没有骗取中标和严重违约及重大服务质量、安全问题。</w:t>
      </w:r>
    </w:p>
    <w:p w14:paraId="3D06DDDC">
      <w:pPr>
        <w:spacing w:line="460" w:lineRule="exact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我方保证不与其他单位围标、串标，不出让投标资格，不向招标人相关成员行贿。 </w:t>
      </w:r>
    </w:p>
    <w:p w14:paraId="2082EF6E">
      <w:pPr>
        <w:spacing w:line="460" w:lineRule="exact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我方保证按照招标文件约定的时间和金额缴纳合同履约保证金。</w:t>
      </w:r>
    </w:p>
    <w:p w14:paraId="584FCF6E">
      <w:pPr>
        <w:spacing w:line="460" w:lineRule="exact"/>
        <w:ind w:firstLine="480" w:firstLineChars="200"/>
        <w:rPr>
          <w:rFonts w:ascii="宋体" w:hAnsi="宋体" w:eastAsia="宋体" w:cs="Times New Roman"/>
          <w:sz w:val="24"/>
          <w:szCs w:val="24"/>
        </w:rPr>
      </w:pPr>
    </w:p>
    <w:p w14:paraId="011CF01D">
      <w:pPr>
        <w:spacing w:line="460" w:lineRule="exact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投标人：(盖章)</w:t>
      </w:r>
    </w:p>
    <w:p w14:paraId="02BE178D">
      <w:pPr>
        <w:spacing w:line="460" w:lineRule="exact"/>
        <w:ind w:firstLine="480" w:firstLineChars="200"/>
        <w:rPr>
          <w:rFonts w:ascii="宋体" w:hAnsi="宋体" w:eastAsia="宋体" w:cs="Times New Roman"/>
          <w:sz w:val="24"/>
          <w:szCs w:val="24"/>
        </w:rPr>
      </w:pPr>
    </w:p>
    <w:p w14:paraId="4EA2BAC3">
      <w:pPr>
        <w:spacing w:line="460" w:lineRule="exact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法定代表人或授权代表人：（签字）</w:t>
      </w:r>
    </w:p>
    <w:p w14:paraId="2DA081E3">
      <w:pPr>
        <w:spacing w:line="460" w:lineRule="exact"/>
        <w:ind w:firstLine="480" w:firstLineChars="200"/>
        <w:rPr>
          <w:rFonts w:ascii="宋体" w:hAnsi="宋体" w:eastAsia="宋体" w:cs="Times New Roman"/>
          <w:sz w:val="24"/>
          <w:szCs w:val="24"/>
        </w:rPr>
      </w:pPr>
    </w:p>
    <w:p w14:paraId="422534A1">
      <w:pPr>
        <w:spacing w:line="460" w:lineRule="exact"/>
        <w:ind w:firstLine="480" w:firstLineChars="200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日期：    年    月    </w:t>
      </w:r>
    </w:p>
    <w:p w14:paraId="053525EE">
      <w:pPr>
        <w:spacing w:line="460" w:lineRule="exact"/>
        <w:ind w:firstLine="480" w:firstLineChars="200"/>
        <w:rPr>
          <w:rFonts w:hint="eastAsia" w:ascii="宋体" w:hAnsi="宋体" w:eastAsia="宋体" w:cs="Times New Roman"/>
          <w:sz w:val="24"/>
          <w:szCs w:val="24"/>
        </w:rPr>
      </w:pPr>
    </w:p>
    <w:p w14:paraId="371388C7">
      <w:pPr>
        <w:spacing w:line="460" w:lineRule="exact"/>
        <w:ind w:firstLine="480" w:firstLineChars="200"/>
        <w:rPr>
          <w:rFonts w:hint="eastAsia" w:ascii="宋体" w:hAnsi="宋体" w:eastAsia="宋体" w:cs="Times New Roman"/>
          <w:sz w:val="24"/>
          <w:szCs w:val="24"/>
        </w:rPr>
      </w:pPr>
    </w:p>
    <w:p w14:paraId="0E5A6256">
      <w:pPr>
        <w:spacing w:line="460" w:lineRule="exact"/>
        <w:ind w:firstLine="480" w:firstLineChars="200"/>
        <w:rPr>
          <w:rFonts w:hint="eastAsia" w:ascii="宋体" w:hAnsi="宋体" w:eastAsia="宋体" w:cs="Times New Roman"/>
          <w:sz w:val="24"/>
          <w:szCs w:val="24"/>
        </w:rPr>
      </w:pPr>
    </w:p>
    <w:p w14:paraId="6580ED74">
      <w:pPr>
        <w:spacing w:line="460" w:lineRule="exact"/>
        <w:ind w:firstLine="480" w:firstLineChars="200"/>
        <w:rPr>
          <w:rFonts w:hint="eastAsia" w:ascii="宋体" w:hAnsi="宋体" w:eastAsia="宋体" w:cs="Times New Roman"/>
          <w:sz w:val="24"/>
          <w:szCs w:val="24"/>
        </w:rPr>
      </w:pPr>
    </w:p>
    <w:p w14:paraId="15EE1D7D">
      <w:pPr>
        <w:spacing w:line="460" w:lineRule="exact"/>
        <w:ind w:firstLine="480" w:firstLineChars="200"/>
        <w:rPr>
          <w:rFonts w:hint="eastAsia" w:ascii="宋体" w:hAnsi="宋体" w:eastAsia="宋体" w:cs="Times New Roman"/>
          <w:sz w:val="24"/>
          <w:szCs w:val="24"/>
        </w:rPr>
      </w:pPr>
    </w:p>
    <w:p w14:paraId="5F44D1BE">
      <w:pPr>
        <w:spacing w:line="460" w:lineRule="exact"/>
        <w:ind w:firstLine="480" w:firstLineChars="200"/>
        <w:rPr>
          <w:rFonts w:hint="eastAsia" w:ascii="宋体" w:hAnsi="宋体" w:eastAsia="宋体" w:cs="Times New Roman"/>
          <w:sz w:val="24"/>
          <w:szCs w:val="24"/>
        </w:rPr>
      </w:pPr>
    </w:p>
    <w:p w14:paraId="48786632">
      <w:pPr>
        <w:spacing w:line="460" w:lineRule="exact"/>
        <w:ind w:firstLine="480" w:firstLineChars="200"/>
        <w:rPr>
          <w:rFonts w:hint="eastAsia" w:ascii="宋体" w:hAnsi="宋体" w:eastAsia="宋体" w:cs="Times New Roman"/>
          <w:sz w:val="24"/>
          <w:szCs w:val="24"/>
        </w:rPr>
      </w:pPr>
    </w:p>
    <w:p w14:paraId="55458F26">
      <w:pPr>
        <w:spacing w:line="460" w:lineRule="exact"/>
        <w:ind w:firstLine="480" w:firstLineChars="200"/>
        <w:rPr>
          <w:rFonts w:hint="eastAsia" w:ascii="宋体" w:hAnsi="宋体" w:eastAsia="宋体" w:cs="Times New Roman"/>
          <w:sz w:val="24"/>
          <w:szCs w:val="24"/>
        </w:rPr>
      </w:pPr>
    </w:p>
    <w:p w14:paraId="56A7BD3E">
      <w:pPr>
        <w:spacing w:line="460" w:lineRule="exact"/>
        <w:ind w:firstLine="480" w:firstLineChars="200"/>
        <w:rPr>
          <w:rFonts w:hint="eastAsia" w:ascii="宋体" w:hAnsi="宋体" w:eastAsia="宋体" w:cs="Times New Roman"/>
          <w:sz w:val="24"/>
          <w:szCs w:val="24"/>
        </w:rPr>
      </w:pPr>
    </w:p>
    <w:p w14:paraId="0F5D3570">
      <w:pPr>
        <w:spacing w:line="460" w:lineRule="exact"/>
        <w:ind w:firstLine="480" w:firstLineChars="200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 xml:space="preserve">附件2 </w:t>
      </w:r>
    </w:p>
    <w:p w14:paraId="15D13418">
      <w:pPr>
        <w:spacing w:line="500" w:lineRule="exact"/>
        <w:jc w:val="center"/>
        <w:rPr>
          <w:b/>
          <w:bCs/>
          <w:color w:val="auto"/>
          <w:sz w:val="32"/>
          <w:szCs w:val="32"/>
          <w:highlight w:val="none"/>
        </w:rPr>
      </w:pPr>
      <w:r>
        <w:rPr>
          <w:rFonts w:hint="eastAsia"/>
          <w:b/>
          <w:bCs/>
          <w:color w:val="auto"/>
          <w:sz w:val="32"/>
          <w:szCs w:val="32"/>
          <w:highlight w:val="none"/>
        </w:rPr>
        <w:t>物流运输合同</w:t>
      </w:r>
    </w:p>
    <w:p w14:paraId="63872A6C">
      <w:pPr>
        <w:spacing w:line="500" w:lineRule="exact"/>
        <w:jc w:val="right"/>
        <w:rPr>
          <w:rFonts w:hint="eastAsia"/>
          <w:color w:val="auto"/>
          <w:sz w:val="24"/>
          <w:highlight w:val="none"/>
        </w:rPr>
      </w:pPr>
    </w:p>
    <w:p w14:paraId="14DFBA2B">
      <w:pPr>
        <w:spacing w:line="500" w:lineRule="exac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托运方（全称）：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>湖北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>宝业建筑工业化有限公司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（　以下简称“甲方”　）</w:t>
      </w:r>
    </w:p>
    <w:p w14:paraId="47304F36">
      <w:pPr>
        <w:spacing w:line="500" w:lineRule="exac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承运方（全称）：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（　以下简称“乙方”　）</w:t>
      </w:r>
    </w:p>
    <w:p w14:paraId="518223A5">
      <w:pPr>
        <w:spacing w:line="50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  </w:t>
      </w:r>
    </w:p>
    <w:p w14:paraId="5AE95AB4">
      <w:pPr>
        <w:spacing w:line="44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根据《中华人民共和国民法典》及其他相关法律法规的规定，遵循平等、自愿、公平和诚实信用的原则，经甲乙双方共同协商，就乙方托运甲方各项目PC构件的物流运输（以下简称“物流”）事宜达成一致意见，签订本合同。</w:t>
      </w:r>
    </w:p>
    <w:p w14:paraId="684FF1AA">
      <w:pPr>
        <w:spacing w:before="156" w:beforeLines="50" w:line="44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第一条  物流服务内容</w:t>
      </w:r>
    </w:p>
    <w:p w14:paraId="5590D967">
      <w:pPr>
        <w:spacing w:line="44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1.1甲方委托乙方运输的货物为：PC构件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及相关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建筑类材料、工具等，具体明细内容以甲方提供的发货单据记载为准。</w:t>
      </w:r>
    </w:p>
    <w:p w14:paraId="6F156904">
      <w:pPr>
        <w:spacing w:line="44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1.2乙方向甲方提供的服务内容为：用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6.8米平板车、9.6米平板车、</w:t>
      </w:r>
      <w:r>
        <w:rPr>
          <w:rFonts w:ascii="仿宋" w:hAnsi="仿宋" w:eastAsia="仿宋"/>
          <w:color w:val="auto"/>
          <w:sz w:val="24"/>
          <w:highlight w:val="none"/>
        </w:rPr>
        <w:t>13</w:t>
      </w:r>
      <w:r>
        <w:rPr>
          <w:rFonts w:hint="eastAsia" w:ascii="仿宋" w:hAnsi="仿宋" w:eastAsia="仿宋"/>
          <w:color w:val="auto"/>
          <w:sz w:val="24"/>
          <w:highlight w:val="none"/>
        </w:rPr>
        <w:t>米平板、13.75米高低板、</w:t>
      </w:r>
      <w:r>
        <w:rPr>
          <w:rFonts w:ascii="仿宋" w:hAnsi="仿宋" w:eastAsia="仿宋"/>
          <w:color w:val="auto"/>
          <w:sz w:val="24"/>
          <w:highlight w:val="none"/>
        </w:rPr>
        <w:t>17.5</w:t>
      </w:r>
      <w:r>
        <w:rPr>
          <w:rFonts w:hint="eastAsia" w:ascii="仿宋" w:hAnsi="仿宋" w:eastAsia="仿宋"/>
          <w:color w:val="auto"/>
          <w:sz w:val="24"/>
          <w:highlight w:val="none"/>
        </w:rPr>
        <w:t>米平板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挂车整车运输服务，包括运输及装卸车辅助服务。</w:t>
      </w:r>
    </w:p>
    <w:p w14:paraId="5D23C828">
      <w:pPr>
        <w:spacing w:line="44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1.3 乙方承运具体工作包括：PC构件在甲方工厂装车（由甲方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指派人员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负责装车、乙方负责配合装货保证装货后的加固达到运输标准），按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甲方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核准指定路线运抵项目施工现场，卸货配合，卸货完成后将货架回收运至甲方工厂；</w:t>
      </w:r>
      <w:r>
        <w:rPr>
          <w:rFonts w:hint="eastAsia" w:ascii="仿宋" w:hAnsi="仿宋" w:eastAsia="仿宋"/>
          <w:color w:val="auto"/>
          <w:sz w:val="24"/>
          <w:highlight w:val="none"/>
        </w:rPr>
        <w:t>负责回收随车发出的垫木、工装等物料并运回甲方工厂；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将发货单由收货人签收后带回工厂。</w:t>
      </w:r>
    </w:p>
    <w:p w14:paraId="593EEF78">
      <w:pPr>
        <w:numPr>
          <w:ilvl w:val="0"/>
          <w:numId w:val="3"/>
        </w:numPr>
        <w:spacing w:before="156" w:beforeLines="50" w:line="44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货物运输路线及公里数</w:t>
      </w:r>
    </w:p>
    <w:p w14:paraId="21C25E31">
      <w:pPr>
        <w:spacing w:line="44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2.1乙方根据甲方要求，从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  <w:lang w:val="en-US" w:eastAsia="zh-CN"/>
        </w:rPr>
        <w:t>湖北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</w:rPr>
        <w:t>宝业建筑工业化有限公司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到各项目工地的运输服务，实际公里数以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葛店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基地到项目所在地导航的适合货车通行的最短距离核准计取。</w:t>
      </w:r>
    </w:p>
    <w:p w14:paraId="40BC9209">
      <w:pPr>
        <w:numPr>
          <w:ilvl w:val="0"/>
          <w:numId w:val="3"/>
        </w:numPr>
        <w:spacing w:before="156" w:beforeLines="50" w:line="44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运输费与保险</w:t>
      </w:r>
    </w:p>
    <w:p w14:paraId="04EB8F11">
      <w:pPr>
        <w:spacing w:line="44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3.1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带货架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运价:运距30Km以内（含30Km）按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元/m</w:t>
      </w:r>
      <w:r>
        <w:rPr>
          <w:rFonts w:hint="eastAsia" w:ascii="仿宋" w:hAnsi="仿宋" w:eastAsia="仿宋" w:cs="仿宋"/>
          <w:color w:val="auto"/>
          <w:sz w:val="24"/>
          <w:highlight w:val="none"/>
          <w:vertAlign w:val="superscript"/>
        </w:rPr>
        <w:t>3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计算；运距30Km以上，100Km以内（含100Km），按30Km以内基础价，每超1Km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 xml:space="preserve"> 按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元/ m</w:t>
      </w:r>
      <w:r>
        <w:rPr>
          <w:rFonts w:hint="eastAsia" w:ascii="仿宋" w:hAnsi="仿宋" w:eastAsia="仿宋" w:cs="仿宋"/>
          <w:color w:val="auto"/>
          <w:sz w:val="24"/>
          <w:highlight w:val="none"/>
          <w:vertAlign w:val="superscript"/>
        </w:rPr>
        <w:t>3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计增运费。运距超过100Km以上的和市内禁区，双方另行协商定价。运距按条款2.1 确定。本运价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为含税单价，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包含</w:t>
      </w:r>
      <w:r>
        <w:rPr>
          <w:rFonts w:hint="eastAsia" w:ascii="仿宋" w:hAnsi="仿宋" w:eastAsia="仿宋"/>
          <w:color w:val="auto"/>
          <w:sz w:val="24"/>
          <w:highlight w:val="none"/>
        </w:rPr>
        <w:t>木方、垫梁、工装及货架等周转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物料的回收及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返厂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费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；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如有回程货物需另行协商，收取适当的运费；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如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需走高速，按实际高速路程予以计价，凭高速过路费票据另计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；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含税运费按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结算金额、合同约定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的增值税专用发票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的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税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率（9%）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采用一票制结算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没有按甲方要求返厂的按物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料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原价赔偿，费用从月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结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运费中扣除。</w:t>
      </w:r>
    </w:p>
    <w:p w14:paraId="0EBF9E82">
      <w:pPr>
        <w:spacing w:line="440" w:lineRule="exact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3.2装车构件体积以发货签收单为准，据实计算。乙方应根据构件类型选择合适的车型。</w:t>
      </w:r>
    </w:p>
    <w:p w14:paraId="238CE009">
      <w:pPr>
        <w:spacing w:line="44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3.3乙方车辆必须按约定到达甲方工厂装货，按约定的卸货时间到达工地。从约定卸货时间算起，未在8小时内完成卸货时，按超过1小时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0元计算待车费，且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乙方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待车费每天不超过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600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元/车。</w:t>
      </w:r>
      <w:r>
        <w:rPr>
          <w:rFonts w:hint="eastAsia" w:ascii="仿宋" w:hAnsi="仿宋" w:eastAsia="仿宋"/>
          <w:color w:val="auto"/>
          <w:sz w:val="24"/>
          <w:highlight w:val="none"/>
        </w:rPr>
        <w:t>待车费需乙方与项目对接、追索，甲方不负责垫付待车费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；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甲方依据乙方从项目上追索回的</w:t>
      </w:r>
      <w:r>
        <w:rPr>
          <w:rFonts w:hint="eastAsia" w:ascii="仿宋" w:hAnsi="仿宋" w:eastAsia="仿宋"/>
          <w:color w:val="auto"/>
          <w:sz w:val="24"/>
          <w:highlight w:val="none"/>
        </w:rPr>
        <w:t>待车费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的有效签认单向乙方支付此项费用，在当期结算中办理</w:t>
      </w:r>
      <w:r>
        <w:rPr>
          <w:rFonts w:hint="eastAsia" w:ascii="仿宋" w:hAnsi="仿宋" w:eastAsia="仿宋"/>
          <w:color w:val="auto"/>
          <w:sz w:val="24"/>
          <w:highlight w:val="none"/>
        </w:rPr>
        <w:t>。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若因乙方提供的签证单存在瑕疵导致甲方无法向项目方索赔时，甲方有权向乙方要求返还已支付的待车费</w:t>
      </w:r>
      <w:r>
        <w:rPr>
          <w:rFonts w:hint="eastAsia" w:ascii="仿宋" w:hAnsi="仿宋" w:eastAsia="仿宋"/>
          <w:color w:val="auto"/>
          <w:sz w:val="24"/>
          <w:highlight w:val="none"/>
        </w:rPr>
        <w:t>。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甲方应积极配合乙方索回待车费用，乙方有权直接与项目沟通并采取延迟卸货等相应措施，在项目费用无法索回必须发货卸车情况下，乙方受到甲方通知后应立即执行，否则乙方应承担甲方及项目的停窝工损失。</w:t>
      </w:r>
    </w:p>
    <w:p w14:paraId="66A18CA3">
      <w:pPr>
        <w:spacing w:line="44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3.4原则上在合同有效期内运输价格不做调整，但因交通管制或限行等原因需要增加运距的，运距增加5Km以内的运输单价不作调整；超过5Km以上的，由乙方提出书面申请，经甲方同意，可适当给予运费补贴。</w:t>
      </w:r>
    </w:p>
    <w:p w14:paraId="1D2ECE8F">
      <w:pPr>
        <w:spacing w:line="44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3.5上述价格均包含但不限于运输及装卸车服务费、税费、陆运综合险保险费、人工工资、管理费、风险费、交通行政性收费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（含办理过路、过桥通行证等费）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napToGrid/>
          <w:color w:val="auto"/>
          <w:kern w:val="2"/>
          <w:sz w:val="24"/>
          <w:szCs w:val="24"/>
          <w:highlight w:val="none"/>
          <w:lang w:val="en-US" w:eastAsia="zh-CN"/>
        </w:rPr>
        <w:t>随车周转材料回收及返厂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等一切费用。因乙方运输责任给甲方造成的一切经济损失，均由乙方承担赔偿责任，包括但不限于构件损失、运费损失、构件需方对甲方的各种违约追索及处罚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第三方对甲方的侵权索赔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等。</w:t>
      </w:r>
    </w:p>
    <w:p w14:paraId="68B5CFDF">
      <w:pPr>
        <w:numPr>
          <w:ilvl w:val="0"/>
          <w:numId w:val="3"/>
        </w:numPr>
        <w:spacing w:before="156" w:beforeLines="50" w:line="44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结算方式</w:t>
      </w:r>
    </w:p>
    <w:p w14:paraId="39867B83">
      <w:pPr>
        <w:spacing w:line="44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4.1乙方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须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根据合同约定将货物签收单提交甲方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的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指定人员签收，带回后立即交给甲方，由甲方财务部门出具运费结算单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无项目收货人签认的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货物签收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回单，甲方暂不予结算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。运费结算单和货物签收单原件均为运费结算依据，缺一不可。</w:t>
      </w:r>
    </w:p>
    <w:p w14:paraId="3C775B54">
      <w:pPr>
        <w:spacing w:line="44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4.2运费月结：乙方每月20日提供上一周期（30个日历天）的运费结算单交由甲方PC事业部初审后交财务部审核并办理结算后，凭乙方提供的真实有效的9%增值税专用发票，于次月支付至乙方指定银行账户。乙方开具的发票不合格、开具的发票造成甲方无法用于抵扣等不符合甲方要求时，甲方有权拒绝付款且不构成违约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，同时甲方有权要求乙方重新开具增值税专用发票，并赔偿甲方损失,包括但不限于税款、滞纳金、罚款及其他损失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；乙方没有足额提供发票的，甲方有权只支付发票金额部分且不构成违约。</w:t>
      </w:r>
    </w:p>
    <w:p w14:paraId="34656684">
      <w:pPr>
        <w:spacing w:line="44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4.3运费由甲方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通过银行转账或银行承兑的方式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支付至乙方指定的银行账户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或以银行票据、商业汇票等方式支付。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如乙方账户有变更，乙方须在付款前10个工作日内以书面的形式通知甲方。乙方对自己提供账户的真实性合法性负责。</w:t>
      </w:r>
    </w:p>
    <w:p w14:paraId="0FC58EC7">
      <w:pPr>
        <w:numPr>
          <w:ilvl w:val="0"/>
          <w:numId w:val="3"/>
        </w:numPr>
        <w:spacing w:before="156" w:beforeLines="50" w:line="44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责任与义务</w:t>
      </w:r>
    </w:p>
    <w:p w14:paraId="467EE529">
      <w:pPr>
        <w:spacing w:line="44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5.1甲方的责任与义务</w:t>
      </w:r>
    </w:p>
    <w:p w14:paraId="1A95C23F">
      <w:pPr>
        <w:numPr>
          <w:ilvl w:val="0"/>
          <w:numId w:val="4"/>
        </w:numPr>
        <w:spacing w:line="44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甲方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应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协同做好货物的装卸，对乙方保证货物安全的装卸改善意见积极配合。</w:t>
      </w:r>
    </w:p>
    <w:p w14:paraId="060C23D2">
      <w:pPr>
        <w:numPr>
          <w:ilvl w:val="0"/>
          <w:numId w:val="4"/>
        </w:numPr>
        <w:spacing w:line="44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甲方有权向乙方提出送货要求或者取消送货要求，如货物已起运要求取消的，甲方需给予乙方一定补偿。</w:t>
      </w:r>
    </w:p>
    <w:p w14:paraId="53764CC6">
      <w:pPr>
        <w:numPr>
          <w:ilvl w:val="0"/>
          <w:numId w:val="4"/>
        </w:numPr>
        <w:spacing w:line="44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在双方协议合作期间，甲方有权利对乙方的运输作业及管理措施提出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合理的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改进建议，乙方应予以采纳并执行。</w:t>
      </w:r>
    </w:p>
    <w:p w14:paraId="32090EA4">
      <w:pPr>
        <w:numPr>
          <w:ilvl w:val="0"/>
          <w:numId w:val="4"/>
        </w:numPr>
        <w:spacing w:line="44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在双方合作期间，如乙方的服务质量和服务效率达不到甲方要求的，甲方有权对乙方提出责令整改，整改不到位的，甲方有权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对其做出相应处罚，若甲方多次提出整改意见而乙方未整改到位，甲方有权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终止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合作，无条件解除本合同。</w:t>
      </w:r>
    </w:p>
    <w:p w14:paraId="492D24B8">
      <w:pPr>
        <w:numPr>
          <w:ilvl w:val="0"/>
          <w:numId w:val="4"/>
        </w:numPr>
        <w:spacing w:line="44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在双方合作期间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甲方根据乙方的服务质量和服务效率对其进行评分，甲方需对评分做到公平、公正、公开，甲方每月需根据评分高低进行货量分配，货量分配需做到公正合理。</w:t>
      </w:r>
    </w:p>
    <w:p w14:paraId="225897CB">
      <w:pPr>
        <w:numPr>
          <w:ilvl w:val="0"/>
          <w:numId w:val="4"/>
        </w:numPr>
        <w:spacing w:line="44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甲方未按合同规定期限向乙方支付运输费用，应在乙方催告后的合理期限内及时支付。</w:t>
      </w:r>
    </w:p>
    <w:p w14:paraId="1046E667">
      <w:pPr>
        <w:numPr>
          <w:ilvl w:val="0"/>
          <w:numId w:val="4"/>
        </w:numPr>
        <w:spacing w:line="440" w:lineRule="exact"/>
        <w:ind w:firstLine="0" w:firstLineChars="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highlight w:val="none"/>
        </w:rPr>
        <w:t>在双方合作期间，乙方正常履行合同时，甲方不得无故解除合同。如甲方无故单方面解除合同，应将所欠乙方运输款一次性付清。</w:t>
      </w:r>
    </w:p>
    <w:p w14:paraId="66C4D109">
      <w:pPr>
        <w:spacing w:line="44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5.2乙方责任与义务</w:t>
      </w:r>
    </w:p>
    <w:p w14:paraId="637750EA">
      <w:pPr>
        <w:numPr>
          <w:ilvl w:val="0"/>
          <w:numId w:val="5"/>
        </w:numPr>
        <w:spacing w:line="440" w:lineRule="exact"/>
        <w:ind w:left="42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乙方须遵守国家有关法律规定，按照批准的范围经营，具有履行本合同的合法经营许可。乙方执行此合同的车辆，必须符合国家法律法规规定。</w:t>
      </w:r>
    </w:p>
    <w:p w14:paraId="475E9DBC">
      <w:pPr>
        <w:numPr>
          <w:ilvl w:val="0"/>
          <w:numId w:val="5"/>
        </w:numPr>
        <w:spacing w:line="440" w:lineRule="exact"/>
        <w:ind w:left="42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highlight w:val="none"/>
        </w:rPr>
        <w:t>在双方合作期间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，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乙方须遵守甲方公司内部制定的仓储物流管理制度。</w:t>
      </w:r>
    </w:p>
    <w:p w14:paraId="5148CE38">
      <w:pPr>
        <w:numPr>
          <w:ilvl w:val="0"/>
          <w:numId w:val="5"/>
        </w:numPr>
        <w:spacing w:line="440" w:lineRule="exact"/>
        <w:ind w:left="42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乙方须按照合同提供的要求提供适当的运输工具、配备合适的人员。乙方有责任约束自己的司机，不得酒驾、疲劳驾驶，不得违反交通规则。乙方的司机需服从甲方调度人员的安排；乙方不得以任何理由拒绝调度车辆。</w:t>
      </w:r>
    </w:p>
    <w:p w14:paraId="753BC0CA">
      <w:pPr>
        <w:numPr>
          <w:ilvl w:val="0"/>
          <w:numId w:val="5"/>
        </w:numPr>
        <w:spacing w:line="440" w:lineRule="exact"/>
        <w:ind w:left="420"/>
        <w:rPr>
          <w:rFonts w:ascii="仿宋" w:hAnsi="仿宋" w:eastAsia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乙方在接到甲方运输指令后，应在12小时内完成车辆调度和组织工作，并在规定的时间内到达指定的装货地点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若有特殊情况，甲方有权指定车辆到达装货地点时间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。</w:t>
      </w:r>
      <w:r>
        <w:rPr>
          <w:rFonts w:hint="eastAsia" w:ascii="仿宋" w:hAnsi="仿宋" w:eastAsia="仿宋"/>
          <w:color w:val="auto"/>
          <w:sz w:val="24"/>
          <w:highlight w:val="none"/>
        </w:rPr>
        <w:t>若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车辆</w:t>
      </w:r>
      <w:r>
        <w:rPr>
          <w:rFonts w:hint="eastAsia" w:ascii="仿宋" w:hAnsi="仿宋" w:eastAsia="仿宋"/>
          <w:color w:val="auto"/>
          <w:sz w:val="24"/>
          <w:highlight w:val="none"/>
        </w:rPr>
        <w:t>12小时内无法调达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或者在甲方指定时间内无法到达</w:t>
      </w:r>
      <w:r>
        <w:rPr>
          <w:rFonts w:hint="eastAsia" w:ascii="仿宋" w:hAnsi="仿宋" w:eastAsia="仿宋"/>
          <w:color w:val="auto"/>
          <w:sz w:val="24"/>
          <w:highlight w:val="none"/>
        </w:rPr>
        <w:t>，按6</w:t>
      </w:r>
      <w:r>
        <w:rPr>
          <w:rFonts w:ascii="仿宋" w:hAnsi="仿宋" w:eastAsia="仿宋"/>
          <w:color w:val="auto"/>
          <w:sz w:val="24"/>
          <w:highlight w:val="none"/>
        </w:rPr>
        <w:t>00</w:t>
      </w:r>
      <w:r>
        <w:rPr>
          <w:rFonts w:hint="eastAsia" w:ascii="仿宋" w:hAnsi="仿宋" w:eastAsia="仿宋"/>
          <w:color w:val="auto"/>
          <w:sz w:val="24"/>
          <w:highlight w:val="none"/>
        </w:rPr>
        <w:t>元</w:t>
      </w:r>
      <w:r>
        <w:rPr>
          <w:rFonts w:ascii="仿宋" w:hAnsi="仿宋" w:eastAsia="仿宋"/>
          <w:color w:val="auto"/>
          <w:sz w:val="24"/>
          <w:highlight w:val="none"/>
        </w:rPr>
        <w:t>/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次</w:t>
      </w:r>
      <w:r>
        <w:rPr>
          <w:rFonts w:hint="eastAsia" w:ascii="仿宋" w:hAnsi="仿宋" w:eastAsia="仿宋"/>
          <w:color w:val="auto"/>
          <w:sz w:val="24"/>
          <w:highlight w:val="none"/>
        </w:rPr>
        <w:t>日处罚，并承担未按甲方要求调度车辆给甲方造成的一切损失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，</w:t>
      </w:r>
      <w:r>
        <w:rPr>
          <w:rFonts w:hint="eastAsia" w:ascii="仿宋" w:hAnsi="仿宋" w:eastAsia="仿宋"/>
          <w:color w:val="auto"/>
          <w:sz w:val="24"/>
          <w:highlight w:val="none"/>
        </w:rPr>
        <w:t>甲方有权在支付乙方运输费用时直接扣除，不足部分可向乙方追偿；同时甲方有权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单方解除合同</w:t>
      </w:r>
      <w:r>
        <w:rPr>
          <w:rFonts w:hint="eastAsia" w:ascii="仿宋" w:hAnsi="仿宋" w:eastAsia="仿宋"/>
          <w:color w:val="auto"/>
          <w:sz w:val="24"/>
          <w:highlight w:val="none"/>
        </w:rPr>
        <w:t>。</w:t>
      </w:r>
    </w:p>
    <w:p w14:paraId="7A5744EA">
      <w:pPr>
        <w:numPr>
          <w:ilvl w:val="0"/>
          <w:numId w:val="5"/>
        </w:numPr>
        <w:spacing w:line="440" w:lineRule="exact"/>
        <w:ind w:left="420"/>
        <w:rPr>
          <w:rFonts w:ascii="仿宋" w:hAnsi="仿宋" w:eastAsia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乙方须遵守甲方按每月评分分配货量运输原则，不允许出现拖延或者不运输的情况，若乙方每违反一次，处罚1000元。）</w:t>
      </w:r>
    </w:p>
    <w:p w14:paraId="61B3652D">
      <w:pPr>
        <w:numPr>
          <w:ilvl w:val="0"/>
          <w:numId w:val="5"/>
        </w:numPr>
        <w:spacing w:line="440" w:lineRule="exact"/>
        <w:ind w:left="42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乙方在装货起运前应与甲方清点好所装货物数量，确认货物完好无损。运输过程中预制构件出现裂缝、破损等质量问题，均由乙方负责</w:t>
      </w:r>
      <w:r>
        <w:rPr>
          <w:rFonts w:hint="eastAsia" w:ascii="仿宋" w:hAnsi="仿宋" w:eastAsia="仿宋"/>
          <w:color w:val="auto"/>
          <w:sz w:val="24"/>
          <w:highlight w:val="none"/>
        </w:rPr>
        <w:t>并承担相应损失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。若乙方起运前未清点，起运后则视同默认所装货物与甲方提供的发货单数量相符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且无质量问题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，</w:t>
      </w:r>
      <w:r>
        <w:rPr>
          <w:rFonts w:hint="eastAsia" w:ascii="仿宋" w:hAnsi="仿宋" w:eastAsia="仿宋"/>
          <w:color w:val="auto"/>
          <w:sz w:val="24"/>
          <w:highlight w:val="none"/>
        </w:rPr>
        <w:t>丢失部分由乙方按货物价值赔偿。</w:t>
      </w:r>
    </w:p>
    <w:p w14:paraId="30610B4D">
      <w:pPr>
        <w:numPr>
          <w:ilvl w:val="0"/>
          <w:numId w:val="5"/>
        </w:numPr>
        <w:spacing w:line="440" w:lineRule="exact"/>
        <w:ind w:left="42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乙方有义务采取必要的措施确保运输中货物安全，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应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对不合理的装货提出改善要求，乙方须做好货物在途保护措施。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如不符合运输要求的，乙方应具有充分的提醒义务和拒载权利。如甲方要求必须发货因出具通知后双方签字后进行发货。</w:t>
      </w:r>
    </w:p>
    <w:p w14:paraId="494BCA9D">
      <w:pPr>
        <w:numPr>
          <w:ilvl w:val="0"/>
          <w:numId w:val="5"/>
        </w:numPr>
        <w:spacing w:line="440" w:lineRule="exact"/>
        <w:ind w:left="0" w:firstLine="480" w:firstLineChars="200"/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乙方对承运服务的安全负全责，运输过程中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发生的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所有安全事故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及其他事故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责任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均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由乙方完全承担，与甲方无关。因乙方原因造成甲方货物延时到达目的地或货被扣押等情况，由此给甲方带来的经济损失，乙方应全额赔偿，赔偿包括但不限于构件需方对甲方的各种违约追索及处罚等。由甲方代偿或垫付的，甲方有权从乙方运输费用中直接扣除，不足部分可向乙方追偿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。</w:t>
      </w:r>
    </w:p>
    <w:p w14:paraId="2478C588">
      <w:pPr>
        <w:numPr>
          <w:ilvl w:val="0"/>
          <w:numId w:val="5"/>
        </w:numPr>
        <w:spacing w:line="440" w:lineRule="exact"/>
        <w:ind w:left="42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乙方委派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auto"/>
          <w:sz w:val="24"/>
          <w:highlight w:val="none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（联系电话：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）作为驻厂专人，全权负责与</w:t>
      </w:r>
    </w:p>
    <w:p w14:paraId="1911A0A7">
      <w:pPr>
        <w:numPr>
          <w:ilvl w:val="-1"/>
          <w:numId w:val="0"/>
        </w:numPr>
        <w:spacing w:line="440" w:lineRule="exact"/>
        <w:ind w:left="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甲方物流部对接落实物流运输的车辆调度等服务的相关事宜。若乙方指定的驻厂专人有调整变化，应提前以书面的形式通知甲方，否则由此导致不能按甲方要求及时发运构件的，处每车1000元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处罚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。</w:t>
      </w:r>
    </w:p>
    <w:p w14:paraId="0B75E51E">
      <w:pPr>
        <w:numPr>
          <w:ilvl w:val="0"/>
          <w:numId w:val="5"/>
        </w:numPr>
        <w:spacing w:line="440" w:lineRule="exact"/>
        <w:ind w:left="42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乙方应充分重视物流的信息服务，应派指定的专人对车辆进行跟踪服务，并</w:t>
      </w:r>
      <w:r>
        <w:rPr>
          <w:rFonts w:hint="eastAsia" w:ascii="仿宋" w:hAnsi="仿宋" w:eastAsia="仿宋" w:cs="仿宋"/>
          <w:color w:val="auto"/>
          <w:sz w:val="24"/>
          <w:highlight w:val="none"/>
          <w:u w:val="none"/>
        </w:rPr>
        <w:t>随时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提供车辆在途情况。乙方委派的驻厂专人和承运司机的电话须24小时开机，随时执行甲方的调度指令。</w:t>
      </w:r>
    </w:p>
    <w:p w14:paraId="121E95B6">
      <w:pPr>
        <w:numPr>
          <w:ilvl w:val="0"/>
          <w:numId w:val="5"/>
        </w:numPr>
        <w:spacing w:line="44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乙方运输车辆在装完货物后，应在物流计划时间内到达指定卸货地，如因乙方自身原因导致货物延误未能准时到达指定卸货地，每小时处罚500元，甲方有权在支付乙方运输费用时直接扣除，不足部分可向乙方追偿。若该处罚不足以弥补甲方损失的，甲方有权另行主张。</w:t>
      </w:r>
    </w:p>
    <w:p w14:paraId="63453936">
      <w:pPr>
        <w:numPr>
          <w:ilvl w:val="0"/>
          <w:numId w:val="5"/>
        </w:numPr>
        <w:spacing w:line="440" w:lineRule="exact"/>
        <w:ind w:left="42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乙方不得以任何借口扣押甲方货物，否则自愿承担10万元的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处罚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，并承担由于扣押货物而造成甲方的损失（包含但不仅限于人工费、工期延误费和构件需方对甲方的各种违约追索及处罚等）。</w:t>
      </w:r>
    </w:p>
    <w:p w14:paraId="1E9338B0">
      <w:pPr>
        <w:numPr>
          <w:ilvl w:val="0"/>
          <w:numId w:val="5"/>
        </w:numPr>
        <w:spacing w:line="440" w:lineRule="exact"/>
        <w:ind w:left="42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乙方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负责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货物签收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单的签收，须将有项目收货人签认的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货物签收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单及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运费结算的相关单据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及时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提供给甲方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没有项目收货人签认的送货单不计入结算，并需要乙方负责追签货单）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，如因乙方单据、发票不齐全导致甲方无法结账，甲方不承担任何延时付款的责任。</w:t>
      </w:r>
    </w:p>
    <w:p w14:paraId="0E069871">
      <w:pPr>
        <w:numPr>
          <w:ilvl w:val="0"/>
          <w:numId w:val="5"/>
        </w:numPr>
        <w:spacing w:line="440" w:lineRule="exact"/>
        <w:ind w:left="42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乙方司机应在装车起运起核对所装货物的有无破损残缺等问题，一旦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起运则视为构件无问题，若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货物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到达卸车地点后发现货损（裂纹、破损、损毁、灭失等）则视为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出厂后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在运输途中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造成的货损（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裂纹、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破损、损毁、灭失等），乙方须承担全额赔偿责任，赔偿范围包括货物本身的损失和由此导致甲方的其他损失。因赔偿问题无法达成一致时，乙方须待与甲方协商一致后方能结款。</w:t>
      </w:r>
    </w:p>
    <w:p w14:paraId="5722836F">
      <w:pPr>
        <w:pStyle w:val="5"/>
        <w:numPr>
          <w:ilvl w:val="0"/>
          <w:numId w:val="5"/>
        </w:numPr>
        <w:spacing w:line="480" w:lineRule="exact"/>
        <w:ind w:left="420"/>
        <w:rPr>
          <w:rFonts w:hint="eastAsia" w:ascii="仿宋" w:hAnsi="仿宋" w:eastAsia="仿宋" w:cs="仿宋"/>
          <w:color w:val="auto"/>
          <w:kern w:val="2"/>
          <w:highlight w:val="none"/>
        </w:rPr>
      </w:pPr>
      <w:r>
        <w:rPr>
          <w:rFonts w:hint="eastAsia" w:ascii="仿宋" w:hAnsi="仿宋" w:eastAsia="仿宋" w:cs="仿宋"/>
          <w:color w:val="auto"/>
          <w:kern w:val="2"/>
          <w:highlight w:val="none"/>
        </w:rPr>
        <w:t>物流车辆司机到达现场后，应第一时间联系现场收货人安排卸货，现场明确不能及时卸货或超过四小时仍未组织卸货，有可能产生待车费用的，乙方须及时通知甲方做好现场协调工作。乙方未履行通知义务，造成待车费用不予支付。</w:t>
      </w:r>
      <w:r>
        <w:rPr>
          <w:rFonts w:hint="eastAsia" w:ascii="仿宋" w:hAnsi="仿宋" w:eastAsia="仿宋" w:cs="仿宋"/>
          <w:color w:val="auto"/>
          <w:kern w:val="2"/>
          <w:highlight w:val="none"/>
          <w:lang w:val="en-US" w:eastAsia="zh-CN"/>
        </w:rPr>
        <w:t>待车费事宜按照合同条款3.3执行。</w:t>
      </w:r>
    </w:p>
    <w:p w14:paraId="0EFB17DF">
      <w:pPr>
        <w:numPr>
          <w:ilvl w:val="0"/>
          <w:numId w:val="5"/>
        </w:numPr>
        <w:spacing w:line="440" w:lineRule="exact"/>
        <w:ind w:left="420"/>
        <w:rPr>
          <w:rFonts w:hint="eastAsia" w:ascii="仿宋" w:hAnsi="仿宋" w:eastAsia="仿宋" w:cs="仿宋"/>
          <w:color w:val="auto"/>
          <w:kern w:val="2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乙方负责甲方随构件供货车辆发往现场的垫木、垫梁、工装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槽钢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及货架等周转辅材的回收，垫木回收率至少达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95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%，工装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槽钢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回收率至少达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95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%，垫梁、货架回收率达100%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snapToGrid/>
          <w:color w:val="auto"/>
          <w:kern w:val="2"/>
          <w:sz w:val="24"/>
          <w:szCs w:val="24"/>
          <w:highlight w:val="none"/>
          <w:lang w:val="en-US" w:eastAsia="zh-CN"/>
        </w:rPr>
        <w:t>按季度进行收发单统计，</w:t>
      </w:r>
      <w:r>
        <w:rPr>
          <w:rFonts w:hint="eastAsia" w:ascii="仿宋" w:hAnsi="仿宋" w:eastAsia="仿宋" w:cs="仿宋"/>
          <w:snapToGrid/>
          <w:color w:val="auto"/>
          <w:kern w:val="2"/>
          <w:sz w:val="24"/>
          <w:szCs w:val="24"/>
          <w:highlight w:val="none"/>
        </w:rPr>
        <w:t>未达到回收比例的</w:t>
      </w:r>
      <w:r>
        <w:rPr>
          <w:rFonts w:hint="eastAsia" w:ascii="仿宋" w:hAnsi="仿宋" w:eastAsia="仿宋" w:cs="仿宋"/>
          <w:snapToGrid/>
          <w:color w:val="auto"/>
          <w:kern w:val="2"/>
          <w:sz w:val="24"/>
          <w:szCs w:val="24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napToGrid/>
          <w:color w:val="auto"/>
          <w:kern w:val="2"/>
          <w:sz w:val="24"/>
          <w:szCs w:val="24"/>
          <w:highlight w:val="none"/>
        </w:rPr>
        <w:t>差额部分按甲方采购价从乙方结算款中扣减</w:t>
      </w:r>
      <w:r>
        <w:rPr>
          <w:rFonts w:hint="eastAsia" w:ascii="仿宋" w:hAnsi="仿宋" w:eastAsia="仿宋" w:cs="仿宋"/>
          <w:snapToGrid/>
          <w:color w:val="auto"/>
          <w:kern w:val="2"/>
          <w:sz w:val="24"/>
          <w:szCs w:val="24"/>
          <w:highlight w:val="none"/>
          <w:lang w:val="en-US" w:eastAsia="zh-CN"/>
        </w:rPr>
        <w:t>。</w:t>
      </w:r>
    </w:p>
    <w:p w14:paraId="746F8BE5">
      <w:pPr>
        <w:pStyle w:val="5"/>
        <w:numPr>
          <w:ilvl w:val="0"/>
          <w:numId w:val="5"/>
        </w:numPr>
        <w:spacing w:line="480" w:lineRule="exact"/>
        <w:ind w:left="420"/>
        <w:rPr>
          <w:rFonts w:hint="eastAsia" w:ascii="仿宋" w:hAnsi="仿宋" w:eastAsia="仿宋" w:cs="仿宋"/>
          <w:color w:val="auto"/>
          <w:kern w:val="2"/>
          <w:highlight w:val="none"/>
        </w:rPr>
      </w:pPr>
      <w:r>
        <w:rPr>
          <w:rFonts w:hint="eastAsia" w:ascii="仿宋" w:hAnsi="仿宋" w:eastAsia="仿宋" w:cs="仿宋"/>
          <w:color w:val="auto"/>
          <w:kern w:val="2"/>
          <w:highlight w:val="none"/>
        </w:rPr>
        <w:t>特殊情况需外调车辆运输构件，外调车辆费须经甲方确认后，外调车辆费由乙方支出，再与甲方在结算中办理。</w:t>
      </w:r>
    </w:p>
    <w:p w14:paraId="4B1B59AF">
      <w:pPr>
        <w:pStyle w:val="5"/>
        <w:numPr>
          <w:ilvl w:val="-1"/>
          <w:numId w:val="0"/>
        </w:numPr>
        <w:spacing w:line="480" w:lineRule="exact"/>
        <w:ind w:left="0"/>
        <w:rPr>
          <w:rFonts w:hint="default" w:ascii="仿宋" w:hAnsi="仿宋" w:eastAsia="仿宋" w:cs="仿宋"/>
          <w:color w:val="auto"/>
          <w:kern w:val="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highlight w:val="none"/>
          <w:lang w:val="en-US" w:eastAsia="zh-CN"/>
        </w:rPr>
        <w:t xml:space="preserve">    （18）由乙方组织的运输车辆，在运输过程中要按国家标准包装、覆盖，做到无抛洒、无遗漏。乙方运输车辆在运输作业中造成周边环境扬尘污染、路面污染或噪声污染，被有关部门处以行政罚款的，由乙方承担。如因此给甲方造成损失的，甲方有权从乙方运输费用中直接扣除，不足部分可向乙方追偿。</w:t>
      </w:r>
    </w:p>
    <w:p w14:paraId="0FE93668">
      <w:pPr>
        <w:numPr>
          <w:ilvl w:val="0"/>
          <w:numId w:val="3"/>
        </w:numPr>
        <w:spacing w:before="156" w:beforeLines="50" w:line="44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风险抵押金</w:t>
      </w:r>
    </w:p>
    <w:p w14:paraId="0660A609">
      <w:pPr>
        <w:spacing w:line="44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6.1乙方将风险抵押金以银行转账或现金的形式缴纳到甲方的指定账户。</w:t>
      </w:r>
    </w:p>
    <w:p w14:paraId="49D06D76">
      <w:pPr>
        <w:spacing w:line="44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6.2乙方的风险抵押金不计息，金额为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</w:rPr>
        <w:t>30000元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（人民币），在本合同签订后5日内缴纳。风险抵押金作为甲方货物损失风险抵押，若由于乙方原因导致甲方货物损失或第三方索赔，不足部分甲方另行向乙方追偿。甲方扣除乙方风险抵押金，无需乙方同意，通知乙方即可；风险抵押金扣除后不足30000元时，乙方应在5日内补足。</w:t>
      </w:r>
    </w:p>
    <w:p w14:paraId="4EC792F8">
      <w:pPr>
        <w:spacing w:line="44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6.3甲方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严重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违反本合同规定，致使乙方利益遭到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严重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损害的，乙方有权提出终止本运输合同，并要求甲方归还风险抵押金。</w:t>
      </w:r>
    </w:p>
    <w:p w14:paraId="4E847D24">
      <w:pPr>
        <w:spacing w:line="44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6.4本合同到期或期满后，如不再继续合作，甲方应在1个月内归还乙方风险抵押金；如果继续合作，则转为下一年度的风险抵押金。</w:t>
      </w:r>
    </w:p>
    <w:p w14:paraId="51A5BD91">
      <w:pPr>
        <w:spacing w:line="44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6.5甲方收到乙方的风险抵押金后应开具收据给乙方。</w:t>
      </w:r>
    </w:p>
    <w:p w14:paraId="650DA298">
      <w:pPr>
        <w:numPr>
          <w:ilvl w:val="0"/>
          <w:numId w:val="3"/>
        </w:numPr>
        <w:spacing w:before="156" w:beforeLines="50" w:line="44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争议解决方式</w:t>
      </w:r>
    </w:p>
    <w:p w14:paraId="352EFDCC">
      <w:pPr>
        <w:spacing w:line="44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本合同执行过程中发生争议，双方友好协商解决。若协商不成，任何一方均可向甲方所在地人民法院起诉。</w:t>
      </w:r>
    </w:p>
    <w:p w14:paraId="1A352F6F">
      <w:pPr>
        <w:numPr>
          <w:ilvl w:val="0"/>
          <w:numId w:val="3"/>
        </w:numPr>
        <w:spacing w:before="156" w:beforeLines="50" w:line="44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廉洁条款</w:t>
      </w:r>
    </w:p>
    <w:p w14:paraId="2A8213FA">
      <w:pPr>
        <w:spacing w:line="44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8.1乙方如果发现甲方人员存在廉洁方面问题，请拨打投诉热线：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0711-3700097。</w:t>
      </w:r>
    </w:p>
    <w:p w14:paraId="736662EB">
      <w:pPr>
        <w:spacing w:line="44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8.2乙方与甲方人员串通、有贿赂行为的，经查实，甲方有权单方面解除本合同，并由乙方向需甲方支付本合同已结算金额的10%作为廉洁违约金；如给甲方造成损失的，还应赔偿相应损失，构成犯罪的，将移送司法机关依法处理。</w:t>
      </w:r>
    </w:p>
    <w:p w14:paraId="2037F2E4">
      <w:pPr>
        <w:numPr>
          <w:ilvl w:val="0"/>
          <w:numId w:val="3"/>
        </w:numPr>
        <w:spacing w:before="156" w:beforeLines="50" w:line="44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其他</w:t>
      </w:r>
    </w:p>
    <w:p w14:paraId="49662AAD">
      <w:pPr>
        <w:spacing w:line="44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9.1运输过程中，因交通堵塞、临时禁行、交通管制、交通意外、道路不畅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24"/>
          <w:highlight w:val="none"/>
        </w:rPr>
        <w:t>等非人为因素导致未能如期完成的运输服务，互不担责，由双方另行约定时间完成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但乙方应尽量以最低成本、最快速度完成运输任务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。</w:t>
      </w:r>
    </w:p>
    <w:p w14:paraId="3B25E25F">
      <w:pPr>
        <w:spacing w:line="44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9.2乙方在运输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装卸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过程中发生任何车辆、人员等事故，均与甲方无关，造成甲方或第三方人员伤害或其他损失的，乙方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承担全部责任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。</w:t>
      </w:r>
    </w:p>
    <w:p w14:paraId="626C6B80">
      <w:pPr>
        <w:spacing w:line="44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9.3本合同未尽事宜，经双方协商一致后签订补充协议，补充协议与合同具有同等法律效力。</w:t>
      </w:r>
    </w:p>
    <w:p w14:paraId="709E1199">
      <w:pPr>
        <w:spacing w:line="44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9.4本合同有效期限202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日至202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日，合同经双方签字且盖章后生效，合同履约完成后自行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终止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。</w:t>
      </w:r>
    </w:p>
    <w:p w14:paraId="5388A542">
      <w:pPr>
        <w:spacing w:line="44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9.5本合同壹式肆份，甲方持叁份、乙方持壹份。</w:t>
      </w:r>
    </w:p>
    <w:p w14:paraId="3165B01B">
      <w:pPr>
        <w:spacing w:line="44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9.6甲方有权利根据需要随时增加合作单位，乙方须无条件接受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；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甲方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有权根据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市场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业务量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减少而解除本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合同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，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且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甲方无需就此向乙方支付任何费用。</w:t>
      </w:r>
    </w:p>
    <w:p w14:paraId="744C68A4">
      <w:pPr>
        <w:spacing w:line="440" w:lineRule="exact"/>
        <w:ind w:firstLine="420" w:firstLineChars="200"/>
        <w:rPr>
          <w:rFonts w:hint="eastAsia" w:ascii="仿宋" w:hAnsi="仿宋" w:eastAsia="仿宋" w:cs="仿宋"/>
          <w:color w:val="auto"/>
          <w:szCs w:val="21"/>
          <w:highlight w:val="none"/>
        </w:rPr>
      </w:pPr>
    </w:p>
    <w:p w14:paraId="61203A18">
      <w:pPr>
        <w:spacing w:line="440" w:lineRule="exact"/>
        <w:ind w:firstLine="0" w:firstLineChars="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 xml:space="preserve">第十条 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送达</w:t>
      </w:r>
    </w:p>
    <w:p w14:paraId="7624A609">
      <w:pPr>
        <w:spacing w:line="44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10.1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本合同载明的地址，为双方通讯的有效地址，发至该地址的文书，视同各方收到。</w:t>
      </w:r>
    </w:p>
    <w:p w14:paraId="49B3E969">
      <w:pPr>
        <w:spacing w:line="44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10.2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甲方名称：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湖北宝业建筑工业化有限公司</w:t>
      </w:r>
    </w:p>
    <w:p w14:paraId="73CDC4E2">
      <w:pPr>
        <w:spacing w:line="440" w:lineRule="exact"/>
        <w:ind w:firstLine="480" w:firstLineChars="200"/>
        <w:rPr>
          <w:rFonts w:hint="default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通讯地址：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鄂州市葛店开发区创业大道宝业工业园</w:t>
      </w:r>
    </w:p>
    <w:p w14:paraId="68FF1919">
      <w:pPr>
        <w:spacing w:line="440" w:lineRule="exact"/>
        <w:ind w:firstLine="480" w:firstLineChars="200"/>
        <w:rPr>
          <w:rFonts w:hint="default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电话：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07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11-3700088</w:t>
      </w:r>
    </w:p>
    <w:p w14:paraId="652DB670">
      <w:pPr>
        <w:spacing w:line="440" w:lineRule="exact"/>
        <w:ind w:firstLine="480" w:firstLineChars="200"/>
        <w:rPr>
          <w:rFonts w:hint="default" w:ascii="仿宋" w:hAnsi="仿宋" w:eastAsia="仿宋" w:cs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传真：</w:t>
      </w:r>
    </w:p>
    <w:p w14:paraId="645EB07C">
      <w:pPr>
        <w:spacing w:line="440" w:lineRule="exact"/>
        <w:ind w:firstLine="960" w:firstLineChars="4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乙方名称：</w:t>
      </w:r>
    </w:p>
    <w:p w14:paraId="43EB8292">
      <w:pPr>
        <w:spacing w:line="400" w:lineRule="exact"/>
        <w:ind w:left="2160" w:hanging="2160" w:hangingChars="9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通讯地址： </w:t>
      </w:r>
    </w:p>
    <w:p w14:paraId="0A16DEAE">
      <w:pPr>
        <w:spacing w:line="440" w:lineRule="exact"/>
        <w:ind w:firstLine="960" w:firstLineChars="400"/>
        <w:rPr>
          <w:rFonts w:hint="default" w:ascii="仿宋" w:hAnsi="仿宋" w:eastAsia="仿宋" w:cs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电话：</w:t>
      </w:r>
    </w:p>
    <w:p w14:paraId="1AE5D050">
      <w:pPr>
        <w:spacing w:line="44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  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传真：</w:t>
      </w:r>
    </w:p>
    <w:p w14:paraId="53350863">
      <w:pPr>
        <w:spacing w:line="44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10.3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如一方地址、电子邮箱、电话、传真号码有变更，应在变更后的3日内书面通知对方，否则，一方通过原通讯地址发送文书的仍视为有效通知或送达。</w:t>
      </w:r>
    </w:p>
    <w:p w14:paraId="2824BF9C">
      <w:pPr>
        <w:snapToGrid w:val="0"/>
        <w:spacing w:line="400" w:lineRule="exact"/>
        <w:ind w:firstLine="424" w:firstLineChars="177"/>
        <w:rPr>
          <w:rFonts w:hint="eastAsia" w:ascii="仿宋" w:hAnsi="仿宋" w:eastAsia="仿宋"/>
          <w:bCs/>
          <w:color w:val="auto"/>
          <w:sz w:val="24"/>
          <w:highlight w:val="none"/>
        </w:rPr>
      </w:pPr>
    </w:p>
    <w:p w14:paraId="542860DD">
      <w:pPr>
        <w:snapToGrid w:val="0"/>
        <w:spacing w:line="400" w:lineRule="exact"/>
        <w:ind w:firstLine="480" w:firstLineChars="200"/>
        <w:rPr>
          <w:rFonts w:hint="eastAsia" w:ascii="仿宋" w:hAnsi="仿宋" w:eastAsia="仿宋" w:cs="仿宋"/>
          <w:color w:val="auto"/>
          <w:szCs w:val="21"/>
          <w:highlight w:val="none"/>
        </w:rPr>
      </w:pPr>
      <w:r>
        <w:rPr>
          <w:rFonts w:hint="eastAsia" w:ascii="仿宋" w:hAnsi="仿宋" w:eastAsia="仿宋"/>
          <w:bCs/>
          <w:color w:val="auto"/>
          <w:sz w:val="24"/>
          <w:highlight w:val="none"/>
        </w:rPr>
        <w:t>【以下无正文】</w:t>
      </w:r>
    </w:p>
    <w:p w14:paraId="3EEBBC8C">
      <w:pPr>
        <w:spacing w:line="440" w:lineRule="exact"/>
        <w:rPr>
          <w:rFonts w:hint="eastAsia" w:ascii="仿宋" w:hAnsi="仿宋" w:eastAsia="仿宋" w:cs="仿宋"/>
          <w:color w:val="auto"/>
          <w:szCs w:val="21"/>
          <w:highlight w:val="none"/>
        </w:rPr>
      </w:pPr>
    </w:p>
    <w:p w14:paraId="5E9CDFF8">
      <w:pPr>
        <w:spacing w:line="440" w:lineRule="exact"/>
        <w:rPr>
          <w:rFonts w:hint="eastAsia" w:ascii="仿宋" w:hAnsi="仿宋" w:eastAsia="仿宋" w:cs="仿宋"/>
          <w:color w:val="auto"/>
          <w:szCs w:val="21"/>
          <w:highlight w:val="none"/>
        </w:rPr>
      </w:pPr>
    </w:p>
    <w:p w14:paraId="0CF5F935">
      <w:pPr>
        <w:spacing w:line="440" w:lineRule="exact"/>
        <w:rPr>
          <w:rFonts w:hint="eastAsia" w:ascii="仿宋" w:hAnsi="仿宋" w:eastAsia="仿宋" w:cs="仿宋"/>
          <w:color w:val="auto"/>
          <w:szCs w:val="21"/>
          <w:highlight w:val="none"/>
        </w:rPr>
      </w:pPr>
    </w:p>
    <w:p w14:paraId="3662A8D4">
      <w:pPr>
        <w:spacing w:line="440" w:lineRule="exact"/>
        <w:rPr>
          <w:rFonts w:hint="eastAsia" w:ascii="仿宋" w:hAnsi="仿宋" w:eastAsia="仿宋" w:cs="仿宋"/>
          <w:color w:val="auto"/>
          <w:szCs w:val="21"/>
          <w:highlight w:val="none"/>
        </w:rPr>
      </w:pPr>
    </w:p>
    <w:p w14:paraId="71EB13DB">
      <w:pPr>
        <w:spacing w:line="440" w:lineRule="exact"/>
        <w:rPr>
          <w:rFonts w:hint="eastAsia" w:ascii="仿宋" w:hAnsi="仿宋" w:eastAsia="仿宋" w:cs="仿宋"/>
          <w:color w:val="auto"/>
          <w:szCs w:val="21"/>
          <w:highlight w:val="none"/>
        </w:rPr>
      </w:pPr>
    </w:p>
    <w:p w14:paraId="2050E162">
      <w:pPr>
        <w:spacing w:line="440" w:lineRule="exact"/>
        <w:rPr>
          <w:rFonts w:hint="eastAsia" w:ascii="仿宋" w:hAnsi="仿宋" w:eastAsia="仿宋" w:cs="仿宋"/>
          <w:color w:val="auto"/>
          <w:szCs w:val="21"/>
          <w:highlight w:val="none"/>
        </w:rPr>
      </w:pPr>
    </w:p>
    <w:p w14:paraId="31A61F0A">
      <w:pPr>
        <w:spacing w:line="440" w:lineRule="exact"/>
        <w:rPr>
          <w:rFonts w:hint="eastAsia" w:ascii="仿宋" w:hAnsi="仿宋" w:eastAsia="仿宋" w:cs="仿宋"/>
          <w:color w:val="auto"/>
          <w:szCs w:val="21"/>
          <w:highlight w:val="none"/>
        </w:rPr>
      </w:pPr>
    </w:p>
    <w:p w14:paraId="021A6A1A">
      <w:pPr>
        <w:spacing w:line="440" w:lineRule="exact"/>
        <w:rPr>
          <w:rFonts w:hint="eastAsia" w:ascii="仿宋" w:hAnsi="仿宋" w:eastAsia="仿宋" w:cs="仿宋"/>
          <w:color w:val="auto"/>
          <w:szCs w:val="21"/>
          <w:highlight w:val="none"/>
        </w:rPr>
      </w:pPr>
    </w:p>
    <w:p w14:paraId="55CC4DC5">
      <w:pPr>
        <w:spacing w:line="440" w:lineRule="exact"/>
        <w:rPr>
          <w:rFonts w:hint="eastAsia" w:ascii="仿宋" w:hAnsi="仿宋" w:eastAsia="仿宋" w:cs="仿宋"/>
          <w:color w:val="auto"/>
          <w:szCs w:val="21"/>
          <w:highlight w:val="none"/>
        </w:rPr>
      </w:pPr>
    </w:p>
    <w:p w14:paraId="4F55ADBC">
      <w:pPr>
        <w:spacing w:line="440" w:lineRule="exact"/>
        <w:rPr>
          <w:rFonts w:hint="eastAsia" w:ascii="仿宋" w:hAnsi="仿宋" w:eastAsia="仿宋" w:cs="仿宋"/>
          <w:color w:val="auto"/>
          <w:szCs w:val="21"/>
          <w:highlight w:val="none"/>
        </w:rPr>
      </w:pPr>
    </w:p>
    <w:p w14:paraId="34406841">
      <w:pPr>
        <w:spacing w:line="440" w:lineRule="exact"/>
        <w:rPr>
          <w:rFonts w:hint="eastAsia" w:ascii="仿宋" w:hAnsi="仿宋" w:eastAsia="仿宋" w:cs="仿宋"/>
          <w:color w:val="auto"/>
          <w:szCs w:val="21"/>
          <w:highlight w:val="none"/>
        </w:rPr>
      </w:pPr>
    </w:p>
    <w:p w14:paraId="270FDEDE">
      <w:pPr>
        <w:spacing w:line="440" w:lineRule="exact"/>
        <w:rPr>
          <w:rFonts w:hint="eastAsia" w:ascii="仿宋" w:hAnsi="仿宋" w:eastAsia="仿宋" w:cs="仿宋"/>
          <w:color w:val="auto"/>
          <w:szCs w:val="21"/>
          <w:highlight w:val="none"/>
        </w:rPr>
      </w:pPr>
    </w:p>
    <w:p w14:paraId="025118E0">
      <w:pPr>
        <w:spacing w:line="44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甲方（公章）：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湖北宝业建筑工业化有限公司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    </w:t>
      </w:r>
    </w:p>
    <w:p w14:paraId="014FB4A3">
      <w:pPr>
        <w:spacing w:line="44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法定代表人：                                </w:t>
      </w:r>
    </w:p>
    <w:p w14:paraId="1236BC9B">
      <w:pPr>
        <w:spacing w:line="44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委托代表人：                               </w:t>
      </w:r>
    </w:p>
    <w:p w14:paraId="4103B0D2">
      <w:pPr>
        <w:spacing w:line="44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地址：                                      </w:t>
      </w:r>
    </w:p>
    <w:p w14:paraId="2A12C17F">
      <w:pPr>
        <w:spacing w:line="44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开户银行：                                 </w:t>
      </w:r>
    </w:p>
    <w:p w14:paraId="0E1226A3">
      <w:pPr>
        <w:spacing w:line="44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账号：                                      </w:t>
      </w:r>
    </w:p>
    <w:p w14:paraId="5402287F">
      <w:pPr>
        <w:spacing w:line="44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合同签订时间：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 xml:space="preserve">  2025 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 xml:space="preserve"> 7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 xml:space="preserve"> 1 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日</w:t>
      </w:r>
    </w:p>
    <w:p w14:paraId="03D7E759">
      <w:pPr>
        <w:spacing w:line="44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</w:p>
    <w:p w14:paraId="3A5187B0">
      <w:pPr>
        <w:spacing w:line="440" w:lineRule="exact"/>
        <w:rPr>
          <w:rFonts w:hint="eastAsia" w:ascii="仿宋" w:hAnsi="仿宋" w:eastAsia="仿宋" w:cs="仿宋"/>
          <w:color w:val="auto"/>
          <w:sz w:val="24"/>
          <w:highlight w:val="none"/>
          <w:u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乙方（公章）：</w:t>
      </w:r>
    </w:p>
    <w:p w14:paraId="5762106E">
      <w:pPr>
        <w:spacing w:line="44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法定代表人：</w:t>
      </w:r>
    </w:p>
    <w:p w14:paraId="03BCABCD">
      <w:pPr>
        <w:spacing w:line="44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委托代表人：</w:t>
      </w:r>
    </w:p>
    <w:p w14:paraId="00255EF2">
      <w:pPr>
        <w:spacing w:line="440" w:lineRule="exact"/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地址：</w:t>
      </w:r>
    </w:p>
    <w:p w14:paraId="0BC6FE33">
      <w:pPr>
        <w:spacing w:line="44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开户银行：</w:t>
      </w:r>
    </w:p>
    <w:p w14:paraId="22562227">
      <w:pPr>
        <w:spacing w:line="44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账号：</w:t>
      </w:r>
    </w:p>
    <w:p w14:paraId="22C83FB4">
      <w:pPr>
        <w:spacing w:line="440" w:lineRule="exact"/>
        <w:jc w:val="lef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合同签订时间：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 xml:space="preserve">  2025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 xml:space="preserve"> 7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 xml:space="preserve"> 1 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日</w:t>
      </w:r>
    </w:p>
    <w:p w14:paraId="0D28E783">
      <w:pPr>
        <w:spacing w:line="440" w:lineRule="exact"/>
        <w:jc w:val="left"/>
        <w:rPr>
          <w:rFonts w:hint="eastAsia" w:ascii="仿宋" w:hAnsi="仿宋" w:eastAsia="仿宋" w:cs="仿宋"/>
          <w:color w:val="auto"/>
          <w:sz w:val="24"/>
          <w:highlight w:val="none"/>
        </w:rPr>
      </w:pPr>
    </w:p>
    <w:p w14:paraId="59B4CD91">
      <w:pPr>
        <w:spacing w:line="440" w:lineRule="exact"/>
        <w:jc w:val="left"/>
        <w:rPr>
          <w:rFonts w:hint="eastAsia" w:ascii="仿宋" w:hAnsi="仿宋" w:eastAsia="仿宋" w:cs="仿宋"/>
          <w:color w:val="auto"/>
          <w:sz w:val="24"/>
          <w:highlight w:val="none"/>
        </w:rPr>
      </w:pPr>
    </w:p>
    <w:p w14:paraId="0747EDA1">
      <w:pPr>
        <w:spacing w:line="440" w:lineRule="exact"/>
        <w:jc w:val="left"/>
        <w:rPr>
          <w:rFonts w:hint="eastAsia" w:ascii="仿宋" w:hAnsi="仿宋" w:eastAsia="仿宋" w:cs="仿宋"/>
          <w:color w:val="auto"/>
          <w:sz w:val="24"/>
          <w:highlight w:val="none"/>
        </w:rPr>
      </w:pPr>
    </w:p>
    <w:p w14:paraId="2A530AB5">
      <w:pPr>
        <w:spacing w:line="440" w:lineRule="exact"/>
        <w:jc w:val="left"/>
        <w:rPr>
          <w:rFonts w:hint="eastAsia" w:ascii="仿宋" w:hAnsi="仿宋" w:eastAsia="仿宋" w:cs="仿宋"/>
          <w:color w:val="auto"/>
          <w:sz w:val="24"/>
          <w:highlight w:val="none"/>
        </w:rPr>
      </w:pPr>
    </w:p>
    <w:p w14:paraId="152BD321">
      <w:pPr>
        <w:spacing w:line="440" w:lineRule="exact"/>
        <w:jc w:val="left"/>
        <w:rPr>
          <w:rFonts w:hint="eastAsia" w:ascii="仿宋" w:hAnsi="仿宋" w:eastAsia="仿宋" w:cs="仿宋"/>
          <w:color w:val="auto"/>
          <w:sz w:val="24"/>
          <w:highlight w:val="none"/>
        </w:rPr>
      </w:pPr>
    </w:p>
    <w:p w14:paraId="6EA97936">
      <w:pPr>
        <w:spacing w:line="440" w:lineRule="exact"/>
        <w:jc w:val="left"/>
        <w:rPr>
          <w:rFonts w:hint="eastAsia" w:ascii="仿宋" w:hAnsi="仿宋" w:eastAsia="仿宋" w:cs="仿宋"/>
          <w:color w:val="auto"/>
          <w:sz w:val="24"/>
          <w:highlight w:val="none"/>
        </w:rPr>
      </w:pPr>
    </w:p>
    <w:p w14:paraId="0FB28127">
      <w:pPr>
        <w:spacing w:line="440" w:lineRule="exact"/>
        <w:jc w:val="left"/>
        <w:rPr>
          <w:rFonts w:hint="eastAsia" w:ascii="仿宋" w:hAnsi="仿宋" w:eastAsia="仿宋" w:cs="仿宋"/>
          <w:color w:val="auto"/>
          <w:sz w:val="24"/>
          <w:highlight w:val="none"/>
        </w:rPr>
      </w:pPr>
    </w:p>
    <w:p w14:paraId="483E19B6">
      <w:pPr>
        <w:spacing w:line="440" w:lineRule="exact"/>
        <w:jc w:val="left"/>
        <w:rPr>
          <w:rFonts w:hint="eastAsia" w:ascii="仿宋" w:hAnsi="仿宋" w:eastAsia="仿宋" w:cs="仿宋"/>
          <w:color w:val="auto"/>
          <w:sz w:val="24"/>
          <w:highlight w:val="none"/>
        </w:rPr>
      </w:pPr>
    </w:p>
    <w:p w14:paraId="046E360D">
      <w:pPr>
        <w:spacing w:line="440" w:lineRule="exact"/>
        <w:jc w:val="left"/>
        <w:rPr>
          <w:rFonts w:hint="eastAsia" w:ascii="仿宋" w:hAnsi="仿宋" w:eastAsia="仿宋" w:cs="仿宋"/>
          <w:color w:val="auto"/>
          <w:sz w:val="24"/>
          <w:highlight w:val="none"/>
        </w:rPr>
      </w:pPr>
    </w:p>
    <w:p w14:paraId="51225F06">
      <w:pPr>
        <w:spacing w:line="440" w:lineRule="exact"/>
        <w:jc w:val="left"/>
        <w:rPr>
          <w:rFonts w:hint="eastAsia" w:ascii="仿宋" w:hAnsi="仿宋" w:eastAsia="仿宋" w:cs="仿宋"/>
          <w:color w:val="auto"/>
          <w:sz w:val="24"/>
          <w:highlight w:val="none"/>
        </w:rPr>
      </w:pPr>
    </w:p>
    <w:p w14:paraId="3E9495FF">
      <w:pPr>
        <w:spacing w:line="440" w:lineRule="exact"/>
        <w:jc w:val="left"/>
        <w:rPr>
          <w:rFonts w:hint="eastAsia" w:ascii="仿宋" w:hAnsi="仿宋" w:eastAsia="仿宋" w:cs="仿宋"/>
          <w:color w:val="auto"/>
          <w:sz w:val="24"/>
          <w:highlight w:val="none"/>
        </w:rPr>
      </w:pPr>
    </w:p>
    <w:p w14:paraId="20FDB1D6">
      <w:pPr>
        <w:spacing w:line="440" w:lineRule="exact"/>
        <w:jc w:val="left"/>
        <w:rPr>
          <w:rFonts w:hint="eastAsia" w:ascii="仿宋" w:hAnsi="仿宋" w:eastAsia="仿宋" w:cs="仿宋"/>
          <w:color w:val="auto"/>
          <w:sz w:val="24"/>
          <w:highlight w:val="none"/>
        </w:rPr>
      </w:pPr>
    </w:p>
    <w:p w14:paraId="532E80D1">
      <w:pPr>
        <w:spacing w:line="440" w:lineRule="exact"/>
        <w:jc w:val="left"/>
        <w:rPr>
          <w:rFonts w:hint="eastAsia" w:ascii="仿宋" w:hAnsi="仿宋" w:eastAsia="仿宋" w:cs="仿宋"/>
          <w:color w:val="auto"/>
          <w:sz w:val="24"/>
          <w:highlight w:val="none"/>
        </w:rPr>
      </w:pPr>
    </w:p>
    <w:p w14:paraId="669B0C5F">
      <w:pPr>
        <w:spacing w:line="440" w:lineRule="exact"/>
        <w:jc w:val="left"/>
        <w:rPr>
          <w:rFonts w:hint="eastAsia" w:ascii="仿宋" w:hAnsi="仿宋" w:eastAsia="仿宋" w:cs="仿宋"/>
          <w:color w:val="auto"/>
          <w:sz w:val="24"/>
          <w:highlight w:val="none"/>
        </w:rPr>
      </w:pPr>
    </w:p>
    <w:p w14:paraId="3A10D4D6">
      <w:pPr>
        <w:spacing w:line="440" w:lineRule="exact"/>
        <w:jc w:val="left"/>
        <w:rPr>
          <w:rFonts w:hint="eastAsia" w:ascii="仿宋" w:hAnsi="仿宋" w:eastAsia="仿宋" w:cs="仿宋"/>
          <w:color w:val="auto"/>
          <w:sz w:val="24"/>
          <w:highlight w:val="none"/>
        </w:rPr>
      </w:pPr>
    </w:p>
    <w:p w14:paraId="02153489">
      <w:pPr>
        <w:spacing w:line="460" w:lineRule="exact"/>
        <w:ind w:firstLine="480" w:firstLineChars="200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0"/>
          <w:highlight w:val="none"/>
          <w:lang w:val="en-US" w:eastAsia="zh-CN"/>
        </w:rPr>
        <w:t>附件：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 xml:space="preserve">      </w:t>
      </w:r>
    </w:p>
    <w:p w14:paraId="76D7C7EE">
      <w:pPr>
        <w:spacing w:line="460" w:lineRule="exact"/>
        <w:jc w:val="center"/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0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0"/>
          <w:highlight w:val="none"/>
          <w:vertAlign w:val="baseline"/>
          <w:lang w:val="en-US" w:eastAsia="zh-CN" w:bidi="ar-SA"/>
        </w:rPr>
        <w:t>随车周转物料采购成本价标准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3129"/>
        <w:gridCol w:w="1210"/>
        <w:gridCol w:w="1555"/>
      </w:tblGrid>
      <w:tr w14:paraId="6E21C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64" w:type="dxa"/>
          </w:tcPr>
          <w:p w14:paraId="55E7B0F1">
            <w:pPr>
              <w:spacing w:line="460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0"/>
                <w:highlight w:val="none"/>
                <w:vertAlign w:val="baseline"/>
                <w:lang w:val="en-US" w:eastAsia="zh-CN" w:bidi="ar-SA"/>
              </w:rPr>
              <w:t>物料名称</w:t>
            </w:r>
          </w:p>
        </w:tc>
        <w:tc>
          <w:tcPr>
            <w:tcW w:w="3129" w:type="dxa"/>
          </w:tcPr>
          <w:p w14:paraId="25CD8A72">
            <w:pPr>
              <w:spacing w:line="460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0"/>
                <w:highlight w:val="none"/>
                <w:vertAlign w:val="baseline"/>
                <w:lang w:val="en-US" w:eastAsia="zh-CN" w:bidi="ar-SA"/>
              </w:rPr>
              <w:t>型号或长度</w:t>
            </w:r>
          </w:p>
        </w:tc>
        <w:tc>
          <w:tcPr>
            <w:tcW w:w="1210" w:type="dxa"/>
            <w:vAlign w:val="top"/>
          </w:tcPr>
          <w:p w14:paraId="24FBD975">
            <w:pPr>
              <w:spacing w:line="460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0"/>
                <w:highlight w:val="none"/>
                <w:vertAlign w:val="baseline"/>
                <w:lang w:val="en-US" w:eastAsia="zh-CN" w:bidi="ar-SA"/>
              </w:rPr>
              <w:t>单位</w:t>
            </w:r>
          </w:p>
        </w:tc>
        <w:tc>
          <w:tcPr>
            <w:tcW w:w="1555" w:type="dxa"/>
            <w:vAlign w:val="top"/>
          </w:tcPr>
          <w:p w14:paraId="7BD6E446">
            <w:pPr>
              <w:spacing w:line="460" w:lineRule="exact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0"/>
                <w:highlight w:val="none"/>
                <w:vertAlign w:val="baseline"/>
                <w:lang w:val="en-US" w:eastAsia="zh-CN" w:bidi="ar-SA"/>
              </w:rPr>
              <w:t>价格（元）</w:t>
            </w:r>
          </w:p>
        </w:tc>
      </w:tr>
      <w:tr w14:paraId="3CEEA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64" w:type="dxa"/>
          </w:tcPr>
          <w:p w14:paraId="4533BC37">
            <w:pPr>
              <w:spacing w:line="460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0"/>
                <w:highlight w:val="none"/>
                <w:vertAlign w:val="baseline"/>
                <w:lang w:val="en-US" w:eastAsia="zh-CN" w:bidi="ar-SA"/>
              </w:rPr>
              <w:t>楼板垫木</w:t>
            </w:r>
          </w:p>
        </w:tc>
        <w:tc>
          <w:tcPr>
            <w:tcW w:w="3129" w:type="dxa"/>
          </w:tcPr>
          <w:p w14:paraId="0AB44EAF">
            <w:pPr>
              <w:spacing w:line="460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0"/>
                <w:highlight w:val="none"/>
                <w:vertAlign w:val="baseline"/>
                <w:lang w:val="en-US" w:eastAsia="zh-CN" w:bidi="ar-SA"/>
              </w:rPr>
              <w:t>80*80（200~300）（mm）</w:t>
            </w:r>
          </w:p>
        </w:tc>
        <w:tc>
          <w:tcPr>
            <w:tcW w:w="1210" w:type="dxa"/>
            <w:vAlign w:val="top"/>
          </w:tcPr>
          <w:p w14:paraId="4775152A">
            <w:pPr>
              <w:spacing w:line="460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0"/>
                <w:highlight w:val="none"/>
                <w:vertAlign w:val="baseline"/>
                <w:lang w:val="en-US" w:eastAsia="zh-CN" w:bidi="ar-SA"/>
              </w:rPr>
              <w:t>根</w:t>
            </w:r>
          </w:p>
        </w:tc>
        <w:tc>
          <w:tcPr>
            <w:tcW w:w="1555" w:type="dxa"/>
            <w:vAlign w:val="top"/>
          </w:tcPr>
          <w:p w14:paraId="599D8BE7">
            <w:pPr>
              <w:spacing w:line="460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0"/>
                <w:highlight w:val="none"/>
                <w:vertAlign w:val="baseline"/>
                <w:lang w:val="en-US" w:eastAsia="zh-CN" w:bidi="ar-SA"/>
              </w:rPr>
              <w:t>3</w:t>
            </w:r>
          </w:p>
        </w:tc>
      </w:tr>
      <w:tr w14:paraId="1B9D6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64" w:type="dxa"/>
          </w:tcPr>
          <w:p w14:paraId="64ED7F4B">
            <w:pPr>
              <w:spacing w:line="460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0"/>
                <w:highlight w:val="none"/>
                <w:vertAlign w:val="baseline"/>
                <w:lang w:val="en-US" w:eastAsia="zh-CN" w:bidi="ar-SA"/>
              </w:rPr>
              <w:t>楼梯垫木</w:t>
            </w:r>
          </w:p>
        </w:tc>
        <w:tc>
          <w:tcPr>
            <w:tcW w:w="3129" w:type="dxa"/>
          </w:tcPr>
          <w:p w14:paraId="5D8ABAE0">
            <w:pPr>
              <w:spacing w:line="460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0"/>
                <w:highlight w:val="none"/>
                <w:vertAlign w:val="baseline"/>
                <w:lang w:val="en-US" w:eastAsia="zh-CN" w:bidi="ar-SA"/>
              </w:rPr>
              <w:t>200*200*1000（mm）</w:t>
            </w:r>
          </w:p>
        </w:tc>
        <w:tc>
          <w:tcPr>
            <w:tcW w:w="1210" w:type="dxa"/>
          </w:tcPr>
          <w:p w14:paraId="4D0EFF8C">
            <w:pPr>
              <w:spacing w:line="460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0"/>
                <w:highlight w:val="none"/>
                <w:vertAlign w:val="baseline"/>
                <w:lang w:val="en-US" w:eastAsia="zh-CN" w:bidi="ar-SA"/>
              </w:rPr>
              <w:t>根</w:t>
            </w:r>
          </w:p>
        </w:tc>
        <w:tc>
          <w:tcPr>
            <w:tcW w:w="1555" w:type="dxa"/>
          </w:tcPr>
          <w:p w14:paraId="1A039E15">
            <w:pPr>
              <w:spacing w:line="460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0"/>
                <w:highlight w:val="none"/>
                <w:vertAlign w:val="baseline"/>
                <w:lang w:val="en-US" w:eastAsia="zh-CN" w:bidi="ar-SA"/>
              </w:rPr>
              <w:t>80</w:t>
            </w:r>
          </w:p>
        </w:tc>
      </w:tr>
      <w:tr w14:paraId="628C0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64" w:type="dxa"/>
          </w:tcPr>
          <w:p w14:paraId="57DD2719">
            <w:pPr>
              <w:spacing w:line="460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0"/>
                <w:highlight w:val="none"/>
                <w:vertAlign w:val="baseline"/>
                <w:lang w:val="en-US" w:eastAsia="zh-CN" w:bidi="ar-SA"/>
              </w:rPr>
              <w:t>槽钢</w:t>
            </w:r>
          </w:p>
        </w:tc>
        <w:tc>
          <w:tcPr>
            <w:tcW w:w="3129" w:type="dxa"/>
          </w:tcPr>
          <w:p w14:paraId="19E4484A">
            <w:pPr>
              <w:spacing w:line="460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0"/>
                <w:highlight w:val="none"/>
                <w:vertAlign w:val="baseline"/>
                <w:lang w:val="en-US" w:eastAsia="zh-CN" w:bidi="ar-SA"/>
              </w:rPr>
              <w:t>0.5~3（m）</w:t>
            </w:r>
          </w:p>
        </w:tc>
        <w:tc>
          <w:tcPr>
            <w:tcW w:w="1210" w:type="dxa"/>
          </w:tcPr>
          <w:p w14:paraId="6624FD5E">
            <w:pPr>
              <w:spacing w:line="460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0"/>
                <w:highlight w:val="none"/>
                <w:vertAlign w:val="baseline"/>
                <w:lang w:val="en-US" w:eastAsia="zh-CN" w:bidi="ar-SA"/>
              </w:rPr>
              <w:t>根</w:t>
            </w:r>
          </w:p>
        </w:tc>
        <w:tc>
          <w:tcPr>
            <w:tcW w:w="1555" w:type="dxa"/>
          </w:tcPr>
          <w:p w14:paraId="7661B062">
            <w:pPr>
              <w:spacing w:line="460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0"/>
                <w:highlight w:val="none"/>
                <w:vertAlign w:val="baseline"/>
                <w:lang w:val="en-US" w:eastAsia="zh-CN" w:bidi="ar-SA"/>
              </w:rPr>
              <w:t>120</w:t>
            </w:r>
          </w:p>
        </w:tc>
      </w:tr>
      <w:tr w14:paraId="1E097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64" w:type="dxa"/>
          </w:tcPr>
          <w:p w14:paraId="27E0EFB3">
            <w:pPr>
              <w:spacing w:line="460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0"/>
                <w:highlight w:val="none"/>
                <w:vertAlign w:val="baseline"/>
                <w:lang w:val="en-US" w:eastAsia="zh-CN" w:bidi="ar-SA"/>
              </w:rPr>
              <w:t>门撑</w:t>
            </w:r>
          </w:p>
        </w:tc>
        <w:tc>
          <w:tcPr>
            <w:tcW w:w="3129" w:type="dxa"/>
          </w:tcPr>
          <w:p w14:paraId="49C9E2E4">
            <w:pPr>
              <w:spacing w:line="460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0"/>
                <w:highlight w:val="none"/>
                <w:vertAlign w:val="baseline"/>
                <w:lang w:val="en-US" w:eastAsia="zh-CN" w:bidi="ar-SA"/>
              </w:rPr>
              <w:t>50*50*5(mm)方管</w:t>
            </w:r>
          </w:p>
        </w:tc>
        <w:tc>
          <w:tcPr>
            <w:tcW w:w="1210" w:type="dxa"/>
          </w:tcPr>
          <w:p w14:paraId="1D7D0E0A">
            <w:pPr>
              <w:spacing w:line="460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0"/>
                <w:highlight w:val="none"/>
                <w:vertAlign w:val="baseline"/>
                <w:lang w:val="en-US" w:eastAsia="zh-CN" w:bidi="ar-SA"/>
              </w:rPr>
              <w:t>支</w:t>
            </w:r>
          </w:p>
        </w:tc>
        <w:tc>
          <w:tcPr>
            <w:tcW w:w="1555" w:type="dxa"/>
          </w:tcPr>
          <w:p w14:paraId="3737730A">
            <w:pPr>
              <w:spacing w:line="460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0"/>
                <w:highlight w:val="none"/>
                <w:vertAlign w:val="baseline"/>
                <w:lang w:val="en-US" w:eastAsia="zh-CN" w:bidi="ar-SA"/>
              </w:rPr>
              <w:t>175</w:t>
            </w:r>
          </w:p>
        </w:tc>
      </w:tr>
      <w:tr w14:paraId="76922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64" w:type="dxa"/>
            <w:vAlign w:val="center"/>
          </w:tcPr>
          <w:p w14:paraId="0BE017EA">
            <w:pPr>
              <w:spacing w:line="460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0"/>
                <w:highlight w:val="none"/>
                <w:vertAlign w:val="baseline"/>
                <w:lang w:val="en-US" w:eastAsia="zh-CN" w:bidi="ar-SA"/>
              </w:rPr>
              <w:t>楼板垫梁</w:t>
            </w:r>
          </w:p>
        </w:tc>
        <w:tc>
          <w:tcPr>
            <w:tcW w:w="3129" w:type="dxa"/>
          </w:tcPr>
          <w:p w14:paraId="1D5E6DD3">
            <w:pPr>
              <w:spacing w:line="460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0"/>
                <w:highlight w:val="none"/>
                <w:vertAlign w:val="baseline"/>
                <w:lang w:val="en-US" w:eastAsia="zh-CN" w:bidi="ar-SA"/>
              </w:rPr>
              <w:t>2~3(m)</w:t>
            </w:r>
          </w:p>
        </w:tc>
        <w:tc>
          <w:tcPr>
            <w:tcW w:w="1210" w:type="dxa"/>
            <w:vAlign w:val="center"/>
          </w:tcPr>
          <w:p w14:paraId="29BF2298">
            <w:pPr>
              <w:spacing w:line="460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0"/>
                <w:highlight w:val="none"/>
                <w:vertAlign w:val="baseline"/>
                <w:lang w:val="en-US" w:eastAsia="zh-CN" w:bidi="ar-SA"/>
              </w:rPr>
              <w:t>支</w:t>
            </w:r>
          </w:p>
        </w:tc>
        <w:tc>
          <w:tcPr>
            <w:tcW w:w="1555" w:type="dxa"/>
          </w:tcPr>
          <w:p w14:paraId="5CED8489">
            <w:pPr>
              <w:spacing w:line="460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0"/>
                <w:highlight w:val="none"/>
                <w:vertAlign w:val="baseline"/>
                <w:lang w:val="en-US" w:eastAsia="zh-CN" w:bidi="ar-SA"/>
              </w:rPr>
              <w:t>450</w:t>
            </w:r>
          </w:p>
        </w:tc>
      </w:tr>
      <w:tr w14:paraId="2C8E5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64" w:type="dxa"/>
            <w:vMerge w:val="restart"/>
            <w:vAlign w:val="center"/>
          </w:tcPr>
          <w:p w14:paraId="2535017B">
            <w:pPr>
              <w:spacing w:line="460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0"/>
                <w:highlight w:val="none"/>
                <w:vertAlign w:val="baseline"/>
                <w:lang w:val="en-US" w:eastAsia="zh-CN" w:bidi="ar-SA"/>
              </w:rPr>
              <w:t>A型货架</w:t>
            </w:r>
          </w:p>
        </w:tc>
        <w:tc>
          <w:tcPr>
            <w:tcW w:w="3129" w:type="dxa"/>
          </w:tcPr>
          <w:p w14:paraId="0488BAA3">
            <w:pPr>
              <w:spacing w:line="460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0"/>
                <w:highlight w:val="none"/>
                <w:vertAlign w:val="baseline"/>
                <w:lang w:val="en-US" w:eastAsia="zh-CN" w:bidi="ar-SA"/>
              </w:rPr>
              <w:t>6（m）</w:t>
            </w:r>
          </w:p>
        </w:tc>
        <w:tc>
          <w:tcPr>
            <w:tcW w:w="1210" w:type="dxa"/>
            <w:vAlign w:val="center"/>
          </w:tcPr>
          <w:p w14:paraId="3F7794F7">
            <w:pPr>
              <w:spacing w:line="460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0"/>
                <w:highlight w:val="none"/>
                <w:vertAlign w:val="baseline"/>
                <w:lang w:val="en-US" w:eastAsia="zh-CN" w:bidi="ar-SA"/>
              </w:rPr>
              <w:t>个</w:t>
            </w:r>
          </w:p>
        </w:tc>
        <w:tc>
          <w:tcPr>
            <w:tcW w:w="1555" w:type="dxa"/>
          </w:tcPr>
          <w:p w14:paraId="1548FE48">
            <w:pPr>
              <w:spacing w:line="460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0"/>
                <w:highlight w:val="none"/>
                <w:vertAlign w:val="baseline"/>
                <w:lang w:val="en-US" w:eastAsia="zh-CN" w:bidi="ar-SA"/>
              </w:rPr>
              <w:t>8000</w:t>
            </w:r>
          </w:p>
        </w:tc>
      </w:tr>
      <w:tr w14:paraId="2B16A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64" w:type="dxa"/>
            <w:vMerge w:val="continue"/>
            <w:vAlign w:val="center"/>
          </w:tcPr>
          <w:p w14:paraId="660CC347"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0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129" w:type="dxa"/>
          </w:tcPr>
          <w:p w14:paraId="5F883E54">
            <w:pPr>
              <w:spacing w:line="460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0"/>
                <w:highlight w:val="none"/>
                <w:vertAlign w:val="baseline"/>
                <w:lang w:val="en-US" w:eastAsia="zh-CN" w:bidi="ar-SA"/>
              </w:rPr>
              <w:t>3（m）</w:t>
            </w:r>
          </w:p>
        </w:tc>
        <w:tc>
          <w:tcPr>
            <w:tcW w:w="1210" w:type="dxa"/>
            <w:vAlign w:val="center"/>
          </w:tcPr>
          <w:p w14:paraId="1F7B4CEE"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0"/>
                <w:highlight w:val="none"/>
                <w:vertAlign w:val="baseline"/>
                <w:lang w:val="en-US" w:eastAsia="zh-CN" w:bidi="ar-SA"/>
              </w:rPr>
              <w:t>个</w:t>
            </w:r>
          </w:p>
        </w:tc>
        <w:tc>
          <w:tcPr>
            <w:tcW w:w="1555" w:type="dxa"/>
          </w:tcPr>
          <w:p w14:paraId="4167E6C9">
            <w:pPr>
              <w:spacing w:line="460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0"/>
                <w:highlight w:val="none"/>
                <w:vertAlign w:val="baseline"/>
                <w:lang w:val="en-US" w:eastAsia="zh-CN" w:bidi="ar-SA"/>
              </w:rPr>
              <w:t>4000</w:t>
            </w:r>
          </w:p>
        </w:tc>
      </w:tr>
      <w:tr w14:paraId="7418D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64" w:type="dxa"/>
            <w:vAlign w:val="center"/>
          </w:tcPr>
          <w:p w14:paraId="2493D820">
            <w:pPr>
              <w:spacing w:line="460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0"/>
                <w:highlight w:val="none"/>
                <w:vertAlign w:val="baseline"/>
                <w:lang w:val="en-US" w:eastAsia="zh-CN" w:bidi="ar-SA"/>
              </w:rPr>
              <w:t>井字架</w:t>
            </w:r>
          </w:p>
        </w:tc>
        <w:tc>
          <w:tcPr>
            <w:tcW w:w="3129" w:type="dxa"/>
          </w:tcPr>
          <w:p w14:paraId="44AF4681">
            <w:pPr>
              <w:spacing w:line="460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0"/>
                <w:highlight w:val="none"/>
                <w:vertAlign w:val="baseline"/>
                <w:lang w:val="en-US" w:eastAsia="zh-CN" w:bidi="ar-SA"/>
              </w:rPr>
              <w:t>6*3(m)</w:t>
            </w:r>
          </w:p>
        </w:tc>
        <w:tc>
          <w:tcPr>
            <w:tcW w:w="1210" w:type="dxa"/>
            <w:vAlign w:val="center"/>
          </w:tcPr>
          <w:p w14:paraId="604C111A">
            <w:pPr>
              <w:spacing w:line="460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0"/>
                <w:highlight w:val="none"/>
                <w:vertAlign w:val="baseline"/>
                <w:lang w:val="en-US" w:eastAsia="zh-CN" w:bidi="ar-SA"/>
              </w:rPr>
              <w:t>个</w:t>
            </w:r>
          </w:p>
        </w:tc>
        <w:tc>
          <w:tcPr>
            <w:tcW w:w="1555" w:type="dxa"/>
          </w:tcPr>
          <w:p w14:paraId="6232A905">
            <w:pPr>
              <w:spacing w:line="460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0"/>
                <w:highlight w:val="none"/>
                <w:vertAlign w:val="baseline"/>
                <w:lang w:val="en-US" w:eastAsia="zh-CN" w:bidi="ar-SA"/>
              </w:rPr>
              <w:t>4500</w:t>
            </w:r>
          </w:p>
        </w:tc>
      </w:tr>
      <w:tr w14:paraId="2294C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64" w:type="dxa"/>
            <w:vAlign w:val="center"/>
          </w:tcPr>
          <w:p w14:paraId="40F4D555">
            <w:pPr>
              <w:spacing w:line="460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0"/>
                <w:highlight w:val="none"/>
                <w:vertAlign w:val="baseline"/>
                <w:lang w:val="en-US" w:eastAsia="zh-CN" w:bidi="ar-SA"/>
              </w:rPr>
              <w:t>空调板货架</w:t>
            </w:r>
          </w:p>
        </w:tc>
        <w:tc>
          <w:tcPr>
            <w:tcW w:w="3129" w:type="dxa"/>
          </w:tcPr>
          <w:p w14:paraId="2CB5150C">
            <w:pPr>
              <w:spacing w:line="460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0"/>
                <w:highlight w:val="none"/>
                <w:vertAlign w:val="baseline"/>
                <w:lang w:val="en-US" w:eastAsia="zh-CN" w:bidi="ar-SA"/>
              </w:rPr>
              <w:t>40*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0"/>
                <w:highlight w:val="none"/>
                <w:vertAlign w:val="baseline"/>
                <w:lang w:val="en-US" w:eastAsia="zh-CN" w:bidi="ar-SA"/>
              </w:rPr>
              <w:t>40*</w:t>
            </w:r>
            <w:r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0"/>
                <w:highlight w:val="none"/>
                <w:vertAlign w:val="baseline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0"/>
                <w:highlight w:val="none"/>
                <w:vertAlign w:val="baseline"/>
                <w:lang w:val="en-US" w:eastAsia="zh-CN" w:bidi="ar-SA"/>
              </w:rPr>
              <w:t>(mm)方管</w:t>
            </w:r>
          </w:p>
        </w:tc>
        <w:tc>
          <w:tcPr>
            <w:tcW w:w="1210" w:type="dxa"/>
            <w:vAlign w:val="center"/>
          </w:tcPr>
          <w:p w14:paraId="73443907">
            <w:pPr>
              <w:spacing w:line="460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0"/>
                <w:highlight w:val="none"/>
                <w:vertAlign w:val="baseline"/>
                <w:lang w:val="en-US" w:eastAsia="zh-CN" w:bidi="ar-SA"/>
              </w:rPr>
              <w:t>个</w:t>
            </w:r>
          </w:p>
        </w:tc>
        <w:tc>
          <w:tcPr>
            <w:tcW w:w="1555" w:type="dxa"/>
          </w:tcPr>
          <w:p w14:paraId="18D07269">
            <w:pPr>
              <w:spacing w:line="460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0"/>
                <w:highlight w:val="none"/>
                <w:vertAlign w:val="baseline"/>
                <w:lang w:val="en-US" w:eastAsia="zh-CN" w:bidi="ar-SA"/>
              </w:rPr>
              <w:t>500</w:t>
            </w:r>
          </w:p>
        </w:tc>
      </w:tr>
    </w:tbl>
    <w:p w14:paraId="0D8E6D41">
      <w:pPr>
        <w:spacing w:line="460" w:lineRule="exact"/>
        <w:ind w:firstLine="0" w:firstLineChars="0"/>
        <w:rPr>
          <w:rFonts w:hint="default" w:ascii="仿宋" w:hAnsi="仿宋" w:eastAsia="仿宋" w:cs="仿宋"/>
          <w:color w:val="auto"/>
          <w:kern w:val="2"/>
          <w:sz w:val="24"/>
          <w:szCs w:val="20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0"/>
          <w:highlight w:val="none"/>
          <w:lang w:val="en-US" w:eastAsia="zh-CN" w:bidi="ar-SA"/>
        </w:rPr>
        <w:t>说明：价格依甲方采购成本综合均价确定；若有新增物料，另按甲方采购成本价确定。</w:t>
      </w:r>
    </w:p>
    <w:p w14:paraId="6AD6FB28">
      <w:pPr>
        <w:spacing w:line="440" w:lineRule="exact"/>
        <w:jc w:val="left"/>
        <w:rPr>
          <w:rFonts w:hint="eastAsia" w:ascii="仿宋" w:hAnsi="仿宋" w:eastAsia="仿宋" w:cs="仿宋"/>
          <w:color w:val="auto"/>
          <w:sz w:val="24"/>
          <w:highlight w:val="none"/>
        </w:rPr>
      </w:pPr>
    </w:p>
    <w:p w14:paraId="0EF5D3E0">
      <w:pPr>
        <w:spacing w:line="460" w:lineRule="exact"/>
        <w:ind w:firstLine="480" w:firstLineChars="200"/>
        <w:rPr>
          <w:rFonts w:hint="default" w:ascii="仿宋" w:hAnsi="仿宋" w:eastAsia="仿宋" w:cs="仿宋"/>
          <w:color w:val="auto"/>
          <w:kern w:val="2"/>
          <w:sz w:val="24"/>
          <w:szCs w:val="20"/>
          <w:highlight w:val="none"/>
          <w:lang w:val="en-US" w:eastAsia="zh-CN" w:bidi="ar-S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7FC0F8">
    <w:pPr>
      <w:pStyle w:val="4"/>
      <w:jc w:val="both"/>
    </w:pPr>
    <w:r>
      <w:rPr>
        <w:rFonts w:hint="eastAsia"/>
      </w:rPr>
      <w:t>湖北宝业建筑工业化有限公司                                              物流运输招标文件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1F9278"/>
    <w:multiLevelType w:val="singleLevel"/>
    <w:tmpl w:val="811F9278"/>
    <w:lvl w:ilvl="0" w:tentative="0">
      <w:start w:val="1"/>
      <w:numFmt w:val="decimal"/>
      <w:suff w:val="nothing"/>
      <w:lvlText w:val="%1、"/>
      <w:lvlJc w:val="left"/>
      <w:pPr>
        <w:ind w:left="400" w:leftChars="0" w:firstLine="0" w:firstLineChars="0"/>
      </w:pPr>
    </w:lvl>
  </w:abstractNum>
  <w:abstractNum w:abstractNumId="1">
    <w:nsid w:val="9D6BD36B"/>
    <w:multiLevelType w:val="singleLevel"/>
    <w:tmpl w:val="9D6BD36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0000000"/>
    <w:multiLevelType w:val="singleLevel"/>
    <w:tmpl w:val="00000000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00000002"/>
    <w:multiLevelType w:val="singleLevel"/>
    <w:tmpl w:val="00000002"/>
    <w:lvl w:ilvl="0" w:tentative="0">
      <w:start w:val="1"/>
      <w:numFmt w:val="decimal"/>
      <w:suff w:val="nothing"/>
      <w:lvlText w:val="（%1）"/>
      <w:lvlJc w:val="left"/>
      <w:pPr>
        <w:ind w:left="420"/>
      </w:pPr>
    </w:lvl>
  </w:abstractNum>
  <w:abstractNum w:abstractNumId="4">
    <w:nsid w:val="00000003"/>
    <w:multiLevelType w:val="singleLevel"/>
    <w:tmpl w:val="00000003"/>
    <w:lvl w:ilvl="0" w:tentative="0">
      <w:start w:val="2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lYTg1ODY5YjRkOWNlOTFhNTI3MTdmN2FjMmM3ODQifQ=="/>
  </w:docVars>
  <w:rsids>
    <w:rsidRoot w:val="00AA5163"/>
    <w:rsid w:val="00024600"/>
    <w:rsid w:val="00034EB1"/>
    <w:rsid w:val="0015684E"/>
    <w:rsid w:val="001B149D"/>
    <w:rsid w:val="001C5986"/>
    <w:rsid w:val="001E28A7"/>
    <w:rsid w:val="00220D24"/>
    <w:rsid w:val="002B4C31"/>
    <w:rsid w:val="003C261B"/>
    <w:rsid w:val="003D7255"/>
    <w:rsid w:val="003F1CBC"/>
    <w:rsid w:val="00401F67"/>
    <w:rsid w:val="00436406"/>
    <w:rsid w:val="00460625"/>
    <w:rsid w:val="00496E8A"/>
    <w:rsid w:val="004A16F0"/>
    <w:rsid w:val="004A18CF"/>
    <w:rsid w:val="00512FF9"/>
    <w:rsid w:val="0052582D"/>
    <w:rsid w:val="00530CD9"/>
    <w:rsid w:val="005D5B3A"/>
    <w:rsid w:val="005E752C"/>
    <w:rsid w:val="00607B42"/>
    <w:rsid w:val="00612273"/>
    <w:rsid w:val="00654747"/>
    <w:rsid w:val="006959DF"/>
    <w:rsid w:val="00696CA1"/>
    <w:rsid w:val="006A4C6A"/>
    <w:rsid w:val="00703BE1"/>
    <w:rsid w:val="007375DD"/>
    <w:rsid w:val="007B522C"/>
    <w:rsid w:val="007F047E"/>
    <w:rsid w:val="008A5FD5"/>
    <w:rsid w:val="008F1BC5"/>
    <w:rsid w:val="00937F0D"/>
    <w:rsid w:val="00953F46"/>
    <w:rsid w:val="009577DD"/>
    <w:rsid w:val="009710ED"/>
    <w:rsid w:val="009A26EC"/>
    <w:rsid w:val="00A2714F"/>
    <w:rsid w:val="00A402E5"/>
    <w:rsid w:val="00AA5163"/>
    <w:rsid w:val="00AD1B3C"/>
    <w:rsid w:val="00BB1A4A"/>
    <w:rsid w:val="00C42966"/>
    <w:rsid w:val="00CE623C"/>
    <w:rsid w:val="00CF0AFF"/>
    <w:rsid w:val="00D033FD"/>
    <w:rsid w:val="00D4267D"/>
    <w:rsid w:val="00D539C8"/>
    <w:rsid w:val="00D7205E"/>
    <w:rsid w:val="00DB477C"/>
    <w:rsid w:val="00E9759C"/>
    <w:rsid w:val="00EF2EF3"/>
    <w:rsid w:val="00EF67D2"/>
    <w:rsid w:val="00F31F18"/>
    <w:rsid w:val="00F708C5"/>
    <w:rsid w:val="00F805ED"/>
    <w:rsid w:val="06FE0271"/>
    <w:rsid w:val="0AB37C41"/>
    <w:rsid w:val="0B494101"/>
    <w:rsid w:val="0CBA4183"/>
    <w:rsid w:val="0E39045D"/>
    <w:rsid w:val="10E91004"/>
    <w:rsid w:val="11C72224"/>
    <w:rsid w:val="12110F38"/>
    <w:rsid w:val="12477EAE"/>
    <w:rsid w:val="131F2B77"/>
    <w:rsid w:val="1323348A"/>
    <w:rsid w:val="15B6786E"/>
    <w:rsid w:val="1671206D"/>
    <w:rsid w:val="16A448E1"/>
    <w:rsid w:val="16CB5434"/>
    <w:rsid w:val="17462603"/>
    <w:rsid w:val="18843DFD"/>
    <w:rsid w:val="1A604FC3"/>
    <w:rsid w:val="1AE90FE3"/>
    <w:rsid w:val="1C341785"/>
    <w:rsid w:val="1D507487"/>
    <w:rsid w:val="1D556AB9"/>
    <w:rsid w:val="1DC8454A"/>
    <w:rsid w:val="209D2ACD"/>
    <w:rsid w:val="240D7865"/>
    <w:rsid w:val="26031625"/>
    <w:rsid w:val="275B7E0D"/>
    <w:rsid w:val="27DE30E7"/>
    <w:rsid w:val="27F70FC1"/>
    <w:rsid w:val="288608DB"/>
    <w:rsid w:val="2B21066B"/>
    <w:rsid w:val="2C503306"/>
    <w:rsid w:val="2D3A16A4"/>
    <w:rsid w:val="2D9214E0"/>
    <w:rsid w:val="2EE3479A"/>
    <w:rsid w:val="31A27D7D"/>
    <w:rsid w:val="32074725"/>
    <w:rsid w:val="331223A7"/>
    <w:rsid w:val="35BC5EEC"/>
    <w:rsid w:val="39CE59B7"/>
    <w:rsid w:val="39D5099D"/>
    <w:rsid w:val="3D083714"/>
    <w:rsid w:val="3F3348D1"/>
    <w:rsid w:val="40571D46"/>
    <w:rsid w:val="467E2113"/>
    <w:rsid w:val="468D5B1D"/>
    <w:rsid w:val="47C23FEC"/>
    <w:rsid w:val="4AAC23E0"/>
    <w:rsid w:val="4B942FFC"/>
    <w:rsid w:val="4C1956B5"/>
    <w:rsid w:val="4E712B6D"/>
    <w:rsid w:val="509E74D9"/>
    <w:rsid w:val="51647530"/>
    <w:rsid w:val="528E3ED0"/>
    <w:rsid w:val="55DB3175"/>
    <w:rsid w:val="5628794D"/>
    <w:rsid w:val="57303F2B"/>
    <w:rsid w:val="5745675C"/>
    <w:rsid w:val="58164938"/>
    <w:rsid w:val="59460B49"/>
    <w:rsid w:val="5AE5266A"/>
    <w:rsid w:val="5BEA70E0"/>
    <w:rsid w:val="5D6323E7"/>
    <w:rsid w:val="5DA15C59"/>
    <w:rsid w:val="5E361890"/>
    <w:rsid w:val="5EB700BB"/>
    <w:rsid w:val="5F1576F7"/>
    <w:rsid w:val="616C4E97"/>
    <w:rsid w:val="622973D5"/>
    <w:rsid w:val="62FF663C"/>
    <w:rsid w:val="644F6066"/>
    <w:rsid w:val="6470625D"/>
    <w:rsid w:val="66606578"/>
    <w:rsid w:val="68921CE2"/>
    <w:rsid w:val="68F50A27"/>
    <w:rsid w:val="698A340D"/>
    <w:rsid w:val="6A6E4160"/>
    <w:rsid w:val="6B961BC0"/>
    <w:rsid w:val="6DDC40AA"/>
    <w:rsid w:val="6F356157"/>
    <w:rsid w:val="6F3F1A71"/>
    <w:rsid w:val="70BA2F2E"/>
    <w:rsid w:val="713D4025"/>
    <w:rsid w:val="739C5797"/>
    <w:rsid w:val="758B49CC"/>
    <w:rsid w:val="75A456E8"/>
    <w:rsid w:val="7757075A"/>
    <w:rsid w:val="77974CF6"/>
    <w:rsid w:val="7900561B"/>
    <w:rsid w:val="796E115E"/>
    <w:rsid w:val="79AD1475"/>
    <w:rsid w:val="7CB6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ascii="Times New Roman" w:hAnsi="Times New Roman" w:eastAsia="宋体" w:cs="Times New Roman"/>
      <w:kern w:val="0"/>
      <w:sz w:val="24"/>
      <w:szCs w:val="20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font4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  <w:style w:type="character" w:customStyle="1" w:styleId="14">
    <w:name w:val="font1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15</Pages>
  <Words>7580</Words>
  <Characters>8097</Characters>
  <Lines>16</Lines>
  <Paragraphs>4</Paragraphs>
  <TotalTime>122</TotalTime>
  <ScaleCrop>false</ScaleCrop>
  <LinksUpToDate>false</LinksUpToDate>
  <CharactersWithSpaces>8459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2019-11-27T04:28:00Z</dcterms:created>
  <dc:creator>PC</dc:creator>
  <cp:lastModifiedBy>刘蓉</cp:lastModifiedBy>
  <dcterms:modified xsi:type="dcterms:W3CDTF">2025-06-05T00:28:02Z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AD45991E912F44EA834A1A2851676218_13</vt:lpwstr>
  </property>
  <property fmtid="{D5CDD505-2E9C-101B-9397-08002B2CF9AE}" pid="4" name="KSOTemplateDocerSaveRecord">
    <vt:lpwstr>eyJoZGlkIjoiZGM5Mjc3NTQ5N2YxNTE1NmQ5ZjgyZWMzMjA4ODYzYmQiLCJ1c2VySWQiOiI1MTc3MTIyMDcifQ==</vt:lpwstr>
  </property>
</Properties>
</file>