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6EC57">
      <w:pPr>
        <w:tabs>
          <w:tab w:val="left" w:pos="1710"/>
        </w:tabs>
        <w:rPr>
          <w:rFonts w:hint="eastAsia" w:eastAsia="宋体"/>
          <w:color w:val="auto"/>
          <w:highlight w:val="none"/>
          <w:lang w:eastAsia="zh-CN"/>
        </w:rPr>
      </w:pPr>
    </w:p>
    <w:p w14:paraId="2E63B8BE">
      <w:pPr>
        <w:tabs>
          <w:tab w:val="left" w:pos="1710"/>
        </w:tabs>
        <w:rPr>
          <w:color w:val="auto"/>
          <w:highlight w:val="none"/>
        </w:rPr>
      </w:pPr>
    </w:p>
    <w:p w14:paraId="3731FD15">
      <w:pPr>
        <w:tabs>
          <w:tab w:val="left" w:pos="1710"/>
        </w:tabs>
        <w:rPr>
          <w:color w:val="auto"/>
          <w:highlight w:val="none"/>
        </w:rPr>
      </w:pPr>
    </w:p>
    <w:p w14:paraId="0F50EFE5">
      <w:pPr>
        <w:tabs>
          <w:tab w:val="left" w:pos="1710"/>
        </w:tabs>
        <w:rPr>
          <w:color w:val="auto"/>
          <w:highlight w:val="none"/>
        </w:rPr>
      </w:pPr>
    </w:p>
    <w:p w14:paraId="055E00C1">
      <w:pPr>
        <w:tabs>
          <w:tab w:val="left" w:pos="1710"/>
        </w:tabs>
        <w:rPr>
          <w:color w:val="auto"/>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6931"/>
      </w:tblGrid>
      <w:tr w14:paraId="07FB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652" w:type="dxa"/>
            <w:gridSpan w:val="2"/>
            <w:tcBorders>
              <w:top w:val="nil"/>
              <w:left w:val="nil"/>
              <w:right w:val="nil"/>
            </w:tcBorders>
          </w:tcPr>
          <w:p w14:paraId="7545201C">
            <w:pPr>
              <w:ind w:firstLine="539"/>
              <w:jc w:val="center"/>
              <w:rPr>
                <w:rFonts w:ascii="仿宋" w:hAnsi="仿宋" w:eastAsia="仿宋" w:cs="仿宋"/>
                <w:color w:val="auto"/>
                <w:sz w:val="80"/>
                <w:szCs w:val="80"/>
                <w:highlight w:val="none"/>
              </w:rPr>
            </w:pPr>
            <w:r>
              <w:rPr>
                <w:rFonts w:hint="eastAsia" w:ascii="仿宋" w:hAnsi="仿宋" w:eastAsia="仿宋" w:cs="仿宋"/>
                <w:color w:val="auto"/>
                <w:sz w:val="80"/>
                <w:szCs w:val="80"/>
                <w:highlight w:val="none"/>
                <w:lang w:val="en-US" w:eastAsia="zh-CN"/>
              </w:rPr>
              <w:t>服务</w:t>
            </w:r>
            <w:r>
              <w:rPr>
                <w:rFonts w:hint="eastAsia" w:ascii="仿宋" w:hAnsi="仿宋" w:eastAsia="仿宋" w:cs="仿宋"/>
                <w:color w:val="auto"/>
                <w:sz w:val="80"/>
                <w:szCs w:val="80"/>
                <w:highlight w:val="none"/>
              </w:rPr>
              <w:t>采购</w:t>
            </w:r>
          </w:p>
          <w:p w14:paraId="253A4B14">
            <w:pPr>
              <w:snapToGrid w:val="0"/>
              <w:spacing w:line="240" w:lineRule="atLeast"/>
              <w:jc w:val="center"/>
              <w:rPr>
                <w:rFonts w:hint="eastAsia" w:ascii="仿宋" w:hAnsi="仿宋" w:eastAsia="仿宋" w:cs="仿宋"/>
                <w:color w:val="auto"/>
                <w:sz w:val="80"/>
                <w:szCs w:val="80"/>
                <w:highlight w:val="none"/>
              </w:rPr>
            </w:pPr>
            <w:r>
              <w:rPr>
                <w:rFonts w:hint="eastAsia" w:ascii="仿宋" w:hAnsi="仿宋" w:eastAsia="仿宋" w:cs="仿宋"/>
                <w:color w:val="auto"/>
                <w:sz w:val="80"/>
                <w:szCs w:val="80"/>
                <w:highlight w:val="none"/>
              </w:rPr>
              <w:t>竞争性谈判文件</w:t>
            </w:r>
          </w:p>
          <w:p w14:paraId="6AE6632E">
            <w:pPr>
              <w:snapToGrid w:val="0"/>
              <w:spacing w:line="240" w:lineRule="atLeast"/>
              <w:jc w:val="center"/>
              <w:rPr>
                <w:b/>
                <w:color w:val="auto"/>
                <w:sz w:val="60"/>
                <w:szCs w:val="60"/>
                <w:highlight w:val="none"/>
              </w:rPr>
            </w:pPr>
          </w:p>
        </w:tc>
      </w:tr>
      <w:tr w14:paraId="6F43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exact"/>
          <w:jc w:val="center"/>
        </w:trPr>
        <w:tc>
          <w:tcPr>
            <w:tcW w:w="1721" w:type="dxa"/>
            <w:vAlign w:val="center"/>
          </w:tcPr>
          <w:p w14:paraId="07EDCBD1">
            <w:pPr>
              <w:rPr>
                <w:b/>
                <w:color w:val="auto"/>
                <w:sz w:val="32"/>
                <w:szCs w:val="32"/>
                <w:highlight w:val="none"/>
              </w:rPr>
            </w:pPr>
            <w:r>
              <w:rPr>
                <w:b/>
                <w:color w:val="auto"/>
                <w:sz w:val="32"/>
                <w:szCs w:val="32"/>
                <w:highlight w:val="none"/>
              </w:rPr>
              <w:t>项目名称：</w:t>
            </w:r>
          </w:p>
        </w:tc>
        <w:tc>
          <w:tcPr>
            <w:tcW w:w="6931" w:type="dxa"/>
            <w:vAlign w:val="center"/>
          </w:tcPr>
          <w:p w14:paraId="72B6BB8B">
            <w:pPr>
              <w:rPr>
                <w:rFonts w:hint="eastAsia" w:eastAsia="宋体"/>
                <w:b/>
                <w:color w:val="auto"/>
                <w:sz w:val="32"/>
                <w:szCs w:val="32"/>
                <w:highlight w:val="none"/>
                <w:lang w:eastAsia="zh-CN"/>
              </w:rPr>
            </w:pPr>
            <w:r>
              <w:rPr>
                <w:rFonts w:hint="eastAsia"/>
                <w:b/>
                <w:color w:val="auto"/>
                <w:sz w:val="32"/>
                <w:szCs w:val="32"/>
                <w:highlight w:val="none"/>
                <w:lang w:eastAsia="zh-CN"/>
              </w:rPr>
              <w:t>瑞昌市盛盈贸易有限公司运输服务采购</w:t>
            </w:r>
          </w:p>
        </w:tc>
      </w:tr>
      <w:tr w14:paraId="4C44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jc w:val="center"/>
        </w:trPr>
        <w:tc>
          <w:tcPr>
            <w:tcW w:w="1721" w:type="dxa"/>
            <w:vAlign w:val="center"/>
          </w:tcPr>
          <w:p w14:paraId="058F15AD">
            <w:pPr>
              <w:rPr>
                <w:b/>
                <w:color w:val="auto"/>
                <w:sz w:val="32"/>
                <w:szCs w:val="32"/>
                <w:highlight w:val="none"/>
              </w:rPr>
            </w:pPr>
            <w:r>
              <w:rPr>
                <w:b/>
                <w:color w:val="auto"/>
                <w:sz w:val="32"/>
                <w:szCs w:val="32"/>
                <w:highlight w:val="none"/>
              </w:rPr>
              <w:t>项目编号：</w:t>
            </w:r>
          </w:p>
        </w:tc>
        <w:tc>
          <w:tcPr>
            <w:tcW w:w="6931" w:type="dxa"/>
            <w:vAlign w:val="center"/>
          </w:tcPr>
          <w:p w14:paraId="54322F1B">
            <w:pPr>
              <w:rPr>
                <w:rFonts w:hint="eastAsia" w:eastAsia="宋体"/>
                <w:b/>
                <w:color w:val="auto"/>
                <w:sz w:val="32"/>
                <w:szCs w:val="32"/>
                <w:highlight w:val="none"/>
                <w:lang w:eastAsia="zh-CN"/>
              </w:rPr>
            </w:pPr>
            <w:r>
              <w:rPr>
                <w:rFonts w:hint="eastAsia"/>
                <w:b/>
                <w:color w:val="0000FF"/>
                <w:sz w:val="32"/>
                <w:szCs w:val="32"/>
                <w:highlight w:val="none"/>
                <w:lang w:eastAsia="zh-CN"/>
              </w:rPr>
              <w:t>城招202506-YF01</w:t>
            </w:r>
          </w:p>
        </w:tc>
      </w:tr>
      <w:tr w14:paraId="2A2C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1721" w:type="dxa"/>
            <w:vAlign w:val="center"/>
          </w:tcPr>
          <w:p w14:paraId="6A9F3865">
            <w:pPr>
              <w:rPr>
                <w:b/>
                <w:color w:val="auto"/>
                <w:sz w:val="32"/>
                <w:szCs w:val="32"/>
                <w:highlight w:val="none"/>
              </w:rPr>
            </w:pPr>
            <w:r>
              <w:rPr>
                <w:b/>
                <w:color w:val="auto"/>
                <w:sz w:val="32"/>
                <w:szCs w:val="32"/>
                <w:highlight w:val="none"/>
              </w:rPr>
              <w:t>联系电话：</w:t>
            </w:r>
          </w:p>
        </w:tc>
        <w:tc>
          <w:tcPr>
            <w:tcW w:w="6931" w:type="dxa"/>
            <w:vAlign w:val="center"/>
          </w:tcPr>
          <w:p w14:paraId="25FE6CEA">
            <w:pPr>
              <w:rPr>
                <w:rFonts w:hint="default" w:eastAsia="宋体"/>
                <w:b/>
                <w:color w:val="auto"/>
                <w:sz w:val="32"/>
                <w:szCs w:val="32"/>
                <w:highlight w:val="none"/>
                <w:lang w:val="en-US" w:eastAsia="zh-CN"/>
              </w:rPr>
            </w:pPr>
            <w:r>
              <w:rPr>
                <w:rFonts w:hint="eastAsia"/>
                <w:b/>
                <w:color w:val="auto"/>
                <w:sz w:val="32"/>
                <w:szCs w:val="32"/>
                <w:highlight w:val="none"/>
              </w:rPr>
              <w:t xml:space="preserve"> </w:t>
            </w:r>
            <w:r>
              <w:rPr>
                <w:rFonts w:hint="eastAsia"/>
                <w:b/>
                <w:color w:val="auto"/>
                <w:sz w:val="32"/>
                <w:szCs w:val="32"/>
                <w:highlight w:val="none"/>
                <w:lang w:val="en-US" w:eastAsia="zh-CN"/>
              </w:rPr>
              <w:t>0792-4221819</w:t>
            </w:r>
          </w:p>
        </w:tc>
      </w:tr>
    </w:tbl>
    <w:p w14:paraId="0DB8BBA4">
      <w:pPr>
        <w:tabs>
          <w:tab w:val="left" w:pos="1710"/>
        </w:tabs>
        <w:rPr>
          <w:color w:val="auto"/>
          <w:highlight w:val="none"/>
        </w:rPr>
      </w:pPr>
    </w:p>
    <w:p w14:paraId="3EC17FDE">
      <w:pPr>
        <w:rPr>
          <w:color w:val="auto"/>
          <w:highlight w:val="none"/>
        </w:rPr>
      </w:pPr>
    </w:p>
    <w:p w14:paraId="300C8E36">
      <w:pPr>
        <w:rPr>
          <w:color w:val="auto"/>
          <w:highlight w:val="none"/>
        </w:rPr>
      </w:pPr>
    </w:p>
    <w:p w14:paraId="13057184">
      <w:pPr>
        <w:rPr>
          <w:color w:val="auto"/>
          <w:highlight w:val="none"/>
        </w:rPr>
      </w:pPr>
    </w:p>
    <w:p w14:paraId="7BAF2C23">
      <w:pPr>
        <w:rPr>
          <w:color w:val="auto"/>
          <w:highlight w:val="none"/>
        </w:rPr>
      </w:pPr>
    </w:p>
    <w:p w14:paraId="2C3D79E5">
      <w:pPr>
        <w:rPr>
          <w:color w:val="auto"/>
          <w:highlight w:val="none"/>
        </w:rPr>
      </w:pPr>
    </w:p>
    <w:p w14:paraId="4FD6B30D">
      <w:pPr>
        <w:rPr>
          <w:color w:val="auto"/>
          <w:highlight w:val="none"/>
        </w:rPr>
      </w:pPr>
    </w:p>
    <w:p w14:paraId="36194D17">
      <w:pPr>
        <w:rPr>
          <w:color w:val="auto"/>
          <w:highlight w:val="none"/>
        </w:rPr>
      </w:pPr>
    </w:p>
    <w:p w14:paraId="6545A196">
      <w:pPr>
        <w:rPr>
          <w:color w:val="auto"/>
          <w:highlight w:val="none"/>
        </w:rPr>
      </w:pPr>
    </w:p>
    <w:p w14:paraId="43E3AA3C">
      <w:pPr>
        <w:rPr>
          <w:color w:val="auto"/>
          <w:highlight w:val="none"/>
        </w:rPr>
      </w:pPr>
    </w:p>
    <w:p w14:paraId="4E557B0F">
      <w:pPr>
        <w:rPr>
          <w:color w:val="auto"/>
          <w:highlight w:val="none"/>
        </w:rPr>
      </w:pPr>
    </w:p>
    <w:p w14:paraId="74A1CD0E">
      <w:pPr>
        <w:pStyle w:val="17"/>
        <w:rPr>
          <w:color w:val="auto"/>
          <w:highlight w:val="none"/>
        </w:rPr>
      </w:pPr>
    </w:p>
    <w:p w14:paraId="24AC2916">
      <w:pPr>
        <w:rPr>
          <w:color w:val="auto"/>
          <w:highlight w:val="none"/>
        </w:rPr>
      </w:pPr>
    </w:p>
    <w:p w14:paraId="3151EC59">
      <w:pPr>
        <w:pStyle w:val="17"/>
        <w:rPr>
          <w:color w:val="auto"/>
          <w:highlight w:val="none"/>
        </w:rPr>
      </w:pPr>
    </w:p>
    <w:p w14:paraId="17451EA9">
      <w:pPr>
        <w:rPr>
          <w:color w:val="auto"/>
          <w:highlight w:val="none"/>
        </w:rPr>
      </w:pPr>
    </w:p>
    <w:p w14:paraId="19302438">
      <w:pPr>
        <w:rPr>
          <w:color w:val="auto"/>
          <w:highlight w:val="none"/>
        </w:rPr>
      </w:pPr>
    </w:p>
    <w:p w14:paraId="39EE3A13">
      <w:pPr>
        <w:rPr>
          <w:color w:val="auto"/>
          <w:highlight w:val="none"/>
        </w:rPr>
      </w:pPr>
    </w:p>
    <w:tbl>
      <w:tblPr>
        <w:tblStyle w:val="26"/>
        <w:tblW w:w="0" w:type="auto"/>
        <w:jc w:val="center"/>
        <w:tblLayout w:type="fixed"/>
        <w:tblCellMar>
          <w:top w:w="0" w:type="dxa"/>
          <w:left w:w="108" w:type="dxa"/>
          <w:bottom w:w="0" w:type="dxa"/>
          <w:right w:w="108" w:type="dxa"/>
        </w:tblCellMar>
      </w:tblPr>
      <w:tblGrid>
        <w:gridCol w:w="2707"/>
        <w:gridCol w:w="6"/>
        <w:gridCol w:w="5571"/>
      </w:tblGrid>
      <w:tr w14:paraId="41BBD44C">
        <w:tblPrEx>
          <w:tblCellMar>
            <w:top w:w="0" w:type="dxa"/>
            <w:left w:w="108" w:type="dxa"/>
            <w:bottom w:w="0" w:type="dxa"/>
            <w:right w:w="108" w:type="dxa"/>
          </w:tblCellMar>
        </w:tblPrEx>
        <w:trPr>
          <w:trHeight w:val="703" w:hRule="atLeast"/>
          <w:jc w:val="center"/>
        </w:trPr>
        <w:tc>
          <w:tcPr>
            <w:tcW w:w="2707" w:type="dxa"/>
            <w:vAlign w:val="center"/>
          </w:tcPr>
          <w:p w14:paraId="61B31B9E">
            <w:pPr>
              <w:autoSpaceDE w:val="0"/>
              <w:autoSpaceDN w:val="0"/>
              <w:adjustRightInd w:val="0"/>
              <w:jc w:val="right"/>
              <w:rPr>
                <w:b/>
                <w:color w:val="auto"/>
                <w:sz w:val="32"/>
                <w:szCs w:val="32"/>
                <w:highlight w:val="none"/>
              </w:rPr>
            </w:pPr>
            <w:r>
              <w:rPr>
                <w:b/>
                <w:color w:val="auto"/>
                <w:sz w:val="32"/>
                <w:szCs w:val="32"/>
                <w:highlight w:val="none"/>
              </w:rPr>
              <w:t xml:space="preserve">  采购人：</w:t>
            </w:r>
          </w:p>
        </w:tc>
        <w:tc>
          <w:tcPr>
            <w:tcW w:w="5577" w:type="dxa"/>
            <w:gridSpan w:val="2"/>
            <w:vAlign w:val="center"/>
          </w:tcPr>
          <w:p w14:paraId="79834980">
            <w:pPr>
              <w:autoSpaceDE w:val="0"/>
              <w:autoSpaceDN w:val="0"/>
              <w:adjustRightInd w:val="0"/>
              <w:jc w:val="left"/>
              <w:rPr>
                <w:rFonts w:hint="eastAsia" w:eastAsia="宋体"/>
                <w:b/>
                <w:color w:val="auto"/>
                <w:sz w:val="32"/>
                <w:szCs w:val="32"/>
                <w:highlight w:val="none"/>
                <w:lang w:eastAsia="zh-CN"/>
              </w:rPr>
            </w:pPr>
            <w:r>
              <w:rPr>
                <w:rFonts w:hint="eastAsia"/>
                <w:b/>
                <w:color w:val="auto"/>
                <w:sz w:val="32"/>
                <w:szCs w:val="32"/>
                <w:highlight w:val="none"/>
              </w:rPr>
              <w:t xml:space="preserve"> </w:t>
            </w:r>
            <w:r>
              <w:rPr>
                <w:rFonts w:hint="eastAsia"/>
                <w:b/>
                <w:color w:val="auto"/>
                <w:sz w:val="32"/>
                <w:szCs w:val="32"/>
                <w:highlight w:val="none"/>
                <w:lang w:eastAsia="zh-CN"/>
              </w:rPr>
              <w:t>瑞昌市盛盈贸易有限公司</w:t>
            </w:r>
          </w:p>
        </w:tc>
      </w:tr>
      <w:tr w14:paraId="62D52EFA">
        <w:tblPrEx>
          <w:tblCellMar>
            <w:top w:w="0" w:type="dxa"/>
            <w:left w:w="108" w:type="dxa"/>
            <w:bottom w:w="0" w:type="dxa"/>
            <w:right w:w="108" w:type="dxa"/>
          </w:tblCellMar>
        </w:tblPrEx>
        <w:trPr>
          <w:trHeight w:val="703" w:hRule="atLeast"/>
          <w:jc w:val="center"/>
        </w:trPr>
        <w:tc>
          <w:tcPr>
            <w:tcW w:w="2707" w:type="dxa"/>
            <w:vAlign w:val="center"/>
          </w:tcPr>
          <w:p w14:paraId="4023C7CF">
            <w:pPr>
              <w:autoSpaceDE w:val="0"/>
              <w:autoSpaceDN w:val="0"/>
              <w:adjustRightInd w:val="0"/>
              <w:jc w:val="right"/>
              <w:rPr>
                <w:b/>
                <w:color w:val="auto"/>
                <w:sz w:val="32"/>
                <w:szCs w:val="32"/>
                <w:highlight w:val="none"/>
              </w:rPr>
            </w:pPr>
            <w:r>
              <w:rPr>
                <w:rFonts w:hint="eastAsia"/>
                <w:b/>
                <w:color w:val="auto"/>
                <w:sz w:val="32"/>
                <w:szCs w:val="32"/>
                <w:highlight w:val="none"/>
                <w:lang w:eastAsia="zh-CN"/>
              </w:rPr>
              <w:t>经办人：</w:t>
            </w:r>
          </w:p>
        </w:tc>
        <w:tc>
          <w:tcPr>
            <w:tcW w:w="5577" w:type="dxa"/>
            <w:gridSpan w:val="2"/>
            <w:vAlign w:val="center"/>
          </w:tcPr>
          <w:p w14:paraId="1FAFC4A6">
            <w:pPr>
              <w:autoSpaceDE w:val="0"/>
              <w:autoSpaceDN w:val="0"/>
              <w:adjustRightInd w:val="0"/>
              <w:jc w:val="left"/>
              <w:rPr>
                <w:rFonts w:hint="eastAsia" w:eastAsia="宋体"/>
                <w:b/>
                <w:color w:val="auto"/>
                <w:sz w:val="32"/>
                <w:szCs w:val="32"/>
                <w:highlight w:val="none"/>
                <w:lang w:eastAsia="zh-CN"/>
              </w:rPr>
            </w:pPr>
            <w:r>
              <w:rPr>
                <w:rFonts w:hint="eastAsia"/>
                <w:b/>
                <w:color w:val="auto"/>
                <w:sz w:val="32"/>
                <w:szCs w:val="32"/>
                <w:highlight w:val="none"/>
              </w:rPr>
              <w:t xml:space="preserve"> </w:t>
            </w:r>
            <w:r>
              <w:rPr>
                <w:rFonts w:hint="eastAsia"/>
                <w:b/>
                <w:color w:val="auto"/>
                <w:sz w:val="32"/>
                <w:szCs w:val="32"/>
                <w:highlight w:val="none"/>
                <w:lang w:eastAsia="zh-CN"/>
              </w:rPr>
              <w:t>陈湦</w:t>
            </w:r>
          </w:p>
        </w:tc>
      </w:tr>
      <w:tr w14:paraId="565B1BCA">
        <w:tblPrEx>
          <w:tblCellMar>
            <w:top w:w="0" w:type="dxa"/>
            <w:left w:w="108" w:type="dxa"/>
            <w:bottom w:w="0" w:type="dxa"/>
            <w:right w:w="108" w:type="dxa"/>
          </w:tblCellMar>
        </w:tblPrEx>
        <w:trPr>
          <w:trHeight w:val="703" w:hRule="atLeast"/>
          <w:jc w:val="center"/>
        </w:trPr>
        <w:tc>
          <w:tcPr>
            <w:tcW w:w="2713" w:type="dxa"/>
            <w:gridSpan w:val="2"/>
          </w:tcPr>
          <w:p w14:paraId="44C855F4">
            <w:pPr>
              <w:autoSpaceDE w:val="0"/>
              <w:autoSpaceDN w:val="0"/>
              <w:adjustRightInd w:val="0"/>
              <w:jc w:val="right"/>
              <w:rPr>
                <w:b/>
                <w:color w:val="auto"/>
                <w:sz w:val="32"/>
                <w:szCs w:val="32"/>
                <w:highlight w:val="none"/>
              </w:rPr>
            </w:pPr>
            <w:r>
              <w:rPr>
                <w:b/>
                <w:color w:val="auto"/>
                <w:sz w:val="32"/>
                <w:szCs w:val="32"/>
                <w:highlight w:val="none"/>
              </w:rPr>
              <w:t>采购代理机构：</w:t>
            </w:r>
          </w:p>
        </w:tc>
        <w:tc>
          <w:tcPr>
            <w:tcW w:w="5571" w:type="dxa"/>
          </w:tcPr>
          <w:p w14:paraId="77C26503">
            <w:pPr>
              <w:autoSpaceDE w:val="0"/>
              <w:autoSpaceDN w:val="0"/>
              <w:adjustRightInd w:val="0"/>
              <w:rPr>
                <w:rFonts w:hint="eastAsia" w:eastAsia="宋体"/>
                <w:b/>
                <w:color w:val="auto"/>
                <w:sz w:val="32"/>
                <w:szCs w:val="32"/>
                <w:highlight w:val="none"/>
                <w:u w:val="single"/>
                <w:lang w:eastAsia="zh-CN"/>
              </w:rPr>
            </w:pPr>
            <w:r>
              <w:rPr>
                <w:rFonts w:hint="eastAsia"/>
                <w:b/>
                <w:color w:val="auto"/>
                <w:sz w:val="32"/>
                <w:szCs w:val="32"/>
                <w:highlight w:val="none"/>
              </w:rPr>
              <w:t xml:space="preserve"> </w:t>
            </w:r>
            <w:r>
              <w:rPr>
                <w:rFonts w:hint="eastAsia"/>
                <w:b/>
                <w:color w:val="auto"/>
                <w:sz w:val="32"/>
                <w:szCs w:val="32"/>
                <w:highlight w:val="none"/>
                <w:lang w:eastAsia="zh-CN"/>
              </w:rPr>
              <w:t>江西省壹凡工程咨询有限公司</w:t>
            </w:r>
          </w:p>
        </w:tc>
      </w:tr>
    </w:tbl>
    <w:p w14:paraId="4BCAF615">
      <w:pPr>
        <w:rPr>
          <w:color w:val="auto"/>
          <w:highlight w:val="none"/>
        </w:rPr>
      </w:pPr>
    </w:p>
    <w:p w14:paraId="219732C5">
      <w:pPr>
        <w:jc w:val="center"/>
        <w:rPr>
          <w:color w:val="auto"/>
          <w:sz w:val="32"/>
          <w:szCs w:val="32"/>
          <w:highlight w:val="none"/>
        </w:rPr>
        <w:sectPr>
          <w:footerReference r:id="rId3" w:type="default"/>
          <w:pgSz w:w="11906" w:h="16838"/>
          <w:pgMar w:top="1418" w:right="1418" w:bottom="1246" w:left="1418" w:header="851" w:footer="992" w:gutter="0"/>
          <w:pgNumType w:fmt="decimal" w:start="0"/>
          <w:cols w:space="720" w:num="1"/>
          <w:titlePg/>
          <w:docGrid w:linePitch="312" w:charSpace="0"/>
        </w:sectPr>
      </w:pPr>
      <w:r>
        <w:rPr>
          <w:rFonts w:hint="eastAsia"/>
          <w:b/>
          <w:color w:val="auto"/>
          <w:sz w:val="32"/>
          <w:szCs w:val="32"/>
          <w:highlight w:val="none"/>
          <w:lang w:val="en-US" w:eastAsia="zh-CN"/>
        </w:rPr>
        <w:t>2025年6</w:t>
      </w:r>
      <w:r>
        <w:rPr>
          <w:rFonts w:hint="eastAsia"/>
          <w:b/>
          <w:color w:val="auto"/>
          <w:sz w:val="32"/>
          <w:szCs w:val="32"/>
          <w:highlight w:val="none"/>
        </w:rPr>
        <w:t>月</w:t>
      </w:r>
    </w:p>
    <w:p w14:paraId="40185E27">
      <w:pPr>
        <w:spacing w:line="360" w:lineRule="auto"/>
        <w:jc w:val="center"/>
        <w:rPr>
          <w:rFonts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目录</w:t>
      </w:r>
    </w:p>
    <w:p w14:paraId="6725E5A6">
      <w:pPr>
        <w:pStyle w:val="21"/>
        <w:keepNext w:val="0"/>
        <w:keepLines w:val="0"/>
        <w:pageBreakBefore w:val="0"/>
        <w:widowControl w:val="0"/>
        <w:tabs>
          <w:tab w:val="right" w:leader="dot" w:pos="8400"/>
          <w:tab w:val="clear" w:pos="9913"/>
        </w:tabs>
        <w:kinsoku/>
        <w:wordWrap/>
        <w:overflowPunct/>
        <w:topLinePunct w:val="0"/>
        <w:autoSpaceDE/>
        <w:autoSpaceDN/>
        <w:bidi w:val="0"/>
        <w:adjustRightInd/>
        <w:snapToGrid/>
        <w:spacing w:line="480" w:lineRule="auto"/>
        <w:textAlignment w:val="auto"/>
        <w:rPr>
          <w:b/>
          <w:bCs/>
          <w:color w:val="auto"/>
          <w:sz w:val="24"/>
          <w:szCs w:val="24"/>
          <w:highlight w:val="none"/>
        </w:rPr>
      </w:pPr>
      <w:r>
        <w:rPr>
          <w:rStyle w:val="30"/>
          <w:rFonts w:hint="eastAsia" w:ascii="仿宋" w:hAnsi="仿宋" w:eastAsia="仿宋" w:cs="仿宋"/>
          <w:b/>
          <w:color w:val="auto"/>
          <w:highlight w:val="none"/>
          <w:shd w:val="pct10" w:color="auto" w:fill="FFFFFF"/>
        </w:rPr>
        <w:fldChar w:fldCharType="begin"/>
      </w:r>
      <w:r>
        <w:rPr>
          <w:rStyle w:val="30"/>
          <w:rFonts w:hint="eastAsia" w:ascii="仿宋" w:hAnsi="仿宋" w:eastAsia="仿宋" w:cs="仿宋"/>
          <w:b/>
          <w:color w:val="auto"/>
          <w:highlight w:val="none"/>
          <w:shd w:val="pct10" w:color="auto" w:fill="FFFFFF"/>
        </w:rPr>
        <w:instrText xml:space="preserve"> TOC \o "1-3" \h \z \u </w:instrText>
      </w:r>
      <w:r>
        <w:rPr>
          <w:rStyle w:val="30"/>
          <w:rFonts w:hint="eastAsia" w:ascii="仿宋" w:hAnsi="仿宋" w:eastAsia="仿宋" w:cs="仿宋"/>
          <w:b/>
          <w:color w:val="auto"/>
          <w:highlight w:val="none"/>
          <w:shd w:val="pct10" w:color="auto" w:fill="FFFFFF"/>
        </w:rPr>
        <w:fldChar w:fldCharType="separate"/>
      </w:r>
      <w:r>
        <w:rPr>
          <w:rFonts w:hint="eastAsia" w:ascii="仿宋" w:hAnsi="仿宋" w:eastAsia="仿宋" w:cs="仿宋"/>
          <w:b/>
          <w:bCs/>
          <w:color w:val="auto"/>
          <w:sz w:val="24"/>
          <w:szCs w:val="24"/>
          <w:highlight w:val="none"/>
          <w:shd w:val="pct10" w:color="auto" w:fill="FFFFFF"/>
        </w:rPr>
        <w:fldChar w:fldCharType="begin"/>
      </w:r>
      <w:r>
        <w:rPr>
          <w:rFonts w:hint="eastAsia" w:ascii="仿宋" w:hAnsi="仿宋" w:eastAsia="仿宋" w:cs="仿宋"/>
          <w:b/>
          <w:bCs/>
          <w:color w:val="auto"/>
          <w:sz w:val="24"/>
          <w:szCs w:val="24"/>
          <w:highlight w:val="none"/>
          <w:shd w:val="pct10" w:color="auto" w:fill="FFFFFF"/>
        </w:rPr>
        <w:instrText xml:space="preserve"> HYPERLINK \l _Toc18661 </w:instrText>
      </w:r>
      <w:r>
        <w:rPr>
          <w:rFonts w:hint="eastAsia" w:ascii="仿宋" w:hAnsi="仿宋" w:eastAsia="仿宋" w:cs="仿宋"/>
          <w:b/>
          <w:bCs/>
          <w:color w:val="auto"/>
          <w:sz w:val="24"/>
          <w:szCs w:val="24"/>
          <w:highlight w:val="none"/>
          <w:shd w:val="pct10" w:color="auto" w:fill="FFFFFF"/>
        </w:rPr>
        <w:fldChar w:fldCharType="separate"/>
      </w:r>
      <w:r>
        <w:rPr>
          <w:rFonts w:hint="eastAsia" w:ascii="仿宋" w:hAnsi="仿宋" w:eastAsia="仿宋" w:cs="仿宋"/>
          <w:b/>
          <w:bCs/>
          <w:color w:val="auto"/>
          <w:sz w:val="24"/>
          <w:szCs w:val="24"/>
          <w:highlight w:val="none"/>
        </w:rPr>
        <w:t>第一章　谈判邀请</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_Toc18661 \h </w:instrText>
      </w:r>
      <w:r>
        <w:rPr>
          <w:b/>
          <w:bCs/>
          <w:color w:val="auto"/>
          <w:sz w:val="24"/>
          <w:szCs w:val="24"/>
          <w:highlight w:val="none"/>
        </w:rPr>
        <w:fldChar w:fldCharType="separate"/>
      </w:r>
      <w:r>
        <w:rPr>
          <w:b/>
          <w:bCs/>
          <w:color w:val="auto"/>
          <w:sz w:val="24"/>
          <w:szCs w:val="24"/>
          <w:highlight w:val="none"/>
        </w:rPr>
        <w:t>2</w:t>
      </w:r>
      <w:r>
        <w:rPr>
          <w:b/>
          <w:bCs/>
          <w:color w:val="auto"/>
          <w:sz w:val="24"/>
          <w:szCs w:val="24"/>
          <w:highlight w:val="none"/>
        </w:rPr>
        <w:fldChar w:fldCharType="end"/>
      </w:r>
      <w:r>
        <w:rPr>
          <w:rFonts w:hint="eastAsia" w:ascii="仿宋" w:hAnsi="仿宋" w:eastAsia="仿宋" w:cs="仿宋"/>
          <w:b/>
          <w:bCs/>
          <w:color w:val="auto"/>
          <w:sz w:val="24"/>
          <w:szCs w:val="24"/>
          <w:highlight w:val="none"/>
          <w:shd w:val="pct10" w:color="auto" w:fill="FFFFFF"/>
        </w:rPr>
        <w:fldChar w:fldCharType="end"/>
      </w:r>
    </w:p>
    <w:p w14:paraId="1C7FD7B5">
      <w:pPr>
        <w:pStyle w:val="21"/>
        <w:keepNext w:val="0"/>
        <w:keepLines w:val="0"/>
        <w:pageBreakBefore w:val="0"/>
        <w:widowControl w:val="0"/>
        <w:tabs>
          <w:tab w:val="right" w:leader="dot" w:pos="8400"/>
          <w:tab w:val="clear" w:pos="9913"/>
        </w:tabs>
        <w:kinsoku/>
        <w:wordWrap/>
        <w:overflowPunct/>
        <w:topLinePunct w:val="0"/>
        <w:autoSpaceDE/>
        <w:autoSpaceDN/>
        <w:bidi w:val="0"/>
        <w:adjustRightInd/>
        <w:snapToGrid/>
        <w:spacing w:line="480" w:lineRule="auto"/>
        <w:textAlignment w:val="auto"/>
        <w:rPr>
          <w:color w:val="auto"/>
          <w:sz w:val="24"/>
          <w:szCs w:val="24"/>
          <w:highlight w:val="none"/>
        </w:rPr>
      </w:pPr>
      <w:r>
        <w:rPr>
          <w:rFonts w:hint="eastAsia" w:ascii="仿宋" w:hAnsi="仿宋" w:eastAsia="仿宋" w:cs="仿宋"/>
          <w:b/>
          <w:bCs/>
          <w:color w:val="auto"/>
          <w:sz w:val="24"/>
          <w:szCs w:val="24"/>
          <w:highlight w:val="none"/>
          <w:shd w:val="pct10" w:color="auto" w:fill="FFFFFF"/>
        </w:rPr>
        <w:fldChar w:fldCharType="begin"/>
      </w:r>
      <w:r>
        <w:rPr>
          <w:rFonts w:hint="eastAsia" w:ascii="仿宋" w:hAnsi="仿宋" w:eastAsia="仿宋" w:cs="仿宋"/>
          <w:b/>
          <w:bCs/>
          <w:color w:val="auto"/>
          <w:sz w:val="24"/>
          <w:szCs w:val="24"/>
          <w:highlight w:val="none"/>
          <w:shd w:val="pct10" w:color="auto" w:fill="FFFFFF"/>
        </w:rPr>
        <w:instrText xml:space="preserve"> HYPERLINK \l _Toc10357 </w:instrText>
      </w:r>
      <w:r>
        <w:rPr>
          <w:rFonts w:hint="eastAsia" w:ascii="仿宋" w:hAnsi="仿宋" w:eastAsia="仿宋" w:cs="仿宋"/>
          <w:b/>
          <w:bCs/>
          <w:color w:val="auto"/>
          <w:sz w:val="24"/>
          <w:szCs w:val="24"/>
          <w:highlight w:val="none"/>
          <w:shd w:val="pct10" w:color="auto" w:fill="FFFFFF"/>
        </w:rPr>
        <w:fldChar w:fldCharType="separate"/>
      </w:r>
      <w:r>
        <w:rPr>
          <w:rFonts w:hint="default" w:ascii="仿宋" w:hAnsi="仿宋" w:eastAsia="仿宋" w:cs="Times New Roman"/>
          <w:b/>
          <w:bCs/>
          <w:color w:val="auto"/>
          <w:sz w:val="24"/>
          <w:szCs w:val="24"/>
          <w:highlight w:val="none"/>
        </w:rPr>
        <w:t xml:space="preserve">第二章 </w:t>
      </w:r>
      <w:r>
        <w:rPr>
          <w:rFonts w:hint="eastAsia" w:ascii="仿宋" w:hAnsi="仿宋" w:eastAsia="仿宋" w:cs="Times New Roman"/>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供应商须知</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_Toc10357 \h </w:instrText>
      </w:r>
      <w:r>
        <w:rPr>
          <w:b/>
          <w:bCs/>
          <w:color w:val="auto"/>
          <w:sz w:val="24"/>
          <w:szCs w:val="24"/>
          <w:highlight w:val="none"/>
        </w:rPr>
        <w:fldChar w:fldCharType="separate"/>
      </w:r>
      <w:r>
        <w:rPr>
          <w:b/>
          <w:bCs/>
          <w:color w:val="auto"/>
          <w:sz w:val="24"/>
          <w:szCs w:val="24"/>
          <w:highlight w:val="none"/>
        </w:rPr>
        <w:t>5</w:t>
      </w:r>
      <w:r>
        <w:rPr>
          <w:b/>
          <w:bCs/>
          <w:color w:val="auto"/>
          <w:sz w:val="24"/>
          <w:szCs w:val="24"/>
          <w:highlight w:val="none"/>
        </w:rPr>
        <w:fldChar w:fldCharType="end"/>
      </w:r>
      <w:r>
        <w:rPr>
          <w:rFonts w:hint="eastAsia" w:ascii="仿宋" w:hAnsi="仿宋" w:eastAsia="仿宋" w:cs="仿宋"/>
          <w:b/>
          <w:bCs/>
          <w:color w:val="auto"/>
          <w:sz w:val="24"/>
          <w:szCs w:val="24"/>
          <w:highlight w:val="none"/>
          <w:shd w:val="pct10" w:color="auto" w:fill="FFFFFF"/>
        </w:rPr>
        <w:fldChar w:fldCharType="end"/>
      </w:r>
    </w:p>
    <w:p w14:paraId="57B4E51B">
      <w:pPr>
        <w:pStyle w:val="22"/>
        <w:keepNext w:val="0"/>
        <w:keepLines w:val="0"/>
        <w:pageBreakBefore w:val="0"/>
        <w:widowControl w:val="0"/>
        <w:tabs>
          <w:tab w:val="right" w:leader="dot" w:pos="8400"/>
          <w:tab w:val="clear" w:pos="941"/>
          <w:tab w:val="clear" w:pos="9923"/>
        </w:tabs>
        <w:kinsoku/>
        <w:wordWrap/>
        <w:overflowPunct/>
        <w:topLinePunct w:val="0"/>
        <w:autoSpaceDE/>
        <w:autoSpaceDN/>
        <w:bidi w:val="0"/>
        <w:adjustRightInd/>
        <w:snapToGrid/>
        <w:spacing w:line="480" w:lineRule="auto"/>
        <w:textAlignment w:val="auto"/>
        <w:rPr>
          <w:color w:val="auto"/>
          <w:sz w:val="24"/>
          <w:szCs w:val="24"/>
          <w:highlight w:val="none"/>
        </w:rPr>
      </w:pPr>
      <w:r>
        <w:rPr>
          <w:rFonts w:hint="eastAsia" w:ascii="仿宋" w:hAnsi="仿宋" w:eastAsia="仿宋" w:cs="仿宋"/>
          <w:color w:val="auto"/>
          <w:sz w:val="24"/>
          <w:szCs w:val="24"/>
          <w:highlight w:val="none"/>
          <w:shd w:val="pct10" w:color="auto" w:fill="FFFFFF"/>
        </w:rPr>
        <w:fldChar w:fldCharType="begin"/>
      </w:r>
      <w:r>
        <w:rPr>
          <w:rFonts w:hint="eastAsia" w:ascii="仿宋" w:hAnsi="仿宋" w:eastAsia="仿宋" w:cs="仿宋"/>
          <w:color w:val="auto"/>
          <w:sz w:val="24"/>
          <w:szCs w:val="24"/>
          <w:highlight w:val="none"/>
          <w:shd w:val="pct10" w:color="auto" w:fill="FFFFFF"/>
        </w:rPr>
        <w:instrText xml:space="preserve"> HYPERLINK \l _Toc6469 </w:instrText>
      </w:r>
      <w:r>
        <w:rPr>
          <w:rFonts w:hint="eastAsia" w:ascii="仿宋" w:hAnsi="仿宋" w:eastAsia="仿宋" w:cs="仿宋"/>
          <w:color w:val="auto"/>
          <w:sz w:val="24"/>
          <w:szCs w:val="24"/>
          <w:highlight w:val="none"/>
          <w:shd w:val="pct10" w:color="auto" w:fill="FFFFFF"/>
        </w:rPr>
        <w:fldChar w:fldCharType="separate"/>
      </w:r>
      <w:r>
        <w:rPr>
          <w:rFonts w:hint="default" w:ascii="仿宋" w:hAnsi="仿宋" w:eastAsia="仿宋" w:cs="Times New Roman"/>
          <w:color w:val="auto"/>
          <w:sz w:val="24"/>
          <w:szCs w:val="24"/>
          <w:highlight w:val="none"/>
        </w:rPr>
        <w:t>一、</w:t>
      </w:r>
      <w:r>
        <w:rPr>
          <w:rFonts w:hint="eastAsia" w:ascii="仿宋" w:hAnsi="仿宋" w:eastAsia="仿宋" w:cs="仿宋"/>
          <w:color w:val="auto"/>
          <w:sz w:val="24"/>
          <w:szCs w:val="24"/>
          <w:highlight w:val="none"/>
        </w:rPr>
        <w:t>供应商须知前附表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_Toc6469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rFonts w:hint="eastAsia" w:ascii="仿宋" w:hAnsi="仿宋" w:eastAsia="仿宋" w:cs="仿宋"/>
          <w:color w:val="auto"/>
          <w:sz w:val="24"/>
          <w:szCs w:val="24"/>
          <w:highlight w:val="none"/>
          <w:shd w:val="pct10" w:color="auto" w:fill="FFFFFF"/>
        </w:rPr>
        <w:fldChar w:fldCharType="end"/>
      </w:r>
    </w:p>
    <w:p w14:paraId="50574251">
      <w:pPr>
        <w:pStyle w:val="22"/>
        <w:keepNext w:val="0"/>
        <w:keepLines w:val="0"/>
        <w:pageBreakBefore w:val="0"/>
        <w:widowControl w:val="0"/>
        <w:tabs>
          <w:tab w:val="right" w:leader="dot" w:pos="8400"/>
          <w:tab w:val="clear" w:pos="941"/>
          <w:tab w:val="clear" w:pos="9923"/>
        </w:tabs>
        <w:kinsoku/>
        <w:wordWrap/>
        <w:overflowPunct/>
        <w:topLinePunct w:val="0"/>
        <w:autoSpaceDE/>
        <w:autoSpaceDN/>
        <w:bidi w:val="0"/>
        <w:adjustRightInd/>
        <w:snapToGrid/>
        <w:spacing w:line="480" w:lineRule="auto"/>
        <w:textAlignment w:val="auto"/>
        <w:rPr>
          <w:color w:val="auto"/>
          <w:sz w:val="24"/>
          <w:szCs w:val="24"/>
          <w:highlight w:val="none"/>
        </w:rPr>
      </w:pPr>
      <w:r>
        <w:rPr>
          <w:rFonts w:hint="eastAsia" w:ascii="仿宋" w:hAnsi="仿宋" w:eastAsia="仿宋" w:cs="仿宋"/>
          <w:color w:val="auto"/>
          <w:sz w:val="24"/>
          <w:szCs w:val="24"/>
          <w:highlight w:val="none"/>
          <w:shd w:val="pct10" w:color="auto" w:fill="FFFFFF"/>
        </w:rPr>
        <w:fldChar w:fldCharType="begin"/>
      </w:r>
      <w:r>
        <w:rPr>
          <w:rFonts w:hint="eastAsia" w:ascii="仿宋" w:hAnsi="仿宋" w:eastAsia="仿宋" w:cs="仿宋"/>
          <w:color w:val="auto"/>
          <w:sz w:val="24"/>
          <w:szCs w:val="24"/>
          <w:highlight w:val="none"/>
          <w:shd w:val="pct10" w:color="auto" w:fill="FFFFFF"/>
        </w:rPr>
        <w:instrText xml:space="preserve"> HYPERLINK \l _Toc24338 </w:instrText>
      </w:r>
      <w:r>
        <w:rPr>
          <w:rFonts w:hint="eastAsia" w:ascii="仿宋" w:hAnsi="仿宋" w:eastAsia="仿宋" w:cs="仿宋"/>
          <w:color w:val="auto"/>
          <w:sz w:val="24"/>
          <w:szCs w:val="24"/>
          <w:highlight w:val="none"/>
          <w:shd w:val="pct10" w:color="auto" w:fill="FFFFFF"/>
        </w:rPr>
        <w:fldChar w:fldCharType="separate"/>
      </w:r>
      <w:r>
        <w:rPr>
          <w:rFonts w:hint="eastAsia" w:ascii="仿宋" w:hAnsi="仿宋" w:eastAsia="仿宋" w:cs="仿宋"/>
          <w:color w:val="auto"/>
          <w:sz w:val="24"/>
          <w:szCs w:val="24"/>
          <w:highlight w:val="none"/>
        </w:rPr>
        <w:t>二、说明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_Toc24338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仿宋" w:hAnsi="仿宋" w:eastAsia="仿宋" w:cs="仿宋"/>
          <w:color w:val="auto"/>
          <w:sz w:val="24"/>
          <w:szCs w:val="24"/>
          <w:highlight w:val="none"/>
          <w:shd w:val="pct10" w:color="auto" w:fill="FFFFFF"/>
        </w:rPr>
        <w:fldChar w:fldCharType="end"/>
      </w:r>
    </w:p>
    <w:p w14:paraId="0754624B">
      <w:pPr>
        <w:pStyle w:val="22"/>
        <w:keepNext w:val="0"/>
        <w:keepLines w:val="0"/>
        <w:pageBreakBefore w:val="0"/>
        <w:widowControl w:val="0"/>
        <w:tabs>
          <w:tab w:val="right" w:leader="dot" w:pos="8400"/>
          <w:tab w:val="clear" w:pos="941"/>
          <w:tab w:val="clear" w:pos="9923"/>
        </w:tabs>
        <w:kinsoku/>
        <w:wordWrap/>
        <w:overflowPunct/>
        <w:topLinePunct w:val="0"/>
        <w:autoSpaceDE/>
        <w:autoSpaceDN/>
        <w:bidi w:val="0"/>
        <w:adjustRightInd/>
        <w:snapToGrid/>
        <w:spacing w:line="480" w:lineRule="auto"/>
        <w:textAlignment w:val="auto"/>
        <w:rPr>
          <w:color w:val="auto"/>
          <w:sz w:val="24"/>
          <w:szCs w:val="24"/>
          <w:highlight w:val="none"/>
        </w:rPr>
      </w:pPr>
      <w:r>
        <w:rPr>
          <w:rFonts w:hint="eastAsia" w:ascii="仿宋" w:hAnsi="仿宋" w:eastAsia="仿宋" w:cs="仿宋"/>
          <w:color w:val="auto"/>
          <w:sz w:val="24"/>
          <w:szCs w:val="24"/>
          <w:highlight w:val="none"/>
          <w:shd w:val="pct10" w:color="auto" w:fill="FFFFFF"/>
        </w:rPr>
        <w:fldChar w:fldCharType="begin"/>
      </w:r>
      <w:r>
        <w:rPr>
          <w:rFonts w:hint="eastAsia" w:ascii="仿宋" w:hAnsi="仿宋" w:eastAsia="仿宋" w:cs="仿宋"/>
          <w:color w:val="auto"/>
          <w:sz w:val="24"/>
          <w:szCs w:val="24"/>
          <w:highlight w:val="none"/>
          <w:shd w:val="pct10" w:color="auto" w:fill="FFFFFF"/>
        </w:rPr>
        <w:instrText xml:space="preserve"> HYPERLINK \l _Toc8227 </w:instrText>
      </w:r>
      <w:r>
        <w:rPr>
          <w:rFonts w:hint="eastAsia" w:ascii="仿宋" w:hAnsi="仿宋" w:eastAsia="仿宋" w:cs="仿宋"/>
          <w:color w:val="auto"/>
          <w:sz w:val="24"/>
          <w:szCs w:val="24"/>
          <w:highlight w:val="none"/>
          <w:shd w:val="pct10" w:color="auto" w:fill="FFFFFF"/>
        </w:rPr>
        <w:fldChar w:fldCharType="separate"/>
      </w:r>
      <w:r>
        <w:rPr>
          <w:rFonts w:hint="eastAsia" w:ascii="仿宋" w:hAnsi="仿宋" w:eastAsia="仿宋" w:cs="仿宋"/>
          <w:color w:val="auto"/>
          <w:sz w:val="24"/>
          <w:szCs w:val="24"/>
          <w:highlight w:val="none"/>
        </w:rPr>
        <w:t>三、谈判文件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_Toc8227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Fonts w:hint="eastAsia" w:ascii="仿宋" w:hAnsi="仿宋" w:eastAsia="仿宋" w:cs="仿宋"/>
          <w:color w:val="auto"/>
          <w:sz w:val="24"/>
          <w:szCs w:val="24"/>
          <w:highlight w:val="none"/>
          <w:shd w:val="pct10" w:color="auto" w:fill="FFFFFF"/>
        </w:rPr>
        <w:fldChar w:fldCharType="end"/>
      </w:r>
    </w:p>
    <w:p w14:paraId="4871E295">
      <w:pPr>
        <w:pStyle w:val="22"/>
        <w:keepNext w:val="0"/>
        <w:keepLines w:val="0"/>
        <w:pageBreakBefore w:val="0"/>
        <w:widowControl w:val="0"/>
        <w:tabs>
          <w:tab w:val="right" w:leader="dot" w:pos="8400"/>
          <w:tab w:val="clear" w:pos="941"/>
          <w:tab w:val="clear" w:pos="9923"/>
        </w:tabs>
        <w:kinsoku/>
        <w:wordWrap/>
        <w:overflowPunct/>
        <w:topLinePunct w:val="0"/>
        <w:autoSpaceDE/>
        <w:autoSpaceDN/>
        <w:bidi w:val="0"/>
        <w:adjustRightInd/>
        <w:snapToGrid/>
        <w:spacing w:line="480" w:lineRule="auto"/>
        <w:textAlignment w:val="auto"/>
        <w:rPr>
          <w:color w:val="auto"/>
          <w:sz w:val="24"/>
          <w:szCs w:val="24"/>
          <w:highlight w:val="none"/>
        </w:rPr>
      </w:pPr>
      <w:r>
        <w:rPr>
          <w:rFonts w:hint="eastAsia" w:ascii="仿宋" w:hAnsi="仿宋" w:eastAsia="仿宋" w:cs="仿宋"/>
          <w:color w:val="auto"/>
          <w:sz w:val="24"/>
          <w:szCs w:val="24"/>
          <w:highlight w:val="none"/>
          <w:shd w:val="pct10" w:color="auto" w:fill="FFFFFF"/>
        </w:rPr>
        <w:fldChar w:fldCharType="begin"/>
      </w:r>
      <w:r>
        <w:rPr>
          <w:rFonts w:hint="eastAsia" w:ascii="仿宋" w:hAnsi="仿宋" w:eastAsia="仿宋" w:cs="仿宋"/>
          <w:color w:val="auto"/>
          <w:sz w:val="24"/>
          <w:szCs w:val="24"/>
          <w:highlight w:val="none"/>
          <w:shd w:val="pct10" w:color="auto" w:fill="FFFFFF"/>
        </w:rPr>
        <w:instrText xml:space="preserve"> HYPERLINK \l _Toc21493 </w:instrText>
      </w:r>
      <w:r>
        <w:rPr>
          <w:rFonts w:hint="eastAsia" w:ascii="仿宋" w:hAnsi="仿宋" w:eastAsia="仿宋" w:cs="仿宋"/>
          <w:color w:val="auto"/>
          <w:sz w:val="24"/>
          <w:szCs w:val="24"/>
          <w:highlight w:val="none"/>
          <w:shd w:val="pct10" w:color="auto" w:fill="FFFFFF"/>
        </w:rPr>
        <w:fldChar w:fldCharType="separate"/>
      </w:r>
      <w:r>
        <w:rPr>
          <w:rFonts w:hint="eastAsia" w:ascii="仿宋" w:hAnsi="仿宋" w:eastAsia="仿宋" w:cs="仿宋"/>
          <w:color w:val="auto"/>
          <w:sz w:val="24"/>
          <w:szCs w:val="24"/>
          <w:highlight w:val="none"/>
        </w:rPr>
        <w:t>四、响应文件的编制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_Toc21493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rFonts w:hint="eastAsia" w:ascii="仿宋" w:hAnsi="仿宋" w:eastAsia="仿宋" w:cs="仿宋"/>
          <w:color w:val="auto"/>
          <w:sz w:val="24"/>
          <w:szCs w:val="24"/>
          <w:highlight w:val="none"/>
          <w:shd w:val="pct10" w:color="auto" w:fill="FFFFFF"/>
        </w:rPr>
        <w:fldChar w:fldCharType="end"/>
      </w:r>
    </w:p>
    <w:p w14:paraId="66461634">
      <w:pPr>
        <w:pStyle w:val="22"/>
        <w:keepNext w:val="0"/>
        <w:keepLines w:val="0"/>
        <w:pageBreakBefore w:val="0"/>
        <w:widowControl w:val="0"/>
        <w:tabs>
          <w:tab w:val="right" w:leader="dot" w:pos="8400"/>
          <w:tab w:val="clear" w:pos="941"/>
          <w:tab w:val="clear" w:pos="9923"/>
        </w:tabs>
        <w:kinsoku/>
        <w:wordWrap/>
        <w:overflowPunct/>
        <w:topLinePunct w:val="0"/>
        <w:autoSpaceDE/>
        <w:autoSpaceDN/>
        <w:bidi w:val="0"/>
        <w:adjustRightInd/>
        <w:snapToGrid/>
        <w:spacing w:line="480" w:lineRule="auto"/>
        <w:textAlignment w:val="auto"/>
        <w:rPr>
          <w:color w:val="auto"/>
          <w:sz w:val="24"/>
          <w:szCs w:val="24"/>
          <w:highlight w:val="none"/>
        </w:rPr>
      </w:pPr>
      <w:r>
        <w:rPr>
          <w:rFonts w:hint="eastAsia" w:ascii="仿宋" w:hAnsi="仿宋" w:eastAsia="仿宋" w:cs="仿宋"/>
          <w:color w:val="auto"/>
          <w:sz w:val="24"/>
          <w:szCs w:val="24"/>
          <w:highlight w:val="none"/>
          <w:shd w:val="pct10" w:color="auto" w:fill="FFFFFF"/>
        </w:rPr>
        <w:fldChar w:fldCharType="begin"/>
      </w:r>
      <w:r>
        <w:rPr>
          <w:rFonts w:hint="eastAsia" w:ascii="仿宋" w:hAnsi="仿宋" w:eastAsia="仿宋" w:cs="仿宋"/>
          <w:color w:val="auto"/>
          <w:sz w:val="24"/>
          <w:szCs w:val="24"/>
          <w:highlight w:val="none"/>
          <w:shd w:val="pct10" w:color="auto" w:fill="FFFFFF"/>
        </w:rPr>
        <w:instrText xml:space="preserve"> HYPERLINK \l _Toc2080 </w:instrText>
      </w:r>
      <w:r>
        <w:rPr>
          <w:rFonts w:hint="eastAsia" w:ascii="仿宋" w:hAnsi="仿宋" w:eastAsia="仿宋" w:cs="仿宋"/>
          <w:color w:val="auto"/>
          <w:sz w:val="24"/>
          <w:szCs w:val="24"/>
          <w:highlight w:val="none"/>
          <w:shd w:val="pct10" w:color="auto" w:fill="FFFFFF"/>
        </w:rPr>
        <w:fldChar w:fldCharType="separate"/>
      </w:r>
      <w:r>
        <w:rPr>
          <w:rFonts w:hint="eastAsia" w:ascii="仿宋" w:hAnsi="仿宋" w:eastAsia="仿宋" w:cs="仿宋"/>
          <w:color w:val="auto"/>
          <w:sz w:val="24"/>
          <w:szCs w:val="24"/>
          <w:highlight w:val="none"/>
        </w:rPr>
        <w:t>五、响应文件的递交</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_Toc2080 \h </w:instrText>
      </w:r>
      <w:r>
        <w:rPr>
          <w:color w:val="auto"/>
          <w:sz w:val="24"/>
          <w:szCs w:val="24"/>
          <w:highlight w:val="none"/>
        </w:rPr>
        <w:fldChar w:fldCharType="separate"/>
      </w:r>
      <w:r>
        <w:rPr>
          <w:color w:val="auto"/>
          <w:sz w:val="24"/>
          <w:szCs w:val="24"/>
          <w:highlight w:val="none"/>
        </w:rPr>
        <w:t>11</w:t>
      </w:r>
      <w:r>
        <w:rPr>
          <w:color w:val="auto"/>
          <w:sz w:val="24"/>
          <w:szCs w:val="24"/>
          <w:highlight w:val="none"/>
        </w:rPr>
        <w:fldChar w:fldCharType="end"/>
      </w:r>
      <w:r>
        <w:rPr>
          <w:rFonts w:hint="eastAsia" w:ascii="仿宋" w:hAnsi="仿宋" w:eastAsia="仿宋" w:cs="仿宋"/>
          <w:color w:val="auto"/>
          <w:sz w:val="24"/>
          <w:szCs w:val="24"/>
          <w:highlight w:val="none"/>
          <w:shd w:val="pct10" w:color="auto" w:fill="FFFFFF"/>
        </w:rPr>
        <w:fldChar w:fldCharType="end"/>
      </w:r>
    </w:p>
    <w:p w14:paraId="4EE510C0">
      <w:pPr>
        <w:pStyle w:val="22"/>
        <w:keepNext w:val="0"/>
        <w:keepLines w:val="0"/>
        <w:pageBreakBefore w:val="0"/>
        <w:widowControl w:val="0"/>
        <w:tabs>
          <w:tab w:val="right" w:leader="dot" w:pos="8400"/>
          <w:tab w:val="clear" w:pos="941"/>
          <w:tab w:val="clear" w:pos="9923"/>
        </w:tabs>
        <w:kinsoku/>
        <w:wordWrap/>
        <w:overflowPunct/>
        <w:topLinePunct w:val="0"/>
        <w:autoSpaceDE/>
        <w:autoSpaceDN/>
        <w:bidi w:val="0"/>
        <w:adjustRightInd/>
        <w:snapToGrid/>
        <w:spacing w:line="480" w:lineRule="auto"/>
        <w:textAlignment w:val="auto"/>
        <w:rPr>
          <w:color w:val="auto"/>
          <w:sz w:val="24"/>
          <w:szCs w:val="24"/>
          <w:highlight w:val="none"/>
        </w:rPr>
      </w:pPr>
      <w:r>
        <w:rPr>
          <w:rFonts w:hint="eastAsia" w:ascii="仿宋" w:hAnsi="仿宋" w:eastAsia="仿宋" w:cs="仿宋"/>
          <w:color w:val="auto"/>
          <w:sz w:val="24"/>
          <w:szCs w:val="24"/>
          <w:highlight w:val="none"/>
          <w:shd w:val="pct10" w:color="auto" w:fill="FFFFFF"/>
        </w:rPr>
        <w:fldChar w:fldCharType="begin"/>
      </w:r>
      <w:r>
        <w:rPr>
          <w:rFonts w:hint="eastAsia" w:ascii="仿宋" w:hAnsi="仿宋" w:eastAsia="仿宋" w:cs="仿宋"/>
          <w:color w:val="auto"/>
          <w:sz w:val="24"/>
          <w:szCs w:val="24"/>
          <w:highlight w:val="none"/>
          <w:shd w:val="pct10" w:color="auto" w:fill="FFFFFF"/>
        </w:rPr>
        <w:instrText xml:space="preserve"> HYPERLINK \l _Toc7855 </w:instrText>
      </w:r>
      <w:r>
        <w:rPr>
          <w:rFonts w:hint="eastAsia" w:ascii="仿宋" w:hAnsi="仿宋" w:eastAsia="仿宋" w:cs="仿宋"/>
          <w:color w:val="auto"/>
          <w:sz w:val="24"/>
          <w:szCs w:val="24"/>
          <w:highlight w:val="none"/>
          <w:shd w:val="pct10" w:color="auto" w:fill="FFFFFF"/>
        </w:rPr>
        <w:fldChar w:fldCharType="separate"/>
      </w:r>
      <w:r>
        <w:rPr>
          <w:rFonts w:hint="eastAsia" w:ascii="仿宋" w:hAnsi="仿宋" w:eastAsia="仿宋" w:cs="仿宋"/>
          <w:color w:val="auto"/>
          <w:sz w:val="24"/>
          <w:szCs w:val="24"/>
          <w:highlight w:val="none"/>
        </w:rPr>
        <w:t>六、谈判</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_Toc7855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Fonts w:hint="eastAsia" w:ascii="仿宋" w:hAnsi="仿宋" w:eastAsia="仿宋" w:cs="仿宋"/>
          <w:color w:val="auto"/>
          <w:sz w:val="24"/>
          <w:szCs w:val="24"/>
          <w:highlight w:val="none"/>
          <w:shd w:val="pct10" w:color="auto" w:fill="FFFFFF"/>
        </w:rPr>
        <w:fldChar w:fldCharType="end"/>
      </w:r>
    </w:p>
    <w:p w14:paraId="45128433">
      <w:pPr>
        <w:pStyle w:val="22"/>
        <w:keepNext w:val="0"/>
        <w:keepLines w:val="0"/>
        <w:pageBreakBefore w:val="0"/>
        <w:widowControl w:val="0"/>
        <w:tabs>
          <w:tab w:val="right" w:leader="dot" w:pos="8400"/>
          <w:tab w:val="clear" w:pos="941"/>
          <w:tab w:val="clear" w:pos="9923"/>
        </w:tabs>
        <w:kinsoku/>
        <w:wordWrap/>
        <w:overflowPunct/>
        <w:topLinePunct w:val="0"/>
        <w:autoSpaceDE/>
        <w:autoSpaceDN/>
        <w:bidi w:val="0"/>
        <w:adjustRightInd/>
        <w:snapToGrid/>
        <w:spacing w:line="480" w:lineRule="auto"/>
        <w:textAlignment w:val="auto"/>
        <w:rPr>
          <w:color w:val="auto"/>
          <w:sz w:val="24"/>
          <w:szCs w:val="24"/>
          <w:highlight w:val="none"/>
        </w:rPr>
      </w:pPr>
      <w:r>
        <w:rPr>
          <w:rFonts w:hint="eastAsia" w:ascii="仿宋" w:hAnsi="仿宋" w:eastAsia="仿宋" w:cs="仿宋"/>
          <w:color w:val="auto"/>
          <w:sz w:val="24"/>
          <w:szCs w:val="24"/>
          <w:highlight w:val="none"/>
          <w:shd w:val="pct10" w:color="auto" w:fill="FFFFFF"/>
        </w:rPr>
        <w:fldChar w:fldCharType="begin"/>
      </w:r>
      <w:r>
        <w:rPr>
          <w:rFonts w:hint="eastAsia" w:ascii="仿宋" w:hAnsi="仿宋" w:eastAsia="仿宋" w:cs="仿宋"/>
          <w:color w:val="auto"/>
          <w:sz w:val="24"/>
          <w:szCs w:val="24"/>
          <w:highlight w:val="none"/>
          <w:shd w:val="pct10" w:color="auto" w:fill="FFFFFF"/>
        </w:rPr>
        <w:instrText xml:space="preserve"> HYPERLINK \l _Toc7166 </w:instrText>
      </w:r>
      <w:r>
        <w:rPr>
          <w:rFonts w:hint="eastAsia" w:ascii="仿宋" w:hAnsi="仿宋" w:eastAsia="仿宋" w:cs="仿宋"/>
          <w:color w:val="auto"/>
          <w:sz w:val="24"/>
          <w:szCs w:val="24"/>
          <w:highlight w:val="none"/>
          <w:shd w:val="pct10" w:color="auto" w:fill="FFFFFF"/>
        </w:rPr>
        <w:fldChar w:fldCharType="separate"/>
      </w:r>
      <w:r>
        <w:rPr>
          <w:rFonts w:hint="eastAsia" w:ascii="仿宋" w:hAnsi="仿宋" w:eastAsia="仿宋" w:cs="仿宋"/>
          <w:color w:val="auto"/>
          <w:sz w:val="24"/>
          <w:szCs w:val="24"/>
          <w:highlight w:val="none"/>
        </w:rPr>
        <w:t>七、推荐成交候选供应商、确定成交供应商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_Toc7166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ascii="仿宋" w:hAnsi="仿宋" w:eastAsia="仿宋" w:cs="仿宋"/>
          <w:color w:val="auto"/>
          <w:sz w:val="24"/>
          <w:szCs w:val="24"/>
          <w:highlight w:val="none"/>
          <w:shd w:val="pct10" w:color="auto" w:fill="FFFFFF"/>
        </w:rPr>
        <w:fldChar w:fldCharType="end"/>
      </w:r>
    </w:p>
    <w:p w14:paraId="7F04A00B">
      <w:pPr>
        <w:pStyle w:val="22"/>
        <w:keepNext w:val="0"/>
        <w:keepLines w:val="0"/>
        <w:pageBreakBefore w:val="0"/>
        <w:widowControl w:val="0"/>
        <w:tabs>
          <w:tab w:val="right" w:leader="dot" w:pos="8400"/>
          <w:tab w:val="clear" w:pos="941"/>
          <w:tab w:val="clear" w:pos="9923"/>
        </w:tabs>
        <w:kinsoku/>
        <w:wordWrap/>
        <w:overflowPunct/>
        <w:topLinePunct w:val="0"/>
        <w:autoSpaceDE/>
        <w:autoSpaceDN/>
        <w:bidi w:val="0"/>
        <w:adjustRightInd/>
        <w:snapToGrid/>
        <w:spacing w:line="480" w:lineRule="auto"/>
        <w:textAlignment w:val="auto"/>
        <w:rPr>
          <w:color w:val="auto"/>
          <w:sz w:val="24"/>
          <w:szCs w:val="24"/>
          <w:highlight w:val="none"/>
        </w:rPr>
      </w:pPr>
      <w:r>
        <w:rPr>
          <w:rFonts w:hint="eastAsia" w:ascii="仿宋" w:hAnsi="仿宋" w:eastAsia="仿宋" w:cs="仿宋"/>
          <w:color w:val="auto"/>
          <w:sz w:val="24"/>
          <w:szCs w:val="24"/>
          <w:highlight w:val="none"/>
          <w:shd w:val="pct10" w:color="auto" w:fill="FFFFFF"/>
        </w:rPr>
        <w:fldChar w:fldCharType="begin"/>
      </w:r>
      <w:r>
        <w:rPr>
          <w:rFonts w:hint="eastAsia" w:ascii="仿宋" w:hAnsi="仿宋" w:eastAsia="仿宋" w:cs="仿宋"/>
          <w:color w:val="auto"/>
          <w:sz w:val="24"/>
          <w:szCs w:val="24"/>
          <w:highlight w:val="none"/>
          <w:shd w:val="pct10" w:color="auto" w:fill="FFFFFF"/>
        </w:rPr>
        <w:instrText xml:space="preserve"> HYPERLINK \l _Toc4744 </w:instrText>
      </w:r>
      <w:r>
        <w:rPr>
          <w:rFonts w:hint="eastAsia" w:ascii="仿宋" w:hAnsi="仿宋" w:eastAsia="仿宋" w:cs="仿宋"/>
          <w:color w:val="auto"/>
          <w:sz w:val="24"/>
          <w:szCs w:val="24"/>
          <w:highlight w:val="none"/>
          <w:shd w:val="pct10" w:color="auto" w:fill="FFFFFF"/>
        </w:rPr>
        <w:fldChar w:fldCharType="separate"/>
      </w:r>
      <w:r>
        <w:rPr>
          <w:rFonts w:hint="eastAsia" w:ascii="仿宋" w:hAnsi="仿宋" w:eastAsia="仿宋" w:cs="仿宋"/>
          <w:color w:val="auto"/>
          <w:sz w:val="24"/>
          <w:szCs w:val="24"/>
          <w:highlight w:val="none"/>
        </w:rPr>
        <w:t>八、成交结果公告、成交通知书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_Toc4744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ascii="仿宋" w:hAnsi="仿宋" w:eastAsia="仿宋" w:cs="仿宋"/>
          <w:color w:val="auto"/>
          <w:sz w:val="24"/>
          <w:szCs w:val="24"/>
          <w:highlight w:val="none"/>
          <w:shd w:val="pct10" w:color="auto" w:fill="FFFFFF"/>
        </w:rPr>
        <w:fldChar w:fldCharType="end"/>
      </w:r>
    </w:p>
    <w:p w14:paraId="6815DF62">
      <w:pPr>
        <w:pStyle w:val="22"/>
        <w:keepNext w:val="0"/>
        <w:keepLines w:val="0"/>
        <w:pageBreakBefore w:val="0"/>
        <w:widowControl w:val="0"/>
        <w:tabs>
          <w:tab w:val="right" w:leader="dot" w:pos="8400"/>
          <w:tab w:val="clear" w:pos="941"/>
          <w:tab w:val="clear" w:pos="9923"/>
        </w:tabs>
        <w:kinsoku/>
        <w:wordWrap/>
        <w:overflowPunct/>
        <w:topLinePunct w:val="0"/>
        <w:autoSpaceDE/>
        <w:autoSpaceDN/>
        <w:bidi w:val="0"/>
        <w:adjustRightInd/>
        <w:snapToGrid/>
        <w:spacing w:line="480" w:lineRule="auto"/>
        <w:textAlignment w:val="auto"/>
        <w:rPr>
          <w:color w:val="auto"/>
          <w:sz w:val="24"/>
          <w:szCs w:val="24"/>
          <w:highlight w:val="none"/>
        </w:rPr>
      </w:pPr>
      <w:r>
        <w:rPr>
          <w:rFonts w:hint="eastAsia" w:ascii="仿宋" w:hAnsi="仿宋" w:eastAsia="仿宋" w:cs="仿宋"/>
          <w:color w:val="auto"/>
          <w:sz w:val="24"/>
          <w:szCs w:val="24"/>
          <w:highlight w:val="none"/>
          <w:shd w:val="pct10" w:color="auto" w:fill="FFFFFF"/>
        </w:rPr>
        <w:fldChar w:fldCharType="begin"/>
      </w:r>
      <w:r>
        <w:rPr>
          <w:rFonts w:hint="eastAsia" w:ascii="仿宋" w:hAnsi="仿宋" w:eastAsia="仿宋" w:cs="仿宋"/>
          <w:color w:val="auto"/>
          <w:sz w:val="24"/>
          <w:szCs w:val="24"/>
          <w:highlight w:val="none"/>
          <w:shd w:val="pct10" w:color="auto" w:fill="FFFFFF"/>
        </w:rPr>
        <w:instrText xml:space="preserve"> HYPERLINK \l _Toc3892 </w:instrText>
      </w:r>
      <w:r>
        <w:rPr>
          <w:rFonts w:hint="eastAsia" w:ascii="仿宋" w:hAnsi="仿宋" w:eastAsia="仿宋" w:cs="仿宋"/>
          <w:color w:val="auto"/>
          <w:sz w:val="24"/>
          <w:szCs w:val="24"/>
          <w:highlight w:val="none"/>
          <w:shd w:val="pct10" w:color="auto" w:fill="FFFFFF"/>
        </w:rPr>
        <w:fldChar w:fldCharType="separate"/>
      </w:r>
      <w:r>
        <w:rPr>
          <w:rFonts w:hint="eastAsia" w:ascii="仿宋" w:hAnsi="仿宋" w:eastAsia="仿宋" w:cs="仿宋"/>
          <w:color w:val="auto"/>
          <w:sz w:val="24"/>
          <w:szCs w:val="24"/>
          <w:highlight w:val="none"/>
        </w:rPr>
        <w:t>九、履约保证金、签订合同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_Toc3892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仿宋" w:hAnsi="仿宋" w:eastAsia="仿宋" w:cs="仿宋"/>
          <w:color w:val="auto"/>
          <w:sz w:val="24"/>
          <w:szCs w:val="24"/>
          <w:highlight w:val="none"/>
          <w:shd w:val="pct10" w:color="auto" w:fill="FFFFFF"/>
        </w:rPr>
        <w:fldChar w:fldCharType="end"/>
      </w:r>
    </w:p>
    <w:p w14:paraId="7F88F7BC">
      <w:pPr>
        <w:pStyle w:val="22"/>
        <w:keepNext w:val="0"/>
        <w:keepLines w:val="0"/>
        <w:pageBreakBefore w:val="0"/>
        <w:widowControl w:val="0"/>
        <w:tabs>
          <w:tab w:val="right" w:leader="dot" w:pos="8400"/>
          <w:tab w:val="clear" w:pos="941"/>
          <w:tab w:val="clear" w:pos="9923"/>
        </w:tabs>
        <w:kinsoku/>
        <w:wordWrap/>
        <w:overflowPunct/>
        <w:topLinePunct w:val="0"/>
        <w:autoSpaceDE/>
        <w:autoSpaceDN/>
        <w:bidi w:val="0"/>
        <w:adjustRightInd/>
        <w:snapToGrid/>
        <w:spacing w:line="480" w:lineRule="auto"/>
        <w:textAlignment w:val="auto"/>
        <w:rPr>
          <w:color w:val="auto"/>
          <w:sz w:val="24"/>
          <w:szCs w:val="24"/>
          <w:highlight w:val="none"/>
        </w:rPr>
      </w:pPr>
      <w:r>
        <w:rPr>
          <w:rFonts w:hint="eastAsia" w:ascii="仿宋" w:hAnsi="仿宋" w:eastAsia="仿宋" w:cs="仿宋"/>
          <w:color w:val="auto"/>
          <w:sz w:val="24"/>
          <w:szCs w:val="24"/>
          <w:highlight w:val="none"/>
          <w:shd w:val="pct10" w:color="auto" w:fill="FFFFFF"/>
        </w:rPr>
        <w:fldChar w:fldCharType="begin"/>
      </w:r>
      <w:r>
        <w:rPr>
          <w:rFonts w:hint="eastAsia" w:ascii="仿宋" w:hAnsi="仿宋" w:eastAsia="仿宋" w:cs="仿宋"/>
          <w:color w:val="auto"/>
          <w:sz w:val="24"/>
          <w:szCs w:val="24"/>
          <w:highlight w:val="none"/>
          <w:shd w:val="pct10" w:color="auto" w:fill="FFFFFF"/>
        </w:rPr>
        <w:instrText xml:space="preserve"> HYPERLINK \l _Toc13633 </w:instrText>
      </w:r>
      <w:r>
        <w:rPr>
          <w:rFonts w:hint="eastAsia" w:ascii="仿宋" w:hAnsi="仿宋" w:eastAsia="仿宋" w:cs="仿宋"/>
          <w:color w:val="auto"/>
          <w:sz w:val="24"/>
          <w:szCs w:val="24"/>
          <w:highlight w:val="none"/>
          <w:shd w:val="pct10" w:color="auto" w:fill="FFFFFF"/>
        </w:rPr>
        <w:fldChar w:fldCharType="separate"/>
      </w:r>
      <w:r>
        <w:rPr>
          <w:rFonts w:hint="eastAsia" w:ascii="仿宋" w:hAnsi="仿宋" w:eastAsia="仿宋" w:cs="仿宋"/>
          <w:color w:val="auto"/>
          <w:sz w:val="24"/>
          <w:szCs w:val="24"/>
          <w:highlight w:val="none"/>
        </w:rPr>
        <w:t>十、询问和质疑</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_Toc13633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仿宋" w:hAnsi="仿宋" w:eastAsia="仿宋" w:cs="仿宋"/>
          <w:color w:val="auto"/>
          <w:sz w:val="24"/>
          <w:szCs w:val="24"/>
          <w:highlight w:val="none"/>
          <w:shd w:val="pct10" w:color="auto" w:fill="FFFFFF"/>
        </w:rPr>
        <w:fldChar w:fldCharType="end"/>
      </w:r>
    </w:p>
    <w:p w14:paraId="0823F852">
      <w:pPr>
        <w:pStyle w:val="22"/>
        <w:keepNext w:val="0"/>
        <w:keepLines w:val="0"/>
        <w:pageBreakBefore w:val="0"/>
        <w:widowControl w:val="0"/>
        <w:tabs>
          <w:tab w:val="right" w:leader="dot" w:pos="8400"/>
          <w:tab w:val="clear" w:pos="941"/>
          <w:tab w:val="clear" w:pos="9923"/>
        </w:tabs>
        <w:kinsoku/>
        <w:wordWrap/>
        <w:overflowPunct/>
        <w:topLinePunct w:val="0"/>
        <w:autoSpaceDE/>
        <w:autoSpaceDN/>
        <w:bidi w:val="0"/>
        <w:adjustRightInd/>
        <w:snapToGrid/>
        <w:spacing w:line="480" w:lineRule="auto"/>
        <w:textAlignment w:val="auto"/>
        <w:rPr>
          <w:color w:val="auto"/>
          <w:sz w:val="24"/>
          <w:szCs w:val="24"/>
          <w:highlight w:val="none"/>
        </w:rPr>
      </w:pPr>
      <w:r>
        <w:rPr>
          <w:rFonts w:hint="eastAsia" w:ascii="仿宋" w:hAnsi="仿宋" w:eastAsia="仿宋" w:cs="仿宋"/>
          <w:color w:val="auto"/>
          <w:sz w:val="24"/>
          <w:szCs w:val="24"/>
          <w:highlight w:val="none"/>
          <w:shd w:val="pct10" w:color="auto" w:fill="FFFFFF"/>
        </w:rPr>
        <w:fldChar w:fldCharType="begin"/>
      </w:r>
      <w:r>
        <w:rPr>
          <w:rFonts w:hint="eastAsia" w:ascii="仿宋" w:hAnsi="仿宋" w:eastAsia="仿宋" w:cs="仿宋"/>
          <w:color w:val="auto"/>
          <w:sz w:val="24"/>
          <w:szCs w:val="24"/>
          <w:highlight w:val="none"/>
          <w:shd w:val="pct10" w:color="auto" w:fill="FFFFFF"/>
        </w:rPr>
        <w:instrText xml:space="preserve"> HYPERLINK \l _Toc30744 </w:instrText>
      </w:r>
      <w:r>
        <w:rPr>
          <w:rFonts w:hint="eastAsia" w:ascii="仿宋" w:hAnsi="仿宋" w:eastAsia="仿宋" w:cs="仿宋"/>
          <w:color w:val="auto"/>
          <w:sz w:val="24"/>
          <w:szCs w:val="24"/>
          <w:highlight w:val="none"/>
          <w:shd w:val="pct10" w:color="auto" w:fill="FFFFFF"/>
        </w:rPr>
        <w:fldChar w:fldCharType="separate"/>
      </w:r>
      <w:r>
        <w:rPr>
          <w:rFonts w:hint="eastAsia" w:ascii="仿宋" w:hAnsi="仿宋" w:eastAsia="仿宋" w:cs="仿宋"/>
          <w:color w:val="auto"/>
          <w:sz w:val="24"/>
          <w:szCs w:val="24"/>
          <w:highlight w:val="none"/>
        </w:rPr>
        <w:t>十一、采购代理服务费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_Toc30744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仿宋" w:hAnsi="仿宋" w:eastAsia="仿宋" w:cs="仿宋"/>
          <w:color w:val="auto"/>
          <w:sz w:val="24"/>
          <w:szCs w:val="24"/>
          <w:highlight w:val="none"/>
          <w:shd w:val="pct10" w:color="auto" w:fill="FFFFFF"/>
        </w:rPr>
        <w:fldChar w:fldCharType="end"/>
      </w:r>
    </w:p>
    <w:p w14:paraId="66CBB42B">
      <w:pPr>
        <w:pStyle w:val="22"/>
        <w:keepNext w:val="0"/>
        <w:keepLines w:val="0"/>
        <w:pageBreakBefore w:val="0"/>
        <w:widowControl w:val="0"/>
        <w:tabs>
          <w:tab w:val="right" w:leader="dot" w:pos="8400"/>
          <w:tab w:val="clear" w:pos="941"/>
          <w:tab w:val="clear" w:pos="9923"/>
        </w:tabs>
        <w:kinsoku/>
        <w:wordWrap/>
        <w:overflowPunct/>
        <w:topLinePunct w:val="0"/>
        <w:autoSpaceDE/>
        <w:autoSpaceDN/>
        <w:bidi w:val="0"/>
        <w:adjustRightInd/>
        <w:snapToGrid/>
        <w:spacing w:line="480" w:lineRule="auto"/>
        <w:textAlignment w:val="auto"/>
        <w:rPr>
          <w:color w:val="auto"/>
          <w:sz w:val="24"/>
          <w:szCs w:val="24"/>
          <w:highlight w:val="none"/>
        </w:rPr>
      </w:pPr>
      <w:r>
        <w:rPr>
          <w:rFonts w:hint="eastAsia" w:ascii="仿宋" w:hAnsi="仿宋" w:eastAsia="仿宋" w:cs="仿宋"/>
          <w:color w:val="auto"/>
          <w:sz w:val="24"/>
          <w:szCs w:val="24"/>
          <w:highlight w:val="none"/>
          <w:shd w:val="pct10" w:color="auto" w:fill="FFFFFF"/>
        </w:rPr>
        <w:fldChar w:fldCharType="begin"/>
      </w:r>
      <w:r>
        <w:rPr>
          <w:rFonts w:hint="eastAsia" w:ascii="仿宋" w:hAnsi="仿宋" w:eastAsia="仿宋" w:cs="仿宋"/>
          <w:color w:val="auto"/>
          <w:sz w:val="24"/>
          <w:szCs w:val="24"/>
          <w:highlight w:val="none"/>
          <w:shd w:val="pct10" w:color="auto" w:fill="FFFFFF"/>
        </w:rPr>
        <w:instrText xml:space="preserve"> HYPERLINK \l _Toc13576 </w:instrText>
      </w:r>
      <w:r>
        <w:rPr>
          <w:rFonts w:hint="eastAsia" w:ascii="仿宋" w:hAnsi="仿宋" w:eastAsia="仿宋" w:cs="仿宋"/>
          <w:color w:val="auto"/>
          <w:sz w:val="24"/>
          <w:szCs w:val="24"/>
          <w:highlight w:val="none"/>
          <w:shd w:val="pct10" w:color="auto" w:fill="FFFFFF"/>
        </w:rPr>
        <w:fldChar w:fldCharType="separate"/>
      </w:r>
      <w:r>
        <w:rPr>
          <w:rFonts w:hint="eastAsia" w:ascii="仿宋" w:hAnsi="仿宋" w:eastAsia="仿宋" w:cs="仿宋"/>
          <w:color w:val="auto"/>
          <w:sz w:val="24"/>
          <w:szCs w:val="24"/>
          <w:highlight w:val="none"/>
        </w:rPr>
        <w:t>十二、附则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_Toc13576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rFonts w:hint="eastAsia" w:ascii="仿宋" w:hAnsi="仿宋" w:eastAsia="仿宋" w:cs="仿宋"/>
          <w:color w:val="auto"/>
          <w:sz w:val="24"/>
          <w:szCs w:val="24"/>
          <w:highlight w:val="none"/>
          <w:shd w:val="pct10" w:color="auto" w:fill="FFFFFF"/>
        </w:rPr>
        <w:fldChar w:fldCharType="end"/>
      </w:r>
    </w:p>
    <w:p w14:paraId="51864FEE">
      <w:pPr>
        <w:pStyle w:val="21"/>
        <w:keepNext w:val="0"/>
        <w:keepLines w:val="0"/>
        <w:pageBreakBefore w:val="0"/>
        <w:widowControl w:val="0"/>
        <w:tabs>
          <w:tab w:val="right" w:leader="dot" w:pos="8400"/>
          <w:tab w:val="clear" w:pos="9913"/>
        </w:tabs>
        <w:kinsoku/>
        <w:wordWrap/>
        <w:overflowPunct/>
        <w:topLinePunct w:val="0"/>
        <w:autoSpaceDE/>
        <w:autoSpaceDN/>
        <w:bidi w:val="0"/>
        <w:adjustRightInd/>
        <w:snapToGrid/>
        <w:spacing w:line="480" w:lineRule="auto"/>
        <w:textAlignment w:val="auto"/>
        <w:rPr>
          <w:b/>
          <w:bCs/>
          <w:color w:val="auto"/>
          <w:sz w:val="24"/>
          <w:szCs w:val="24"/>
          <w:highlight w:val="none"/>
        </w:rPr>
      </w:pPr>
      <w:r>
        <w:rPr>
          <w:rFonts w:hint="eastAsia" w:ascii="仿宋" w:hAnsi="仿宋" w:eastAsia="仿宋" w:cs="仿宋"/>
          <w:b/>
          <w:bCs/>
          <w:color w:val="auto"/>
          <w:sz w:val="24"/>
          <w:szCs w:val="24"/>
          <w:highlight w:val="none"/>
          <w:shd w:val="pct10" w:color="auto" w:fill="FFFFFF"/>
        </w:rPr>
        <w:fldChar w:fldCharType="begin"/>
      </w:r>
      <w:r>
        <w:rPr>
          <w:rFonts w:hint="eastAsia" w:ascii="仿宋" w:hAnsi="仿宋" w:eastAsia="仿宋" w:cs="仿宋"/>
          <w:b/>
          <w:bCs/>
          <w:color w:val="auto"/>
          <w:sz w:val="24"/>
          <w:szCs w:val="24"/>
          <w:highlight w:val="none"/>
          <w:shd w:val="pct10" w:color="auto" w:fill="FFFFFF"/>
        </w:rPr>
        <w:instrText xml:space="preserve"> HYPERLINK \l _Toc16523 </w:instrText>
      </w:r>
      <w:r>
        <w:rPr>
          <w:rFonts w:hint="eastAsia" w:ascii="仿宋" w:hAnsi="仿宋" w:eastAsia="仿宋" w:cs="仿宋"/>
          <w:b/>
          <w:bCs/>
          <w:color w:val="auto"/>
          <w:sz w:val="24"/>
          <w:szCs w:val="24"/>
          <w:highlight w:val="none"/>
          <w:shd w:val="pct10" w:color="auto" w:fill="FFFFFF"/>
        </w:rPr>
        <w:fldChar w:fldCharType="separate"/>
      </w: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章</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采购需求</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_Toc16523 \h </w:instrText>
      </w:r>
      <w:r>
        <w:rPr>
          <w:b/>
          <w:bCs/>
          <w:color w:val="auto"/>
          <w:sz w:val="24"/>
          <w:szCs w:val="24"/>
          <w:highlight w:val="none"/>
        </w:rPr>
        <w:fldChar w:fldCharType="separate"/>
      </w:r>
      <w:r>
        <w:rPr>
          <w:b/>
          <w:bCs/>
          <w:color w:val="auto"/>
          <w:sz w:val="24"/>
          <w:szCs w:val="24"/>
          <w:highlight w:val="none"/>
        </w:rPr>
        <w:t>19</w:t>
      </w:r>
      <w:r>
        <w:rPr>
          <w:b/>
          <w:bCs/>
          <w:color w:val="auto"/>
          <w:sz w:val="24"/>
          <w:szCs w:val="24"/>
          <w:highlight w:val="none"/>
        </w:rPr>
        <w:fldChar w:fldCharType="end"/>
      </w:r>
      <w:r>
        <w:rPr>
          <w:rFonts w:hint="eastAsia" w:ascii="仿宋" w:hAnsi="仿宋" w:eastAsia="仿宋" w:cs="仿宋"/>
          <w:b/>
          <w:bCs/>
          <w:color w:val="auto"/>
          <w:sz w:val="24"/>
          <w:szCs w:val="24"/>
          <w:highlight w:val="none"/>
          <w:shd w:val="pct10" w:color="auto" w:fill="FFFFFF"/>
        </w:rPr>
        <w:fldChar w:fldCharType="end"/>
      </w:r>
    </w:p>
    <w:p w14:paraId="68248DF2">
      <w:pPr>
        <w:pStyle w:val="22"/>
        <w:keepNext w:val="0"/>
        <w:keepLines w:val="0"/>
        <w:pageBreakBefore w:val="0"/>
        <w:widowControl w:val="0"/>
        <w:tabs>
          <w:tab w:val="right" w:leader="dot" w:pos="8400"/>
          <w:tab w:val="clear" w:pos="941"/>
          <w:tab w:val="clear" w:pos="9923"/>
        </w:tabs>
        <w:kinsoku/>
        <w:wordWrap/>
        <w:overflowPunct/>
        <w:topLinePunct w:val="0"/>
        <w:autoSpaceDE/>
        <w:autoSpaceDN/>
        <w:bidi w:val="0"/>
        <w:adjustRightInd/>
        <w:snapToGrid/>
        <w:spacing w:line="480" w:lineRule="auto"/>
        <w:textAlignment w:val="auto"/>
        <w:rPr>
          <w:color w:val="auto"/>
          <w:sz w:val="24"/>
          <w:szCs w:val="24"/>
          <w:highlight w:val="none"/>
        </w:rPr>
      </w:pPr>
      <w:r>
        <w:rPr>
          <w:rFonts w:hint="eastAsia" w:ascii="仿宋" w:hAnsi="仿宋" w:eastAsia="仿宋" w:cs="仿宋"/>
          <w:color w:val="auto"/>
          <w:sz w:val="24"/>
          <w:szCs w:val="24"/>
          <w:highlight w:val="none"/>
          <w:shd w:val="pct10" w:color="auto" w:fill="FFFFFF"/>
        </w:rPr>
        <w:fldChar w:fldCharType="begin"/>
      </w:r>
      <w:r>
        <w:rPr>
          <w:rFonts w:hint="eastAsia" w:ascii="仿宋" w:hAnsi="仿宋" w:eastAsia="仿宋" w:cs="仿宋"/>
          <w:color w:val="auto"/>
          <w:sz w:val="24"/>
          <w:szCs w:val="24"/>
          <w:highlight w:val="none"/>
          <w:shd w:val="pct10" w:color="auto" w:fill="FFFFFF"/>
        </w:rPr>
        <w:instrText xml:space="preserve"> HYPERLINK \l _Toc7935 </w:instrText>
      </w:r>
      <w:r>
        <w:rPr>
          <w:rFonts w:hint="eastAsia" w:ascii="仿宋" w:hAnsi="仿宋" w:eastAsia="仿宋" w:cs="仿宋"/>
          <w:color w:val="auto"/>
          <w:sz w:val="24"/>
          <w:szCs w:val="24"/>
          <w:highlight w:val="none"/>
          <w:shd w:val="pct10" w:color="auto" w:fill="FFFFFF"/>
        </w:rPr>
        <w:fldChar w:fldCharType="separate"/>
      </w: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lang w:eastAsia="zh-CN"/>
        </w:rPr>
        <w:t>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_Toc7935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ascii="仿宋" w:hAnsi="仿宋" w:eastAsia="仿宋" w:cs="仿宋"/>
          <w:color w:val="auto"/>
          <w:sz w:val="24"/>
          <w:szCs w:val="24"/>
          <w:highlight w:val="none"/>
          <w:shd w:val="pct10" w:color="auto" w:fill="FFFFFF"/>
        </w:rPr>
        <w:fldChar w:fldCharType="end"/>
      </w:r>
    </w:p>
    <w:p w14:paraId="0976746A">
      <w:pPr>
        <w:pStyle w:val="22"/>
        <w:keepNext w:val="0"/>
        <w:keepLines w:val="0"/>
        <w:pageBreakBefore w:val="0"/>
        <w:widowControl w:val="0"/>
        <w:tabs>
          <w:tab w:val="right" w:leader="dot" w:pos="8400"/>
          <w:tab w:val="clear" w:pos="941"/>
          <w:tab w:val="clear" w:pos="9923"/>
        </w:tabs>
        <w:kinsoku/>
        <w:wordWrap/>
        <w:overflowPunct/>
        <w:topLinePunct w:val="0"/>
        <w:autoSpaceDE/>
        <w:autoSpaceDN/>
        <w:bidi w:val="0"/>
        <w:adjustRightInd/>
        <w:snapToGrid/>
        <w:spacing w:line="480" w:lineRule="auto"/>
        <w:textAlignment w:val="auto"/>
        <w:rPr>
          <w:color w:val="auto"/>
          <w:sz w:val="24"/>
          <w:szCs w:val="24"/>
          <w:highlight w:val="none"/>
        </w:rPr>
      </w:pPr>
      <w:r>
        <w:rPr>
          <w:rFonts w:hint="eastAsia" w:ascii="仿宋" w:hAnsi="仿宋" w:eastAsia="仿宋" w:cs="仿宋"/>
          <w:color w:val="auto"/>
          <w:sz w:val="24"/>
          <w:szCs w:val="24"/>
          <w:highlight w:val="none"/>
          <w:shd w:val="pct10" w:color="auto" w:fill="FFFFFF"/>
        </w:rPr>
        <w:fldChar w:fldCharType="begin"/>
      </w:r>
      <w:r>
        <w:rPr>
          <w:rFonts w:hint="eastAsia" w:ascii="仿宋" w:hAnsi="仿宋" w:eastAsia="仿宋" w:cs="仿宋"/>
          <w:color w:val="auto"/>
          <w:sz w:val="24"/>
          <w:szCs w:val="24"/>
          <w:highlight w:val="none"/>
          <w:shd w:val="pct10" w:color="auto" w:fill="FFFFFF"/>
        </w:rPr>
        <w:instrText xml:space="preserve"> HYPERLINK \l _Toc26845 </w:instrText>
      </w:r>
      <w:r>
        <w:rPr>
          <w:rFonts w:hint="eastAsia" w:ascii="仿宋" w:hAnsi="仿宋" w:eastAsia="仿宋" w:cs="仿宋"/>
          <w:color w:val="auto"/>
          <w:sz w:val="24"/>
          <w:szCs w:val="24"/>
          <w:highlight w:val="none"/>
          <w:shd w:val="pct10" w:color="auto" w:fill="FFFFFF"/>
        </w:rPr>
        <w:fldChar w:fldCharType="separate"/>
      </w: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商务</w:t>
      </w:r>
      <w:r>
        <w:rPr>
          <w:rFonts w:hint="eastAsia" w:ascii="仿宋" w:hAnsi="仿宋" w:eastAsia="仿宋" w:cs="仿宋"/>
          <w:color w:val="auto"/>
          <w:sz w:val="24"/>
          <w:szCs w:val="24"/>
          <w:highlight w:val="none"/>
        </w:rPr>
        <w:t>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_Toc26845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ascii="仿宋" w:hAnsi="仿宋" w:eastAsia="仿宋" w:cs="仿宋"/>
          <w:color w:val="auto"/>
          <w:sz w:val="24"/>
          <w:szCs w:val="24"/>
          <w:highlight w:val="none"/>
          <w:shd w:val="pct10" w:color="auto" w:fill="FFFFFF"/>
        </w:rPr>
        <w:fldChar w:fldCharType="end"/>
      </w:r>
    </w:p>
    <w:p w14:paraId="58746C43">
      <w:pPr>
        <w:pStyle w:val="21"/>
        <w:keepNext w:val="0"/>
        <w:keepLines w:val="0"/>
        <w:pageBreakBefore w:val="0"/>
        <w:widowControl w:val="0"/>
        <w:tabs>
          <w:tab w:val="right" w:leader="dot" w:pos="8400"/>
          <w:tab w:val="clear" w:pos="9913"/>
        </w:tabs>
        <w:kinsoku/>
        <w:wordWrap/>
        <w:overflowPunct/>
        <w:topLinePunct w:val="0"/>
        <w:autoSpaceDE/>
        <w:autoSpaceDN/>
        <w:bidi w:val="0"/>
        <w:adjustRightInd/>
        <w:snapToGrid/>
        <w:spacing w:line="480" w:lineRule="auto"/>
        <w:textAlignment w:val="auto"/>
        <w:rPr>
          <w:b/>
          <w:bCs/>
          <w:color w:val="auto"/>
          <w:sz w:val="24"/>
          <w:szCs w:val="24"/>
          <w:highlight w:val="none"/>
        </w:rPr>
      </w:pPr>
      <w:r>
        <w:rPr>
          <w:rFonts w:hint="eastAsia" w:ascii="仿宋" w:hAnsi="仿宋" w:eastAsia="仿宋" w:cs="仿宋"/>
          <w:b/>
          <w:bCs/>
          <w:color w:val="auto"/>
          <w:sz w:val="24"/>
          <w:szCs w:val="24"/>
          <w:highlight w:val="none"/>
          <w:shd w:val="pct10" w:color="auto" w:fill="FFFFFF"/>
        </w:rPr>
        <w:fldChar w:fldCharType="begin"/>
      </w:r>
      <w:r>
        <w:rPr>
          <w:rFonts w:hint="eastAsia" w:ascii="仿宋" w:hAnsi="仿宋" w:eastAsia="仿宋" w:cs="仿宋"/>
          <w:b/>
          <w:bCs/>
          <w:color w:val="auto"/>
          <w:sz w:val="24"/>
          <w:szCs w:val="24"/>
          <w:highlight w:val="none"/>
          <w:shd w:val="pct10" w:color="auto" w:fill="FFFFFF"/>
        </w:rPr>
        <w:instrText xml:space="preserve"> HYPERLINK \l _Toc5893 </w:instrText>
      </w:r>
      <w:r>
        <w:rPr>
          <w:rFonts w:hint="eastAsia" w:ascii="仿宋" w:hAnsi="仿宋" w:eastAsia="仿宋" w:cs="仿宋"/>
          <w:b/>
          <w:bCs/>
          <w:color w:val="auto"/>
          <w:sz w:val="24"/>
          <w:szCs w:val="24"/>
          <w:highlight w:val="none"/>
          <w:shd w:val="pct10" w:color="auto" w:fill="FFFFFF"/>
        </w:rPr>
        <w:fldChar w:fldCharType="separate"/>
      </w: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章　拟签订的合同文本</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_Toc5893 \h </w:instrText>
      </w:r>
      <w:r>
        <w:rPr>
          <w:b/>
          <w:bCs/>
          <w:color w:val="auto"/>
          <w:sz w:val="24"/>
          <w:szCs w:val="24"/>
          <w:highlight w:val="none"/>
        </w:rPr>
        <w:fldChar w:fldCharType="separate"/>
      </w:r>
      <w:r>
        <w:rPr>
          <w:b/>
          <w:bCs/>
          <w:color w:val="auto"/>
          <w:sz w:val="24"/>
          <w:szCs w:val="24"/>
          <w:highlight w:val="none"/>
        </w:rPr>
        <w:t>20</w:t>
      </w:r>
      <w:r>
        <w:rPr>
          <w:b/>
          <w:bCs/>
          <w:color w:val="auto"/>
          <w:sz w:val="24"/>
          <w:szCs w:val="24"/>
          <w:highlight w:val="none"/>
        </w:rPr>
        <w:fldChar w:fldCharType="end"/>
      </w:r>
      <w:r>
        <w:rPr>
          <w:rFonts w:hint="eastAsia" w:ascii="仿宋" w:hAnsi="仿宋" w:eastAsia="仿宋" w:cs="仿宋"/>
          <w:b/>
          <w:bCs/>
          <w:color w:val="auto"/>
          <w:sz w:val="24"/>
          <w:szCs w:val="24"/>
          <w:highlight w:val="none"/>
          <w:shd w:val="pct10" w:color="auto" w:fill="FFFFFF"/>
        </w:rPr>
        <w:fldChar w:fldCharType="end"/>
      </w:r>
    </w:p>
    <w:p w14:paraId="30C726B5">
      <w:pPr>
        <w:pStyle w:val="21"/>
        <w:keepNext w:val="0"/>
        <w:keepLines w:val="0"/>
        <w:pageBreakBefore w:val="0"/>
        <w:widowControl w:val="0"/>
        <w:tabs>
          <w:tab w:val="right" w:leader="dot" w:pos="8400"/>
          <w:tab w:val="clear" w:pos="9913"/>
        </w:tabs>
        <w:kinsoku/>
        <w:wordWrap/>
        <w:overflowPunct/>
        <w:topLinePunct w:val="0"/>
        <w:autoSpaceDE/>
        <w:autoSpaceDN/>
        <w:bidi w:val="0"/>
        <w:adjustRightInd/>
        <w:snapToGrid/>
        <w:spacing w:line="480" w:lineRule="auto"/>
        <w:textAlignment w:val="auto"/>
        <w:rPr>
          <w:color w:val="auto"/>
          <w:highlight w:val="none"/>
        </w:rPr>
      </w:pPr>
      <w:r>
        <w:rPr>
          <w:rFonts w:hint="eastAsia" w:ascii="仿宋" w:hAnsi="仿宋" w:eastAsia="仿宋" w:cs="仿宋"/>
          <w:b/>
          <w:bCs/>
          <w:color w:val="auto"/>
          <w:sz w:val="24"/>
          <w:szCs w:val="24"/>
          <w:highlight w:val="none"/>
          <w:shd w:val="pct10" w:color="auto" w:fill="FFFFFF"/>
        </w:rPr>
        <w:fldChar w:fldCharType="begin"/>
      </w:r>
      <w:r>
        <w:rPr>
          <w:rFonts w:hint="eastAsia" w:ascii="仿宋" w:hAnsi="仿宋" w:eastAsia="仿宋" w:cs="仿宋"/>
          <w:b/>
          <w:bCs/>
          <w:color w:val="auto"/>
          <w:sz w:val="24"/>
          <w:szCs w:val="24"/>
          <w:highlight w:val="none"/>
          <w:shd w:val="pct10" w:color="auto" w:fill="FFFFFF"/>
        </w:rPr>
        <w:instrText xml:space="preserve"> HYPERLINK \l _Toc22161 </w:instrText>
      </w:r>
      <w:r>
        <w:rPr>
          <w:rFonts w:hint="eastAsia" w:ascii="仿宋" w:hAnsi="仿宋" w:eastAsia="仿宋" w:cs="仿宋"/>
          <w:b/>
          <w:bCs/>
          <w:color w:val="auto"/>
          <w:sz w:val="24"/>
          <w:szCs w:val="24"/>
          <w:highlight w:val="none"/>
          <w:shd w:val="pct10" w:color="auto" w:fill="FFFFFF"/>
        </w:rPr>
        <w:fldChar w:fldCharType="separate"/>
      </w: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章</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响应文件格式</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_Toc22161 \h </w:instrText>
      </w:r>
      <w:r>
        <w:rPr>
          <w:b/>
          <w:bCs/>
          <w:color w:val="auto"/>
          <w:sz w:val="24"/>
          <w:szCs w:val="24"/>
          <w:highlight w:val="none"/>
        </w:rPr>
        <w:fldChar w:fldCharType="separate"/>
      </w:r>
      <w:r>
        <w:rPr>
          <w:b/>
          <w:bCs/>
          <w:color w:val="auto"/>
          <w:sz w:val="24"/>
          <w:szCs w:val="24"/>
          <w:highlight w:val="none"/>
        </w:rPr>
        <w:t>24</w:t>
      </w:r>
      <w:r>
        <w:rPr>
          <w:b/>
          <w:bCs/>
          <w:color w:val="auto"/>
          <w:sz w:val="24"/>
          <w:szCs w:val="24"/>
          <w:highlight w:val="none"/>
        </w:rPr>
        <w:fldChar w:fldCharType="end"/>
      </w:r>
      <w:r>
        <w:rPr>
          <w:rFonts w:hint="eastAsia" w:ascii="仿宋" w:hAnsi="仿宋" w:eastAsia="仿宋" w:cs="仿宋"/>
          <w:b/>
          <w:bCs/>
          <w:color w:val="auto"/>
          <w:sz w:val="24"/>
          <w:szCs w:val="24"/>
          <w:highlight w:val="none"/>
          <w:shd w:val="pct10" w:color="auto" w:fill="FFFFFF"/>
        </w:rPr>
        <w:fldChar w:fldCharType="end"/>
      </w:r>
    </w:p>
    <w:p w14:paraId="6934A0EC">
      <w:pPr>
        <w:pStyle w:val="21"/>
        <w:keepNext w:val="0"/>
        <w:keepLines w:val="0"/>
        <w:pageBreakBefore w:val="0"/>
        <w:widowControl w:val="0"/>
        <w:kinsoku/>
        <w:wordWrap/>
        <w:overflowPunct/>
        <w:topLinePunct w:val="0"/>
        <w:autoSpaceDE/>
        <w:autoSpaceDN/>
        <w:bidi w:val="0"/>
        <w:adjustRightInd/>
        <w:snapToGrid/>
        <w:spacing w:line="480" w:lineRule="auto"/>
        <w:textAlignment w:val="auto"/>
        <w:rPr>
          <w:rStyle w:val="30"/>
          <w:rFonts w:ascii="仿宋" w:hAnsi="仿宋" w:eastAsia="仿宋" w:cs="仿宋"/>
          <w:b/>
          <w:color w:val="auto"/>
          <w:highlight w:val="none"/>
        </w:rPr>
      </w:pPr>
      <w:r>
        <w:rPr>
          <w:rFonts w:hint="eastAsia" w:ascii="仿宋" w:hAnsi="仿宋" w:eastAsia="仿宋" w:cs="仿宋"/>
          <w:color w:val="auto"/>
          <w:highlight w:val="none"/>
          <w:shd w:val="pct10" w:color="auto" w:fill="FFFFFF"/>
        </w:rPr>
        <w:fldChar w:fldCharType="end"/>
      </w:r>
    </w:p>
    <w:p w14:paraId="58C8E3CE">
      <w:pPr>
        <w:pStyle w:val="21"/>
        <w:spacing w:line="360" w:lineRule="exact"/>
        <w:rPr>
          <w:rFonts w:ascii="仿宋" w:hAnsi="仿宋" w:eastAsia="仿宋" w:cs="仿宋"/>
          <w:color w:val="auto"/>
          <w:highlight w:val="none"/>
        </w:rPr>
      </w:pPr>
    </w:p>
    <w:p w14:paraId="1D3A6FD4">
      <w:pPr>
        <w:spacing w:line="360" w:lineRule="exact"/>
        <w:rPr>
          <w:rFonts w:ascii="仿宋" w:hAnsi="仿宋" w:eastAsia="仿宋" w:cs="仿宋"/>
          <w:color w:val="auto"/>
          <w:highlight w:val="none"/>
        </w:rPr>
      </w:pPr>
    </w:p>
    <w:p w14:paraId="2561587C">
      <w:pPr>
        <w:pStyle w:val="4"/>
        <w:jc w:val="center"/>
        <w:rPr>
          <w:rFonts w:hint="eastAsia" w:ascii="仿宋" w:hAnsi="仿宋" w:eastAsia="仿宋" w:cs="仿宋"/>
          <w:b/>
          <w:bCs/>
          <w:color w:val="auto"/>
          <w:sz w:val="32"/>
          <w:highlight w:val="none"/>
        </w:rPr>
      </w:pPr>
      <w:bookmarkStart w:id="0" w:name="_Toc18661"/>
      <w:r>
        <w:rPr>
          <w:rFonts w:hint="eastAsia" w:ascii="仿宋" w:hAnsi="仿宋" w:eastAsia="仿宋" w:cs="仿宋"/>
          <w:b/>
          <w:bCs/>
          <w:color w:val="auto"/>
          <w:sz w:val="32"/>
          <w:highlight w:val="none"/>
        </w:rPr>
        <w:t>第一章　谈判邀请</w:t>
      </w:r>
      <w:bookmarkEnd w:id="0"/>
    </w:p>
    <w:p w14:paraId="446D4ED4">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7FAE36D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瑞昌市盛盈贸易有限公司运输服务采购</w:t>
      </w:r>
      <w:r>
        <w:rPr>
          <w:rFonts w:hint="eastAsia" w:ascii="仿宋" w:hAnsi="仿宋" w:eastAsia="仿宋" w:cs="仿宋"/>
          <w:color w:val="auto"/>
          <w:sz w:val="24"/>
          <w:szCs w:val="24"/>
          <w:highlight w:val="none"/>
          <w:u w:val="none"/>
          <w:lang w:val="en-US" w:eastAsia="zh-CN"/>
        </w:rPr>
        <w:t>项目</w:t>
      </w:r>
      <w:r>
        <w:rPr>
          <w:rFonts w:hint="eastAsia" w:ascii="仿宋" w:hAnsi="仿宋" w:eastAsia="仿宋" w:cs="仿宋"/>
          <w:color w:val="auto"/>
          <w:sz w:val="24"/>
          <w:szCs w:val="24"/>
          <w:highlight w:val="none"/>
        </w:rPr>
        <w:t>的潜在供应商应在</w:t>
      </w:r>
      <w:r>
        <w:rPr>
          <w:rFonts w:hint="eastAsia" w:ascii="仿宋" w:hAnsi="仿宋" w:eastAsia="仿宋" w:cs="仿宋"/>
          <w:i w:val="0"/>
          <w:iCs w:val="0"/>
          <w:color w:val="auto"/>
          <w:sz w:val="24"/>
          <w:szCs w:val="24"/>
          <w:highlight w:val="none"/>
          <w:u w:val="single"/>
          <w:lang w:eastAsia="zh-CN"/>
        </w:rPr>
        <w:t>瑞昌市城投供应链采销平台（http://rcct.srm-a.gyuncai.com/）</w:t>
      </w:r>
      <w:r>
        <w:rPr>
          <w:rFonts w:hint="eastAsia" w:ascii="仿宋" w:hAnsi="仿宋" w:eastAsia="仿宋" w:cs="仿宋"/>
          <w:color w:val="auto"/>
          <w:sz w:val="24"/>
          <w:szCs w:val="24"/>
          <w:highlight w:val="none"/>
        </w:rPr>
        <w:t>获取谈判文件及其它资料。并于</w:t>
      </w:r>
      <w:r>
        <w:rPr>
          <w:rFonts w:hint="eastAsia" w:ascii="仿宋" w:hAnsi="仿宋" w:eastAsia="仿宋" w:cs="仿宋"/>
          <w:color w:val="0000FF"/>
          <w:sz w:val="24"/>
          <w:szCs w:val="24"/>
          <w:highlight w:val="none"/>
          <w:u w:val="single"/>
          <w:lang w:val="en-US" w:eastAsia="zh-CN"/>
        </w:rPr>
        <w:t>2025年06月24日09点30分</w:t>
      </w:r>
      <w:r>
        <w:rPr>
          <w:rFonts w:hint="eastAsia" w:ascii="仿宋" w:hAnsi="仿宋" w:eastAsia="仿宋" w:cs="仿宋"/>
          <w:color w:val="auto"/>
          <w:sz w:val="24"/>
          <w:szCs w:val="24"/>
          <w:highlight w:val="none"/>
        </w:rPr>
        <w:t>（北京时间）前提交响应文件。</w:t>
      </w:r>
    </w:p>
    <w:p w14:paraId="1F834BEF">
      <w:pPr>
        <w:pStyle w:val="5"/>
        <w:spacing w:before="0" w:after="0" w:line="360" w:lineRule="auto"/>
        <w:rPr>
          <w:rFonts w:hint="eastAsia" w:ascii="仿宋" w:hAnsi="仿宋" w:eastAsia="仿宋" w:cs="仿宋"/>
          <w:b/>
          <w:bCs w:val="0"/>
          <w:color w:val="auto"/>
          <w:sz w:val="24"/>
          <w:szCs w:val="24"/>
          <w:highlight w:val="none"/>
        </w:rPr>
      </w:pPr>
      <w:bookmarkStart w:id="1" w:name="_Toc35393621"/>
      <w:bookmarkStart w:id="2" w:name="_Toc2679"/>
      <w:bookmarkStart w:id="3" w:name="_Toc27129"/>
      <w:bookmarkStart w:id="4" w:name="_Toc35393790"/>
      <w:bookmarkStart w:id="5" w:name="_Toc28359002"/>
      <w:bookmarkStart w:id="6" w:name="_Toc28359079"/>
      <w:bookmarkStart w:id="7" w:name="_Hlk24379207"/>
      <w:r>
        <w:rPr>
          <w:rFonts w:hint="eastAsia" w:ascii="仿宋" w:hAnsi="仿宋" w:eastAsia="仿宋" w:cs="仿宋"/>
          <w:b/>
          <w:bCs w:val="0"/>
          <w:color w:val="auto"/>
          <w:sz w:val="24"/>
          <w:szCs w:val="24"/>
          <w:highlight w:val="none"/>
        </w:rPr>
        <w:t>一、项目基本情况</w:t>
      </w:r>
      <w:bookmarkEnd w:id="1"/>
      <w:bookmarkEnd w:id="2"/>
      <w:bookmarkEnd w:id="3"/>
      <w:bookmarkEnd w:id="4"/>
      <w:bookmarkEnd w:id="5"/>
      <w:bookmarkEnd w:id="6"/>
    </w:p>
    <w:p w14:paraId="302E1827">
      <w:pPr>
        <w:spacing w:line="360" w:lineRule="auto"/>
        <w:ind w:firstLine="480" w:firstLineChars="200"/>
        <w:rPr>
          <w:rFonts w:hint="eastAsia" w:ascii="仿宋" w:hAnsi="仿宋" w:eastAsia="仿宋" w:cs="仿宋"/>
          <w:i/>
          <w:iCs/>
          <w:color w:val="auto"/>
          <w:sz w:val="24"/>
          <w:szCs w:val="24"/>
          <w:highlight w:val="none"/>
          <w:lang w:eastAsia="zh-CN"/>
        </w:rPr>
      </w:pPr>
      <w:r>
        <w:rPr>
          <w:rFonts w:hint="eastAsia" w:ascii="仿宋" w:hAnsi="仿宋" w:eastAsia="仿宋" w:cs="仿宋"/>
          <w:i w:val="0"/>
          <w:iCs w:val="0"/>
          <w:color w:val="auto"/>
          <w:sz w:val="24"/>
          <w:szCs w:val="24"/>
          <w:highlight w:val="none"/>
        </w:rPr>
        <w:t>项目编号：</w:t>
      </w:r>
      <w:r>
        <w:rPr>
          <w:rFonts w:hint="eastAsia" w:ascii="仿宋" w:hAnsi="仿宋" w:eastAsia="仿宋" w:cs="仿宋"/>
          <w:i w:val="0"/>
          <w:iCs w:val="0"/>
          <w:color w:val="0000FF"/>
          <w:sz w:val="24"/>
          <w:szCs w:val="24"/>
          <w:highlight w:val="none"/>
          <w:lang w:eastAsia="zh-CN"/>
        </w:rPr>
        <w:t>城招202506-YF01</w:t>
      </w:r>
    </w:p>
    <w:p w14:paraId="7A775B21">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瑞昌市盛盈贸易有限公司运输服务采购</w:t>
      </w:r>
    </w:p>
    <w:bookmarkEnd w:id="7"/>
    <w:p w14:paraId="25329B2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w:t>
      </w:r>
      <w:r>
        <w:rPr>
          <w:rFonts w:hint="eastAsia" w:ascii="仿宋" w:hAnsi="仿宋" w:eastAsia="仿宋" w:cs="仿宋"/>
          <w:color w:val="auto"/>
          <w:sz w:val="24"/>
          <w:szCs w:val="24"/>
          <w:highlight w:val="none"/>
          <w:lang w:eastAsia="zh-CN"/>
        </w:rPr>
        <w:t>金额</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265000.00元</w:t>
      </w:r>
    </w:p>
    <w:p w14:paraId="32A88FC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r>
        <w:rPr>
          <w:rFonts w:hint="eastAsia" w:ascii="仿宋" w:hAnsi="仿宋" w:eastAsia="仿宋" w:cs="仿宋"/>
          <w:color w:val="auto"/>
          <w:sz w:val="24"/>
          <w:szCs w:val="24"/>
          <w:highlight w:val="none"/>
          <w:lang w:val="en-US" w:eastAsia="zh-CN"/>
        </w:rPr>
        <w:t>265000.00元</w:t>
      </w:r>
    </w:p>
    <w:p w14:paraId="7CF3347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tbl>
      <w:tblPr>
        <w:tblStyle w:val="27"/>
        <w:tblpPr w:leftFromText="180" w:rightFromText="180" w:vertAnchor="text" w:tblpX="10597" w:tblpY="-2163"/>
        <w:tblOverlap w:val="never"/>
        <w:tblW w:w="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tblGrid>
      <w:tr w14:paraId="121D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98" w:type="dxa"/>
          </w:tcPr>
          <w:p w14:paraId="399DB7C4">
            <w:pPr>
              <w:spacing w:line="360" w:lineRule="auto"/>
              <w:rPr>
                <w:rFonts w:hint="eastAsia" w:ascii="仿宋" w:hAnsi="仿宋" w:eastAsia="仿宋" w:cs="仿宋"/>
                <w:b/>
                <w:color w:val="auto"/>
                <w:sz w:val="24"/>
                <w:szCs w:val="24"/>
                <w:highlight w:val="none"/>
              </w:rPr>
            </w:pPr>
          </w:p>
        </w:tc>
      </w:tr>
    </w:tbl>
    <w:tbl>
      <w:tblPr>
        <w:tblStyle w:val="26"/>
        <w:tblW w:w="921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05"/>
        <w:gridCol w:w="2217"/>
        <w:gridCol w:w="1100"/>
        <w:gridCol w:w="725"/>
        <w:gridCol w:w="725"/>
        <w:gridCol w:w="1273"/>
        <w:gridCol w:w="1273"/>
      </w:tblGrid>
      <w:tr w14:paraId="7D5CC0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1905" w:type="dxa"/>
            <w:vAlign w:val="center"/>
          </w:tcPr>
          <w:p w14:paraId="47D8F886">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项目</w:t>
            </w:r>
            <w:r>
              <w:rPr>
                <w:rFonts w:hint="eastAsia" w:ascii="仿宋" w:hAnsi="仿宋" w:eastAsia="仿宋" w:cs="仿宋"/>
                <w:color w:val="auto"/>
                <w:kern w:val="0"/>
                <w:sz w:val="24"/>
                <w:szCs w:val="24"/>
                <w:highlight w:val="none"/>
                <w:lang w:bidi="ar"/>
              </w:rPr>
              <w:t>编号</w:t>
            </w:r>
          </w:p>
        </w:tc>
        <w:tc>
          <w:tcPr>
            <w:tcW w:w="2217" w:type="dxa"/>
            <w:vAlign w:val="center"/>
          </w:tcPr>
          <w:p w14:paraId="12D3D65B">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项</w:t>
            </w:r>
            <w:r>
              <w:rPr>
                <w:rFonts w:hint="eastAsia" w:ascii="仿宋" w:hAnsi="仿宋" w:eastAsia="仿宋" w:cs="仿宋"/>
                <w:color w:val="auto"/>
                <w:kern w:val="0"/>
                <w:sz w:val="24"/>
                <w:szCs w:val="24"/>
                <w:highlight w:val="none"/>
                <w:lang w:bidi="ar"/>
              </w:rPr>
              <w:t>目名称</w:t>
            </w:r>
          </w:p>
        </w:tc>
        <w:tc>
          <w:tcPr>
            <w:tcW w:w="1100" w:type="dxa"/>
            <w:vAlign w:val="center"/>
          </w:tcPr>
          <w:p w14:paraId="5093E98B">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暂定运输</w:t>
            </w:r>
            <w:r>
              <w:rPr>
                <w:rFonts w:hint="eastAsia" w:ascii="仿宋" w:hAnsi="仿宋" w:eastAsia="仿宋" w:cs="仿宋"/>
                <w:color w:val="auto"/>
                <w:kern w:val="0"/>
                <w:sz w:val="24"/>
                <w:szCs w:val="24"/>
                <w:highlight w:val="none"/>
                <w:lang w:bidi="ar"/>
              </w:rPr>
              <w:t>数量</w:t>
            </w:r>
          </w:p>
        </w:tc>
        <w:tc>
          <w:tcPr>
            <w:tcW w:w="725" w:type="dxa"/>
            <w:vAlign w:val="center"/>
          </w:tcPr>
          <w:p w14:paraId="57FCBFDB">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单位</w:t>
            </w:r>
          </w:p>
        </w:tc>
        <w:tc>
          <w:tcPr>
            <w:tcW w:w="725" w:type="dxa"/>
            <w:vAlign w:val="center"/>
          </w:tcPr>
          <w:p w14:paraId="080F80C0">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预算单价</w:t>
            </w:r>
          </w:p>
        </w:tc>
        <w:tc>
          <w:tcPr>
            <w:tcW w:w="1273" w:type="dxa"/>
            <w:shd w:val="clear" w:color="auto" w:fill="auto"/>
            <w:vAlign w:val="center"/>
          </w:tcPr>
          <w:p w14:paraId="5EB2B618">
            <w:pPr>
              <w:widowControl/>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预算金额</w:t>
            </w:r>
          </w:p>
        </w:tc>
        <w:tc>
          <w:tcPr>
            <w:tcW w:w="1273" w:type="dxa"/>
            <w:vAlign w:val="center"/>
          </w:tcPr>
          <w:p w14:paraId="6CB6E911">
            <w:pPr>
              <w:widowControl/>
              <w:spacing w:line="36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技术需求或服务要求</w:t>
            </w:r>
          </w:p>
        </w:tc>
      </w:tr>
      <w:tr w14:paraId="173F6C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jc w:val="center"/>
        </w:trPr>
        <w:tc>
          <w:tcPr>
            <w:tcW w:w="1905" w:type="dxa"/>
            <w:vAlign w:val="center"/>
          </w:tcPr>
          <w:p w14:paraId="5CC93D4E">
            <w:pPr>
              <w:widowControl/>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城招202506-YF01</w:t>
            </w:r>
          </w:p>
        </w:tc>
        <w:tc>
          <w:tcPr>
            <w:tcW w:w="2217" w:type="dxa"/>
            <w:vAlign w:val="center"/>
          </w:tcPr>
          <w:p w14:paraId="69527503">
            <w:pPr>
              <w:widowControl/>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瑞昌市盛盈贸易有限公司运输服务采购</w:t>
            </w:r>
          </w:p>
        </w:tc>
        <w:tc>
          <w:tcPr>
            <w:tcW w:w="1100" w:type="dxa"/>
            <w:vAlign w:val="center"/>
          </w:tcPr>
          <w:p w14:paraId="1428E271">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100000.00</w:t>
            </w:r>
          </w:p>
        </w:tc>
        <w:tc>
          <w:tcPr>
            <w:tcW w:w="725" w:type="dxa"/>
            <w:vAlign w:val="center"/>
          </w:tcPr>
          <w:p w14:paraId="4A36C083">
            <w:pPr>
              <w:widowControl/>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吨</w:t>
            </w:r>
          </w:p>
        </w:tc>
        <w:tc>
          <w:tcPr>
            <w:tcW w:w="725" w:type="dxa"/>
            <w:vAlign w:val="center"/>
          </w:tcPr>
          <w:p w14:paraId="76E76F03">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2.65元/吨</w:t>
            </w:r>
          </w:p>
        </w:tc>
        <w:tc>
          <w:tcPr>
            <w:tcW w:w="1273" w:type="dxa"/>
            <w:shd w:val="clear" w:color="auto" w:fill="auto"/>
            <w:vAlign w:val="center"/>
          </w:tcPr>
          <w:p w14:paraId="3431B4DF">
            <w:pPr>
              <w:widowControl/>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265000.00元</w:t>
            </w:r>
          </w:p>
        </w:tc>
        <w:tc>
          <w:tcPr>
            <w:tcW w:w="1273" w:type="dxa"/>
            <w:vAlign w:val="center"/>
          </w:tcPr>
          <w:p w14:paraId="5EEC0E95">
            <w:pPr>
              <w:widowControl/>
              <w:spacing w:line="360" w:lineRule="auto"/>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详见</w:t>
            </w:r>
            <w:r>
              <w:rPr>
                <w:rFonts w:hint="eastAsia" w:ascii="仿宋" w:hAnsi="仿宋" w:eastAsia="仿宋" w:cs="仿宋"/>
                <w:color w:val="auto"/>
                <w:kern w:val="0"/>
                <w:sz w:val="24"/>
                <w:szCs w:val="24"/>
                <w:highlight w:val="none"/>
                <w:lang w:val="en-US" w:eastAsia="zh-CN" w:bidi="ar"/>
              </w:rPr>
              <w:t>谈判文件第三章</w:t>
            </w:r>
          </w:p>
        </w:tc>
      </w:tr>
    </w:tbl>
    <w:p w14:paraId="3B8DBCEF">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val="en-US" w:eastAsia="zh-CN"/>
        </w:rPr>
        <w:t>2年</w:t>
      </w:r>
      <w:r>
        <w:rPr>
          <w:rFonts w:hint="eastAsia" w:ascii="仿宋" w:hAnsi="仿宋" w:eastAsia="仿宋" w:cs="仿宋"/>
          <w:color w:val="auto"/>
          <w:sz w:val="24"/>
          <w:szCs w:val="24"/>
          <w:highlight w:val="none"/>
        </w:rPr>
        <w:t>。</w:t>
      </w:r>
    </w:p>
    <w:p w14:paraId="4527BD3D">
      <w:pPr>
        <w:spacing w:line="360" w:lineRule="auto"/>
        <w:ind w:firstLine="480" w:firstLineChars="200"/>
        <w:rPr>
          <w:rFonts w:hint="eastAsia" w:ascii="仿宋" w:hAnsi="仿宋" w:eastAsia="仿宋" w:cs="仿宋"/>
          <w:color w:val="auto"/>
          <w:sz w:val="24"/>
          <w:szCs w:val="24"/>
          <w:highlight w:val="none"/>
        </w:rPr>
      </w:pPr>
      <w:bookmarkStart w:id="8" w:name="_Toc26529"/>
      <w:bookmarkStart w:id="9" w:name="_Toc35393622"/>
      <w:bookmarkStart w:id="10" w:name="_Toc28359080"/>
      <w:bookmarkStart w:id="11" w:name="_Toc28359003"/>
      <w:bookmarkStart w:id="12" w:name="_Toc35393791"/>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不</w:t>
      </w:r>
      <w:r>
        <w:rPr>
          <w:rFonts w:hint="eastAsia" w:ascii="仿宋" w:hAnsi="仿宋" w:eastAsia="仿宋" w:cs="仿宋"/>
          <w:color w:val="auto"/>
          <w:sz w:val="24"/>
          <w:szCs w:val="24"/>
          <w:highlight w:val="none"/>
        </w:rPr>
        <w:t>接受联合体。</w:t>
      </w:r>
    </w:p>
    <w:p w14:paraId="13FAF6DB">
      <w:pPr>
        <w:pStyle w:val="5"/>
        <w:keepNext w:val="0"/>
        <w:keepLines w:val="0"/>
        <w:spacing w:before="0" w:after="0" w:line="360" w:lineRule="auto"/>
        <w:rPr>
          <w:rFonts w:hint="eastAsia" w:ascii="仿宋" w:hAnsi="仿宋" w:eastAsia="仿宋" w:cs="仿宋"/>
          <w:b/>
          <w:bCs w:val="0"/>
          <w:color w:val="auto"/>
          <w:sz w:val="24"/>
          <w:szCs w:val="24"/>
          <w:highlight w:val="none"/>
        </w:rPr>
      </w:pPr>
      <w:bookmarkStart w:id="13" w:name="_Toc31907"/>
      <w:r>
        <w:rPr>
          <w:rFonts w:hint="eastAsia" w:ascii="仿宋" w:hAnsi="仿宋" w:eastAsia="仿宋" w:cs="仿宋"/>
          <w:b/>
          <w:bCs w:val="0"/>
          <w:color w:val="auto"/>
          <w:sz w:val="24"/>
          <w:szCs w:val="24"/>
          <w:highlight w:val="none"/>
        </w:rPr>
        <w:t>二、申请人的资格要求</w:t>
      </w:r>
      <w:bookmarkEnd w:id="8"/>
      <w:bookmarkEnd w:id="9"/>
      <w:bookmarkEnd w:id="10"/>
      <w:bookmarkEnd w:id="11"/>
      <w:bookmarkEnd w:id="12"/>
      <w:bookmarkEnd w:id="13"/>
    </w:p>
    <w:p w14:paraId="10EF8CE1">
      <w:pPr>
        <w:pageBreakBefore w:val="0"/>
        <w:kinsoku/>
        <w:wordWrap/>
        <w:overflowPunct/>
        <w:topLinePunct w:val="0"/>
        <w:bidi w:val="0"/>
        <w:spacing w:line="360" w:lineRule="auto"/>
        <w:ind w:left="0" w:leftChars="0" w:firstLine="420" w:firstLineChars="175"/>
        <w:textAlignment w:val="auto"/>
        <w:rPr>
          <w:rFonts w:hint="eastAsia" w:ascii="仿宋" w:hAnsi="仿宋" w:eastAsia="仿宋" w:cs="仿宋"/>
          <w:i w:val="0"/>
          <w:iCs w:val="0"/>
          <w:color w:val="auto"/>
          <w:sz w:val="24"/>
          <w:szCs w:val="24"/>
          <w:highlight w:val="none"/>
        </w:rPr>
      </w:pPr>
      <w:bookmarkStart w:id="14" w:name="_Toc28359081"/>
      <w:bookmarkStart w:id="15" w:name="_Toc35393792"/>
      <w:bookmarkStart w:id="16" w:name="_Toc28359004"/>
      <w:bookmarkStart w:id="17" w:name="_Toc35393623"/>
      <w:r>
        <w:rPr>
          <w:rFonts w:hint="eastAsia" w:ascii="仿宋" w:hAnsi="仿宋" w:eastAsia="仿宋" w:cs="仿宋"/>
          <w:i w:val="0"/>
          <w:iCs w:val="0"/>
          <w:color w:val="auto"/>
          <w:sz w:val="24"/>
          <w:szCs w:val="24"/>
          <w:highlight w:val="none"/>
        </w:rPr>
        <w:t>1.满足</w:t>
      </w:r>
      <w:r>
        <w:rPr>
          <w:rFonts w:hint="eastAsia" w:ascii="仿宋" w:hAnsi="仿宋" w:eastAsia="仿宋" w:cs="仿宋"/>
          <w:i w:val="0"/>
          <w:iCs w:val="0"/>
          <w:strike w:val="0"/>
          <w:dstrike w:val="0"/>
          <w:color w:val="auto"/>
          <w:sz w:val="24"/>
          <w:szCs w:val="24"/>
          <w:highlight w:val="none"/>
          <w:lang w:val="en-US" w:eastAsia="zh-CN"/>
        </w:rPr>
        <w:t>下列要求</w:t>
      </w:r>
      <w:r>
        <w:rPr>
          <w:rFonts w:hint="eastAsia" w:ascii="仿宋" w:hAnsi="仿宋" w:eastAsia="仿宋" w:cs="仿宋"/>
          <w:i w:val="0"/>
          <w:iCs w:val="0"/>
          <w:color w:val="auto"/>
          <w:sz w:val="24"/>
          <w:szCs w:val="24"/>
          <w:highlight w:val="none"/>
        </w:rPr>
        <w:t>；</w:t>
      </w:r>
    </w:p>
    <w:p w14:paraId="7BD72668">
      <w:pPr>
        <w:pageBreakBefore w:val="0"/>
        <w:kinsoku/>
        <w:wordWrap/>
        <w:overflowPunct/>
        <w:topLinePunct w:val="0"/>
        <w:bidi w:val="0"/>
        <w:spacing w:line="360" w:lineRule="auto"/>
        <w:ind w:left="0" w:leftChars="0" w:firstLine="420" w:firstLineChars="17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（1）具有独立承担民事责任的能力</w:t>
      </w:r>
      <w:r>
        <w:rPr>
          <w:rFonts w:hint="eastAsia" w:ascii="仿宋" w:hAnsi="仿宋" w:eastAsia="仿宋" w:cs="仿宋"/>
          <w:i w:val="0"/>
          <w:iCs w:val="0"/>
          <w:color w:val="auto"/>
          <w:sz w:val="24"/>
          <w:szCs w:val="24"/>
          <w:highlight w:val="none"/>
          <w:lang w:val="en-US" w:eastAsia="zh-CN"/>
        </w:rPr>
        <w:t>；</w:t>
      </w:r>
    </w:p>
    <w:p w14:paraId="7A575392">
      <w:pPr>
        <w:pageBreakBefore w:val="0"/>
        <w:kinsoku/>
        <w:wordWrap/>
        <w:overflowPunct/>
        <w:topLinePunct w:val="0"/>
        <w:bidi w:val="0"/>
        <w:spacing w:line="360" w:lineRule="auto"/>
        <w:ind w:left="0" w:leftChars="0" w:firstLine="420" w:firstLineChars="175"/>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（2）具有良好的商业信誉和健全的财务会计制度</w:t>
      </w:r>
      <w:r>
        <w:rPr>
          <w:rFonts w:hint="eastAsia" w:ascii="仿宋" w:hAnsi="仿宋" w:eastAsia="仿宋" w:cs="仿宋"/>
          <w:i w:val="0"/>
          <w:iCs w:val="0"/>
          <w:color w:val="auto"/>
          <w:sz w:val="24"/>
          <w:szCs w:val="24"/>
          <w:highlight w:val="none"/>
          <w:lang w:val="en-US" w:eastAsia="zh-CN"/>
        </w:rPr>
        <w:t>；</w:t>
      </w:r>
      <w:r>
        <w:rPr>
          <w:rFonts w:hint="eastAsia" w:ascii="仿宋" w:hAnsi="仿宋" w:eastAsia="仿宋" w:cs="仿宋"/>
          <w:i w:val="0"/>
          <w:iCs w:val="0"/>
          <w:color w:val="auto"/>
          <w:sz w:val="24"/>
          <w:szCs w:val="24"/>
          <w:highlight w:val="none"/>
        </w:rPr>
        <w:t xml:space="preserve"> </w:t>
      </w:r>
    </w:p>
    <w:p w14:paraId="2038D1F6">
      <w:pPr>
        <w:pageBreakBefore w:val="0"/>
        <w:kinsoku/>
        <w:wordWrap/>
        <w:overflowPunct/>
        <w:topLinePunct w:val="0"/>
        <w:bidi w:val="0"/>
        <w:spacing w:line="360" w:lineRule="auto"/>
        <w:ind w:left="0" w:leftChars="0" w:firstLine="420" w:firstLineChars="175"/>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w:t>
      </w:r>
      <w:r>
        <w:rPr>
          <w:rFonts w:hint="eastAsia" w:ascii="仿宋" w:hAnsi="仿宋" w:eastAsia="仿宋" w:cs="仿宋"/>
          <w:i w:val="0"/>
          <w:iCs w:val="0"/>
          <w:color w:val="auto"/>
          <w:sz w:val="24"/>
          <w:szCs w:val="24"/>
          <w:highlight w:val="none"/>
          <w:lang w:eastAsia="zh-CN"/>
        </w:rPr>
        <w:t>具有履行合同所必需的设备和专业技术能力</w:t>
      </w:r>
      <w:r>
        <w:rPr>
          <w:rFonts w:hint="eastAsia" w:ascii="仿宋" w:hAnsi="仿宋" w:eastAsia="仿宋" w:cs="仿宋"/>
          <w:i w:val="0"/>
          <w:iCs w:val="0"/>
          <w:color w:val="auto"/>
          <w:sz w:val="24"/>
          <w:szCs w:val="24"/>
          <w:highlight w:val="none"/>
          <w:lang w:val="en-US" w:eastAsia="zh-CN"/>
        </w:rPr>
        <w:t>；</w:t>
      </w:r>
      <w:r>
        <w:rPr>
          <w:rFonts w:hint="eastAsia" w:ascii="仿宋" w:hAnsi="仿宋" w:eastAsia="仿宋" w:cs="仿宋"/>
          <w:i w:val="0"/>
          <w:iCs w:val="0"/>
          <w:color w:val="auto"/>
          <w:sz w:val="24"/>
          <w:szCs w:val="24"/>
          <w:highlight w:val="none"/>
        </w:rPr>
        <w:t xml:space="preserve"> </w:t>
      </w:r>
    </w:p>
    <w:p w14:paraId="5DA818D5">
      <w:pPr>
        <w:pageBreakBefore w:val="0"/>
        <w:kinsoku/>
        <w:wordWrap/>
        <w:overflowPunct/>
        <w:topLinePunct w:val="0"/>
        <w:bidi w:val="0"/>
        <w:spacing w:line="360" w:lineRule="auto"/>
        <w:ind w:left="0" w:leftChars="0" w:firstLine="420" w:firstLineChars="17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（4）有依法缴纳税收和社会保障资金的良好记录</w:t>
      </w:r>
      <w:r>
        <w:rPr>
          <w:rFonts w:hint="eastAsia" w:ascii="仿宋" w:hAnsi="仿宋" w:eastAsia="仿宋" w:cs="仿宋"/>
          <w:i w:val="0"/>
          <w:iCs w:val="0"/>
          <w:color w:val="auto"/>
          <w:sz w:val="24"/>
          <w:szCs w:val="24"/>
          <w:highlight w:val="none"/>
          <w:lang w:val="en-US" w:eastAsia="zh-CN"/>
        </w:rPr>
        <w:t>；</w:t>
      </w:r>
    </w:p>
    <w:p w14:paraId="69671EC4">
      <w:pPr>
        <w:pageBreakBefore w:val="0"/>
        <w:kinsoku/>
        <w:wordWrap/>
        <w:overflowPunct/>
        <w:topLinePunct w:val="0"/>
        <w:bidi w:val="0"/>
        <w:spacing w:line="360" w:lineRule="auto"/>
        <w:ind w:left="0" w:leftChars="0" w:firstLine="420" w:firstLineChars="17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（5）参加采购活动前三年内,在经营活动中没有重大违法记录</w:t>
      </w:r>
      <w:r>
        <w:rPr>
          <w:rFonts w:hint="eastAsia" w:ascii="仿宋" w:hAnsi="仿宋" w:eastAsia="仿宋" w:cs="仿宋"/>
          <w:i w:val="0"/>
          <w:iCs w:val="0"/>
          <w:color w:val="auto"/>
          <w:sz w:val="24"/>
          <w:szCs w:val="24"/>
          <w:highlight w:val="none"/>
          <w:lang w:val="en-US" w:eastAsia="zh-CN"/>
        </w:rPr>
        <w:t>。</w:t>
      </w:r>
    </w:p>
    <w:p w14:paraId="33090620">
      <w:pPr>
        <w:pStyle w:val="17"/>
        <w:rPr>
          <w:rFonts w:hint="eastAsia"/>
          <w:color w:val="auto"/>
          <w:highlight w:val="none"/>
          <w:lang w:val="en-US" w:eastAsia="zh-CN"/>
        </w:rPr>
      </w:pPr>
      <w:r>
        <w:rPr>
          <w:rFonts w:hint="eastAsia" w:ascii="仿宋" w:hAnsi="仿宋" w:eastAsia="仿宋" w:cs="仿宋"/>
          <w:color w:val="auto"/>
          <w:kern w:val="2"/>
          <w:sz w:val="24"/>
          <w:szCs w:val="24"/>
          <w:highlight w:val="none"/>
          <w:lang w:val="en-US" w:eastAsia="zh-CN" w:bidi="ar-SA"/>
        </w:rPr>
        <w:t>2.本项目的特定资格要求：投标人应具备行政主管部门颁发的道路运输经营许可证，且经营范围含货运（货物运输）；</w:t>
      </w:r>
    </w:p>
    <w:p w14:paraId="5F9CEDE0">
      <w:pPr>
        <w:pageBreakBefore w:val="0"/>
        <w:kinsoku/>
        <w:wordWrap/>
        <w:overflowPunct/>
        <w:topLinePunct w:val="0"/>
        <w:bidi w:val="0"/>
        <w:spacing w:line="360" w:lineRule="auto"/>
        <w:ind w:left="0" w:leftChars="0" w:firstLine="420" w:firstLineChars="175"/>
        <w:textAlignment w:val="auto"/>
        <w:rPr>
          <w:rFonts w:hint="eastAsia"/>
          <w:color w:val="auto"/>
          <w:highlight w:val="none"/>
          <w:lang w:val="en-US" w:eastAsia="zh-CN"/>
        </w:rPr>
      </w:pPr>
      <w:r>
        <w:rPr>
          <w:rFonts w:hint="eastAsia" w:ascii="仿宋" w:hAnsi="仿宋" w:eastAsia="仿宋" w:cs="仿宋"/>
          <w:i w:val="0"/>
          <w:iCs w:val="0"/>
          <w:color w:val="auto"/>
          <w:sz w:val="24"/>
          <w:szCs w:val="24"/>
          <w:highlight w:val="none"/>
          <w:lang w:val="en-US" w:eastAsia="zh-CN"/>
        </w:rPr>
        <w:t>3.法定代表人参与投标时须提供法定代表人身份证（正、反面）复印件及法定代表人身份证原件（或电子身份证）；授权代表参与投标须提供授权委托书（含法定代表人身份证及授权代表身份证正、反面）复印件及授权代表身份证原件（或电子身份证）。</w:t>
      </w:r>
    </w:p>
    <w:p w14:paraId="6A1A7C07">
      <w:pPr>
        <w:pageBreakBefore w:val="0"/>
        <w:kinsoku/>
        <w:wordWrap/>
        <w:overflowPunct/>
        <w:topLinePunct w:val="0"/>
        <w:bidi w:val="0"/>
        <w:spacing w:line="360" w:lineRule="auto"/>
        <w:ind w:left="0" w:leftChars="0" w:firstLine="420" w:firstLineChars="175"/>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4.投标保证金：投标人提供</w:t>
      </w:r>
      <w:r>
        <w:rPr>
          <w:rFonts w:hint="eastAsia" w:ascii="仿宋" w:hAnsi="仿宋" w:eastAsia="仿宋" w:cs="仿宋"/>
          <w:b/>
          <w:bCs/>
          <w:i w:val="0"/>
          <w:iCs w:val="0"/>
          <w:color w:val="auto"/>
          <w:sz w:val="24"/>
          <w:szCs w:val="24"/>
          <w:highlight w:val="none"/>
          <w:lang w:val="en-US" w:eastAsia="zh-CN"/>
        </w:rPr>
        <w:t>投标保证金缴纳凭证及基本行开户证明复印件加盖公章</w:t>
      </w:r>
      <w:r>
        <w:rPr>
          <w:rFonts w:hint="eastAsia" w:ascii="仿宋" w:hAnsi="仿宋" w:eastAsia="仿宋" w:cs="仿宋"/>
          <w:i w:val="0"/>
          <w:iCs w:val="0"/>
          <w:color w:val="auto"/>
          <w:sz w:val="24"/>
          <w:szCs w:val="24"/>
          <w:highlight w:val="none"/>
          <w:lang w:val="en-US" w:eastAsia="zh-CN"/>
        </w:rPr>
        <w:t>。</w:t>
      </w:r>
    </w:p>
    <w:p w14:paraId="6B36B116">
      <w:pPr>
        <w:spacing w:line="360" w:lineRule="auto"/>
        <w:ind w:left="240" w:leftChars="0" w:firstLine="240" w:firstLineChars="10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5.单位负责人为同一人或者存在直接控股、管理关系的不同供应商，不得参加同一合同项下的企业招标、采购活动（</w:t>
      </w:r>
      <w:r>
        <w:rPr>
          <w:rFonts w:hint="eastAsia" w:ascii="仿宋" w:hAnsi="仿宋" w:eastAsia="仿宋" w:cs="仿宋"/>
          <w:b/>
          <w:bCs/>
          <w:color w:val="auto"/>
          <w:sz w:val="24"/>
          <w:szCs w:val="24"/>
          <w:highlight w:val="none"/>
          <w:lang w:val="en-US" w:eastAsia="zh-CN"/>
        </w:rPr>
        <w:t>提供声明函及国家企业信用信息公示系统（网址:http://www.gsxt.gov.cn/index.html)中的“企业信用信息公示（开标前一个月内的）报告”，声明函格式见投标文件格式8-1</w:t>
      </w:r>
      <w:r>
        <w:rPr>
          <w:rFonts w:hint="eastAsia" w:ascii="仿宋" w:hAnsi="仿宋" w:eastAsia="仿宋" w:cs="仿宋"/>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w:t>
      </w:r>
    </w:p>
    <w:p w14:paraId="0FCA744E">
      <w:pPr>
        <w:spacing w:line="360" w:lineRule="auto"/>
        <w:ind w:left="240" w:leftChars="0"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w:t>
      </w:r>
      <w:bookmarkEnd w:id="14"/>
      <w:bookmarkEnd w:id="15"/>
      <w:bookmarkEnd w:id="16"/>
      <w:bookmarkEnd w:id="17"/>
      <w:r>
        <w:rPr>
          <w:rFonts w:hint="eastAsia" w:ascii="仿宋" w:hAnsi="仿宋" w:eastAsia="仿宋" w:cs="仿宋"/>
          <w:b/>
          <w:bCs/>
          <w:color w:val="auto"/>
          <w:sz w:val="24"/>
          <w:szCs w:val="24"/>
          <w:highlight w:val="none"/>
        </w:rPr>
        <w:t>谈判文件</w:t>
      </w:r>
    </w:p>
    <w:p w14:paraId="768A4528">
      <w:pPr>
        <w:pageBreakBefore w:val="0"/>
        <w:kinsoku/>
        <w:wordWrap/>
        <w:overflowPunct/>
        <w:topLinePunct w:val="0"/>
        <w:bidi w:val="0"/>
        <w:spacing w:line="360" w:lineRule="auto"/>
        <w:ind w:left="1279" w:leftChars="266" w:hanging="720" w:hangingChars="300"/>
        <w:textAlignment w:val="auto"/>
        <w:rPr>
          <w:rFonts w:hint="eastAsia" w:ascii="仿宋" w:hAnsi="仿宋" w:eastAsia="仿宋" w:cs="仿宋"/>
          <w:i w:val="0"/>
          <w:iCs w:val="0"/>
          <w:color w:val="auto"/>
          <w:sz w:val="24"/>
          <w:szCs w:val="24"/>
          <w:highlight w:val="none"/>
        </w:rPr>
      </w:pPr>
      <w:bookmarkStart w:id="18" w:name="_Toc28359082"/>
      <w:bookmarkStart w:id="19" w:name="_Toc28359005"/>
      <w:bookmarkStart w:id="20" w:name="_Toc35393624"/>
      <w:bookmarkStart w:id="21" w:name="_Toc20720"/>
      <w:bookmarkStart w:id="22" w:name="_Toc31204"/>
      <w:bookmarkStart w:id="23" w:name="_Toc35393793"/>
      <w:r>
        <w:rPr>
          <w:rFonts w:hint="eastAsia" w:ascii="仿宋" w:hAnsi="仿宋" w:eastAsia="仿宋" w:cs="仿宋"/>
          <w:i w:val="0"/>
          <w:iCs w:val="0"/>
          <w:color w:val="auto"/>
          <w:sz w:val="24"/>
          <w:szCs w:val="24"/>
          <w:highlight w:val="none"/>
        </w:rPr>
        <w:t>时间：</w:t>
      </w:r>
      <w:r>
        <w:rPr>
          <w:rFonts w:hint="eastAsia" w:ascii="仿宋" w:hAnsi="仿宋" w:eastAsia="仿宋" w:cs="仿宋"/>
          <w:i w:val="0"/>
          <w:iCs w:val="0"/>
          <w:color w:val="auto"/>
          <w:sz w:val="24"/>
          <w:szCs w:val="24"/>
          <w:highlight w:val="none"/>
          <w:lang w:val="en-US" w:eastAsia="zh-CN"/>
        </w:rPr>
        <w:t>2025年06月18日至2025年06月20日</w:t>
      </w:r>
    </w:p>
    <w:p w14:paraId="2B7B1C6E">
      <w:pPr>
        <w:pageBreakBefore w:val="0"/>
        <w:kinsoku/>
        <w:wordWrap/>
        <w:overflowPunct/>
        <w:topLinePunct w:val="0"/>
        <w:bidi w:val="0"/>
        <w:spacing w:line="360" w:lineRule="auto"/>
        <w:ind w:left="1260" w:leftChars="257" w:hanging="720" w:firstLineChars="0"/>
        <w:textAlignment w:val="auto"/>
        <w:rPr>
          <w:rFonts w:hint="default" w:ascii="仿宋" w:hAnsi="仿宋" w:eastAsia="仿宋" w:cs="仿宋"/>
          <w:i w:val="0"/>
          <w:iCs w:val="0"/>
          <w:color w:val="auto"/>
          <w:sz w:val="24"/>
          <w:szCs w:val="24"/>
          <w:highlight w:val="none"/>
          <w:u w:val="single"/>
          <w:lang w:val="en-US" w:eastAsia="zh-CN"/>
        </w:rPr>
      </w:pPr>
      <w:r>
        <w:rPr>
          <w:rFonts w:hint="eastAsia" w:ascii="仿宋" w:hAnsi="仿宋" w:eastAsia="仿宋" w:cs="仿宋"/>
          <w:i w:val="0"/>
          <w:iCs w:val="0"/>
          <w:color w:val="auto"/>
          <w:sz w:val="24"/>
          <w:szCs w:val="24"/>
          <w:highlight w:val="none"/>
        </w:rPr>
        <w:t>地点：</w:t>
      </w:r>
      <w:r>
        <w:rPr>
          <w:rFonts w:hint="eastAsia" w:ascii="仿宋" w:hAnsi="仿宋" w:eastAsia="仿宋" w:cs="仿宋"/>
          <w:color w:val="auto"/>
          <w:sz w:val="24"/>
          <w:szCs w:val="24"/>
          <w:highlight w:val="none"/>
          <w:lang w:eastAsia="zh-CN"/>
        </w:rPr>
        <w:t>瑞昌市城投供应链采销平台（http://rcct.srm-a.gyuncai.com/）</w:t>
      </w:r>
      <w:r>
        <w:rPr>
          <w:rFonts w:hint="eastAsia" w:ascii="仿宋" w:hAnsi="仿宋" w:eastAsia="仿宋" w:cs="仿宋"/>
          <w:color w:val="auto"/>
          <w:sz w:val="24"/>
          <w:szCs w:val="24"/>
          <w:highlight w:val="none"/>
          <w:lang w:val="en-US" w:eastAsia="zh-CN"/>
        </w:rPr>
        <w:t>-库外招标</w:t>
      </w:r>
    </w:p>
    <w:p w14:paraId="265E5871">
      <w:pPr>
        <w:pageBreakBefore w:val="0"/>
        <w:kinsoku/>
        <w:wordWrap/>
        <w:overflowPunct/>
        <w:topLinePunct w:val="0"/>
        <w:bidi w:val="0"/>
        <w:spacing w:line="360" w:lineRule="auto"/>
        <w:ind w:firstLine="54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方式：</w:t>
      </w:r>
      <w:r>
        <w:rPr>
          <w:rFonts w:hint="eastAsia" w:ascii="仿宋" w:hAnsi="仿宋" w:eastAsia="仿宋" w:cs="仿宋"/>
          <w:i w:val="0"/>
          <w:iCs w:val="0"/>
          <w:color w:val="auto"/>
          <w:sz w:val="24"/>
          <w:szCs w:val="24"/>
          <w:highlight w:val="none"/>
          <w:lang w:val="en-US" w:eastAsia="zh-CN"/>
        </w:rPr>
        <w:t>自行下载</w:t>
      </w:r>
    </w:p>
    <w:p w14:paraId="0A3DA0AC">
      <w:pPr>
        <w:pageBreakBefore w:val="0"/>
        <w:kinsoku/>
        <w:wordWrap/>
        <w:overflowPunct/>
        <w:topLinePunct w:val="0"/>
        <w:bidi w:val="0"/>
        <w:spacing w:line="360" w:lineRule="auto"/>
        <w:ind w:firstLine="540"/>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售价：0.00元</w:t>
      </w:r>
    </w:p>
    <w:p w14:paraId="187AE0E2">
      <w:pPr>
        <w:pStyle w:val="5"/>
        <w:spacing w:before="0" w:after="0"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四、提交响应文件</w:t>
      </w:r>
      <w:bookmarkEnd w:id="18"/>
      <w:bookmarkEnd w:id="19"/>
      <w:r>
        <w:rPr>
          <w:rFonts w:hint="eastAsia" w:ascii="仿宋" w:hAnsi="仿宋" w:eastAsia="仿宋" w:cs="仿宋"/>
          <w:b/>
          <w:bCs w:val="0"/>
          <w:color w:val="auto"/>
          <w:sz w:val="24"/>
          <w:szCs w:val="24"/>
          <w:highlight w:val="none"/>
        </w:rPr>
        <w:t>截止时间和地点</w:t>
      </w:r>
      <w:bookmarkEnd w:id="20"/>
      <w:bookmarkEnd w:id="21"/>
      <w:bookmarkEnd w:id="22"/>
      <w:bookmarkEnd w:id="23"/>
    </w:p>
    <w:p w14:paraId="23579B1F">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截止时间：</w:t>
      </w:r>
      <w:r>
        <w:rPr>
          <w:rFonts w:hint="eastAsia" w:ascii="仿宋" w:hAnsi="仿宋" w:eastAsia="仿宋" w:cs="仿宋"/>
          <w:color w:val="0000FF"/>
          <w:kern w:val="2"/>
          <w:sz w:val="24"/>
          <w:szCs w:val="24"/>
          <w:highlight w:val="none"/>
          <w:lang w:val="en-US" w:eastAsia="zh-CN" w:bidi="ar-SA"/>
        </w:rPr>
        <w:t>2025年06月24日09点30分</w:t>
      </w:r>
      <w:r>
        <w:rPr>
          <w:rFonts w:hint="eastAsia" w:ascii="仿宋" w:hAnsi="仿宋" w:eastAsia="仿宋" w:cs="仿宋"/>
          <w:bCs/>
          <w:color w:val="auto"/>
          <w:sz w:val="24"/>
          <w:szCs w:val="24"/>
          <w:highlight w:val="none"/>
        </w:rPr>
        <w:t>（北京时间）</w:t>
      </w:r>
      <w:bookmarkStart w:id="112" w:name="_GoBack"/>
      <w:bookmarkEnd w:id="112"/>
    </w:p>
    <w:p w14:paraId="7CF2101C">
      <w:pPr>
        <w:spacing w:line="360" w:lineRule="auto"/>
        <w:ind w:left="1679" w:leftChars="228" w:hanging="1200" w:hangingChars="5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地    点：</w:t>
      </w:r>
      <w:r>
        <w:rPr>
          <w:rFonts w:hint="eastAsia" w:ascii="仿宋" w:hAnsi="仿宋" w:eastAsia="仿宋" w:cs="仿宋"/>
          <w:color w:val="auto"/>
          <w:sz w:val="24"/>
          <w:szCs w:val="24"/>
          <w:highlight w:val="none"/>
          <w:lang w:eastAsia="zh-CN"/>
        </w:rPr>
        <w:t>瑞昌市南环路40号国贸大厦14楼城投供应链评标室</w:t>
      </w:r>
    </w:p>
    <w:p w14:paraId="5D5C3E06">
      <w:pPr>
        <w:pStyle w:val="5"/>
        <w:spacing w:before="0" w:after="0" w:line="360" w:lineRule="auto"/>
        <w:rPr>
          <w:rFonts w:hint="eastAsia" w:ascii="仿宋" w:hAnsi="仿宋" w:eastAsia="仿宋" w:cs="仿宋"/>
          <w:b/>
          <w:bCs w:val="0"/>
          <w:color w:val="auto"/>
          <w:sz w:val="24"/>
          <w:szCs w:val="24"/>
          <w:highlight w:val="none"/>
        </w:rPr>
      </w:pPr>
      <w:bookmarkStart w:id="24" w:name="_Toc23937"/>
      <w:bookmarkStart w:id="25" w:name="_Toc28359084"/>
      <w:bookmarkStart w:id="26" w:name="_Toc35393794"/>
      <w:bookmarkStart w:id="27" w:name="_Toc28359007"/>
      <w:bookmarkStart w:id="28" w:name="_Toc12960"/>
      <w:bookmarkStart w:id="29" w:name="_Toc35393625"/>
      <w:r>
        <w:rPr>
          <w:rFonts w:hint="eastAsia" w:ascii="仿宋" w:hAnsi="仿宋" w:eastAsia="仿宋" w:cs="仿宋"/>
          <w:b/>
          <w:bCs w:val="0"/>
          <w:color w:val="auto"/>
          <w:sz w:val="24"/>
          <w:szCs w:val="24"/>
          <w:highlight w:val="none"/>
        </w:rPr>
        <w:t>五、公告期限</w:t>
      </w:r>
      <w:bookmarkEnd w:id="24"/>
      <w:bookmarkEnd w:id="25"/>
      <w:bookmarkEnd w:id="26"/>
      <w:bookmarkEnd w:id="27"/>
      <w:bookmarkEnd w:id="28"/>
      <w:bookmarkEnd w:id="29"/>
    </w:p>
    <w:p w14:paraId="5A776E6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w:t>
      </w:r>
      <w:r>
        <w:rPr>
          <w:rFonts w:hint="eastAsia" w:ascii="仿宋" w:hAnsi="仿宋" w:eastAsia="仿宋" w:cs="仿宋"/>
          <w:color w:val="auto"/>
          <w:kern w:val="0"/>
          <w:sz w:val="24"/>
          <w:szCs w:val="24"/>
          <w:highlight w:val="none"/>
          <w:u w:val="single"/>
          <w:lang w:val="en-US" w:eastAsia="zh-CN"/>
        </w:rPr>
        <w:t>3</w:t>
      </w:r>
      <w:r>
        <w:rPr>
          <w:rFonts w:hint="eastAsia" w:ascii="仿宋" w:hAnsi="仿宋" w:eastAsia="仿宋" w:cs="仿宋"/>
          <w:color w:val="auto"/>
          <w:kern w:val="0"/>
          <w:sz w:val="24"/>
          <w:szCs w:val="24"/>
          <w:highlight w:val="none"/>
        </w:rPr>
        <w:t>个工作日。</w:t>
      </w:r>
    </w:p>
    <w:p w14:paraId="12330BBE">
      <w:pPr>
        <w:pStyle w:val="5"/>
        <w:numPr>
          <w:ilvl w:val="0"/>
          <w:numId w:val="1"/>
        </w:numPr>
        <w:spacing w:before="0" w:after="0" w:line="360" w:lineRule="auto"/>
        <w:rPr>
          <w:rFonts w:hint="eastAsia" w:ascii="仿宋" w:hAnsi="仿宋" w:eastAsia="仿宋" w:cs="仿宋"/>
          <w:b/>
          <w:bCs w:val="0"/>
          <w:color w:val="auto"/>
          <w:sz w:val="24"/>
          <w:szCs w:val="24"/>
          <w:highlight w:val="none"/>
        </w:rPr>
      </w:pPr>
      <w:bookmarkStart w:id="30" w:name="_Toc35393795"/>
      <w:bookmarkStart w:id="31" w:name="_Toc35393626"/>
      <w:bookmarkStart w:id="32" w:name="_Toc23679"/>
      <w:bookmarkStart w:id="33" w:name="_Toc10090"/>
      <w:r>
        <w:rPr>
          <w:rFonts w:hint="eastAsia" w:ascii="仿宋" w:hAnsi="仿宋" w:eastAsia="仿宋" w:cs="仿宋"/>
          <w:b/>
          <w:bCs w:val="0"/>
          <w:color w:val="auto"/>
          <w:sz w:val="24"/>
          <w:szCs w:val="24"/>
          <w:highlight w:val="none"/>
        </w:rPr>
        <w:t>其他补充事宜</w:t>
      </w:r>
      <w:bookmarkEnd w:id="30"/>
      <w:bookmarkEnd w:id="31"/>
      <w:bookmarkEnd w:id="32"/>
      <w:bookmarkEnd w:id="33"/>
    </w:p>
    <w:p w14:paraId="6D9DE895">
      <w:pPr>
        <w:numPr>
          <w:ilvl w:val="0"/>
          <w:numId w:val="0"/>
        </w:numPr>
        <w:spacing w:line="360" w:lineRule="auto"/>
        <w:ind w:left="-60" w:leftChars="0" w:firstLine="48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1、本公告发布媒介为：</w:t>
      </w:r>
      <w:r>
        <w:rPr>
          <w:rFonts w:hint="eastAsia" w:ascii="仿宋" w:hAnsi="仿宋" w:eastAsia="仿宋" w:cs="仿宋"/>
          <w:b/>
          <w:bCs/>
          <w:i w:val="0"/>
          <w:iCs w:val="0"/>
          <w:color w:val="auto"/>
          <w:sz w:val="24"/>
          <w:highlight w:val="none"/>
          <w:lang w:val="en-US" w:eastAsia="zh-CN"/>
        </w:rPr>
        <w:t>本项目的谈判公告、以及采购过程中的变更、答疑和结果公告，将同时在</w:t>
      </w:r>
      <w:r>
        <w:rPr>
          <w:rFonts w:hint="eastAsia" w:ascii="仿宋" w:hAnsi="仿宋" w:eastAsia="仿宋" w:cs="仿宋"/>
          <w:b/>
          <w:bCs/>
          <w:i w:val="0"/>
          <w:iCs w:val="0"/>
          <w:color w:val="0000FF"/>
          <w:sz w:val="24"/>
          <w:highlight w:val="none"/>
          <w:lang w:val="en-US" w:eastAsia="zh-CN"/>
        </w:rPr>
        <w:t>瑞昌市城投供应链采销平台（http://rcct.srm-a.gyuncai.com/）、</w:t>
      </w:r>
      <w:r>
        <w:rPr>
          <w:rFonts w:hint="eastAsia" w:ascii="仿宋" w:hAnsi="仿宋" w:eastAsia="仿宋" w:cs="仿宋"/>
          <w:b/>
          <w:bCs/>
          <w:color w:val="0000FF"/>
          <w:spacing w:val="-2"/>
          <w:sz w:val="24"/>
          <w:szCs w:val="24"/>
          <w:highlight w:val="none"/>
          <w:lang w:eastAsia="zh-CN"/>
        </w:rPr>
        <w:t>微信公众号（祥瑞昌盛）</w:t>
      </w:r>
      <w:r>
        <w:rPr>
          <w:rFonts w:hint="eastAsia" w:ascii="仿宋" w:hAnsi="仿宋" w:eastAsia="仿宋" w:cs="仿宋"/>
          <w:b/>
          <w:bCs/>
          <w:i w:val="0"/>
          <w:iCs w:val="0"/>
          <w:color w:val="0000FF"/>
          <w:sz w:val="24"/>
          <w:highlight w:val="none"/>
          <w:lang w:val="en-US" w:eastAsia="zh-CN"/>
        </w:rPr>
        <w:t>同时发布</w:t>
      </w:r>
      <w:r>
        <w:rPr>
          <w:rFonts w:hint="eastAsia" w:ascii="仿宋" w:hAnsi="仿宋" w:eastAsia="仿宋" w:cs="仿宋"/>
          <w:b/>
          <w:bCs/>
          <w:i w:val="0"/>
          <w:iCs w:val="0"/>
          <w:color w:val="auto"/>
          <w:sz w:val="24"/>
          <w:highlight w:val="none"/>
          <w:lang w:val="en-US" w:eastAsia="zh-CN"/>
        </w:rPr>
        <w:t>，有意向的潜在投标供应商可自行在瑞昌市城投供应链采销平台（http://rcct.srm-a.gyuncai.com/）-库外招标获取采购文件及其他资料</w:t>
      </w:r>
      <w:r>
        <w:rPr>
          <w:rFonts w:hint="eastAsia" w:ascii="仿宋" w:hAnsi="仿宋" w:eastAsia="仿宋" w:cs="仿宋"/>
          <w:b/>
          <w:bCs/>
          <w:color w:val="auto"/>
          <w:sz w:val="24"/>
          <w:szCs w:val="24"/>
          <w:highlight w:val="none"/>
          <w:lang w:eastAsia="zh-CN"/>
        </w:rPr>
        <w:t>。</w:t>
      </w:r>
    </w:p>
    <w:p w14:paraId="20F53B2F">
      <w:pPr>
        <w:pageBreakBefore w:val="0"/>
        <w:kinsoku/>
        <w:wordWrap/>
        <w:overflowPunct/>
        <w:topLinePunct w:val="0"/>
        <w:bidi w:val="0"/>
        <w:spacing w:line="360" w:lineRule="auto"/>
        <w:ind w:firstLine="540"/>
        <w:textAlignment w:val="auto"/>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2、与采购人存在利害关系可能影响招标公正性的法人、其他组织或者个人，</w:t>
      </w:r>
      <w:r>
        <w:rPr>
          <w:rFonts w:hint="eastAsia" w:ascii="仿宋" w:hAnsi="仿宋" w:eastAsia="仿宋" w:cs="仿宋"/>
          <w:b/>
          <w:bCs/>
          <w:i w:val="0"/>
          <w:iCs w:val="0"/>
          <w:color w:val="auto"/>
          <w:sz w:val="24"/>
          <w:highlight w:val="none"/>
          <w:lang w:val="en-US" w:eastAsia="zh-CN"/>
        </w:rPr>
        <w:t>不得参加投标</w:t>
      </w:r>
      <w:r>
        <w:rPr>
          <w:rFonts w:hint="eastAsia" w:ascii="仿宋" w:hAnsi="仿宋" w:eastAsia="仿宋" w:cs="仿宋"/>
          <w:i w:val="0"/>
          <w:iCs w:val="0"/>
          <w:color w:val="auto"/>
          <w:sz w:val="24"/>
          <w:highlight w:val="none"/>
          <w:lang w:val="en-US" w:eastAsia="zh-CN"/>
        </w:rPr>
        <w:t>。单位负责人为同一人或者存在控股、管理关系的不同单位，</w:t>
      </w:r>
      <w:r>
        <w:rPr>
          <w:rFonts w:hint="eastAsia" w:ascii="仿宋" w:hAnsi="仿宋" w:eastAsia="仿宋" w:cs="仿宋"/>
          <w:b/>
          <w:bCs/>
          <w:i w:val="0"/>
          <w:iCs w:val="0"/>
          <w:color w:val="auto"/>
          <w:sz w:val="24"/>
          <w:highlight w:val="none"/>
          <w:lang w:val="en-US" w:eastAsia="zh-CN"/>
        </w:rPr>
        <w:t>不得参加同一标段投标或者未划分标段的同一招标项目投标</w:t>
      </w:r>
      <w:r>
        <w:rPr>
          <w:rFonts w:hint="eastAsia" w:ascii="仿宋" w:hAnsi="仿宋" w:eastAsia="仿宋" w:cs="仿宋"/>
          <w:i w:val="0"/>
          <w:iCs w:val="0"/>
          <w:color w:val="auto"/>
          <w:sz w:val="24"/>
          <w:highlight w:val="none"/>
          <w:lang w:val="en-US" w:eastAsia="zh-CN"/>
        </w:rPr>
        <w:t>。</w:t>
      </w:r>
    </w:p>
    <w:p w14:paraId="3E241CF4">
      <w:pPr>
        <w:pageBreakBefore w:val="0"/>
        <w:kinsoku/>
        <w:wordWrap/>
        <w:overflowPunct/>
        <w:topLinePunct w:val="0"/>
        <w:bidi w:val="0"/>
        <w:spacing w:line="360" w:lineRule="auto"/>
        <w:ind w:firstLine="540"/>
        <w:textAlignment w:val="auto"/>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3、招标代理机构代理招标业务，应当遵守招标投标法和本条例关于招标人的规定。招标代理机构不得在所代理的招标项目中投标或者代理投标，也不得为所代理的招标项目的投标人提供咨询。接受委托编制标底的中介机构不得参加受托编制标底项目的投标，也不得为该项目的投标人编制投标文件或者提供咨询。</w:t>
      </w:r>
    </w:p>
    <w:p w14:paraId="6F94020F">
      <w:pPr>
        <w:pageBreakBefore w:val="0"/>
        <w:kinsoku/>
        <w:wordWrap/>
        <w:overflowPunct/>
        <w:topLinePunct w:val="0"/>
        <w:bidi w:val="0"/>
        <w:spacing w:line="360" w:lineRule="auto"/>
        <w:ind w:firstLine="540"/>
        <w:textAlignment w:val="auto"/>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4、投标人被瑞昌市城投供应链采销平台（http://rcct.srm-a.gyuncai.com/）列入不良行为记录黑名单（处罚期限尚未届满的），</w:t>
      </w:r>
      <w:r>
        <w:rPr>
          <w:rFonts w:hint="eastAsia" w:ascii="仿宋" w:hAnsi="仿宋" w:eastAsia="仿宋" w:cs="仿宋"/>
          <w:b/>
          <w:bCs/>
          <w:i w:val="0"/>
          <w:iCs w:val="0"/>
          <w:color w:val="auto"/>
          <w:sz w:val="24"/>
          <w:highlight w:val="none"/>
          <w:lang w:val="en-US" w:eastAsia="zh-CN"/>
        </w:rPr>
        <w:t>不得参与本项目的采购活动</w:t>
      </w:r>
      <w:r>
        <w:rPr>
          <w:rFonts w:hint="eastAsia" w:ascii="仿宋" w:hAnsi="仿宋" w:eastAsia="仿宋" w:cs="仿宋"/>
          <w:i w:val="0"/>
          <w:iCs w:val="0"/>
          <w:color w:val="auto"/>
          <w:sz w:val="24"/>
          <w:highlight w:val="none"/>
          <w:lang w:val="en-US" w:eastAsia="zh-CN"/>
        </w:rPr>
        <w:t>。</w:t>
      </w:r>
    </w:p>
    <w:p w14:paraId="3B0ABF9F">
      <w:pPr>
        <w:pageBreakBefore w:val="0"/>
        <w:kinsoku/>
        <w:wordWrap/>
        <w:overflowPunct/>
        <w:topLinePunct w:val="0"/>
        <w:bidi w:val="0"/>
        <w:spacing w:line="360" w:lineRule="auto"/>
        <w:ind w:firstLine="540"/>
        <w:textAlignment w:val="auto"/>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5、投标人被列入“中国执行信息公开网”网站失信被执行人（招标公告发布前从最高人民法院失信被执行人信息库删除的除外）、“信用中国”重大税收违法失信主体、严重失信主体名单的，采购人将</w:t>
      </w:r>
      <w:r>
        <w:rPr>
          <w:rFonts w:hint="eastAsia" w:ascii="仿宋" w:hAnsi="仿宋" w:eastAsia="仿宋" w:cs="仿宋"/>
          <w:b/>
          <w:bCs/>
          <w:i w:val="0"/>
          <w:iCs w:val="0"/>
          <w:color w:val="auto"/>
          <w:sz w:val="24"/>
          <w:highlight w:val="none"/>
          <w:lang w:val="en-US" w:eastAsia="zh-CN"/>
        </w:rPr>
        <w:t>拒绝其参加本项目的投标</w:t>
      </w:r>
      <w:r>
        <w:rPr>
          <w:rFonts w:hint="eastAsia" w:ascii="仿宋" w:hAnsi="仿宋" w:eastAsia="仿宋" w:cs="仿宋"/>
          <w:i w:val="0"/>
          <w:iCs w:val="0"/>
          <w:color w:val="auto"/>
          <w:sz w:val="24"/>
          <w:highlight w:val="none"/>
          <w:lang w:val="en-US" w:eastAsia="zh-CN"/>
        </w:rPr>
        <w:t>。</w:t>
      </w:r>
    </w:p>
    <w:p w14:paraId="018F0FE4">
      <w:pPr>
        <w:numPr>
          <w:ilvl w:val="0"/>
          <w:numId w:val="0"/>
        </w:numPr>
        <w:spacing w:line="360" w:lineRule="auto"/>
        <w:ind w:left="-60" w:leftChars="0" w:firstLine="48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i w:val="0"/>
          <w:iCs w:val="0"/>
          <w:color w:val="auto"/>
          <w:sz w:val="24"/>
          <w:highlight w:val="none"/>
          <w:lang w:val="en-US" w:eastAsia="zh-CN"/>
        </w:rPr>
        <w:t>6、</w:t>
      </w:r>
      <w:bookmarkStart w:id="34" w:name="_Toc28359008"/>
      <w:bookmarkStart w:id="35" w:name="_Toc25456"/>
      <w:bookmarkStart w:id="36" w:name="_Toc35393796"/>
      <w:bookmarkStart w:id="37" w:name="_Toc28359085"/>
      <w:bookmarkStart w:id="38" w:name="_Toc28212"/>
      <w:bookmarkStart w:id="39" w:name="_Toc35393627"/>
      <w:r>
        <w:rPr>
          <w:rFonts w:hint="eastAsia" w:ascii="仿宋" w:hAnsi="仿宋" w:eastAsia="仿宋" w:cs="仿宋"/>
          <w:color w:val="auto"/>
          <w:sz w:val="24"/>
          <w:szCs w:val="24"/>
          <w:highlight w:val="none"/>
        </w:rPr>
        <w:t>为本采购项目提供整体设计、规范编制或者项目管理、监理、检测等服务的，不得参加本项目的采购活动。</w:t>
      </w:r>
    </w:p>
    <w:p w14:paraId="0C5D9213">
      <w:pPr>
        <w:pStyle w:val="5"/>
        <w:spacing w:before="0" w:after="0"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七、对本次采购提出询问，请按以下方式联系。</w:t>
      </w:r>
      <w:bookmarkEnd w:id="34"/>
      <w:bookmarkEnd w:id="35"/>
      <w:bookmarkEnd w:id="36"/>
      <w:bookmarkEnd w:id="37"/>
      <w:bookmarkEnd w:id="38"/>
      <w:bookmarkEnd w:id="39"/>
    </w:p>
    <w:p w14:paraId="028E7CEF">
      <w:pPr>
        <w:widowControl/>
        <w:spacing w:line="360" w:lineRule="auto"/>
        <w:ind w:left="420" w:leftChars="20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3C28A8DC">
      <w:pPr>
        <w:spacing w:line="360" w:lineRule="auto"/>
        <w:ind w:left="420" w:leftChars="20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名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称：</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eastAsia="zh-CN"/>
        </w:rPr>
        <w:t>瑞昌市盛盈贸易有限公司</w:t>
      </w:r>
      <w:r>
        <w:rPr>
          <w:rFonts w:hint="eastAsia" w:ascii="仿宋" w:hAnsi="仿宋" w:eastAsia="仿宋" w:cs="仿宋"/>
          <w:color w:val="auto"/>
          <w:sz w:val="24"/>
          <w:szCs w:val="24"/>
          <w:highlight w:val="none"/>
        </w:rPr>
        <w:t>　　　　　　　　　　　　</w:t>
      </w:r>
    </w:p>
    <w:p w14:paraId="65B582F1">
      <w:pPr>
        <w:spacing w:line="360" w:lineRule="auto"/>
        <w:ind w:left="420" w:leftChars="20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址：</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eastAsia="zh-CN"/>
        </w:rPr>
        <w:t>瑞昌市南环路40号国贸大厦14楼</w:t>
      </w:r>
    </w:p>
    <w:p w14:paraId="479CD698">
      <w:pPr>
        <w:spacing w:line="360" w:lineRule="auto"/>
        <w:ind w:left="420" w:leftChars="200" w:firstLine="0" w:firstLineChars="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bCs/>
          <w:color w:val="auto"/>
          <w:sz w:val="24"/>
          <w:szCs w:val="24"/>
          <w:highlight w:val="none"/>
        </w:rPr>
        <w:t xml:space="preserve"> </w:t>
      </w:r>
      <w:bookmarkStart w:id="40" w:name="_Toc28359009"/>
      <w:bookmarkStart w:id="41" w:name="_Toc28359086"/>
      <w:r>
        <w:rPr>
          <w:rFonts w:hint="eastAsia" w:ascii="仿宋" w:hAnsi="仿宋" w:eastAsia="仿宋" w:cs="仿宋"/>
          <w:bCs/>
          <w:color w:val="auto"/>
          <w:sz w:val="24"/>
          <w:szCs w:val="24"/>
          <w:highlight w:val="none"/>
          <w:lang w:val="en-US" w:eastAsia="zh-CN"/>
        </w:rPr>
        <w:t>陈先生 13699522401</w:t>
      </w:r>
    </w:p>
    <w:p w14:paraId="6F819259">
      <w:pPr>
        <w:spacing w:line="360" w:lineRule="auto"/>
        <w:ind w:left="420" w:leftChars="20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bookmarkEnd w:id="40"/>
      <w:bookmarkEnd w:id="41"/>
    </w:p>
    <w:p w14:paraId="1959DA9F">
      <w:pPr>
        <w:spacing w:line="360" w:lineRule="auto"/>
        <w:ind w:left="420" w:leftChars="20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名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称： 江西省壹凡工程咨询有限公司　　　　　　　　　　　</w:t>
      </w:r>
    </w:p>
    <w:p w14:paraId="07867BF3">
      <w:pPr>
        <w:spacing w:line="360" w:lineRule="auto"/>
        <w:ind w:left="420" w:leftChars="20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瑞昌市杨林大道南侧林湖苑9栋2单元102室</w:t>
      </w:r>
    </w:p>
    <w:p w14:paraId="5A99DDA3">
      <w:pPr>
        <w:spacing w:line="360" w:lineRule="auto"/>
        <w:ind w:left="420" w:leftChars="200" w:firstLine="0" w:firstLine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话：</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0792-</w:t>
      </w:r>
      <w:r>
        <w:rPr>
          <w:rFonts w:hint="eastAsia" w:ascii="仿宋" w:hAnsi="仿宋" w:eastAsia="仿宋" w:cs="仿宋"/>
          <w:color w:val="auto"/>
          <w:sz w:val="24"/>
          <w:szCs w:val="24"/>
          <w:highlight w:val="none"/>
          <w:lang w:val="en-US" w:eastAsia="zh-CN"/>
        </w:rPr>
        <w:t>4221819  18770230800</w:t>
      </w:r>
    </w:p>
    <w:p w14:paraId="3342AA2E">
      <w:pPr>
        <w:spacing w:line="360" w:lineRule="auto"/>
        <w:ind w:left="420" w:leftChars="200" w:firstLine="0" w:firstLineChars="0"/>
        <w:jc w:val="left"/>
        <w:rPr>
          <w:rFonts w:hint="eastAsia" w:ascii="仿宋" w:hAnsi="仿宋" w:eastAsia="仿宋" w:cs="仿宋"/>
          <w:color w:val="auto"/>
          <w:sz w:val="24"/>
          <w:szCs w:val="24"/>
          <w:highlight w:val="none"/>
        </w:rPr>
      </w:pPr>
      <w:bookmarkStart w:id="42" w:name="_Toc28359010"/>
      <w:bookmarkStart w:id="43" w:name="_Toc28359087"/>
      <w:r>
        <w:rPr>
          <w:rFonts w:hint="eastAsia" w:ascii="仿宋" w:hAnsi="仿宋" w:eastAsia="仿宋" w:cs="仿宋"/>
          <w:color w:val="auto"/>
          <w:sz w:val="24"/>
          <w:szCs w:val="24"/>
          <w:highlight w:val="none"/>
        </w:rPr>
        <w:t xml:space="preserve">电子函件： </w:t>
      </w:r>
      <w:r>
        <w:rPr>
          <w:rFonts w:hint="eastAsia" w:ascii="仿宋" w:hAnsi="仿宋" w:eastAsia="仿宋" w:cs="仿宋"/>
          <w:color w:val="auto"/>
          <w:sz w:val="24"/>
          <w:szCs w:val="24"/>
          <w:highlight w:val="none"/>
          <w:lang w:val="en-US" w:eastAsia="zh-CN"/>
        </w:rPr>
        <w:t>jxs_yfec@163.com</w:t>
      </w:r>
      <w:r>
        <w:rPr>
          <w:rFonts w:hint="eastAsia" w:ascii="仿宋" w:hAnsi="仿宋" w:eastAsia="仿宋" w:cs="仿宋"/>
          <w:color w:val="auto"/>
          <w:sz w:val="24"/>
          <w:szCs w:val="24"/>
          <w:highlight w:val="none"/>
        </w:rPr>
        <w:t xml:space="preserve"> </w:t>
      </w:r>
    </w:p>
    <w:p w14:paraId="108B146E">
      <w:pPr>
        <w:spacing w:line="360" w:lineRule="auto"/>
        <w:ind w:left="420" w:leftChars="20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3.项目联系方式</w:t>
      </w:r>
      <w:bookmarkEnd w:id="42"/>
      <w:bookmarkEnd w:id="43"/>
    </w:p>
    <w:p w14:paraId="5621AD82">
      <w:pPr>
        <w:spacing w:line="360" w:lineRule="auto"/>
        <w:ind w:left="420" w:leftChars="20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赵女士</w:t>
      </w:r>
    </w:p>
    <w:p w14:paraId="1E536F84">
      <w:pPr>
        <w:spacing w:line="360" w:lineRule="auto"/>
        <w:ind w:left="420" w:leftChars="20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话：0792-</w:t>
      </w:r>
      <w:r>
        <w:rPr>
          <w:rFonts w:hint="eastAsia" w:ascii="仿宋" w:hAnsi="仿宋" w:eastAsia="仿宋" w:cs="仿宋"/>
          <w:color w:val="auto"/>
          <w:sz w:val="24"/>
          <w:szCs w:val="24"/>
          <w:highlight w:val="none"/>
          <w:lang w:val="en-US" w:eastAsia="zh-CN"/>
        </w:rPr>
        <w:t>4221819  18770230800</w:t>
      </w:r>
    </w:p>
    <w:p w14:paraId="381BC00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lang w:val="en-US" w:eastAsia="zh-CN"/>
        </w:rPr>
      </w:pPr>
    </w:p>
    <w:p w14:paraId="46673A67">
      <w:pPr>
        <w:spacing w:line="500" w:lineRule="atLeast"/>
        <w:rPr>
          <w:rFonts w:hint="eastAsia" w:ascii="仿宋" w:hAnsi="仿宋" w:eastAsia="仿宋" w:cs="仿宋"/>
          <w:b/>
          <w:bCs/>
          <w:color w:val="auto"/>
          <w:sz w:val="24"/>
          <w:szCs w:val="24"/>
          <w:highlight w:val="none"/>
        </w:rPr>
      </w:pPr>
    </w:p>
    <w:p w14:paraId="12C7DDDE">
      <w:pPr>
        <w:spacing w:line="500" w:lineRule="atLeas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公告附件：</w:t>
      </w:r>
    </w:p>
    <w:p w14:paraId="40DABB4C">
      <w:pPr>
        <w:spacing w:line="500" w:lineRule="atLeas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采购详细清单</w:t>
      </w:r>
    </w:p>
    <w:tbl>
      <w:tblPr>
        <w:tblStyle w:val="2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2384"/>
        <w:gridCol w:w="1716"/>
        <w:gridCol w:w="4252"/>
      </w:tblGrid>
      <w:tr w14:paraId="7A3A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011" w:type="dxa"/>
            <w:vAlign w:val="center"/>
          </w:tcPr>
          <w:p w14:paraId="41AD547C">
            <w:pPr>
              <w:spacing w:line="50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384" w:type="dxa"/>
            <w:vAlign w:val="center"/>
          </w:tcPr>
          <w:p w14:paraId="2AAA4256">
            <w:pPr>
              <w:spacing w:line="50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名称</w:t>
            </w:r>
          </w:p>
        </w:tc>
        <w:tc>
          <w:tcPr>
            <w:tcW w:w="1716" w:type="dxa"/>
            <w:vAlign w:val="center"/>
          </w:tcPr>
          <w:p w14:paraId="5060E625">
            <w:pPr>
              <w:spacing w:line="50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4252" w:type="dxa"/>
            <w:vAlign w:val="center"/>
          </w:tcPr>
          <w:p w14:paraId="1F36373E">
            <w:pPr>
              <w:spacing w:line="50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5C0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1" w:type="dxa"/>
            <w:vAlign w:val="center"/>
          </w:tcPr>
          <w:p w14:paraId="29C55ED1">
            <w:pPr>
              <w:spacing w:line="500" w:lineRule="atLeast"/>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w:t>
            </w:r>
          </w:p>
        </w:tc>
        <w:tc>
          <w:tcPr>
            <w:tcW w:w="2384" w:type="dxa"/>
            <w:vAlign w:val="center"/>
          </w:tcPr>
          <w:p w14:paraId="0D563B1D">
            <w:pPr>
              <w:spacing w:line="500" w:lineRule="atLeast"/>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运输服务</w:t>
            </w:r>
          </w:p>
        </w:tc>
        <w:tc>
          <w:tcPr>
            <w:tcW w:w="1716" w:type="dxa"/>
            <w:vAlign w:val="center"/>
          </w:tcPr>
          <w:p w14:paraId="1280BD89">
            <w:pPr>
              <w:spacing w:line="500" w:lineRule="atLeast"/>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1项</w:t>
            </w:r>
          </w:p>
        </w:tc>
        <w:tc>
          <w:tcPr>
            <w:tcW w:w="4252" w:type="dxa"/>
            <w:vAlign w:val="center"/>
          </w:tcPr>
          <w:p w14:paraId="74481691">
            <w:pPr>
              <w:spacing w:line="500" w:lineRule="atLeast"/>
              <w:jc w:val="center"/>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运输距离：瑞昌市城投绿色建材有限公司至瑞昌市华中力建混凝土有限公司（约2公里，以实际运输距离为准）</w:t>
            </w:r>
          </w:p>
        </w:tc>
      </w:tr>
    </w:tbl>
    <w:p w14:paraId="076FE954">
      <w:pPr>
        <w:bidi w:val="0"/>
        <w:rPr>
          <w:rFonts w:hint="eastAsia"/>
          <w:color w:val="auto"/>
          <w:highlight w:val="none"/>
          <w:lang w:val="en-US" w:eastAsia="zh-CN"/>
        </w:rPr>
      </w:pPr>
    </w:p>
    <w:p w14:paraId="35578905">
      <w:pPr>
        <w:pStyle w:val="2"/>
        <w:rPr>
          <w:rFonts w:hint="eastAsia"/>
          <w:color w:val="auto"/>
          <w:highlight w:val="none"/>
          <w:lang w:val="en-US" w:eastAsia="zh-CN"/>
        </w:rPr>
      </w:pPr>
    </w:p>
    <w:p w14:paraId="7459D0C8">
      <w:pPr>
        <w:pStyle w:val="3"/>
        <w:rPr>
          <w:rFonts w:hint="eastAsia"/>
          <w:color w:val="auto"/>
          <w:highlight w:val="none"/>
          <w:lang w:val="en-US" w:eastAsia="zh-CN"/>
        </w:rPr>
      </w:pPr>
    </w:p>
    <w:p w14:paraId="3A5A6368">
      <w:pPr>
        <w:pStyle w:val="3"/>
        <w:rPr>
          <w:rFonts w:hint="eastAsia"/>
          <w:color w:val="auto"/>
          <w:highlight w:val="none"/>
          <w:lang w:val="en-US" w:eastAsia="zh-CN"/>
        </w:rPr>
      </w:pPr>
    </w:p>
    <w:p w14:paraId="567D5C92">
      <w:pPr>
        <w:pStyle w:val="3"/>
        <w:rPr>
          <w:rFonts w:hint="eastAsia"/>
          <w:color w:val="auto"/>
          <w:highlight w:val="none"/>
          <w:lang w:val="en-US" w:eastAsia="zh-CN"/>
        </w:rPr>
      </w:pPr>
    </w:p>
    <w:p w14:paraId="381F67CC">
      <w:pPr>
        <w:pStyle w:val="4"/>
        <w:numPr>
          <w:ilvl w:val="0"/>
          <w:numId w:val="2"/>
        </w:numPr>
        <w:jc w:val="center"/>
        <w:rPr>
          <w:rFonts w:ascii="仿宋" w:hAnsi="仿宋" w:eastAsia="仿宋" w:cs="仿宋"/>
          <w:b/>
          <w:bCs/>
          <w:color w:val="auto"/>
          <w:sz w:val="32"/>
          <w:highlight w:val="none"/>
        </w:rPr>
      </w:pPr>
      <w:bookmarkStart w:id="44" w:name="_Toc10357"/>
      <w:r>
        <w:rPr>
          <w:rFonts w:hint="eastAsia" w:ascii="仿宋" w:hAnsi="仿宋" w:eastAsia="仿宋" w:cs="仿宋"/>
          <w:b/>
          <w:bCs/>
          <w:color w:val="auto"/>
          <w:sz w:val="32"/>
          <w:highlight w:val="none"/>
        </w:rPr>
        <w:t>供应商须知</w:t>
      </w:r>
      <w:bookmarkEnd w:id="44"/>
    </w:p>
    <w:p w14:paraId="1E557691">
      <w:pPr>
        <w:rPr>
          <w:rFonts w:ascii="仿宋" w:hAnsi="仿宋" w:eastAsia="仿宋" w:cs="仿宋"/>
          <w:color w:val="auto"/>
          <w:highlight w:val="none"/>
        </w:rPr>
      </w:pPr>
    </w:p>
    <w:p w14:paraId="7162B655">
      <w:pPr>
        <w:pStyle w:val="5"/>
        <w:numPr>
          <w:ilvl w:val="0"/>
          <w:numId w:val="3"/>
        </w:numPr>
        <w:spacing w:before="0" w:after="0" w:line="240" w:lineRule="auto"/>
        <w:rPr>
          <w:rFonts w:ascii="仿宋" w:hAnsi="仿宋" w:eastAsia="仿宋" w:cs="仿宋"/>
          <w:color w:val="auto"/>
          <w:sz w:val="28"/>
          <w:szCs w:val="28"/>
          <w:highlight w:val="none"/>
        </w:rPr>
      </w:pPr>
      <w:bookmarkStart w:id="45" w:name="_Toc220257383"/>
      <w:bookmarkStart w:id="46" w:name="_Toc6469"/>
      <w:bookmarkStart w:id="47" w:name="_Toc220403898"/>
      <w:bookmarkStart w:id="48" w:name="_Toc221335709"/>
      <w:r>
        <w:rPr>
          <w:rFonts w:hint="eastAsia" w:ascii="仿宋" w:hAnsi="仿宋" w:eastAsia="仿宋" w:cs="仿宋"/>
          <w:color w:val="auto"/>
          <w:sz w:val="28"/>
          <w:szCs w:val="28"/>
          <w:highlight w:val="none"/>
        </w:rPr>
        <w:t>供应商须知前附表</w:t>
      </w:r>
      <w:bookmarkEnd w:id="45"/>
      <w:bookmarkEnd w:id="46"/>
      <w:bookmarkEnd w:id="47"/>
      <w:bookmarkEnd w:id="48"/>
    </w:p>
    <w:tbl>
      <w:tblPr>
        <w:tblStyle w:val="26"/>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039"/>
        <w:gridCol w:w="7581"/>
      </w:tblGrid>
      <w:tr w14:paraId="574F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69" w:type="dxa"/>
          </w:tcPr>
          <w:p w14:paraId="3F6693E2">
            <w:pPr>
              <w:spacing w:line="46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039" w:type="dxa"/>
          </w:tcPr>
          <w:p w14:paraId="2F76A9BE">
            <w:pPr>
              <w:spacing w:line="46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7581" w:type="dxa"/>
          </w:tcPr>
          <w:p w14:paraId="39FD0D55">
            <w:pPr>
              <w:spacing w:line="46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内容</w:t>
            </w:r>
          </w:p>
        </w:tc>
      </w:tr>
      <w:tr w14:paraId="3F7F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69" w:type="dxa"/>
            <w:vAlign w:val="center"/>
          </w:tcPr>
          <w:p w14:paraId="0391C6B4">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39" w:type="dxa"/>
            <w:vAlign w:val="center"/>
          </w:tcPr>
          <w:p w14:paraId="68FC2239">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7581" w:type="dxa"/>
            <w:vAlign w:val="center"/>
          </w:tcPr>
          <w:p w14:paraId="4DDAE6E9">
            <w:pPr>
              <w:spacing w:line="460" w:lineRule="exact"/>
              <w:ind w:left="180" w:hanging="1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项目名称及项目编号：详见“第一章谈判邀请”</w:t>
            </w:r>
          </w:p>
        </w:tc>
      </w:tr>
      <w:tr w14:paraId="4E7A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dxa"/>
            <w:vAlign w:val="center"/>
          </w:tcPr>
          <w:p w14:paraId="39881980">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39" w:type="dxa"/>
            <w:vAlign w:val="center"/>
          </w:tcPr>
          <w:p w14:paraId="4AD1B0DE">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7581" w:type="dxa"/>
            <w:vAlign w:val="center"/>
          </w:tcPr>
          <w:p w14:paraId="709EC5BE">
            <w:pPr>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采购人名称：详见“第一章谈判邀请”</w:t>
            </w:r>
          </w:p>
        </w:tc>
      </w:tr>
      <w:tr w14:paraId="52C0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69" w:type="dxa"/>
            <w:vAlign w:val="center"/>
          </w:tcPr>
          <w:p w14:paraId="2E4C14C6">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39" w:type="dxa"/>
            <w:vAlign w:val="center"/>
          </w:tcPr>
          <w:p w14:paraId="31C7AF93">
            <w:pPr>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7581" w:type="dxa"/>
            <w:vAlign w:val="center"/>
          </w:tcPr>
          <w:p w14:paraId="32DB0B39">
            <w:pPr>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采购代理机构：详见“第一章谈判邀请”</w:t>
            </w:r>
          </w:p>
        </w:tc>
      </w:tr>
      <w:tr w14:paraId="3054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9" w:type="dxa"/>
            <w:vAlign w:val="center"/>
          </w:tcPr>
          <w:p w14:paraId="6BC03BC4">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39" w:type="dxa"/>
            <w:vAlign w:val="center"/>
          </w:tcPr>
          <w:p w14:paraId="768B77F5">
            <w:pPr>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w:t>
            </w:r>
          </w:p>
        </w:tc>
        <w:tc>
          <w:tcPr>
            <w:tcW w:w="7581" w:type="dxa"/>
            <w:vAlign w:val="top"/>
          </w:tcPr>
          <w:p w14:paraId="7B8093D8">
            <w:pPr>
              <w:spacing w:before="120" w:beforeLines="50" w:line="460" w:lineRule="exact"/>
              <w:jc w:val="both"/>
              <w:rPr>
                <w:rFonts w:ascii="仿宋" w:hAnsi="仿宋" w:eastAsia="仿宋" w:cs="仿宋"/>
                <w:color w:val="auto"/>
                <w:sz w:val="24"/>
                <w:szCs w:val="24"/>
                <w:highlight w:val="none"/>
              </w:rPr>
            </w:pPr>
            <w:r>
              <w:rPr>
                <w:rFonts w:hint="eastAsia" w:ascii="仿宋" w:hAnsi="仿宋" w:eastAsia="仿宋" w:cs="仿宋"/>
                <w:color w:val="auto"/>
                <w:sz w:val="24"/>
                <w:highlight w:val="none"/>
              </w:rPr>
              <w:t>本项目是否接受联合体参加竞争性谈判：</w:t>
            </w:r>
            <w:r>
              <w:rPr>
                <w:rFonts w:hint="eastAsia" w:ascii="仿宋" w:hAnsi="仿宋" w:eastAsia="仿宋" w:cs="仿宋"/>
                <w:color w:val="auto"/>
                <w:sz w:val="24"/>
                <w:szCs w:val="24"/>
                <w:highlight w:val="none"/>
              </w:rPr>
              <w:t>详见“第一章谈判邀请”</w:t>
            </w:r>
          </w:p>
        </w:tc>
      </w:tr>
      <w:tr w14:paraId="244C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69" w:type="dxa"/>
            <w:vAlign w:val="center"/>
          </w:tcPr>
          <w:p w14:paraId="7C688140">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39" w:type="dxa"/>
            <w:vAlign w:val="center"/>
          </w:tcPr>
          <w:p w14:paraId="367741B0">
            <w:pPr>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w:t>
            </w:r>
          </w:p>
        </w:tc>
        <w:tc>
          <w:tcPr>
            <w:tcW w:w="7581" w:type="dxa"/>
          </w:tcPr>
          <w:p w14:paraId="5CF88FB6">
            <w:pPr>
              <w:spacing w:before="120" w:beforeLines="50" w:line="24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供应商应当提交的资格、资信证明文件：</w:t>
            </w:r>
          </w:p>
          <w:p w14:paraId="6BFF4B98">
            <w:pPr>
              <w:pageBreakBefore w:val="0"/>
              <w:kinsoku/>
              <w:wordWrap/>
              <w:overflowPunct/>
              <w:topLinePunct w:val="0"/>
              <w:bidi w:val="0"/>
              <w:spacing w:line="360" w:lineRule="auto"/>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1.满足</w:t>
            </w:r>
            <w:r>
              <w:rPr>
                <w:rFonts w:hint="eastAsia" w:ascii="仿宋" w:hAnsi="仿宋" w:eastAsia="仿宋" w:cs="仿宋"/>
                <w:i w:val="0"/>
                <w:iCs w:val="0"/>
                <w:strike w:val="0"/>
                <w:dstrike w:val="0"/>
                <w:color w:val="auto"/>
                <w:sz w:val="24"/>
                <w:szCs w:val="24"/>
                <w:highlight w:val="none"/>
                <w:lang w:val="en-US" w:eastAsia="zh-CN"/>
              </w:rPr>
              <w:t>下列要求</w:t>
            </w:r>
            <w:r>
              <w:rPr>
                <w:rFonts w:hint="eastAsia" w:ascii="仿宋" w:hAnsi="仿宋" w:eastAsia="仿宋" w:cs="仿宋"/>
                <w:i w:val="0"/>
                <w:iCs w:val="0"/>
                <w:color w:val="auto"/>
                <w:sz w:val="24"/>
                <w:szCs w:val="24"/>
                <w:highlight w:val="none"/>
              </w:rPr>
              <w:t>；</w:t>
            </w:r>
          </w:p>
          <w:p w14:paraId="1239D01A">
            <w:pPr>
              <w:pageBreakBefore w:val="0"/>
              <w:kinsoku/>
              <w:wordWrap/>
              <w:overflowPunct/>
              <w:topLinePunct w:val="0"/>
              <w:bidi w:val="0"/>
              <w:spacing w:line="360" w:lineRule="auto"/>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（1）具有独立承担民事责任的能力</w:t>
            </w:r>
            <w:r>
              <w:rPr>
                <w:rFonts w:hint="eastAsia" w:ascii="仿宋" w:hAnsi="仿宋" w:eastAsia="仿宋" w:cs="仿宋"/>
                <w:i w:val="0"/>
                <w:iCs w:val="0"/>
                <w:color w:val="auto"/>
                <w:sz w:val="24"/>
                <w:szCs w:val="24"/>
                <w:highlight w:val="none"/>
                <w:lang w:val="en-US" w:eastAsia="zh-CN"/>
              </w:rPr>
              <w:t>；</w:t>
            </w:r>
          </w:p>
          <w:p w14:paraId="6891D9DE">
            <w:pPr>
              <w:pageBreakBefore w:val="0"/>
              <w:kinsoku/>
              <w:wordWrap/>
              <w:overflowPunct/>
              <w:topLinePunct w:val="0"/>
              <w:bidi w:val="0"/>
              <w:spacing w:line="360" w:lineRule="auto"/>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（2）具有良好的商业信誉和健全的财务会计制度</w:t>
            </w:r>
            <w:r>
              <w:rPr>
                <w:rFonts w:hint="eastAsia" w:ascii="仿宋" w:hAnsi="仿宋" w:eastAsia="仿宋" w:cs="仿宋"/>
                <w:i w:val="0"/>
                <w:iCs w:val="0"/>
                <w:color w:val="auto"/>
                <w:sz w:val="24"/>
                <w:szCs w:val="24"/>
                <w:highlight w:val="none"/>
                <w:lang w:val="en-US" w:eastAsia="zh-CN"/>
              </w:rPr>
              <w:t>；</w:t>
            </w:r>
            <w:r>
              <w:rPr>
                <w:rFonts w:hint="eastAsia" w:ascii="仿宋" w:hAnsi="仿宋" w:eastAsia="仿宋" w:cs="仿宋"/>
                <w:i w:val="0"/>
                <w:iCs w:val="0"/>
                <w:color w:val="auto"/>
                <w:sz w:val="24"/>
                <w:szCs w:val="24"/>
                <w:highlight w:val="none"/>
              </w:rPr>
              <w:t xml:space="preserve"> </w:t>
            </w:r>
          </w:p>
          <w:p w14:paraId="4328A533">
            <w:pPr>
              <w:pageBreakBefore w:val="0"/>
              <w:kinsoku/>
              <w:wordWrap/>
              <w:overflowPunct/>
              <w:topLinePunct w:val="0"/>
              <w:bidi w:val="0"/>
              <w:spacing w:line="360" w:lineRule="auto"/>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w:t>
            </w:r>
            <w:r>
              <w:rPr>
                <w:rFonts w:hint="eastAsia" w:ascii="仿宋" w:hAnsi="仿宋" w:eastAsia="仿宋" w:cs="仿宋"/>
                <w:i w:val="0"/>
                <w:iCs w:val="0"/>
                <w:color w:val="auto"/>
                <w:sz w:val="24"/>
                <w:szCs w:val="24"/>
                <w:highlight w:val="none"/>
                <w:lang w:eastAsia="zh-CN"/>
              </w:rPr>
              <w:t>具有履行合同所必需的设备和专业技术能力</w:t>
            </w:r>
            <w:r>
              <w:rPr>
                <w:rFonts w:hint="eastAsia" w:ascii="仿宋" w:hAnsi="仿宋" w:eastAsia="仿宋" w:cs="仿宋"/>
                <w:i w:val="0"/>
                <w:iCs w:val="0"/>
                <w:color w:val="auto"/>
                <w:sz w:val="24"/>
                <w:szCs w:val="24"/>
                <w:highlight w:val="none"/>
                <w:lang w:val="en-US" w:eastAsia="zh-CN"/>
              </w:rPr>
              <w:t>；</w:t>
            </w:r>
            <w:r>
              <w:rPr>
                <w:rFonts w:hint="eastAsia" w:ascii="仿宋" w:hAnsi="仿宋" w:eastAsia="仿宋" w:cs="仿宋"/>
                <w:i w:val="0"/>
                <w:iCs w:val="0"/>
                <w:color w:val="auto"/>
                <w:sz w:val="24"/>
                <w:szCs w:val="24"/>
                <w:highlight w:val="none"/>
              </w:rPr>
              <w:t xml:space="preserve"> </w:t>
            </w:r>
          </w:p>
          <w:p w14:paraId="3B37079D">
            <w:pPr>
              <w:pageBreakBefore w:val="0"/>
              <w:kinsoku/>
              <w:wordWrap/>
              <w:overflowPunct/>
              <w:topLinePunct w:val="0"/>
              <w:bidi w:val="0"/>
              <w:spacing w:line="360" w:lineRule="auto"/>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（4）有依法缴纳税收和社会保障资金的良好记录</w:t>
            </w:r>
            <w:r>
              <w:rPr>
                <w:rFonts w:hint="eastAsia" w:ascii="仿宋" w:hAnsi="仿宋" w:eastAsia="仿宋" w:cs="仿宋"/>
                <w:i w:val="0"/>
                <w:iCs w:val="0"/>
                <w:color w:val="auto"/>
                <w:sz w:val="24"/>
                <w:szCs w:val="24"/>
                <w:highlight w:val="none"/>
                <w:lang w:val="en-US" w:eastAsia="zh-CN"/>
              </w:rPr>
              <w:t>；</w:t>
            </w:r>
          </w:p>
          <w:p w14:paraId="61522578">
            <w:pPr>
              <w:pageBreakBefore w:val="0"/>
              <w:kinsoku/>
              <w:wordWrap/>
              <w:overflowPunct/>
              <w:topLinePunct w:val="0"/>
              <w:bidi w:val="0"/>
              <w:spacing w:line="360" w:lineRule="auto"/>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（5）参加采购活动前三年内,在经营活动中没有重大违法记录</w:t>
            </w:r>
            <w:r>
              <w:rPr>
                <w:rFonts w:hint="eastAsia" w:ascii="仿宋" w:hAnsi="仿宋" w:eastAsia="仿宋" w:cs="仿宋"/>
                <w:i w:val="0"/>
                <w:iCs w:val="0"/>
                <w:color w:val="auto"/>
                <w:sz w:val="24"/>
                <w:szCs w:val="24"/>
                <w:highlight w:val="none"/>
                <w:lang w:val="en-US" w:eastAsia="zh-CN"/>
              </w:rPr>
              <w:t>。</w:t>
            </w:r>
          </w:p>
          <w:p w14:paraId="2D99BC58">
            <w:pPr>
              <w:pStyle w:val="8"/>
              <w:ind w:left="0" w:leftChars="0" w:firstLine="0" w:firstLineChars="0"/>
              <w:rPr>
                <w:rFonts w:hint="eastAsia" w:eastAsia="仿宋"/>
                <w:b/>
                <w:bCs/>
                <w:color w:val="auto"/>
                <w:highlight w:val="none"/>
                <w:lang w:val="en-US" w:eastAsia="zh-CN"/>
              </w:rPr>
            </w:pPr>
            <w:r>
              <w:rPr>
                <w:rFonts w:hint="eastAsia" w:eastAsia="仿宋"/>
                <w:b/>
                <w:bCs/>
                <w:color w:val="auto"/>
                <w:highlight w:val="none"/>
                <w:lang w:val="en-US" w:eastAsia="zh-CN"/>
              </w:rPr>
              <w:t>注：</w:t>
            </w:r>
            <w:r>
              <w:rPr>
                <w:rFonts w:hint="eastAsia" w:ascii="仿宋" w:hAnsi="仿宋" w:eastAsia="仿宋" w:cs="仿宋"/>
                <w:b/>
                <w:bCs/>
                <w:i w:val="0"/>
                <w:iCs w:val="0"/>
                <w:color w:val="auto"/>
                <w:kern w:val="2"/>
                <w:sz w:val="24"/>
                <w:szCs w:val="24"/>
                <w:highlight w:val="none"/>
                <w:lang w:val="en-US" w:eastAsia="zh-CN" w:bidi="ar-SA"/>
              </w:rPr>
              <w:t>上述（1）-（5）项按响应文件格式7-2．供应商资格信用承诺函响应即可</w:t>
            </w:r>
            <w:r>
              <w:rPr>
                <w:rFonts w:hint="eastAsia" w:eastAsia="仿宋"/>
                <w:b/>
                <w:bCs/>
                <w:color w:val="auto"/>
                <w:highlight w:val="none"/>
                <w:lang w:val="en-US" w:eastAsia="zh-CN"/>
              </w:rPr>
              <w:t>。</w:t>
            </w:r>
          </w:p>
          <w:p w14:paraId="5F49F998">
            <w:pPr>
              <w:spacing w:before="120" w:beforeLines="50" w:line="460" w:lineRule="exact"/>
              <w:rPr>
                <w:rFonts w:hint="default" w:eastAsia="仿宋"/>
                <w:b/>
                <w:bCs/>
                <w:color w:val="auto"/>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本项目的特定资格要求：投标人应具备行政主管部门颁发的道路运输经营许可证，且经营范围含货运（货物运输），</w:t>
            </w:r>
            <w:r>
              <w:rPr>
                <w:rFonts w:hint="eastAsia" w:ascii="仿宋" w:hAnsi="仿宋" w:eastAsia="仿宋" w:cs="仿宋"/>
                <w:color w:val="auto"/>
                <w:sz w:val="24"/>
                <w:szCs w:val="24"/>
                <w:highlight w:val="none"/>
                <w:lang w:val="en-US" w:eastAsia="zh-CN"/>
              </w:rPr>
              <w:t>提供有效期内的证书复印件加盖公章</w:t>
            </w:r>
            <w:r>
              <w:rPr>
                <w:rFonts w:hint="eastAsia" w:ascii="仿宋" w:hAnsi="仿宋" w:eastAsia="仿宋" w:cs="仿宋"/>
                <w:color w:val="auto"/>
                <w:sz w:val="24"/>
                <w:highlight w:val="none"/>
              </w:rPr>
              <w:t>。</w:t>
            </w:r>
          </w:p>
          <w:p w14:paraId="640708A1">
            <w:pPr>
              <w:pageBreakBefore w:val="0"/>
              <w:kinsoku/>
              <w:wordWrap/>
              <w:overflowPunct/>
              <w:topLinePunct w:val="0"/>
              <w:bidi w:val="0"/>
              <w:spacing w:line="360" w:lineRule="auto"/>
              <w:textAlignment w:val="auto"/>
              <w:rPr>
                <w:rFonts w:hint="eastAsia"/>
                <w:color w:val="auto"/>
                <w:highlight w:val="none"/>
                <w:lang w:val="en-US" w:eastAsia="zh-CN"/>
              </w:rPr>
            </w:pPr>
            <w:r>
              <w:rPr>
                <w:rFonts w:hint="eastAsia" w:ascii="仿宋" w:hAnsi="仿宋" w:eastAsia="仿宋" w:cs="仿宋"/>
                <w:i w:val="0"/>
                <w:iCs w:val="0"/>
                <w:color w:val="auto"/>
                <w:sz w:val="24"/>
                <w:szCs w:val="24"/>
                <w:highlight w:val="none"/>
                <w:lang w:val="en-US" w:eastAsia="zh-CN"/>
              </w:rPr>
              <w:t>3.法定代表人参与投标时须提供法定代表人身份证（正、反面）复印件及法定代表人身份证原件（或电子身份证）；授权代表参与投标须提供授权委托书（含法定代表人身份证及授权代表身份证正、反面）复印件及授权代表身份证原件（或电子身份证）。</w:t>
            </w:r>
          </w:p>
          <w:p w14:paraId="174B9E4E">
            <w:pPr>
              <w:pageBreakBefore w:val="0"/>
              <w:kinsoku/>
              <w:wordWrap/>
              <w:overflowPunct/>
              <w:topLinePunct w:val="0"/>
              <w:bidi w:val="0"/>
              <w:spacing w:line="360" w:lineRule="auto"/>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4.投标保证金：投标人提供</w:t>
            </w:r>
            <w:r>
              <w:rPr>
                <w:rFonts w:hint="eastAsia" w:ascii="仿宋" w:hAnsi="仿宋" w:eastAsia="仿宋" w:cs="仿宋"/>
                <w:b/>
                <w:bCs/>
                <w:i w:val="0"/>
                <w:iCs w:val="0"/>
                <w:color w:val="auto"/>
                <w:sz w:val="24"/>
                <w:szCs w:val="24"/>
                <w:highlight w:val="none"/>
                <w:lang w:val="en-US" w:eastAsia="zh-CN"/>
              </w:rPr>
              <w:t>投标保证金缴纳凭证及基本行开户证明复印件加盖公章</w:t>
            </w:r>
            <w:r>
              <w:rPr>
                <w:rFonts w:hint="eastAsia" w:ascii="仿宋" w:hAnsi="仿宋" w:eastAsia="仿宋" w:cs="仿宋"/>
                <w:i w:val="0"/>
                <w:iCs w:val="0"/>
                <w:color w:val="auto"/>
                <w:sz w:val="24"/>
                <w:szCs w:val="24"/>
                <w:highlight w:val="none"/>
                <w:lang w:val="en-US" w:eastAsia="zh-CN"/>
              </w:rPr>
              <w:t>。</w:t>
            </w:r>
          </w:p>
          <w:p w14:paraId="12655CBD">
            <w:pPr>
              <w:spacing w:line="360" w:lineRule="auto"/>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5.单位负责人为同一人或者存在直接控股、管理关系的不同供应商，不得参加同一合同项下的企业招标、采购活动（</w:t>
            </w:r>
            <w:r>
              <w:rPr>
                <w:rFonts w:hint="eastAsia" w:ascii="仿宋" w:hAnsi="仿宋" w:eastAsia="仿宋" w:cs="仿宋"/>
                <w:b/>
                <w:bCs/>
                <w:color w:val="auto"/>
                <w:sz w:val="24"/>
                <w:szCs w:val="24"/>
                <w:highlight w:val="none"/>
                <w:lang w:val="en-US" w:eastAsia="zh-CN"/>
              </w:rPr>
              <w:t>提供声明函及国家企业信用信息公示系统（网址:http://www.gsxt.gov.cn/index.html)中的“企业信用信息公示（开标前一个月内的）报告”，声明函格式见投标文件格式8-1</w:t>
            </w:r>
            <w:r>
              <w:rPr>
                <w:rFonts w:hint="eastAsia" w:ascii="仿宋" w:hAnsi="仿宋" w:eastAsia="仿宋" w:cs="仿宋"/>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w:t>
            </w:r>
          </w:p>
        </w:tc>
      </w:tr>
      <w:tr w14:paraId="61F2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vAlign w:val="center"/>
          </w:tcPr>
          <w:p w14:paraId="1E02C929">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39" w:type="dxa"/>
            <w:vAlign w:val="center"/>
          </w:tcPr>
          <w:p w14:paraId="3952B74E">
            <w:pPr>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w:t>
            </w:r>
          </w:p>
        </w:tc>
        <w:tc>
          <w:tcPr>
            <w:tcW w:w="7581" w:type="dxa"/>
          </w:tcPr>
          <w:p w14:paraId="19C66330">
            <w:pPr>
              <w:spacing w:before="120" w:beforeLines="50" w:line="46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告知项</w:t>
            </w:r>
            <w:r>
              <w:rPr>
                <w:rFonts w:hint="eastAsia" w:ascii="仿宋" w:hAnsi="仿宋" w:eastAsia="仿宋" w:cs="仿宋"/>
                <w:b/>
                <w:bCs/>
                <w:color w:val="auto"/>
                <w:sz w:val="24"/>
                <w:highlight w:val="none"/>
                <w:lang w:eastAsia="zh-CN"/>
              </w:rPr>
              <w:t>：</w:t>
            </w:r>
          </w:p>
          <w:p w14:paraId="7FA64940">
            <w:pPr>
              <w:pageBreakBefore w:val="0"/>
              <w:numPr>
                <w:ilvl w:val="0"/>
                <w:numId w:val="0"/>
              </w:numPr>
              <w:kinsoku/>
              <w:wordWrap/>
              <w:overflowPunct/>
              <w:topLinePunct w:val="0"/>
              <w:bidi w:val="0"/>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1、与采购人存在利害关系可能影响招标公正性的法人、其他组织或者个人，</w:t>
            </w:r>
            <w:r>
              <w:rPr>
                <w:rFonts w:hint="eastAsia" w:ascii="仿宋" w:hAnsi="仿宋" w:eastAsia="仿宋" w:cs="仿宋"/>
                <w:b/>
                <w:bCs/>
                <w:color w:val="auto"/>
                <w:sz w:val="24"/>
                <w:szCs w:val="24"/>
                <w:highlight w:val="none"/>
                <w:lang w:val="en-US" w:eastAsia="zh-CN"/>
              </w:rPr>
              <w:t>不得参加投标</w:t>
            </w:r>
            <w:r>
              <w:rPr>
                <w:rFonts w:hint="eastAsia" w:ascii="仿宋" w:hAnsi="仿宋" w:eastAsia="仿宋" w:cs="仿宋"/>
                <w:b w:val="0"/>
                <w:bCs w:val="0"/>
                <w:color w:val="auto"/>
                <w:sz w:val="24"/>
                <w:szCs w:val="24"/>
                <w:highlight w:val="none"/>
                <w:lang w:val="en-US" w:eastAsia="zh-CN"/>
              </w:rPr>
              <w:t>。单位负责人为同一人或者存在控股、管理关系的不同单位，</w:t>
            </w:r>
            <w:r>
              <w:rPr>
                <w:rFonts w:hint="eastAsia" w:ascii="仿宋" w:hAnsi="仿宋" w:eastAsia="仿宋" w:cs="仿宋"/>
                <w:b/>
                <w:bCs/>
                <w:color w:val="auto"/>
                <w:sz w:val="24"/>
                <w:szCs w:val="24"/>
                <w:highlight w:val="none"/>
                <w:lang w:val="en-US" w:eastAsia="zh-CN"/>
              </w:rPr>
              <w:t>不得参加同一标段投标或者未划分标段的同一招标项目投标</w:t>
            </w:r>
            <w:r>
              <w:rPr>
                <w:rFonts w:hint="eastAsia" w:ascii="仿宋" w:hAnsi="仿宋" w:eastAsia="仿宋" w:cs="仿宋"/>
                <w:b w:val="0"/>
                <w:bCs w:val="0"/>
                <w:color w:val="auto"/>
                <w:sz w:val="24"/>
                <w:szCs w:val="24"/>
                <w:highlight w:val="none"/>
                <w:lang w:val="en-US" w:eastAsia="zh-CN"/>
              </w:rPr>
              <w:t>。</w:t>
            </w:r>
          </w:p>
          <w:p w14:paraId="0A7721FC">
            <w:pPr>
              <w:pageBreakBefore w:val="0"/>
              <w:numPr>
                <w:ilvl w:val="0"/>
                <w:numId w:val="0"/>
              </w:numPr>
              <w:kinsoku/>
              <w:wordWrap/>
              <w:overflowPunct/>
              <w:topLinePunct w:val="0"/>
              <w:bidi w:val="0"/>
              <w:spacing w:line="360" w:lineRule="auto"/>
              <w:textAlignment w:val="auto"/>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2、招标代理机构代理招标业务，应当遵守招标投标法和本条例关于招标人的规定。招标代理机构不得在所代理的招标项目中投标或者代理投标，也不得为所代理的招标项目的投标人提供咨询。接受委托编制标底的中介机构不得参加受托编制标底项目的投标，也不得为该项目的投标人编制投标文件或者提供咨询。</w:t>
            </w:r>
          </w:p>
          <w:p w14:paraId="77240D5E">
            <w:pPr>
              <w:spacing w:line="420" w:lineRule="exact"/>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i w:val="0"/>
                <w:iCs w:val="0"/>
                <w:color w:val="auto"/>
                <w:sz w:val="24"/>
                <w:highlight w:val="none"/>
                <w:lang w:val="en-US" w:eastAsia="zh-CN"/>
              </w:rPr>
              <w:t>3、</w:t>
            </w:r>
            <w:r>
              <w:rPr>
                <w:rFonts w:hint="eastAsia" w:ascii="仿宋" w:hAnsi="仿宋" w:eastAsia="仿宋" w:cs="仿宋"/>
                <w:b w:val="0"/>
                <w:bCs w:val="0"/>
                <w:i w:val="0"/>
                <w:iCs w:val="0"/>
                <w:color w:val="auto"/>
                <w:sz w:val="24"/>
                <w:szCs w:val="24"/>
                <w:highlight w:val="none"/>
                <w:lang w:val="en-US" w:eastAsia="zh-CN"/>
              </w:rPr>
              <w:t>投标人被瑞昌市城投供应链采销平台（http://rcct.srm-a.gyuncai.com/）列入不良行为记录黑名单（处罚期限尚未届满的），</w:t>
            </w:r>
            <w:r>
              <w:rPr>
                <w:rFonts w:hint="eastAsia" w:ascii="仿宋" w:hAnsi="仿宋" w:eastAsia="仿宋" w:cs="仿宋"/>
                <w:b/>
                <w:bCs/>
                <w:i w:val="0"/>
                <w:iCs w:val="0"/>
                <w:color w:val="auto"/>
                <w:sz w:val="24"/>
                <w:szCs w:val="24"/>
                <w:highlight w:val="none"/>
                <w:lang w:val="en-US" w:eastAsia="zh-CN"/>
              </w:rPr>
              <w:t>不得参与本项目的采购活动</w:t>
            </w:r>
            <w:r>
              <w:rPr>
                <w:rFonts w:hint="eastAsia" w:ascii="仿宋" w:hAnsi="仿宋" w:eastAsia="仿宋" w:cs="仿宋"/>
                <w:b w:val="0"/>
                <w:bCs w:val="0"/>
                <w:i w:val="0"/>
                <w:iCs w:val="0"/>
                <w:color w:val="auto"/>
                <w:sz w:val="24"/>
                <w:szCs w:val="24"/>
                <w:highlight w:val="none"/>
                <w:lang w:val="en-US" w:eastAsia="zh-CN"/>
              </w:rPr>
              <w:t>。</w:t>
            </w:r>
          </w:p>
          <w:p w14:paraId="1235038C">
            <w:pPr>
              <w:spacing w:line="42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4、投标人被列入“中国执行信息公开网”网站失信被执行人（招标公告发布前从最高人民法院失信被执行人信息库删除的除外）、“信用中国”重大税收违法失信主体、严重失信</w:t>
            </w:r>
            <w:r>
              <w:rPr>
                <w:rFonts w:hint="eastAsia" w:ascii="仿宋" w:hAnsi="仿宋" w:eastAsia="仿宋" w:cs="仿宋"/>
                <w:i w:val="0"/>
                <w:iCs w:val="0"/>
                <w:color w:val="auto"/>
                <w:sz w:val="24"/>
                <w:highlight w:val="none"/>
                <w:lang w:val="en-US" w:eastAsia="zh-CN"/>
              </w:rPr>
              <w:t>主体名单</w:t>
            </w:r>
            <w:r>
              <w:rPr>
                <w:rFonts w:hint="eastAsia" w:ascii="仿宋" w:hAnsi="仿宋" w:eastAsia="仿宋" w:cs="仿宋"/>
                <w:b w:val="0"/>
                <w:bCs w:val="0"/>
                <w:color w:val="auto"/>
                <w:sz w:val="24"/>
                <w:szCs w:val="24"/>
                <w:highlight w:val="none"/>
                <w:lang w:val="en-US" w:eastAsia="zh-CN"/>
              </w:rPr>
              <w:t>的，</w:t>
            </w:r>
            <w:r>
              <w:rPr>
                <w:rFonts w:hint="eastAsia" w:ascii="仿宋" w:hAnsi="仿宋" w:eastAsia="仿宋" w:cs="仿宋"/>
                <w:b/>
                <w:bCs/>
                <w:color w:val="auto"/>
                <w:sz w:val="24"/>
                <w:szCs w:val="24"/>
                <w:highlight w:val="none"/>
                <w:lang w:val="en-US" w:eastAsia="zh-CN"/>
              </w:rPr>
              <w:t>采购人将拒绝其参加本项目的投标。</w:t>
            </w:r>
          </w:p>
          <w:p w14:paraId="519D85E0">
            <w:pPr>
              <w:spacing w:line="42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5、投标人被“中国政府采购网”网站列入政府采购严重违法失信行为记录名单（处罚期限尚未届满的）</w:t>
            </w:r>
            <w:r>
              <w:rPr>
                <w:rFonts w:hint="eastAsia" w:ascii="仿宋" w:hAnsi="仿宋" w:eastAsia="仿宋" w:cs="仿宋"/>
                <w:i w:val="0"/>
                <w:iCs w:val="0"/>
                <w:color w:val="auto"/>
                <w:sz w:val="24"/>
                <w:highlight w:val="none"/>
                <w:lang w:val="en-US" w:eastAsia="zh-CN"/>
              </w:rPr>
              <w:t>，</w:t>
            </w:r>
            <w:r>
              <w:rPr>
                <w:rFonts w:hint="eastAsia" w:ascii="仿宋" w:hAnsi="仿宋" w:eastAsia="仿宋" w:cs="仿宋"/>
                <w:b/>
                <w:bCs/>
                <w:i w:val="0"/>
                <w:iCs w:val="0"/>
                <w:color w:val="auto"/>
                <w:sz w:val="24"/>
                <w:highlight w:val="none"/>
                <w:lang w:val="en-US" w:eastAsia="zh-CN"/>
              </w:rPr>
              <w:t>不得参与本项目的投标</w:t>
            </w:r>
            <w:r>
              <w:rPr>
                <w:rFonts w:hint="eastAsia" w:ascii="仿宋" w:hAnsi="仿宋" w:eastAsia="仿宋" w:cs="仿宋"/>
                <w:b/>
                <w:bCs/>
                <w:color w:val="auto"/>
                <w:sz w:val="24"/>
                <w:szCs w:val="24"/>
                <w:highlight w:val="none"/>
                <w:lang w:val="en-US" w:eastAsia="zh-CN"/>
              </w:rPr>
              <w:t>。</w:t>
            </w:r>
          </w:p>
          <w:p w14:paraId="36A6D58C">
            <w:pPr>
              <w:spacing w:line="42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开标现场，由采购人、代理机构现场查询：</w:t>
            </w:r>
          </w:p>
          <w:p w14:paraId="0BB7E80D">
            <w:pPr>
              <w:spacing w:line="42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①“中国执行信息公开网” 平台无失信记录查询路径： https://zxgk.court.gov.cn/shixin/→在查询条件中输入企业名称、组织机构代码。</w:t>
            </w:r>
          </w:p>
          <w:p w14:paraId="3DA2D2D8">
            <w:pPr>
              <w:spacing w:line="42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②信 用 中 国“重大税收违法失信主体”查询路径：https://www.creditchina.gov.cn/zhuanxiangchaxun/zhongdashuishouweifaanjian/→输入企业名称查询。</w:t>
            </w:r>
          </w:p>
          <w:p w14:paraId="40079D70">
            <w:pPr>
              <w:spacing w:line="42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③信 用 中 国“拖欠农民工工资失信联合惩戒对象名单”查询路径：https://www.creditchina.gov.cn/zhuanxiangchaxun/zdlycx/?tablename=credit_rsb_fr_tqnmggz&amp;gsName=%E6%8B%96%E6%AC%A0%E5%86%9C%E6%B0%91%E5%B7%A5%E5%B7%A5%E8%B5%84%E5%A4%B1%E4%BF%A1%E8%81%94%E5%90%88%E6%83%A9%E6%88%92%E5%AF%B9%E8%B1%A1%E5%90%8D%E5%8D%95→输入企业名称查询。</w:t>
            </w:r>
          </w:p>
          <w:p w14:paraId="7B185375">
            <w:pPr>
              <w:spacing w:line="42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④信 用 中 国“严重失信</w:t>
            </w:r>
            <w:r>
              <w:rPr>
                <w:rFonts w:hint="eastAsia" w:ascii="仿宋" w:hAnsi="仿宋" w:eastAsia="仿宋" w:cs="仿宋"/>
                <w:i w:val="0"/>
                <w:iCs w:val="0"/>
                <w:color w:val="auto"/>
                <w:sz w:val="24"/>
                <w:highlight w:val="none"/>
                <w:lang w:val="en-US" w:eastAsia="zh-CN"/>
              </w:rPr>
              <w:t>主体名单”查询路径：</w:t>
            </w:r>
            <w:r>
              <w:rPr>
                <w:rFonts w:hint="eastAsia" w:ascii="仿宋" w:hAnsi="仿宋" w:eastAsia="仿宋" w:cs="仿宋"/>
                <w:b w:val="0"/>
                <w:bCs w:val="0"/>
                <w:color w:val="auto"/>
                <w:sz w:val="24"/>
                <w:szCs w:val="24"/>
                <w:highlight w:val="none"/>
                <w:lang w:val="en-US" w:eastAsia="zh-CN"/>
              </w:rPr>
              <w:t>https://www.creditchina.gov.cn/xinxigongshi/shixinheimingdan/→在查询栏中输入主体名称或者统一信用代码查询。</w:t>
            </w:r>
          </w:p>
          <w:p w14:paraId="4667DAD3">
            <w:pPr>
              <w:pageBreakBefore w:val="0"/>
              <w:kinsoku/>
              <w:wordWrap/>
              <w:overflowPunct/>
              <w:topLinePunct w:val="0"/>
              <w:bidi w:val="0"/>
              <w:spacing w:line="360" w:lineRule="auto"/>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⑤瑞昌市城投供应链采销平台（https://rcct.srm-a.gyuncai.com/）→不良记录名单。</w:t>
            </w:r>
          </w:p>
        </w:tc>
      </w:tr>
      <w:tr w14:paraId="6BC6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vAlign w:val="center"/>
          </w:tcPr>
          <w:p w14:paraId="72043C9D">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39" w:type="dxa"/>
            <w:vAlign w:val="center"/>
          </w:tcPr>
          <w:p w14:paraId="6A017427">
            <w:pPr>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w:t>
            </w:r>
          </w:p>
        </w:tc>
        <w:tc>
          <w:tcPr>
            <w:tcW w:w="7581" w:type="dxa"/>
          </w:tcPr>
          <w:p w14:paraId="74A6BDB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仿宋"/>
                <w:b/>
                <w:color w:val="0000FF"/>
                <w:sz w:val="24"/>
                <w:szCs w:val="24"/>
                <w:highlight w:val="none"/>
                <w:lang w:val="en-US" w:eastAsia="zh-CN"/>
              </w:rPr>
            </w:pPr>
            <w:r>
              <w:rPr>
                <w:rFonts w:hint="eastAsia" w:ascii="仿宋" w:hAnsi="仿宋" w:eastAsia="仿宋" w:cs="仿宋"/>
                <w:b/>
                <w:bCs/>
                <w:color w:val="auto"/>
                <w:sz w:val="24"/>
                <w:szCs w:val="24"/>
                <w:highlight w:val="none"/>
                <w:lang w:val="en-US" w:eastAsia="zh-CN"/>
              </w:rPr>
              <w:t>投标保证金</w:t>
            </w:r>
            <w:r>
              <w:rPr>
                <w:rFonts w:hint="eastAsia" w:ascii="仿宋" w:hAnsi="仿宋" w:eastAsia="仿宋" w:cs="仿宋"/>
                <w:b/>
                <w:color w:val="auto"/>
                <w:sz w:val="24"/>
                <w:highlight w:val="none"/>
              </w:rPr>
              <w:t>：</w:t>
            </w:r>
            <w:r>
              <w:rPr>
                <w:rFonts w:hint="eastAsia" w:ascii="仿宋" w:hAnsi="仿宋" w:eastAsia="仿宋" w:cs="仿宋"/>
                <w:b/>
                <w:color w:val="0000FF"/>
                <w:sz w:val="24"/>
                <w:szCs w:val="24"/>
                <w:highlight w:val="none"/>
                <w:u w:val="single"/>
                <w:lang w:val="en-US" w:eastAsia="zh-CN"/>
              </w:rPr>
              <w:t>叁仟元整</w:t>
            </w:r>
            <w:r>
              <w:rPr>
                <w:rFonts w:hint="eastAsia" w:ascii="仿宋" w:hAnsi="仿宋" w:eastAsia="仿宋" w:cs="仿宋"/>
                <w:b/>
                <w:color w:val="0000FF"/>
                <w:sz w:val="24"/>
                <w:szCs w:val="24"/>
                <w:highlight w:val="none"/>
                <w:lang w:val="en-US" w:eastAsia="zh-CN"/>
              </w:rPr>
              <w:t>（¥</w:t>
            </w:r>
            <w:r>
              <w:rPr>
                <w:rFonts w:hint="eastAsia" w:ascii="仿宋" w:hAnsi="仿宋" w:eastAsia="仿宋" w:cs="仿宋"/>
                <w:b/>
                <w:color w:val="0000FF"/>
                <w:sz w:val="24"/>
                <w:szCs w:val="24"/>
                <w:highlight w:val="none"/>
                <w:u w:val="single"/>
                <w:lang w:val="en-US" w:eastAsia="zh-CN"/>
              </w:rPr>
              <w:t>3000.00元</w:t>
            </w:r>
            <w:r>
              <w:rPr>
                <w:rFonts w:hint="eastAsia" w:ascii="仿宋" w:hAnsi="仿宋" w:eastAsia="仿宋" w:cs="仿宋"/>
                <w:b/>
                <w:color w:val="0000FF"/>
                <w:sz w:val="24"/>
                <w:szCs w:val="24"/>
                <w:highlight w:val="none"/>
                <w:lang w:val="en-US" w:eastAsia="zh-CN"/>
              </w:rPr>
              <w:t>）</w:t>
            </w:r>
          </w:p>
          <w:p w14:paraId="7FCF29F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仿宋"/>
                <w:b/>
                <w:bCs/>
                <w:color w:val="0000FF"/>
                <w:sz w:val="24"/>
                <w:szCs w:val="24"/>
                <w:highlight w:val="none"/>
                <w:lang w:val="en-US" w:eastAsia="zh-CN"/>
              </w:rPr>
            </w:pPr>
            <w:r>
              <w:rPr>
                <w:rFonts w:hint="eastAsia" w:ascii="仿宋" w:hAnsi="仿宋" w:eastAsia="仿宋" w:cs="仿宋"/>
                <w:b/>
                <w:bCs w:val="0"/>
                <w:color w:val="0000FF"/>
                <w:sz w:val="24"/>
                <w:szCs w:val="24"/>
                <w:highlight w:val="none"/>
                <w:lang w:val="en-US" w:eastAsia="zh-CN"/>
              </w:rPr>
              <w:t>谈判保证金</w:t>
            </w:r>
            <w:r>
              <w:rPr>
                <w:rFonts w:hint="eastAsia" w:ascii="仿宋" w:hAnsi="仿宋" w:eastAsia="仿宋" w:cs="仿宋"/>
                <w:b/>
                <w:bCs/>
                <w:color w:val="0000FF"/>
                <w:sz w:val="24"/>
                <w:szCs w:val="24"/>
                <w:highlight w:val="none"/>
                <w:lang w:val="en-US" w:eastAsia="zh-CN"/>
              </w:rPr>
              <w:t>截止时间：</w:t>
            </w:r>
            <w:r>
              <w:rPr>
                <w:rFonts w:hint="eastAsia" w:ascii="仿宋" w:hAnsi="仿宋" w:eastAsia="仿宋" w:cs="仿宋"/>
                <w:b/>
                <w:color w:val="0000FF"/>
                <w:sz w:val="24"/>
                <w:szCs w:val="24"/>
                <w:highlight w:val="none"/>
              </w:rPr>
              <w:t>开标时间前1天的下午1</w:t>
            </w:r>
            <w:r>
              <w:rPr>
                <w:rFonts w:hint="eastAsia" w:ascii="仿宋" w:hAnsi="仿宋" w:eastAsia="仿宋" w:cs="仿宋"/>
                <w:b/>
                <w:color w:val="0000FF"/>
                <w:sz w:val="24"/>
                <w:szCs w:val="24"/>
                <w:highlight w:val="none"/>
                <w:lang w:val="en-US" w:eastAsia="zh-CN"/>
              </w:rPr>
              <w:t>8</w:t>
            </w:r>
            <w:r>
              <w:rPr>
                <w:rFonts w:hint="eastAsia" w:ascii="仿宋" w:hAnsi="仿宋" w:eastAsia="仿宋" w:cs="仿宋"/>
                <w:b/>
                <w:color w:val="0000FF"/>
                <w:sz w:val="24"/>
                <w:szCs w:val="24"/>
                <w:highlight w:val="none"/>
              </w:rPr>
              <w:t>：</w:t>
            </w:r>
            <w:r>
              <w:rPr>
                <w:rFonts w:hint="eastAsia" w:ascii="仿宋" w:hAnsi="仿宋" w:eastAsia="仿宋" w:cs="仿宋"/>
                <w:b/>
                <w:color w:val="0000FF"/>
                <w:sz w:val="24"/>
                <w:szCs w:val="24"/>
                <w:highlight w:val="none"/>
                <w:lang w:val="en-US" w:eastAsia="zh-CN"/>
              </w:rPr>
              <w:t>0</w:t>
            </w:r>
            <w:r>
              <w:rPr>
                <w:rFonts w:hint="eastAsia" w:ascii="仿宋" w:hAnsi="仿宋" w:eastAsia="仿宋" w:cs="仿宋"/>
                <w:b/>
                <w:color w:val="0000FF"/>
                <w:sz w:val="24"/>
                <w:szCs w:val="24"/>
                <w:highlight w:val="none"/>
              </w:rPr>
              <w:t>0时前（北京时间）</w:t>
            </w:r>
          </w:p>
          <w:p w14:paraId="559B48DF">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ind w:left="0" w:right="0"/>
              <w:jc w:val="left"/>
              <w:textAlignment w:val="auto"/>
              <w:rPr>
                <w:rFonts w:hint="eastAsia" w:ascii="仿宋" w:hAnsi="仿宋" w:eastAsia="仿宋" w:cs="仿宋"/>
                <w:color w:val="0000FF"/>
                <w:kern w:val="2"/>
                <w:sz w:val="24"/>
                <w:szCs w:val="24"/>
                <w:highlight w:val="none"/>
                <w:lang w:val="en-US" w:eastAsia="zh-CN" w:bidi="ar-SA"/>
              </w:rPr>
            </w:pPr>
            <w:r>
              <w:rPr>
                <w:rFonts w:hint="eastAsia" w:ascii="仿宋" w:hAnsi="仿宋" w:eastAsia="仿宋" w:cs="仿宋"/>
                <w:color w:val="0000FF"/>
                <w:kern w:val="2"/>
                <w:sz w:val="24"/>
                <w:szCs w:val="24"/>
                <w:highlight w:val="none"/>
                <w:lang w:val="en-US" w:eastAsia="zh-CN" w:bidi="ar-SA"/>
              </w:rPr>
              <w:t>投标保证金的形式：☑ 银行转账</w:t>
            </w:r>
          </w:p>
          <w:p w14:paraId="3346B2DA">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ind w:left="0" w:right="0"/>
              <w:jc w:val="left"/>
              <w:textAlignment w:val="auto"/>
              <w:rPr>
                <w:rFonts w:hint="eastAsia" w:ascii="仿宋" w:hAnsi="仿宋" w:eastAsia="仿宋" w:cs="仿宋"/>
                <w:color w:val="0000FF"/>
                <w:kern w:val="2"/>
                <w:sz w:val="24"/>
                <w:szCs w:val="24"/>
                <w:highlight w:val="none"/>
                <w:lang w:val="en-US" w:eastAsia="zh-CN" w:bidi="ar-SA"/>
              </w:rPr>
            </w:pPr>
            <w:r>
              <w:rPr>
                <w:rFonts w:hint="eastAsia" w:ascii="仿宋" w:hAnsi="仿宋" w:eastAsia="仿宋" w:cs="仿宋"/>
                <w:color w:val="0000FF"/>
                <w:kern w:val="2"/>
                <w:sz w:val="24"/>
                <w:szCs w:val="24"/>
                <w:highlight w:val="none"/>
                <w:lang w:val="en-US" w:eastAsia="zh-CN" w:bidi="ar-SA"/>
              </w:rPr>
              <w:t>投标保证金必须缴纳至以下任意账户：</w:t>
            </w:r>
          </w:p>
          <w:p w14:paraId="720F4278">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ind w:left="0" w:right="0"/>
              <w:jc w:val="left"/>
              <w:textAlignment w:val="auto"/>
              <w:rPr>
                <w:rFonts w:hint="eastAsia" w:ascii="仿宋" w:hAnsi="仿宋" w:eastAsia="仿宋" w:cs="仿宋"/>
                <w:color w:val="0000FF"/>
                <w:kern w:val="2"/>
                <w:sz w:val="24"/>
                <w:szCs w:val="24"/>
                <w:highlight w:val="none"/>
                <w:lang w:val="en-US" w:eastAsia="zh-CN" w:bidi="ar-SA"/>
              </w:rPr>
            </w:pPr>
            <w:r>
              <w:rPr>
                <w:rFonts w:hint="eastAsia" w:ascii="仿宋" w:hAnsi="仿宋" w:eastAsia="仿宋" w:cs="仿宋"/>
                <w:color w:val="0000FF"/>
                <w:kern w:val="2"/>
                <w:sz w:val="24"/>
                <w:szCs w:val="24"/>
                <w:highlight w:val="none"/>
                <w:lang w:val="en-US" w:eastAsia="zh-CN" w:bidi="ar-SA"/>
              </w:rPr>
              <w:t>账户名：江西省壹凡工程咨询有限公司</w:t>
            </w:r>
          </w:p>
          <w:p w14:paraId="51F97ADF">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ind w:left="0" w:right="0"/>
              <w:jc w:val="left"/>
              <w:textAlignment w:val="auto"/>
              <w:rPr>
                <w:rFonts w:hint="eastAsia" w:ascii="仿宋" w:hAnsi="仿宋" w:eastAsia="仿宋" w:cs="仿宋"/>
                <w:color w:val="0000FF"/>
                <w:kern w:val="2"/>
                <w:sz w:val="24"/>
                <w:szCs w:val="24"/>
                <w:highlight w:val="none"/>
                <w:lang w:val="en-US" w:eastAsia="zh-CN" w:bidi="ar-SA"/>
              </w:rPr>
            </w:pPr>
            <w:r>
              <w:rPr>
                <w:rFonts w:hint="eastAsia" w:ascii="仿宋" w:hAnsi="仿宋" w:eastAsia="仿宋" w:cs="仿宋"/>
                <w:color w:val="0000FF"/>
                <w:kern w:val="2"/>
                <w:sz w:val="24"/>
                <w:szCs w:val="24"/>
                <w:highlight w:val="none"/>
                <w:lang w:val="en-US" w:eastAsia="zh-CN" w:bidi="ar-SA"/>
              </w:rPr>
              <w:t>开户行：中国农业银行瑞昌市支行</w:t>
            </w:r>
          </w:p>
          <w:p w14:paraId="46C0DE02">
            <w:pPr>
              <w:pStyle w:val="25"/>
              <w:keepNext w:val="0"/>
              <w:keepLines w:val="0"/>
              <w:pageBreakBefore w:val="0"/>
              <w:widowControl w:val="0"/>
              <w:suppressLineNumbers w:val="0"/>
              <w:tabs>
                <w:tab w:val="left" w:pos="397"/>
              </w:tabs>
              <w:kinsoku/>
              <w:wordWrap/>
              <w:overflowPunct/>
              <w:topLinePunct w:val="0"/>
              <w:autoSpaceDE/>
              <w:autoSpaceDN/>
              <w:bidi w:val="0"/>
              <w:adjustRightInd w:val="0"/>
              <w:snapToGrid w:val="0"/>
              <w:spacing w:before="0" w:beforeAutospacing="0" w:afterAutospacing="0"/>
              <w:ind w:left="0" w:leftChars="0" w:right="0" w:firstLine="0" w:firstLineChars="0"/>
              <w:jc w:val="left"/>
              <w:textAlignment w:val="auto"/>
              <w:rPr>
                <w:rFonts w:hint="eastAsia" w:ascii="仿宋" w:hAnsi="仿宋" w:eastAsia="仿宋" w:cs="仿宋"/>
                <w:color w:val="0000FF"/>
                <w:kern w:val="2"/>
                <w:sz w:val="24"/>
                <w:szCs w:val="24"/>
                <w:highlight w:val="none"/>
                <w:lang w:val="en-US" w:eastAsia="zh-CN" w:bidi="ar-SA"/>
              </w:rPr>
            </w:pPr>
            <w:r>
              <w:rPr>
                <w:rFonts w:hint="eastAsia" w:ascii="仿宋" w:hAnsi="仿宋" w:eastAsia="仿宋" w:cs="仿宋"/>
                <w:color w:val="0000FF"/>
                <w:kern w:val="2"/>
                <w:sz w:val="24"/>
                <w:szCs w:val="24"/>
                <w:highlight w:val="none"/>
                <w:lang w:val="en-US" w:eastAsia="zh-CN" w:bidi="ar-SA"/>
              </w:rPr>
              <w:t>账号：14344101040022916</w:t>
            </w:r>
          </w:p>
          <w:p w14:paraId="030DF46B">
            <w:pPr>
              <w:pStyle w:val="25"/>
              <w:keepNext w:val="0"/>
              <w:keepLines w:val="0"/>
              <w:pageBreakBefore w:val="0"/>
              <w:widowControl w:val="0"/>
              <w:suppressLineNumbers w:val="0"/>
              <w:tabs>
                <w:tab w:val="left" w:pos="397"/>
              </w:tabs>
              <w:kinsoku/>
              <w:wordWrap/>
              <w:overflowPunct/>
              <w:topLinePunct w:val="0"/>
              <w:autoSpaceDE/>
              <w:autoSpaceDN/>
              <w:bidi w:val="0"/>
              <w:adjustRightInd w:val="0"/>
              <w:snapToGrid w:val="0"/>
              <w:spacing w:before="0" w:beforeAutospacing="0" w:afterAutospacing="0"/>
              <w:ind w:left="0" w:leftChars="0" w:right="0" w:firstLine="0" w:firstLineChars="0"/>
              <w:jc w:val="left"/>
              <w:textAlignment w:val="auto"/>
              <w:rPr>
                <w:rFonts w:hint="eastAsia" w:ascii="仿宋" w:hAnsi="仿宋" w:eastAsia="仿宋" w:cs="仿宋"/>
                <w:b w:val="0"/>
                <w:bCs/>
                <w:color w:val="0000FF"/>
                <w:sz w:val="24"/>
                <w:szCs w:val="22"/>
                <w:highlight w:val="none"/>
                <w:lang w:val="en-GB"/>
              </w:rPr>
            </w:pPr>
            <w:r>
              <w:rPr>
                <w:rFonts w:hint="eastAsia" w:ascii="仿宋" w:hAnsi="仿宋" w:eastAsia="仿宋" w:cs="仿宋"/>
                <w:b w:val="0"/>
                <w:bCs/>
                <w:color w:val="0000FF"/>
                <w:sz w:val="24"/>
                <w:szCs w:val="22"/>
                <w:highlight w:val="none"/>
                <w:lang w:val="en-GB"/>
              </w:rPr>
              <w:t>联系人：</w:t>
            </w:r>
            <w:r>
              <w:rPr>
                <w:rFonts w:hint="eastAsia" w:ascii="仿宋" w:hAnsi="仿宋" w:eastAsia="仿宋" w:cs="仿宋"/>
                <w:b w:val="0"/>
                <w:bCs/>
                <w:color w:val="0000FF"/>
                <w:sz w:val="24"/>
                <w:szCs w:val="22"/>
                <w:highlight w:val="none"/>
                <w:lang w:val="en-GB" w:eastAsia="zh-CN"/>
              </w:rPr>
              <w:t>冯丽娟</w:t>
            </w:r>
            <w:r>
              <w:rPr>
                <w:rFonts w:hint="eastAsia" w:ascii="仿宋" w:hAnsi="仿宋" w:eastAsia="仿宋" w:cs="仿宋"/>
                <w:b w:val="0"/>
                <w:bCs/>
                <w:color w:val="0000FF"/>
                <w:sz w:val="24"/>
                <w:szCs w:val="22"/>
                <w:highlight w:val="none"/>
                <w:lang w:val="en-GB"/>
              </w:rPr>
              <w:t xml:space="preserve">           </w:t>
            </w:r>
          </w:p>
          <w:p w14:paraId="20AAD169">
            <w:pPr>
              <w:pStyle w:val="25"/>
              <w:keepNext w:val="0"/>
              <w:keepLines w:val="0"/>
              <w:pageBreakBefore w:val="0"/>
              <w:widowControl w:val="0"/>
              <w:suppressLineNumbers w:val="0"/>
              <w:tabs>
                <w:tab w:val="left" w:pos="397"/>
              </w:tabs>
              <w:kinsoku/>
              <w:wordWrap/>
              <w:overflowPunct/>
              <w:topLinePunct w:val="0"/>
              <w:autoSpaceDE/>
              <w:autoSpaceDN/>
              <w:bidi w:val="0"/>
              <w:adjustRightInd w:val="0"/>
              <w:snapToGrid w:val="0"/>
              <w:spacing w:before="0" w:beforeAutospacing="0" w:afterAutospacing="0"/>
              <w:ind w:left="0" w:leftChars="0" w:right="0" w:firstLine="0" w:firstLineChars="0"/>
              <w:jc w:val="left"/>
              <w:textAlignment w:val="auto"/>
              <w:rPr>
                <w:rFonts w:hint="default" w:ascii="仿宋" w:hAnsi="仿宋" w:eastAsia="仿宋" w:cs="仿宋"/>
                <w:b w:val="0"/>
                <w:bCs/>
                <w:color w:val="0000FF"/>
                <w:sz w:val="24"/>
                <w:szCs w:val="22"/>
                <w:highlight w:val="none"/>
                <w:lang w:val="en-US" w:eastAsia="zh-CN"/>
              </w:rPr>
            </w:pPr>
            <w:r>
              <w:rPr>
                <w:rFonts w:hint="eastAsia" w:ascii="仿宋" w:hAnsi="仿宋" w:eastAsia="仿宋" w:cs="仿宋"/>
                <w:b w:val="0"/>
                <w:bCs/>
                <w:color w:val="0000FF"/>
                <w:sz w:val="24"/>
                <w:szCs w:val="22"/>
                <w:highlight w:val="none"/>
                <w:lang w:val="en-GB"/>
              </w:rPr>
              <w:t>联系电话：</w:t>
            </w:r>
            <w:r>
              <w:rPr>
                <w:rFonts w:hint="eastAsia" w:ascii="仿宋" w:hAnsi="仿宋" w:eastAsia="仿宋" w:cs="仿宋"/>
                <w:b w:val="0"/>
                <w:bCs/>
                <w:color w:val="0000FF"/>
                <w:sz w:val="24"/>
                <w:szCs w:val="22"/>
                <w:highlight w:val="none"/>
                <w:lang w:val="en-US" w:eastAsia="zh-CN"/>
              </w:rPr>
              <w:t>0792-4221819</w:t>
            </w:r>
          </w:p>
          <w:p w14:paraId="73F644CB">
            <w:pPr>
              <w:pStyle w:val="25"/>
              <w:keepNext w:val="0"/>
              <w:keepLines w:val="0"/>
              <w:pageBreakBefore w:val="0"/>
              <w:widowControl w:val="0"/>
              <w:suppressLineNumbers w:val="0"/>
              <w:tabs>
                <w:tab w:val="left" w:pos="397"/>
              </w:tabs>
              <w:kinsoku/>
              <w:wordWrap/>
              <w:overflowPunct/>
              <w:topLinePunct w:val="0"/>
              <w:autoSpaceDE/>
              <w:autoSpaceDN/>
              <w:bidi w:val="0"/>
              <w:adjustRightInd w:val="0"/>
              <w:snapToGrid w:val="0"/>
              <w:spacing w:before="0" w:beforeAutospacing="0" w:afterAutospacing="0"/>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0000FF"/>
                <w:sz w:val="24"/>
                <w:szCs w:val="22"/>
                <w:highlight w:val="none"/>
                <w:lang w:val="en-GB"/>
              </w:rPr>
              <w:t>请在备注中注明</w:t>
            </w:r>
            <w:r>
              <w:rPr>
                <w:rFonts w:hint="eastAsia" w:ascii="仿宋" w:hAnsi="仿宋" w:eastAsia="仿宋" w:cs="仿宋"/>
                <w:b/>
                <w:bCs w:val="0"/>
                <w:color w:val="0000FF"/>
                <w:sz w:val="24"/>
                <w:szCs w:val="22"/>
                <w:highlight w:val="none"/>
                <w:lang w:val="en-GB" w:eastAsia="zh-CN"/>
              </w:rPr>
              <w:t>“城招202506-YF01投标</w:t>
            </w:r>
            <w:r>
              <w:rPr>
                <w:rFonts w:hint="eastAsia" w:ascii="仿宋" w:hAnsi="仿宋" w:eastAsia="仿宋" w:cs="仿宋"/>
                <w:b/>
                <w:bCs w:val="0"/>
                <w:color w:val="0000FF"/>
                <w:sz w:val="24"/>
                <w:szCs w:val="22"/>
                <w:highlight w:val="none"/>
                <w:lang w:val="en-GB"/>
              </w:rPr>
              <w:t>保证金</w:t>
            </w:r>
            <w:r>
              <w:rPr>
                <w:rFonts w:hint="eastAsia" w:ascii="仿宋" w:hAnsi="仿宋" w:eastAsia="仿宋" w:cs="仿宋"/>
                <w:b/>
                <w:bCs w:val="0"/>
                <w:color w:val="0000FF"/>
                <w:sz w:val="24"/>
                <w:szCs w:val="22"/>
                <w:highlight w:val="none"/>
                <w:lang w:val="en-GB" w:eastAsia="zh-CN"/>
              </w:rPr>
              <w:t>”</w:t>
            </w:r>
            <w:r>
              <w:rPr>
                <w:rFonts w:hint="eastAsia" w:ascii="仿宋" w:hAnsi="仿宋" w:eastAsia="仿宋" w:cs="仿宋"/>
                <w:b w:val="0"/>
                <w:bCs/>
                <w:color w:val="0000FF"/>
                <w:sz w:val="24"/>
                <w:szCs w:val="22"/>
                <w:highlight w:val="none"/>
                <w:lang w:val="en-US" w:eastAsia="zh-CN"/>
              </w:rPr>
              <w:t>字样</w:t>
            </w:r>
            <w:r>
              <w:rPr>
                <w:rFonts w:hint="eastAsia" w:ascii="仿宋" w:hAnsi="仿宋" w:eastAsia="仿宋" w:cs="仿宋"/>
                <w:b w:val="0"/>
                <w:bCs/>
                <w:color w:val="auto"/>
                <w:sz w:val="24"/>
                <w:szCs w:val="22"/>
                <w:highlight w:val="none"/>
                <w:lang w:val="en-US" w:eastAsia="zh-CN"/>
              </w:rPr>
              <w:t>，</w:t>
            </w:r>
            <w:r>
              <w:rPr>
                <w:rFonts w:hint="eastAsia" w:ascii="仿宋" w:hAnsi="仿宋" w:eastAsia="仿宋" w:cs="仿宋"/>
                <w:b w:val="0"/>
                <w:bCs/>
                <w:color w:val="auto"/>
                <w:sz w:val="24"/>
                <w:szCs w:val="22"/>
                <w:highlight w:val="none"/>
                <w:lang w:val="en-GB" w:eastAsia="zh-CN"/>
              </w:rPr>
              <w:t>未按照相关要求注明，可能造成投标保证金查询不到或退付不及时等情况，由投标人自行承担相关责任。</w:t>
            </w:r>
          </w:p>
          <w:p w14:paraId="1A233987">
            <w:pPr>
              <w:spacing w:line="460" w:lineRule="exact"/>
              <w:rPr>
                <w:rFonts w:ascii="仿宋" w:hAnsi="仿宋" w:eastAsia="仿宋" w:cs="仿宋"/>
                <w:color w:val="auto"/>
                <w:sz w:val="24"/>
                <w:szCs w:val="24"/>
                <w:highlight w:val="none"/>
              </w:rPr>
            </w:pPr>
            <w:r>
              <w:rPr>
                <w:rFonts w:hint="eastAsia" w:ascii="仿宋" w:hAnsi="仿宋" w:eastAsia="仿宋" w:cs="仿宋"/>
                <w:b/>
                <w:bCs w:val="0"/>
                <w:color w:val="auto"/>
                <w:sz w:val="24"/>
                <w:szCs w:val="22"/>
                <w:highlight w:val="none"/>
                <w:lang w:val="en-US" w:eastAsia="zh-CN"/>
              </w:rPr>
              <w:t>注：①</w:t>
            </w:r>
            <w:r>
              <w:rPr>
                <w:rFonts w:hint="eastAsia" w:ascii="仿宋" w:hAnsi="仿宋" w:eastAsia="仿宋" w:cs="仿宋"/>
                <w:b/>
                <w:bCs w:val="0"/>
                <w:color w:val="auto"/>
                <w:sz w:val="24"/>
                <w:szCs w:val="24"/>
                <w:highlight w:val="none"/>
                <w:lang w:val="en-US" w:eastAsia="zh-CN"/>
              </w:rPr>
              <w:t>投标保证金以到账时间为准，在投标保证金截止时间前未一次性足额缴纳投标保证金的，将视为无效；</w:t>
            </w:r>
            <w:r>
              <w:rPr>
                <w:rFonts w:hint="eastAsia" w:ascii="仿宋" w:hAnsi="仿宋" w:eastAsia="仿宋" w:cs="仿宋"/>
                <w:b/>
                <w:bCs w:val="0"/>
                <w:color w:val="auto"/>
                <w:sz w:val="24"/>
                <w:szCs w:val="22"/>
                <w:highlight w:val="none"/>
                <w:lang w:val="en-US" w:eastAsia="zh-CN"/>
              </w:rPr>
              <w:t>②投标保证金必须从投标人基本账户转出，否则为无效投标。</w:t>
            </w:r>
          </w:p>
        </w:tc>
      </w:tr>
      <w:tr w14:paraId="51E1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69" w:type="dxa"/>
            <w:vAlign w:val="center"/>
          </w:tcPr>
          <w:p w14:paraId="1290B101">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039" w:type="dxa"/>
            <w:vAlign w:val="center"/>
          </w:tcPr>
          <w:p w14:paraId="79BEBC75">
            <w:pPr>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8.1</w:t>
            </w:r>
          </w:p>
        </w:tc>
        <w:tc>
          <w:tcPr>
            <w:tcW w:w="7581" w:type="dxa"/>
          </w:tcPr>
          <w:p w14:paraId="2F200E14">
            <w:pPr>
              <w:spacing w:line="460" w:lineRule="exact"/>
              <w:ind w:left="567" w:hanging="567"/>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谈判有效期：自谈判之日起</w:t>
            </w:r>
            <w:r>
              <w:rPr>
                <w:rFonts w:hint="eastAsia" w:ascii="仿宋" w:hAnsi="仿宋" w:eastAsia="仿宋" w:cs="仿宋"/>
                <w:b/>
                <w:color w:val="auto"/>
                <w:sz w:val="24"/>
                <w:szCs w:val="24"/>
                <w:highlight w:val="none"/>
                <w:u w:val="single"/>
              </w:rPr>
              <w:t xml:space="preserve">90  </w:t>
            </w:r>
            <w:r>
              <w:rPr>
                <w:rFonts w:hint="eastAsia" w:ascii="仿宋" w:hAnsi="仿宋" w:eastAsia="仿宋" w:cs="仿宋"/>
                <w:b/>
                <w:color w:val="auto"/>
                <w:sz w:val="24"/>
                <w:szCs w:val="24"/>
                <w:highlight w:val="none"/>
              </w:rPr>
              <w:t>天</w:t>
            </w:r>
          </w:p>
        </w:tc>
      </w:tr>
      <w:tr w14:paraId="247F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69" w:type="dxa"/>
            <w:vAlign w:val="center"/>
          </w:tcPr>
          <w:p w14:paraId="01564127">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039" w:type="dxa"/>
            <w:vAlign w:val="center"/>
          </w:tcPr>
          <w:p w14:paraId="463868AE">
            <w:pPr>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w:t>
            </w:r>
          </w:p>
        </w:tc>
        <w:tc>
          <w:tcPr>
            <w:tcW w:w="7581" w:type="dxa"/>
          </w:tcPr>
          <w:p w14:paraId="2A4E2516">
            <w:pPr>
              <w:spacing w:line="460" w:lineRule="exact"/>
              <w:ind w:left="7" w:leftChars="0" w:hanging="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响应文件的份数：正本1份、副本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、电子投标文件</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rPr>
              <w:t>1</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w:t>
            </w:r>
            <w:r>
              <w:rPr>
                <w:rFonts w:hint="eastAsia" w:ascii="仿宋" w:hAnsi="仿宋" w:eastAsia="仿宋" w:cs="仿宋"/>
                <w:i w:val="0"/>
                <w:iCs w:val="0"/>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将签字盖章的响应文件正本扫描件存至U盘</w:t>
            </w:r>
            <w:r>
              <w:rPr>
                <w:rFonts w:hint="eastAsia" w:ascii="仿宋" w:hAnsi="仿宋" w:eastAsia="仿宋" w:cs="仿宋"/>
                <w:i w:val="0"/>
                <w:iCs w:val="0"/>
                <w:color w:val="auto"/>
                <w:sz w:val="24"/>
                <w:szCs w:val="24"/>
                <w:highlight w:val="none"/>
                <w:lang w:val="en-US" w:eastAsia="zh-CN"/>
              </w:rPr>
              <w:t>）</w:t>
            </w:r>
          </w:p>
          <w:p w14:paraId="78F08589">
            <w:pPr>
              <w:spacing w:line="460" w:lineRule="exact"/>
              <w:ind w:left="567" w:hanging="567"/>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b/>
                <w:bCs/>
                <w:i w:val="0"/>
                <w:iCs w:val="0"/>
                <w:color w:val="auto"/>
                <w:sz w:val="24"/>
                <w:szCs w:val="24"/>
                <w:highlight w:val="none"/>
                <w:lang w:val="en-US" w:eastAsia="zh-CN"/>
              </w:rPr>
              <w:t>纸制响应文件需装订成册，副本可采用正本的复印件</w:t>
            </w:r>
            <w:r>
              <w:rPr>
                <w:rFonts w:hint="eastAsia" w:ascii="仿宋" w:hAnsi="仿宋" w:eastAsia="仿宋" w:cs="仿宋"/>
                <w:b/>
                <w:color w:val="auto"/>
                <w:sz w:val="24"/>
                <w:szCs w:val="24"/>
                <w:highlight w:val="none"/>
              </w:rPr>
              <w:t>。</w:t>
            </w:r>
          </w:p>
        </w:tc>
      </w:tr>
      <w:tr w14:paraId="0B88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69" w:type="dxa"/>
            <w:vAlign w:val="center"/>
          </w:tcPr>
          <w:p w14:paraId="38D4EDCD">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039" w:type="dxa"/>
            <w:vAlign w:val="center"/>
          </w:tcPr>
          <w:p w14:paraId="6B9DBF82">
            <w:pPr>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10.1</w:t>
            </w:r>
          </w:p>
        </w:tc>
        <w:tc>
          <w:tcPr>
            <w:tcW w:w="7581" w:type="dxa"/>
            <w:vAlign w:val="center"/>
          </w:tcPr>
          <w:p w14:paraId="4F582341">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响应文件递交截止时间：详见“第一章谈判邀请”</w:t>
            </w:r>
          </w:p>
          <w:p w14:paraId="71A605C9">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谈判时间：详见“第一章谈判邀请”</w:t>
            </w:r>
          </w:p>
          <w:p w14:paraId="6D49D269">
            <w:pPr>
              <w:spacing w:line="4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谈判地点：详见“第一章谈判邀请”</w:t>
            </w:r>
          </w:p>
        </w:tc>
      </w:tr>
      <w:tr w14:paraId="7F2D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69" w:type="dxa"/>
            <w:vAlign w:val="center"/>
          </w:tcPr>
          <w:p w14:paraId="40A78BC5">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039" w:type="dxa"/>
            <w:vAlign w:val="center"/>
          </w:tcPr>
          <w:p w14:paraId="6016A0D9">
            <w:pPr>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11.1</w:t>
            </w:r>
          </w:p>
        </w:tc>
        <w:tc>
          <w:tcPr>
            <w:tcW w:w="7581" w:type="dxa"/>
          </w:tcPr>
          <w:p w14:paraId="45FC2A19">
            <w:pPr>
              <w:adjustRightInd w:val="0"/>
              <w:snapToGrid w:val="0"/>
              <w:spacing w:line="319" w:lineRule="auto"/>
              <w:rPr>
                <w:rFonts w:ascii="仿宋" w:hAnsi="仿宋" w:eastAsia="仿宋" w:cs="仿宋"/>
                <w:b/>
                <w:color w:val="auto"/>
                <w:sz w:val="24"/>
                <w:highlight w:val="none"/>
                <w:lang w:val="en-GB"/>
              </w:rPr>
            </w:pPr>
            <w:r>
              <w:rPr>
                <w:rFonts w:hint="eastAsia" w:ascii="仿宋" w:hAnsi="仿宋" w:eastAsia="仿宋" w:cs="仿宋"/>
                <w:b/>
                <w:color w:val="auto"/>
                <w:sz w:val="24"/>
                <w:highlight w:val="none"/>
                <w:lang w:val="en-GB"/>
              </w:rPr>
              <w:t>成交标准：</w:t>
            </w:r>
          </w:p>
          <w:p w14:paraId="1FE88F8D">
            <w:pPr>
              <w:adjustRightInd w:val="0"/>
              <w:snapToGrid w:val="0"/>
              <w:spacing w:line="319" w:lineRule="auto"/>
              <w:ind w:firstLine="482"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highlight w:val="none"/>
                <w:lang w:val="en-GB"/>
              </w:rPr>
              <w:t>根据质量和服务均能满足竞争性谈判文件实质性响应要求且最后报价最低的原则确定成交供应商。</w:t>
            </w:r>
          </w:p>
        </w:tc>
      </w:tr>
      <w:tr w14:paraId="2235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dxa"/>
            <w:vAlign w:val="center"/>
          </w:tcPr>
          <w:p w14:paraId="50805DB7">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039" w:type="dxa"/>
            <w:vAlign w:val="center"/>
          </w:tcPr>
          <w:p w14:paraId="650EEE46">
            <w:pPr>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12.1</w:t>
            </w:r>
          </w:p>
        </w:tc>
        <w:tc>
          <w:tcPr>
            <w:tcW w:w="7581" w:type="dxa"/>
          </w:tcPr>
          <w:p w14:paraId="6C60D76B">
            <w:pPr>
              <w:pStyle w:val="16"/>
              <w:spacing w:line="46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履约保证金金额：</w:t>
            </w:r>
            <w:r>
              <w:rPr>
                <w:rFonts w:hint="eastAsia" w:ascii="仿宋" w:hAnsi="仿宋" w:eastAsia="仿宋" w:cs="仿宋"/>
                <w:b/>
                <w:iCs/>
                <w:color w:val="auto"/>
                <w:sz w:val="24"/>
                <w:szCs w:val="24"/>
                <w:highlight w:val="none"/>
                <w:lang w:val="en-US" w:eastAsia="zh-CN"/>
              </w:rPr>
              <w:t>0元</w:t>
            </w:r>
          </w:p>
        </w:tc>
      </w:tr>
      <w:tr w14:paraId="60D9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69" w:type="dxa"/>
            <w:vAlign w:val="center"/>
          </w:tcPr>
          <w:p w14:paraId="361A1F25">
            <w:pPr>
              <w:spacing w:line="4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039" w:type="dxa"/>
            <w:vAlign w:val="center"/>
          </w:tcPr>
          <w:p w14:paraId="244B9FE2">
            <w:pPr>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13.1</w:t>
            </w:r>
          </w:p>
        </w:tc>
        <w:tc>
          <w:tcPr>
            <w:tcW w:w="7581" w:type="dxa"/>
          </w:tcPr>
          <w:p w14:paraId="075CC0C9">
            <w:pPr>
              <w:spacing w:before="120" w:before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采购代理服务费：</w:t>
            </w:r>
            <w:r>
              <w:rPr>
                <w:rFonts w:hint="eastAsia" w:ascii="仿宋" w:hAnsi="仿宋" w:eastAsia="仿宋" w:cs="仿宋"/>
                <w:b/>
                <w:bCs/>
                <w:color w:val="auto"/>
                <w:sz w:val="24"/>
                <w:szCs w:val="24"/>
                <w:highlight w:val="none"/>
                <w:lang w:val="en-US" w:eastAsia="zh-CN"/>
              </w:rPr>
              <w:t>3000.00元，</w:t>
            </w:r>
            <w:r>
              <w:rPr>
                <w:rFonts w:hint="eastAsia" w:ascii="仿宋" w:hAnsi="仿宋" w:eastAsia="仿宋" w:cs="仿宋"/>
                <w:b w:val="0"/>
                <w:bCs w:val="0"/>
                <w:color w:val="auto"/>
                <w:sz w:val="24"/>
                <w:szCs w:val="24"/>
                <w:highlight w:val="none"/>
                <w:lang w:val="en-US" w:eastAsia="zh-CN"/>
              </w:rPr>
              <w:t>费用包含招标代理服务费和一次评审费（超过2个小时以外的，每个专家另补100元/小时）。</w:t>
            </w:r>
            <w:r>
              <w:rPr>
                <w:rFonts w:hint="eastAsia" w:ascii="仿宋" w:hAnsi="仿宋" w:eastAsia="仿宋" w:cs="仿宋"/>
                <w:color w:val="auto"/>
                <w:sz w:val="24"/>
                <w:szCs w:val="24"/>
                <w:highlight w:val="none"/>
              </w:rPr>
              <w:t>由成交供应商支付，在领取成交通知书的同时向招标代理机构一次性付清代理服务费。</w:t>
            </w:r>
          </w:p>
        </w:tc>
      </w:tr>
      <w:tr w14:paraId="4513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69" w:type="dxa"/>
            <w:vAlign w:val="center"/>
          </w:tcPr>
          <w:p w14:paraId="043C07C0">
            <w:pPr>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039" w:type="dxa"/>
            <w:vAlign w:val="center"/>
          </w:tcPr>
          <w:p w14:paraId="0D9225C2">
            <w:pPr>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14.1</w:t>
            </w:r>
          </w:p>
        </w:tc>
        <w:tc>
          <w:tcPr>
            <w:tcW w:w="7581" w:type="dxa"/>
          </w:tcPr>
          <w:p w14:paraId="1488170A">
            <w:pPr>
              <w:spacing w:before="120" w:beforeLines="50"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谈判文件其他内容与本附表不一致的，以本附表为准。</w:t>
            </w:r>
          </w:p>
        </w:tc>
      </w:tr>
    </w:tbl>
    <w:p w14:paraId="3FA4B727">
      <w:pPr>
        <w:widowControl/>
        <w:jc w:val="center"/>
        <w:rPr>
          <w:rFonts w:hint="eastAsia" w:ascii="仿宋" w:hAnsi="仿宋" w:eastAsia="仿宋" w:cs="仿宋"/>
          <w:b/>
          <w:bCs/>
          <w:color w:val="auto"/>
          <w:sz w:val="28"/>
          <w:szCs w:val="28"/>
          <w:highlight w:val="none"/>
        </w:rPr>
      </w:pPr>
      <w:bookmarkStart w:id="49" w:name="_Toc24338"/>
    </w:p>
    <w:p w14:paraId="341B1427">
      <w:pPr>
        <w:widowControl/>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二、说明</w:t>
      </w:r>
      <w:bookmarkEnd w:id="49"/>
    </w:p>
    <w:p w14:paraId="16B103EC">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适用范围</w:t>
      </w:r>
    </w:p>
    <w:p w14:paraId="3163169B">
      <w:pPr>
        <w:spacing w:line="460" w:lineRule="exact"/>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本谈判文件仅适用于本“谈判邀请”中所述有关服务的采购。</w:t>
      </w:r>
    </w:p>
    <w:p w14:paraId="5B74A236">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定义</w:t>
      </w:r>
    </w:p>
    <w:p w14:paraId="692464C9">
      <w:pPr>
        <w:spacing w:line="460" w:lineRule="exact"/>
        <w:ind w:left="510" w:hanging="51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2.1采购人：详见“第一章 谈判邀请”</w:t>
      </w:r>
    </w:p>
    <w:p w14:paraId="22291659">
      <w:pPr>
        <w:spacing w:line="460" w:lineRule="exact"/>
        <w:ind w:left="510" w:hanging="51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2.2采购代理机构：详见“第一章 谈判邀请”</w:t>
      </w:r>
    </w:p>
    <w:p w14:paraId="2A6BED8D">
      <w:pPr>
        <w:spacing w:line="460" w:lineRule="exact"/>
        <w:ind w:left="510" w:hanging="51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2.3供应商：是指向采购人提供“谈判邀请”中采购内容的法人、其它组织或者自然人。</w:t>
      </w:r>
    </w:p>
    <w:p w14:paraId="043B6A77">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合格供应商</w:t>
      </w:r>
    </w:p>
    <w:p w14:paraId="3FF13DD0">
      <w:pPr>
        <w:spacing w:line="4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3.1供应商的资格条件：详见“谈判邀请”</w:t>
      </w:r>
    </w:p>
    <w:p w14:paraId="3160B7FB">
      <w:pPr>
        <w:spacing w:line="440" w:lineRule="exact"/>
        <w:ind w:left="480" w:hanging="480" w:hanging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 联合体参加谈判</w:t>
      </w:r>
    </w:p>
    <w:p w14:paraId="4EB50A36">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3.2.1是否接受联合体参加谈判：详见“谈判邀请”</w:t>
      </w:r>
    </w:p>
    <w:p w14:paraId="4E0BC76C">
      <w:pPr>
        <w:spacing w:line="440" w:lineRule="exact"/>
        <w:ind w:left="1079" w:leftChars="228" w:hanging="600" w:hangingChars="250"/>
        <w:rPr>
          <w:rFonts w:ascii="仿宋" w:hAnsi="仿宋" w:eastAsia="仿宋" w:cs="仿宋"/>
          <w:b/>
          <w:i/>
          <w:color w:val="auto"/>
          <w:sz w:val="24"/>
          <w:szCs w:val="24"/>
          <w:highlight w:val="none"/>
        </w:rPr>
      </w:pPr>
      <w:r>
        <w:rPr>
          <w:rFonts w:hint="eastAsia" w:ascii="仿宋" w:hAnsi="仿宋" w:eastAsia="仿宋" w:cs="仿宋"/>
          <w:color w:val="auto"/>
          <w:sz w:val="24"/>
          <w:szCs w:val="24"/>
          <w:highlight w:val="none"/>
        </w:rPr>
        <w:t>3.2.2两个以上的自然人、法人或者其他组织可以组成一个联合体，以一个供应商的身份共同参加政府采购。以联合体形式进行政府采购的，并应当提交联合协议，载明联合体各方承担的工作和义务。联合体各方应当共同与采购人签订采购合同，就采购合同约定的事项对采购人承担连带责任。否则，将导致其响应文件无效；</w:t>
      </w:r>
      <w:r>
        <w:rPr>
          <w:rFonts w:hint="eastAsia" w:ascii="仿宋" w:hAnsi="仿宋" w:eastAsia="仿宋" w:cs="仿宋"/>
          <w:b/>
          <w:i/>
          <w:color w:val="auto"/>
          <w:sz w:val="24"/>
          <w:szCs w:val="24"/>
          <w:highlight w:val="none"/>
        </w:rPr>
        <w:t>（适用于联合体参加谈判）</w:t>
      </w:r>
    </w:p>
    <w:p w14:paraId="7C924E6B">
      <w:pPr>
        <w:spacing w:line="440" w:lineRule="exact"/>
        <w:ind w:left="1079" w:leftChars="228" w:hanging="600" w:hangingChars="250"/>
        <w:rPr>
          <w:rFonts w:ascii="仿宋" w:hAnsi="仿宋" w:eastAsia="仿宋" w:cs="仿宋"/>
          <w:b/>
          <w:i/>
          <w:color w:val="auto"/>
          <w:sz w:val="24"/>
          <w:highlight w:val="none"/>
        </w:rPr>
      </w:pPr>
      <w:r>
        <w:rPr>
          <w:rFonts w:hint="eastAsia" w:ascii="仿宋" w:hAnsi="仿宋" w:eastAsia="仿宋" w:cs="仿宋"/>
          <w:color w:val="auto"/>
          <w:sz w:val="24"/>
          <w:highlight w:val="none"/>
        </w:rPr>
        <w:t>3.2.3以联合体参加谈判的，联合体中有同类资质的供应商按联合体分工承担相同工作的，应当按照资质等级较低的供应商确定资质等级；</w:t>
      </w:r>
      <w:r>
        <w:rPr>
          <w:rFonts w:hint="eastAsia" w:ascii="仿宋" w:hAnsi="仿宋" w:eastAsia="仿宋" w:cs="仿宋"/>
          <w:b/>
          <w:i/>
          <w:color w:val="auto"/>
          <w:sz w:val="24"/>
          <w:highlight w:val="none"/>
        </w:rPr>
        <w:t>（适用于联合体参加谈判）</w:t>
      </w:r>
    </w:p>
    <w:p w14:paraId="4938370A">
      <w:pPr>
        <w:spacing w:line="440" w:lineRule="exact"/>
        <w:ind w:left="1079" w:leftChars="228" w:hanging="600" w:hangingChars="250"/>
        <w:rPr>
          <w:rFonts w:ascii="仿宋" w:hAnsi="仿宋" w:eastAsia="仿宋" w:cs="仿宋"/>
          <w:i/>
          <w:color w:val="auto"/>
          <w:sz w:val="24"/>
          <w:highlight w:val="none"/>
        </w:rPr>
      </w:pPr>
      <w:r>
        <w:rPr>
          <w:rFonts w:hint="eastAsia" w:ascii="仿宋" w:hAnsi="仿宋" w:eastAsia="仿宋" w:cs="仿宋"/>
          <w:color w:val="auto"/>
          <w:sz w:val="24"/>
          <w:highlight w:val="none"/>
        </w:rPr>
        <w:t>3.2.4联合体各方不得再单独参加或者与其他供应商另外组成联合体参加同一合同项下的政府采购活动。否则，将导致其响应无效；</w:t>
      </w:r>
      <w:r>
        <w:rPr>
          <w:rFonts w:hint="eastAsia" w:ascii="仿宋" w:hAnsi="仿宋" w:eastAsia="仿宋" w:cs="仿宋"/>
          <w:b/>
          <w:i/>
          <w:color w:val="auto"/>
          <w:sz w:val="24"/>
          <w:highlight w:val="none"/>
        </w:rPr>
        <w:t>（适用于联合体参加谈判）</w:t>
      </w:r>
    </w:p>
    <w:p w14:paraId="3A361CDC">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 谈判费用</w:t>
      </w:r>
    </w:p>
    <w:p w14:paraId="02B29186">
      <w:pPr>
        <w:spacing w:line="460" w:lineRule="exact"/>
        <w:ind w:left="454" w:leftChars="21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不论谈判的结果如何，供应商应自行承担所有与准备和参加谈判有关的全部费用。采购代理机构在任何情况下均无义务和责任承担这些费用。</w:t>
      </w:r>
    </w:p>
    <w:p w14:paraId="188F3FB4">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 供应商代表</w:t>
      </w:r>
    </w:p>
    <w:p w14:paraId="10059AF9">
      <w:pPr>
        <w:spacing w:line="460" w:lineRule="exact"/>
        <w:ind w:left="454" w:leftChars="21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指全权代表供应商参加谈判活动并签署响应文件的人。如果供应商代表不是法定代表人，须持有《法定代表人授权书》。</w:t>
      </w:r>
    </w:p>
    <w:p w14:paraId="2D13D965">
      <w:pPr>
        <w:pStyle w:val="5"/>
        <w:spacing w:before="0" w:after="0" w:line="460" w:lineRule="exact"/>
        <w:rPr>
          <w:rFonts w:ascii="仿宋" w:hAnsi="仿宋" w:eastAsia="仿宋" w:cs="仿宋"/>
          <w:color w:val="auto"/>
          <w:sz w:val="24"/>
          <w:highlight w:val="none"/>
        </w:rPr>
      </w:pPr>
    </w:p>
    <w:p w14:paraId="663B2AD1">
      <w:pPr>
        <w:pStyle w:val="5"/>
        <w:spacing w:before="0" w:after="0" w:line="460" w:lineRule="exact"/>
        <w:ind w:firstLine="3238" w:firstLineChars="1152"/>
        <w:jc w:val="left"/>
        <w:rPr>
          <w:rFonts w:ascii="仿宋" w:hAnsi="仿宋" w:eastAsia="仿宋" w:cs="仿宋"/>
          <w:color w:val="auto"/>
          <w:sz w:val="28"/>
          <w:szCs w:val="28"/>
          <w:highlight w:val="none"/>
        </w:rPr>
      </w:pPr>
      <w:bookmarkStart w:id="50" w:name="_Toc8227"/>
      <w:r>
        <w:rPr>
          <w:rFonts w:hint="eastAsia" w:ascii="仿宋" w:hAnsi="仿宋" w:eastAsia="仿宋" w:cs="仿宋"/>
          <w:color w:val="auto"/>
          <w:sz w:val="28"/>
          <w:szCs w:val="28"/>
          <w:highlight w:val="none"/>
        </w:rPr>
        <w:t>三、谈判文件</w:t>
      </w:r>
      <w:bookmarkEnd w:id="50"/>
    </w:p>
    <w:p w14:paraId="7297CA01">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谈判文件构成</w:t>
      </w:r>
    </w:p>
    <w:p w14:paraId="5A43E98E">
      <w:pPr>
        <w:spacing w:line="460" w:lineRule="exact"/>
        <w:ind w:left="454" w:hanging="45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6.1 要求提供的有关服务、谈判过程和合同条款在谈判文件中均有说明。谈判文件共五章，各章的内容如下：</w:t>
      </w:r>
    </w:p>
    <w:p w14:paraId="66C6F974">
      <w:pPr>
        <w:numPr>
          <w:ilvl w:val="0"/>
          <w:numId w:val="4"/>
        </w:numPr>
        <w:spacing w:line="460" w:lineRule="exact"/>
        <w:ind w:left="48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谈判邀请</w:t>
      </w:r>
    </w:p>
    <w:p w14:paraId="2F509CCC">
      <w:pPr>
        <w:numPr>
          <w:ilvl w:val="0"/>
          <w:numId w:val="4"/>
        </w:numPr>
        <w:tabs>
          <w:tab w:val="left" w:pos="480"/>
          <w:tab w:val="clear" w:pos="1080"/>
        </w:tabs>
        <w:spacing w:line="460" w:lineRule="exact"/>
        <w:ind w:left="48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供应商须知</w:t>
      </w:r>
    </w:p>
    <w:p w14:paraId="1B2BBC05">
      <w:pPr>
        <w:numPr>
          <w:ilvl w:val="0"/>
          <w:numId w:val="4"/>
        </w:numPr>
        <w:tabs>
          <w:tab w:val="left" w:pos="480"/>
          <w:tab w:val="clear" w:pos="1080"/>
        </w:tabs>
        <w:spacing w:line="460" w:lineRule="exact"/>
        <w:ind w:left="48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36CEC766">
      <w:pPr>
        <w:numPr>
          <w:ilvl w:val="0"/>
          <w:numId w:val="4"/>
        </w:numPr>
        <w:spacing w:line="460" w:lineRule="exact"/>
        <w:ind w:left="357" w:firstLine="12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拟签订的合同文本</w:t>
      </w:r>
    </w:p>
    <w:p w14:paraId="3200E697">
      <w:pPr>
        <w:numPr>
          <w:ilvl w:val="0"/>
          <w:numId w:val="4"/>
        </w:numPr>
        <w:spacing w:line="460" w:lineRule="exact"/>
        <w:ind w:left="357" w:firstLine="12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响应文件格式</w:t>
      </w:r>
    </w:p>
    <w:p w14:paraId="7098D34F">
      <w:pPr>
        <w:spacing w:line="460" w:lineRule="exact"/>
        <w:ind w:left="454" w:hanging="45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6.2 除非有特殊要求，谈判文件不单独提供谈判文件所要求的服务使用地的自然环境、气候条件、公用设施等情况，供应商被视为熟悉上述与履行合同有关的一切情况。</w:t>
      </w:r>
    </w:p>
    <w:p w14:paraId="62DB901A">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谈判文件的澄清和修改</w:t>
      </w:r>
    </w:p>
    <w:p w14:paraId="7421F01E">
      <w:pPr>
        <w:spacing w:line="460" w:lineRule="exact"/>
        <w:ind w:left="454" w:hanging="45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 提交首次响应文件截止时间前的任何时候，采购代理机构可以对已发出的谈判文件进行必要的澄清或者修改，澄清或者修改的内容作为谈判文件的组成部分。</w:t>
      </w:r>
    </w:p>
    <w:p w14:paraId="28E0089C">
      <w:pPr>
        <w:spacing w:line="460" w:lineRule="exact"/>
        <w:ind w:left="454" w:hanging="45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7.2澄清或者修改的内容可能影响响应文件编制的，采购代理机构应当在提交首次响应文件截止之日3个工作日前在</w:t>
      </w:r>
      <w:r>
        <w:rPr>
          <w:rFonts w:hint="eastAsia" w:ascii="仿宋" w:hAnsi="仿宋" w:eastAsia="仿宋" w:cs="仿宋"/>
          <w:b/>
          <w:bCs/>
          <w:color w:val="auto"/>
          <w:sz w:val="24"/>
          <w:szCs w:val="24"/>
          <w:highlight w:val="none"/>
          <w:lang w:eastAsia="zh-CN"/>
        </w:rPr>
        <w:t>原采购公告发布的媒介</w:t>
      </w:r>
      <w:r>
        <w:rPr>
          <w:rFonts w:hint="eastAsia" w:ascii="仿宋" w:hAnsi="仿宋" w:eastAsia="仿宋" w:cs="仿宋"/>
          <w:color w:val="auto"/>
          <w:sz w:val="24"/>
          <w:szCs w:val="24"/>
          <w:highlight w:val="none"/>
        </w:rPr>
        <w:t>发布更正公告，不足3个工作日的，应当顺延首次响应文件递交截止时间。澄清或者修改的内容为谈判文件的组成部分。当澄清或者修改通知就同一内容的表述不一致时，以最后发出的书面文件为准。</w:t>
      </w:r>
    </w:p>
    <w:p w14:paraId="28C9213C">
      <w:pPr>
        <w:spacing w:line="460" w:lineRule="exact"/>
        <w:ind w:left="454" w:hanging="45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7.3 供应商必须实时关注相关网站了解澄清、修改等与项目有关的内容，如因供应商未及时登录相关网站了解澄清、修改等与项目有关的内容，从而导致响应文件无效的，由供应商自行承担责任。</w:t>
      </w:r>
    </w:p>
    <w:p w14:paraId="494CD185">
      <w:pPr>
        <w:spacing w:line="460" w:lineRule="exact"/>
        <w:ind w:left="454" w:hanging="454"/>
        <w:rPr>
          <w:rFonts w:ascii="仿宋" w:hAnsi="仿宋" w:eastAsia="仿宋" w:cs="仿宋"/>
          <w:b/>
          <w:color w:val="auto"/>
          <w:sz w:val="24"/>
          <w:szCs w:val="24"/>
          <w:highlight w:val="none"/>
        </w:rPr>
      </w:pPr>
      <w:bookmarkStart w:id="51" w:name="_Toc501101639"/>
      <w:bookmarkStart w:id="52" w:name="_Toc499477410"/>
      <w:bookmarkStart w:id="53" w:name="_Toc495487710"/>
      <w:r>
        <w:rPr>
          <w:rFonts w:hint="eastAsia" w:ascii="仿宋" w:hAnsi="仿宋" w:eastAsia="仿宋" w:cs="仿宋"/>
          <w:b/>
          <w:color w:val="auto"/>
          <w:sz w:val="24"/>
          <w:szCs w:val="24"/>
          <w:highlight w:val="none"/>
        </w:rPr>
        <w:t>8.供应商应当提交的资格、资信证明文件</w:t>
      </w:r>
      <w:bookmarkEnd w:id="51"/>
      <w:bookmarkEnd w:id="52"/>
      <w:bookmarkEnd w:id="53"/>
    </w:p>
    <w:p w14:paraId="156D2619">
      <w:pPr>
        <w:spacing w:line="440" w:lineRule="exact"/>
        <w:ind w:left="454" w:hanging="45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8.1详见“供应商须知前附表</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w:t>
      </w:r>
    </w:p>
    <w:p w14:paraId="14C37717">
      <w:pPr>
        <w:spacing w:line="440" w:lineRule="exact"/>
        <w:ind w:left="454" w:hanging="45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其他资格证明文件</w:t>
      </w:r>
    </w:p>
    <w:p w14:paraId="100D872C">
      <w:pPr>
        <w:pStyle w:val="5"/>
        <w:spacing w:before="0" w:after="0" w:line="460" w:lineRule="exact"/>
        <w:ind w:firstLine="3238" w:firstLineChars="1152"/>
        <w:jc w:val="left"/>
        <w:rPr>
          <w:rFonts w:ascii="仿宋" w:hAnsi="仿宋" w:eastAsia="仿宋" w:cs="仿宋"/>
          <w:color w:val="auto"/>
          <w:sz w:val="28"/>
          <w:szCs w:val="28"/>
          <w:highlight w:val="none"/>
        </w:rPr>
      </w:pPr>
      <w:bookmarkStart w:id="54" w:name="_Toc21493"/>
      <w:r>
        <w:rPr>
          <w:rFonts w:hint="eastAsia" w:ascii="仿宋" w:hAnsi="仿宋" w:eastAsia="仿宋" w:cs="仿宋"/>
          <w:color w:val="auto"/>
          <w:sz w:val="28"/>
          <w:szCs w:val="28"/>
          <w:highlight w:val="none"/>
        </w:rPr>
        <w:t>四、响应文件的编制</w:t>
      </w:r>
      <w:bookmarkEnd w:id="54"/>
    </w:p>
    <w:p w14:paraId="6AFA0BA9">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 提示</w:t>
      </w:r>
    </w:p>
    <w:p w14:paraId="6736EB40">
      <w:pPr>
        <w:spacing w:line="460" w:lineRule="exact"/>
        <w:ind w:left="480" w:hanging="480" w:hanging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.1供应商应认真阅读谈判文件的全部内容，按照谈判文件要求提供响应文件和资料。</w:t>
      </w:r>
    </w:p>
    <w:p w14:paraId="6BFEBC31">
      <w:pPr>
        <w:spacing w:line="460" w:lineRule="exact"/>
        <w:ind w:left="600" w:hanging="600" w:hangingChars="2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.2供应商提交的响应文件以及供应商与采购代理结机构所有来往书面文件均须使用中文。响应文件中如附有外文资料，必须逐一对应翻译成中文</w:t>
      </w:r>
      <w:r>
        <w:rPr>
          <w:rFonts w:hint="eastAsia" w:ascii="仿宋" w:hAnsi="仿宋" w:eastAsia="仿宋" w:cs="仿宋"/>
          <w:color w:val="auto"/>
          <w:sz w:val="24"/>
          <w:highlight w:val="none"/>
        </w:rPr>
        <w:t>。</w:t>
      </w:r>
    </w:p>
    <w:p w14:paraId="7E897645">
      <w:pPr>
        <w:spacing w:line="460" w:lineRule="exact"/>
        <w:ind w:left="454" w:hanging="45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.3翻译的中文资料与外文资料如果出现差异和矛盾时，以中文为准。</w:t>
      </w:r>
    </w:p>
    <w:p w14:paraId="58407A38">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 响应文件计量单位</w:t>
      </w:r>
      <w:r>
        <w:rPr>
          <w:rFonts w:hint="eastAsia" w:ascii="仿宋" w:hAnsi="仿宋" w:eastAsia="仿宋" w:cs="仿宋"/>
          <w:b/>
          <w:color w:val="auto"/>
          <w:sz w:val="24"/>
          <w:szCs w:val="24"/>
          <w:highlight w:val="none"/>
        </w:rPr>
        <w:tab/>
      </w:r>
    </w:p>
    <w:p w14:paraId="40E092F5">
      <w:pPr>
        <w:spacing w:line="460" w:lineRule="exact"/>
        <w:ind w:left="454" w:leftChars="21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响应文件中所使用的计量单位, 除谈判文件中有特殊要求外，应采用国家法定计量单位。</w:t>
      </w:r>
    </w:p>
    <w:p w14:paraId="0AD7290F">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.响应文件的构成</w:t>
      </w:r>
    </w:p>
    <w:p w14:paraId="1E3D6A98">
      <w:pPr>
        <w:spacing w:line="46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.1响应文件应由下列部分构成：</w:t>
      </w:r>
    </w:p>
    <w:p w14:paraId="757D7BD9">
      <w:pPr>
        <w:spacing w:line="460" w:lineRule="exact"/>
        <w:ind w:left="567" w:hanging="8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谈判响应书</w:t>
      </w:r>
    </w:p>
    <w:p w14:paraId="2AFF7ED4">
      <w:pPr>
        <w:spacing w:line="460" w:lineRule="exact"/>
        <w:ind w:left="567" w:hanging="8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报价表</w:t>
      </w:r>
    </w:p>
    <w:p w14:paraId="2DBC4CE9">
      <w:pPr>
        <w:spacing w:line="460" w:lineRule="exact"/>
        <w:ind w:left="567" w:hanging="8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服务要求响应/偏离表</w:t>
      </w:r>
    </w:p>
    <w:p w14:paraId="7CA10749">
      <w:pPr>
        <w:spacing w:line="460" w:lineRule="exact"/>
        <w:ind w:left="567" w:hanging="8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商务</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响应/偏离表</w:t>
      </w:r>
    </w:p>
    <w:p w14:paraId="3CFD0F80">
      <w:pPr>
        <w:spacing w:line="460" w:lineRule="exact"/>
        <w:ind w:left="567" w:hanging="8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供应商情况一览表</w:t>
      </w:r>
    </w:p>
    <w:p w14:paraId="6DE25ECF">
      <w:pPr>
        <w:spacing w:line="460" w:lineRule="exact"/>
        <w:ind w:left="567" w:hanging="8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技术文件</w:t>
      </w:r>
    </w:p>
    <w:p w14:paraId="7AC53D05">
      <w:pPr>
        <w:spacing w:line="460" w:lineRule="exact"/>
        <w:ind w:left="567" w:hanging="8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资格证明文件</w:t>
      </w:r>
    </w:p>
    <w:p w14:paraId="6B810A36">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证明服务符合谈判文件规定的文件</w:t>
      </w:r>
    </w:p>
    <w:p w14:paraId="5049EF62">
      <w:pPr>
        <w:spacing w:line="460" w:lineRule="exact"/>
        <w:ind w:left="624" w:hanging="62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 供应商应提交其提供的有关服务符合谈判文件规定的证明，作为响应文件的一部分。</w:t>
      </w:r>
    </w:p>
    <w:p w14:paraId="676F8C1B">
      <w:pPr>
        <w:spacing w:line="460" w:lineRule="exact"/>
        <w:ind w:left="624" w:hanging="62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 有关服务与谈判文件的要求相一致的证明，可以是文字资料、图纸和数据，包括：</w:t>
      </w:r>
    </w:p>
    <w:p w14:paraId="4613E905">
      <w:pPr>
        <w:spacing w:line="460" w:lineRule="exact"/>
        <w:ind w:left="567" w:hanging="2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1)服务主要技术指标和详细说明。</w:t>
      </w:r>
    </w:p>
    <w:p w14:paraId="67708B56">
      <w:pPr>
        <w:spacing w:line="460" w:lineRule="exact"/>
        <w:ind w:left="794" w:hanging="22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2)对照谈判文件服务要求，逐条说明所提供相关服务已对谈判文件的服务要求做出了实质性响应，或申明与服务要求的偏差和例外。</w:t>
      </w:r>
    </w:p>
    <w:p w14:paraId="06C40C1F">
      <w:pPr>
        <w:spacing w:line="460" w:lineRule="exact"/>
        <w:ind w:left="794" w:hanging="22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3)商务条款的偏差和例外。</w:t>
      </w:r>
    </w:p>
    <w:p w14:paraId="4D94FCBC">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谈判报价</w:t>
      </w:r>
    </w:p>
    <w:p w14:paraId="5783A5DD">
      <w:pPr>
        <w:spacing w:line="460" w:lineRule="exact"/>
        <w:ind w:left="480" w:hanging="480" w:hanging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.1谈判报价均以人民币报价，报价内容包含谈判文件规定的完成相关服务所需的设备、人员、培训、技术支持、税费等一切相关费用。</w:t>
      </w:r>
    </w:p>
    <w:p w14:paraId="2BB85371">
      <w:pPr>
        <w:spacing w:line="46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.2供应商要按报价表（统一格式）和分项报价表（统一格式）的内容填写报价及其他事项。</w:t>
      </w:r>
    </w:p>
    <w:p w14:paraId="374F66CA">
      <w:pPr>
        <w:spacing w:line="460" w:lineRule="exact"/>
        <w:ind w:left="480" w:hanging="480" w:hanging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.3谈判报价中不得缺漏谈判文件所要求的内容，缺漏部分成交后须按谈判文件要求提供，且成交价以谈判报价为准</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若供应商不同意，响应无效。</w:t>
      </w:r>
    </w:p>
    <w:p w14:paraId="77A9279F">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 谈判保证金</w:t>
      </w:r>
    </w:p>
    <w:p w14:paraId="29130DC3">
      <w:pPr>
        <w:spacing w:line="460" w:lineRule="exact"/>
        <w:ind w:left="567" w:hanging="56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14.1</w:t>
      </w:r>
      <w:r>
        <w:rPr>
          <w:rFonts w:hint="eastAsia" w:ascii="仿宋" w:hAnsi="仿宋" w:eastAsia="仿宋" w:cs="仿宋"/>
          <w:color w:val="auto"/>
          <w:sz w:val="24"/>
          <w:szCs w:val="24"/>
          <w:highlight w:val="none"/>
        </w:rPr>
        <w:t>详见“供应商须知前附表”。</w:t>
      </w:r>
    </w:p>
    <w:p w14:paraId="3F72AD2C">
      <w:pPr>
        <w:spacing w:line="460" w:lineRule="exact"/>
        <w:ind w:left="567" w:hanging="56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14.2</w:t>
      </w:r>
      <w:r>
        <w:rPr>
          <w:rFonts w:hint="eastAsia" w:ascii="仿宋" w:hAnsi="仿宋" w:eastAsia="仿宋" w:cs="仿宋"/>
          <w:b/>
          <w:bCs/>
          <w:color w:val="auto"/>
          <w:sz w:val="24"/>
          <w:szCs w:val="24"/>
          <w:highlight w:val="none"/>
          <w:lang w:val="en-US" w:eastAsia="zh-CN"/>
        </w:rPr>
        <w:t>下列任何情况发生时，谈判保证金将被没收</w:t>
      </w:r>
      <w:r>
        <w:rPr>
          <w:rFonts w:hint="eastAsia" w:ascii="仿宋" w:hAnsi="仿宋" w:eastAsia="仿宋" w:cs="仿宋"/>
          <w:color w:val="auto"/>
          <w:sz w:val="24"/>
          <w:szCs w:val="24"/>
          <w:highlight w:val="none"/>
          <w:lang w:val="en-US" w:eastAsia="zh-CN"/>
        </w:rPr>
        <w:t>：</w:t>
      </w:r>
    </w:p>
    <w:p w14:paraId="2097DE72">
      <w:pPr>
        <w:spacing w:line="460" w:lineRule="exact"/>
        <w:ind w:left="567" w:leftChars="0" w:hanging="14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1）成交供应商未按本谈判文件的规定与采购人签订合同的；</w:t>
      </w:r>
    </w:p>
    <w:p w14:paraId="26D92C7F">
      <w:pPr>
        <w:spacing w:line="460" w:lineRule="exact"/>
        <w:ind w:left="567" w:leftChars="0" w:hanging="14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2）成交供应商未在规定时间内缴纳履约保证金的；</w:t>
      </w:r>
    </w:p>
    <w:p w14:paraId="5D17D9CF">
      <w:pPr>
        <w:spacing w:line="460" w:lineRule="exact"/>
        <w:ind w:left="567" w:leftChars="0" w:hanging="14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3）成交供应商提供虚假材料和文件意图骗取中标的；</w:t>
      </w:r>
    </w:p>
    <w:p w14:paraId="31FBB2D5">
      <w:pPr>
        <w:spacing w:line="460" w:lineRule="exact"/>
        <w:ind w:left="567" w:leftChars="0" w:hanging="14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4）有扰乱招标市场及恶意串标围标行为的；</w:t>
      </w:r>
    </w:p>
    <w:p w14:paraId="6DA0B751">
      <w:pPr>
        <w:spacing w:line="460" w:lineRule="exact"/>
        <w:ind w:left="567" w:leftChars="0" w:hanging="14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5）成交供应商出现《政府采购法》第七十七条规定的情形的。</w:t>
      </w:r>
    </w:p>
    <w:p w14:paraId="786C7862">
      <w:pPr>
        <w:spacing w:line="4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14.3成交通知书发出后五个工作日内</w:t>
      </w:r>
      <w:r>
        <w:rPr>
          <w:rFonts w:hint="eastAsia" w:ascii="仿宋" w:hAnsi="仿宋" w:eastAsia="仿宋" w:cs="仿宋"/>
          <w:color w:val="auto"/>
          <w:sz w:val="24"/>
          <w:highlight w:val="none"/>
          <w:lang w:val="en-US" w:eastAsia="zh-CN"/>
        </w:rPr>
        <w:t>无息</w:t>
      </w:r>
      <w:r>
        <w:rPr>
          <w:rFonts w:hint="eastAsia" w:ascii="仿宋" w:hAnsi="仿宋" w:eastAsia="仿宋" w:cs="仿宋"/>
          <w:color w:val="auto"/>
          <w:sz w:val="24"/>
          <w:szCs w:val="24"/>
          <w:highlight w:val="none"/>
          <w:lang w:val="en-US" w:eastAsia="zh-CN"/>
        </w:rPr>
        <w:t>退还未成交供应商的谈判保证金，在合同签订后五个工作日内</w:t>
      </w:r>
      <w:r>
        <w:rPr>
          <w:rFonts w:hint="eastAsia" w:ascii="仿宋" w:hAnsi="仿宋" w:eastAsia="仿宋" w:cs="仿宋"/>
          <w:color w:val="auto"/>
          <w:sz w:val="24"/>
          <w:highlight w:val="none"/>
          <w:lang w:val="en-US" w:eastAsia="zh-CN"/>
        </w:rPr>
        <w:t>无息</w:t>
      </w:r>
      <w:r>
        <w:rPr>
          <w:rFonts w:hint="eastAsia" w:ascii="仿宋" w:hAnsi="仿宋" w:eastAsia="仿宋" w:cs="仿宋"/>
          <w:color w:val="auto"/>
          <w:sz w:val="24"/>
          <w:szCs w:val="24"/>
          <w:highlight w:val="none"/>
          <w:lang w:val="en-US" w:eastAsia="zh-CN"/>
        </w:rPr>
        <w:t>退还成交供应商的谈判保证金。</w:t>
      </w:r>
    </w:p>
    <w:p w14:paraId="0777A687">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谈判有效期</w:t>
      </w:r>
    </w:p>
    <w:p w14:paraId="4C2D8092">
      <w:pPr>
        <w:spacing w:line="460" w:lineRule="exact"/>
        <w:ind w:left="563" w:leftChars="26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谈判有效期为自谈判之日起不少于“供应商须知前附表”规定的时间保持有效。谈判有效期不足的响应文件</w:t>
      </w:r>
      <w:r>
        <w:rPr>
          <w:rFonts w:hint="eastAsia" w:ascii="仿宋" w:hAnsi="仿宋" w:eastAsia="仿宋" w:cs="仿宋"/>
          <w:b/>
          <w:color w:val="auto"/>
          <w:sz w:val="24"/>
          <w:szCs w:val="24"/>
          <w:highlight w:val="none"/>
        </w:rPr>
        <w:t>视为无效</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w:t>
      </w:r>
    </w:p>
    <w:p w14:paraId="1565F2C1">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响应文件的签署及规定</w:t>
      </w:r>
    </w:p>
    <w:p w14:paraId="1349A9B5">
      <w:pPr>
        <w:spacing w:line="46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 供应商应准备一份响应文件正本和“供应商须知前附表”规定的副本。每套响应文件须清楚地标明“正本”或“副本”。若正本和副本不符，以正本为准。</w:t>
      </w:r>
    </w:p>
    <w:p w14:paraId="75D5FAC8">
      <w:pPr>
        <w:spacing w:line="46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.2响应文件的正本必须打印，并按谈判文件的要求签字、签章。副本可采用正本的复印件。</w:t>
      </w:r>
    </w:p>
    <w:p w14:paraId="3F73BBA3">
      <w:pPr>
        <w:spacing w:line="46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 响应文件不得涂改和增删，如有修改，必须由响应文件签字人签字或盖章。</w:t>
      </w:r>
    </w:p>
    <w:p w14:paraId="40134558">
      <w:pPr>
        <w:spacing w:line="46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.4 响应文件因字迹潦草或表达不清所引起的后果由供应商负责。</w:t>
      </w:r>
    </w:p>
    <w:p w14:paraId="0B4A911B">
      <w:pPr>
        <w:spacing w:line="460" w:lineRule="exact"/>
        <w:ind w:left="567" w:hanging="567"/>
        <w:rPr>
          <w:rFonts w:ascii="仿宋" w:hAnsi="仿宋" w:eastAsia="仿宋" w:cs="仿宋"/>
          <w:color w:val="auto"/>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.5 电报、电传、传真形式的响应文件概不接受。</w:t>
      </w:r>
    </w:p>
    <w:p w14:paraId="46ED4A51">
      <w:pPr>
        <w:pStyle w:val="5"/>
        <w:spacing w:before="0" w:after="0" w:line="460" w:lineRule="exact"/>
        <w:ind w:firstLine="3238" w:firstLineChars="1152"/>
        <w:jc w:val="left"/>
        <w:rPr>
          <w:rFonts w:ascii="仿宋" w:hAnsi="仿宋" w:eastAsia="仿宋" w:cs="仿宋"/>
          <w:color w:val="auto"/>
          <w:sz w:val="28"/>
          <w:szCs w:val="28"/>
          <w:highlight w:val="none"/>
        </w:rPr>
      </w:pPr>
      <w:bookmarkStart w:id="55" w:name="_Toc2080"/>
      <w:r>
        <w:rPr>
          <w:rFonts w:hint="eastAsia" w:ascii="仿宋" w:hAnsi="仿宋" w:eastAsia="仿宋" w:cs="仿宋"/>
          <w:color w:val="auto"/>
          <w:sz w:val="28"/>
          <w:szCs w:val="28"/>
          <w:highlight w:val="none"/>
        </w:rPr>
        <w:t>五、响应文件的递交</w:t>
      </w:r>
      <w:bookmarkEnd w:id="55"/>
    </w:p>
    <w:p w14:paraId="1BAE913F">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 响应文件的密封及标记</w:t>
      </w:r>
    </w:p>
    <w:p w14:paraId="5EBAD52A">
      <w:pPr>
        <w:spacing w:line="46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 供应商应</w:t>
      </w:r>
      <w:r>
        <w:rPr>
          <w:rFonts w:hint="eastAsia" w:ascii="仿宋" w:hAnsi="仿宋" w:eastAsia="仿宋" w:cs="仿宋"/>
          <w:b/>
          <w:bCs/>
          <w:color w:val="auto"/>
          <w:sz w:val="24"/>
          <w:szCs w:val="24"/>
          <w:highlight w:val="none"/>
          <w:lang w:val="en-US" w:eastAsia="zh-CN"/>
        </w:rPr>
        <w:t>准备</w:t>
      </w:r>
      <w:r>
        <w:rPr>
          <w:rFonts w:hint="eastAsia" w:ascii="仿宋" w:hAnsi="仿宋" w:eastAsia="仿宋" w:cs="仿宋"/>
          <w:b/>
          <w:bCs/>
          <w:color w:val="auto"/>
          <w:sz w:val="24"/>
          <w:szCs w:val="24"/>
          <w:highlight w:val="none"/>
        </w:rPr>
        <w:t>响应文件正本一份</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“供应商须知前附表”规定的副本</w:t>
      </w:r>
      <w:r>
        <w:rPr>
          <w:rFonts w:hint="eastAsia" w:ascii="仿宋" w:hAnsi="仿宋" w:eastAsia="仿宋" w:cs="仿宋"/>
          <w:b/>
          <w:bCs/>
          <w:color w:val="auto"/>
          <w:sz w:val="24"/>
          <w:szCs w:val="24"/>
          <w:highlight w:val="none"/>
          <w:lang w:eastAsia="zh-CN"/>
        </w:rPr>
        <w:t>、电子响应文件一份（</w:t>
      </w:r>
      <w:r>
        <w:rPr>
          <w:rFonts w:hint="eastAsia" w:ascii="仿宋" w:hAnsi="仿宋" w:eastAsia="仿宋" w:cs="仿宋"/>
          <w:b/>
          <w:bCs/>
          <w:color w:val="auto"/>
          <w:sz w:val="24"/>
          <w:szCs w:val="24"/>
          <w:highlight w:val="none"/>
          <w:lang w:val="en-US" w:eastAsia="zh-CN"/>
        </w:rPr>
        <w:t>U盘</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，用大文件袋把正本</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副本</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lang w:eastAsia="zh-CN"/>
        </w:rPr>
        <w:t>电子响应文件（</w:t>
      </w:r>
      <w:r>
        <w:rPr>
          <w:rFonts w:hint="eastAsia" w:ascii="仿宋" w:hAnsi="仿宋" w:eastAsia="仿宋" w:cs="仿宋"/>
          <w:color w:val="auto"/>
          <w:sz w:val="24"/>
          <w:szCs w:val="24"/>
          <w:highlight w:val="none"/>
          <w:lang w:val="en-US" w:eastAsia="zh-CN"/>
        </w:rPr>
        <w:t>U盘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起放入大文件袋中密封；一旦正本和副本有差异，以正本为准；封口处有谈判全权代表的签字或单位公章。封皮上注明谈判项目名称、项目编号、供应商名称、地址、邮政编码、电话、联系人，并注明“谈判时启封”字样。</w:t>
      </w:r>
    </w:p>
    <w:p w14:paraId="55DA3A60">
      <w:pPr>
        <w:spacing w:line="46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 如果供应商未按上述要求密封及加写标记，采购代理机构对响应文件的误投和提前启封概不负责。</w:t>
      </w:r>
    </w:p>
    <w:p w14:paraId="3F771CC7">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 谈判截止时间</w:t>
      </w:r>
    </w:p>
    <w:p w14:paraId="3F8E6294">
      <w:pPr>
        <w:spacing w:line="460" w:lineRule="exact"/>
        <w:ind w:left="563" w:leftChars="26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供应商必须在“第一章 谈判邀请”规定的截止时间前，将响应文件密封送达指定地点</w:t>
      </w:r>
      <w:r>
        <w:rPr>
          <w:rFonts w:hint="eastAsia" w:ascii="仿宋" w:hAnsi="仿宋" w:eastAsia="仿宋" w:cs="仿宋"/>
          <w:color w:val="auto"/>
          <w:sz w:val="24"/>
          <w:highlight w:val="none"/>
        </w:rPr>
        <w:t>。</w:t>
      </w:r>
    </w:p>
    <w:p w14:paraId="0378CC62">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19</w:t>
      </w:r>
      <w:r>
        <w:rPr>
          <w:rFonts w:hint="eastAsia" w:ascii="仿宋" w:hAnsi="仿宋" w:eastAsia="仿宋" w:cs="仿宋"/>
          <w:b/>
          <w:color w:val="auto"/>
          <w:sz w:val="24"/>
          <w:szCs w:val="24"/>
          <w:highlight w:val="none"/>
        </w:rPr>
        <w:t>. 迟交的响应文件</w:t>
      </w:r>
    </w:p>
    <w:p w14:paraId="7BD7B095">
      <w:pPr>
        <w:spacing w:line="460" w:lineRule="exact"/>
        <w:ind w:left="599" w:leftChars="228" w:hanging="120" w:hanging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在响应文件递交截止时间以后送达的响应文件为无效响应文件，采购代理机构将拒绝接收。</w:t>
      </w:r>
    </w:p>
    <w:p w14:paraId="3FA3ABEA">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 响应文件的补充、修改或撤回</w:t>
      </w:r>
    </w:p>
    <w:p w14:paraId="42BE6CD1">
      <w:pPr>
        <w:spacing w:line="460" w:lineRule="exact"/>
        <w:ind w:left="600" w:hanging="600" w:hanging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供应商在提交响应文件截止时间前，可以对所提交的响应文件进行补充、修改或者撤回，并书面通知采购代理机构。补充、修改的内容作为响应文件的组成部分。补充、修改的内容与响应文件不一致的，以补充、修改的内容为准。</w:t>
      </w:r>
    </w:p>
    <w:p w14:paraId="6AE8F733">
      <w:pPr>
        <w:spacing w:line="460" w:lineRule="exact"/>
        <w:ind w:left="600" w:hanging="600" w:hanging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.2从响应文件递交截止期至谈判有效期期满这段时间内，供应商不得撤回其响应文件。</w:t>
      </w:r>
    </w:p>
    <w:p w14:paraId="38D487BD">
      <w:pPr>
        <w:pStyle w:val="5"/>
        <w:spacing w:before="0" w:after="0" w:line="460" w:lineRule="exact"/>
        <w:rPr>
          <w:rFonts w:ascii="仿宋" w:hAnsi="仿宋" w:eastAsia="仿宋" w:cs="仿宋"/>
          <w:color w:val="auto"/>
          <w:sz w:val="24"/>
          <w:highlight w:val="none"/>
        </w:rPr>
      </w:pPr>
    </w:p>
    <w:p w14:paraId="33BEAA2B">
      <w:pPr>
        <w:pStyle w:val="5"/>
        <w:spacing w:before="0" w:after="0" w:line="460" w:lineRule="exact"/>
        <w:ind w:firstLine="3238" w:firstLineChars="1152"/>
        <w:jc w:val="left"/>
        <w:rPr>
          <w:rFonts w:ascii="仿宋" w:hAnsi="仿宋" w:eastAsia="仿宋" w:cs="仿宋"/>
          <w:color w:val="auto"/>
          <w:sz w:val="28"/>
          <w:szCs w:val="28"/>
          <w:highlight w:val="none"/>
        </w:rPr>
      </w:pPr>
      <w:bookmarkStart w:id="56" w:name="_Toc7855"/>
      <w:r>
        <w:rPr>
          <w:rFonts w:hint="eastAsia" w:ascii="仿宋" w:hAnsi="仿宋" w:eastAsia="仿宋" w:cs="仿宋"/>
          <w:color w:val="auto"/>
          <w:sz w:val="28"/>
          <w:szCs w:val="28"/>
          <w:highlight w:val="none"/>
        </w:rPr>
        <w:t>六、谈判</w:t>
      </w:r>
      <w:bookmarkEnd w:id="56"/>
    </w:p>
    <w:p w14:paraId="76F2D139">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 谈判组织</w:t>
      </w:r>
    </w:p>
    <w:p w14:paraId="7A25F28E">
      <w:pPr>
        <w:spacing w:line="460" w:lineRule="exact"/>
        <w:ind w:left="563" w:leftChars="26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采购代理机构在“谈判邀请”中规定的时间、地点组织谈判活动。参加谈判的代表应签名报到以证明其出席。</w:t>
      </w:r>
    </w:p>
    <w:p w14:paraId="726F24E4">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谈判小组</w:t>
      </w:r>
    </w:p>
    <w:p w14:paraId="7C874AB3">
      <w:pPr>
        <w:spacing w:line="460" w:lineRule="exact"/>
        <w:ind w:left="479" w:leftChars="228"/>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 xml:space="preserve"> 依法成立谈判小组。评审工作由谈判小组负责。</w:t>
      </w:r>
    </w:p>
    <w:p w14:paraId="5E9B9CCA">
      <w:pPr>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谈判程序</w:t>
      </w:r>
    </w:p>
    <w:p w14:paraId="40CE4C52">
      <w:pPr>
        <w:spacing w:line="460" w:lineRule="exact"/>
        <w:ind w:left="480" w:hanging="480" w:hangingChars="200"/>
        <w:rPr>
          <w:rFonts w:hint="eastAsia" w:ascii="仿宋" w:hAnsi="仿宋" w:eastAsia="仿宋" w:cs="仿宋"/>
          <w:b/>
          <w:color w:val="auto"/>
          <w:sz w:val="24"/>
          <w:szCs w:val="24"/>
          <w:highlight w:val="none"/>
          <w:lang w:val="en-GB"/>
        </w:rPr>
      </w:pPr>
      <w:r>
        <w:rPr>
          <w:rFonts w:hint="eastAsia" w:ascii="仿宋" w:hAnsi="仿宋" w:eastAsia="仿宋" w:cs="仿宋"/>
          <w:color w:val="auto"/>
          <w:sz w:val="24"/>
          <w:szCs w:val="24"/>
          <w:highlight w:val="none"/>
          <w:lang w:val="en-GB"/>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GB"/>
        </w:rPr>
        <w:t>.1</w:t>
      </w:r>
      <w:r>
        <w:rPr>
          <w:rFonts w:hint="eastAsia" w:ascii="仿宋" w:hAnsi="仿宋" w:eastAsia="仿宋" w:cs="仿宋"/>
          <w:b/>
          <w:color w:val="auto"/>
          <w:sz w:val="24"/>
          <w:highlight w:val="none"/>
        </w:rPr>
        <w:t>响应供应商在有关人员的监督下，在谈判现场检查响应文件的密封情况并签字确认，</w:t>
      </w:r>
      <w:r>
        <w:rPr>
          <w:rFonts w:hint="eastAsia" w:ascii="仿宋" w:hAnsi="仿宋" w:eastAsia="仿宋" w:cs="仿宋"/>
          <w:b/>
          <w:color w:val="auto"/>
          <w:sz w:val="24"/>
          <w:szCs w:val="24"/>
          <w:highlight w:val="none"/>
          <w:lang w:val="en-GB"/>
        </w:rPr>
        <w:t>确认无误后供应商离开谈判地点。</w:t>
      </w:r>
      <w:r>
        <w:rPr>
          <w:rFonts w:hint="eastAsia" w:ascii="仿宋" w:hAnsi="仿宋" w:eastAsia="仿宋" w:cs="仿宋"/>
          <w:b/>
          <w:color w:val="auto"/>
          <w:sz w:val="24"/>
          <w:highlight w:val="none"/>
        </w:rPr>
        <w:t>代理机构拆封响应文件。</w:t>
      </w:r>
    </w:p>
    <w:p w14:paraId="21B0AF25">
      <w:pPr>
        <w:spacing w:line="440" w:lineRule="exact"/>
        <w:ind w:left="510" w:hanging="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GB"/>
        </w:rPr>
        <w:t>.2</w:t>
      </w:r>
      <w:r>
        <w:rPr>
          <w:rFonts w:hint="eastAsia" w:ascii="仿宋" w:hAnsi="仿宋" w:eastAsia="仿宋" w:cs="仿宋"/>
          <w:b/>
          <w:color w:val="auto"/>
          <w:sz w:val="24"/>
          <w:szCs w:val="24"/>
          <w:highlight w:val="none"/>
          <w:lang w:val="en-GB"/>
        </w:rPr>
        <w:t>谈判小组对各供应商的谈判响应文件进行初审，并确定谈判内容。</w:t>
      </w:r>
      <w:r>
        <w:rPr>
          <w:rFonts w:hint="eastAsia" w:ascii="仿宋" w:hAnsi="仿宋" w:eastAsia="仿宋" w:cs="仿宋"/>
          <w:color w:val="auto"/>
          <w:sz w:val="24"/>
          <w:szCs w:val="24"/>
          <w:highlight w:val="none"/>
        </w:rPr>
        <w:t>谈判响应文件的初审分为</w:t>
      </w:r>
    </w:p>
    <w:p w14:paraId="43DD4635">
      <w:pPr>
        <w:spacing w:line="460" w:lineRule="exact"/>
        <w:ind w:left="480" w:hanging="480" w:hanging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（1）资格性检查。依据法律法规和竞争性谈判</w:t>
      </w:r>
      <w:r>
        <w:rPr>
          <w:rFonts w:hint="eastAsia" w:ascii="仿宋" w:hAnsi="仿宋" w:eastAsia="仿宋" w:cs="仿宋"/>
          <w:color w:val="auto"/>
          <w:sz w:val="24"/>
          <w:szCs w:val="24"/>
          <w:highlight w:val="none"/>
        </w:rPr>
        <w:t>文件“第</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章响应文件格式”的规定，对响应文件中的资格证明文件进行审查，以确定供应商是否具备参加谈判资格。</w:t>
      </w:r>
    </w:p>
    <w:p w14:paraId="325574D8">
      <w:pPr>
        <w:spacing w:line="460" w:lineRule="exact"/>
        <w:ind w:left="480" w:hanging="480" w:hanging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GB"/>
        </w:rPr>
        <w:t>（2）符合性检查。依据谈判文件的规定，从响应文件的有效性、完整性和对谈判文件的响应程度进行审查，以确定是否对谈判文件的实质性要求做出响应</w:t>
      </w:r>
      <w:r>
        <w:rPr>
          <w:rFonts w:hint="eastAsia" w:ascii="仿宋" w:hAnsi="仿宋" w:eastAsia="仿宋" w:cs="仿宋"/>
          <w:color w:val="auto"/>
          <w:sz w:val="24"/>
          <w:szCs w:val="24"/>
          <w:highlight w:val="none"/>
          <w:lang w:val="en-GB" w:eastAsia="zh-CN"/>
        </w:rPr>
        <w:t>。</w:t>
      </w:r>
    </w:p>
    <w:p w14:paraId="2DAED376">
      <w:pPr>
        <w:spacing w:line="460" w:lineRule="exact"/>
        <w:ind w:left="480" w:hanging="480" w:hanging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GB"/>
        </w:rPr>
        <w:t>）谈判小组在对供应商进行资格性审查时，将对供应商企业股东及出资等信息进行查询。审查中如发现供应商存在单位负责人为同一人或者存在直接控股、管理关系的不同供应商参加同一合同项下的采购活动的，按响应文件无效处理。</w:t>
      </w:r>
    </w:p>
    <w:p w14:paraId="4F6C7781">
      <w:pPr>
        <w:spacing w:line="460" w:lineRule="exact"/>
        <w:ind w:left="479" w:leftChars="228"/>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①查询渠道：《国家企业信用信息公示系统》（网址：http://www.gsxt.gov.cn/index.html）</w:t>
      </w:r>
    </w:p>
    <w:p w14:paraId="5261115E">
      <w:pPr>
        <w:spacing w:line="460" w:lineRule="exact"/>
        <w:ind w:left="479" w:leftChars="228"/>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②审查流程：进入《国家企业信用信息公示系统》（网址：http://www.gsxt.gov.cn/index.html），输入企业名称，进入企业信息主页面；查看主页“股东及出资信息”栏，或年报中的“股东及出资信息”栏信息；将各供应商的股东及出资信息进行比对，得出审查结论；将相关资料作为评审资料打印存档。</w:t>
      </w:r>
    </w:p>
    <w:p w14:paraId="7DA3FD8C">
      <w:pPr>
        <w:spacing w:line="460" w:lineRule="exact"/>
        <w:ind w:left="480" w:hanging="480" w:hanging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1D45891F">
      <w:pPr>
        <w:spacing w:line="460" w:lineRule="exact"/>
        <w:ind w:left="420" w:hanging="420" w:hanging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GB"/>
        </w:rPr>
        <w:t>）谈判期间在“信用中国”网站（（www.creditchina.gov.cn））查询到供应商列入失信被执行人和重大税收违法案件当事人名单的，和在“中国政府采购网” 网站查询到供应商列入政府采购严重违法失信行为记录名单（处罚期限尚未届满的）的，其响应无效；查询的记录随谈判文件存档。</w:t>
      </w:r>
    </w:p>
    <w:p w14:paraId="5012FB5E">
      <w:pPr>
        <w:spacing w:line="460" w:lineRule="exact"/>
        <w:ind w:left="480" w:hanging="480" w:hanging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GB"/>
        </w:rPr>
        <w:t>）对未通过资格性审查或符合性审查的供应商，由谈判小组现场告知供应商未通过的原因（供应商在评标现场或能及时赶到评标现场的应书面形式通知并签字确认；供应商未在评标现场或不能及时赶到评标现场的应以电话通知，并做相应记录。</w:t>
      </w:r>
    </w:p>
    <w:p w14:paraId="2F78A0C1">
      <w:pPr>
        <w:spacing w:line="460" w:lineRule="exact"/>
        <w:ind w:left="482" w:hanging="482" w:hangingChars="200"/>
        <w:rPr>
          <w:rFonts w:ascii="仿宋" w:hAnsi="仿宋" w:eastAsia="仿宋" w:cs="仿宋"/>
          <w:b/>
          <w:color w:val="auto"/>
          <w:sz w:val="24"/>
          <w:szCs w:val="24"/>
          <w:highlight w:val="none"/>
          <w:lang w:val="en-GB"/>
        </w:rPr>
      </w:pPr>
      <w:r>
        <w:rPr>
          <w:rFonts w:hint="eastAsia" w:ascii="仿宋" w:hAnsi="仿宋" w:eastAsia="仿宋" w:cs="仿宋"/>
          <w:b/>
          <w:color w:val="auto"/>
          <w:sz w:val="24"/>
          <w:szCs w:val="24"/>
          <w:highlight w:val="none"/>
          <w:lang w:val="en-GB"/>
        </w:rPr>
        <w:t>2</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lang w:val="en-GB"/>
        </w:rPr>
        <w:t>.3初审出现下列情况者，响应文件被视为无效：</w:t>
      </w:r>
    </w:p>
    <w:p w14:paraId="5B68B21E">
      <w:pPr>
        <w:numPr>
          <w:ilvl w:val="1"/>
          <w:numId w:val="4"/>
        </w:numPr>
        <w:spacing w:line="460" w:lineRule="exac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未提交谈判响应书；</w:t>
      </w:r>
    </w:p>
    <w:p w14:paraId="57949F13">
      <w:pPr>
        <w:numPr>
          <w:ilvl w:val="1"/>
          <w:numId w:val="4"/>
        </w:numPr>
        <w:spacing w:line="460" w:lineRule="exac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未提交报价表；</w:t>
      </w:r>
    </w:p>
    <w:p w14:paraId="57B5674E">
      <w:pPr>
        <w:numPr>
          <w:ilvl w:val="1"/>
          <w:numId w:val="4"/>
        </w:numPr>
        <w:spacing w:line="460" w:lineRule="exac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未按谈判文件“第</w:t>
      </w:r>
      <w:r>
        <w:rPr>
          <w:rFonts w:hint="eastAsia" w:ascii="仿宋" w:hAnsi="仿宋" w:eastAsia="仿宋" w:cs="仿宋"/>
          <w:color w:val="auto"/>
          <w:sz w:val="24"/>
          <w:szCs w:val="24"/>
          <w:highlight w:val="none"/>
          <w:lang w:val="en-GB" w:eastAsia="zh-CN"/>
        </w:rPr>
        <w:t>五</w:t>
      </w:r>
      <w:r>
        <w:rPr>
          <w:rFonts w:hint="eastAsia" w:ascii="仿宋" w:hAnsi="仿宋" w:eastAsia="仿宋" w:cs="仿宋"/>
          <w:color w:val="auto"/>
          <w:sz w:val="24"/>
          <w:szCs w:val="24"/>
          <w:highlight w:val="none"/>
          <w:lang w:val="en-GB"/>
        </w:rPr>
        <w:t>章 响应文件”的规定提供资格、资信证明文件的；</w:t>
      </w:r>
    </w:p>
    <w:p w14:paraId="54F5F447">
      <w:pPr>
        <w:numPr>
          <w:ilvl w:val="1"/>
          <w:numId w:val="4"/>
        </w:numPr>
        <w:spacing w:line="460" w:lineRule="exac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未按谈判文件要求签字、签章的，或签字（签章）人无法定代表人有效委托的；</w:t>
      </w:r>
    </w:p>
    <w:p w14:paraId="7674CA90">
      <w:pPr>
        <w:numPr>
          <w:ilvl w:val="1"/>
          <w:numId w:val="4"/>
        </w:numPr>
        <w:spacing w:line="460" w:lineRule="exac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谈判文件规定为国产产品，提供进口产品参加谈判的。</w:t>
      </w:r>
    </w:p>
    <w:p w14:paraId="76F2AE9E">
      <w:pPr>
        <w:numPr>
          <w:ilvl w:val="1"/>
          <w:numId w:val="4"/>
        </w:numPr>
        <w:spacing w:line="460" w:lineRule="exac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谈判有效期响应不足的；</w:t>
      </w:r>
    </w:p>
    <w:p w14:paraId="7E1BADC8">
      <w:pPr>
        <w:numPr>
          <w:ilvl w:val="1"/>
          <w:numId w:val="4"/>
        </w:numPr>
        <w:spacing w:line="460" w:lineRule="exac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技术文件技术规格中的响应与事实不符或虚假响应的；</w:t>
      </w:r>
    </w:p>
    <w:p w14:paraId="43D13F89">
      <w:pPr>
        <w:numPr>
          <w:ilvl w:val="1"/>
          <w:numId w:val="4"/>
        </w:numPr>
        <w:spacing w:line="460" w:lineRule="exac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超过了采购项目预算或最高限价的；</w:t>
      </w:r>
    </w:p>
    <w:p w14:paraId="7B808268">
      <w:pPr>
        <w:numPr>
          <w:ilvl w:val="1"/>
          <w:numId w:val="4"/>
        </w:numPr>
        <w:spacing w:line="460" w:lineRule="exact"/>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谈判文件规定的其他响应无效条款。</w:t>
      </w:r>
    </w:p>
    <w:p w14:paraId="26F5AAFB">
      <w:pPr>
        <w:spacing w:line="460" w:lineRule="exact"/>
        <w:ind w:left="567" w:hanging="56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.4谈判 </w:t>
      </w:r>
    </w:p>
    <w:p w14:paraId="570A3892">
      <w:pPr>
        <w:spacing w:line="460" w:lineRule="exact"/>
        <w:ind w:left="563" w:leftChars="268"/>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r>
        <w:rPr>
          <w:rFonts w:hint="eastAsia" w:ascii="仿宋" w:hAnsi="仿宋" w:eastAsia="仿宋" w:cs="仿宋"/>
          <w:color w:val="auto"/>
          <w:sz w:val="24"/>
          <w:szCs w:val="24"/>
          <w:highlight w:val="none"/>
        </w:rPr>
        <w:t xml:space="preserve"> 在谈判过程中，谈判小组任何人不得对某个供应商发表任何倾向性意见，不得向其他谈判小组成员明示或者暗示自己的评审意见。谈判小组成员对需要共同认定的事项存在争议的，按照少数服从多数的原则作出结论。持不同意见的谈判小组成员应当在评审报告上签署不同意见并说明理由，否则视为同意。谈判小组认定响应有效性时不得因装订、纸张、文件排序等非实质性的格式、形式问题否决投标（响应），从而限制和影响供应商投标（响应）</w:t>
      </w:r>
      <w:r>
        <w:rPr>
          <w:rFonts w:hint="eastAsia" w:ascii="仿宋" w:hAnsi="仿宋" w:eastAsia="仿宋" w:cs="仿宋"/>
          <w:color w:val="auto"/>
          <w:sz w:val="24"/>
          <w:szCs w:val="24"/>
          <w:highlight w:val="none"/>
          <w:lang w:val="en-GB"/>
        </w:rPr>
        <w:t>。</w:t>
      </w:r>
    </w:p>
    <w:p w14:paraId="33422503">
      <w:pPr>
        <w:spacing w:line="460" w:lineRule="exact"/>
        <w:ind w:left="567" w:hanging="56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.5谈判文件修正</w:t>
      </w:r>
    </w:p>
    <w:p w14:paraId="5915DF99">
      <w:pPr>
        <w:spacing w:line="460" w:lineRule="exact"/>
        <w:ind w:left="540" w:hanging="540" w:hanging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（1）在谈判过程中，谈判小组可以根据谈判文件和谈判情况实质性变动采购需求中的技术、服务要求以及合同草案条款，但不得变动谈判文件中的其他内容。实质性变动的内容，须经采购人代表确认。</w:t>
      </w:r>
    </w:p>
    <w:p w14:paraId="6B1A532C">
      <w:pPr>
        <w:spacing w:line="460" w:lineRule="exact"/>
        <w:ind w:left="540" w:hanging="540" w:hanging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（2）对谈判文件做出的实质性变动是谈判文件的有效组成部分，谈判小组应当及时以书面形式同时通知所有参加谈判的供应商。</w:t>
      </w:r>
    </w:p>
    <w:p w14:paraId="0C2CB206">
      <w:pPr>
        <w:spacing w:line="460" w:lineRule="exact"/>
        <w:ind w:left="540" w:hanging="540" w:hanging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（3）供应商按照谈判文件的变动情况和谈判小组的要求重新提交响应文件，并由其法定代表人或授权代表签字或者加盖公章。</w:t>
      </w:r>
    </w:p>
    <w:p w14:paraId="593DB5BC">
      <w:pPr>
        <w:spacing w:line="460" w:lineRule="exact"/>
        <w:ind w:left="505" w:leftChars="12" w:hanging="480" w:hanging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14:paraId="1F97B83A">
      <w:pPr>
        <w:spacing w:line="460" w:lineRule="exact"/>
        <w:ind w:left="567" w:hanging="56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.6 最后报价</w:t>
      </w:r>
    </w:p>
    <w:p w14:paraId="296E5129">
      <w:pPr>
        <w:spacing w:line="460" w:lineRule="exact"/>
        <w:ind w:left="480" w:hanging="480" w:hanging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（1）谈判结束后，谈判小组要求所有继续参加谈判的供应商在规定时间内提交最后报价，提交最后报价的供应商不得少于3家。</w:t>
      </w:r>
    </w:p>
    <w:p w14:paraId="33062B1C">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Cs w:val="21"/>
          <w:highlight w:val="none"/>
        </w:rPr>
        <w:t>最</w:t>
      </w:r>
      <w:r>
        <w:rPr>
          <w:rFonts w:hint="eastAsia" w:ascii="仿宋" w:hAnsi="仿宋" w:eastAsia="仿宋" w:cs="仿宋"/>
          <w:color w:val="auto"/>
          <w:sz w:val="24"/>
          <w:szCs w:val="24"/>
          <w:highlight w:val="none"/>
        </w:rPr>
        <w:t>后报价是供应商响应文件的有效组成部分。</w:t>
      </w:r>
    </w:p>
    <w:p w14:paraId="268379B5">
      <w:pPr>
        <w:spacing w:line="460" w:lineRule="exact"/>
        <w:ind w:left="480" w:hanging="480" w:hanging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（3）最后报价如未作分项报价的，其分项报价则按总报价的降价比例计算。</w:t>
      </w:r>
    </w:p>
    <w:p w14:paraId="4AF49578">
      <w:pPr>
        <w:spacing w:line="460" w:lineRule="exact"/>
        <w:ind w:left="480" w:hanging="480" w:hanging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（4）</w:t>
      </w:r>
      <w:r>
        <w:rPr>
          <w:rFonts w:hint="eastAsia" w:ascii="仿宋" w:hAnsi="仿宋" w:eastAsia="仿宋" w:cs="仿宋"/>
          <w:color w:val="auto"/>
          <w:sz w:val="24"/>
          <w:szCs w:val="24"/>
          <w:highlight w:val="none"/>
        </w:rPr>
        <w:t>若没有对采购需求中的技术、服务要求以及合同草案条款做实质性修改或对采购需求中的技术、服务要求以及合同草案条款进行了实质性修改，但没有提高要求，最后报价(含分项报价)不得高于上一轮报价；否则，</w:t>
      </w:r>
      <w:r>
        <w:rPr>
          <w:rFonts w:hint="eastAsia" w:ascii="仿宋" w:hAnsi="仿宋" w:eastAsia="仿宋" w:cs="仿宋"/>
          <w:color w:val="auto"/>
          <w:sz w:val="24"/>
          <w:szCs w:val="24"/>
          <w:highlight w:val="none"/>
          <w:lang w:val="en-GB"/>
        </w:rPr>
        <w:t>视为</w:t>
      </w:r>
      <w:r>
        <w:rPr>
          <w:rFonts w:hint="eastAsia" w:ascii="仿宋" w:hAnsi="仿宋" w:eastAsia="仿宋" w:cs="仿宋"/>
          <w:b/>
          <w:bCs/>
          <w:color w:val="auto"/>
          <w:sz w:val="24"/>
          <w:szCs w:val="24"/>
          <w:highlight w:val="none"/>
          <w:lang w:val="en-GB"/>
        </w:rPr>
        <w:t>无效响应</w:t>
      </w:r>
      <w:r>
        <w:rPr>
          <w:rFonts w:hint="eastAsia" w:ascii="仿宋" w:hAnsi="仿宋" w:eastAsia="仿宋" w:cs="仿宋"/>
          <w:color w:val="auto"/>
          <w:sz w:val="24"/>
          <w:szCs w:val="24"/>
          <w:highlight w:val="none"/>
          <w:lang w:val="en-GB"/>
        </w:rPr>
        <w:t>。</w:t>
      </w:r>
    </w:p>
    <w:p w14:paraId="1A7BE7A2">
      <w:pPr>
        <w:spacing w:line="440" w:lineRule="atLeast"/>
        <w:ind w:left="480" w:hanging="480" w:hanging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（5）未在规定时间内提交最后报价</w:t>
      </w:r>
      <w:r>
        <w:rPr>
          <w:rFonts w:hint="eastAsia" w:ascii="仿宋" w:hAnsi="仿宋" w:eastAsia="仿宋" w:cs="仿宋"/>
          <w:color w:val="auto"/>
          <w:sz w:val="24"/>
          <w:szCs w:val="24"/>
          <w:highlight w:val="none"/>
          <w:lang w:val="en-GB"/>
        </w:rPr>
        <w:t>视为退出谈判；最后报价不符合谈判文件要求的，视为</w:t>
      </w:r>
      <w:r>
        <w:rPr>
          <w:rFonts w:hint="eastAsia" w:ascii="仿宋" w:hAnsi="仿宋" w:eastAsia="仿宋" w:cs="仿宋"/>
          <w:b/>
          <w:bCs/>
          <w:color w:val="auto"/>
          <w:sz w:val="24"/>
          <w:szCs w:val="24"/>
          <w:highlight w:val="none"/>
          <w:lang w:val="en-GB"/>
        </w:rPr>
        <w:t>无效响应</w:t>
      </w:r>
      <w:r>
        <w:rPr>
          <w:rFonts w:hint="eastAsia" w:ascii="仿宋" w:hAnsi="仿宋" w:eastAsia="仿宋" w:cs="仿宋"/>
          <w:color w:val="auto"/>
          <w:sz w:val="24"/>
          <w:szCs w:val="24"/>
          <w:highlight w:val="none"/>
          <w:lang w:val="en-GB"/>
        </w:rPr>
        <w:t>。</w:t>
      </w:r>
    </w:p>
    <w:p w14:paraId="36F4E313">
      <w:pPr>
        <w:spacing w:line="460" w:lineRule="exact"/>
        <w:ind w:left="480" w:leftChars="57" w:hanging="360" w:hanging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(6)已提交响应文件的供应商，在提交最后报价之前，可以根据谈判情况退出谈判。</w:t>
      </w:r>
    </w:p>
    <w:p w14:paraId="3C18B7BF">
      <w:pPr>
        <w:spacing w:line="460" w:lineRule="exact"/>
        <w:ind w:left="482" w:hanging="482" w:hanging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 成交标准　</w:t>
      </w:r>
    </w:p>
    <w:p w14:paraId="2AFFAFD1">
      <w:pPr>
        <w:spacing w:line="460" w:lineRule="exact"/>
        <w:ind w:left="479" w:leftChars="228"/>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详见“供应商须知前附表”。</w:t>
      </w:r>
    </w:p>
    <w:p w14:paraId="07A0A63F">
      <w:pPr>
        <w:spacing w:line="4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与谈判小组的接触</w:t>
      </w:r>
    </w:p>
    <w:p w14:paraId="1B21F126">
      <w:pPr>
        <w:spacing w:line="460" w:lineRule="exact"/>
        <w:ind w:left="480" w:hanging="480" w:hangingChars="200"/>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GB"/>
        </w:rPr>
        <w:t>.1 除按本须知“第</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val="en-GB"/>
        </w:rPr>
        <w:t>条”规定外，从谈判之日起至授予合同期间，供应商不得就其谈判有关事项与谈判小组私下接触。</w:t>
      </w:r>
    </w:p>
    <w:p w14:paraId="43EC390E">
      <w:pPr>
        <w:spacing w:line="460" w:lineRule="exact"/>
        <w:ind w:left="480" w:hanging="480" w:hangingChars="200"/>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GB"/>
        </w:rPr>
        <w:t>.2 供应商试图对谈判小组的评审施加任何影响，都可能导致其响应文件作无效处理。</w:t>
      </w:r>
    </w:p>
    <w:p w14:paraId="578458B6">
      <w:pPr>
        <w:spacing w:line="460" w:lineRule="exact"/>
        <w:rPr>
          <w:rFonts w:ascii="仿宋" w:hAnsi="仿宋" w:eastAsia="仿宋" w:cs="仿宋"/>
          <w:b/>
          <w:color w:val="auto"/>
          <w:sz w:val="24"/>
          <w:szCs w:val="24"/>
          <w:highlight w:val="none"/>
        </w:rPr>
      </w:pPr>
      <w:bookmarkStart w:id="57" w:name="_Toc376848253"/>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.终止竞争性谈判采购活动的情形</w:t>
      </w:r>
    </w:p>
    <w:p w14:paraId="3CDA82E9">
      <w:pPr>
        <w:spacing w:line="460" w:lineRule="exact"/>
        <w:ind w:firstLine="360" w:firstLineChars="150"/>
        <w:rPr>
          <w:rFonts w:hint="eastAsia" w:ascii="仿宋" w:hAnsi="仿宋" w:eastAsia="仿宋" w:cs="仿宋"/>
          <w:color w:val="auto"/>
          <w:sz w:val="24"/>
          <w:szCs w:val="24"/>
          <w:highlight w:val="none"/>
          <w:lang w:val="en-GB"/>
        </w:rPr>
      </w:pPr>
      <w:bookmarkStart w:id="58" w:name="_Toc377297026"/>
      <w:r>
        <w:rPr>
          <w:rFonts w:hint="eastAsia" w:ascii="仿宋" w:hAnsi="仿宋" w:eastAsia="仿宋" w:cs="仿宋"/>
          <w:color w:val="auto"/>
          <w:sz w:val="24"/>
          <w:szCs w:val="24"/>
          <w:highlight w:val="none"/>
          <w:lang w:val="en-GB"/>
        </w:rPr>
        <w:t>出现下列情形之一的，终止谈判采购活动</w:t>
      </w:r>
    </w:p>
    <w:p w14:paraId="73A689ED">
      <w:pPr>
        <w:spacing w:line="46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（1）因情况变化，不再符合规定的谈判采购方式适用情形的；</w:t>
      </w:r>
    </w:p>
    <w:p w14:paraId="32231FAB">
      <w:pPr>
        <w:spacing w:line="46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（2）出现影响采购公正的违法、违规行为的。</w:t>
      </w:r>
    </w:p>
    <w:p w14:paraId="0CEDD544">
      <w:pPr>
        <w:spacing w:line="460" w:lineRule="exact"/>
        <w:ind w:left="1140" w:leftChars="257" w:hanging="600" w:hanging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（3）在采购过程中符合竞争要求的供应商或者报价未超过采购预算的供应商不足3家的。</w:t>
      </w:r>
    </w:p>
    <w:p w14:paraId="433C6844">
      <w:pPr>
        <w:pStyle w:val="5"/>
        <w:spacing w:before="0" w:after="0" w:line="460" w:lineRule="exact"/>
        <w:jc w:val="left"/>
        <w:rPr>
          <w:rFonts w:ascii="仿宋" w:hAnsi="仿宋" w:eastAsia="仿宋" w:cs="仿宋"/>
          <w:color w:val="auto"/>
          <w:sz w:val="24"/>
          <w:szCs w:val="24"/>
          <w:highlight w:val="none"/>
        </w:rPr>
      </w:pPr>
    </w:p>
    <w:p w14:paraId="61B86311">
      <w:pPr>
        <w:pStyle w:val="5"/>
        <w:spacing w:before="0" w:after="0" w:line="460" w:lineRule="exact"/>
        <w:ind w:firstLine="2389" w:firstLineChars="850"/>
        <w:jc w:val="left"/>
        <w:rPr>
          <w:rFonts w:ascii="仿宋" w:hAnsi="仿宋" w:eastAsia="仿宋" w:cs="仿宋"/>
          <w:color w:val="auto"/>
          <w:sz w:val="28"/>
          <w:szCs w:val="28"/>
          <w:highlight w:val="none"/>
        </w:rPr>
      </w:pPr>
      <w:bookmarkStart w:id="59" w:name="_Toc7166"/>
      <w:r>
        <w:rPr>
          <w:rFonts w:hint="eastAsia" w:ascii="仿宋" w:hAnsi="仿宋" w:eastAsia="仿宋" w:cs="仿宋"/>
          <w:color w:val="auto"/>
          <w:sz w:val="28"/>
          <w:szCs w:val="28"/>
          <w:highlight w:val="none"/>
        </w:rPr>
        <w:t>七、推荐成交候选供应商、确定成交供应商</w:t>
      </w:r>
      <w:bookmarkEnd w:id="58"/>
      <w:bookmarkEnd w:id="59"/>
    </w:p>
    <w:p w14:paraId="7701D60E">
      <w:pPr>
        <w:spacing w:line="44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27</w:t>
      </w:r>
      <w:r>
        <w:rPr>
          <w:rFonts w:hint="eastAsia" w:ascii="仿宋" w:hAnsi="仿宋" w:eastAsia="仿宋" w:cs="仿宋"/>
          <w:b/>
          <w:bCs/>
          <w:color w:val="auto"/>
          <w:sz w:val="24"/>
          <w:szCs w:val="24"/>
          <w:highlight w:val="none"/>
        </w:rPr>
        <w:t>.推荐成交候选供应商方法</w:t>
      </w:r>
    </w:p>
    <w:p w14:paraId="1FF20011">
      <w:pPr>
        <w:spacing w:line="460" w:lineRule="exact"/>
        <w:ind w:left="480" w:hanging="480" w:hangingChars="200"/>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en-GB"/>
        </w:rPr>
        <w:t>.1谈判小组从质量和服务均能满足采购文件实质性响应要求的供应商中，按照最后报价由低到高的顺序提出3名以上成交候选人，并编写评审报告。</w:t>
      </w:r>
    </w:p>
    <w:p w14:paraId="753D70D4">
      <w:pPr>
        <w:spacing w:line="440" w:lineRule="exact"/>
        <w:ind w:left="600" w:hanging="600" w:hangingChars="250"/>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GB"/>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en-GB"/>
        </w:rPr>
        <w:t>.2最终报价相同的，</w:t>
      </w:r>
      <w:r>
        <w:rPr>
          <w:rFonts w:hint="eastAsia" w:ascii="仿宋" w:hAnsi="仿宋" w:eastAsia="仿宋" w:cs="仿宋"/>
          <w:color w:val="auto"/>
          <w:sz w:val="24"/>
          <w:szCs w:val="24"/>
          <w:highlight w:val="none"/>
        </w:rPr>
        <w:t>按照服务要求响应的优劣排序，最后报价相同且服务要求响应的优劣相同的由谈判小组随机抽取确定排序</w:t>
      </w:r>
      <w:r>
        <w:rPr>
          <w:rFonts w:hint="eastAsia" w:ascii="仿宋" w:hAnsi="仿宋" w:eastAsia="仿宋" w:cs="仿宋"/>
          <w:b/>
          <w:bCs/>
          <w:color w:val="auto"/>
          <w:sz w:val="24"/>
          <w:szCs w:val="24"/>
          <w:highlight w:val="none"/>
        </w:rPr>
        <w:t>。</w:t>
      </w:r>
    </w:p>
    <w:p w14:paraId="216469D9">
      <w:pPr>
        <w:spacing w:line="44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28</w:t>
      </w:r>
      <w:r>
        <w:rPr>
          <w:rFonts w:hint="eastAsia" w:ascii="仿宋" w:hAnsi="仿宋" w:eastAsia="仿宋" w:cs="仿宋"/>
          <w:b/>
          <w:bCs/>
          <w:color w:val="auto"/>
          <w:sz w:val="24"/>
          <w:szCs w:val="24"/>
          <w:highlight w:val="none"/>
        </w:rPr>
        <w:t>.确定成交供应商</w:t>
      </w:r>
    </w:p>
    <w:p w14:paraId="13E6B688">
      <w:pPr>
        <w:spacing w:line="440" w:lineRule="exac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28</w:t>
      </w:r>
      <w:r>
        <w:rPr>
          <w:rFonts w:hint="eastAsia" w:ascii="仿宋" w:hAnsi="仿宋" w:eastAsia="仿宋" w:cs="仿宋"/>
          <w:bCs/>
          <w:color w:val="auto"/>
          <w:sz w:val="24"/>
          <w:szCs w:val="24"/>
          <w:highlight w:val="none"/>
        </w:rPr>
        <w:t>.1采购代理机构在谈判结束后将评审报告送采购人。</w:t>
      </w:r>
    </w:p>
    <w:p w14:paraId="55437E26">
      <w:pPr>
        <w:spacing w:line="440" w:lineRule="exact"/>
        <w:ind w:left="480" w:hanging="480" w:hanging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28</w:t>
      </w:r>
      <w:r>
        <w:rPr>
          <w:rFonts w:hint="eastAsia" w:ascii="仿宋" w:hAnsi="仿宋" w:eastAsia="仿宋" w:cs="仿宋"/>
          <w:bCs/>
          <w:color w:val="auto"/>
          <w:sz w:val="24"/>
          <w:szCs w:val="24"/>
          <w:highlight w:val="none"/>
        </w:rPr>
        <w:t>.2采购人收到评审报告后，按照评审报告推荐的成交候选人顺序确定成交供应商。</w:t>
      </w:r>
      <w:r>
        <w:rPr>
          <w:rFonts w:hint="eastAsia" w:ascii="仿宋" w:hAnsi="仿宋" w:eastAsia="仿宋" w:cs="仿宋"/>
          <w:color w:val="auto"/>
          <w:sz w:val="24"/>
          <w:szCs w:val="24"/>
          <w:highlight w:val="none"/>
        </w:rPr>
        <w:t>也可以事先授权谈判小组直接确定成交供应商。</w:t>
      </w:r>
    </w:p>
    <w:p w14:paraId="196BA828">
      <w:pPr>
        <w:spacing w:line="440" w:lineRule="exact"/>
        <w:rPr>
          <w:rFonts w:ascii="仿宋" w:hAnsi="仿宋" w:eastAsia="仿宋" w:cs="仿宋"/>
          <w:bCs/>
          <w:color w:val="auto"/>
          <w:sz w:val="24"/>
          <w:szCs w:val="24"/>
          <w:highlight w:val="none"/>
        </w:rPr>
      </w:pPr>
    </w:p>
    <w:bookmarkEnd w:id="57"/>
    <w:p w14:paraId="445D54E8">
      <w:pPr>
        <w:pStyle w:val="5"/>
        <w:spacing w:before="0" w:after="0" w:line="460" w:lineRule="exact"/>
        <w:ind w:firstLine="3238" w:firstLineChars="1152"/>
        <w:jc w:val="left"/>
        <w:rPr>
          <w:rFonts w:ascii="仿宋" w:hAnsi="仿宋" w:eastAsia="仿宋" w:cs="仿宋"/>
          <w:color w:val="auto"/>
          <w:sz w:val="28"/>
          <w:szCs w:val="28"/>
          <w:highlight w:val="none"/>
        </w:rPr>
      </w:pPr>
      <w:bookmarkStart w:id="60" w:name="_Toc376848254"/>
      <w:bookmarkStart w:id="61" w:name="_Toc4744"/>
      <w:bookmarkStart w:id="62" w:name="_Toc286758340"/>
      <w:r>
        <w:rPr>
          <w:rFonts w:hint="eastAsia" w:ascii="仿宋" w:hAnsi="仿宋" w:eastAsia="仿宋" w:cs="仿宋"/>
          <w:color w:val="auto"/>
          <w:sz w:val="28"/>
          <w:szCs w:val="28"/>
          <w:highlight w:val="none"/>
        </w:rPr>
        <w:t>八、成交结果公告</w:t>
      </w:r>
      <w:bookmarkEnd w:id="60"/>
      <w:r>
        <w:rPr>
          <w:rFonts w:hint="eastAsia" w:ascii="仿宋" w:hAnsi="仿宋" w:eastAsia="仿宋" w:cs="仿宋"/>
          <w:color w:val="auto"/>
          <w:sz w:val="28"/>
          <w:szCs w:val="28"/>
          <w:highlight w:val="none"/>
        </w:rPr>
        <w:t>、成交通知书</w:t>
      </w:r>
      <w:bookmarkEnd w:id="61"/>
    </w:p>
    <w:p w14:paraId="2AA9B4DB">
      <w:pPr>
        <w:spacing w:line="44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29</w:t>
      </w:r>
      <w:r>
        <w:rPr>
          <w:rFonts w:hint="eastAsia" w:ascii="仿宋" w:hAnsi="仿宋" w:eastAsia="仿宋" w:cs="仿宋"/>
          <w:b/>
          <w:bCs/>
          <w:color w:val="auto"/>
          <w:sz w:val="24"/>
          <w:szCs w:val="24"/>
          <w:highlight w:val="none"/>
        </w:rPr>
        <w:t xml:space="preserve">. </w:t>
      </w:r>
      <w:bookmarkEnd w:id="62"/>
      <w:r>
        <w:rPr>
          <w:rFonts w:hint="eastAsia" w:ascii="仿宋" w:hAnsi="仿宋" w:eastAsia="仿宋" w:cs="仿宋"/>
          <w:b/>
          <w:bCs/>
          <w:color w:val="auto"/>
          <w:sz w:val="24"/>
          <w:szCs w:val="24"/>
          <w:highlight w:val="none"/>
        </w:rPr>
        <w:t>成交结果公告</w:t>
      </w:r>
    </w:p>
    <w:p w14:paraId="47B31E6C">
      <w:pPr>
        <w:spacing w:line="440" w:lineRule="exact"/>
        <w:ind w:left="563" w:leftChars="228" w:hanging="84" w:hangingChars="3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成交供应商确定后，采购代理机构在</w:t>
      </w:r>
      <w:r>
        <w:rPr>
          <w:rFonts w:hint="eastAsia" w:ascii="仿宋" w:hAnsi="仿宋" w:eastAsia="仿宋" w:cs="仿宋"/>
          <w:b/>
          <w:bCs w:val="0"/>
          <w:color w:val="auto"/>
          <w:sz w:val="24"/>
          <w:szCs w:val="24"/>
          <w:highlight w:val="none"/>
          <w:lang w:eastAsia="zh-CN"/>
        </w:rPr>
        <w:t>原采购公告的媒介</w:t>
      </w:r>
      <w:r>
        <w:rPr>
          <w:rFonts w:hint="eastAsia" w:ascii="仿宋" w:hAnsi="仿宋" w:eastAsia="仿宋" w:cs="仿宋"/>
          <w:bCs/>
          <w:color w:val="auto"/>
          <w:sz w:val="24"/>
          <w:szCs w:val="24"/>
          <w:highlight w:val="none"/>
        </w:rPr>
        <w:t>上公告</w:t>
      </w:r>
      <w:r>
        <w:rPr>
          <w:rFonts w:hint="eastAsia" w:ascii="仿宋" w:hAnsi="仿宋" w:eastAsia="仿宋" w:cs="仿宋"/>
          <w:color w:val="auto"/>
          <w:sz w:val="24"/>
          <w:szCs w:val="24"/>
          <w:highlight w:val="none"/>
        </w:rPr>
        <w:t>成交结果，公告期限为1个工作日。</w:t>
      </w:r>
    </w:p>
    <w:p w14:paraId="508B71F6">
      <w:pPr>
        <w:spacing w:line="44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.成交通知书</w:t>
      </w:r>
    </w:p>
    <w:p w14:paraId="52587650">
      <w:pPr>
        <w:spacing w:line="440" w:lineRule="exact"/>
        <w:ind w:left="420" w:hanging="420" w:hanging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采购代理机构于评审结束后两个工作日内将评审报告送交采购人，采购人应当自收到评审报告三个工作日内在评审报告推荐的成交候选供应商中按顺序确定成交供应商，采购代理机构在成交供应商确定之日起两个工作日内发出成交通知书，并在指定媒体上公告成交信息。</w:t>
      </w:r>
    </w:p>
    <w:p w14:paraId="12861FD2">
      <w:pPr>
        <w:spacing w:line="440" w:lineRule="exact"/>
        <w:ind w:left="420" w:hanging="420" w:hanging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.2在发布成交公告的同时，采购代理机构向成交供应商发出成交通知书。成交供应商应自接到通知之日起七个工作日内，办理成交通知书领取手续。</w:t>
      </w:r>
    </w:p>
    <w:p w14:paraId="2E9726C5">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采购代理机构无义务向未成交的供应商解释未成交原因和退还响应文件。</w:t>
      </w:r>
    </w:p>
    <w:p w14:paraId="14995F8D">
      <w:pPr>
        <w:pStyle w:val="5"/>
        <w:spacing w:before="0" w:after="0" w:line="460" w:lineRule="exact"/>
        <w:ind w:firstLine="3238" w:firstLineChars="1152"/>
        <w:jc w:val="left"/>
        <w:rPr>
          <w:rFonts w:ascii="仿宋" w:hAnsi="仿宋" w:eastAsia="仿宋" w:cs="仿宋"/>
          <w:color w:val="auto"/>
          <w:sz w:val="28"/>
          <w:szCs w:val="28"/>
          <w:highlight w:val="none"/>
        </w:rPr>
      </w:pPr>
    </w:p>
    <w:p w14:paraId="759D0EA3">
      <w:pPr>
        <w:pStyle w:val="5"/>
        <w:spacing w:before="0" w:after="0" w:line="460" w:lineRule="exact"/>
        <w:ind w:firstLine="3238" w:firstLineChars="1152"/>
        <w:jc w:val="left"/>
        <w:rPr>
          <w:rFonts w:ascii="仿宋" w:hAnsi="仿宋" w:eastAsia="仿宋" w:cs="仿宋"/>
          <w:color w:val="auto"/>
          <w:sz w:val="28"/>
          <w:szCs w:val="28"/>
          <w:highlight w:val="none"/>
        </w:rPr>
      </w:pPr>
      <w:bookmarkStart w:id="63" w:name="_Toc3892"/>
      <w:r>
        <w:rPr>
          <w:rFonts w:hint="eastAsia" w:ascii="仿宋" w:hAnsi="仿宋" w:eastAsia="仿宋" w:cs="仿宋"/>
          <w:color w:val="auto"/>
          <w:sz w:val="28"/>
          <w:szCs w:val="28"/>
          <w:highlight w:val="none"/>
        </w:rPr>
        <w:t>九、履约保证金、签订合同</w:t>
      </w:r>
      <w:bookmarkEnd w:id="63"/>
    </w:p>
    <w:p w14:paraId="141C96C5">
      <w:pPr>
        <w:spacing w:line="440" w:lineRule="exact"/>
        <w:ind w:left="357" w:hanging="357"/>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 履约保证金</w:t>
      </w:r>
    </w:p>
    <w:p w14:paraId="7DC369A7">
      <w:pPr>
        <w:spacing w:line="420" w:lineRule="exact"/>
        <w:ind w:left="567" w:hanging="567"/>
        <w:rPr>
          <w:rFonts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本项目履约保证金</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z w:val="24"/>
          <w:szCs w:val="24"/>
          <w:highlight w:val="none"/>
        </w:rPr>
        <w:t>详见“供应商须知前附表”。</w:t>
      </w:r>
    </w:p>
    <w:p w14:paraId="7D1FBD2F">
      <w:pPr>
        <w:spacing w:line="42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 签订合同</w:t>
      </w:r>
    </w:p>
    <w:p w14:paraId="749883BB">
      <w:pPr>
        <w:spacing w:line="42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 成交通知书发出之日起二十日内。成交供应商领取成交通知书后，应按规定与采购人签订合同。</w:t>
      </w:r>
    </w:p>
    <w:p w14:paraId="56606647">
      <w:pPr>
        <w:spacing w:line="42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 谈判文件、成交供应商的响应文件及评审过程中有关澄清文件均为签订合同的依据。</w:t>
      </w:r>
    </w:p>
    <w:p w14:paraId="5BBC4623">
      <w:pPr>
        <w:spacing w:line="42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.3合同履行中，采购人需追加与合同标的相同的服务的，在不改变合同其他条款的前提下，可以与供应商协商签订补充合同，但所有补充合同的采购金额不得超过原合同采购金额的百分之十。</w:t>
      </w:r>
    </w:p>
    <w:p w14:paraId="234EF095">
      <w:pPr>
        <w:spacing w:line="460" w:lineRule="exact"/>
        <w:ind w:left="480" w:hanging="480" w:hanging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.4成交供应商拒绝签订采购合同的，采购人可以按相关规定的原则确定下一个候选人为成交供应商，也可以重新开展政府采购活动。拒绝签订采购合同的成交供应商不得参加该项目重新开展的采购活动</w:t>
      </w:r>
    </w:p>
    <w:p w14:paraId="24D71F5B">
      <w:pPr>
        <w:spacing w:line="460" w:lineRule="exact"/>
        <w:ind w:left="480" w:hanging="480" w:hangingChars="200"/>
        <w:rPr>
          <w:color w:val="auto"/>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合同备案存档：采购合同双方自签订之日起1个工作日内将合同原件1份交采购代理机构。</w:t>
      </w:r>
    </w:p>
    <w:p w14:paraId="0A151C4C">
      <w:pPr>
        <w:pStyle w:val="5"/>
        <w:spacing w:before="0" w:after="0" w:line="420" w:lineRule="exact"/>
        <w:ind w:firstLine="2392" w:firstLineChars="851"/>
        <w:jc w:val="left"/>
        <w:rPr>
          <w:rFonts w:ascii="仿宋" w:hAnsi="仿宋" w:eastAsia="仿宋" w:cs="仿宋"/>
          <w:color w:val="auto"/>
          <w:sz w:val="28"/>
          <w:szCs w:val="28"/>
          <w:highlight w:val="none"/>
        </w:rPr>
      </w:pPr>
    </w:p>
    <w:p w14:paraId="6DEE057C">
      <w:pPr>
        <w:pStyle w:val="5"/>
        <w:spacing w:before="0" w:after="0" w:line="420" w:lineRule="exact"/>
        <w:jc w:val="center"/>
        <w:rPr>
          <w:rFonts w:ascii="仿宋" w:hAnsi="仿宋" w:eastAsia="仿宋" w:cs="仿宋"/>
          <w:color w:val="auto"/>
          <w:sz w:val="28"/>
          <w:szCs w:val="28"/>
          <w:highlight w:val="none"/>
        </w:rPr>
      </w:pPr>
      <w:bookmarkStart w:id="64" w:name="_Toc13633"/>
      <w:r>
        <w:rPr>
          <w:rFonts w:hint="eastAsia" w:ascii="仿宋" w:hAnsi="仿宋" w:eastAsia="仿宋" w:cs="仿宋"/>
          <w:color w:val="auto"/>
          <w:sz w:val="28"/>
          <w:szCs w:val="28"/>
          <w:highlight w:val="none"/>
        </w:rPr>
        <w:t>十、询问和质疑</w:t>
      </w:r>
      <w:bookmarkEnd w:id="64"/>
    </w:p>
    <w:p w14:paraId="32FFA665">
      <w:pPr>
        <w:spacing w:line="460" w:lineRule="exact"/>
        <w:rPr>
          <w:rFonts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w:t>
      </w:r>
      <w:r>
        <w:rPr>
          <w:rFonts w:hint="eastAsia" w:ascii="仿宋" w:hAnsi="仿宋" w:eastAsia="仿宋" w:cs="仿宋"/>
          <w:b/>
          <w:bCs/>
          <w:color w:val="auto"/>
          <w:sz w:val="24"/>
          <w:szCs w:val="24"/>
          <w:highlight w:val="none"/>
        </w:rPr>
        <w:t>询问</w:t>
      </w:r>
    </w:p>
    <w:p w14:paraId="274EDADE">
      <w:pPr>
        <w:spacing w:line="460" w:lineRule="exact"/>
        <w:ind w:left="454" w:leftChars="216"/>
        <w:rPr>
          <w:rFonts w:ascii="仿宋" w:hAnsi="仿宋" w:eastAsia="仿宋" w:cs="仿宋"/>
          <w:color w:val="auto"/>
          <w:sz w:val="24"/>
          <w:szCs w:val="24"/>
          <w:highlight w:val="none"/>
          <w:bdr w:val="single" w:color="auto" w:sz="4" w:space="0"/>
        </w:rPr>
      </w:pPr>
      <w:r>
        <w:rPr>
          <w:rFonts w:hint="eastAsia" w:ascii="仿宋" w:hAnsi="仿宋" w:eastAsia="仿宋" w:cs="仿宋"/>
          <w:bCs/>
          <w:color w:val="auto"/>
          <w:sz w:val="24"/>
          <w:szCs w:val="24"/>
          <w:highlight w:val="none"/>
        </w:rPr>
        <w:t>供应商对</w:t>
      </w:r>
      <w:r>
        <w:rPr>
          <w:rFonts w:hint="eastAsia" w:ascii="仿宋" w:hAnsi="仿宋" w:eastAsia="仿宋" w:cs="仿宋"/>
          <w:bCs/>
          <w:color w:val="auto"/>
          <w:sz w:val="24"/>
          <w:szCs w:val="24"/>
          <w:highlight w:val="none"/>
          <w:lang w:val="en-US" w:eastAsia="zh-CN"/>
        </w:rPr>
        <w:t>本</w:t>
      </w:r>
      <w:r>
        <w:rPr>
          <w:rFonts w:hint="eastAsia" w:ascii="仿宋" w:hAnsi="仿宋" w:eastAsia="仿宋" w:cs="仿宋"/>
          <w:bCs/>
          <w:color w:val="auto"/>
          <w:sz w:val="24"/>
          <w:szCs w:val="24"/>
          <w:highlight w:val="none"/>
        </w:rPr>
        <w:t>采购活动事项有疑问的，可以向采购人或者采购代理机构提出询问，</w:t>
      </w:r>
      <w:r>
        <w:rPr>
          <w:rFonts w:hint="eastAsia" w:ascii="仿宋" w:hAnsi="仿宋" w:eastAsia="仿宋" w:cs="仿宋"/>
          <w:color w:val="auto"/>
          <w:sz w:val="24"/>
          <w:szCs w:val="24"/>
          <w:highlight w:val="none"/>
        </w:rPr>
        <w:t>采购代理机构应当在3个工作日内对供应商依法提出的询问作出答复。</w:t>
      </w:r>
    </w:p>
    <w:p w14:paraId="37AB9637">
      <w:pPr>
        <w:spacing w:line="44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.质疑</w:t>
      </w:r>
    </w:p>
    <w:p w14:paraId="24239961">
      <w:pPr>
        <w:spacing w:line="460" w:lineRule="exact"/>
        <w:ind w:left="638" w:leftChars="0" w:hanging="638" w:hangingChars="266"/>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1 供应商认为谈判文件、谈判过程、成交结果使自己的权益受到损害的，可以在知道或者应知其权益受到损害之日起7个工作日内，以书面形式向采购人、采购代理机构提出质疑。</w:t>
      </w:r>
    </w:p>
    <w:p w14:paraId="2929847C">
      <w:pPr>
        <w:spacing w:line="460" w:lineRule="exact"/>
        <w:ind w:left="479" w:leftChars="228"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1）对可以质疑的谈判文件提出质疑的，为收到谈判文件之日或者谈判文件公告期限届满之日起7个工作日内；</w:t>
      </w:r>
    </w:p>
    <w:p w14:paraId="7CC15453">
      <w:pPr>
        <w:spacing w:line="460" w:lineRule="exact"/>
        <w:ind w:left="479" w:leftChars="228"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2）对谈判过程提出质疑的，为各谈判程序环节结束之日起7个工作日内；</w:t>
      </w:r>
    </w:p>
    <w:p w14:paraId="2D44A7EF">
      <w:pPr>
        <w:spacing w:line="460" w:lineRule="exact"/>
        <w:ind w:left="479" w:leftChars="228"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3）对成交结果提出质疑的，为成交结果公告期限届满之日起7个工作日内。</w:t>
      </w:r>
    </w:p>
    <w:p w14:paraId="0B3A2A70">
      <w:pPr>
        <w:spacing w:line="460" w:lineRule="exac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.2 供应商应在法定质疑期内一次性提出针对同一采购程序环节的质疑。</w:t>
      </w:r>
    </w:p>
    <w:p w14:paraId="19B08D58">
      <w:pPr>
        <w:spacing w:line="460" w:lineRule="exac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.3 提出质疑的供应商应当是参与所质疑项目采购活动的供应商。</w:t>
      </w:r>
    </w:p>
    <w:p w14:paraId="4A03391D">
      <w:pPr>
        <w:spacing w:line="460" w:lineRule="exac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.4潜在供应商已依法获取其可质疑的谈判文件的，可以对该文件提出质疑。</w:t>
      </w:r>
    </w:p>
    <w:p w14:paraId="72FFC370">
      <w:pPr>
        <w:spacing w:line="460" w:lineRule="exact"/>
        <w:ind w:left="638" w:leftChars="0" w:hanging="638" w:hangingChars="26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.5供应商提出质疑应当提交质疑函和必要的证明材料。质疑函应当包括下列内容（格式参照中国政府采购网 http://www.ccgp.gov.cn/</w:t>
      </w:r>
      <w:r>
        <w:rPr>
          <w:rFonts w:hint="eastAsia" w:ascii="仿宋" w:hAnsi="仿宋" w:eastAsia="仿宋" w:cs="仿宋"/>
          <w:b/>
          <w:bCs w:val="0"/>
          <w:color w:val="auto"/>
          <w:sz w:val="24"/>
          <w:szCs w:val="24"/>
          <w:highlight w:val="none"/>
        </w:rPr>
        <w:t>下载专区</w:t>
      </w:r>
      <w:r>
        <w:rPr>
          <w:rFonts w:hint="eastAsia" w:ascii="仿宋" w:hAnsi="仿宋" w:eastAsia="仿宋" w:cs="仿宋"/>
          <w:bCs/>
          <w:color w:val="auto"/>
          <w:sz w:val="24"/>
          <w:szCs w:val="24"/>
          <w:highlight w:val="none"/>
        </w:rPr>
        <w:t>的《政府采购供应商质疑函范本》）。</w:t>
      </w:r>
    </w:p>
    <w:p w14:paraId="7D8973F8">
      <w:pPr>
        <w:spacing w:line="460" w:lineRule="exact"/>
        <w:ind w:left="479" w:leftChars="228"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（一）供应商的姓名或者名称、地址、邮编、联系人及联系电话；</w:t>
      </w:r>
    </w:p>
    <w:p w14:paraId="3B41188E">
      <w:pPr>
        <w:spacing w:line="460" w:lineRule="exact"/>
        <w:ind w:left="479" w:leftChars="228"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（二）质疑项目的名称、编号；</w:t>
      </w:r>
    </w:p>
    <w:p w14:paraId="11EA16CA">
      <w:pPr>
        <w:spacing w:line="460" w:lineRule="exact"/>
        <w:ind w:left="479" w:leftChars="228"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（三）具体、明确的质疑事项和与质疑事项相关的请求；</w:t>
      </w:r>
    </w:p>
    <w:p w14:paraId="5B5395A1">
      <w:pPr>
        <w:spacing w:line="460" w:lineRule="exact"/>
        <w:ind w:left="479" w:leftChars="228"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（四）事实依据；</w:t>
      </w:r>
    </w:p>
    <w:p w14:paraId="35C7421B">
      <w:pPr>
        <w:spacing w:line="460" w:lineRule="exact"/>
        <w:ind w:left="479" w:leftChars="228"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（五）必要的法律依据；</w:t>
      </w:r>
    </w:p>
    <w:p w14:paraId="14985CEA">
      <w:pPr>
        <w:spacing w:line="460" w:lineRule="exact"/>
        <w:ind w:left="479" w:leftChars="228"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（六）提出质疑的日期。</w:t>
      </w:r>
    </w:p>
    <w:p w14:paraId="60CD9946">
      <w:pPr>
        <w:spacing w:line="460" w:lineRule="exact"/>
        <w:ind w:left="0" w:leftChars="0"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供应商为自然人的，应当由本人签字；供应商为法人或者其他组织的，应当由法定代表人、主要负责人，或者其授权代表签字或者盖章，并加盖公章。</w:t>
      </w:r>
    </w:p>
    <w:p w14:paraId="6CC769EF">
      <w:pPr>
        <w:spacing w:line="460" w:lineRule="exact"/>
        <w:ind w:left="479" w:leftChars="228" w:firstLine="482" w:firstLineChars="200"/>
        <w:rPr>
          <w:rFonts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递交质疑函</w:t>
      </w:r>
      <w:r>
        <w:rPr>
          <w:rFonts w:hint="eastAsia" w:ascii="仿宋" w:hAnsi="仿宋" w:eastAsia="仿宋" w:cs="仿宋"/>
          <w:b/>
          <w:color w:val="auto"/>
          <w:sz w:val="24"/>
          <w:szCs w:val="24"/>
          <w:highlight w:val="none"/>
        </w:rPr>
        <w:t>须同时提供下载谈判文件的凭证。</w:t>
      </w:r>
    </w:p>
    <w:p w14:paraId="2FA06795">
      <w:pPr>
        <w:spacing w:line="460" w:lineRule="exac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.6质疑函接收方式</w:t>
      </w:r>
    </w:p>
    <w:p w14:paraId="5419837E">
      <w:pPr>
        <w:spacing w:line="460" w:lineRule="exact"/>
        <w:ind w:left="479" w:leftChars="228"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接收单位：</w:t>
      </w:r>
      <w:r>
        <w:rPr>
          <w:rFonts w:hint="eastAsia" w:ascii="仿宋" w:hAnsi="仿宋" w:eastAsia="仿宋" w:cs="仿宋"/>
          <w:bCs/>
          <w:color w:val="auto"/>
          <w:sz w:val="24"/>
          <w:szCs w:val="24"/>
          <w:highlight w:val="none"/>
          <w:lang w:eastAsia="zh-CN"/>
        </w:rPr>
        <w:t>江西省壹凡工程咨询有限公司</w:t>
      </w:r>
    </w:p>
    <w:p w14:paraId="742E8C15">
      <w:pPr>
        <w:spacing w:line="460" w:lineRule="exact"/>
        <w:ind w:left="479" w:leftChars="228"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联系人：</w:t>
      </w:r>
      <w:r>
        <w:rPr>
          <w:rFonts w:hint="eastAsia" w:ascii="仿宋" w:hAnsi="仿宋" w:eastAsia="仿宋" w:cs="仿宋"/>
          <w:bCs/>
          <w:color w:val="auto"/>
          <w:sz w:val="24"/>
          <w:szCs w:val="24"/>
          <w:highlight w:val="none"/>
          <w:lang w:val="en-US" w:eastAsia="zh-CN"/>
        </w:rPr>
        <w:t>赵</w:t>
      </w:r>
      <w:r>
        <w:rPr>
          <w:rFonts w:hint="eastAsia" w:ascii="仿宋" w:hAnsi="仿宋" w:eastAsia="仿宋" w:cs="仿宋"/>
          <w:bCs/>
          <w:color w:val="auto"/>
          <w:sz w:val="24"/>
          <w:szCs w:val="24"/>
          <w:highlight w:val="none"/>
          <w:lang w:eastAsia="zh-CN"/>
        </w:rPr>
        <w:t>女士</w:t>
      </w:r>
    </w:p>
    <w:p w14:paraId="626B6F70">
      <w:pPr>
        <w:spacing w:line="460" w:lineRule="exact"/>
        <w:ind w:left="479" w:leftChars="228"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lang w:val="en-US" w:eastAsia="zh-CN"/>
        </w:rPr>
        <w:t>0792-4221819</w:t>
      </w:r>
    </w:p>
    <w:p w14:paraId="796839B5">
      <w:pPr>
        <w:spacing w:line="460" w:lineRule="exact"/>
        <w:ind w:left="479" w:leftChars="228"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通讯地址：</w:t>
      </w:r>
      <w:r>
        <w:rPr>
          <w:rFonts w:hint="eastAsia" w:ascii="仿宋" w:hAnsi="仿宋" w:eastAsia="仿宋" w:cs="仿宋"/>
          <w:bCs/>
          <w:color w:val="auto"/>
          <w:sz w:val="24"/>
          <w:szCs w:val="24"/>
          <w:highlight w:val="none"/>
          <w:lang w:eastAsia="zh-CN"/>
        </w:rPr>
        <w:t>江西省瑞昌市杨林大道南侧林湖苑9栋2单元102室</w:t>
      </w:r>
    </w:p>
    <w:p w14:paraId="35E9F7AC">
      <w:pPr>
        <w:spacing w:line="460" w:lineRule="exact"/>
        <w:ind w:left="479" w:leftChars="228"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lang w:val="en-US" w:eastAsia="zh-CN"/>
        </w:rPr>
        <w:t>332200</w:t>
      </w:r>
    </w:p>
    <w:p w14:paraId="37F60364">
      <w:pPr>
        <w:pStyle w:val="5"/>
        <w:spacing w:before="0" w:after="0" w:line="420" w:lineRule="exact"/>
        <w:jc w:val="center"/>
        <w:rPr>
          <w:rFonts w:ascii="仿宋" w:hAnsi="仿宋" w:eastAsia="仿宋" w:cs="仿宋"/>
          <w:color w:val="auto"/>
          <w:sz w:val="28"/>
          <w:szCs w:val="28"/>
          <w:highlight w:val="none"/>
        </w:rPr>
      </w:pPr>
      <w:bookmarkStart w:id="65" w:name="_Toc30744"/>
      <w:bookmarkStart w:id="66" w:name="_Toc445715221"/>
      <w:bookmarkStart w:id="67" w:name="_Toc286758341"/>
      <w:bookmarkStart w:id="68" w:name="_Toc376848255"/>
      <w:r>
        <w:rPr>
          <w:rFonts w:hint="eastAsia" w:ascii="仿宋" w:hAnsi="仿宋" w:eastAsia="仿宋" w:cs="仿宋"/>
          <w:color w:val="auto"/>
          <w:sz w:val="28"/>
          <w:szCs w:val="28"/>
          <w:highlight w:val="none"/>
        </w:rPr>
        <w:t>十一、采购代理服务费</w:t>
      </w:r>
      <w:bookmarkEnd w:id="65"/>
      <w:bookmarkEnd w:id="66"/>
    </w:p>
    <w:p w14:paraId="06C2677C">
      <w:pPr>
        <w:spacing w:line="42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 采购代理服务费</w:t>
      </w:r>
    </w:p>
    <w:p w14:paraId="0B114B21">
      <w:pPr>
        <w:spacing w:line="42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.1成交供应商在领取成交通知书时须按“供应商须知前附表”规定的收费标准</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向采购代理机构缴纳采购代理服务费。</w:t>
      </w:r>
    </w:p>
    <w:p w14:paraId="0CF8CAD1">
      <w:pPr>
        <w:spacing w:line="460" w:lineRule="exact"/>
        <w:rPr>
          <w:rFonts w:ascii="仿宋" w:hAnsi="仿宋" w:eastAsia="仿宋" w:cs="仿宋"/>
          <w:color w:val="auto"/>
          <w:sz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 采购代理服务费采用银行转账、支票、汇票、本票等非现金形式交纳</w:t>
      </w:r>
      <w:r>
        <w:rPr>
          <w:rFonts w:hint="eastAsia" w:ascii="仿宋" w:hAnsi="仿宋" w:eastAsia="仿宋" w:cs="仿宋"/>
          <w:color w:val="auto"/>
          <w:kern w:val="0"/>
          <w:sz w:val="28"/>
          <w:szCs w:val="28"/>
          <w:highlight w:val="none"/>
        </w:rPr>
        <w:t>。</w:t>
      </w:r>
    </w:p>
    <w:bookmarkEnd w:id="67"/>
    <w:bookmarkEnd w:id="68"/>
    <w:p w14:paraId="634ECF09">
      <w:pPr>
        <w:pStyle w:val="5"/>
        <w:spacing w:before="0" w:after="0" w:line="460" w:lineRule="exact"/>
        <w:jc w:val="left"/>
        <w:rPr>
          <w:rFonts w:ascii="仿宋" w:hAnsi="仿宋" w:eastAsia="仿宋" w:cs="仿宋"/>
          <w:color w:val="auto"/>
          <w:sz w:val="24"/>
          <w:szCs w:val="24"/>
          <w:highlight w:val="none"/>
        </w:rPr>
      </w:pPr>
      <w:bookmarkStart w:id="69" w:name="_Toc376848257"/>
      <w:bookmarkStart w:id="70" w:name="_Toc245611283"/>
    </w:p>
    <w:p w14:paraId="3DFBCA16">
      <w:pPr>
        <w:pStyle w:val="5"/>
        <w:spacing w:before="0" w:after="0" w:line="460" w:lineRule="exact"/>
        <w:jc w:val="center"/>
        <w:rPr>
          <w:rFonts w:ascii="仿宋" w:hAnsi="仿宋" w:eastAsia="仿宋" w:cs="仿宋"/>
          <w:color w:val="auto"/>
          <w:sz w:val="28"/>
          <w:szCs w:val="28"/>
          <w:highlight w:val="none"/>
        </w:rPr>
      </w:pPr>
      <w:bookmarkStart w:id="71" w:name="_Toc13576"/>
      <w:r>
        <w:rPr>
          <w:rFonts w:hint="eastAsia" w:ascii="仿宋" w:hAnsi="仿宋" w:eastAsia="仿宋" w:cs="仿宋"/>
          <w:color w:val="auto"/>
          <w:sz w:val="28"/>
          <w:szCs w:val="28"/>
          <w:highlight w:val="none"/>
        </w:rPr>
        <w:t>十二、附则</w:t>
      </w:r>
      <w:bookmarkEnd w:id="69"/>
      <w:bookmarkEnd w:id="71"/>
    </w:p>
    <w:p w14:paraId="4A6D74B3">
      <w:pPr>
        <w:spacing w:line="4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 解释权</w:t>
      </w:r>
      <w:bookmarkEnd w:id="70"/>
    </w:p>
    <w:p w14:paraId="141ED97B">
      <w:pPr>
        <w:spacing w:line="440" w:lineRule="exact"/>
        <w:ind w:left="420" w:leftChars="200" w:firstLine="3"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本谈判文件是根据国家有关法律、法规以及</w:t>
      </w:r>
      <w:r>
        <w:rPr>
          <w:rFonts w:hint="eastAsia" w:ascii="仿宋" w:hAnsi="仿宋" w:eastAsia="仿宋" w:cs="仿宋"/>
          <w:color w:val="auto"/>
          <w:kern w:val="0"/>
          <w:sz w:val="24"/>
          <w:szCs w:val="24"/>
          <w:highlight w:val="none"/>
          <w:lang w:val="en-US" w:eastAsia="zh-CN" w:bidi="ar"/>
        </w:rPr>
        <w:t>瑞昌市国有投资控股集团有限公司</w:t>
      </w:r>
      <w:r>
        <w:rPr>
          <w:rFonts w:hint="eastAsia" w:ascii="仿宋" w:hAnsi="仿宋" w:eastAsia="仿宋" w:cs="仿宋"/>
          <w:color w:val="auto"/>
          <w:sz w:val="24"/>
          <w:szCs w:val="24"/>
          <w:highlight w:val="none"/>
        </w:rPr>
        <w:t>有关规定编制，</w:t>
      </w:r>
      <w:r>
        <w:rPr>
          <w:rFonts w:hint="eastAsia" w:ascii="仿宋" w:hAnsi="仿宋" w:eastAsia="仿宋" w:cs="仿宋"/>
          <w:color w:val="auto"/>
          <w:sz w:val="24"/>
          <w:szCs w:val="24"/>
          <w:highlight w:val="none"/>
          <w:lang w:eastAsia="zh-CN"/>
        </w:rPr>
        <w:t>瑞昌市盛盈贸易有限公司</w:t>
      </w:r>
      <w:r>
        <w:rPr>
          <w:rFonts w:hint="eastAsia" w:ascii="仿宋" w:hAnsi="仿宋" w:eastAsia="仿宋" w:cs="仿宋"/>
          <w:color w:val="auto"/>
          <w:sz w:val="24"/>
          <w:szCs w:val="24"/>
          <w:highlight w:val="none"/>
        </w:rPr>
        <w:t>享有最终解释权。</w:t>
      </w:r>
    </w:p>
    <w:p w14:paraId="756A009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50665BE8">
      <w:pPr>
        <w:pStyle w:val="4"/>
        <w:jc w:val="center"/>
        <w:rPr>
          <w:rFonts w:ascii="仿宋" w:hAnsi="仿宋" w:eastAsia="仿宋" w:cs="仿宋"/>
          <w:b/>
          <w:bCs/>
          <w:color w:val="auto"/>
          <w:sz w:val="32"/>
          <w:highlight w:val="none"/>
        </w:rPr>
      </w:pPr>
      <w:bookmarkStart w:id="72" w:name="_Toc16523"/>
      <w:r>
        <w:rPr>
          <w:rFonts w:hint="eastAsia" w:ascii="仿宋" w:hAnsi="仿宋" w:eastAsia="仿宋" w:cs="仿宋"/>
          <w:b/>
          <w:bCs/>
          <w:color w:val="auto"/>
          <w:sz w:val="32"/>
          <w:highlight w:val="none"/>
        </w:rPr>
        <w:t>第</w:t>
      </w:r>
      <w:r>
        <w:rPr>
          <w:rFonts w:hint="eastAsia" w:ascii="仿宋" w:hAnsi="仿宋" w:eastAsia="仿宋" w:cs="仿宋"/>
          <w:b/>
          <w:bCs/>
          <w:color w:val="auto"/>
          <w:sz w:val="32"/>
          <w:highlight w:val="none"/>
          <w:lang w:val="en-US" w:eastAsia="zh-CN"/>
        </w:rPr>
        <w:t>三</w:t>
      </w:r>
      <w:r>
        <w:rPr>
          <w:rFonts w:hint="eastAsia" w:ascii="仿宋" w:hAnsi="仿宋" w:eastAsia="仿宋" w:cs="仿宋"/>
          <w:b/>
          <w:bCs/>
          <w:color w:val="auto"/>
          <w:sz w:val="32"/>
          <w:highlight w:val="none"/>
        </w:rPr>
        <w:t>章</w:t>
      </w:r>
      <w:r>
        <w:rPr>
          <w:rFonts w:hint="eastAsia" w:ascii="仿宋" w:hAnsi="仿宋" w:eastAsia="仿宋" w:cs="仿宋"/>
          <w:b/>
          <w:bCs/>
          <w:color w:val="auto"/>
          <w:sz w:val="32"/>
          <w:highlight w:val="none"/>
          <w:lang w:val="en-US" w:eastAsia="zh-CN"/>
        </w:rPr>
        <w:t xml:space="preserve">  </w:t>
      </w:r>
      <w:r>
        <w:rPr>
          <w:rFonts w:hint="eastAsia" w:ascii="仿宋" w:hAnsi="仿宋" w:eastAsia="仿宋" w:cs="仿宋"/>
          <w:b/>
          <w:bCs/>
          <w:color w:val="auto"/>
          <w:sz w:val="32"/>
          <w:highlight w:val="none"/>
        </w:rPr>
        <w:t>采购需求</w:t>
      </w:r>
      <w:bookmarkEnd w:id="72"/>
    </w:p>
    <w:p w14:paraId="79D3C5D7">
      <w:pPr>
        <w:pStyle w:val="5"/>
        <w:spacing w:before="0" w:after="0" w:line="460" w:lineRule="exact"/>
        <w:jc w:val="both"/>
        <w:rPr>
          <w:rFonts w:hint="eastAsia" w:ascii="仿宋" w:hAnsi="仿宋" w:eastAsia="仿宋" w:cs="仿宋"/>
          <w:color w:val="auto"/>
          <w:sz w:val="28"/>
          <w:szCs w:val="28"/>
          <w:highlight w:val="none"/>
          <w:lang w:eastAsia="zh-CN"/>
        </w:rPr>
      </w:pPr>
      <w:bookmarkStart w:id="73" w:name="_Toc7935"/>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rPr>
        <w:t>、</w:t>
      </w:r>
      <w:bookmarkEnd w:id="73"/>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lang w:eastAsia="zh-CN"/>
        </w:rPr>
        <w:t>要求</w:t>
      </w:r>
      <w:bookmarkStart w:id="74" w:name="_Toc26845"/>
    </w:p>
    <w:p w14:paraId="345B4687">
      <w:pPr>
        <w:adjustRightInd w:val="0"/>
        <w:spacing w:line="460" w:lineRule="exact"/>
        <w:ind w:left="0" w:leftChars="0" w:firstLine="420" w:firstLineChars="175"/>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1、服务内容：从瑞昌市城投绿色建材有限公司将机制砂转运至瑞昌市华中力建混凝土有限公司。</w:t>
      </w:r>
    </w:p>
    <w:p w14:paraId="096C8213">
      <w:pPr>
        <w:adjustRightInd w:val="0"/>
        <w:spacing w:line="460" w:lineRule="exact"/>
        <w:ind w:left="0" w:leftChars="0" w:firstLine="420" w:firstLineChars="17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2、运输距离：瑞昌市城投绿色建材有限公司至瑞昌市华中力建混凝土有限公司（约2公里，以实际运输距离为准），成交供应商须按实际运输要求，按时按量完成运输任务，车辆配备应符合实际运输需要。</w:t>
      </w:r>
    </w:p>
    <w:p w14:paraId="4F70A9E3">
      <w:pPr>
        <w:adjustRightInd w:val="0"/>
        <w:spacing w:line="460" w:lineRule="exact"/>
        <w:ind w:left="0" w:leftChars="0" w:firstLine="420" w:firstLineChars="175"/>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3、服务过程中的所有安全事故、人员安全及车损耗等相关事宜由成交供应商自行承担。</w:t>
      </w:r>
    </w:p>
    <w:p w14:paraId="6E4E3B69">
      <w:pPr>
        <w:bidi w:val="0"/>
        <w:rPr>
          <w:rFonts w:hint="eastAsia"/>
          <w:color w:val="auto"/>
          <w:highlight w:val="none"/>
          <w:lang w:val="en-US" w:eastAsia="zh-CN"/>
        </w:rPr>
      </w:pPr>
    </w:p>
    <w:p w14:paraId="65F304F6">
      <w:pPr>
        <w:pStyle w:val="8"/>
        <w:ind w:left="0" w:leftChars="0" w:firstLine="422" w:firstLineChars="175"/>
        <w:jc w:val="left"/>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注：（1）以上服务要求必须全部满足，否则作无效投标处理。</w:t>
      </w:r>
    </w:p>
    <w:p w14:paraId="5C0B53D3">
      <w:pPr>
        <w:tabs>
          <w:tab w:val="left" w:pos="887"/>
        </w:tabs>
        <w:adjustRightInd w:val="0"/>
        <w:spacing w:line="460" w:lineRule="exact"/>
        <w:ind w:firstLine="723" w:firstLineChars="3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投标报价含9%税率增值税专用发票。</w:t>
      </w:r>
    </w:p>
    <w:p w14:paraId="3B7BC39B">
      <w:pPr>
        <w:pStyle w:val="5"/>
        <w:spacing w:before="0" w:after="0" w:line="460" w:lineRule="exact"/>
        <w:jc w:val="both"/>
        <w:rPr>
          <w:rFonts w:hint="eastAsia" w:ascii="仿宋" w:hAnsi="仿宋" w:eastAsia="仿宋" w:cs="仿宋"/>
          <w:color w:val="auto"/>
          <w:sz w:val="28"/>
          <w:szCs w:val="28"/>
          <w:highlight w:val="none"/>
        </w:rPr>
      </w:pPr>
    </w:p>
    <w:p w14:paraId="11F4DFFB">
      <w:pPr>
        <w:pStyle w:val="5"/>
        <w:spacing w:before="0" w:after="0" w:line="460" w:lineRule="exact"/>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w:t>
      </w:r>
      <w:r>
        <w:rPr>
          <w:rFonts w:hint="eastAsia" w:ascii="仿宋" w:hAnsi="仿宋" w:eastAsia="仿宋" w:cs="仿宋"/>
          <w:color w:val="auto"/>
          <w:sz w:val="28"/>
          <w:szCs w:val="28"/>
          <w:highlight w:val="none"/>
          <w:lang w:eastAsia="zh-CN"/>
        </w:rPr>
        <w:t>商务</w:t>
      </w:r>
      <w:r>
        <w:rPr>
          <w:rFonts w:hint="eastAsia" w:ascii="仿宋" w:hAnsi="仿宋" w:eastAsia="仿宋" w:cs="仿宋"/>
          <w:color w:val="auto"/>
          <w:sz w:val="28"/>
          <w:szCs w:val="28"/>
          <w:highlight w:val="none"/>
        </w:rPr>
        <w:t>要求</w:t>
      </w:r>
      <w:bookmarkEnd w:id="74"/>
    </w:p>
    <w:p w14:paraId="2EA249D0">
      <w:pPr>
        <w:pStyle w:val="50"/>
        <w:keepNext w:val="0"/>
        <w:keepLines w:val="0"/>
        <w:pageBreakBefore w:val="0"/>
        <w:widowControl w:val="0"/>
        <w:tabs>
          <w:tab w:val="left" w:pos="660"/>
        </w:tabs>
        <w:wordWrap/>
        <w:overflowPunct/>
        <w:topLinePunct w:val="0"/>
        <w:autoSpaceDE w:val="0"/>
        <w:autoSpaceDN w:val="0"/>
        <w:bidi w:val="0"/>
        <w:adjustRightInd w:val="0"/>
        <w:snapToGrid w:val="0"/>
        <w:spacing w:line="360" w:lineRule="auto"/>
        <w:ind w:firstLine="480" w:firstLineChars="200"/>
        <w:jc w:val="both"/>
        <w:outlineLvl w:val="1"/>
        <w:rPr>
          <w:rFonts w:hint="eastAsia" w:ascii="仿宋" w:hAnsi="仿宋" w:eastAsia="仿宋" w:cs="仿宋"/>
          <w:color w:val="auto"/>
          <w:sz w:val="24"/>
          <w:szCs w:val="24"/>
          <w:highlight w:val="none"/>
          <w:lang w:val="en-US" w:eastAsia="zh-CN"/>
        </w:rPr>
      </w:pPr>
    </w:p>
    <w:p w14:paraId="2A849C9A">
      <w:pPr>
        <w:pStyle w:val="50"/>
        <w:keepNext w:val="0"/>
        <w:keepLines w:val="0"/>
        <w:pageBreakBefore w:val="0"/>
        <w:widowControl w:val="0"/>
        <w:tabs>
          <w:tab w:val="left" w:pos="660"/>
        </w:tabs>
        <w:wordWrap/>
        <w:overflowPunct/>
        <w:topLinePunct w:val="0"/>
        <w:autoSpaceDE w:val="0"/>
        <w:autoSpaceDN w:val="0"/>
        <w:bidi w:val="0"/>
        <w:adjustRightInd w:val="0"/>
        <w:snapToGrid w:val="0"/>
        <w:spacing w:line="360" w:lineRule="auto"/>
        <w:ind w:firstLine="480" w:firstLineChars="200"/>
        <w:jc w:val="both"/>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1、服务期：2年。服务期第一年期满后，采购人对成交供应商进行考核，如考核不合格，将终止合同，采购人对成交供应商不作任何补偿。</w:t>
      </w:r>
    </w:p>
    <w:p w14:paraId="52D229FC">
      <w:pPr>
        <w:pStyle w:val="50"/>
        <w:keepNext w:val="0"/>
        <w:keepLines w:val="0"/>
        <w:pageBreakBefore w:val="0"/>
        <w:widowControl w:val="0"/>
        <w:tabs>
          <w:tab w:val="left" w:pos="660"/>
        </w:tabs>
        <w:wordWrap/>
        <w:overflowPunct/>
        <w:topLinePunct w:val="0"/>
        <w:autoSpaceDE w:val="0"/>
        <w:autoSpaceDN w:val="0"/>
        <w:bidi w:val="0"/>
        <w:adjustRightInd w:val="0"/>
        <w:snapToGrid w:val="0"/>
        <w:spacing w:line="360" w:lineRule="auto"/>
        <w:ind w:firstLine="480" w:firstLineChars="200"/>
        <w:jc w:val="both"/>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2、付款方式：</w:t>
      </w:r>
    </w:p>
    <w:p w14:paraId="0DEE7392">
      <w:pPr>
        <w:pStyle w:val="17"/>
        <w:numPr>
          <w:ilvl w:val="0"/>
          <w:numId w:val="0"/>
        </w:numPr>
        <w:spacing w:line="360" w:lineRule="auto"/>
        <w:ind w:firstLine="480" w:firstLineChars="20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1）每月25日前，</w:t>
      </w:r>
      <w:r>
        <w:rPr>
          <w:rFonts w:hint="eastAsia" w:ascii="仿宋" w:hAnsi="仿宋" w:eastAsia="仿宋" w:cs="仿宋"/>
          <w:color w:val="auto"/>
          <w:sz w:val="24"/>
          <w:szCs w:val="24"/>
          <w:highlight w:val="none"/>
          <w:lang w:val="en-US" w:eastAsia="zh-CN"/>
        </w:rPr>
        <w:t>成交</w:t>
      </w:r>
      <w:r>
        <w:rPr>
          <w:rFonts w:hint="eastAsia" w:ascii="仿宋" w:hAnsi="仿宋" w:eastAsia="仿宋" w:cs="仿宋"/>
          <w:i w:val="0"/>
          <w:iCs w:val="0"/>
          <w:color w:val="auto"/>
          <w:sz w:val="24"/>
          <w:szCs w:val="24"/>
          <w:highlight w:val="none"/>
          <w:lang w:val="en-US" w:eastAsia="zh-CN"/>
        </w:rPr>
        <w:t xml:space="preserve">供应商提供9%增值税专用发票后结清上月运输款，即实际产生量*单价； </w:t>
      </w:r>
    </w:p>
    <w:p w14:paraId="23208DC3">
      <w:pPr>
        <w:pStyle w:val="17"/>
        <w:numPr>
          <w:ilvl w:val="0"/>
          <w:numId w:val="0"/>
        </w:numPr>
        <w:spacing w:line="360" w:lineRule="auto"/>
        <w:ind w:firstLine="480" w:firstLineChars="20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2）实际产生量以到采购人确认数量为结算依据；</w:t>
      </w:r>
      <w:r>
        <w:rPr>
          <w:rFonts w:hint="eastAsia" w:ascii="仿宋" w:hAnsi="仿宋" w:eastAsia="仿宋" w:cs="仿宋"/>
          <w:color w:val="auto"/>
          <w:sz w:val="24"/>
          <w:szCs w:val="24"/>
          <w:highlight w:val="none"/>
          <w:lang w:val="en-US" w:eastAsia="zh-CN"/>
        </w:rPr>
        <w:t>成交</w:t>
      </w:r>
    </w:p>
    <w:p w14:paraId="6B9BDA88">
      <w:pPr>
        <w:pStyle w:val="17"/>
        <w:numPr>
          <w:ilvl w:val="0"/>
          <w:numId w:val="0"/>
        </w:numPr>
        <w:spacing w:line="360" w:lineRule="auto"/>
        <w:ind w:firstLine="480" w:firstLineChars="20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3）采购人以银行转账或承兑汇票方式进行拨付。</w:t>
      </w:r>
    </w:p>
    <w:p w14:paraId="28F9EFC5">
      <w:pPr>
        <w:adjustRightInd w:val="0"/>
        <w:spacing w:line="460" w:lineRule="exact"/>
        <w:ind w:left="0" w:leftChars="0" w:firstLine="420" w:firstLineChars="17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3、服务地点：瑞昌市境内。</w:t>
      </w:r>
    </w:p>
    <w:p w14:paraId="3B4D1582">
      <w:pPr>
        <w:adjustRightInd w:val="0"/>
        <w:spacing w:line="460" w:lineRule="exact"/>
        <w:ind w:left="0" w:leftChars="0" w:firstLine="420" w:firstLineChars="17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4、本项目实施过程中一切涉及安全相关责任由成交供应商自行承担。</w:t>
      </w:r>
    </w:p>
    <w:p w14:paraId="69717C9C">
      <w:pPr>
        <w:pStyle w:val="4"/>
        <w:jc w:val="both"/>
        <w:rPr>
          <w:rFonts w:hint="eastAsia" w:ascii="仿宋" w:hAnsi="仿宋" w:eastAsia="仿宋" w:cs="仿宋"/>
          <w:color w:val="auto"/>
          <w:kern w:val="2"/>
          <w:sz w:val="24"/>
          <w:szCs w:val="24"/>
          <w:highlight w:val="none"/>
          <w:lang w:val="en-US" w:eastAsia="zh-CN" w:bidi="ar-SA"/>
        </w:rPr>
      </w:pPr>
    </w:p>
    <w:p w14:paraId="64A13C67">
      <w:pPr>
        <w:bidi w:val="0"/>
        <w:jc w:val="center"/>
        <w:rPr>
          <w:rFonts w:ascii="仿宋" w:hAnsi="仿宋" w:eastAsia="仿宋" w:cs="仿宋"/>
          <w:b/>
          <w:color w:val="auto"/>
          <w:sz w:val="32"/>
          <w:szCs w:val="32"/>
          <w:highlight w:val="none"/>
        </w:rPr>
      </w:pPr>
      <w:r>
        <w:rPr>
          <w:rFonts w:hint="eastAsia" w:ascii="仿宋" w:hAnsi="仿宋" w:eastAsia="仿宋" w:cs="仿宋"/>
          <w:b/>
          <w:bCs/>
          <w:color w:val="auto"/>
          <w:kern w:val="2"/>
          <w:sz w:val="24"/>
          <w:szCs w:val="24"/>
          <w:highlight w:val="none"/>
          <w:lang w:val="en-US" w:eastAsia="zh-CN" w:bidi="ar-SA"/>
        </w:rPr>
        <w:t>注：以上商务要求必须全部满足，否则作无效投标处理。</w:t>
      </w:r>
      <w:r>
        <w:rPr>
          <w:rFonts w:hint="eastAsia" w:ascii="仿宋" w:hAnsi="仿宋" w:eastAsia="仿宋" w:cs="仿宋"/>
          <w:color w:val="auto"/>
          <w:kern w:val="2"/>
          <w:sz w:val="24"/>
          <w:szCs w:val="24"/>
          <w:highlight w:val="none"/>
          <w:lang w:val="en-US" w:eastAsia="zh-CN" w:bidi="ar-SA"/>
        </w:rPr>
        <w:br w:type="page"/>
      </w:r>
      <w:bookmarkStart w:id="75" w:name="_Toc5893"/>
      <w:r>
        <w:rPr>
          <w:rFonts w:hint="eastAsia" w:ascii="仿宋" w:hAnsi="仿宋" w:eastAsia="仿宋" w:cs="仿宋"/>
          <w:b/>
          <w:bCs/>
          <w:color w:val="auto"/>
          <w:sz w:val="32"/>
          <w:highlight w:val="none"/>
        </w:rPr>
        <w:t>第</w:t>
      </w:r>
      <w:r>
        <w:rPr>
          <w:rFonts w:hint="eastAsia" w:ascii="仿宋" w:hAnsi="仿宋" w:eastAsia="仿宋" w:cs="仿宋"/>
          <w:b/>
          <w:bCs/>
          <w:color w:val="auto"/>
          <w:sz w:val="32"/>
          <w:highlight w:val="none"/>
          <w:lang w:val="en-US" w:eastAsia="zh-CN"/>
        </w:rPr>
        <w:t>四</w:t>
      </w:r>
      <w:r>
        <w:rPr>
          <w:rFonts w:hint="eastAsia" w:ascii="仿宋" w:hAnsi="仿宋" w:eastAsia="仿宋" w:cs="仿宋"/>
          <w:b/>
          <w:bCs/>
          <w:color w:val="auto"/>
          <w:sz w:val="32"/>
          <w:highlight w:val="none"/>
        </w:rPr>
        <w:t>章　</w:t>
      </w:r>
      <w:bookmarkStart w:id="76" w:name="_Toc387418052"/>
      <w:bookmarkStart w:id="77" w:name="_Toc225565935"/>
      <w:r>
        <w:rPr>
          <w:rFonts w:hint="eastAsia" w:ascii="仿宋" w:hAnsi="仿宋" w:eastAsia="仿宋" w:cs="仿宋"/>
          <w:b/>
          <w:color w:val="auto"/>
          <w:sz w:val="32"/>
          <w:szCs w:val="32"/>
          <w:highlight w:val="none"/>
        </w:rPr>
        <w:t>拟签订的合同文本</w:t>
      </w:r>
      <w:bookmarkEnd w:id="75"/>
    </w:p>
    <w:p w14:paraId="4F248D56">
      <w:pPr>
        <w:spacing w:line="5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甲方（采购单位）：________</w:t>
      </w:r>
    </w:p>
    <w:p w14:paraId="511F4FEC">
      <w:pPr>
        <w:spacing w:line="5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乙方（服务单位）：________</w:t>
      </w:r>
    </w:p>
    <w:p w14:paraId="6ACCA160">
      <w:pPr>
        <w:spacing w:line="5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签订时间：________年____月____日</w:t>
      </w:r>
    </w:p>
    <w:p w14:paraId="2F607AD6">
      <w:pPr>
        <w:spacing w:line="5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签订地点：</w:t>
      </w:r>
    </w:p>
    <w:p w14:paraId="332A4BB3">
      <w:pPr>
        <w:pStyle w:val="17"/>
        <w:rPr>
          <w:rFonts w:hint="eastAsia"/>
          <w:color w:val="auto"/>
          <w:highlight w:val="none"/>
          <w:lang w:eastAsia="zh-CN"/>
        </w:rPr>
      </w:pPr>
    </w:p>
    <w:p w14:paraId="19EC2831">
      <w:pPr>
        <w:spacing w:line="380" w:lineRule="exact"/>
        <w:ind w:left="0" w:leftChars="0" w:firstLine="420" w:firstLineChars="175"/>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根据《中华人民共和国</w:t>
      </w:r>
      <w:r>
        <w:rPr>
          <w:rFonts w:hint="eastAsia" w:ascii="仿宋" w:hAnsi="仿宋" w:eastAsia="仿宋" w:cs="仿宋"/>
          <w:color w:val="auto"/>
          <w:kern w:val="0"/>
          <w:sz w:val="24"/>
          <w:szCs w:val="24"/>
          <w:highlight w:val="none"/>
          <w:lang w:eastAsia="zh-CN"/>
        </w:rPr>
        <w:t>民法典</w:t>
      </w:r>
      <w:r>
        <w:rPr>
          <w:rFonts w:hint="eastAsia" w:ascii="仿宋" w:hAnsi="仿宋" w:eastAsia="仿宋" w:cs="仿宋"/>
          <w:color w:val="auto"/>
          <w:kern w:val="0"/>
          <w:sz w:val="24"/>
          <w:szCs w:val="24"/>
          <w:highlight w:val="none"/>
        </w:rPr>
        <w:t>》及________年____月____日（采购代理机构名称）关于________项目的谈判结果和谈判文件（项目编号：________）的要求，经双方协商一致，签订本合同。详细价格、服务和技术说明、及其他有关合同标的的特定信息由合同附件予以说明，所有附件及本项目的谈判及响应文件、会议纪要、协议等均为本合同不可分割之一部分。</w:t>
      </w:r>
    </w:p>
    <w:p w14:paraId="274D4B0B">
      <w:pPr>
        <w:spacing w:line="380" w:lineRule="exact"/>
        <w:ind w:left="0" w:leftChars="0" w:firstLine="420" w:firstLineChars="175"/>
        <w:rPr>
          <w:rFonts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rPr>
        <w:t>　</w:t>
      </w:r>
      <w:bookmarkStart w:id="78" w:name="_Toc286758345"/>
      <w:r>
        <w:rPr>
          <w:rFonts w:hint="eastAsia" w:ascii="仿宋" w:hAnsi="仿宋" w:eastAsia="仿宋" w:cs="仿宋"/>
          <w:b/>
          <w:bCs/>
          <w:color w:val="auto"/>
          <w:sz w:val="24"/>
          <w:szCs w:val="24"/>
          <w:highlight w:val="none"/>
        </w:rPr>
        <w:t>1. 定义</w:t>
      </w:r>
      <w:bookmarkEnd w:id="78"/>
    </w:p>
    <w:p w14:paraId="5DC69110">
      <w:pPr>
        <w:spacing w:line="380" w:lineRule="exact"/>
        <w:ind w:left="1168" w:hanging="68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本合同下列术语应解释为：</w:t>
      </w:r>
    </w:p>
    <w:p w14:paraId="423AA596">
      <w:pPr>
        <w:spacing w:line="380" w:lineRule="exact"/>
        <w:ind w:left="1167" w:leftChars="286" w:hanging="566" w:hangingChars="23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1）“合同”是指买卖双方签署的、合同格式中载明的买卖双方所达成的协议，包括所有的附件、附录和构成合同的其它文件。</w:t>
      </w:r>
    </w:p>
    <w:p w14:paraId="413484B1">
      <w:pPr>
        <w:spacing w:line="380" w:lineRule="exact"/>
        <w:ind w:left="1200" w:hanging="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2）“合同价”是指根据本合同规定供方在正确地完全履行合同义务后买方应支付给供方的价款。</w:t>
      </w:r>
    </w:p>
    <w:p w14:paraId="4F4159E4">
      <w:pPr>
        <w:spacing w:line="380" w:lineRule="exact"/>
        <w:ind w:left="1202" w:hanging="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3）“买方”是指购买相关服务的采购人。</w:t>
      </w:r>
    </w:p>
    <w:p w14:paraId="2BD4FC4C">
      <w:pPr>
        <w:spacing w:line="380" w:lineRule="exact"/>
        <w:ind w:left="1202" w:hanging="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4）“供方”是指根据合同规定提供相关服务的成交供应商。</w:t>
      </w:r>
    </w:p>
    <w:p w14:paraId="639F11F1">
      <w:pPr>
        <w:spacing w:line="380" w:lineRule="exact"/>
        <w:ind w:left="1202" w:hanging="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5）“现场”系指合同项下服务提供地点。</w:t>
      </w:r>
    </w:p>
    <w:p w14:paraId="41FFE105">
      <w:pPr>
        <w:spacing w:line="380" w:lineRule="exact"/>
        <w:ind w:left="958" w:leftChars="285" w:hanging="360" w:hanging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6）“验收”系指合同双方依据规定的程序和条件确认合同项下的服务符合规范要求的活动。</w:t>
      </w:r>
    </w:p>
    <w:p w14:paraId="3E22B539">
      <w:pPr>
        <w:spacing w:line="380" w:lineRule="exact"/>
        <w:rPr>
          <w:rFonts w:ascii="仿宋" w:hAnsi="仿宋" w:eastAsia="仿宋" w:cs="仿宋"/>
          <w:b/>
          <w:bCs/>
          <w:color w:val="auto"/>
          <w:sz w:val="24"/>
          <w:szCs w:val="24"/>
          <w:highlight w:val="none"/>
        </w:rPr>
      </w:pPr>
      <w:bookmarkStart w:id="79" w:name="_Toc286758346"/>
      <w:r>
        <w:rPr>
          <w:rFonts w:hint="eastAsia" w:ascii="仿宋" w:hAnsi="仿宋" w:eastAsia="仿宋" w:cs="仿宋"/>
          <w:b/>
          <w:bCs/>
          <w:color w:val="auto"/>
          <w:sz w:val="24"/>
          <w:szCs w:val="24"/>
          <w:highlight w:val="none"/>
        </w:rPr>
        <w:t>2.规范</w:t>
      </w:r>
      <w:bookmarkEnd w:id="79"/>
      <w:r>
        <w:rPr>
          <w:rFonts w:hint="eastAsia" w:ascii="仿宋" w:hAnsi="仿宋" w:eastAsia="仿宋" w:cs="仿宋"/>
          <w:b/>
          <w:bCs/>
          <w:color w:val="auto"/>
          <w:sz w:val="24"/>
          <w:szCs w:val="24"/>
          <w:highlight w:val="none"/>
        </w:rPr>
        <w:t>要求</w:t>
      </w:r>
    </w:p>
    <w:p w14:paraId="77AF55A4">
      <w:pPr>
        <w:spacing w:line="380" w:lineRule="exact"/>
        <w:ind w:left="425" w:hanging="42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2.1提供相关服务的规范应与谈判文件规定的规范和规范附件（如果有的话）及其响应文件的服务要求偏离表（如果被买方接受的话）相一致。</w:t>
      </w:r>
    </w:p>
    <w:p w14:paraId="4B26ACA7">
      <w:pPr>
        <w:spacing w:line="380" w:lineRule="exact"/>
        <w:ind w:left="425" w:hanging="42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2.2若规范要求中无相应说明，则以国家有关部门最新颁布的相应标准及规范为准。</w:t>
      </w:r>
    </w:p>
    <w:p w14:paraId="629A4158">
      <w:pPr>
        <w:spacing w:line="380" w:lineRule="exact"/>
        <w:rPr>
          <w:rFonts w:ascii="仿宋" w:hAnsi="仿宋" w:eastAsia="仿宋" w:cs="仿宋"/>
          <w:b/>
          <w:bCs/>
          <w:color w:val="auto"/>
          <w:sz w:val="24"/>
          <w:szCs w:val="24"/>
          <w:highlight w:val="none"/>
        </w:rPr>
      </w:pPr>
      <w:bookmarkStart w:id="80" w:name="_Toc286758347"/>
      <w:r>
        <w:rPr>
          <w:rFonts w:hint="eastAsia" w:ascii="仿宋" w:hAnsi="仿宋" w:eastAsia="仿宋" w:cs="仿宋"/>
          <w:b/>
          <w:bCs/>
          <w:color w:val="auto"/>
          <w:sz w:val="24"/>
          <w:szCs w:val="24"/>
          <w:highlight w:val="none"/>
        </w:rPr>
        <w:t>3. 专利权</w:t>
      </w:r>
      <w:bookmarkEnd w:id="80"/>
    </w:p>
    <w:p w14:paraId="6A8A6664">
      <w:pPr>
        <w:spacing w:line="380" w:lineRule="exact"/>
        <w:ind w:left="425" w:hanging="42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3.1供方应保护买方在使用供方提供的服务时不受第三方提出侵犯专利权、商标权、著作权或其它知识产权起诉的指控。如果任何第三方提出侵权指控，供方须与第三方交涉并承担可能发生的一切法律责任和费用。</w:t>
      </w:r>
    </w:p>
    <w:p w14:paraId="283DC56A">
      <w:pPr>
        <w:spacing w:line="380" w:lineRule="exact"/>
        <w:ind w:left="425" w:hanging="425"/>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4.服务期限和服务地点</w:t>
      </w:r>
    </w:p>
    <w:p w14:paraId="435B32D5">
      <w:pPr>
        <w:spacing w:line="380" w:lineRule="exact"/>
        <w:ind w:left="425" w:hanging="42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4.1服务期限和服务地点详见采购需求一览表。</w:t>
      </w:r>
    </w:p>
    <w:p w14:paraId="603753EB">
      <w:pPr>
        <w:spacing w:line="380" w:lineRule="exact"/>
        <w:rPr>
          <w:rFonts w:ascii="仿宋" w:hAnsi="仿宋" w:eastAsia="仿宋" w:cs="仿宋"/>
          <w:b/>
          <w:color w:val="auto"/>
          <w:sz w:val="24"/>
          <w:szCs w:val="24"/>
          <w:highlight w:val="none"/>
        </w:rPr>
      </w:pPr>
      <w:bookmarkStart w:id="81" w:name="_Toc286758353"/>
      <w:r>
        <w:rPr>
          <w:rFonts w:hint="eastAsia" w:ascii="仿宋" w:hAnsi="仿宋" w:eastAsia="仿宋" w:cs="仿宋"/>
          <w:b/>
          <w:color w:val="auto"/>
          <w:sz w:val="24"/>
          <w:szCs w:val="24"/>
          <w:highlight w:val="none"/>
        </w:rPr>
        <w:t>5. 付款方式</w:t>
      </w:r>
      <w:bookmarkEnd w:id="81"/>
    </w:p>
    <w:p w14:paraId="04F5FE26">
      <w:pPr>
        <w:spacing w:line="380" w:lineRule="exact"/>
        <w:ind w:left="360" w:hanging="360" w:hanging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付款方式按谈判文件第五章中“商务条款”中的规定。</w:t>
      </w:r>
    </w:p>
    <w:p w14:paraId="01DC4FB1">
      <w:pPr>
        <w:spacing w:line="440" w:lineRule="exact"/>
        <w:ind w:left="105" w:leftChars="50"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本合同供应商指定的收款账户：</w:t>
      </w:r>
    </w:p>
    <w:p w14:paraId="7867F784">
      <w:pPr>
        <w:spacing w:line="440" w:lineRule="exact"/>
        <w:ind w:left="105" w:leftChars="50"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户名：_____________________</w:t>
      </w:r>
    </w:p>
    <w:p w14:paraId="78184F05">
      <w:pPr>
        <w:spacing w:line="440" w:lineRule="exact"/>
        <w:ind w:left="105" w:leftChars="50"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开户行：___________________</w:t>
      </w:r>
    </w:p>
    <w:p w14:paraId="4B9EBE5C">
      <w:pPr>
        <w:spacing w:line="380" w:lineRule="exact"/>
        <w:ind w:left="479" w:leftChars="228" w:firstLine="120" w:firstLineChars="5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账号：_____________________</w:t>
      </w:r>
    </w:p>
    <w:p w14:paraId="63B24494">
      <w:pPr>
        <w:spacing w:line="380" w:lineRule="exact"/>
        <w:rPr>
          <w:rFonts w:ascii="仿宋" w:hAnsi="仿宋" w:eastAsia="仿宋" w:cs="仿宋"/>
          <w:b/>
          <w:bCs/>
          <w:color w:val="auto"/>
          <w:sz w:val="24"/>
          <w:szCs w:val="24"/>
          <w:highlight w:val="none"/>
        </w:rPr>
      </w:pPr>
      <w:bookmarkStart w:id="82" w:name="_Toc286758354"/>
      <w:r>
        <w:rPr>
          <w:rFonts w:hint="eastAsia" w:ascii="仿宋" w:hAnsi="仿宋" w:eastAsia="仿宋" w:cs="仿宋"/>
          <w:b/>
          <w:bCs/>
          <w:color w:val="auto"/>
          <w:sz w:val="24"/>
          <w:szCs w:val="24"/>
          <w:highlight w:val="none"/>
        </w:rPr>
        <w:t>6. 相关资料</w:t>
      </w:r>
      <w:bookmarkEnd w:id="82"/>
    </w:p>
    <w:p w14:paraId="66C47B05">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6.1合同项下提供服务的相关技术资料按采购人要求提供。</w:t>
      </w:r>
    </w:p>
    <w:p w14:paraId="4AC97146">
      <w:pPr>
        <w:spacing w:line="380" w:lineRule="exact"/>
        <w:rPr>
          <w:rFonts w:ascii="仿宋" w:hAnsi="仿宋" w:eastAsia="仿宋" w:cs="仿宋"/>
          <w:b/>
          <w:bCs/>
          <w:color w:val="auto"/>
          <w:sz w:val="24"/>
          <w:szCs w:val="24"/>
          <w:highlight w:val="none"/>
        </w:rPr>
      </w:pPr>
      <w:bookmarkStart w:id="83" w:name="_Toc286758355"/>
      <w:r>
        <w:rPr>
          <w:rFonts w:hint="eastAsia" w:ascii="仿宋" w:hAnsi="仿宋" w:eastAsia="仿宋" w:cs="仿宋"/>
          <w:b/>
          <w:bCs/>
          <w:color w:val="auto"/>
          <w:sz w:val="24"/>
          <w:szCs w:val="24"/>
          <w:highlight w:val="none"/>
        </w:rPr>
        <w:t>7. 质量保证</w:t>
      </w:r>
      <w:bookmarkEnd w:id="83"/>
      <w:r>
        <w:rPr>
          <w:rFonts w:hint="eastAsia" w:ascii="仿宋" w:hAnsi="仿宋" w:eastAsia="仿宋" w:cs="仿宋"/>
          <w:b/>
          <w:bCs/>
          <w:color w:val="auto"/>
          <w:sz w:val="24"/>
          <w:szCs w:val="24"/>
          <w:highlight w:val="none"/>
        </w:rPr>
        <w:t>期</w:t>
      </w:r>
    </w:p>
    <w:p w14:paraId="3A7924C5">
      <w:pPr>
        <w:spacing w:line="380" w:lineRule="exact"/>
        <w:ind w:left="624" w:hanging="624"/>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7.1 服务成果的质量保证期</w:t>
      </w:r>
      <w:bookmarkStart w:id="84" w:name="_Toc286758358"/>
      <w:r>
        <w:rPr>
          <w:rFonts w:hint="eastAsia" w:ascii="仿宋" w:hAnsi="仿宋" w:eastAsia="仿宋" w:cs="仿宋"/>
          <w:color w:val="auto"/>
          <w:sz w:val="24"/>
          <w:szCs w:val="24"/>
          <w:highlight w:val="none"/>
        </w:rPr>
        <w:t>按谈判文件第五章中“商务条款”中的规定。如供应商承诺的</w:t>
      </w:r>
    </w:p>
    <w:p w14:paraId="024FC944">
      <w:pPr>
        <w:spacing w:line="380" w:lineRule="exact"/>
        <w:ind w:left="623" w:leftChars="171" w:hanging="264" w:hangingChars="11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质保期优于谈判文件规定的，按优于的执行。</w:t>
      </w:r>
    </w:p>
    <w:p w14:paraId="3B0F00D7">
      <w:pPr>
        <w:spacing w:line="380" w:lineRule="exact"/>
        <w:ind w:left="624" w:hanging="624"/>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 延期</w:t>
      </w:r>
      <w:bookmarkEnd w:id="84"/>
      <w:r>
        <w:rPr>
          <w:rFonts w:hint="eastAsia" w:ascii="仿宋" w:hAnsi="仿宋" w:eastAsia="仿宋" w:cs="仿宋"/>
          <w:b/>
          <w:bCs/>
          <w:color w:val="auto"/>
          <w:sz w:val="24"/>
          <w:szCs w:val="24"/>
          <w:highlight w:val="none"/>
        </w:rPr>
        <w:t>提供服务</w:t>
      </w:r>
    </w:p>
    <w:p w14:paraId="3CA530F6">
      <w:pPr>
        <w:spacing w:line="38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8.1 供方应按照“采购需求一览表”中买方规定的时间表提供服务。</w:t>
      </w:r>
    </w:p>
    <w:p w14:paraId="0BEE52F8">
      <w:pPr>
        <w:spacing w:line="38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8.2 在履行合同过程中，如果供方遇到不能按时提供服务的情况，应及时以书面形式将不能按时提供服务的理由、延误时间通知买方。买方在收到供方通知后，应进行分析，如果同意，可通过修改合同，酌情延长时间。</w:t>
      </w:r>
    </w:p>
    <w:p w14:paraId="4B3AD5D6">
      <w:pPr>
        <w:spacing w:line="38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8.3 如果供方毫无理由地拖延提供服务，将受到以下制裁：没收履约保证金，加收违约损失赔偿和/或终止合同。</w:t>
      </w:r>
    </w:p>
    <w:p w14:paraId="2C7524CB">
      <w:pPr>
        <w:spacing w:line="380" w:lineRule="exact"/>
        <w:rPr>
          <w:rFonts w:ascii="仿宋" w:hAnsi="仿宋" w:eastAsia="仿宋" w:cs="仿宋"/>
          <w:b/>
          <w:bCs/>
          <w:color w:val="auto"/>
          <w:sz w:val="24"/>
          <w:szCs w:val="24"/>
          <w:highlight w:val="none"/>
        </w:rPr>
      </w:pPr>
      <w:bookmarkStart w:id="85" w:name="_Toc286758359"/>
      <w:r>
        <w:rPr>
          <w:rFonts w:hint="eastAsia" w:ascii="仿宋" w:hAnsi="仿宋" w:eastAsia="仿宋" w:cs="仿宋"/>
          <w:b/>
          <w:bCs/>
          <w:color w:val="auto"/>
          <w:sz w:val="24"/>
          <w:szCs w:val="24"/>
          <w:highlight w:val="none"/>
        </w:rPr>
        <w:t>9. 违约赔偿</w:t>
      </w:r>
      <w:bookmarkEnd w:id="85"/>
    </w:p>
    <w:p w14:paraId="3380545B">
      <w:pPr>
        <w:spacing w:line="380" w:lineRule="exact"/>
        <w:ind w:left="510" w:hanging="51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9.1除合同第10条规定外，如果供方没有按照合同规定的时间提供服务，买方可从合同款中扣除违约赔偿费，赔偿费应按每延迟一周，按合同总价的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%计收。但违约赔偿费的最高限额为合同总价的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%。一周按7天计算，不足7天按一周计算。如果供方在达到最高限额后仍不能履行提供服务的义务，买方可考虑终止合同。</w:t>
      </w:r>
    </w:p>
    <w:p w14:paraId="02BEF726">
      <w:pPr>
        <w:spacing w:line="380" w:lineRule="exact"/>
        <w:rPr>
          <w:rFonts w:ascii="仿宋" w:hAnsi="仿宋" w:eastAsia="仿宋" w:cs="仿宋"/>
          <w:b/>
          <w:bCs/>
          <w:color w:val="auto"/>
          <w:sz w:val="24"/>
          <w:szCs w:val="24"/>
          <w:highlight w:val="none"/>
        </w:rPr>
      </w:pPr>
      <w:bookmarkStart w:id="86" w:name="_Toc286758360"/>
      <w:r>
        <w:rPr>
          <w:rFonts w:hint="eastAsia" w:ascii="仿宋" w:hAnsi="仿宋" w:eastAsia="仿宋" w:cs="仿宋"/>
          <w:b/>
          <w:bCs/>
          <w:color w:val="auto"/>
          <w:sz w:val="24"/>
          <w:szCs w:val="24"/>
          <w:highlight w:val="none"/>
        </w:rPr>
        <w:t>10. 不可抗力</w:t>
      </w:r>
      <w:bookmarkEnd w:id="86"/>
    </w:p>
    <w:p w14:paraId="4FDBF40E">
      <w:pPr>
        <w:spacing w:line="38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10.1 如果双方中任何一方由于战争、严重火灾、水灾、台风和地震以及其它经双方同意属于不可抗力的事故，致使合同履行受阻时，履行合同的期限应予延长，延长的期限应相当于事故所影响的时间。</w:t>
      </w:r>
    </w:p>
    <w:p w14:paraId="6078331C">
      <w:pPr>
        <w:spacing w:line="380" w:lineRule="exact"/>
        <w:ind w:left="540" w:hanging="54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10.2 受事故影响的一方应在不可抗力的事故发生后尽快以书面形式通知另一方，并在事故发生后14天内，将有关部门出具的有效证明文件寄给或送给另一方。如果不可抗力影响时间持延续120天以上，双方应通过友好协商在合理的时间内达成进一步履行合同的协议。</w:t>
      </w:r>
    </w:p>
    <w:p w14:paraId="3567BFBA">
      <w:pPr>
        <w:spacing w:line="380" w:lineRule="exact"/>
        <w:rPr>
          <w:rFonts w:ascii="仿宋" w:hAnsi="仿宋" w:eastAsia="仿宋" w:cs="仿宋"/>
          <w:b/>
          <w:bCs/>
          <w:color w:val="auto"/>
          <w:sz w:val="24"/>
          <w:szCs w:val="24"/>
          <w:highlight w:val="none"/>
        </w:rPr>
      </w:pPr>
      <w:bookmarkStart w:id="87" w:name="_Toc286758361"/>
      <w:r>
        <w:rPr>
          <w:rFonts w:hint="eastAsia" w:ascii="仿宋" w:hAnsi="仿宋" w:eastAsia="仿宋" w:cs="仿宋"/>
          <w:b/>
          <w:bCs/>
          <w:color w:val="auto"/>
          <w:sz w:val="24"/>
          <w:szCs w:val="24"/>
          <w:highlight w:val="none"/>
        </w:rPr>
        <w:t>11. 税费</w:t>
      </w:r>
      <w:bookmarkEnd w:id="87"/>
    </w:p>
    <w:p w14:paraId="1ABAB24D">
      <w:pPr>
        <w:spacing w:line="38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11.1 根据国家现行税法对买方征收的与本合同有关的一切税费均由买方负担。</w:t>
      </w:r>
    </w:p>
    <w:p w14:paraId="4E3EAFC6">
      <w:pPr>
        <w:spacing w:line="38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 根据国家现行税法对供方征收的与本合同有关的一切税费均由供方负担。</w:t>
      </w:r>
    </w:p>
    <w:p w14:paraId="6D2E1056">
      <w:pPr>
        <w:spacing w:line="38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11.3 在中国境外发生的与本合同执行有关的一切税费均由供方负担。</w:t>
      </w:r>
    </w:p>
    <w:p w14:paraId="1F51E57C">
      <w:pPr>
        <w:spacing w:line="380" w:lineRule="exact"/>
        <w:rPr>
          <w:rFonts w:ascii="仿宋" w:hAnsi="仿宋" w:eastAsia="仿宋" w:cs="仿宋"/>
          <w:b/>
          <w:bCs/>
          <w:color w:val="auto"/>
          <w:sz w:val="24"/>
          <w:szCs w:val="24"/>
          <w:highlight w:val="none"/>
        </w:rPr>
      </w:pPr>
      <w:bookmarkStart w:id="88" w:name="_Toc286758363"/>
      <w:r>
        <w:rPr>
          <w:rFonts w:hint="eastAsia" w:ascii="仿宋" w:hAnsi="仿宋" w:eastAsia="仿宋" w:cs="仿宋"/>
          <w:b/>
          <w:bCs/>
          <w:color w:val="auto"/>
          <w:sz w:val="24"/>
          <w:szCs w:val="24"/>
          <w:highlight w:val="none"/>
        </w:rPr>
        <w:t>12. 仲裁</w:t>
      </w:r>
      <w:bookmarkEnd w:id="88"/>
    </w:p>
    <w:p w14:paraId="4DBDDF53">
      <w:pPr>
        <w:spacing w:line="38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12.1 买卖双方应通过友好协商，解决在执行本合同中所发生的或与本合同有关的一切争端，如果协商仍得不到解决，任何一方均可按“中华人民共和国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”规定提交调解和仲裁。</w:t>
      </w:r>
    </w:p>
    <w:p w14:paraId="68ABA823">
      <w:pPr>
        <w:spacing w:line="38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12.2 仲裁裁决应为终局裁决，对双方均具有约束力。</w:t>
      </w:r>
    </w:p>
    <w:p w14:paraId="19E519A8">
      <w:pPr>
        <w:spacing w:line="38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12.3 仲裁费除仲裁机构另有裁决外应由败诉方负担。</w:t>
      </w:r>
    </w:p>
    <w:p w14:paraId="55E0940D">
      <w:pPr>
        <w:spacing w:line="38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12.4 仲裁机构为合同履行地经济仲裁机构。</w:t>
      </w:r>
    </w:p>
    <w:p w14:paraId="01DBB962">
      <w:pPr>
        <w:spacing w:line="38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12.5 在仲裁期间，除正在进行仲裁的部分外，本合同其它部分应继续执行。</w:t>
      </w:r>
    </w:p>
    <w:p w14:paraId="0A6FD612">
      <w:pPr>
        <w:spacing w:line="380" w:lineRule="exact"/>
        <w:rPr>
          <w:rFonts w:ascii="仿宋" w:hAnsi="仿宋" w:eastAsia="仿宋" w:cs="仿宋"/>
          <w:b/>
          <w:bCs/>
          <w:color w:val="auto"/>
          <w:sz w:val="24"/>
          <w:szCs w:val="24"/>
          <w:highlight w:val="none"/>
        </w:rPr>
      </w:pPr>
      <w:bookmarkStart w:id="89" w:name="_Toc286758364"/>
      <w:r>
        <w:rPr>
          <w:rFonts w:hint="eastAsia" w:ascii="仿宋" w:hAnsi="仿宋" w:eastAsia="仿宋" w:cs="仿宋"/>
          <w:b/>
          <w:bCs/>
          <w:color w:val="auto"/>
          <w:sz w:val="24"/>
          <w:szCs w:val="24"/>
          <w:highlight w:val="none"/>
        </w:rPr>
        <w:t>13. 违约终止合同</w:t>
      </w:r>
      <w:bookmarkEnd w:id="89"/>
    </w:p>
    <w:p w14:paraId="7FF9AB9A">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 买方在供方违约的情况下，如果：</w:t>
      </w:r>
    </w:p>
    <w:p w14:paraId="7A634A6C">
      <w:pPr>
        <w:spacing w:line="380" w:lineRule="exact"/>
        <w:ind w:left="90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1）供方未能在合同规定的期限或买方同意延长的期限内提供全部服务；</w:t>
      </w:r>
    </w:p>
    <w:p w14:paraId="0D6E30C2">
      <w:pPr>
        <w:spacing w:line="380" w:lineRule="exact"/>
        <w:ind w:left="90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2）如果供方未能履行合同规定的其它义务，供方在收到买方发出的违约通知后30 天内，或经买方书面认可延长的时间内未能纠正其过失。买方可向供方发出书面通知，终止部分或全部合同。在这种情况下，并不影响买方向供方提出的索赔。</w:t>
      </w:r>
    </w:p>
    <w:p w14:paraId="7A72DFAB">
      <w:pPr>
        <w:spacing w:line="380" w:lineRule="exact"/>
        <w:ind w:left="510" w:hanging="51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13.2 在买方根据上述第13.1条规定，终止了全部或部分合同，买方可以依其认为适当的条件和方法购买未完成的类似服务，供方应对购买类似服务所超出的费用负责。而且供方还应继续执行合同中未终止的部分。</w:t>
      </w:r>
    </w:p>
    <w:p w14:paraId="50DE6BDB">
      <w:pPr>
        <w:spacing w:line="380" w:lineRule="exact"/>
        <w:rPr>
          <w:rFonts w:ascii="仿宋" w:hAnsi="仿宋" w:eastAsia="仿宋" w:cs="仿宋"/>
          <w:b/>
          <w:bCs/>
          <w:color w:val="auto"/>
          <w:sz w:val="24"/>
          <w:szCs w:val="24"/>
          <w:highlight w:val="none"/>
        </w:rPr>
      </w:pPr>
      <w:bookmarkStart w:id="90" w:name="_Toc286758365"/>
      <w:r>
        <w:rPr>
          <w:rFonts w:hint="eastAsia" w:ascii="仿宋" w:hAnsi="仿宋" w:eastAsia="仿宋" w:cs="仿宋"/>
          <w:b/>
          <w:bCs/>
          <w:color w:val="auto"/>
          <w:sz w:val="24"/>
          <w:szCs w:val="24"/>
          <w:highlight w:val="none"/>
        </w:rPr>
        <w:t>14. 破产终止合同</w:t>
      </w:r>
      <w:bookmarkEnd w:id="90"/>
    </w:p>
    <w:p w14:paraId="2A9B203C">
      <w:pPr>
        <w:spacing w:line="38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14.1 如果供方破产或无清偿能力时，买方可在任何时候以书面通知供方终止合同。该终止合同将不损害或影响买方已经采取或将要采取的补救措施的权利。</w:t>
      </w:r>
    </w:p>
    <w:p w14:paraId="775EF8A5">
      <w:pPr>
        <w:spacing w:line="380" w:lineRule="exact"/>
        <w:rPr>
          <w:rFonts w:ascii="仿宋" w:hAnsi="仿宋" w:eastAsia="仿宋" w:cs="仿宋"/>
          <w:b/>
          <w:bCs/>
          <w:color w:val="auto"/>
          <w:sz w:val="24"/>
          <w:szCs w:val="24"/>
          <w:highlight w:val="none"/>
        </w:rPr>
      </w:pPr>
      <w:bookmarkStart w:id="91" w:name="_Toc286758367"/>
      <w:r>
        <w:rPr>
          <w:rFonts w:hint="eastAsia" w:ascii="仿宋" w:hAnsi="仿宋" w:eastAsia="仿宋" w:cs="仿宋"/>
          <w:b/>
          <w:bCs/>
          <w:color w:val="auto"/>
          <w:sz w:val="24"/>
          <w:szCs w:val="24"/>
          <w:highlight w:val="none"/>
        </w:rPr>
        <w:t>15. 合同修改</w:t>
      </w:r>
      <w:bookmarkEnd w:id="91"/>
    </w:p>
    <w:p w14:paraId="0B6C7B46">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15.1 欲对合同条款进行任何改动，均须由买卖双方签署书面的合同修改书。</w:t>
      </w:r>
    </w:p>
    <w:p w14:paraId="03119DF6">
      <w:pPr>
        <w:spacing w:line="380" w:lineRule="exact"/>
        <w:rPr>
          <w:rFonts w:ascii="仿宋" w:hAnsi="仿宋" w:eastAsia="仿宋" w:cs="仿宋"/>
          <w:b/>
          <w:bCs/>
          <w:color w:val="auto"/>
          <w:sz w:val="24"/>
          <w:szCs w:val="24"/>
          <w:highlight w:val="none"/>
        </w:rPr>
      </w:pPr>
      <w:bookmarkStart w:id="92" w:name="_Toc286758368"/>
      <w:r>
        <w:rPr>
          <w:rFonts w:hint="eastAsia" w:ascii="仿宋" w:hAnsi="仿宋" w:eastAsia="仿宋" w:cs="仿宋"/>
          <w:b/>
          <w:bCs/>
          <w:color w:val="auto"/>
          <w:sz w:val="24"/>
          <w:szCs w:val="24"/>
          <w:highlight w:val="none"/>
        </w:rPr>
        <w:t>16. 通知</w:t>
      </w:r>
      <w:bookmarkEnd w:id="92"/>
    </w:p>
    <w:p w14:paraId="0E1FA32A">
      <w:pPr>
        <w:spacing w:line="38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16.1 本合同任何一方给另一方的通知，都应以书面形式发送，而另一方应以书面形式确认并发送到对方明确的地址。</w:t>
      </w:r>
    </w:p>
    <w:p w14:paraId="66311875">
      <w:pPr>
        <w:spacing w:line="380" w:lineRule="exact"/>
        <w:rPr>
          <w:rFonts w:ascii="仿宋" w:hAnsi="仿宋" w:eastAsia="仿宋" w:cs="仿宋"/>
          <w:b/>
          <w:bCs/>
          <w:color w:val="auto"/>
          <w:sz w:val="24"/>
          <w:szCs w:val="24"/>
          <w:highlight w:val="none"/>
        </w:rPr>
      </w:pPr>
      <w:bookmarkStart w:id="93" w:name="_Toc286758369"/>
      <w:r>
        <w:rPr>
          <w:rFonts w:hint="eastAsia" w:ascii="仿宋" w:hAnsi="仿宋" w:eastAsia="仿宋" w:cs="仿宋"/>
          <w:b/>
          <w:bCs/>
          <w:color w:val="auto"/>
          <w:sz w:val="24"/>
          <w:szCs w:val="24"/>
          <w:highlight w:val="none"/>
        </w:rPr>
        <w:t>17. 计量单位</w:t>
      </w:r>
      <w:bookmarkEnd w:id="93"/>
    </w:p>
    <w:p w14:paraId="62FFFC77">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17.1 除规范要求中另有规定外，计量单位均使用国家法定计量单位。</w:t>
      </w:r>
    </w:p>
    <w:p w14:paraId="1E3984C7">
      <w:pPr>
        <w:spacing w:line="380" w:lineRule="exact"/>
        <w:rPr>
          <w:rFonts w:ascii="仿宋" w:hAnsi="仿宋" w:eastAsia="仿宋" w:cs="仿宋"/>
          <w:b/>
          <w:bCs/>
          <w:color w:val="auto"/>
          <w:sz w:val="24"/>
          <w:szCs w:val="24"/>
          <w:highlight w:val="none"/>
        </w:rPr>
      </w:pPr>
      <w:bookmarkStart w:id="94" w:name="_Toc286758370"/>
      <w:r>
        <w:rPr>
          <w:rFonts w:hint="eastAsia" w:ascii="仿宋" w:hAnsi="仿宋" w:eastAsia="仿宋" w:cs="仿宋"/>
          <w:b/>
          <w:bCs/>
          <w:color w:val="auto"/>
          <w:sz w:val="24"/>
          <w:szCs w:val="24"/>
          <w:highlight w:val="none"/>
        </w:rPr>
        <w:t>18. 适用法律</w:t>
      </w:r>
      <w:bookmarkEnd w:id="94"/>
    </w:p>
    <w:p w14:paraId="2D0B5A9F">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 本合同应按照中华人民共和国的法律进行解释。</w:t>
      </w:r>
    </w:p>
    <w:p w14:paraId="0A923449">
      <w:pPr>
        <w:spacing w:line="380" w:lineRule="exact"/>
        <w:rPr>
          <w:rFonts w:ascii="仿宋" w:hAnsi="仿宋" w:eastAsia="仿宋" w:cs="仿宋"/>
          <w:b/>
          <w:bCs/>
          <w:color w:val="auto"/>
          <w:sz w:val="24"/>
          <w:szCs w:val="24"/>
          <w:highlight w:val="none"/>
        </w:rPr>
      </w:pPr>
      <w:bookmarkStart w:id="95" w:name="_Toc286758372"/>
      <w:r>
        <w:rPr>
          <w:rFonts w:hint="eastAsia" w:ascii="仿宋" w:hAnsi="仿宋" w:eastAsia="仿宋" w:cs="仿宋"/>
          <w:b/>
          <w:bCs/>
          <w:color w:val="auto"/>
          <w:sz w:val="24"/>
          <w:szCs w:val="24"/>
          <w:highlight w:val="none"/>
        </w:rPr>
        <w:t>19. 合同生效及其他</w:t>
      </w:r>
      <w:bookmarkEnd w:id="95"/>
    </w:p>
    <w:p w14:paraId="45A885D5">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19.1 合同应在双方签字盖章后开始生效。</w:t>
      </w:r>
    </w:p>
    <w:p w14:paraId="682B0EAD">
      <w:pPr>
        <w:spacing w:line="380" w:lineRule="exact"/>
        <w:ind w:left="480" w:hanging="480" w:hangingChars="200"/>
        <w:rPr>
          <w:rFonts w:ascii="仿宋" w:hAnsi="仿宋" w:eastAsia="仿宋" w:cs="仿宋"/>
          <w:color w:val="auto"/>
          <w:highlight w:val="none"/>
        </w:rPr>
      </w:pPr>
      <w:r>
        <w:rPr>
          <w:rFonts w:hint="eastAsia" w:ascii="仿宋" w:hAnsi="仿宋" w:eastAsia="仿宋" w:cs="仿宋"/>
          <w:color w:val="auto"/>
          <w:sz w:val="24"/>
          <w:szCs w:val="24"/>
          <w:highlight w:val="none"/>
        </w:rPr>
        <w:t>19.2 本合同一式三份，以中文书写，双方各执一份，采购代理机构一份。</w:t>
      </w:r>
    </w:p>
    <w:p w14:paraId="6830230E">
      <w:pPr>
        <w:adjustRightInd w:val="0"/>
        <w:snapToGrid w:val="0"/>
        <w:spacing w:line="380" w:lineRule="exact"/>
        <w:ind w:left="567" w:hanging="56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19.3 如需修改或补充合同内容，经协商，双方应签署书面修改或补充协议，该协议将作为本合同的一个组成部分。</w:t>
      </w:r>
    </w:p>
    <w:p w14:paraId="11A08B92">
      <w:pPr>
        <w:spacing w:line="440" w:lineRule="exact"/>
        <w:ind w:firstLine="42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甲方（盖章）：________　　　乙方（盖章）：________</w:t>
      </w:r>
    </w:p>
    <w:p w14:paraId="531F6DA7">
      <w:pPr>
        <w:spacing w:line="440" w:lineRule="exact"/>
        <w:ind w:firstLine="42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签约代表（签字）：________　　签约代表（签字）：________</w:t>
      </w:r>
    </w:p>
    <w:p w14:paraId="335E0212">
      <w:pPr>
        <w:spacing w:line="440" w:lineRule="exact"/>
        <w:ind w:firstLine="42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地址：________　　　　　　　地址：________</w:t>
      </w:r>
    </w:p>
    <w:p w14:paraId="59DE855E">
      <w:pPr>
        <w:spacing w:line="440" w:lineRule="exact"/>
        <w:ind w:firstLine="42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电话：________　　　　　　　电话：________</w:t>
      </w:r>
    </w:p>
    <w:p w14:paraId="62567A0B">
      <w:pPr>
        <w:spacing w:line="440" w:lineRule="exact"/>
        <w:ind w:firstLine="42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传真：________　　　　　　　传真：________</w:t>
      </w:r>
    </w:p>
    <w:p w14:paraId="731DB007">
      <w:pPr>
        <w:spacing w:line="440" w:lineRule="exact"/>
        <w:ind w:firstLine="42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________年____月____日　　　________年____月____日</w:t>
      </w:r>
    </w:p>
    <w:p w14:paraId="6834ADFF">
      <w:pPr>
        <w:spacing w:line="420" w:lineRule="exact"/>
        <w:ind w:left="600" w:hanging="600" w:hangingChars="250"/>
        <w:jc w:val="center"/>
        <w:rPr>
          <w:rFonts w:ascii="仿宋" w:hAnsi="仿宋" w:eastAsia="仿宋" w:cs="仿宋"/>
          <w:color w:val="auto"/>
          <w:sz w:val="24"/>
          <w:szCs w:val="24"/>
          <w:highlight w:val="none"/>
        </w:rPr>
      </w:pPr>
    </w:p>
    <w:p w14:paraId="087F204E">
      <w:pPr>
        <w:rPr>
          <w:rFonts w:ascii="仿宋" w:hAnsi="仿宋" w:eastAsia="仿宋" w:cs="仿宋"/>
          <w:b/>
          <w:i/>
          <w:color w:val="auto"/>
          <w:sz w:val="24"/>
          <w:szCs w:val="24"/>
          <w:highlight w:val="none"/>
        </w:rPr>
      </w:pPr>
    </w:p>
    <w:p w14:paraId="7A7E808F">
      <w:pPr>
        <w:rPr>
          <w:rFonts w:ascii="仿宋" w:hAnsi="仿宋" w:eastAsia="仿宋" w:cs="仿宋"/>
          <w:b/>
          <w:i/>
          <w:color w:val="auto"/>
          <w:sz w:val="24"/>
          <w:szCs w:val="24"/>
          <w:highlight w:val="none"/>
        </w:rPr>
      </w:pPr>
    </w:p>
    <w:p w14:paraId="185922B2">
      <w:pPr>
        <w:pStyle w:val="4"/>
        <w:jc w:val="center"/>
        <w:rPr>
          <w:rFonts w:ascii="仿宋" w:hAnsi="仿宋" w:eastAsia="仿宋" w:cs="仿宋"/>
          <w:b/>
          <w:bCs/>
          <w:color w:val="auto"/>
          <w:sz w:val="32"/>
          <w:highlight w:val="none"/>
        </w:rPr>
      </w:pPr>
      <w:r>
        <w:rPr>
          <w:rFonts w:hint="eastAsia" w:ascii="仿宋" w:hAnsi="仿宋" w:eastAsia="仿宋" w:cs="仿宋"/>
          <w:color w:val="auto"/>
          <w:kern w:val="0"/>
          <w:sz w:val="32"/>
          <w:szCs w:val="32"/>
          <w:highlight w:val="none"/>
        </w:rPr>
        <w:br w:type="page"/>
      </w:r>
      <w:bookmarkStart w:id="96" w:name="_Toc22161"/>
      <w:r>
        <w:rPr>
          <w:rFonts w:hint="eastAsia" w:ascii="仿宋" w:hAnsi="仿宋" w:eastAsia="仿宋" w:cs="仿宋"/>
          <w:b/>
          <w:bCs/>
          <w:color w:val="auto"/>
          <w:sz w:val="32"/>
          <w:highlight w:val="none"/>
        </w:rPr>
        <w:t>第</w:t>
      </w:r>
      <w:r>
        <w:rPr>
          <w:rFonts w:hint="eastAsia" w:ascii="仿宋" w:hAnsi="仿宋" w:eastAsia="仿宋" w:cs="仿宋"/>
          <w:b/>
          <w:bCs/>
          <w:color w:val="auto"/>
          <w:sz w:val="32"/>
          <w:highlight w:val="none"/>
          <w:lang w:val="en-US" w:eastAsia="zh-CN"/>
        </w:rPr>
        <w:t>五</w:t>
      </w:r>
      <w:r>
        <w:rPr>
          <w:rFonts w:hint="eastAsia" w:ascii="仿宋" w:hAnsi="仿宋" w:eastAsia="仿宋" w:cs="仿宋"/>
          <w:b/>
          <w:bCs/>
          <w:color w:val="auto"/>
          <w:sz w:val="32"/>
          <w:highlight w:val="none"/>
        </w:rPr>
        <w:t>章</w:t>
      </w:r>
      <w:r>
        <w:rPr>
          <w:rFonts w:hint="eastAsia" w:ascii="仿宋" w:hAnsi="仿宋" w:eastAsia="仿宋" w:cs="仿宋"/>
          <w:b/>
          <w:bCs/>
          <w:color w:val="auto"/>
          <w:sz w:val="32"/>
          <w:highlight w:val="none"/>
          <w:lang w:val="en-US" w:eastAsia="zh-CN"/>
        </w:rPr>
        <w:t xml:space="preserve">  </w:t>
      </w:r>
      <w:r>
        <w:rPr>
          <w:rFonts w:hint="eastAsia" w:ascii="仿宋" w:hAnsi="仿宋" w:eastAsia="仿宋" w:cs="仿宋"/>
          <w:b/>
          <w:bCs/>
          <w:color w:val="auto"/>
          <w:sz w:val="32"/>
          <w:highlight w:val="none"/>
        </w:rPr>
        <w:t>响应文件格式</w:t>
      </w:r>
      <w:bookmarkEnd w:id="76"/>
      <w:bookmarkEnd w:id="77"/>
      <w:bookmarkEnd w:id="96"/>
    </w:p>
    <w:p w14:paraId="25440613">
      <w:pPr>
        <w:pStyle w:val="4"/>
        <w:jc w:val="center"/>
        <w:rPr>
          <w:rFonts w:ascii="仿宋" w:hAnsi="仿宋" w:eastAsia="仿宋" w:cs="仿宋"/>
          <w:b/>
          <w:color w:val="auto"/>
          <w:sz w:val="32"/>
          <w:szCs w:val="32"/>
          <w:highlight w:val="none"/>
        </w:rPr>
      </w:pPr>
    </w:p>
    <w:p w14:paraId="441DFEAF">
      <w:pPr>
        <w:pStyle w:val="4"/>
        <w:jc w:val="center"/>
        <w:rPr>
          <w:rFonts w:ascii="仿宋" w:hAnsi="仿宋" w:eastAsia="仿宋" w:cs="仿宋"/>
          <w:b/>
          <w:color w:val="auto"/>
          <w:sz w:val="32"/>
          <w:szCs w:val="32"/>
          <w:highlight w:val="none"/>
        </w:rPr>
      </w:pPr>
    </w:p>
    <w:p w14:paraId="71B98D93">
      <w:pPr>
        <w:pStyle w:val="4"/>
        <w:jc w:val="center"/>
        <w:rPr>
          <w:rFonts w:ascii="仿宋" w:hAnsi="仿宋" w:eastAsia="仿宋" w:cs="仿宋"/>
          <w:b/>
          <w:color w:val="auto"/>
          <w:sz w:val="32"/>
          <w:szCs w:val="32"/>
          <w:highlight w:val="none"/>
        </w:rPr>
      </w:pPr>
    </w:p>
    <w:p w14:paraId="0675541B">
      <w:pPr>
        <w:pStyle w:val="4"/>
        <w:rPr>
          <w:rFonts w:ascii="仿宋" w:hAnsi="仿宋" w:eastAsia="仿宋" w:cs="仿宋"/>
          <w:b/>
          <w:color w:val="auto"/>
          <w:sz w:val="32"/>
          <w:szCs w:val="32"/>
          <w:highlight w:val="none"/>
        </w:rPr>
      </w:pPr>
    </w:p>
    <w:p w14:paraId="5A5CABF9">
      <w:pPr>
        <w:jc w:val="center"/>
        <w:rPr>
          <w:rFonts w:ascii="仿宋" w:hAnsi="仿宋" w:eastAsia="仿宋" w:cs="仿宋"/>
          <w:color w:val="auto"/>
          <w:sz w:val="84"/>
          <w:szCs w:val="84"/>
          <w:highlight w:val="none"/>
        </w:rPr>
      </w:pPr>
      <w:r>
        <w:rPr>
          <w:rFonts w:hint="eastAsia" w:ascii="仿宋" w:hAnsi="仿宋" w:eastAsia="仿宋" w:cs="仿宋"/>
          <w:color w:val="auto"/>
          <w:sz w:val="84"/>
          <w:szCs w:val="84"/>
          <w:highlight w:val="none"/>
        </w:rPr>
        <w:t>谈判响应文件</w:t>
      </w:r>
    </w:p>
    <w:p w14:paraId="07616379">
      <w:pPr>
        <w:rPr>
          <w:rFonts w:ascii="仿宋" w:hAnsi="仿宋" w:eastAsia="仿宋" w:cs="仿宋"/>
          <w:color w:val="auto"/>
          <w:sz w:val="24"/>
          <w:highlight w:val="none"/>
        </w:rPr>
      </w:pPr>
    </w:p>
    <w:p w14:paraId="7F24D137">
      <w:pPr>
        <w:rPr>
          <w:rFonts w:ascii="仿宋" w:hAnsi="仿宋" w:eastAsia="仿宋" w:cs="仿宋"/>
          <w:color w:val="auto"/>
          <w:sz w:val="24"/>
          <w:highlight w:val="none"/>
        </w:rPr>
      </w:pPr>
    </w:p>
    <w:p w14:paraId="664220A4">
      <w:pPr>
        <w:rPr>
          <w:rFonts w:ascii="仿宋" w:hAnsi="仿宋" w:eastAsia="仿宋" w:cs="仿宋"/>
          <w:color w:val="auto"/>
          <w:sz w:val="24"/>
          <w:highlight w:val="none"/>
        </w:rPr>
      </w:pPr>
    </w:p>
    <w:p w14:paraId="1D353E1D">
      <w:pPr>
        <w:rPr>
          <w:rFonts w:ascii="仿宋" w:hAnsi="仿宋" w:eastAsia="仿宋" w:cs="仿宋"/>
          <w:color w:val="auto"/>
          <w:sz w:val="24"/>
          <w:highlight w:val="none"/>
        </w:rPr>
      </w:pPr>
    </w:p>
    <w:p w14:paraId="4DB8D917">
      <w:pPr>
        <w:rPr>
          <w:rFonts w:ascii="仿宋" w:hAnsi="仿宋" w:eastAsia="仿宋" w:cs="仿宋"/>
          <w:color w:val="auto"/>
          <w:sz w:val="24"/>
          <w:highlight w:val="none"/>
        </w:rPr>
      </w:pPr>
    </w:p>
    <w:p w14:paraId="3FF43D3F">
      <w:pPr>
        <w:rPr>
          <w:rFonts w:ascii="仿宋" w:hAnsi="仿宋" w:eastAsia="仿宋" w:cs="仿宋"/>
          <w:color w:val="auto"/>
          <w:sz w:val="24"/>
          <w:highlight w:val="none"/>
        </w:rPr>
      </w:pPr>
    </w:p>
    <w:p w14:paraId="35A86EF8">
      <w:pPr>
        <w:rPr>
          <w:rFonts w:ascii="仿宋" w:hAnsi="仿宋" w:eastAsia="仿宋" w:cs="仿宋"/>
          <w:color w:val="auto"/>
          <w:sz w:val="24"/>
          <w:highlight w:val="none"/>
        </w:rPr>
      </w:pPr>
    </w:p>
    <w:p w14:paraId="4CA9E790">
      <w:pPr>
        <w:rPr>
          <w:rFonts w:ascii="仿宋" w:hAnsi="仿宋" w:eastAsia="仿宋" w:cs="仿宋"/>
          <w:color w:val="auto"/>
          <w:sz w:val="24"/>
          <w:highlight w:val="none"/>
        </w:rPr>
      </w:pPr>
    </w:p>
    <w:p w14:paraId="34266531">
      <w:pPr>
        <w:rPr>
          <w:rFonts w:ascii="仿宋" w:hAnsi="仿宋" w:eastAsia="仿宋" w:cs="仿宋"/>
          <w:color w:val="auto"/>
          <w:sz w:val="24"/>
          <w:highlight w:val="none"/>
        </w:rPr>
      </w:pPr>
    </w:p>
    <w:p w14:paraId="016F630B">
      <w:pPr>
        <w:rPr>
          <w:rFonts w:ascii="仿宋" w:hAnsi="仿宋" w:eastAsia="仿宋" w:cs="仿宋"/>
          <w:color w:val="auto"/>
          <w:sz w:val="28"/>
          <w:highlight w:val="none"/>
          <w:u w:val="single"/>
        </w:rPr>
      </w:pPr>
      <w:r>
        <w:rPr>
          <w:rFonts w:hint="eastAsia" w:ascii="仿宋" w:hAnsi="仿宋" w:eastAsia="仿宋" w:cs="仿宋"/>
          <w:color w:val="auto"/>
          <w:sz w:val="28"/>
          <w:highlight w:val="none"/>
        </w:rPr>
        <w:t>项目名称：</w:t>
      </w:r>
    </w:p>
    <w:p w14:paraId="13F0C4E4">
      <w:pPr>
        <w:rPr>
          <w:rFonts w:ascii="仿宋" w:hAnsi="仿宋" w:eastAsia="仿宋" w:cs="仿宋"/>
          <w:color w:val="auto"/>
          <w:sz w:val="28"/>
          <w:highlight w:val="none"/>
          <w:u w:val="single"/>
        </w:rPr>
      </w:pPr>
    </w:p>
    <w:p w14:paraId="65176098">
      <w:pPr>
        <w:rPr>
          <w:rFonts w:ascii="仿宋" w:hAnsi="仿宋" w:eastAsia="仿宋" w:cs="仿宋"/>
          <w:color w:val="auto"/>
          <w:sz w:val="28"/>
          <w:highlight w:val="none"/>
          <w:u w:val="single"/>
        </w:rPr>
      </w:pPr>
    </w:p>
    <w:p w14:paraId="602BE9DA">
      <w:pPr>
        <w:rPr>
          <w:rFonts w:ascii="仿宋" w:hAnsi="仿宋" w:eastAsia="仿宋" w:cs="仿宋"/>
          <w:color w:val="auto"/>
          <w:sz w:val="28"/>
          <w:highlight w:val="none"/>
          <w:u w:val="single"/>
        </w:rPr>
      </w:pPr>
      <w:r>
        <w:rPr>
          <w:rFonts w:hint="eastAsia" w:ascii="仿宋" w:hAnsi="仿宋" w:eastAsia="仿宋" w:cs="仿宋"/>
          <w:color w:val="auto"/>
          <w:sz w:val="28"/>
          <w:highlight w:val="none"/>
        </w:rPr>
        <w:t>项目编号：</w:t>
      </w:r>
    </w:p>
    <w:p w14:paraId="7A96D66B">
      <w:pPr>
        <w:rPr>
          <w:rFonts w:ascii="仿宋" w:hAnsi="仿宋" w:eastAsia="仿宋" w:cs="仿宋"/>
          <w:color w:val="auto"/>
          <w:sz w:val="28"/>
          <w:highlight w:val="none"/>
          <w:u w:val="single"/>
        </w:rPr>
      </w:pPr>
    </w:p>
    <w:p w14:paraId="6692E575">
      <w:pPr>
        <w:rPr>
          <w:rFonts w:ascii="仿宋" w:hAnsi="仿宋" w:eastAsia="仿宋" w:cs="仿宋"/>
          <w:color w:val="auto"/>
          <w:sz w:val="28"/>
          <w:highlight w:val="none"/>
          <w:u w:val="single"/>
        </w:rPr>
      </w:pPr>
    </w:p>
    <w:p w14:paraId="331636EA">
      <w:pPr>
        <w:rPr>
          <w:rFonts w:ascii="仿宋" w:hAnsi="仿宋" w:eastAsia="仿宋" w:cs="仿宋"/>
          <w:color w:val="auto"/>
          <w:sz w:val="28"/>
          <w:highlight w:val="none"/>
          <w:u w:val="single"/>
        </w:rPr>
      </w:pPr>
    </w:p>
    <w:p w14:paraId="50D3B48E">
      <w:pPr>
        <w:rPr>
          <w:rFonts w:ascii="仿宋" w:hAnsi="仿宋" w:eastAsia="仿宋" w:cs="仿宋"/>
          <w:color w:val="auto"/>
          <w:sz w:val="28"/>
          <w:highlight w:val="none"/>
          <w:u w:val="single"/>
        </w:rPr>
      </w:pPr>
    </w:p>
    <w:p w14:paraId="0F3F6618">
      <w:pPr>
        <w:rPr>
          <w:rFonts w:ascii="仿宋" w:hAnsi="仿宋" w:eastAsia="仿宋" w:cs="仿宋"/>
          <w:color w:val="auto"/>
          <w:sz w:val="28"/>
          <w:highlight w:val="none"/>
          <w:u w:val="single"/>
        </w:rPr>
      </w:pPr>
    </w:p>
    <w:p w14:paraId="6FD0ADC8">
      <w:pPr>
        <w:rPr>
          <w:rFonts w:ascii="仿宋" w:hAnsi="仿宋" w:eastAsia="仿宋" w:cs="仿宋"/>
          <w:color w:val="auto"/>
          <w:sz w:val="28"/>
          <w:highlight w:val="none"/>
          <w:u w:val="single"/>
        </w:rPr>
      </w:pPr>
    </w:p>
    <w:p w14:paraId="2F1D52D6">
      <w:pPr>
        <w:rPr>
          <w:rFonts w:ascii="仿宋" w:hAnsi="仿宋" w:eastAsia="仿宋" w:cs="仿宋"/>
          <w:color w:val="auto"/>
          <w:sz w:val="28"/>
          <w:highlight w:val="none"/>
          <w:u w:val="single"/>
        </w:rPr>
      </w:pPr>
    </w:p>
    <w:p w14:paraId="5EBF9226">
      <w:pPr>
        <w:rPr>
          <w:rFonts w:ascii="仿宋" w:hAnsi="仿宋" w:eastAsia="仿宋" w:cs="仿宋"/>
          <w:color w:val="auto"/>
          <w:sz w:val="28"/>
          <w:highlight w:val="none"/>
          <w:u w:val="single"/>
        </w:rPr>
      </w:pPr>
    </w:p>
    <w:p w14:paraId="64AE7261">
      <w:pPr>
        <w:rPr>
          <w:rFonts w:ascii="仿宋" w:hAnsi="仿宋" w:eastAsia="仿宋" w:cs="仿宋"/>
          <w:color w:val="auto"/>
          <w:sz w:val="28"/>
          <w:highlight w:val="none"/>
          <w:u w:val="single"/>
        </w:rPr>
      </w:pPr>
    </w:p>
    <w:p w14:paraId="5ADA8514">
      <w:pPr>
        <w:jc w:val="center"/>
        <w:rPr>
          <w:rFonts w:ascii="仿宋" w:hAnsi="仿宋" w:eastAsia="仿宋" w:cs="仿宋"/>
          <w:color w:val="auto"/>
          <w:sz w:val="28"/>
          <w:highlight w:val="none"/>
        </w:rPr>
      </w:pPr>
    </w:p>
    <w:p w14:paraId="37D84C6A">
      <w:pPr>
        <w:jc w:val="center"/>
        <w:rPr>
          <w:rFonts w:ascii="仿宋" w:hAnsi="仿宋" w:eastAsia="仿宋" w:cs="仿宋"/>
          <w:color w:val="auto"/>
          <w:sz w:val="28"/>
          <w:highlight w:val="none"/>
        </w:rPr>
      </w:pPr>
      <w:r>
        <w:rPr>
          <w:rFonts w:hint="eastAsia" w:ascii="仿宋" w:hAnsi="仿宋" w:eastAsia="仿宋" w:cs="仿宋"/>
          <w:color w:val="auto"/>
          <w:sz w:val="28"/>
          <w:highlight w:val="none"/>
        </w:rPr>
        <w:t>单位（</w:t>
      </w:r>
      <w:r>
        <w:rPr>
          <w:rFonts w:hint="eastAsia" w:ascii="仿宋" w:hAnsi="仿宋" w:eastAsia="仿宋" w:cs="仿宋"/>
          <w:color w:val="auto"/>
          <w:sz w:val="24"/>
          <w:highlight w:val="none"/>
        </w:rPr>
        <w:t>签章</w:t>
      </w:r>
      <w:r>
        <w:rPr>
          <w:rFonts w:hint="eastAsia" w:ascii="仿宋" w:hAnsi="仿宋" w:eastAsia="仿宋" w:cs="仿宋"/>
          <w:color w:val="auto"/>
          <w:sz w:val="28"/>
          <w:highlight w:val="none"/>
        </w:rPr>
        <w:t>）</w:t>
      </w:r>
    </w:p>
    <w:p w14:paraId="329B710D">
      <w:pPr>
        <w:jc w:val="center"/>
        <w:rPr>
          <w:rFonts w:ascii="仿宋" w:hAnsi="仿宋" w:eastAsia="仿宋" w:cs="仿宋"/>
          <w:color w:val="auto"/>
          <w:sz w:val="28"/>
          <w:highlight w:val="none"/>
        </w:rPr>
      </w:pPr>
    </w:p>
    <w:p w14:paraId="18E2E292">
      <w:pPr>
        <w:jc w:val="center"/>
        <w:rPr>
          <w:rFonts w:ascii="仿宋" w:hAnsi="仿宋" w:eastAsia="仿宋" w:cs="仿宋"/>
          <w:color w:val="auto"/>
          <w:w w:val="80"/>
          <w:sz w:val="36"/>
          <w:highlight w:val="none"/>
        </w:rPr>
        <w:sectPr>
          <w:headerReference r:id="rId4" w:type="default"/>
          <w:footerReference r:id="rId5" w:type="default"/>
          <w:footerReference r:id="rId6" w:type="even"/>
          <w:pgSz w:w="11907" w:h="16840"/>
          <w:pgMar w:top="1474" w:right="1113" w:bottom="1474" w:left="1354" w:header="720" w:footer="720" w:gutter="0"/>
          <w:pgNumType w:fmt="decimal"/>
          <w:cols w:space="720" w:num="1"/>
          <w:titlePg/>
          <w:docGrid w:linePitch="285" w:charSpace="0"/>
        </w:sectPr>
      </w:pPr>
      <w:r>
        <w:rPr>
          <w:rFonts w:hint="eastAsia" w:ascii="仿宋" w:hAnsi="仿宋" w:eastAsia="仿宋" w:cs="仿宋"/>
          <w:color w:val="auto"/>
          <w:sz w:val="28"/>
          <w:highlight w:val="none"/>
        </w:rPr>
        <w:t>年月日</w:t>
      </w:r>
    </w:p>
    <w:p w14:paraId="41B15ED3">
      <w:pPr>
        <w:pStyle w:val="5"/>
        <w:spacing w:before="0" w:after="0" w:line="460" w:lineRule="exact"/>
        <w:jc w:val="center"/>
        <w:rPr>
          <w:rFonts w:ascii="仿宋" w:hAnsi="仿宋" w:eastAsia="仿宋" w:cs="仿宋"/>
          <w:color w:val="auto"/>
          <w:sz w:val="30"/>
          <w:szCs w:val="30"/>
          <w:highlight w:val="none"/>
        </w:rPr>
      </w:pPr>
      <w:bookmarkStart w:id="97" w:name="_Toc31842"/>
      <w:r>
        <w:rPr>
          <w:rFonts w:hint="eastAsia" w:ascii="仿宋" w:hAnsi="仿宋" w:eastAsia="仿宋" w:cs="仿宋"/>
          <w:color w:val="auto"/>
          <w:sz w:val="30"/>
          <w:szCs w:val="30"/>
          <w:highlight w:val="none"/>
        </w:rPr>
        <w:t>格式1.谈判响应书</w:t>
      </w:r>
      <w:bookmarkEnd w:id="97"/>
    </w:p>
    <w:p w14:paraId="48943E9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bCs/>
          <w:color w:val="auto"/>
          <w:sz w:val="24"/>
          <w:szCs w:val="24"/>
          <w:highlight w:val="none"/>
          <w:lang w:eastAsia="zh-CN"/>
        </w:rPr>
        <w:t>江西省壹凡工程咨询有限公司</w:t>
      </w:r>
    </w:p>
    <w:p w14:paraId="721CD014">
      <w:pPr>
        <w:spacing w:line="4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根据贵方为</w:t>
      </w:r>
      <w:r>
        <w:rPr>
          <w:rFonts w:hint="eastAsia" w:ascii="仿宋" w:hAnsi="仿宋" w:eastAsia="仿宋" w:cs="仿宋"/>
          <w:i/>
          <w:color w:val="auto"/>
          <w:sz w:val="24"/>
          <w:highlight w:val="none"/>
        </w:rPr>
        <w:t>(</w:t>
      </w:r>
      <w:r>
        <w:rPr>
          <w:rFonts w:hint="eastAsia" w:ascii="仿宋" w:hAnsi="仿宋" w:eastAsia="仿宋" w:cs="仿宋"/>
          <w:i/>
          <w:color w:val="auto"/>
          <w:sz w:val="24"/>
          <w:highlight w:val="none"/>
          <w:u w:val="single"/>
        </w:rPr>
        <w:t>项目名称</w:t>
      </w:r>
      <w:r>
        <w:rPr>
          <w:rFonts w:hint="eastAsia" w:ascii="仿宋" w:hAnsi="仿宋" w:eastAsia="仿宋" w:cs="仿宋"/>
          <w:i/>
          <w:color w:val="auto"/>
          <w:sz w:val="24"/>
          <w:highlight w:val="none"/>
        </w:rPr>
        <w:t>)</w:t>
      </w:r>
      <w:r>
        <w:rPr>
          <w:rFonts w:hint="eastAsia" w:ascii="仿宋" w:hAnsi="仿宋" w:eastAsia="仿宋" w:cs="仿宋"/>
          <w:color w:val="auto"/>
          <w:sz w:val="24"/>
          <w:highlight w:val="none"/>
        </w:rPr>
        <w:t>项目竞争性谈判采购相关服务的谈判邀请</w:t>
      </w:r>
      <w:r>
        <w:rPr>
          <w:rFonts w:hint="eastAsia" w:ascii="仿宋" w:hAnsi="仿宋" w:eastAsia="仿宋" w:cs="仿宋"/>
          <w:i/>
          <w:color w:val="auto"/>
          <w:sz w:val="24"/>
          <w:highlight w:val="none"/>
          <w:u w:val="single"/>
        </w:rPr>
        <w:t>(项目编号)</w:t>
      </w:r>
      <w:r>
        <w:rPr>
          <w:rFonts w:hint="eastAsia" w:ascii="仿宋" w:hAnsi="仿宋" w:eastAsia="仿宋" w:cs="仿宋"/>
          <w:color w:val="auto"/>
          <w:sz w:val="24"/>
          <w:highlight w:val="none"/>
        </w:rPr>
        <w:t>，签字代表</w:t>
      </w:r>
      <w:r>
        <w:rPr>
          <w:rFonts w:hint="eastAsia" w:ascii="仿宋" w:hAnsi="仿宋" w:eastAsia="仿宋" w:cs="仿宋"/>
          <w:i/>
          <w:color w:val="auto"/>
          <w:sz w:val="24"/>
          <w:highlight w:val="none"/>
        </w:rPr>
        <w:t>(</w:t>
      </w:r>
      <w:r>
        <w:rPr>
          <w:rFonts w:hint="eastAsia" w:ascii="仿宋" w:hAnsi="仿宋" w:eastAsia="仿宋" w:cs="仿宋"/>
          <w:i/>
          <w:color w:val="auto"/>
          <w:sz w:val="24"/>
          <w:highlight w:val="none"/>
          <w:u w:val="single"/>
        </w:rPr>
        <w:t>姓名、职务</w:t>
      </w:r>
      <w:r>
        <w:rPr>
          <w:rFonts w:hint="eastAsia" w:ascii="仿宋" w:hAnsi="仿宋" w:eastAsia="仿宋" w:cs="仿宋"/>
          <w:i/>
          <w:color w:val="auto"/>
          <w:sz w:val="24"/>
          <w:highlight w:val="none"/>
        </w:rPr>
        <w:t>)</w:t>
      </w:r>
      <w:r>
        <w:rPr>
          <w:rFonts w:hint="eastAsia" w:ascii="仿宋" w:hAnsi="仿宋" w:eastAsia="仿宋" w:cs="仿宋"/>
          <w:color w:val="auto"/>
          <w:sz w:val="24"/>
          <w:highlight w:val="none"/>
        </w:rPr>
        <w:t>经正式授权并代表我方</w:t>
      </w:r>
      <w:r>
        <w:rPr>
          <w:rFonts w:hint="eastAsia" w:ascii="仿宋" w:hAnsi="仿宋" w:eastAsia="仿宋" w:cs="仿宋"/>
          <w:i/>
          <w:color w:val="auto"/>
          <w:sz w:val="24"/>
          <w:highlight w:val="none"/>
          <w:u w:val="single"/>
        </w:rPr>
        <w:t>(单位名称、地址)</w:t>
      </w:r>
      <w:r>
        <w:rPr>
          <w:rFonts w:hint="eastAsia" w:ascii="仿宋" w:hAnsi="仿宋" w:eastAsia="仿宋" w:cs="仿宋"/>
          <w:color w:val="auto"/>
          <w:sz w:val="24"/>
          <w:highlight w:val="none"/>
        </w:rPr>
        <w:t>提交下述文件正本一份及副本</w:t>
      </w: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份:</w:t>
      </w:r>
    </w:p>
    <w:p w14:paraId="59954436">
      <w:pPr>
        <w:spacing w:line="460" w:lineRule="exact"/>
        <w:ind w:left="567" w:hanging="8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谈判响应书</w:t>
      </w:r>
    </w:p>
    <w:p w14:paraId="5EA4BD22">
      <w:pPr>
        <w:spacing w:line="460" w:lineRule="exact"/>
        <w:ind w:left="567" w:hanging="8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报价表</w:t>
      </w:r>
    </w:p>
    <w:p w14:paraId="577C6023">
      <w:pPr>
        <w:spacing w:line="460" w:lineRule="exact"/>
        <w:ind w:left="567" w:hanging="8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服务要求响应/偏离表</w:t>
      </w:r>
    </w:p>
    <w:p w14:paraId="445D2695">
      <w:pPr>
        <w:spacing w:line="460" w:lineRule="exact"/>
        <w:ind w:left="567" w:hanging="8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商务</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响应/偏离表</w:t>
      </w:r>
    </w:p>
    <w:p w14:paraId="346116F3">
      <w:pPr>
        <w:spacing w:line="460" w:lineRule="exact"/>
        <w:ind w:left="567" w:hanging="8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供应商情况一览表</w:t>
      </w:r>
    </w:p>
    <w:p w14:paraId="0EBEC9B6">
      <w:pPr>
        <w:spacing w:line="460" w:lineRule="exact"/>
        <w:ind w:left="567" w:hanging="8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技术文件</w:t>
      </w:r>
    </w:p>
    <w:p w14:paraId="6BC78252">
      <w:pPr>
        <w:spacing w:line="460" w:lineRule="exact"/>
        <w:ind w:left="567" w:hanging="8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资格证明文件</w:t>
      </w:r>
    </w:p>
    <w:p w14:paraId="24E5858F">
      <w:pPr>
        <w:spacing w:line="400" w:lineRule="exact"/>
        <w:ind w:left="707" w:hanging="283"/>
        <w:rPr>
          <w:rFonts w:ascii="仿宋" w:hAnsi="仿宋" w:eastAsia="仿宋" w:cs="仿宋"/>
          <w:color w:val="auto"/>
          <w:sz w:val="24"/>
          <w:highlight w:val="none"/>
        </w:rPr>
      </w:pPr>
    </w:p>
    <w:p w14:paraId="0EBAC994">
      <w:pPr>
        <w:spacing w:line="400" w:lineRule="exact"/>
        <w:ind w:left="707" w:hanging="283"/>
        <w:rPr>
          <w:rFonts w:ascii="仿宋" w:hAnsi="仿宋" w:eastAsia="仿宋" w:cs="仿宋"/>
          <w:color w:val="auto"/>
          <w:sz w:val="24"/>
          <w:highlight w:val="none"/>
        </w:rPr>
      </w:pPr>
      <w:r>
        <w:rPr>
          <w:rFonts w:hint="eastAsia" w:ascii="仿宋" w:hAnsi="仿宋" w:eastAsia="仿宋" w:cs="仿宋"/>
          <w:color w:val="auto"/>
          <w:sz w:val="24"/>
          <w:highlight w:val="none"/>
        </w:rPr>
        <w:t>据此函,签字代表宣布同意如下:</w:t>
      </w:r>
    </w:p>
    <w:p w14:paraId="3C6D2D1A">
      <w:pPr>
        <w:spacing w:line="400" w:lineRule="exact"/>
        <w:ind w:left="707" w:hanging="283"/>
        <w:rPr>
          <w:rFonts w:ascii="仿宋" w:hAnsi="仿宋" w:eastAsia="仿宋" w:cs="仿宋"/>
          <w:color w:val="auto"/>
          <w:sz w:val="24"/>
          <w:highlight w:val="none"/>
        </w:rPr>
      </w:pPr>
      <w:r>
        <w:rPr>
          <w:rFonts w:hint="eastAsia" w:ascii="仿宋" w:hAnsi="仿宋" w:eastAsia="仿宋" w:cs="仿宋"/>
          <w:color w:val="auto"/>
          <w:sz w:val="24"/>
          <w:highlight w:val="none"/>
        </w:rPr>
        <w:t>1. 所附报价表中规定的应提供的服务</w:t>
      </w:r>
      <w:r>
        <w:rPr>
          <w:rFonts w:hint="eastAsia" w:ascii="仿宋" w:hAnsi="仿宋" w:eastAsia="仿宋" w:cs="仿宋"/>
          <w:color w:val="auto"/>
          <w:sz w:val="24"/>
          <w:highlight w:val="none"/>
          <w:lang w:val="en-US" w:eastAsia="zh-CN"/>
        </w:rPr>
        <w:t>报价</w:t>
      </w:r>
      <w:r>
        <w:rPr>
          <w:rFonts w:hint="eastAsia" w:ascii="仿宋" w:hAnsi="仿宋" w:eastAsia="仿宋" w:cs="仿宋"/>
          <w:color w:val="auto"/>
          <w:sz w:val="24"/>
          <w:highlight w:val="none"/>
          <w:u w:val="single"/>
          <w:lang w:val="en-US" w:eastAsia="zh-CN"/>
        </w:rPr>
        <w:t xml:space="preserve"> 详见报价表 </w:t>
      </w:r>
      <w:r>
        <w:rPr>
          <w:rFonts w:hint="eastAsia" w:ascii="仿宋" w:hAnsi="仿宋" w:eastAsia="仿宋" w:cs="仿宋"/>
          <w:color w:val="auto"/>
          <w:sz w:val="24"/>
          <w:highlight w:val="none"/>
        </w:rPr>
        <w:t>。</w:t>
      </w:r>
    </w:p>
    <w:p w14:paraId="1521AA54">
      <w:pPr>
        <w:spacing w:line="400" w:lineRule="exact"/>
        <w:ind w:left="707" w:hanging="283"/>
        <w:rPr>
          <w:rFonts w:ascii="仿宋" w:hAnsi="仿宋" w:eastAsia="仿宋" w:cs="仿宋"/>
          <w:color w:val="auto"/>
          <w:sz w:val="24"/>
          <w:highlight w:val="none"/>
        </w:rPr>
      </w:pPr>
      <w:r>
        <w:rPr>
          <w:rFonts w:hint="eastAsia" w:ascii="仿宋" w:hAnsi="仿宋" w:eastAsia="仿宋" w:cs="仿宋"/>
          <w:color w:val="auto"/>
          <w:sz w:val="24"/>
          <w:highlight w:val="none"/>
        </w:rPr>
        <w:t>2. 我方将按谈判文件的规定履行合同责任和义务。</w:t>
      </w:r>
    </w:p>
    <w:p w14:paraId="58FBACC1">
      <w:pPr>
        <w:spacing w:line="400" w:lineRule="exact"/>
        <w:ind w:left="707" w:hanging="283"/>
        <w:rPr>
          <w:rFonts w:ascii="仿宋" w:hAnsi="仿宋" w:eastAsia="仿宋" w:cs="仿宋"/>
          <w:color w:val="auto"/>
          <w:sz w:val="24"/>
          <w:highlight w:val="none"/>
        </w:rPr>
      </w:pPr>
      <w:r>
        <w:rPr>
          <w:rFonts w:hint="eastAsia" w:ascii="仿宋" w:hAnsi="仿宋" w:eastAsia="仿宋" w:cs="仿宋"/>
          <w:color w:val="auto"/>
          <w:sz w:val="24"/>
          <w:highlight w:val="none"/>
        </w:rPr>
        <w:t>3. 我方已详细审查全部谈判文件，包括第</w:t>
      </w:r>
      <w:r>
        <w:rPr>
          <w:rFonts w:hint="eastAsia" w:ascii="仿宋" w:hAnsi="仿宋" w:eastAsia="仿宋" w:cs="仿宋"/>
          <w:color w:val="auto"/>
          <w:sz w:val="24"/>
          <w:highlight w:val="none"/>
          <w:u w:val="single"/>
        </w:rPr>
        <w:t>(编号、补遗函)(如果有的话)。</w:t>
      </w:r>
      <w:r>
        <w:rPr>
          <w:rFonts w:hint="eastAsia" w:ascii="仿宋" w:hAnsi="仿宋" w:eastAsia="仿宋" w:cs="仿宋"/>
          <w:color w:val="auto"/>
          <w:sz w:val="24"/>
          <w:highlight w:val="none"/>
        </w:rPr>
        <w:t>我们完全理解并同意放弃对这方面有不明及误解的权力。</w:t>
      </w:r>
    </w:p>
    <w:p w14:paraId="6DEA5114">
      <w:pPr>
        <w:spacing w:line="400" w:lineRule="exact"/>
        <w:ind w:left="707" w:hanging="283"/>
        <w:rPr>
          <w:rFonts w:ascii="仿宋" w:hAnsi="仿宋" w:eastAsia="仿宋" w:cs="仿宋"/>
          <w:color w:val="auto"/>
          <w:sz w:val="24"/>
          <w:highlight w:val="none"/>
        </w:rPr>
      </w:pPr>
      <w:r>
        <w:rPr>
          <w:rFonts w:hint="eastAsia" w:ascii="仿宋" w:hAnsi="仿宋" w:eastAsia="仿宋" w:cs="仿宋"/>
          <w:color w:val="auto"/>
          <w:sz w:val="24"/>
          <w:highlight w:val="none"/>
        </w:rPr>
        <w:t>4. 本谈判有效期为自谈判之日起</w:t>
      </w:r>
      <w:r>
        <w:rPr>
          <w:rFonts w:hint="eastAsia" w:ascii="仿宋" w:hAnsi="仿宋" w:eastAsia="仿宋" w:cs="仿宋"/>
          <w:color w:val="auto"/>
          <w:sz w:val="24"/>
          <w:highlight w:val="none"/>
          <w:u w:val="single"/>
        </w:rPr>
        <w:t xml:space="preserve"> 90 </w:t>
      </w:r>
      <w:r>
        <w:rPr>
          <w:rFonts w:hint="eastAsia" w:ascii="仿宋" w:hAnsi="仿宋" w:eastAsia="仿宋" w:cs="仿宋"/>
          <w:color w:val="auto"/>
          <w:sz w:val="24"/>
          <w:highlight w:val="none"/>
        </w:rPr>
        <w:t>天。</w:t>
      </w:r>
    </w:p>
    <w:p w14:paraId="3B23150D">
      <w:pPr>
        <w:spacing w:line="400" w:lineRule="exact"/>
        <w:ind w:left="707" w:hanging="283"/>
        <w:rPr>
          <w:rFonts w:ascii="仿宋" w:hAnsi="仿宋" w:eastAsia="仿宋" w:cs="仿宋"/>
          <w:color w:val="auto"/>
          <w:sz w:val="24"/>
          <w:highlight w:val="none"/>
        </w:rPr>
      </w:pPr>
      <w:r>
        <w:rPr>
          <w:rFonts w:hint="eastAsia" w:ascii="仿宋" w:hAnsi="仿宋" w:eastAsia="仿宋" w:cs="仿宋"/>
          <w:color w:val="auto"/>
          <w:sz w:val="24"/>
          <w:highlight w:val="none"/>
        </w:rPr>
        <w:t>5. 我方同意投标人须知中第14.2款关于没收投标保证金的规定；如果在规定的谈判时间后，我方在谈判有效期内撤回响应文件，接受采购人或代理机构上报财政监管部门处罚。</w:t>
      </w:r>
    </w:p>
    <w:p w14:paraId="79C6F95D">
      <w:pPr>
        <w:spacing w:line="400" w:lineRule="exact"/>
        <w:ind w:left="707" w:hanging="283"/>
        <w:rPr>
          <w:rFonts w:ascii="仿宋" w:hAnsi="仿宋" w:eastAsia="仿宋" w:cs="仿宋"/>
          <w:color w:val="auto"/>
          <w:sz w:val="24"/>
          <w:highlight w:val="none"/>
        </w:rPr>
      </w:pPr>
      <w:r>
        <w:rPr>
          <w:rFonts w:hint="eastAsia" w:ascii="仿宋" w:hAnsi="仿宋" w:eastAsia="仿宋" w:cs="仿宋"/>
          <w:color w:val="auto"/>
          <w:sz w:val="24"/>
          <w:highlight w:val="none"/>
        </w:rPr>
        <w:t>6. 我方同意提供按照贵方可能要求的与其谈判有关的一切数据或资料。</w:t>
      </w:r>
    </w:p>
    <w:p w14:paraId="617FCFDD">
      <w:pPr>
        <w:spacing w:line="400" w:lineRule="exact"/>
        <w:ind w:left="707" w:hanging="283"/>
        <w:rPr>
          <w:rFonts w:ascii="仿宋" w:hAnsi="仿宋" w:eastAsia="仿宋" w:cs="仿宋"/>
          <w:color w:val="auto"/>
          <w:sz w:val="24"/>
          <w:highlight w:val="none"/>
        </w:rPr>
      </w:pPr>
      <w:r>
        <w:rPr>
          <w:rFonts w:hint="eastAsia" w:ascii="仿宋" w:hAnsi="仿宋" w:eastAsia="仿宋" w:cs="仿宋"/>
          <w:color w:val="auto"/>
          <w:sz w:val="24"/>
          <w:highlight w:val="none"/>
        </w:rPr>
        <w:t>7. 与本谈判有关的一切正式往来信函请寄:</w:t>
      </w:r>
    </w:p>
    <w:p w14:paraId="5EE8CFAB">
      <w:pPr>
        <w:spacing w:line="400" w:lineRule="exact"/>
        <w:ind w:left="707" w:hanging="283"/>
        <w:rPr>
          <w:rFonts w:ascii="仿宋" w:hAnsi="仿宋" w:eastAsia="仿宋" w:cs="仿宋"/>
          <w:color w:val="auto"/>
          <w:sz w:val="24"/>
          <w:highlight w:val="none"/>
        </w:rPr>
      </w:pPr>
    </w:p>
    <w:p w14:paraId="31556F39">
      <w:pPr>
        <w:spacing w:line="432"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w:t>
      </w:r>
    </w:p>
    <w:p w14:paraId="6FB685BD">
      <w:pPr>
        <w:spacing w:line="432"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电子邮件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w:t>
      </w:r>
    </w:p>
    <w:p w14:paraId="667A63EA">
      <w:pPr>
        <w:spacing w:line="432" w:lineRule="auto"/>
        <w:rPr>
          <w:rFonts w:ascii="仿宋" w:hAnsi="仿宋" w:eastAsia="仿宋" w:cs="仿宋"/>
          <w:color w:val="auto"/>
          <w:sz w:val="24"/>
          <w:highlight w:val="none"/>
        </w:rPr>
      </w:pPr>
    </w:p>
    <w:p w14:paraId="55F8FCF0">
      <w:pPr>
        <w:spacing w:line="432"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法定代表人或委托代理签字或签章：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p>
    <w:p w14:paraId="62126D34">
      <w:pPr>
        <w:spacing w:line="432"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供应商签章</w:t>
      </w:r>
      <w:r>
        <w:rPr>
          <w:rFonts w:hint="eastAsia" w:ascii="仿宋" w:hAnsi="仿宋" w:eastAsia="仿宋" w:cs="仿宋"/>
          <w:color w:val="auto"/>
          <w:sz w:val="24"/>
          <w:highlight w:val="none"/>
          <w:u w:val="single"/>
          <w:lang w:val="en-US" w:eastAsia="zh-CN"/>
        </w:rPr>
        <w:t xml:space="preserve">                    </w:t>
      </w:r>
    </w:p>
    <w:p w14:paraId="224C5069">
      <w:pPr>
        <w:spacing w:line="432"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lang w:val="en-US" w:eastAsia="zh-CN"/>
        </w:rPr>
        <w:t xml:space="preserve">                    </w:t>
      </w:r>
    </w:p>
    <w:p w14:paraId="23B8AD18">
      <w:pPr>
        <w:spacing w:line="432" w:lineRule="auto"/>
        <w:jc w:val="center"/>
        <w:rPr>
          <w:rFonts w:hint="eastAsia" w:ascii="仿宋" w:hAnsi="仿宋" w:eastAsia="仿宋" w:cs="仿宋"/>
          <w:color w:val="auto"/>
          <w:sz w:val="28"/>
          <w:highlight w:val="none"/>
          <w:lang w:eastAsia="zh-CN"/>
        </w:rPr>
        <w:sectPr>
          <w:footerReference r:id="rId7" w:type="default"/>
          <w:pgSz w:w="11907" w:h="16840"/>
          <w:pgMar w:top="1474" w:right="1134" w:bottom="1474" w:left="1134" w:header="720" w:footer="720" w:gutter="0"/>
          <w:pgNumType w:fmt="decimal"/>
          <w:cols w:space="720" w:num="1"/>
          <w:docGrid w:linePitch="285" w:charSpace="0"/>
        </w:sectPr>
      </w:pPr>
    </w:p>
    <w:p w14:paraId="0995D7CC">
      <w:pPr>
        <w:pStyle w:val="5"/>
        <w:spacing w:before="0" w:after="0" w:line="460" w:lineRule="exact"/>
        <w:jc w:val="center"/>
        <w:rPr>
          <w:rFonts w:ascii="仿宋" w:hAnsi="仿宋" w:eastAsia="仿宋" w:cs="仿宋"/>
          <w:color w:val="auto"/>
          <w:sz w:val="30"/>
          <w:szCs w:val="30"/>
          <w:highlight w:val="none"/>
        </w:rPr>
      </w:pPr>
      <w:bookmarkStart w:id="98" w:name="_Toc14338"/>
      <w:r>
        <w:rPr>
          <w:rFonts w:hint="eastAsia" w:ascii="仿宋" w:hAnsi="仿宋" w:eastAsia="仿宋" w:cs="仿宋"/>
          <w:color w:val="auto"/>
          <w:sz w:val="30"/>
          <w:szCs w:val="30"/>
          <w:highlight w:val="none"/>
        </w:rPr>
        <w:t>格式2．报价表</w:t>
      </w:r>
      <w:bookmarkEnd w:id="98"/>
    </w:p>
    <w:p w14:paraId="3832C104">
      <w:pPr>
        <w:spacing w:line="120" w:lineRule="auto"/>
        <w:jc w:val="center"/>
        <w:rPr>
          <w:rFonts w:ascii="仿宋" w:hAnsi="仿宋" w:eastAsia="仿宋" w:cs="仿宋"/>
          <w:color w:val="auto"/>
          <w:sz w:val="28"/>
          <w:highlight w:val="none"/>
        </w:rPr>
      </w:pPr>
    </w:p>
    <w:p w14:paraId="506897A8">
      <w:pPr>
        <w:spacing w:line="43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项目编号：</w:t>
      </w:r>
    </w:p>
    <w:tbl>
      <w:tblPr>
        <w:tblStyle w:val="26"/>
        <w:tblW w:w="137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239"/>
        <w:gridCol w:w="1729"/>
        <w:gridCol w:w="802"/>
        <w:gridCol w:w="1219"/>
        <w:gridCol w:w="1667"/>
        <w:gridCol w:w="1587"/>
        <w:gridCol w:w="1713"/>
        <w:gridCol w:w="1917"/>
      </w:tblGrid>
      <w:tr w14:paraId="3B5BB8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7" w:type="dxa"/>
            <w:tcBorders>
              <w:top w:val="single" w:color="auto" w:sz="8" w:space="0"/>
            </w:tcBorders>
            <w:vAlign w:val="center"/>
          </w:tcPr>
          <w:p w14:paraId="2AB538C9">
            <w:pPr>
              <w:spacing w:line="432"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39" w:type="dxa"/>
            <w:tcBorders>
              <w:top w:val="single" w:color="auto" w:sz="8" w:space="0"/>
            </w:tcBorders>
            <w:vAlign w:val="center"/>
          </w:tcPr>
          <w:p w14:paraId="0675B176">
            <w:pPr>
              <w:spacing w:line="432"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名称</w:t>
            </w:r>
          </w:p>
        </w:tc>
        <w:tc>
          <w:tcPr>
            <w:tcW w:w="1729" w:type="dxa"/>
            <w:tcBorders>
              <w:top w:val="single" w:color="auto" w:sz="8" w:space="0"/>
            </w:tcBorders>
            <w:vAlign w:val="center"/>
          </w:tcPr>
          <w:p w14:paraId="4F8513BE">
            <w:pPr>
              <w:spacing w:line="432"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暂定运输</w:t>
            </w:r>
            <w:r>
              <w:rPr>
                <w:rFonts w:hint="eastAsia" w:ascii="仿宋" w:hAnsi="仿宋" w:eastAsia="仿宋" w:cs="仿宋"/>
                <w:color w:val="auto"/>
                <w:sz w:val="24"/>
                <w:szCs w:val="24"/>
                <w:highlight w:val="none"/>
              </w:rPr>
              <w:t>数量</w:t>
            </w:r>
          </w:p>
        </w:tc>
        <w:tc>
          <w:tcPr>
            <w:tcW w:w="802" w:type="dxa"/>
            <w:tcBorders>
              <w:top w:val="single" w:color="auto" w:sz="8" w:space="0"/>
            </w:tcBorders>
            <w:vAlign w:val="center"/>
          </w:tcPr>
          <w:p w14:paraId="276FD6C6">
            <w:pPr>
              <w:spacing w:line="432"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219" w:type="dxa"/>
            <w:tcBorders>
              <w:top w:val="single" w:color="auto" w:sz="8" w:space="0"/>
            </w:tcBorders>
            <w:shd w:val="clear" w:color="auto" w:fill="auto"/>
            <w:vAlign w:val="center"/>
          </w:tcPr>
          <w:p w14:paraId="79964AF3">
            <w:pPr>
              <w:spacing w:line="432"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服务期</w:t>
            </w:r>
          </w:p>
        </w:tc>
        <w:tc>
          <w:tcPr>
            <w:tcW w:w="1667" w:type="dxa"/>
            <w:tcBorders>
              <w:top w:val="single" w:color="auto" w:sz="8" w:space="0"/>
            </w:tcBorders>
            <w:shd w:val="clear" w:color="auto" w:fill="auto"/>
            <w:vAlign w:val="center"/>
          </w:tcPr>
          <w:p w14:paraId="72172765">
            <w:pPr>
              <w:spacing w:line="43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服务地点</w:t>
            </w:r>
          </w:p>
        </w:tc>
        <w:tc>
          <w:tcPr>
            <w:tcW w:w="1587" w:type="dxa"/>
            <w:tcBorders>
              <w:top w:val="single" w:color="auto" w:sz="8" w:space="0"/>
            </w:tcBorders>
            <w:shd w:val="clear" w:color="auto" w:fill="auto"/>
            <w:vAlign w:val="center"/>
          </w:tcPr>
          <w:p w14:paraId="2E0189CD">
            <w:pPr>
              <w:spacing w:line="432"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单价（元/吨）</w:t>
            </w:r>
          </w:p>
        </w:tc>
        <w:tc>
          <w:tcPr>
            <w:tcW w:w="1713" w:type="dxa"/>
            <w:tcBorders>
              <w:top w:val="single" w:color="auto" w:sz="8" w:space="0"/>
            </w:tcBorders>
            <w:shd w:val="clear" w:color="auto" w:fill="auto"/>
            <w:vAlign w:val="center"/>
          </w:tcPr>
          <w:p w14:paraId="5FF1FDF3">
            <w:pPr>
              <w:spacing w:line="43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总价</w:t>
            </w:r>
          </w:p>
        </w:tc>
        <w:tc>
          <w:tcPr>
            <w:tcW w:w="1917" w:type="dxa"/>
            <w:tcBorders>
              <w:top w:val="single" w:color="auto" w:sz="8" w:space="0"/>
            </w:tcBorders>
            <w:vAlign w:val="center"/>
          </w:tcPr>
          <w:p w14:paraId="626D3993">
            <w:pPr>
              <w:spacing w:line="432"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0BDE5D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887" w:type="dxa"/>
            <w:vAlign w:val="center"/>
          </w:tcPr>
          <w:p w14:paraId="6433DB30">
            <w:pPr>
              <w:spacing w:line="43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239" w:type="dxa"/>
            <w:vAlign w:val="center"/>
          </w:tcPr>
          <w:p w14:paraId="2A766108">
            <w:pPr>
              <w:spacing w:line="432"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运输</w:t>
            </w:r>
            <w:r>
              <w:rPr>
                <w:rFonts w:hint="eastAsia" w:ascii="仿宋" w:hAnsi="仿宋" w:eastAsia="仿宋" w:cs="仿宋"/>
                <w:color w:val="auto"/>
                <w:sz w:val="24"/>
                <w:szCs w:val="24"/>
                <w:highlight w:val="none"/>
                <w:lang w:val="en-US" w:eastAsia="zh-CN"/>
              </w:rPr>
              <w:t>服务</w:t>
            </w:r>
          </w:p>
        </w:tc>
        <w:tc>
          <w:tcPr>
            <w:tcW w:w="1729" w:type="dxa"/>
            <w:vAlign w:val="center"/>
          </w:tcPr>
          <w:p w14:paraId="7E9C4C06">
            <w:pPr>
              <w:spacing w:line="432"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100000.00</w:t>
            </w:r>
          </w:p>
        </w:tc>
        <w:tc>
          <w:tcPr>
            <w:tcW w:w="802" w:type="dxa"/>
            <w:vAlign w:val="center"/>
          </w:tcPr>
          <w:p w14:paraId="5C8555CB">
            <w:pPr>
              <w:spacing w:line="43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吨</w:t>
            </w:r>
          </w:p>
        </w:tc>
        <w:tc>
          <w:tcPr>
            <w:tcW w:w="1219" w:type="dxa"/>
            <w:shd w:val="clear" w:color="auto" w:fill="auto"/>
            <w:vAlign w:val="center"/>
          </w:tcPr>
          <w:p w14:paraId="2D4C3157">
            <w:pPr>
              <w:spacing w:line="432"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2年</w:t>
            </w:r>
          </w:p>
        </w:tc>
        <w:tc>
          <w:tcPr>
            <w:tcW w:w="1667" w:type="dxa"/>
            <w:shd w:val="clear" w:color="auto" w:fill="auto"/>
            <w:vAlign w:val="center"/>
          </w:tcPr>
          <w:p w14:paraId="2D6C3A69">
            <w:pPr>
              <w:spacing w:line="432"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瑞昌市境内</w:t>
            </w:r>
          </w:p>
        </w:tc>
        <w:tc>
          <w:tcPr>
            <w:tcW w:w="1587" w:type="dxa"/>
            <w:shd w:val="clear" w:color="auto" w:fill="auto"/>
            <w:vAlign w:val="center"/>
          </w:tcPr>
          <w:p w14:paraId="660D06DC">
            <w:pPr>
              <w:spacing w:line="432" w:lineRule="auto"/>
              <w:jc w:val="center"/>
              <w:rPr>
                <w:rFonts w:hint="default" w:ascii="仿宋" w:hAnsi="仿宋" w:eastAsia="仿宋" w:cs="仿宋"/>
                <w:color w:val="auto"/>
                <w:kern w:val="2"/>
                <w:sz w:val="24"/>
                <w:szCs w:val="24"/>
                <w:highlight w:val="none"/>
                <w:lang w:val="en-US" w:eastAsia="zh-CN" w:bidi="ar-SA"/>
              </w:rPr>
            </w:pPr>
          </w:p>
        </w:tc>
        <w:tc>
          <w:tcPr>
            <w:tcW w:w="1713" w:type="dxa"/>
            <w:shd w:val="clear" w:color="auto" w:fill="auto"/>
            <w:vAlign w:val="center"/>
          </w:tcPr>
          <w:p w14:paraId="0B1E68DC">
            <w:pPr>
              <w:spacing w:line="432" w:lineRule="auto"/>
              <w:jc w:val="center"/>
              <w:rPr>
                <w:rFonts w:hint="eastAsia" w:ascii="仿宋" w:hAnsi="仿宋" w:eastAsia="仿宋" w:cs="仿宋"/>
                <w:color w:val="auto"/>
                <w:kern w:val="2"/>
                <w:sz w:val="24"/>
                <w:szCs w:val="24"/>
                <w:highlight w:val="none"/>
                <w:lang w:val="en-US" w:eastAsia="zh-CN" w:bidi="ar-SA"/>
              </w:rPr>
            </w:pPr>
          </w:p>
        </w:tc>
        <w:tc>
          <w:tcPr>
            <w:tcW w:w="1917" w:type="dxa"/>
            <w:vAlign w:val="center"/>
          </w:tcPr>
          <w:p w14:paraId="622D2A91">
            <w:pPr>
              <w:spacing w:line="432" w:lineRule="auto"/>
              <w:jc w:val="center"/>
              <w:rPr>
                <w:rFonts w:ascii="仿宋" w:hAnsi="仿宋" w:eastAsia="仿宋" w:cs="仿宋"/>
                <w:color w:val="auto"/>
                <w:sz w:val="24"/>
                <w:szCs w:val="24"/>
                <w:highlight w:val="none"/>
              </w:rPr>
            </w:pPr>
          </w:p>
        </w:tc>
      </w:tr>
    </w:tbl>
    <w:p w14:paraId="52B8ACA4">
      <w:pPr>
        <w:spacing w:line="432" w:lineRule="auto"/>
        <w:rPr>
          <w:rFonts w:ascii="仿宋" w:hAnsi="仿宋" w:eastAsia="仿宋" w:cs="仿宋"/>
          <w:i/>
          <w:color w:val="auto"/>
          <w:sz w:val="24"/>
          <w:highlight w:val="none"/>
        </w:rPr>
      </w:pPr>
    </w:p>
    <w:p w14:paraId="3CC86273">
      <w:pPr>
        <w:pStyle w:val="17"/>
        <w:rPr>
          <w:rFonts w:ascii="仿宋" w:hAnsi="仿宋" w:eastAsia="仿宋" w:cs="仿宋"/>
          <w:i/>
          <w:color w:val="auto"/>
          <w:sz w:val="24"/>
          <w:highlight w:val="none"/>
        </w:rPr>
      </w:pPr>
    </w:p>
    <w:p w14:paraId="07784382">
      <w:pPr>
        <w:rPr>
          <w:color w:val="auto"/>
          <w:highlight w:val="none"/>
        </w:rPr>
      </w:pPr>
    </w:p>
    <w:p w14:paraId="2A70662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供应商签章：</w:t>
      </w:r>
    </w:p>
    <w:p w14:paraId="5711990F">
      <w:pPr>
        <w:spacing w:line="432"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法定代表人或委托代理签字或签章：  </w:t>
      </w:r>
    </w:p>
    <w:p w14:paraId="47D5DCB1">
      <w:pPr>
        <w:spacing w:line="432" w:lineRule="auto"/>
        <w:rPr>
          <w:rFonts w:ascii="仿宋" w:hAnsi="仿宋" w:eastAsia="仿宋" w:cs="仿宋"/>
          <w:color w:val="auto"/>
          <w:sz w:val="24"/>
          <w:highlight w:val="none"/>
        </w:rPr>
      </w:pPr>
    </w:p>
    <w:p w14:paraId="2F71BAE8">
      <w:pPr>
        <w:spacing w:line="432" w:lineRule="auto"/>
        <w:rPr>
          <w:rFonts w:ascii="仿宋" w:hAnsi="仿宋" w:eastAsia="仿宋" w:cs="仿宋"/>
          <w:color w:val="auto"/>
          <w:sz w:val="24"/>
          <w:highlight w:val="none"/>
        </w:rPr>
      </w:pPr>
    </w:p>
    <w:p w14:paraId="4E651280">
      <w:pPr>
        <w:pStyle w:val="5"/>
        <w:spacing w:before="0" w:after="0" w:line="460" w:lineRule="exact"/>
        <w:jc w:val="center"/>
        <w:rPr>
          <w:rFonts w:ascii="仿宋" w:hAnsi="仿宋" w:eastAsia="仿宋" w:cs="仿宋"/>
          <w:color w:val="auto"/>
          <w:sz w:val="24"/>
          <w:highlight w:val="none"/>
        </w:rPr>
        <w:sectPr>
          <w:footerReference r:id="rId8" w:type="default"/>
          <w:footerReference r:id="rId9" w:type="even"/>
          <w:pgSz w:w="16840" w:h="11907" w:orient="landscape"/>
          <w:pgMar w:top="1134" w:right="1474" w:bottom="1814" w:left="1474" w:header="720" w:footer="720" w:gutter="0"/>
          <w:pgNumType w:fmt="decimal"/>
          <w:cols w:space="720" w:num="1"/>
          <w:docGrid w:linePitch="285" w:charSpace="0"/>
        </w:sectPr>
      </w:pPr>
    </w:p>
    <w:p w14:paraId="5289EB86">
      <w:pPr>
        <w:pStyle w:val="5"/>
        <w:spacing w:before="0" w:after="0" w:line="460" w:lineRule="exact"/>
        <w:jc w:val="center"/>
        <w:rPr>
          <w:rFonts w:ascii="仿宋" w:hAnsi="仿宋" w:eastAsia="仿宋" w:cs="仿宋"/>
          <w:color w:val="auto"/>
          <w:sz w:val="30"/>
          <w:szCs w:val="30"/>
          <w:highlight w:val="none"/>
        </w:rPr>
      </w:pPr>
      <w:bookmarkStart w:id="99" w:name="_Toc31860"/>
      <w:r>
        <w:rPr>
          <w:rFonts w:hint="eastAsia" w:ascii="仿宋" w:hAnsi="仿宋" w:eastAsia="仿宋" w:cs="仿宋"/>
          <w:color w:val="auto"/>
          <w:sz w:val="30"/>
          <w:szCs w:val="30"/>
          <w:highlight w:val="none"/>
        </w:rPr>
        <w:t>格式</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w:t>
      </w:r>
      <w:bookmarkEnd w:id="99"/>
      <w:r>
        <w:rPr>
          <w:rFonts w:hint="eastAsia" w:ascii="仿宋" w:hAnsi="仿宋" w:eastAsia="仿宋" w:cs="仿宋"/>
          <w:color w:val="auto"/>
          <w:sz w:val="30"/>
          <w:szCs w:val="30"/>
          <w:highlight w:val="none"/>
          <w:lang w:eastAsia="zh-CN"/>
        </w:rPr>
        <w:t>服务要求响应/偏离表</w:t>
      </w:r>
    </w:p>
    <w:p w14:paraId="6B476C13">
      <w:pPr>
        <w:rPr>
          <w:rFonts w:ascii="仿宋" w:hAnsi="仿宋" w:eastAsia="仿宋" w:cs="仿宋"/>
          <w:color w:val="auto"/>
          <w:highlight w:val="none"/>
        </w:rPr>
      </w:pPr>
    </w:p>
    <w:p w14:paraId="46431691">
      <w:pPr>
        <w:pStyle w:val="5"/>
        <w:spacing w:before="0" w:after="0" w:line="460" w:lineRule="exact"/>
        <w:rPr>
          <w:rFonts w:ascii="仿宋" w:hAnsi="仿宋" w:eastAsia="仿宋" w:cs="仿宋"/>
          <w:b w:val="0"/>
          <w:color w:val="auto"/>
          <w:sz w:val="24"/>
          <w:szCs w:val="24"/>
          <w:highlight w:val="none"/>
        </w:rPr>
      </w:pPr>
      <w:bookmarkStart w:id="100" w:name="_Toc505076482"/>
      <w:bookmarkStart w:id="101" w:name="_Toc13377"/>
      <w:r>
        <w:rPr>
          <w:rFonts w:hint="eastAsia" w:ascii="仿宋" w:hAnsi="仿宋" w:eastAsia="仿宋" w:cs="仿宋"/>
          <w:b w:val="0"/>
          <w:color w:val="auto"/>
          <w:sz w:val="24"/>
          <w:szCs w:val="24"/>
          <w:highlight w:val="none"/>
        </w:rPr>
        <w:t>项目编号：</w:t>
      </w:r>
      <w:bookmarkEnd w:id="100"/>
      <w:bookmarkEnd w:id="101"/>
    </w:p>
    <w:tbl>
      <w:tblPr>
        <w:tblStyle w:val="26"/>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00"/>
        <w:gridCol w:w="2975"/>
        <w:gridCol w:w="920"/>
        <w:gridCol w:w="1222"/>
      </w:tblGrid>
      <w:tr w14:paraId="2A14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828" w:type="dxa"/>
            <w:vAlign w:val="center"/>
          </w:tcPr>
          <w:p w14:paraId="5FE4F33F">
            <w:pPr>
              <w:spacing w:line="432"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000" w:type="dxa"/>
            <w:vAlign w:val="center"/>
          </w:tcPr>
          <w:p w14:paraId="2A12FE9E">
            <w:pPr>
              <w:spacing w:line="432"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谈判文件</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要求</w:t>
            </w:r>
          </w:p>
        </w:tc>
        <w:tc>
          <w:tcPr>
            <w:tcW w:w="2975" w:type="dxa"/>
            <w:vAlign w:val="center"/>
          </w:tcPr>
          <w:p w14:paraId="4ECB9728">
            <w:pPr>
              <w:spacing w:line="432"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要求响应</w:t>
            </w:r>
          </w:p>
        </w:tc>
        <w:tc>
          <w:tcPr>
            <w:tcW w:w="920" w:type="dxa"/>
            <w:vAlign w:val="center"/>
          </w:tcPr>
          <w:p w14:paraId="65088B0F">
            <w:pPr>
              <w:spacing w:line="432"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响应/偏离</w:t>
            </w:r>
          </w:p>
        </w:tc>
        <w:tc>
          <w:tcPr>
            <w:tcW w:w="1222" w:type="dxa"/>
            <w:vAlign w:val="center"/>
          </w:tcPr>
          <w:p w14:paraId="1540CDCF">
            <w:pPr>
              <w:spacing w:line="432"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说明</w:t>
            </w:r>
          </w:p>
        </w:tc>
      </w:tr>
      <w:tr w14:paraId="5C94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828" w:type="dxa"/>
          </w:tcPr>
          <w:p w14:paraId="57547E1D">
            <w:pPr>
              <w:spacing w:line="432" w:lineRule="auto"/>
              <w:rPr>
                <w:rFonts w:ascii="仿宋" w:hAnsi="仿宋" w:eastAsia="仿宋" w:cs="仿宋"/>
                <w:color w:val="auto"/>
                <w:sz w:val="24"/>
                <w:highlight w:val="none"/>
              </w:rPr>
            </w:pPr>
          </w:p>
        </w:tc>
        <w:tc>
          <w:tcPr>
            <w:tcW w:w="3000" w:type="dxa"/>
          </w:tcPr>
          <w:p w14:paraId="2A56F414">
            <w:pPr>
              <w:spacing w:line="432" w:lineRule="auto"/>
              <w:rPr>
                <w:rFonts w:ascii="仿宋" w:hAnsi="仿宋" w:eastAsia="仿宋" w:cs="仿宋"/>
                <w:color w:val="auto"/>
                <w:sz w:val="24"/>
                <w:highlight w:val="none"/>
              </w:rPr>
            </w:pPr>
          </w:p>
        </w:tc>
        <w:tc>
          <w:tcPr>
            <w:tcW w:w="2975" w:type="dxa"/>
          </w:tcPr>
          <w:p w14:paraId="3FEFA3D8">
            <w:pPr>
              <w:spacing w:line="432" w:lineRule="auto"/>
              <w:rPr>
                <w:rFonts w:ascii="仿宋" w:hAnsi="仿宋" w:eastAsia="仿宋" w:cs="仿宋"/>
                <w:color w:val="auto"/>
                <w:sz w:val="24"/>
                <w:highlight w:val="none"/>
              </w:rPr>
            </w:pPr>
          </w:p>
        </w:tc>
        <w:tc>
          <w:tcPr>
            <w:tcW w:w="920" w:type="dxa"/>
          </w:tcPr>
          <w:p w14:paraId="19DEC0ED">
            <w:pPr>
              <w:spacing w:line="432" w:lineRule="auto"/>
              <w:rPr>
                <w:rFonts w:ascii="仿宋" w:hAnsi="仿宋" w:eastAsia="仿宋" w:cs="仿宋"/>
                <w:color w:val="auto"/>
                <w:sz w:val="24"/>
                <w:highlight w:val="none"/>
              </w:rPr>
            </w:pPr>
          </w:p>
        </w:tc>
        <w:tc>
          <w:tcPr>
            <w:tcW w:w="1222" w:type="dxa"/>
          </w:tcPr>
          <w:p w14:paraId="5F429109">
            <w:pPr>
              <w:spacing w:line="432" w:lineRule="auto"/>
              <w:rPr>
                <w:rFonts w:ascii="仿宋" w:hAnsi="仿宋" w:eastAsia="仿宋" w:cs="仿宋"/>
                <w:color w:val="auto"/>
                <w:sz w:val="24"/>
                <w:highlight w:val="none"/>
              </w:rPr>
            </w:pPr>
          </w:p>
        </w:tc>
      </w:tr>
      <w:tr w14:paraId="2645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28" w:type="dxa"/>
          </w:tcPr>
          <w:p w14:paraId="52708CDE">
            <w:pPr>
              <w:spacing w:line="432" w:lineRule="auto"/>
              <w:rPr>
                <w:rFonts w:ascii="仿宋" w:hAnsi="仿宋" w:eastAsia="仿宋" w:cs="仿宋"/>
                <w:color w:val="auto"/>
                <w:sz w:val="24"/>
                <w:highlight w:val="none"/>
              </w:rPr>
            </w:pPr>
          </w:p>
        </w:tc>
        <w:tc>
          <w:tcPr>
            <w:tcW w:w="3000" w:type="dxa"/>
          </w:tcPr>
          <w:p w14:paraId="6C604FE1">
            <w:pPr>
              <w:spacing w:line="432" w:lineRule="auto"/>
              <w:rPr>
                <w:rFonts w:ascii="仿宋" w:hAnsi="仿宋" w:eastAsia="仿宋" w:cs="仿宋"/>
                <w:color w:val="auto"/>
                <w:sz w:val="24"/>
                <w:highlight w:val="none"/>
              </w:rPr>
            </w:pPr>
          </w:p>
        </w:tc>
        <w:tc>
          <w:tcPr>
            <w:tcW w:w="2975" w:type="dxa"/>
          </w:tcPr>
          <w:p w14:paraId="6B7051E6">
            <w:pPr>
              <w:spacing w:line="432" w:lineRule="auto"/>
              <w:rPr>
                <w:rFonts w:ascii="仿宋" w:hAnsi="仿宋" w:eastAsia="仿宋" w:cs="仿宋"/>
                <w:color w:val="auto"/>
                <w:sz w:val="24"/>
                <w:highlight w:val="none"/>
              </w:rPr>
            </w:pPr>
          </w:p>
        </w:tc>
        <w:tc>
          <w:tcPr>
            <w:tcW w:w="920" w:type="dxa"/>
          </w:tcPr>
          <w:p w14:paraId="26F7EAB5">
            <w:pPr>
              <w:spacing w:line="432" w:lineRule="auto"/>
              <w:rPr>
                <w:rFonts w:ascii="仿宋" w:hAnsi="仿宋" w:eastAsia="仿宋" w:cs="仿宋"/>
                <w:color w:val="auto"/>
                <w:sz w:val="24"/>
                <w:highlight w:val="none"/>
              </w:rPr>
            </w:pPr>
          </w:p>
        </w:tc>
        <w:tc>
          <w:tcPr>
            <w:tcW w:w="1222" w:type="dxa"/>
          </w:tcPr>
          <w:p w14:paraId="5A79763A">
            <w:pPr>
              <w:spacing w:line="432" w:lineRule="auto"/>
              <w:rPr>
                <w:rFonts w:ascii="仿宋" w:hAnsi="仿宋" w:eastAsia="仿宋" w:cs="仿宋"/>
                <w:color w:val="auto"/>
                <w:sz w:val="24"/>
                <w:highlight w:val="none"/>
              </w:rPr>
            </w:pPr>
          </w:p>
        </w:tc>
      </w:tr>
      <w:tr w14:paraId="0B68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28" w:type="dxa"/>
          </w:tcPr>
          <w:p w14:paraId="47F4B76D">
            <w:pPr>
              <w:spacing w:line="432" w:lineRule="auto"/>
              <w:rPr>
                <w:rFonts w:ascii="仿宋" w:hAnsi="仿宋" w:eastAsia="仿宋" w:cs="仿宋"/>
                <w:color w:val="auto"/>
                <w:sz w:val="24"/>
                <w:highlight w:val="none"/>
              </w:rPr>
            </w:pPr>
          </w:p>
        </w:tc>
        <w:tc>
          <w:tcPr>
            <w:tcW w:w="3000" w:type="dxa"/>
          </w:tcPr>
          <w:p w14:paraId="2D7B990A">
            <w:pPr>
              <w:spacing w:line="432" w:lineRule="auto"/>
              <w:rPr>
                <w:rFonts w:ascii="仿宋" w:hAnsi="仿宋" w:eastAsia="仿宋" w:cs="仿宋"/>
                <w:color w:val="auto"/>
                <w:sz w:val="24"/>
                <w:highlight w:val="none"/>
              </w:rPr>
            </w:pPr>
          </w:p>
        </w:tc>
        <w:tc>
          <w:tcPr>
            <w:tcW w:w="2975" w:type="dxa"/>
          </w:tcPr>
          <w:p w14:paraId="75DCDC09">
            <w:pPr>
              <w:spacing w:line="432" w:lineRule="auto"/>
              <w:rPr>
                <w:rFonts w:ascii="仿宋" w:hAnsi="仿宋" w:eastAsia="仿宋" w:cs="仿宋"/>
                <w:color w:val="auto"/>
                <w:sz w:val="24"/>
                <w:highlight w:val="none"/>
              </w:rPr>
            </w:pPr>
          </w:p>
        </w:tc>
        <w:tc>
          <w:tcPr>
            <w:tcW w:w="920" w:type="dxa"/>
          </w:tcPr>
          <w:p w14:paraId="13A2EFF6">
            <w:pPr>
              <w:spacing w:line="432" w:lineRule="auto"/>
              <w:rPr>
                <w:rFonts w:ascii="仿宋" w:hAnsi="仿宋" w:eastAsia="仿宋" w:cs="仿宋"/>
                <w:color w:val="auto"/>
                <w:sz w:val="24"/>
                <w:highlight w:val="none"/>
              </w:rPr>
            </w:pPr>
          </w:p>
        </w:tc>
        <w:tc>
          <w:tcPr>
            <w:tcW w:w="1222" w:type="dxa"/>
          </w:tcPr>
          <w:p w14:paraId="2DF4AED4">
            <w:pPr>
              <w:spacing w:line="432" w:lineRule="auto"/>
              <w:rPr>
                <w:rFonts w:ascii="仿宋" w:hAnsi="仿宋" w:eastAsia="仿宋" w:cs="仿宋"/>
                <w:color w:val="auto"/>
                <w:sz w:val="24"/>
                <w:highlight w:val="none"/>
              </w:rPr>
            </w:pPr>
          </w:p>
        </w:tc>
      </w:tr>
      <w:tr w14:paraId="4098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28" w:type="dxa"/>
          </w:tcPr>
          <w:p w14:paraId="0E41A176">
            <w:pPr>
              <w:spacing w:line="432" w:lineRule="auto"/>
              <w:rPr>
                <w:rFonts w:ascii="仿宋" w:hAnsi="仿宋" w:eastAsia="仿宋" w:cs="仿宋"/>
                <w:color w:val="auto"/>
                <w:sz w:val="24"/>
                <w:highlight w:val="none"/>
              </w:rPr>
            </w:pPr>
          </w:p>
        </w:tc>
        <w:tc>
          <w:tcPr>
            <w:tcW w:w="3000" w:type="dxa"/>
          </w:tcPr>
          <w:p w14:paraId="2E8DFE63">
            <w:pPr>
              <w:spacing w:line="432" w:lineRule="auto"/>
              <w:rPr>
                <w:rFonts w:ascii="仿宋" w:hAnsi="仿宋" w:eastAsia="仿宋" w:cs="仿宋"/>
                <w:color w:val="auto"/>
                <w:sz w:val="24"/>
                <w:highlight w:val="none"/>
              </w:rPr>
            </w:pPr>
          </w:p>
        </w:tc>
        <w:tc>
          <w:tcPr>
            <w:tcW w:w="2975" w:type="dxa"/>
          </w:tcPr>
          <w:p w14:paraId="5ED8F3DA">
            <w:pPr>
              <w:spacing w:line="432" w:lineRule="auto"/>
              <w:rPr>
                <w:rFonts w:ascii="仿宋" w:hAnsi="仿宋" w:eastAsia="仿宋" w:cs="仿宋"/>
                <w:color w:val="auto"/>
                <w:sz w:val="24"/>
                <w:highlight w:val="none"/>
              </w:rPr>
            </w:pPr>
          </w:p>
        </w:tc>
        <w:tc>
          <w:tcPr>
            <w:tcW w:w="920" w:type="dxa"/>
          </w:tcPr>
          <w:p w14:paraId="72F84954">
            <w:pPr>
              <w:spacing w:line="432" w:lineRule="auto"/>
              <w:rPr>
                <w:rFonts w:ascii="仿宋" w:hAnsi="仿宋" w:eastAsia="仿宋" w:cs="仿宋"/>
                <w:color w:val="auto"/>
                <w:sz w:val="24"/>
                <w:highlight w:val="none"/>
              </w:rPr>
            </w:pPr>
          </w:p>
        </w:tc>
        <w:tc>
          <w:tcPr>
            <w:tcW w:w="1222" w:type="dxa"/>
          </w:tcPr>
          <w:p w14:paraId="61CB8BCF">
            <w:pPr>
              <w:spacing w:line="432" w:lineRule="auto"/>
              <w:rPr>
                <w:rFonts w:ascii="仿宋" w:hAnsi="仿宋" w:eastAsia="仿宋" w:cs="仿宋"/>
                <w:color w:val="auto"/>
                <w:sz w:val="24"/>
                <w:highlight w:val="none"/>
              </w:rPr>
            </w:pPr>
          </w:p>
        </w:tc>
      </w:tr>
      <w:tr w14:paraId="0D78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828" w:type="dxa"/>
          </w:tcPr>
          <w:p w14:paraId="14C7B23F">
            <w:pPr>
              <w:spacing w:line="432" w:lineRule="auto"/>
              <w:rPr>
                <w:rFonts w:ascii="仿宋" w:hAnsi="仿宋" w:eastAsia="仿宋" w:cs="仿宋"/>
                <w:color w:val="auto"/>
                <w:sz w:val="24"/>
                <w:highlight w:val="none"/>
              </w:rPr>
            </w:pPr>
          </w:p>
        </w:tc>
        <w:tc>
          <w:tcPr>
            <w:tcW w:w="3000" w:type="dxa"/>
          </w:tcPr>
          <w:p w14:paraId="7C5A626A">
            <w:pPr>
              <w:spacing w:line="432" w:lineRule="auto"/>
              <w:rPr>
                <w:rFonts w:ascii="仿宋" w:hAnsi="仿宋" w:eastAsia="仿宋" w:cs="仿宋"/>
                <w:color w:val="auto"/>
                <w:sz w:val="24"/>
                <w:highlight w:val="none"/>
              </w:rPr>
            </w:pPr>
          </w:p>
        </w:tc>
        <w:tc>
          <w:tcPr>
            <w:tcW w:w="2975" w:type="dxa"/>
          </w:tcPr>
          <w:p w14:paraId="40280048">
            <w:pPr>
              <w:spacing w:line="432" w:lineRule="auto"/>
              <w:rPr>
                <w:rFonts w:ascii="仿宋" w:hAnsi="仿宋" w:eastAsia="仿宋" w:cs="仿宋"/>
                <w:color w:val="auto"/>
                <w:sz w:val="24"/>
                <w:highlight w:val="none"/>
              </w:rPr>
            </w:pPr>
          </w:p>
        </w:tc>
        <w:tc>
          <w:tcPr>
            <w:tcW w:w="920" w:type="dxa"/>
          </w:tcPr>
          <w:p w14:paraId="66C10047">
            <w:pPr>
              <w:spacing w:line="432" w:lineRule="auto"/>
              <w:rPr>
                <w:rFonts w:ascii="仿宋" w:hAnsi="仿宋" w:eastAsia="仿宋" w:cs="仿宋"/>
                <w:color w:val="auto"/>
                <w:sz w:val="24"/>
                <w:highlight w:val="none"/>
              </w:rPr>
            </w:pPr>
          </w:p>
        </w:tc>
        <w:tc>
          <w:tcPr>
            <w:tcW w:w="1222" w:type="dxa"/>
          </w:tcPr>
          <w:p w14:paraId="4AAACC02">
            <w:pPr>
              <w:spacing w:line="432" w:lineRule="auto"/>
              <w:rPr>
                <w:rFonts w:ascii="仿宋" w:hAnsi="仿宋" w:eastAsia="仿宋" w:cs="仿宋"/>
                <w:color w:val="auto"/>
                <w:sz w:val="24"/>
                <w:highlight w:val="none"/>
              </w:rPr>
            </w:pPr>
          </w:p>
        </w:tc>
      </w:tr>
      <w:tr w14:paraId="706D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28" w:type="dxa"/>
          </w:tcPr>
          <w:p w14:paraId="608B037C">
            <w:pPr>
              <w:spacing w:line="432" w:lineRule="auto"/>
              <w:rPr>
                <w:rFonts w:ascii="仿宋" w:hAnsi="仿宋" w:eastAsia="仿宋" w:cs="仿宋"/>
                <w:color w:val="auto"/>
                <w:sz w:val="24"/>
                <w:highlight w:val="none"/>
              </w:rPr>
            </w:pPr>
          </w:p>
        </w:tc>
        <w:tc>
          <w:tcPr>
            <w:tcW w:w="3000" w:type="dxa"/>
          </w:tcPr>
          <w:p w14:paraId="4742DE61">
            <w:pPr>
              <w:spacing w:line="432" w:lineRule="auto"/>
              <w:rPr>
                <w:rFonts w:ascii="仿宋" w:hAnsi="仿宋" w:eastAsia="仿宋" w:cs="仿宋"/>
                <w:color w:val="auto"/>
                <w:sz w:val="24"/>
                <w:highlight w:val="none"/>
              </w:rPr>
            </w:pPr>
          </w:p>
        </w:tc>
        <w:tc>
          <w:tcPr>
            <w:tcW w:w="2975" w:type="dxa"/>
          </w:tcPr>
          <w:p w14:paraId="789CA9C2">
            <w:pPr>
              <w:spacing w:line="432" w:lineRule="auto"/>
              <w:rPr>
                <w:rFonts w:ascii="仿宋" w:hAnsi="仿宋" w:eastAsia="仿宋" w:cs="仿宋"/>
                <w:color w:val="auto"/>
                <w:sz w:val="24"/>
                <w:highlight w:val="none"/>
              </w:rPr>
            </w:pPr>
          </w:p>
        </w:tc>
        <w:tc>
          <w:tcPr>
            <w:tcW w:w="920" w:type="dxa"/>
          </w:tcPr>
          <w:p w14:paraId="68F193AD">
            <w:pPr>
              <w:spacing w:line="432" w:lineRule="auto"/>
              <w:rPr>
                <w:rFonts w:ascii="仿宋" w:hAnsi="仿宋" w:eastAsia="仿宋" w:cs="仿宋"/>
                <w:color w:val="auto"/>
                <w:sz w:val="24"/>
                <w:highlight w:val="none"/>
              </w:rPr>
            </w:pPr>
          </w:p>
        </w:tc>
        <w:tc>
          <w:tcPr>
            <w:tcW w:w="1222" w:type="dxa"/>
          </w:tcPr>
          <w:p w14:paraId="562307D7">
            <w:pPr>
              <w:spacing w:line="432" w:lineRule="auto"/>
              <w:rPr>
                <w:rFonts w:ascii="仿宋" w:hAnsi="仿宋" w:eastAsia="仿宋" w:cs="仿宋"/>
                <w:color w:val="auto"/>
                <w:sz w:val="24"/>
                <w:highlight w:val="none"/>
              </w:rPr>
            </w:pPr>
          </w:p>
        </w:tc>
      </w:tr>
      <w:tr w14:paraId="1F92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28" w:type="dxa"/>
          </w:tcPr>
          <w:p w14:paraId="1602EC46">
            <w:pPr>
              <w:spacing w:line="432" w:lineRule="auto"/>
              <w:rPr>
                <w:rFonts w:ascii="仿宋" w:hAnsi="仿宋" w:eastAsia="仿宋" w:cs="仿宋"/>
                <w:color w:val="auto"/>
                <w:sz w:val="24"/>
                <w:highlight w:val="none"/>
              </w:rPr>
            </w:pPr>
          </w:p>
        </w:tc>
        <w:tc>
          <w:tcPr>
            <w:tcW w:w="3000" w:type="dxa"/>
          </w:tcPr>
          <w:p w14:paraId="2B86DE0E">
            <w:pPr>
              <w:spacing w:line="432" w:lineRule="auto"/>
              <w:rPr>
                <w:rFonts w:ascii="仿宋" w:hAnsi="仿宋" w:eastAsia="仿宋" w:cs="仿宋"/>
                <w:color w:val="auto"/>
                <w:sz w:val="24"/>
                <w:highlight w:val="none"/>
              </w:rPr>
            </w:pPr>
          </w:p>
        </w:tc>
        <w:tc>
          <w:tcPr>
            <w:tcW w:w="2975" w:type="dxa"/>
          </w:tcPr>
          <w:p w14:paraId="5E4E02C9">
            <w:pPr>
              <w:spacing w:line="432" w:lineRule="auto"/>
              <w:rPr>
                <w:rFonts w:ascii="仿宋" w:hAnsi="仿宋" w:eastAsia="仿宋" w:cs="仿宋"/>
                <w:color w:val="auto"/>
                <w:sz w:val="24"/>
                <w:highlight w:val="none"/>
              </w:rPr>
            </w:pPr>
          </w:p>
        </w:tc>
        <w:tc>
          <w:tcPr>
            <w:tcW w:w="920" w:type="dxa"/>
          </w:tcPr>
          <w:p w14:paraId="58428800">
            <w:pPr>
              <w:spacing w:line="432" w:lineRule="auto"/>
              <w:rPr>
                <w:rFonts w:ascii="仿宋" w:hAnsi="仿宋" w:eastAsia="仿宋" w:cs="仿宋"/>
                <w:color w:val="auto"/>
                <w:sz w:val="24"/>
                <w:highlight w:val="none"/>
              </w:rPr>
            </w:pPr>
          </w:p>
        </w:tc>
        <w:tc>
          <w:tcPr>
            <w:tcW w:w="1222" w:type="dxa"/>
          </w:tcPr>
          <w:p w14:paraId="763AAB02">
            <w:pPr>
              <w:spacing w:line="432" w:lineRule="auto"/>
              <w:rPr>
                <w:rFonts w:ascii="仿宋" w:hAnsi="仿宋" w:eastAsia="仿宋" w:cs="仿宋"/>
                <w:color w:val="auto"/>
                <w:sz w:val="24"/>
                <w:highlight w:val="none"/>
              </w:rPr>
            </w:pPr>
          </w:p>
        </w:tc>
      </w:tr>
    </w:tbl>
    <w:p w14:paraId="38AE2EA3">
      <w:pPr>
        <w:spacing w:line="432" w:lineRule="auto"/>
        <w:rPr>
          <w:rFonts w:ascii="仿宋" w:hAnsi="仿宋" w:eastAsia="仿宋" w:cs="仿宋"/>
          <w:color w:val="auto"/>
          <w:sz w:val="24"/>
          <w:highlight w:val="none"/>
        </w:rPr>
      </w:pPr>
    </w:p>
    <w:p w14:paraId="5672D6E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供应商签章：</w:t>
      </w:r>
    </w:p>
    <w:p w14:paraId="31A9C716">
      <w:pPr>
        <w:spacing w:line="432"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法定代表人或委托代理签字或签章：  </w:t>
      </w:r>
    </w:p>
    <w:p w14:paraId="339B9CA5">
      <w:pPr>
        <w:spacing w:line="432" w:lineRule="auto"/>
        <w:rPr>
          <w:rFonts w:ascii="仿宋" w:hAnsi="仿宋" w:eastAsia="仿宋" w:cs="仿宋"/>
          <w:color w:val="auto"/>
          <w:sz w:val="24"/>
          <w:highlight w:val="none"/>
          <w:u w:val="single"/>
        </w:rPr>
      </w:pPr>
    </w:p>
    <w:p w14:paraId="278B5DFF">
      <w:pPr>
        <w:spacing w:line="432" w:lineRule="auto"/>
        <w:rPr>
          <w:rFonts w:ascii="仿宋" w:hAnsi="仿宋" w:eastAsia="仿宋" w:cs="仿宋"/>
          <w:color w:val="auto"/>
          <w:sz w:val="24"/>
          <w:highlight w:val="none"/>
          <w:u w:val="single"/>
        </w:rPr>
      </w:pPr>
    </w:p>
    <w:p w14:paraId="0F6CFCAE">
      <w:pPr>
        <w:pStyle w:val="8"/>
        <w:rPr>
          <w:rFonts w:ascii="仿宋" w:hAnsi="仿宋" w:eastAsia="仿宋" w:cs="仿宋"/>
          <w:color w:val="auto"/>
          <w:sz w:val="24"/>
          <w:highlight w:val="none"/>
          <w:u w:val="single"/>
        </w:rPr>
      </w:pPr>
    </w:p>
    <w:p w14:paraId="554D0DC3">
      <w:pPr>
        <w:pStyle w:val="8"/>
        <w:rPr>
          <w:rFonts w:ascii="仿宋" w:hAnsi="仿宋" w:eastAsia="仿宋" w:cs="仿宋"/>
          <w:color w:val="auto"/>
          <w:sz w:val="24"/>
          <w:highlight w:val="none"/>
          <w:u w:val="single"/>
        </w:rPr>
      </w:pPr>
    </w:p>
    <w:p w14:paraId="59AC7F3E">
      <w:pPr>
        <w:pStyle w:val="8"/>
        <w:rPr>
          <w:rFonts w:ascii="仿宋" w:hAnsi="仿宋" w:eastAsia="仿宋" w:cs="仿宋"/>
          <w:color w:val="auto"/>
          <w:sz w:val="24"/>
          <w:highlight w:val="none"/>
          <w:u w:val="single"/>
        </w:rPr>
      </w:pPr>
    </w:p>
    <w:p w14:paraId="554C1E9F">
      <w:pPr>
        <w:pStyle w:val="8"/>
        <w:rPr>
          <w:rFonts w:ascii="仿宋" w:hAnsi="仿宋" w:eastAsia="仿宋" w:cs="仿宋"/>
          <w:color w:val="auto"/>
          <w:sz w:val="24"/>
          <w:highlight w:val="none"/>
          <w:u w:val="single"/>
        </w:rPr>
      </w:pPr>
    </w:p>
    <w:p w14:paraId="30B831B3">
      <w:pPr>
        <w:spacing w:line="432" w:lineRule="auto"/>
        <w:rPr>
          <w:rFonts w:ascii="仿宋" w:hAnsi="仿宋" w:eastAsia="仿宋" w:cs="仿宋"/>
          <w:color w:val="auto"/>
          <w:sz w:val="24"/>
          <w:highlight w:val="none"/>
          <w:u w:val="single"/>
        </w:rPr>
      </w:pPr>
    </w:p>
    <w:p w14:paraId="628A30C6">
      <w:pPr>
        <w:pStyle w:val="5"/>
        <w:spacing w:before="0" w:after="0" w:line="460" w:lineRule="exact"/>
        <w:jc w:val="center"/>
        <w:rPr>
          <w:rFonts w:ascii="仿宋" w:hAnsi="仿宋" w:eastAsia="仿宋" w:cs="仿宋"/>
          <w:color w:val="auto"/>
          <w:sz w:val="30"/>
          <w:szCs w:val="30"/>
          <w:highlight w:val="none"/>
        </w:rPr>
      </w:pPr>
      <w:bookmarkStart w:id="102" w:name="_Toc17937"/>
      <w:r>
        <w:rPr>
          <w:rFonts w:hint="eastAsia" w:ascii="仿宋" w:hAnsi="仿宋" w:eastAsia="仿宋" w:cs="仿宋"/>
          <w:color w:val="auto"/>
          <w:sz w:val="30"/>
          <w:szCs w:val="30"/>
          <w:highlight w:val="none"/>
        </w:rPr>
        <w:t>格式</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.商务</w:t>
      </w:r>
      <w:r>
        <w:rPr>
          <w:rFonts w:hint="eastAsia" w:ascii="仿宋" w:hAnsi="仿宋" w:eastAsia="仿宋" w:cs="仿宋"/>
          <w:color w:val="auto"/>
          <w:sz w:val="30"/>
          <w:szCs w:val="30"/>
          <w:highlight w:val="none"/>
          <w:lang w:eastAsia="zh-CN"/>
        </w:rPr>
        <w:t>要求</w:t>
      </w:r>
      <w:r>
        <w:rPr>
          <w:rFonts w:hint="eastAsia" w:ascii="仿宋" w:hAnsi="仿宋" w:eastAsia="仿宋" w:cs="仿宋"/>
          <w:color w:val="auto"/>
          <w:sz w:val="30"/>
          <w:szCs w:val="30"/>
          <w:highlight w:val="none"/>
        </w:rPr>
        <w:t>响应/偏离表</w:t>
      </w:r>
      <w:bookmarkEnd w:id="102"/>
    </w:p>
    <w:p w14:paraId="40041401">
      <w:pPr>
        <w:spacing w:line="432" w:lineRule="auto"/>
        <w:rPr>
          <w:rFonts w:ascii="仿宋" w:hAnsi="仿宋" w:eastAsia="仿宋" w:cs="仿宋"/>
          <w:color w:val="auto"/>
          <w:sz w:val="24"/>
          <w:highlight w:val="none"/>
        </w:rPr>
      </w:pPr>
    </w:p>
    <w:p w14:paraId="37EB432C">
      <w:pPr>
        <w:spacing w:line="432"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项目编号：</w:t>
      </w:r>
    </w:p>
    <w:tbl>
      <w:tblPr>
        <w:tblStyle w:val="26"/>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86"/>
        <w:gridCol w:w="2893"/>
        <w:gridCol w:w="950"/>
        <w:gridCol w:w="1094"/>
      </w:tblGrid>
      <w:tr w14:paraId="18F1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8" w:hRule="atLeast"/>
          <w:jc w:val="center"/>
        </w:trPr>
        <w:tc>
          <w:tcPr>
            <w:tcW w:w="809" w:type="dxa"/>
            <w:vAlign w:val="center"/>
          </w:tcPr>
          <w:p w14:paraId="316608F4">
            <w:pPr>
              <w:spacing w:line="432"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786" w:type="dxa"/>
            <w:vAlign w:val="center"/>
          </w:tcPr>
          <w:p w14:paraId="52BE002D">
            <w:pPr>
              <w:spacing w:line="432"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谈判文件商务</w:t>
            </w:r>
            <w:r>
              <w:rPr>
                <w:rFonts w:hint="eastAsia" w:ascii="仿宋" w:hAnsi="仿宋" w:eastAsia="仿宋" w:cs="仿宋"/>
                <w:color w:val="auto"/>
                <w:sz w:val="24"/>
                <w:highlight w:val="none"/>
                <w:lang w:eastAsia="zh-CN"/>
              </w:rPr>
              <w:t>要求</w:t>
            </w:r>
          </w:p>
        </w:tc>
        <w:tc>
          <w:tcPr>
            <w:tcW w:w="2893" w:type="dxa"/>
            <w:vAlign w:val="center"/>
          </w:tcPr>
          <w:p w14:paraId="09007767">
            <w:pPr>
              <w:spacing w:line="432"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商务</w:t>
            </w:r>
            <w:r>
              <w:rPr>
                <w:rFonts w:hint="eastAsia" w:ascii="仿宋" w:hAnsi="仿宋" w:eastAsia="仿宋" w:cs="仿宋"/>
                <w:color w:val="auto"/>
                <w:sz w:val="24"/>
                <w:highlight w:val="none"/>
                <w:lang w:eastAsia="zh-CN"/>
              </w:rPr>
              <w:t>要求响应</w:t>
            </w:r>
          </w:p>
        </w:tc>
        <w:tc>
          <w:tcPr>
            <w:tcW w:w="950" w:type="dxa"/>
            <w:vAlign w:val="center"/>
          </w:tcPr>
          <w:p w14:paraId="605BE7A3">
            <w:pPr>
              <w:spacing w:line="432"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响应/偏离</w:t>
            </w:r>
          </w:p>
        </w:tc>
        <w:tc>
          <w:tcPr>
            <w:tcW w:w="1094" w:type="dxa"/>
            <w:vAlign w:val="center"/>
          </w:tcPr>
          <w:p w14:paraId="0864B379">
            <w:pPr>
              <w:spacing w:line="432"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说明</w:t>
            </w:r>
          </w:p>
        </w:tc>
      </w:tr>
      <w:tr w14:paraId="0BE7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09" w:type="dxa"/>
          </w:tcPr>
          <w:p w14:paraId="1AB2EAC6">
            <w:pPr>
              <w:spacing w:line="432" w:lineRule="auto"/>
              <w:rPr>
                <w:rFonts w:ascii="仿宋" w:hAnsi="仿宋" w:eastAsia="仿宋" w:cs="仿宋"/>
                <w:color w:val="auto"/>
                <w:sz w:val="24"/>
                <w:highlight w:val="none"/>
              </w:rPr>
            </w:pPr>
          </w:p>
        </w:tc>
        <w:tc>
          <w:tcPr>
            <w:tcW w:w="2786" w:type="dxa"/>
          </w:tcPr>
          <w:p w14:paraId="0C61A933">
            <w:pPr>
              <w:spacing w:line="432" w:lineRule="auto"/>
              <w:rPr>
                <w:rFonts w:ascii="仿宋" w:hAnsi="仿宋" w:eastAsia="仿宋" w:cs="仿宋"/>
                <w:color w:val="auto"/>
                <w:sz w:val="24"/>
                <w:highlight w:val="none"/>
              </w:rPr>
            </w:pPr>
          </w:p>
        </w:tc>
        <w:tc>
          <w:tcPr>
            <w:tcW w:w="2893" w:type="dxa"/>
          </w:tcPr>
          <w:p w14:paraId="3FE9294C">
            <w:pPr>
              <w:spacing w:line="432" w:lineRule="auto"/>
              <w:rPr>
                <w:rFonts w:ascii="仿宋" w:hAnsi="仿宋" w:eastAsia="仿宋" w:cs="仿宋"/>
                <w:color w:val="auto"/>
                <w:sz w:val="24"/>
                <w:highlight w:val="none"/>
              </w:rPr>
            </w:pPr>
          </w:p>
        </w:tc>
        <w:tc>
          <w:tcPr>
            <w:tcW w:w="950" w:type="dxa"/>
          </w:tcPr>
          <w:p w14:paraId="7D5A61AB">
            <w:pPr>
              <w:spacing w:line="432" w:lineRule="auto"/>
              <w:rPr>
                <w:rFonts w:ascii="仿宋" w:hAnsi="仿宋" w:eastAsia="仿宋" w:cs="仿宋"/>
                <w:color w:val="auto"/>
                <w:sz w:val="24"/>
                <w:highlight w:val="none"/>
              </w:rPr>
            </w:pPr>
          </w:p>
        </w:tc>
        <w:tc>
          <w:tcPr>
            <w:tcW w:w="1094" w:type="dxa"/>
          </w:tcPr>
          <w:p w14:paraId="130DAEDC">
            <w:pPr>
              <w:spacing w:line="432" w:lineRule="auto"/>
              <w:rPr>
                <w:rFonts w:ascii="仿宋" w:hAnsi="仿宋" w:eastAsia="仿宋" w:cs="仿宋"/>
                <w:color w:val="auto"/>
                <w:sz w:val="24"/>
                <w:highlight w:val="none"/>
              </w:rPr>
            </w:pPr>
          </w:p>
        </w:tc>
      </w:tr>
      <w:tr w14:paraId="2CF9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09" w:type="dxa"/>
          </w:tcPr>
          <w:p w14:paraId="43E4894F">
            <w:pPr>
              <w:spacing w:line="432" w:lineRule="auto"/>
              <w:rPr>
                <w:rFonts w:ascii="仿宋" w:hAnsi="仿宋" w:eastAsia="仿宋" w:cs="仿宋"/>
                <w:color w:val="auto"/>
                <w:sz w:val="24"/>
                <w:highlight w:val="none"/>
              </w:rPr>
            </w:pPr>
          </w:p>
        </w:tc>
        <w:tc>
          <w:tcPr>
            <w:tcW w:w="2786" w:type="dxa"/>
          </w:tcPr>
          <w:p w14:paraId="585F4EDE">
            <w:pPr>
              <w:spacing w:line="432" w:lineRule="auto"/>
              <w:rPr>
                <w:rFonts w:ascii="仿宋" w:hAnsi="仿宋" w:eastAsia="仿宋" w:cs="仿宋"/>
                <w:color w:val="auto"/>
                <w:sz w:val="24"/>
                <w:highlight w:val="none"/>
              </w:rPr>
            </w:pPr>
          </w:p>
        </w:tc>
        <w:tc>
          <w:tcPr>
            <w:tcW w:w="2893" w:type="dxa"/>
          </w:tcPr>
          <w:p w14:paraId="1867B5BF">
            <w:pPr>
              <w:spacing w:line="432" w:lineRule="auto"/>
              <w:rPr>
                <w:rFonts w:ascii="仿宋" w:hAnsi="仿宋" w:eastAsia="仿宋" w:cs="仿宋"/>
                <w:color w:val="auto"/>
                <w:sz w:val="24"/>
                <w:highlight w:val="none"/>
              </w:rPr>
            </w:pPr>
          </w:p>
        </w:tc>
        <w:tc>
          <w:tcPr>
            <w:tcW w:w="950" w:type="dxa"/>
          </w:tcPr>
          <w:p w14:paraId="66F6E37E">
            <w:pPr>
              <w:spacing w:line="432" w:lineRule="auto"/>
              <w:rPr>
                <w:rFonts w:ascii="仿宋" w:hAnsi="仿宋" w:eastAsia="仿宋" w:cs="仿宋"/>
                <w:color w:val="auto"/>
                <w:sz w:val="24"/>
                <w:highlight w:val="none"/>
              </w:rPr>
            </w:pPr>
          </w:p>
        </w:tc>
        <w:tc>
          <w:tcPr>
            <w:tcW w:w="1094" w:type="dxa"/>
          </w:tcPr>
          <w:p w14:paraId="4E5580C3">
            <w:pPr>
              <w:spacing w:line="432" w:lineRule="auto"/>
              <w:rPr>
                <w:rFonts w:ascii="仿宋" w:hAnsi="仿宋" w:eastAsia="仿宋" w:cs="仿宋"/>
                <w:color w:val="auto"/>
                <w:sz w:val="24"/>
                <w:highlight w:val="none"/>
              </w:rPr>
            </w:pPr>
          </w:p>
        </w:tc>
      </w:tr>
      <w:tr w14:paraId="33F4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09" w:type="dxa"/>
          </w:tcPr>
          <w:p w14:paraId="52F58469">
            <w:pPr>
              <w:spacing w:line="432" w:lineRule="auto"/>
              <w:rPr>
                <w:rFonts w:ascii="仿宋" w:hAnsi="仿宋" w:eastAsia="仿宋" w:cs="仿宋"/>
                <w:color w:val="auto"/>
                <w:sz w:val="24"/>
                <w:highlight w:val="none"/>
              </w:rPr>
            </w:pPr>
          </w:p>
        </w:tc>
        <w:tc>
          <w:tcPr>
            <w:tcW w:w="2786" w:type="dxa"/>
          </w:tcPr>
          <w:p w14:paraId="1EA4193E">
            <w:pPr>
              <w:spacing w:line="432" w:lineRule="auto"/>
              <w:rPr>
                <w:rFonts w:ascii="仿宋" w:hAnsi="仿宋" w:eastAsia="仿宋" w:cs="仿宋"/>
                <w:color w:val="auto"/>
                <w:sz w:val="24"/>
                <w:highlight w:val="none"/>
              </w:rPr>
            </w:pPr>
          </w:p>
        </w:tc>
        <w:tc>
          <w:tcPr>
            <w:tcW w:w="2893" w:type="dxa"/>
          </w:tcPr>
          <w:p w14:paraId="3886ED9A">
            <w:pPr>
              <w:spacing w:line="432" w:lineRule="auto"/>
              <w:rPr>
                <w:rFonts w:ascii="仿宋" w:hAnsi="仿宋" w:eastAsia="仿宋" w:cs="仿宋"/>
                <w:color w:val="auto"/>
                <w:sz w:val="24"/>
                <w:highlight w:val="none"/>
              </w:rPr>
            </w:pPr>
          </w:p>
        </w:tc>
        <w:tc>
          <w:tcPr>
            <w:tcW w:w="950" w:type="dxa"/>
          </w:tcPr>
          <w:p w14:paraId="3BBAD19B">
            <w:pPr>
              <w:spacing w:line="432" w:lineRule="auto"/>
              <w:rPr>
                <w:rFonts w:ascii="仿宋" w:hAnsi="仿宋" w:eastAsia="仿宋" w:cs="仿宋"/>
                <w:color w:val="auto"/>
                <w:sz w:val="24"/>
                <w:highlight w:val="none"/>
              </w:rPr>
            </w:pPr>
          </w:p>
        </w:tc>
        <w:tc>
          <w:tcPr>
            <w:tcW w:w="1094" w:type="dxa"/>
          </w:tcPr>
          <w:p w14:paraId="20D1453E">
            <w:pPr>
              <w:spacing w:line="432" w:lineRule="auto"/>
              <w:rPr>
                <w:rFonts w:ascii="仿宋" w:hAnsi="仿宋" w:eastAsia="仿宋" w:cs="仿宋"/>
                <w:color w:val="auto"/>
                <w:sz w:val="24"/>
                <w:highlight w:val="none"/>
              </w:rPr>
            </w:pPr>
          </w:p>
        </w:tc>
      </w:tr>
      <w:tr w14:paraId="20F8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09" w:type="dxa"/>
          </w:tcPr>
          <w:p w14:paraId="4CAE74D2">
            <w:pPr>
              <w:spacing w:line="432" w:lineRule="auto"/>
              <w:rPr>
                <w:rFonts w:ascii="仿宋" w:hAnsi="仿宋" w:eastAsia="仿宋" w:cs="仿宋"/>
                <w:color w:val="auto"/>
                <w:sz w:val="24"/>
                <w:highlight w:val="none"/>
              </w:rPr>
            </w:pPr>
          </w:p>
        </w:tc>
        <w:tc>
          <w:tcPr>
            <w:tcW w:w="2786" w:type="dxa"/>
          </w:tcPr>
          <w:p w14:paraId="7E73458A">
            <w:pPr>
              <w:spacing w:line="432" w:lineRule="auto"/>
              <w:rPr>
                <w:rFonts w:ascii="仿宋" w:hAnsi="仿宋" w:eastAsia="仿宋" w:cs="仿宋"/>
                <w:color w:val="auto"/>
                <w:sz w:val="24"/>
                <w:highlight w:val="none"/>
              </w:rPr>
            </w:pPr>
          </w:p>
        </w:tc>
        <w:tc>
          <w:tcPr>
            <w:tcW w:w="2893" w:type="dxa"/>
          </w:tcPr>
          <w:p w14:paraId="764E2B14">
            <w:pPr>
              <w:spacing w:line="432" w:lineRule="auto"/>
              <w:rPr>
                <w:rFonts w:ascii="仿宋" w:hAnsi="仿宋" w:eastAsia="仿宋" w:cs="仿宋"/>
                <w:color w:val="auto"/>
                <w:sz w:val="24"/>
                <w:highlight w:val="none"/>
              </w:rPr>
            </w:pPr>
          </w:p>
        </w:tc>
        <w:tc>
          <w:tcPr>
            <w:tcW w:w="950" w:type="dxa"/>
          </w:tcPr>
          <w:p w14:paraId="020EF794">
            <w:pPr>
              <w:spacing w:line="432" w:lineRule="auto"/>
              <w:rPr>
                <w:rFonts w:ascii="仿宋" w:hAnsi="仿宋" w:eastAsia="仿宋" w:cs="仿宋"/>
                <w:color w:val="auto"/>
                <w:sz w:val="24"/>
                <w:highlight w:val="none"/>
              </w:rPr>
            </w:pPr>
          </w:p>
        </w:tc>
        <w:tc>
          <w:tcPr>
            <w:tcW w:w="1094" w:type="dxa"/>
          </w:tcPr>
          <w:p w14:paraId="05508704">
            <w:pPr>
              <w:spacing w:line="432" w:lineRule="auto"/>
              <w:rPr>
                <w:rFonts w:ascii="仿宋" w:hAnsi="仿宋" w:eastAsia="仿宋" w:cs="仿宋"/>
                <w:color w:val="auto"/>
                <w:sz w:val="24"/>
                <w:highlight w:val="none"/>
              </w:rPr>
            </w:pPr>
          </w:p>
        </w:tc>
      </w:tr>
      <w:tr w14:paraId="083A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809" w:type="dxa"/>
          </w:tcPr>
          <w:p w14:paraId="677C535F">
            <w:pPr>
              <w:spacing w:line="432" w:lineRule="auto"/>
              <w:rPr>
                <w:rFonts w:ascii="仿宋" w:hAnsi="仿宋" w:eastAsia="仿宋" w:cs="仿宋"/>
                <w:color w:val="auto"/>
                <w:sz w:val="24"/>
                <w:highlight w:val="none"/>
              </w:rPr>
            </w:pPr>
          </w:p>
        </w:tc>
        <w:tc>
          <w:tcPr>
            <w:tcW w:w="2786" w:type="dxa"/>
          </w:tcPr>
          <w:p w14:paraId="183D23E6">
            <w:pPr>
              <w:spacing w:line="432" w:lineRule="auto"/>
              <w:rPr>
                <w:rFonts w:ascii="仿宋" w:hAnsi="仿宋" w:eastAsia="仿宋" w:cs="仿宋"/>
                <w:color w:val="auto"/>
                <w:sz w:val="24"/>
                <w:highlight w:val="none"/>
              </w:rPr>
            </w:pPr>
          </w:p>
        </w:tc>
        <w:tc>
          <w:tcPr>
            <w:tcW w:w="2893" w:type="dxa"/>
          </w:tcPr>
          <w:p w14:paraId="58E1715D">
            <w:pPr>
              <w:spacing w:line="432" w:lineRule="auto"/>
              <w:rPr>
                <w:rFonts w:ascii="仿宋" w:hAnsi="仿宋" w:eastAsia="仿宋" w:cs="仿宋"/>
                <w:color w:val="auto"/>
                <w:sz w:val="24"/>
                <w:highlight w:val="none"/>
              </w:rPr>
            </w:pPr>
          </w:p>
        </w:tc>
        <w:tc>
          <w:tcPr>
            <w:tcW w:w="950" w:type="dxa"/>
          </w:tcPr>
          <w:p w14:paraId="0ACCD490">
            <w:pPr>
              <w:spacing w:line="432" w:lineRule="auto"/>
              <w:rPr>
                <w:rFonts w:ascii="仿宋" w:hAnsi="仿宋" w:eastAsia="仿宋" w:cs="仿宋"/>
                <w:color w:val="auto"/>
                <w:sz w:val="24"/>
                <w:highlight w:val="none"/>
              </w:rPr>
            </w:pPr>
          </w:p>
        </w:tc>
        <w:tc>
          <w:tcPr>
            <w:tcW w:w="1094" w:type="dxa"/>
          </w:tcPr>
          <w:p w14:paraId="30AB6986">
            <w:pPr>
              <w:spacing w:line="432" w:lineRule="auto"/>
              <w:rPr>
                <w:rFonts w:ascii="仿宋" w:hAnsi="仿宋" w:eastAsia="仿宋" w:cs="仿宋"/>
                <w:color w:val="auto"/>
                <w:sz w:val="24"/>
                <w:highlight w:val="none"/>
              </w:rPr>
            </w:pPr>
          </w:p>
        </w:tc>
      </w:tr>
      <w:tr w14:paraId="2D54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09" w:type="dxa"/>
          </w:tcPr>
          <w:p w14:paraId="69E27914">
            <w:pPr>
              <w:spacing w:line="432" w:lineRule="auto"/>
              <w:rPr>
                <w:rFonts w:ascii="仿宋" w:hAnsi="仿宋" w:eastAsia="仿宋" w:cs="仿宋"/>
                <w:color w:val="auto"/>
                <w:sz w:val="24"/>
                <w:highlight w:val="none"/>
              </w:rPr>
            </w:pPr>
          </w:p>
        </w:tc>
        <w:tc>
          <w:tcPr>
            <w:tcW w:w="2786" w:type="dxa"/>
          </w:tcPr>
          <w:p w14:paraId="227AA7CE">
            <w:pPr>
              <w:spacing w:line="432" w:lineRule="auto"/>
              <w:rPr>
                <w:rFonts w:ascii="仿宋" w:hAnsi="仿宋" w:eastAsia="仿宋" w:cs="仿宋"/>
                <w:color w:val="auto"/>
                <w:sz w:val="24"/>
                <w:highlight w:val="none"/>
              </w:rPr>
            </w:pPr>
          </w:p>
        </w:tc>
        <w:tc>
          <w:tcPr>
            <w:tcW w:w="2893" w:type="dxa"/>
          </w:tcPr>
          <w:p w14:paraId="49AA9B7F">
            <w:pPr>
              <w:spacing w:line="432" w:lineRule="auto"/>
              <w:rPr>
                <w:rFonts w:ascii="仿宋" w:hAnsi="仿宋" w:eastAsia="仿宋" w:cs="仿宋"/>
                <w:color w:val="auto"/>
                <w:sz w:val="24"/>
                <w:highlight w:val="none"/>
              </w:rPr>
            </w:pPr>
          </w:p>
        </w:tc>
        <w:tc>
          <w:tcPr>
            <w:tcW w:w="950" w:type="dxa"/>
          </w:tcPr>
          <w:p w14:paraId="427F0944">
            <w:pPr>
              <w:spacing w:line="432" w:lineRule="auto"/>
              <w:rPr>
                <w:rFonts w:ascii="仿宋" w:hAnsi="仿宋" w:eastAsia="仿宋" w:cs="仿宋"/>
                <w:color w:val="auto"/>
                <w:sz w:val="24"/>
                <w:highlight w:val="none"/>
              </w:rPr>
            </w:pPr>
          </w:p>
        </w:tc>
        <w:tc>
          <w:tcPr>
            <w:tcW w:w="1094" w:type="dxa"/>
          </w:tcPr>
          <w:p w14:paraId="6322E25E">
            <w:pPr>
              <w:spacing w:line="432" w:lineRule="auto"/>
              <w:rPr>
                <w:rFonts w:ascii="仿宋" w:hAnsi="仿宋" w:eastAsia="仿宋" w:cs="仿宋"/>
                <w:color w:val="auto"/>
                <w:sz w:val="24"/>
                <w:highlight w:val="none"/>
              </w:rPr>
            </w:pPr>
          </w:p>
        </w:tc>
      </w:tr>
      <w:tr w14:paraId="0C67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09" w:type="dxa"/>
          </w:tcPr>
          <w:p w14:paraId="2F418455">
            <w:pPr>
              <w:spacing w:line="432" w:lineRule="auto"/>
              <w:rPr>
                <w:rFonts w:ascii="仿宋" w:hAnsi="仿宋" w:eastAsia="仿宋" w:cs="仿宋"/>
                <w:color w:val="auto"/>
                <w:sz w:val="24"/>
                <w:highlight w:val="none"/>
              </w:rPr>
            </w:pPr>
          </w:p>
        </w:tc>
        <w:tc>
          <w:tcPr>
            <w:tcW w:w="2786" w:type="dxa"/>
          </w:tcPr>
          <w:p w14:paraId="70E88EA8">
            <w:pPr>
              <w:spacing w:line="432" w:lineRule="auto"/>
              <w:rPr>
                <w:rFonts w:ascii="仿宋" w:hAnsi="仿宋" w:eastAsia="仿宋" w:cs="仿宋"/>
                <w:color w:val="auto"/>
                <w:sz w:val="24"/>
                <w:highlight w:val="none"/>
              </w:rPr>
            </w:pPr>
          </w:p>
        </w:tc>
        <w:tc>
          <w:tcPr>
            <w:tcW w:w="2893" w:type="dxa"/>
          </w:tcPr>
          <w:p w14:paraId="1691BC86">
            <w:pPr>
              <w:spacing w:line="432" w:lineRule="auto"/>
              <w:rPr>
                <w:rFonts w:ascii="仿宋" w:hAnsi="仿宋" w:eastAsia="仿宋" w:cs="仿宋"/>
                <w:color w:val="auto"/>
                <w:sz w:val="24"/>
                <w:highlight w:val="none"/>
              </w:rPr>
            </w:pPr>
          </w:p>
        </w:tc>
        <w:tc>
          <w:tcPr>
            <w:tcW w:w="950" w:type="dxa"/>
          </w:tcPr>
          <w:p w14:paraId="008EA0A5">
            <w:pPr>
              <w:spacing w:line="432" w:lineRule="auto"/>
              <w:rPr>
                <w:rFonts w:ascii="仿宋" w:hAnsi="仿宋" w:eastAsia="仿宋" w:cs="仿宋"/>
                <w:color w:val="auto"/>
                <w:sz w:val="24"/>
                <w:highlight w:val="none"/>
              </w:rPr>
            </w:pPr>
          </w:p>
        </w:tc>
        <w:tc>
          <w:tcPr>
            <w:tcW w:w="1094" w:type="dxa"/>
          </w:tcPr>
          <w:p w14:paraId="2D0821F5">
            <w:pPr>
              <w:spacing w:line="432" w:lineRule="auto"/>
              <w:rPr>
                <w:rFonts w:ascii="仿宋" w:hAnsi="仿宋" w:eastAsia="仿宋" w:cs="仿宋"/>
                <w:color w:val="auto"/>
                <w:sz w:val="24"/>
                <w:highlight w:val="none"/>
              </w:rPr>
            </w:pPr>
          </w:p>
        </w:tc>
      </w:tr>
    </w:tbl>
    <w:p w14:paraId="568F2F73">
      <w:pPr>
        <w:spacing w:line="432" w:lineRule="auto"/>
        <w:ind w:firstLine="560" w:firstLineChars="200"/>
        <w:rPr>
          <w:rFonts w:ascii="仿宋" w:hAnsi="仿宋" w:eastAsia="仿宋" w:cs="仿宋"/>
          <w:color w:val="auto"/>
          <w:sz w:val="28"/>
          <w:highlight w:val="none"/>
        </w:rPr>
      </w:pPr>
    </w:p>
    <w:p w14:paraId="4798EBC4">
      <w:pPr>
        <w:pStyle w:val="17"/>
        <w:rPr>
          <w:color w:val="auto"/>
          <w:highlight w:val="none"/>
        </w:rPr>
      </w:pPr>
    </w:p>
    <w:p w14:paraId="4CC9DF13">
      <w:pPr>
        <w:spacing w:after="156" w:afterLines="50" w:line="320" w:lineRule="exact"/>
        <w:rPr>
          <w:rFonts w:ascii="仿宋" w:hAnsi="仿宋" w:eastAsia="仿宋" w:cs="仿宋"/>
          <w:color w:val="auto"/>
          <w:sz w:val="24"/>
          <w:highlight w:val="none"/>
        </w:rPr>
      </w:pPr>
    </w:p>
    <w:p w14:paraId="7B0D43B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供应商签章：</w:t>
      </w:r>
    </w:p>
    <w:p w14:paraId="15AE5390">
      <w:pPr>
        <w:spacing w:line="432"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法定代表人或委托代理签字或签章：  </w:t>
      </w:r>
    </w:p>
    <w:p w14:paraId="6C111D94">
      <w:pPr>
        <w:bidi w:val="0"/>
        <w:rPr>
          <w:rFonts w:hint="eastAsia"/>
          <w:color w:val="auto"/>
          <w:highlight w:val="none"/>
        </w:rPr>
      </w:pPr>
    </w:p>
    <w:p w14:paraId="7F58B199">
      <w:pPr>
        <w:pStyle w:val="8"/>
        <w:rPr>
          <w:rFonts w:hint="eastAsia" w:ascii="仿宋" w:hAnsi="仿宋" w:eastAsia="仿宋" w:cs="仿宋"/>
          <w:color w:val="auto"/>
          <w:sz w:val="24"/>
          <w:highlight w:val="none"/>
        </w:rPr>
      </w:pPr>
    </w:p>
    <w:p w14:paraId="2C77C500">
      <w:pPr>
        <w:pStyle w:val="8"/>
        <w:rPr>
          <w:rFonts w:hint="eastAsia" w:ascii="仿宋" w:hAnsi="仿宋" w:eastAsia="仿宋" w:cs="仿宋"/>
          <w:color w:val="auto"/>
          <w:sz w:val="24"/>
          <w:highlight w:val="none"/>
        </w:rPr>
      </w:pPr>
    </w:p>
    <w:p w14:paraId="30A5E91D">
      <w:pPr>
        <w:pStyle w:val="5"/>
        <w:spacing w:before="0" w:after="0" w:line="460" w:lineRule="exact"/>
        <w:jc w:val="center"/>
        <w:rPr>
          <w:rFonts w:ascii="仿宋" w:hAnsi="仿宋" w:eastAsia="仿宋" w:cs="仿宋"/>
          <w:color w:val="auto"/>
          <w:sz w:val="30"/>
          <w:szCs w:val="30"/>
          <w:highlight w:val="none"/>
        </w:rPr>
      </w:pPr>
      <w:bookmarkStart w:id="103" w:name="_Toc19629"/>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 其他证明资料</w:t>
      </w:r>
      <w:bookmarkEnd w:id="103"/>
    </w:p>
    <w:p w14:paraId="06A4BABD">
      <w:pPr>
        <w:pStyle w:val="5"/>
        <w:spacing w:before="0" w:after="0" w:line="460" w:lineRule="exact"/>
        <w:jc w:val="center"/>
        <w:rPr>
          <w:rFonts w:ascii="仿宋" w:hAnsi="仿宋" w:eastAsia="仿宋" w:cs="仿宋"/>
          <w:color w:val="auto"/>
          <w:sz w:val="24"/>
          <w:szCs w:val="24"/>
          <w:highlight w:val="none"/>
        </w:rPr>
      </w:pPr>
    </w:p>
    <w:p w14:paraId="7A94260E">
      <w:pPr>
        <w:spacing w:line="440" w:lineRule="exact"/>
        <w:jc w:val="center"/>
        <w:rPr>
          <w:rFonts w:ascii="仿宋" w:hAnsi="仿宋" w:eastAsia="仿宋" w:cs="仿宋"/>
          <w:b/>
          <w:color w:val="auto"/>
          <w:sz w:val="24"/>
          <w:szCs w:val="24"/>
          <w:highlight w:val="none"/>
        </w:rPr>
      </w:pPr>
      <w:bookmarkStart w:id="104" w:name="_Toc475970091"/>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-1. 供应商情况一览表</w:t>
      </w:r>
      <w:bookmarkEnd w:id="104"/>
    </w:p>
    <w:p w14:paraId="278EFEBA">
      <w:pPr>
        <w:spacing w:line="320" w:lineRule="exact"/>
        <w:jc w:val="center"/>
        <w:rPr>
          <w:rFonts w:ascii="仿宋" w:hAnsi="仿宋" w:eastAsia="仿宋" w:cs="仿宋"/>
          <w:color w:val="auto"/>
          <w:sz w:val="24"/>
          <w:szCs w:val="24"/>
          <w:highlight w:val="none"/>
        </w:rPr>
      </w:pPr>
    </w:p>
    <w:tbl>
      <w:tblPr>
        <w:tblStyle w:val="26"/>
        <w:tblW w:w="885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1"/>
        <w:gridCol w:w="1035"/>
        <w:gridCol w:w="1414"/>
        <w:gridCol w:w="1353"/>
        <w:gridCol w:w="1294"/>
        <w:gridCol w:w="735"/>
        <w:gridCol w:w="1162"/>
      </w:tblGrid>
      <w:tr w14:paraId="2FD1D0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61" w:type="dxa"/>
            <w:vAlign w:val="center"/>
          </w:tcPr>
          <w:p w14:paraId="7B66490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供应商名称</w:t>
            </w:r>
          </w:p>
        </w:tc>
        <w:tc>
          <w:tcPr>
            <w:tcW w:w="6993" w:type="dxa"/>
            <w:gridSpan w:val="6"/>
            <w:vAlign w:val="center"/>
          </w:tcPr>
          <w:p w14:paraId="4AF121CD">
            <w:pPr>
              <w:jc w:val="center"/>
              <w:rPr>
                <w:rFonts w:ascii="仿宋" w:hAnsi="仿宋" w:eastAsia="仿宋" w:cs="仿宋"/>
                <w:color w:val="auto"/>
                <w:sz w:val="24"/>
                <w:highlight w:val="none"/>
              </w:rPr>
            </w:pPr>
          </w:p>
        </w:tc>
      </w:tr>
      <w:tr w14:paraId="6C7FDC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61" w:type="dxa"/>
            <w:vAlign w:val="center"/>
          </w:tcPr>
          <w:p w14:paraId="2ED0E55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802" w:type="dxa"/>
            <w:gridSpan w:val="3"/>
            <w:vAlign w:val="center"/>
          </w:tcPr>
          <w:p w14:paraId="6D1BE3FA">
            <w:pPr>
              <w:jc w:val="center"/>
              <w:rPr>
                <w:rFonts w:ascii="仿宋" w:hAnsi="仿宋" w:eastAsia="仿宋" w:cs="仿宋"/>
                <w:color w:val="auto"/>
                <w:sz w:val="24"/>
                <w:highlight w:val="none"/>
              </w:rPr>
            </w:pPr>
          </w:p>
        </w:tc>
        <w:tc>
          <w:tcPr>
            <w:tcW w:w="1294" w:type="dxa"/>
            <w:vAlign w:val="center"/>
          </w:tcPr>
          <w:p w14:paraId="1FC39D2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1897" w:type="dxa"/>
            <w:gridSpan w:val="2"/>
            <w:vAlign w:val="center"/>
          </w:tcPr>
          <w:p w14:paraId="784860BC">
            <w:pPr>
              <w:jc w:val="center"/>
              <w:rPr>
                <w:rFonts w:ascii="仿宋" w:hAnsi="仿宋" w:eastAsia="仿宋" w:cs="仿宋"/>
                <w:color w:val="auto"/>
                <w:sz w:val="24"/>
                <w:highlight w:val="none"/>
              </w:rPr>
            </w:pPr>
          </w:p>
        </w:tc>
      </w:tr>
      <w:tr w14:paraId="13A426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61" w:type="dxa"/>
            <w:vMerge w:val="restart"/>
            <w:vAlign w:val="center"/>
          </w:tcPr>
          <w:p w14:paraId="6BFFE4D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1035" w:type="dxa"/>
            <w:vAlign w:val="center"/>
          </w:tcPr>
          <w:p w14:paraId="290808B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联系人</w:t>
            </w:r>
          </w:p>
        </w:tc>
        <w:tc>
          <w:tcPr>
            <w:tcW w:w="2767" w:type="dxa"/>
            <w:gridSpan w:val="2"/>
            <w:vAlign w:val="center"/>
          </w:tcPr>
          <w:p w14:paraId="30295018">
            <w:pPr>
              <w:jc w:val="center"/>
              <w:rPr>
                <w:rFonts w:ascii="仿宋" w:hAnsi="仿宋" w:eastAsia="仿宋" w:cs="仿宋"/>
                <w:color w:val="auto"/>
                <w:sz w:val="24"/>
                <w:highlight w:val="none"/>
              </w:rPr>
            </w:pPr>
          </w:p>
        </w:tc>
        <w:tc>
          <w:tcPr>
            <w:tcW w:w="1294" w:type="dxa"/>
            <w:vAlign w:val="center"/>
          </w:tcPr>
          <w:p w14:paraId="3AD2C9E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897" w:type="dxa"/>
            <w:gridSpan w:val="2"/>
            <w:vAlign w:val="center"/>
          </w:tcPr>
          <w:p w14:paraId="6DDB7B6E">
            <w:pPr>
              <w:jc w:val="center"/>
              <w:rPr>
                <w:rFonts w:ascii="仿宋" w:hAnsi="仿宋" w:eastAsia="仿宋" w:cs="仿宋"/>
                <w:color w:val="auto"/>
                <w:sz w:val="24"/>
                <w:highlight w:val="none"/>
              </w:rPr>
            </w:pPr>
          </w:p>
        </w:tc>
      </w:tr>
      <w:tr w14:paraId="3EB2D2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61" w:type="dxa"/>
            <w:vMerge w:val="continue"/>
            <w:vAlign w:val="center"/>
          </w:tcPr>
          <w:p w14:paraId="67DFFBEC">
            <w:pPr>
              <w:jc w:val="center"/>
              <w:rPr>
                <w:rFonts w:ascii="仿宋" w:hAnsi="仿宋" w:eastAsia="仿宋" w:cs="仿宋"/>
                <w:color w:val="auto"/>
                <w:sz w:val="24"/>
                <w:highlight w:val="none"/>
              </w:rPr>
            </w:pPr>
          </w:p>
        </w:tc>
        <w:tc>
          <w:tcPr>
            <w:tcW w:w="1035" w:type="dxa"/>
            <w:vAlign w:val="center"/>
          </w:tcPr>
          <w:p w14:paraId="2A16B20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传  真</w:t>
            </w:r>
          </w:p>
        </w:tc>
        <w:tc>
          <w:tcPr>
            <w:tcW w:w="2767" w:type="dxa"/>
            <w:gridSpan w:val="2"/>
            <w:vAlign w:val="center"/>
          </w:tcPr>
          <w:p w14:paraId="6F2FC2F7">
            <w:pPr>
              <w:jc w:val="center"/>
              <w:rPr>
                <w:rFonts w:ascii="仿宋" w:hAnsi="仿宋" w:eastAsia="仿宋" w:cs="仿宋"/>
                <w:color w:val="auto"/>
                <w:sz w:val="24"/>
                <w:highlight w:val="none"/>
              </w:rPr>
            </w:pPr>
          </w:p>
        </w:tc>
        <w:tc>
          <w:tcPr>
            <w:tcW w:w="1294" w:type="dxa"/>
            <w:vAlign w:val="center"/>
          </w:tcPr>
          <w:p w14:paraId="66D6EF2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网址/邮箱</w:t>
            </w:r>
          </w:p>
        </w:tc>
        <w:tc>
          <w:tcPr>
            <w:tcW w:w="1897" w:type="dxa"/>
            <w:gridSpan w:val="2"/>
            <w:vAlign w:val="center"/>
          </w:tcPr>
          <w:p w14:paraId="5466368A">
            <w:pPr>
              <w:jc w:val="center"/>
              <w:rPr>
                <w:rFonts w:ascii="仿宋" w:hAnsi="仿宋" w:eastAsia="仿宋" w:cs="仿宋"/>
                <w:color w:val="auto"/>
                <w:sz w:val="24"/>
                <w:highlight w:val="none"/>
              </w:rPr>
            </w:pPr>
          </w:p>
        </w:tc>
      </w:tr>
      <w:tr w14:paraId="0EB9E1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61" w:type="dxa"/>
            <w:vAlign w:val="center"/>
          </w:tcPr>
          <w:p w14:paraId="5A39182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企业性质</w:t>
            </w:r>
          </w:p>
        </w:tc>
        <w:tc>
          <w:tcPr>
            <w:tcW w:w="6993" w:type="dxa"/>
            <w:gridSpan w:val="6"/>
            <w:vAlign w:val="center"/>
          </w:tcPr>
          <w:p w14:paraId="6F278EFF">
            <w:pPr>
              <w:jc w:val="center"/>
              <w:rPr>
                <w:rFonts w:ascii="仿宋" w:hAnsi="仿宋" w:eastAsia="仿宋" w:cs="仿宋"/>
                <w:color w:val="auto"/>
                <w:sz w:val="24"/>
                <w:highlight w:val="none"/>
              </w:rPr>
            </w:pPr>
          </w:p>
        </w:tc>
      </w:tr>
      <w:tr w14:paraId="59D540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61" w:type="dxa"/>
            <w:vAlign w:val="center"/>
          </w:tcPr>
          <w:p w14:paraId="5E24CA3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1035" w:type="dxa"/>
            <w:vAlign w:val="center"/>
          </w:tcPr>
          <w:p w14:paraId="7A40554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414" w:type="dxa"/>
            <w:vAlign w:val="center"/>
          </w:tcPr>
          <w:p w14:paraId="004861DA">
            <w:pPr>
              <w:jc w:val="center"/>
              <w:rPr>
                <w:rFonts w:ascii="仿宋" w:hAnsi="仿宋" w:eastAsia="仿宋" w:cs="仿宋"/>
                <w:color w:val="auto"/>
                <w:sz w:val="24"/>
                <w:highlight w:val="none"/>
              </w:rPr>
            </w:pPr>
          </w:p>
        </w:tc>
        <w:tc>
          <w:tcPr>
            <w:tcW w:w="1353" w:type="dxa"/>
            <w:vAlign w:val="center"/>
          </w:tcPr>
          <w:p w14:paraId="2F2E75B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技术职称</w:t>
            </w:r>
          </w:p>
        </w:tc>
        <w:tc>
          <w:tcPr>
            <w:tcW w:w="1294" w:type="dxa"/>
            <w:vAlign w:val="center"/>
          </w:tcPr>
          <w:p w14:paraId="3066A1B9">
            <w:pPr>
              <w:jc w:val="center"/>
              <w:rPr>
                <w:rFonts w:ascii="仿宋" w:hAnsi="仿宋" w:eastAsia="仿宋" w:cs="仿宋"/>
                <w:color w:val="auto"/>
                <w:sz w:val="24"/>
                <w:highlight w:val="none"/>
              </w:rPr>
            </w:pPr>
          </w:p>
        </w:tc>
        <w:tc>
          <w:tcPr>
            <w:tcW w:w="735" w:type="dxa"/>
            <w:vAlign w:val="center"/>
          </w:tcPr>
          <w:p w14:paraId="612A347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162" w:type="dxa"/>
            <w:vAlign w:val="center"/>
          </w:tcPr>
          <w:p w14:paraId="57E8377F">
            <w:pPr>
              <w:jc w:val="center"/>
              <w:rPr>
                <w:rFonts w:ascii="仿宋" w:hAnsi="仿宋" w:eastAsia="仿宋" w:cs="仿宋"/>
                <w:color w:val="auto"/>
                <w:sz w:val="24"/>
                <w:highlight w:val="none"/>
              </w:rPr>
            </w:pPr>
          </w:p>
        </w:tc>
      </w:tr>
      <w:tr w14:paraId="79ACC0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61" w:type="dxa"/>
            <w:vAlign w:val="center"/>
          </w:tcPr>
          <w:p w14:paraId="1DD56A4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技术负责人</w:t>
            </w:r>
          </w:p>
        </w:tc>
        <w:tc>
          <w:tcPr>
            <w:tcW w:w="1035" w:type="dxa"/>
            <w:vAlign w:val="center"/>
          </w:tcPr>
          <w:p w14:paraId="085F0AE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414" w:type="dxa"/>
            <w:vAlign w:val="center"/>
          </w:tcPr>
          <w:p w14:paraId="7306E490">
            <w:pPr>
              <w:jc w:val="center"/>
              <w:rPr>
                <w:rFonts w:ascii="仿宋" w:hAnsi="仿宋" w:eastAsia="仿宋" w:cs="仿宋"/>
                <w:color w:val="auto"/>
                <w:sz w:val="24"/>
                <w:highlight w:val="none"/>
              </w:rPr>
            </w:pPr>
          </w:p>
        </w:tc>
        <w:tc>
          <w:tcPr>
            <w:tcW w:w="1353" w:type="dxa"/>
            <w:vAlign w:val="center"/>
          </w:tcPr>
          <w:p w14:paraId="7D26048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技术职称</w:t>
            </w:r>
          </w:p>
        </w:tc>
        <w:tc>
          <w:tcPr>
            <w:tcW w:w="1294" w:type="dxa"/>
            <w:vAlign w:val="center"/>
          </w:tcPr>
          <w:p w14:paraId="22BC9AB7">
            <w:pPr>
              <w:jc w:val="center"/>
              <w:rPr>
                <w:rFonts w:ascii="仿宋" w:hAnsi="仿宋" w:eastAsia="仿宋" w:cs="仿宋"/>
                <w:color w:val="auto"/>
                <w:sz w:val="24"/>
                <w:highlight w:val="none"/>
              </w:rPr>
            </w:pPr>
          </w:p>
        </w:tc>
        <w:tc>
          <w:tcPr>
            <w:tcW w:w="735" w:type="dxa"/>
            <w:vAlign w:val="center"/>
          </w:tcPr>
          <w:p w14:paraId="7304B44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162" w:type="dxa"/>
            <w:vAlign w:val="center"/>
          </w:tcPr>
          <w:p w14:paraId="3B8F4D31">
            <w:pPr>
              <w:jc w:val="center"/>
              <w:rPr>
                <w:rFonts w:ascii="仿宋" w:hAnsi="仿宋" w:eastAsia="仿宋" w:cs="仿宋"/>
                <w:color w:val="auto"/>
                <w:sz w:val="24"/>
                <w:highlight w:val="none"/>
              </w:rPr>
            </w:pPr>
          </w:p>
        </w:tc>
      </w:tr>
      <w:tr w14:paraId="46C236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61" w:type="dxa"/>
            <w:vAlign w:val="center"/>
          </w:tcPr>
          <w:p w14:paraId="3825D26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成立时间</w:t>
            </w:r>
          </w:p>
        </w:tc>
        <w:tc>
          <w:tcPr>
            <w:tcW w:w="2449" w:type="dxa"/>
            <w:gridSpan w:val="2"/>
            <w:vAlign w:val="center"/>
          </w:tcPr>
          <w:p w14:paraId="7E02FC3B">
            <w:pPr>
              <w:jc w:val="center"/>
              <w:rPr>
                <w:rFonts w:ascii="仿宋" w:hAnsi="仿宋" w:eastAsia="仿宋" w:cs="仿宋"/>
                <w:color w:val="auto"/>
                <w:sz w:val="24"/>
                <w:highlight w:val="none"/>
              </w:rPr>
            </w:pPr>
          </w:p>
        </w:tc>
        <w:tc>
          <w:tcPr>
            <w:tcW w:w="4544" w:type="dxa"/>
            <w:gridSpan w:val="4"/>
            <w:vAlign w:val="center"/>
          </w:tcPr>
          <w:p w14:paraId="33B00523">
            <w:pPr>
              <w:rPr>
                <w:rFonts w:ascii="仿宋" w:hAnsi="仿宋" w:eastAsia="仿宋" w:cs="仿宋"/>
                <w:color w:val="auto"/>
                <w:sz w:val="24"/>
                <w:highlight w:val="none"/>
              </w:rPr>
            </w:pPr>
            <w:r>
              <w:rPr>
                <w:rFonts w:hint="eastAsia" w:ascii="仿宋" w:hAnsi="仿宋" w:eastAsia="仿宋" w:cs="仿宋"/>
                <w:color w:val="auto"/>
                <w:sz w:val="24"/>
                <w:highlight w:val="none"/>
              </w:rPr>
              <w:t>员工总人数：</w:t>
            </w:r>
          </w:p>
        </w:tc>
      </w:tr>
      <w:tr w14:paraId="4ADE96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861" w:type="dxa"/>
            <w:vAlign w:val="center"/>
          </w:tcPr>
          <w:p w14:paraId="378453C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营业执照号</w:t>
            </w:r>
          </w:p>
        </w:tc>
        <w:tc>
          <w:tcPr>
            <w:tcW w:w="6993" w:type="dxa"/>
            <w:gridSpan w:val="6"/>
            <w:tcBorders>
              <w:bottom w:val="single" w:color="auto" w:sz="4" w:space="0"/>
            </w:tcBorders>
            <w:vAlign w:val="center"/>
          </w:tcPr>
          <w:p w14:paraId="3C95949D">
            <w:pPr>
              <w:jc w:val="center"/>
              <w:rPr>
                <w:rFonts w:ascii="仿宋" w:hAnsi="仿宋" w:eastAsia="仿宋" w:cs="仿宋"/>
                <w:color w:val="auto"/>
                <w:sz w:val="24"/>
                <w:highlight w:val="none"/>
              </w:rPr>
            </w:pPr>
          </w:p>
        </w:tc>
      </w:tr>
      <w:tr w14:paraId="329DB1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861" w:type="dxa"/>
            <w:vAlign w:val="center"/>
          </w:tcPr>
          <w:p w14:paraId="51ACE84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注册资金</w:t>
            </w:r>
          </w:p>
        </w:tc>
        <w:tc>
          <w:tcPr>
            <w:tcW w:w="6993" w:type="dxa"/>
            <w:gridSpan w:val="6"/>
            <w:tcBorders>
              <w:top w:val="single" w:color="auto" w:sz="4" w:space="0"/>
              <w:bottom w:val="single" w:color="auto" w:sz="4" w:space="0"/>
            </w:tcBorders>
            <w:vAlign w:val="center"/>
          </w:tcPr>
          <w:p w14:paraId="01B13482">
            <w:pPr>
              <w:jc w:val="center"/>
              <w:rPr>
                <w:rFonts w:ascii="仿宋" w:hAnsi="仿宋" w:eastAsia="仿宋" w:cs="仿宋"/>
                <w:color w:val="auto"/>
                <w:sz w:val="24"/>
                <w:highlight w:val="none"/>
              </w:rPr>
            </w:pPr>
          </w:p>
        </w:tc>
      </w:tr>
      <w:tr w14:paraId="7B7FE0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861" w:type="dxa"/>
            <w:vAlign w:val="center"/>
          </w:tcPr>
          <w:p w14:paraId="0927BDE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6993" w:type="dxa"/>
            <w:gridSpan w:val="6"/>
            <w:tcBorders>
              <w:top w:val="single" w:color="auto" w:sz="4" w:space="0"/>
              <w:bottom w:val="single" w:color="auto" w:sz="4" w:space="0"/>
            </w:tcBorders>
            <w:vAlign w:val="center"/>
          </w:tcPr>
          <w:p w14:paraId="02946FDF">
            <w:pPr>
              <w:jc w:val="center"/>
              <w:rPr>
                <w:rFonts w:ascii="仿宋" w:hAnsi="仿宋" w:eastAsia="仿宋" w:cs="仿宋"/>
                <w:color w:val="auto"/>
                <w:sz w:val="24"/>
                <w:highlight w:val="none"/>
              </w:rPr>
            </w:pPr>
          </w:p>
        </w:tc>
      </w:tr>
      <w:tr w14:paraId="3E9368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861" w:type="dxa"/>
            <w:vAlign w:val="center"/>
          </w:tcPr>
          <w:p w14:paraId="0BF06EB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银行账号</w:t>
            </w:r>
          </w:p>
        </w:tc>
        <w:tc>
          <w:tcPr>
            <w:tcW w:w="6993" w:type="dxa"/>
            <w:gridSpan w:val="6"/>
            <w:tcBorders>
              <w:top w:val="single" w:color="auto" w:sz="4" w:space="0"/>
            </w:tcBorders>
            <w:vAlign w:val="center"/>
          </w:tcPr>
          <w:p w14:paraId="39136E2A">
            <w:pPr>
              <w:jc w:val="center"/>
              <w:rPr>
                <w:rFonts w:ascii="仿宋" w:hAnsi="仿宋" w:eastAsia="仿宋" w:cs="仿宋"/>
                <w:color w:val="auto"/>
                <w:sz w:val="24"/>
                <w:highlight w:val="none"/>
              </w:rPr>
            </w:pPr>
          </w:p>
        </w:tc>
      </w:tr>
      <w:tr w14:paraId="50E340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2" w:hRule="atLeast"/>
          <w:jc w:val="center"/>
        </w:trPr>
        <w:tc>
          <w:tcPr>
            <w:tcW w:w="1861" w:type="dxa"/>
            <w:vAlign w:val="center"/>
          </w:tcPr>
          <w:p w14:paraId="790F3DC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经营范围备注</w:t>
            </w:r>
          </w:p>
        </w:tc>
        <w:tc>
          <w:tcPr>
            <w:tcW w:w="6993" w:type="dxa"/>
            <w:gridSpan w:val="6"/>
            <w:vAlign w:val="center"/>
          </w:tcPr>
          <w:p w14:paraId="0F1E10CE">
            <w:pPr>
              <w:jc w:val="center"/>
              <w:rPr>
                <w:rFonts w:ascii="仿宋" w:hAnsi="仿宋" w:eastAsia="仿宋" w:cs="仿宋"/>
                <w:color w:val="auto"/>
                <w:sz w:val="24"/>
                <w:highlight w:val="none"/>
              </w:rPr>
            </w:pPr>
          </w:p>
        </w:tc>
      </w:tr>
    </w:tbl>
    <w:p w14:paraId="339E410E">
      <w:pPr>
        <w:spacing w:line="432" w:lineRule="auto"/>
        <w:rPr>
          <w:rFonts w:ascii="仿宋" w:hAnsi="仿宋" w:eastAsia="仿宋" w:cs="仿宋"/>
          <w:color w:val="auto"/>
          <w:sz w:val="24"/>
          <w:highlight w:val="none"/>
        </w:rPr>
      </w:pPr>
    </w:p>
    <w:p w14:paraId="650DD17E">
      <w:pPr>
        <w:spacing w:line="44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供应商签章：</w:t>
      </w:r>
    </w:p>
    <w:p w14:paraId="7D2BBB86">
      <w:pPr>
        <w:spacing w:line="432" w:lineRule="auto"/>
        <w:rPr>
          <w:rFonts w:hint="eastAsia" w:ascii="仿宋" w:hAnsi="仿宋" w:eastAsia="仿宋" w:cs="仿宋"/>
          <w:color w:val="auto"/>
          <w:sz w:val="30"/>
          <w:szCs w:val="30"/>
          <w:highlight w:val="none"/>
        </w:rPr>
      </w:pPr>
      <w:r>
        <w:rPr>
          <w:rFonts w:hint="eastAsia" w:ascii="仿宋" w:hAnsi="仿宋" w:eastAsia="仿宋" w:cs="仿宋"/>
          <w:color w:val="auto"/>
          <w:highlight w:val="none"/>
        </w:rPr>
        <w:br w:type="page"/>
      </w:r>
    </w:p>
    <w:p w14:paraId="1180860A">
      <w:pPr>
        <w:pStyle w:val="5"/>
        <w:ind w:left="1285" w:hanging="1205" w:hangingChars="400"/>
        <w:jc w:val="center"/>
        <w:rPr>
          <w:rFonts w:ascii="仿宋" w:hAnsi="仿宋" w:eastAsia="仿宋" w:cs="仿宋"/>
          <w:color w:val="auto"/>
          <w:sz w:val="30"/>
          <w:szCs w:val="30"/>
          <w:highlight w:val="none"/>
        </w:rPr>
      </w:pPr>
      <w:bookmarkStart w:id="105" w:name="_Toc28007"/>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.技术文件</w:t>
      </w:r>
      <w:bookmarkEnd w:id="105"/>
    </w:p>
    <w:p w14:paraId="7DB942AF">
      <w:pPr>
        <w:spacing w:line="432"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（供应商视需要自行编写）</w:t>
      </w:r>
    </w:p>
    <w:p w14:paraId="0B4B3A51">
      <w:pPr>
        <w:spacing w:line="400" w:lineRule="exact"/>
        <w:rPr>
          <w:rFonts w:ascii="仿宋" w:hAnsi="仿宋" w:eastAsia="仿宋" w:cs="仿宋"/>
          <w:color w:val="auto"/>
          <w:sz w:val="24"/>
          <w:highlight w:val="none"/>
          <w:u w:val="single"/>
        </w:rPr>
      </w:pPr>
    </w:p>
    <w:p w14:paraId="7BC967A1">
      <w:pPr>
        <w:spacing w:line="432" w:lineRule="auto"/>
        <w:rPr>
          <w:rFonts w:ascii="仿宋" w:hAnsi="仿宋" w:eastAsia="仿宋" w:cs="仿宋"/>
          <w:color w:val="auto"/>
          <w:sz w:val="24"/>
          <w:highlight w:val="none"/>
        </w:rPr>
        <w:sectPr>
          <w:footerReference r:id="rId10" w:type="default"/>
          <w:footerReference r:id="rId11" w:type="even"/>
          <w:pgSz w:w="11906" w:h="16838"/>
          <w:pgMar w:top="1218" w:right="1247" w:bottom="1418" w:left="1814" w:header="851" w:footer="992" w:gutter="0"/>
          <w:pgNumType w:fmt="decimal"/>
          <w:cols w:space="425" w:num="1"/>
          <w:docGrid w:type="lines" w:linePitch="312" w:charSpace="0"/>
        </w:sectPr>
      </w:pPr>
    </w:p>
    <w:p w14:paraId="02266AB1">
      <w:pPr>
        <w:pStyle w:val="5"/>
        <w:spacing w:before="0" w:after="0" w:line="460" w:lineRule="exact"/>
        <w:jc w:val="center"/>
        <w:rPr>
          <w:rFonts w:ascii="仿宋" w:hAnsi="仿宋" w:eastAsia="仿宋" w:cs="仿宋"/>
          <w:color w:val="auto"/>
          <w:sz w:val="30"/>
          <w:szCs w:val="30"/>
          <w:highlight w:val="none"/>
        </w:rPr>
      </w:pPr>
      <w:bookmarkStart w:id="106" w:name="_Toc293934829"/>
      <w:bookmarkStart w:id="107" w:name="_Toc26526"/>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.资格证明文件</w:t>
      </w:r>
      <w:bookmarkEnd w:id="106"/>
      <w:bookmarkEnd w:id="107"/>
    </w:p>
    <w:p w14:paraId="3E615273">
      <w:pPr>
        <w:pageBreakBefore w:val="0"/>
        <w:kinsoku/>
        <w:wordWrap/>
        <w:overflowPunct/>
        <w:topLinePunct w:val="0"/>
        <w:bidi w:val="0"/>
        <w:spacing w:line="480" w:lineRule="auto"/>
        <w:ind w:firstLine="241" w:firstLineChars="100"/>
        <w:textAlignment w:val="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1.满足</w:t>
      </w:r>
      <w:r>
        <w:rPr>
          <w:rFonts w:hint="eastAsia" w:ascii="仿宋" w:hAnsi="仿宋" w:eastAsia="仿宋" w:cs="仿宋"/>
          <w:b/>
          <w:bCs/>
          <w:i w:val="0"/>
          <w:iCs w:val="0"/>
          <w:strike w:val="0"/>
          <w:dstrike w:val="0"/>
          <w:color w:val="auto"/>
          <w:sz w:val="24"/>
          <w:szCs w:val="24"/>
          <w:highlight w:val="none"/>
          <w:lang w:val="en-US" w:eastAsia="zh-CN"/>
        </w:rPr>
        <w:t>下列要求</w:t>
      </w:r>
      <w:r>
        <w:rPr>
          <w:rFonts w:hint="eastAsia" w:ascii="仿宋" w:hAnsi="仿宋" w:eastAsia="仿宋" w:cs="仿宋"/>
          <w:b/>
          <w:bCs/>
          <w:i w:val="0"/>
          <w:iCs w:val="0"/>
          <w:color w:val="auto"/>
          <w:sz w:val="24"/>
          <w:szCs w:val="24"/>
          <w:highlight w:val="none"/>
        </w:rPr>
        <w:t>；</w:t>
      </w:r>
    </w:p>
    <w:p w14:paraId="1831304A">
      <w:pPr>
        <w:pageBreakBefore w:val="0"/>
        <w:kinsoku/>
        <w:wordWrap/>
        <w:overflowPunct/>
        <w:topLinePunct w:val="0"/>
        <w:bidi w:val="0"/>
        <w:spacing w:line="480" w:lineRule="auto"/>
        <w:ind w:firstLine="240" w:firstLineChars="10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（1）具有独立承担民事责任的能力</w:t>
      </w:r>
      <w:r>
        <w:rPr>
          <w:rFonts w:hint="eastAsia" w:ascii="仿宋" w:hAnsi="仿宋" w:eastAsia="仿宋" w:cs="仿宋"/>
          <w:i w:val="0"/>
          <w:iCs w:val="0"/>
          <w:color w:val="auto"/>
          <w:sz w:val="24"/>
          <w:szCs w:val="24"/>
          <w:highlight w:val="none"/>
          <w:lang w:val="en-US" w:eastAsia="zh-CN"/>
        </w:rPr>
        <w:t>；</w:t>
      </w:r>
    </w:p>
    <w:p w14:paraId="1A38668F">
      <w:pPr>
        <w:pageBreakBefore w:val="0"/>
        <w:kinsoku/>
        <w:wordWrap/>
        <w:overflowPunct/>
        <w:topLinePunct w:val="0"/>
        <w:bidi w:val="0"/>
        <w:spacing w:line="480" w:lineRule="auto"/>
        <w:ind w:firstLine="240" w:firstLineChars="1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（2）具有良好的商业信誉和健全的财务会计制度</w:t>
      </w:r>
      <w:r>
        <w:rPr>
          <w:rFonts w:hint="eastAsia" w:ascii="仿宋" w:hAnsi="仿宋" w:eastAsia="仿宋" w:cs="仿宋"/>
          <w:i w:val="0"/>
          <w:iCs w:val="0"/>
          <w:color w:val="auto"/>
          <w:sz w:val="24"/>
          <w:szCs w:val="24"/>
          <w:highlight w:val="none"/>
          <w:lang w:val="en-US" w:eastAsia="zh-CN"/>
        </w:rPr>
        <w:t>；</w:t>
      </w:r>
      <w:r>
        <w:rPr>
          <w:rFonts w:hint="eastAsia" w:ascii="仿宋" w:hAnsi="仿宋" w:eastAsia="仿宋" w:cs="仿宋"/>
          <w:i w:val="0"/>
          <w:iCs w:val="0"/>
          <w:color w:val="auto"/>
          <w:sz w:val="24"/>
          <w:szCs w:val="24"/>
          <w:highlight w:val="none"/>
        </w:rPr>
        <w:t xml:space="preserve"> </w:t>
      </w:r>
    </w:p>
    <w:p w14:paraId="3D3E2CF5">
      <w:pPr>
        <w:pageBreakBefore w:val="0"/>
        <w:kinsoku/>
        <w:wordWrap/>
        <w:overflowPunct/>
        <w:topLinePunct w:val="0"/>
        <w:bidi w:val="0"/>
        <w:spacing w:line="480" w:lineRule="auto"/>
        <w:ind w:firstLine="240" w:firstLineChars="1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w:t>
      </w:r>
      <w:r>
        <w:rPr>
          <w:rFonts w:hint="eastAsia" w:ascii="仿宋" w:hAnsi="仿宋" w:eastAsia="仿宋" w:cs="仿宋"/>
          <w:i w:val="0"/>
          <w:iCs w:val="0"/>
          <w:color w:val="auto"/>
          <w:sz w:val="24"/>
          <w:szCs w:val="24"/>
          <w:highlight w:val="none"/>
          <w:lang w:eastAsia="zh-CN"/>
        </w:rPr>
        <w:t>具有履行合同所必需的设备和专业技术能力</w:t>
      </w:r>
      <w:r>
        <w:rPr>
          <w:rFonts w:hint="eastAsia" w:ascii="仿宋" w:hAnsi="仿宋" w:eastAsia="仿宋" w:cs="仿宋"/>
          <w:i w:val="0"/>
          <w:iCs w:val="0"/>
          <w:color w:val="auto"/>
          <w:sz w:val="24"/>
          <w:szCs w:val="24"/>
          <w:highlight w:val="none"/>
          <w:lang w:val="en-US" w:eastAsia="zh-CN"/>
        </w:rPr>
        <w:t>；</w:t>
      </w:r>
      <w:r>
        <w:rPr>
          <w:rFonts w:hint="eastAsia" w:ascii="仿宋" w:hAnsi="仿宋" w:eastAsia="仿宋" w:cs="仿宋"/>
          <w:i w:val="0"/>
          <w:iCs w:val="0"/>
          <w:color w:val="auto"/>
          <w:sz w:val="24"/>
          <w:szCs w:val="24"/>
          <w:highlight w:val="none"/>
        </w:rPr>
        <w:t xml:space="preserve"> </w:t>
      </w:r>
    </w:p>
    <w:p w14:paraId="4C867232">
      <w:pPr>
        <w:pageBreakBefore w:val="0"/>
        <w:kinsoku/>
        <w:wordWrap/>
        <w:overflowPunct/>
        <w:topLinePunct w:val="0"/>
        <w:bidi w:val="0"/>
        <w:spacing w:line="480" w:lineRule="auto"/>
        <w:ind w:firstLine="240" w:firstLineChars="10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（4）有依法缴纳税收和社会保障资金的良好记录</w:t>
      </w:r>
      <w:r>
        <w:rPr>
          <w:rFonts w:hint="eastAsia" w:ascii="仿宋" w:hAnsi="仿宋" w:eastAsia="仿宋" w:cs="仿宋"/>
          <w:i w:val="0"/>
          <w:iCs w:val="0"/>
          <w:color w:val="auto"/>
          <w:sz w:val="24"/>
          <w:szCs w:val="24"/>
          <w:highlight w:val="none"/>
          <w:lang w:val="en-US" w:eastAsia="zh-CN"/>
        </w:rPr>
        <w:t>；</w:t>
      </w:r>
    </w:p>
    <w:p w14:paraId="479A4A6D">
      <w:pPr>
        <w:pageBreakBefore w:val="0"/>
        <w:kinsoku/>
        <w:wordWrap/>
        <w:overflowPunct/>
        <w:topLinePunct w:val="0"/>
        <w:bidi w:val="0"/>
        <w:spacing w:line="480" w:lineRule="auto"/>
        <w:ind w:firstLine="240" w:firstLineChars="10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（5）参加采购活动前三年内,在经营活动中没有重大违法记录</w:t>
      </w:r>
      <w:r>
        <w:rPr>
          <w:rFonts w:hint="eastAsia" w:ascii="仿宋" w:hAnsi="仿宋" w:eastAsia="仿宋" w:cs="仿宋"/>
          <w:i w:val="0"/>
          <w:iCs w:val="0"/>
          <w:color w:val="auto"/>
          <w:sz w:val="24"/>
          <w:szCs w:val="24"/>
          <w:highlight w:val="none"/>
          <w:lang w:val="en-US" w:eastAsia="zh-CN"/>
        </w:rPr>
        <w:t>。</w:t>
      </w:r>
    </w:p>
    <w:p w14:paraId="6019EB32">
      <w:pPr>
        <w:pStyle w:val="8"/>
        <w:ind w:left="0" w:leftChars="0" w:firstLine="0" w:firstLineChars="0"/>
        <w:rPr>
          <w:rFonts w:hint="eastAsia" w:eastAsia="仿宋"/>
          <w:b/>
          <w:bCs/>
          <w:color w:val="auto"/>
          <w:highlight w:val="none"/>
          <w:lang w:val="en-US" w:eastAsia="zh-CN"/>
        </w:rPr>
      </w:pPr>
      <w:r>
        <w:rPr>
          <w:rFonts w:hint="eastAsia" w:eastAsia="仿宋"/>
          <w:b/>
          <w:bCs/>
          <w:color w:val="auto"/>
          <w:highlight w:val="none"/>
          <w:lang w:val="en-US" w:eastAsia="zh-CN"/>
        </w:rPr>
        <w:t>注：</w:t>
      </w:r>
      <w:r>
        <w:rPr>
          <w:rFonts w:hint="eastAsia" w:ascii="仿宋" w:hAnsi="仿宋" w:eastAsia="仿宋" w:cs="仿宋"/>
          <w:b/>
          <w:bCs/>
          <w:i w:val="0"/>
          <w:iCs w:val="0"/>
          <w:color w:val="auto"/>
          <w:kern w:val="2"/>
          <w:sz w:val="24"/>
          <w:szCs w:val="24"/>
          <w:highlight w:val="none"/>
          <w:lang w:val="en-US" w:eastAsia="zh-CN" w:bidi="ar-SA"/>
        </w:rPr>
        <w:t>上述（1）-（5）项按响应文件格式7-2．供应商资格信用承诺函响应即可</w:t>
      </w:r>
      <w:r>
        <w:rPr>
          <w:rFonts w:hint="eastAsia" w:eastAsia="仿宋"/>
          <w:b/>
          <w:bCs/>
          <w:color w:val="auto"/>
          <w:highlight w:val="none"/>
          <w:lang w:val="en-US" w:eastAsia="zh-CN"/>
        </w:rPr>
        <w:t>。</w:t>
      </w:r>
    </w:p>
    <w:p w14:paraId="0B6020D4">
      <w:pPr>
        <w:spacing w:before="120" w:beforeLines="50" w:line="460" w:lineRule="exact"/>
        <w:ind w:firstLine="480" w:firstLineChars="200"/>
        <w:rPr>
          <w:rFonts w:hint="default" w:eastAsia="仿宋"/>
          <w:b/>
          <w:bCs/>
          <w:color w:val="auto"/>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本项目的特定资格要求：投标人应具备行政主管部门颁发的道路运输经营许可证，且经营范围含货运（货物运输），</w:t>
      </w:r>
      <w:r>
        <w:rPr>
          <w:rFonts w:hint="eastAsia" w:ascii="仿宋" w:hAnsi="仿宋" w:eastAsia="仿宋" w:cs="仿宋"/>
          <w:color w:val="auto"/>
          <w:sz w:val="24"/>
          <w:szCs w:val="24"/>
          <w:highlight w:val="none"/>
          <w:lang w:val="en-US" w:eastAsia="zh-CN"/>
        </w:rPr>
        <w:t>提供有效期内的证书复印件加盖公章</w:t>
      </w:r>
      <w:r>
        <w:rPr>
          <w:rFonts w:hint="eastAsia" w:ascii="仿宋" w:hAnsi="仿宋" w:eastAsia="仿宋" w:cs="仿宋"/>
          <w:color w:val="auto"/>
          <w:sz w:val="24"/>
          <w:highlight w:val="none"/>
        </w:rPr>
        <w:t>。</w:t>
      </w:r>
    </w:p>
    <w:p w14:paraId="6714AC46">
      <w:pPr>
        <w:pStyle w:val="2"/>
        <w:rPr>
          <w:rFonts w:hint="eastAsia"/>
          <w:color w:val="auto"/>
          <w:highlight w:val="none"/>
          <w:lang w:val="en-US" w:eastAsia="zh-CN"/>
        </w:rPr>
      </w:pPr>
    </w:p>
    <w:p w14:paraId="5C603EAE">
      <w:pPr>
        <w:pageBreakBefore w:val="0"/>
        <w:kinsoku/>
        <w:wordWrap/>
        <w:overflowPunct/>
        <w:topLinePunct w:val="0"/>
        <w:bidi w:val="0"/>
        <w:spacing w:line="480" w:lineRule="auto"/>
        <w:ind w:firstLine="480" w:firstLineChars="200"/>
        <w:textAlignment w:val="auto"/>
        <w:rPr>
          <w:rFonts w:hint="eastAsia"/>
          <w:color w:val="auto"/>
          <w:highlight w:val="none"/>
          <w:lang w:val="en-US" w:eastAsia="zh-CN"/>
        </w:rPr>
      </w:pPr>
      <w:r>
        <w:rPr>
          <w:rFonts w:hint="eastAsia" w:ascii="仿宋" w:hAnsi="仿宋" w:eastAsia="仿宋" w:cs="仿宋"/>
          <w:i w:val="0"/>
          <w:iCs w:val="0"/>
          <w:color w:val="auto"/>
          <w:sz w:val="24"/>
          <w:szCs w:val="24"/>
          <w:highlight w:val="none"/>
          <w:lang w:val="en-US" w:eastAsia="zh-CN"/>
        </w:rPr>
        <w:t>3.法定代表人参与投标时须提供法定代表人身份证（正、反面）复印件及法定代表人身份证原件（或电子身份证）；授权代表参与投标须提供授权委托书（含法定代表人身份证及授权代表身份证正、反面）复印件及授权代表身份证原件（或电子身份证）。</w:t>
      </w:r>
    </w:p>
    <w:p w14:paraId="1A3694F5">
      <w:pPr>
        <w:pageBreakBefore w:val="0"/>
        <w:kinsoku/>
        <w:wordWrap/>
        <w:overflowPunct/>
        <w:topLinePunct w:val="0"/>
        <w:bidi w:val="0"/>
        <w:spacing w:line="480" w:lineRule="auto"/>
        <w:ind w:firstLine="480" w:firstLineChars="20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4.投标保证金：投标人提供</w:t>
      </w:r>
      <w:r>
        <w:rPr>
          <w:rFonts w:hint="eastAsia" w:ascii="仿宋" w:hAnsi="仿宋" w:eastAsia="仿宋" w:cs="仿宋"/>
          <w:b/>
          <w:bCs/>
          <w:i w:val="0"/>
          <w:iCs w:val="0"/>
          <w:color w:val="auto"/>
          <w:sz w:val="24"/>
          <w:szCs w:val="24"/>
          <w:highlight w:val="none"/>
          <w:lang w:val="en-US" w:eastAsia="zh-CN"/>
        </w:rPr>
        <w:t>投标保证金缴纳凭证及基本行开户证明复印件加盖公章</w:t>
      </w:r>
      <w:r>
        <w:rPr>
          <w:rFonts w:hint="eastAsia" w:ascii="仿宋" w:hAnsi="仿宋" w:eastAsia="仿宋" w:cs="仿宋"/>
          <w:i w:val="0"/>
          <w:iCs w:val="0"/>
          <w:color w:val="auto"/>
          <w:sz w:val="24"/>
          <w:szCs w:val="24"/>
          <w:highlight w:val="none"/>
          <w:lang w:val="en-US" w:eastAsia="zh-CN"/>
        </w:rPr>
        <w:t>。</w:t>
      </w:r>
    </w:p>
    <w:p w14:paraId="3A710969">
      <w:pPr>
        <w:spacing w:line="480" w:lineRule="auto"/>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5.单位负责人为同一人或者存在直接控股、管理关系的不同供应商，不得参加同一合同项下的企业招标、采购活动（</w:t>
      </w:r>
      <w:r>
        <w:rPr>
          <w:rFonts w:hint="eastAsia" w:ascii="仿宋" w:hAnsi="仿宋" w:eastAsia="仿宋" w:cs="仿宋"/>
          <w:b/>
          <w:bCs/>
          <w:color w:val="auto"/>
          <w:sz w:val="24"/>
          <w:szCs w:val="24"/>
          <w:highlight w:val="none"/>
          <w:lang w:val="en-US" w:eastAsia="zh-CN"/>
        </w:rPr>
        <w:t>提供声明函及国家企业信用信息公示系统（网址:http://www.gsxt.gov.cn/index.html)中的“企业信用信息公示（开标前一个月内的）报告”，声明函格式见投标文件格式8-1</w:t>
      </w:r>
      <w:r>
        <w:rPr>
          <w:rFonts w:hint="eastAsia" w:ascii="仿宋" w:hAnsi="仿宋" w:eastAsia="仿宋" w:cs="仿宋"/>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w:t>
      </w:r>
    </w:p>
    <w:p w14:paraId="0A65F434">
      <w:pPr>
        <w:spacing w:line="40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、其他资格证明材料；</w:t>
      </w:r>
    </w:p>
    <w:p w14:paraId="4CA829AB">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.法定代表人授权书（见格式</w:t>
      </w:r>
      <w:r>
        <w:rPr>
          <w:rFonts w:hint="eastAsia" w:ascii="仿宋" w:hAnsi="仿宋" w:eastAsia="仿宋" w:cs="仿宋"/>
          <w:color w:val="auto"/>
          <w:sz w:val="24"/>
          <w:szCs w:val="24"/>
          <w:highlight w:val="none"/>
          <w:lang w:val="en-US" w:eastAsia="zh-CN"/>
        </w:rPr>
        <w:t>7-1</w:t>
      </w:r>
      <w:r>
        <w:rPr>
          <w:rFonts w:hint="eastAsia" w:ascii="仿宋" w:hAnsi="仿宋" w:eastAsia="仿宋" w:cs="仿宋"/>
          <w:color w:val="auto"/>
          <w:sz w:val="24"/>
          <w:szCs w:val="24"/>
          <w:highlight w:val="none"/>
        </w:rPr>
        <w:t>）</w:t>
      </w:r>
    </w:p>
    <w:p w14:paraId="47A42948">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6-2</w:t>
      </w:r>
      <w:r>
        <w:rPr>
          <w:rFonts w:hint="eastAsia" w:ascii="仿宋" w:hAnsi="仿宋" w:eastAsia="仿宋" w:cs="仿宋"/>
          <w:color w:val="auto"/>
          <w:sz w:val="24"/>
          <w:szCs w:val="24"/>
          <w:highlight w:val="none"/>
        </w:rPr>
        <w:t>.谈判文件第一章“谈判邀请”中要求的证明材料。</w:t>
      </w:r>
    </w:p>
    <w:p w14:paraId="2626FB47">
      <w:pPr>
        <w:spacing w:line="400" w:lineRule="exact"/>
        <w:ind w:firstLine="480" w:firstLineChars="200"/>
        <w:rPr>
          <w:rFonts w:ascii="仿宋" w:hAnsi="仿宋" w:eastAsia="仿宋" w:cs="仿宋"/>
          <w:color w:val="auto"/>
          <w:sz w:val="24"/>
          <w:szCs w:val="24"/>
          <w:highlight w:val="none"/>
        </w:rPr>
      </w:pPr>
    </w:p>
    <w:p w14:paraId="7F09E83E">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格式</w:t>
      </w:r>
      <w:r>
        <w:rPr>
          <w:rFonts w:hint="eastAsia" w:ascii="仿宋" w:hAnsi="仿宋" w:eastAsia="仿宋" w:cs="仿宋"/>
          <w:b/>
          <w:color w:val="auto"/>
          <w:sz w:val="28"/>
          <w:szCs w:val="28"/>
          <w:highlight w:val="none"/>
          <w:lang w:val="en-US" w:eastAsia="zh-CN"/>
        </w:rPr>
        <w:t>7</w:t>
      </w:r>
      <w:r>
        <w:rPr>
          <w:rFonts w:hint="eastAsia" w:ascii="仿宋" w:hAnsi="仿宋" w:eastAsia="仿宋" w:cs="仿宋"/>
          <w:b/>
          <w:color w:val="auto"/>
          <w:sz w:val="28"/>
          <w:szCs w:val="28"/>
          <w:highlight w:val="none"/>
        </w:rPr>
        <w:t>-1. 法定代表人授权书</w:t>
      </w:r>
    </w:p>
    <w:p w14:paraId="0423EFD3">
      <w:pPr>
        <w:spacing w:line="432" w:lineRule="auto"/>
        <w:rPr>
          <w:rFonts w:ascii="仿宋" w:hAnsi="仿宋" w:eastAsia="仿宋" w:cs="仿宋"/>
          <w:color w:val="auto"/>
          <w:sz w:val="24"/>
          <w:highlight w:val="none"/>
        </w:rPr>
      </w:pPr>
    </w:p>
    <w:p w14:paraId="687B00B0">
      <w:pPr>
        <w:spacing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lang w:val="en-US" w:eastAsia="zh-CN"/>
        </w:rPr>
        <w:t>江西省壹凡工程咨询</w:t>
      </w:r>
      <w:r>
        <w:rPr>
          <w:rFonts w:hint="eastAsia" w:ascii="仿宋" w:hAnsi="仿宋" w:eastAsia="仿宋" w:cs="仿宋"/>
          <w:color w:val="auto"/>
          <w:sz w:val="28"/>
          <w:szCs w:val="28"/>
          <w:highlight w:val="none"/>
        </w:rPr>
        <w:t>有限公司</w:t>
      </w:r>
    </w:p>
    <w:p w14:paraId="0EF73CD4">
      <w:pPr>
        <w:spacing w:line="440" w:lineRule="exact"/>
        <w:rPr>
          <w:rFonts w:ascii="仿宋" w:hAnsi="仿宋" w:eastAsia="仿宋" w:cs="仿宋"/>
          <w:color w:val="auto"/>
          <w:sz w:val="24"/>
          <w:highlight w:val="none"/>
        </w:rPr>
      </w:pPr>
    </w:p>
    <w:p w14:paraId="4227AD72">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（供应商全称）法定代表人授权（全权代表姓名）为全权代表,参加贵处组织的（项目编号）项目谈判活动，全权代表我方处理谈判活动中的一切事宜。</w:t>
      </w:r>
    </w:p>
    <w:p w14:paraId="449DE1FD">
      <w:pPr>
        <w:spacing w:line="440" w:lineRule="exact"/>
        <w:rPr>
          <w:rFonts w:ascii="仿宋" w:hAnsi="仿宋" w:eastAsia="仿宋" w:cs="仿宋"/>
          <w:color w:val="auto"/>
          <w:sz w:val="24"/>
          <w:highlight w:val="none"/>
        </w:rPr>
      </w:pPr>
    </w:p>
    <w:p w14:paraId="0657D9C8">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p>
    <w:p w14:paraId="39CF0ABC">
      <w:pPr>
        <w:spacing w:line="240" w:lineRule="auto"/>
        <w:rPr>
          <w:rFonts w:ascii="仿宋" w:hAnsi="仿宋" w:eastAsia="仿宋" w:cs="仿宋"/>
          <w:color w:val="auto"/>
          <w:sz w:val="24"/>
          <w:highlight w:val="none"/>
        </w:rPr>
      </w:pPr>
    </w:p>
    <w:p w14:paraId="4B39ACA6">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供应商签章：</w:t>
      </w:r>
    </w:p>
    <w:p w14:paraId="5553FF34">
      <w:pPr>
        <w:spacing w:line="240" w:lineRule="auto"/>
        <w:rPr>
          <w:rFonts w:ascii="仿宋" w:hAnsi="仿宋" w:eastAsia="仿宋" w:cs="仿宋"/>
          <w:color w:val="auto"/>
          <w:sz w:val="24"/>
          <w:highlight w:val="none"/>
        </w:rPr>
      </w:pPr>
    </w:p>
    <w:p w14:paraId="1F474243">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7A91DF2E">
      <w:pPr>
        <w:spacing w:line="440" w:lineRule="exact"/>
        <w:rPr>
          <w:rFonts w:ascii="仿宋" w:hAnsi="仿宋" w:eastAsia="仿宋" w:cs="仿宋"/>
          <w:color w:val="auto"/>
          <w:sz w:val="24"/>
          <w:highlight w:val="none"/>
        </w:rPr>
      </w:pPr>
    </w:p>
    <w:p w14:paraId="4498AB44">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附：</w:t>
      </w:r>
    </w:p>
    <w:p w14:paraId="427120E5">
      <w:pPr>
        <w:spacing w:line="44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全权代表姓名：</w:t>
      </w:r>
    </w:p>
    <w:p w14:paraId="1EF5F7C6">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职务：</w:t>
      </w:r>
    </w:p>
    <w:p w14:paraId="29DA3D1F">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电话：</w:t>
      </w:r>
    </w:p>
    <w:p w14:paraId="0BE77AC3">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详细通讯地址：</w:t>
      </w:r>
    </w:p>
    <w:p w14:paraId="1FEE7995">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邮政编码：</w:t>
      </w:r>
    </w:p>
    <w:p w14:paraId="42CC4317">
      <w:pPr>
        <w:tabs>
          <w:tab w:val="left" w:pos="1470"/>
        </w:tabs>
        <w:spacing w:line="432" w:lineRule="auto"/>
        <w:rPr>
          <w:rFonts w:ascii="仿宋" w:hAnsi="仿宋" w:eastAsia="仿宋" w:cs="仿宋"/>
          <w:b/>
          <w:color w:val="auto"/>
          <w:sz w:val="24"/>
          <w:highlight w:val="none"/>
        </w:rPr>
      </w:pPr>
    </w:p>
    <w:p w14:paraId="2255A9D4">
      <w:pPr>
        <w:tabs>
          <w:tab w:val="left" w:pos="1470"/>
        </w:tabs>
        <w:spacing w:line="432"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w:t>
      </w:r>
      <w:r>
        <w:rPr>
          <w:rFonts w:hint="eastAsia" w:ascii="仿宋" w:hAnsi="仿宋" w:eastAsia="仿宋" w:cs="仿宋"/>
          <w:b/>
          <w:color w:val="auto"/>
          <w:sz w:val="24"/>
          <w:highlight w:val="none"/>
          <w:lang w:eastAsia="zh-CN"/>
        </w:rPr>
        <w:t>法定代表人和</w:t>
      </w:r>
      <w:r>
        <w:rPr>
          <w:rFonts w:hint="eastAsia" w:ascii="仿宋" w:hAnsi="仿宋" w:eastAsia="仿宋" w:cs="仿宋"/>
          <w:b/>
          <w:color w:val="auto"/>
          <w:sz w:val="24"/>
          <w:highlight w:val="none"/>
        </w:rPr>
        <w:t>全权代表身份证复印件（正、反面）</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A8B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2" w:hRule="atLeast"/>
        </w:trPr>
        <w:tc>
          <w:tcPr>
            <w:tcW w:w="4261" w:type="dxa"/>
          </w:tcPr>
          <w:p w14:paraId="69390003">
            <w:pPr>
              <w:jc w:val="center"/>
              <w:rPr>
                <w:rFonts w:hint="eastAsia" w:ascii="仿宋" w:hAnsi="仿宋" w:eastAsia="仿宋" w:cs="仿宋"/>
                <w:b/>
                <w:color w:val="auto"/>
                <w:sz w:val="24"/>
                <w:szCs w:val="24"/>
                <w:highlight w:val="none"/>
                <w:vertAlign w:val="baseline"/>
                <w:lang w:eastAsia="zh-CN"/>
              </w:rPr>
            </w:pPr>
            <w:r>
              <w:rPr>
                <w:rFonts w:hint="eastAsia" w:ascii="仿宋" w:hAnsi="仿宋" w:eastAsia="仿宋" w:cs="仿宋"/>
                <w:b/>
                <w:color w:val="auto"/>
                <w:sz w:val="24"/>
                <w:highlight w:val="none"/>
                <w:lang w:val="en-US" w:eastAsia="zh-CN"/>
              </w:rPr>
              <w:t>法定代表人</w:t>
            </w:r>
            <w:r>
              <w:rPr>
                <w:rFonts w:hint="eastAsia" w:ascii="仿宋" w:hAnsi="仿宋" w:eastAsia="仿宋" w:cs="仿宋"/>
                <w:b/>
                <w:color w:val="auto"/>
                <w:sz w:val="24"/>
                <w:highlight w:val="none"/>
              </w:rPr>
              <w:t>身份证复印件（正、反面）</w:t>
            </w:r>
          </w:p>
        </w:tc>
        <w:tc>
          <w:tcPr>
            <w:tcW w:w="4261" w:type="dxa"/>
          </w:tcPr>
          <w:p w14:paraId="51015DCF">
            <w:pPr>
              <w:jc w:val="center"/>
              <w:rPr>
                <w:rFonts w:hint="eastAsia" w:ascii="仿宋" w:hAnsi="仿宋" w:eastAsia="仿宋" w:cs="仿宋"/>
                <w:b/>
                <w:color w:val="auto"/>
                <w:sz w:val="24"/>
                <w:szCs w:val="24"/>
                <w:highlight w:val="none"/>
                <w:vertAlign w:val="baseline"/>
                <w:lang w:eastAsia="zh-CN"/>
              </w:rPr>
            </w:pPr>
            <w:r>
              <w:rPr>
                <w:rFonts w:hint="eastAsia" w:ascii="仿宋" w:hAnsi="仿宋" w:eastAsia="仿宋" w:cs="仿宋"/>
                <w:b/>
                <w:color w:val="auto"/>
                <w:sz w:val="24"/>
                <w:highlight w:val="none"/>
              </w:rPr>
              <w:t>全权代表身份证复印件（正、反面）</w:t>
            </w:r>
          </w:p>
        </w:tc>
      </w:tr>
    </w:tbl>
    <w:p w14:paraId="3E640809">
      <w:pPr>
        <w:tabs>
          <w:tab w:val="left" w:pos="1470"/>
        </w:tabs>
        <w:spacing w:line="432" w:lineRule="auto"/>
        <w:rPr>
          <w:rFonts w:hint="eastAsia" w:ascii="仿宋" w:hAnsi="仿宋" w:eastAsia="仿宋" w:cs="仿宋"/>
          <w:b/>
          <w:color w:val="auto"/>
          <w:sz w:val="24"/>
          <w:highlight w:val="none"/>
          <w:lang w:eastAsia="zh-CN"/>
        </w:rPr>
        <w:sectPr>
          <w:footerReference r:id="rId12" w:type="default"/>
          <w:footerReference r:id="rId13" w:type="even"/>
          <w:pgSz w:w="11906" w:h="16838"/>
          <w:pgMar w:top="1418" w:right="1247" w:bottom="1418" w:left="1814" w:header="851" w:footer="992" w:gutter="0"/>
          <w:pgNumType w:fmt="decimal"/>
          <w:cols w:space="425" w:num="1"/>
          <w:docGrid w:linePitch="312" w:charSpace="0"/>
        </w:sectPr>
      </w:pPr>
      <w:r>
        <w:rPr>
          <w:rFonts w:hint="eastAsia" w:ascii="仿宋" w:hAnsi="仿宋" w:eastAsia="仿宋" w:cs="仿宋"/>
          <w:b/>
          <w:color w:val="auto"/>
          <w:sz w:val="24"/>
          <w:szCs w:val="24"/>
          <w:highlight w:val="none"/>
        </w:rPr>
        <w:t>说明：法定代表人参加采购</w:t>
      </w:r>
      <w:r>
        <w:rPr>
          <w:rFonts w:hint="eastAsia" w:ascii="仿宋" w:hAnsi="仿宋" w:eastAsia="仿宋" w:cs="仿宋"/>
          <w:b/>
          <w:color w:val="auto"/>
          <w:sz w:val="24"/>
          <w:szCs w:val="24"/>
          <w:highlight w:val="none"/>
          <w:lang w:val="en-US" w:eastAsia="zh-CN"/>
        </w:rPr>
        <w:t>的</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提供</w:t>
      </w:r>
      <w:r>
        <w:rPr>
          <w:rFonts w:hint="eastAsia" w:ascii="仿宋" w:hAnsi="仿宋" w:eastAsia="仿宋" w:cs="仿宋"/>
          <w:b/>
          <w:color w:val="auto"/>
          <w:sz w:val="24"/>
          <w:szCs w:val="24"/>
          <w:highlight w:val="none"/>
          <w:lang w:val="en-US" w:eastAsia="zh-CN"/>
        </w:rPr>
        <w:t>法定代表人</w:t>
      </w:r>
      <w:r>
        <w:rPr>
          <w:rFonts w:hint="eastAsia" w:ascii="仿宋" w:hAnsi="仿宋" w:eastAsia="仿宋" w:cs="仿宋"/>
          <w:b/>
          <w:color w:val="auto"/>
          <w:sz w:val="24"/>
          <w:szCs w:val="24"/>
          <w:highlight w:val="none"/>
          <w:lang w:eastAsia="zh-CN"/>
        </w:rPr>
        <w:t>身份证</w:t>
      </w:r>
      <w:r>
        <w:rPr>
          <w:rFonts w:hint="eastAsia" w:ascii="仿宋" w:hAnsi="仿宋" w:eastAsia="仿宋" w:cs="仿宋"/>
          <w:b/>
          <w:color w:val="auto"/>
          <w:sz w:val="24"/>
          <w:highlight w:val="none"/>
        </w:rPr>
        <w:t>复印件（正、反面）</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szCs w:val="24"/>
          <w:highlight w:val="none"/>
          <w:lang w:eastAsia="zh-CN"/>
        </w:rPr>
        <w:t>无需</w:t>
      </w:r>
      <w:r>
        <w:rPr>
          <w:rFonts w:hint="eastAsia" w:ascii="仿宋" w:hAnsi="仿宋" w:eastAsia="仿宋" w:cs="仿宋"/>
          <w:b/>
          <w:color w:val="auto"/>
          <w:sz w:val="24"/>
          <w:szCs w:val="24"/>
          <w:highlight w:val="none"/>
        </w:rPr>
        <w:t>提供授权书</w:t>
      </w:r>
      <w:r>
        <w:rPr>
          <w:rFonts w:hint="eastAsia" w:ascii="仿宋" w:hAnsi="仿宋" w:eastAsia="仿宋" w:cs="仿宋"/>
          <w:b/>
          <w:color w:val="auto"/>
          <w:sz w:val="24"/>
          <w:szCs w:val="24"/>
          <w:highlight w:val="none"/>
          <w:lang w:eastAsia="zh-CN"/>
        </w:rPr>
        <w:t>。</w:t>
      </w:r>
    </w:p>
    <w:p w14:paraId="553D19FB">
      <w:pPr>
        <w:jc w:val="center"/>
        <w:outlineLvl w:val="1"/>
        <w:rPr>
          <w:rFonts w:hint="eastAsia" w:ascii="仿宋" w:hAnsi="仿宋" w:eastAsia="仿宋" w:cs="仿宋"/>
          <w:b/>
          <w:color w:val="auto"/>
          <w:sz w:val="28"/>
          <w:szCs w:val="28"/>
          <w:highlight w:val="none"/>
        </w:rPr>
      </w:pPr>
      <w:bookmarkStart w:id="108" w:name="_Toc262628298"/>
      <w:bookmarkStart w:id="109" w:name="_Toc262628299"/>
      <w:r>
        <w:rPr>
          <w:rFonts w:hint="eastAsia" w:ascii="仿宋" w:hAnsi="仿宋" w:eastAsia="仿宋" w:cs="仿宋"/>
          <w:b/>
          <w:color w:val="auto"/>
          <w:sz w:val="28"/>
          <w:szCs w:val="28"/>
          <w:highlight w:val="none"/>
        </w:rPr>
        <w:t>格式</w:t>
      </w:r>
      <w:r>
        <w:rPr>
          <w:rFonts w:hint="eastAsia" w:ascii="仿宋" w:hAnsi="仿宋" w:eastAsia="仿宋" w:cs="仿宋"/>
          <w:b/>
          <w:color w:val="auto"/>
          <w:sz w:val="28"/>
          <w:szCs w:val="28"/>
          <w:highlight w:val="none"/>
          <w:lang w:val="en-US" w:eastAsia="zh-CN"/>
        </w:rPr>
        <w:t>7-</w:t>
      </w:r>
      <w:r>
        <w:rPr>
          <w:rFonts w:hint="eastAsia" w:ascii="仿宋" w:hAnsi="仿宋" w:eastAsia="仿宋" w:cs="仿宋"/>
          <w:b/>
          <w:color w:val="auto"/>
          <w:sz w:val="28"/>
          <w:szCs w:val="28"/>
          <w:highlight w:val="none"/>
        </w:rPr>
        <w:t>2．</w:t>
      </w:r>
      <w:bookmarkEnd w:id="108"/>
      <w:bookmarkEnd w:id="109"/>
      <w:r>
        <w:rPr>
          <w:rFonts w:hint="eastAsia" w:ascii="仿宋" w:hAnsi="仿宋" w:eastAsia="仿宋" w:cs="仿宋"/>
          <w:b/>
          <w:color w:val="auto"/>
          <w:sz w:val="28"/>
          <w:szCs w:val="28"/>
          <w:highlight w:val="none"/>
          <w:lang w:val="en-US" w:eastAsia="zh-CN"/>
        </w:rPr>
        <w:t>供应商资格信用承诺函</w:t>
      </w:r>
    </w:p>
    <w:p w14:paraId="3895252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rPr>
      </w:pPr>
    </w:p>
    <w:p w14:paraId="03FCE27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致(采购人或采购代理机构)</w:t>
      </w:r>
      <w:r>
        <w:rPr>
          <w:rFonts w:hint="eastAsia" w:ascii="仿宋" w:hAnsi="仿宋" w:eastAsia="仿宋" w:cs="仿宋"/>
          <w:color w:val="auto"/>
          <w:sz w:val="24"/>
          <w:szCs w:val="24"/>
          <w:highlight w:val="none"/>
          <w:lang w:eastAsia="zh-CN"/>
        </w:rPr>
        <w:t>：</w:t>
      </w:r>
    </w:p>
    <w:p w14:paraId="5862CD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单位名称(自然人姓名)</w:t>
      </w:r>
      <w:r>
        <w:rPr>
          <w:rFonts w:hint="eastAsia" w:ascii="仿宋" w:hAnsi="仿宋" w:eastAsia="仿宋" w:cs="仿宋"/>
          <w:color w:val="auto"/>
          <w:sz w:val="24"/>
          <w:szCs w:val="24"/>
          <w:highlight w:val="none"/>
          <w:lang w:eastAsia="zh-CN"/>
        </w:rPr>
        <w:t>：</w:t>
      </w:r>
    </w:p>
    <w:p w14:paraId="6B292A6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统一社会信用代码(身份证号码)</w:t>
      </w:r>
      <w:r>
        <w:rPr>
          <w:rFonts w:hint="eastAsia" w:ascii="仿宋" w:hAnsi="仿宋" w:eastAsia="仿宋" w:cs="仿宋"/>
          <w:color w:val="auto"/>
          <w:sz w:val="24"/>
          <w:szCs w:val="24"/>
          <w:highlight w:val="none"/>
          <w:lang w:eastAsia="zh-CN"/>
        </w:rPr>
        <w:t>：</w:t>
      </w:r>
    </w:p>
    <w:p w14:paraId="5A5F25E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法定代表人(负责人)</w:t>
      </w:r>
      <w:r>
        <w:rPr>
          <w:rFonts w:hint="eastAsia" w:ascii="仿宋" w:hAnsi="仿宋" w:eastAsia="仿宋" w:cs="仿宋"/>
          <w:color w:val="auto"/>
          <w:sz w:val="24"/>
          <w:szCs w:val="24"/>
          <w:highlight w:val="none"/>
          <w:lang w:eastAsia="zh-CN"/>
        </w:rPr>
        <w:t>：</w:t>
      </w:r>
    </w:p>
    <w:p w14:paraId="1B2A77C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联系地址和电话</w:t>
      </w:r>
      <w:r>
        <w:rPr>
          <w:rFonts w:hint="eastAsia" w:ascii="仿宋" w:hAnsi="仿宋" w:eastAsia="仿宋" w:cs="仿宋"/>
          <w:color w:val="auto"/>
          <w:sz w:val="24"/>
          <w:szCs w:val="24"/>
          <w:highlight w:val="none"/>
          <w:lang w:eastAsia="zh-CN"/>
        </w:rPr>
        <w:t>：</w:t>
      </w:r>
    </w:p>
    <w:p w14:paraId="3E499C4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我单位(本人)自愿参加本次采购活动，严格遵守《中华人民共和国政府采购法》及相关法律法规，坚守公开、公平、公正和诚实信用等原则，依法诚信经营，并郑重承诺</w:t>
      </w:r>
      <w:r>
        <w:rPr>
          <w:rFonts w:hint="eastAsia" w:ascii="仿宋" w:hAnsi="仿宋" w:eastAsia="仿宋" w:cs="仿宋"/>
          <w:color w:val="auto"/>
          <w:sz w:val="24"/>
          <w:szCs w:val="24"/>
          <w:highlight w:val="none"/>
          <w:lang w:eastAsia="zh-CN"/>
        </w:rPr>
        <w:t>：</w:t>
      </w:r>
    </w:p>
    <w:p w14:paraId="0E639C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（一）我单位(本人)符合采购文件要求以及《中华人民共和国政府采购法》第二十二条规定的条件</w:t>
      </w:r>
      <w:r>
        <w:rPr>
          <w:rFonts w:hint="eastAsia" w:ascii="仿宋" w:hAnsi="仿宋" w:eastAsia="仿宋" w:cs="仿宋"/>
          <w:color w:val="auto"/>
          <w:sz w:val="24"/>
          <w:szCs w:val="24"/>
          <w:highlight w:val="none"/>
          <w:lang w:eastAsia="zh-CN"/>
        </w:rPr>
        <w:t>：</w:t>
      </w:r>
    </w:p>
    <w:p w14:paraId="6876AF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1.具有独立承担民事责任的能力</w:t>
      </w:r>
      <w:r>
        <w:rPr>
          <w:rFonts w:hint="eastAsia" w:ascii="仿宋" w:hAnsi="仿宋" w:eastAsia="仿宋" w:cs="仿宋"/>
          <w:color w:val="auto"/>
          <w:sz w:val="24"/>
          <w:szCs w:val="24"/>
          <w:highlight w:val="none"/>
          <w:lang w:eastAsia="zh-CN"/>
        </w:rPr>
        <w:t>；</w:t>
      </w:r>
    </w:p>
    <w:p w14:paraId="787EBFB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2.具有良好的商业信誉和健全的财务会计制度</w:t>
      </w:r>
      <w:r>
        <w:rPr>
          <w:rFonts w:hint="eastAsia" w:ascii="仿宋" w:hAnsi="仿宋" w:eastAsia="仿宋" w:cs="仿宋"/>
          <w:color w:val="auto"/>
          <w:sz w:val="24"/>
          <w:szCs w:val="24"/>
          <w:highlight w:val="none"/>
          <w:lang w:eastAsia="zh-CN"/>
        </w:rPr>
        <w:t>；</w:t>
      </w:r>
    </w:p>
    <w:p w14:paraId="6D7362F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3.具有履行合同所必需的设备和专业技术能力</w:t>
      </w:r>
      <w:r>
        <w:rPr>
          <w:rFonts w:hint="eastAsia" w:ascii="仿宋" w:hAnsi="仿宋" w:eastAsia="仿宋" w:cs="仿宋"/>
          <w:color w:val="auto"/>
          <w:sz w:val="24"/>
          <w:szCs w:val="24"/>
          <w:highlight w:val="none"/>
          <w:lang w:eastAsia="zh-CN"/>
        </w:rPr>
        <w:t>；</w:t>
      </w:r>
    </w:p>
    <w:p w14:paraId="280B2B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4.有依法缴纳税收和社会保障资金的良好记录</w:t>
      </w:r>
      <w:r>
        <w:rPr>
          <w:rFonts w:hint="eastAsia" w:ascii="仿宋" w:hAnsi="仿宋" w:eastAsia="仿宋" w:cs="仿宋"/>
          <w:color w:val="auto"/>
          <w:sz w:val="24"/>
          <w:szCs w:val="24"/>
          <w:highlight w:val="none"/>
          <w:lang w:eastAsia="zh-CN"/>
        </w:rPr>
        <w:t>；</w:t>
      </w:r>
    </w:p>
    <w:p w14:paraId="2EC8B51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5.参加政府采购活动前三年内，在经营活动中没有重大违法记录</w:t>
      </w:r>
      <w:r>
        <w:rPr>
          <w:rFonts w:hint="eastAsia" w:ascii="仿宋" w:hAnsi="仿宋" w:eastAsia="仿宋" w:cs="仿宋"/>
          <w:color w:val="auto"/>
          <w:sz w:val="24"/>
          <w:szCs w:val="24"/>
          <w:highlight w:val="none"/>
          <w:lang w:eastAsia="zh-CN"/>
        </w:rPr>
        <w:t>；</w:t>
      </w:r>
    </w:p>
    <w:p w14:paraId="6BC449D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6.符合法律、行政法规规定的其他条件。</w:t>
      </w:r>
    </w:p>
    <w:p w14:paraId="2237E08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（二）我单位(本人)未被列入严重失信主体名单、失信被执行人、税收违法黑名单、政府采购严重违法失信行为记录名单，未曾作出虚假承诺。</w:t>
      </w:r>
    </w:p>
    <w:p w14:paraId="773361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（三）如果我单位(本人)中标(成交)，将在评审(评标)环节结束后5个工作日内，按采购文件要求，向采购人或政府采购代理机构提供相关材料原件进行核验。</w:t>
      </w:r>
    </w:p>
    <w:p w14:paraId="7A1B131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我单位(本人)对上述承诺事项的真实性、合法性及有效性负责。并已知晓如所做信用承诺不实、不尽，可能涉嫌《中华人民共和国政府采购法》第七十七条第一款第(一)项“提供虚假材料谋取中标成交”的违法行为。经调查核实的，将按照《中华人民共和国政府采购法》第七十七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”以及第七十九条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“……给他人造成损失的，依照有关民事法律规定承担民事责任。”进行处理。</w:t>
      </w:r>
    </w:p>
    <w:p w14:paraId="68F6F5D2">
      <w:pPr>
        <w:snapToGrid w:val="0"/>
        <w:spacing w:before="50" w:after="156" w:afterLines="50" w:line="44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p>
    <w:p w14:paraId="7BE0290F">
      <w:pPr>
        <w:snapToGrid w:val="0"/>
        <w:spacing w:before="50" w:after="156" w:afterLines="50" w:line="440" w:lineRule="exact"/>
        <w:ind w:firstLine="3120" w:firstLineChars="13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供应商名称(盖章)</w:t>
      </w:r>
      <w:r>
        <w:rPr>
          <w:rFonts w:hint="eastAsia" w:ascii="仿宋" w:hAnsi="仿宋" w:eastAsia="仿宋" w:cs="仿宋"/>
          <w:color w:val="auto"/>
          <w:sz w:val="24"/>
          <w:szCs w:val="24"/>
          <w:highlight w:val="none"/>
          <w:lang w:eastAsia="zh-CN"/>
        </w:rPr>
        <w:t>：</w:t>
      </w:r>
    </w:p>
    <w:p w14:paraId="2F2D2A10">
      <w:pPr>
        <w:snapToGrid w:val="0"/>
        <w:spacing w:before="50" w:after="156" w:afterLines="50" w:line="44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法定代表人、负责人、自然人或授权代表(签字)</w:t>
      </w:r>
      <w:r>
        <w:rPr>
          <w:rFonts w:hint="eastAsia" w:ascii="仿宋" w:hAnsi="仿宋" w:eastAsia="仿宋" w:cs="仿宋"/>
          <w:color w:val="auto"/>
          <w:sz w:val="24"/>
          <w:szCs w:val="24"/>
          <w:highlight w:val="none"/>
          <w:lang w:eastAsia="zh-CN"/>
        </w:rPr>
        <w:t>：</w:t>
      </w:r>
    </w:p>
    <w:p w14:paraId="3345BA4F">
      <w:pPr>
        <w:snapToGrid w:val="0"/>
        <w:spacing w:before="50" w:after="156" w:afterLines="50"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年    月   日 </w:t>
      </w:r>
    </w:p>
    <w:p w14:paraId="71A0D8C6">
      <w:pPr>
        <w:snapToGrid w:val="0"/>
        <w:spacing w:before="50" w:after="156" w:afterLines="50" w:line="440" w:lineRule="exact"/>
        <w:ind w:firstLine="480" w:firstLineChars="200"/>
        <w:jc w:val="left"/>
        <w:rPr>
          <w:rFonts w:hint="eastAsia" w:ascii="仿宋" w:hAnsi="仿宋" w:eastAsia="仿宋" w:cs="仿宋"/>
          <w:color w:val="auto"/>
          <w:sz w:val="24"/>
          <w:szCs w:val="24"/>
          <w:highlight w:val="none"/>
        </w:rPr>
      </w:pPr>
    </w:p>
    <w:p w14:paraId="7568BD8E">
      <w:pPr>
        <w:snapToGrid w:val="0"/>
        <w:spacing w:before="50" w:after="156" w:afterLines="50" w:line="440" w:lineRule="exact"/>
        <w:ind w:firstLine="480" w:firstLineChars="200"/>
        <w:jc w:val="left"/>
        <w:rPr>
          <w:rFonts w:hint="eastAsia" w:ascii="仿宋" w:hAnsi="仿宋" w:eastAsia="仿宋" w:cs="仿宋"/>
          <w:color w:val="auto"/>
          <w:sz w:val="24"/>
          <w:szCs w:val="24"/>
          <w:highlight w:val="none"/>
        </w:rPr>
      </w:pPr>
    </w:p>
    <w:p w14:paraId="2B3F8D17">
      <w:pPr>
        <w:snapToGrid w:val="0"/>
        <w:spacing w:before="50" w:after="156" w:afterLines="50" w:line="44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64A3CA1B">
      <w:pPr>
        <w:snapToGrid w:val="0"/>
        <w:spacing w:before="50" w:after="156" w:afterLines="50" w:line="44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1.供应商须在投标(响应)文件中按此模板提供承诺函，既未提供前述承诺函又未提供对应事项证明材料的，视为未实质性响应招标文件要求，按无效投标(响应)处理。</w:t>
      </w:r>
    </w:p>
    <w:p w14:paraId="1099A3EB">
      <w:pPr>
        <w:snapToGrid w:val="0"/>
        <w:spacing w:before="50" w:after="156" w:afterLines="50" w:line="44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2.供应商的法定代表人或者授权代表的签字或盖章应真实、有效，如由授权代表签字或盖章的，应提供“法定代表人授权书”，明确授权事项、内容及权限范围。</w:t>
      </w:r>
    </w:p>
    <w:p w14:paraId="4BECB12D">
      <w:pPr>
        <w:snapToGrid w:val="0"/>
        <w:spacing w:before="50" w:afterLines="50" w:line="440" w:lineRule="exact"/>
        <w:ind w:firstLine="4800" w:firstLineChars="2000"/>
        <w:jc w:val="left"/>
        <w:rPr>
          <w:rFonts w:hint="eastAsia" w:ascii="仿宋" w:hAnsi="仿宋" w:eastAsia="仿宋" w:cs="仿宋"/>
          <w:color w:val="auto"/>
          <w:sz w:val="24"/>
          <w:szCs w:val="24"/>
          <w:highlight w:val="none"/>
        </w:rPr>
      </w:pPr>
    </w:p>
    <w:p w14:paraId="64E4D146">
      <w:pPr>
        <w:snapToGrid w:val="0"/>
        <w:spacing w:before="50" w:after="156" w:afterLines="5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附：供应商有效的营业执照副本</w:t>
      </w:r>
      <w:r>
        <w:rPr>
          <w:rFonts w:hint="eastAsia" w:ascii="仿宋" w:hAnsi="仿宋" w:eastAsia="仿宋" w:cs="仿宋"/>
          <w:b/>
          <w:bCs/>
          <w:color w:val="auto"/>
          <w:sz w:val="24"/>
          <w:szCs w:val="24"/>
          <w:highlight w:val="none"/>
          <w:lang w:val="en-US" w:eastAsia="zh-CN"/>
        </w:rPr>
        <w:t>复印件和</w:t>
      </w:r>
      <w:r>
        <w:rPr>
          <w:rFonts w:hint="eastAsia" w:ascii="仿宋" w:hAnsi="仿宋" w:eastAsia="仿宋" w:cs="仿宋"/>
          <w:b/>
          <w:bCs/>
          <w:color w:val="auto"/>
          <w:sz w:val="24"/>
          <w:szCs w:val="24"/>
          <w:highlight w:val="none"/>
          <w:lang w:eastAsia="zh-CN"/>
        </w:rPr>
        <w:t>法定代表人身份证</w:t>
      </w:r>
      <w:r>
        <w:rPr>
          <w:rFonts w:hint="eastAsia" w:ascii="仿宋" w:hAnsi="仿宋" w:eastAsia="仿宋" w:cs="仿宋"/>
          <w:b/>
          <w:bCs/>
          <w:color w:val="auto"/>
          <w:sz w:val="24"/>
          <w:szCs w:val="24"/>
          <w:highlight w:val="none"/>
          <w:lang w:val="en-US" w:eastAsia="zh-CN"/>
        </w:rPr>
        <w:t>复印件</w:t>
      </w:r>
      <w:r>
        <w:rPr>
          <w:rFonts w:hint="eastAsia" w:ascii="仿宋" w:hAnsi="仿宋" w:eastAsia="仿宋" w:cs="仿宋"/>
          <w:b/>
          <w:bCs/>
          <w:color w:val="auto"/>
          <w:sz w:val="24"/>
          <w:szCs w:val="24"/>
          <w:highlight w:val="none"/>
        </w:rPr>
        <w:t>并加盖公章。</w:t>
      </w:r>
    </w:p>
    <w:p w14:paraId="38A86D94">
      <w:pPr>
        <w:snapToGrid w:val="0"/>
        <w:spacing w:before="50" w:after="156" w:afterLines="50" w:line="400" w:lineRule="exact"/>
        <w:jc w:val="left"/>
        <w:rPr>
          <w:rFonts w:ascii="仿宋" w:hAnsi="仿宋" w:eastAsia="仿宋" w:cs="仿宋"/>
          <w:bCs/>
          <w:color w:val="auto"/>
          <w:sz w:val="24"/>
          <w:szCs w:val="24"/>
          <w:highlight w:val="none"/>
        </w:rPr>
      </w:pPr>
    </w:p>
    <w:p w14:paraId="55BF2C29">
      <w:pPr>
        <w:tabs>
          <w:tab w:val="left" w:pos="1470"/>
        </w:tabs>
        <w:spacing w:line="432" w:lineRule="auto"/>
        <w:rPr>
          <w:rFonts w:ascii="仿宋" w:hAnsi="仿宋" w:eastAsia="仿宋" w:cs="仿宋"/>
          <w:color w:val="auto"/>
          <w:sz w:val="24"/>
          <w:highlight w:val="none"/>
          <w:u w:val="single"/>
        </w:rPr>
      </w:pPr>
    </w:p>
    <w:p w14:paraId="10CC2A2B">
      <w:pPr>
        <w:tabs>
          <w:tab w:val="left" w:pos="1470"/>
        </w:tabs>
        <w:spacing w:line="432" w:lineRule="auto"/>
        <w:rPr>
          <w:rFonts w:ascii="仿宋" w:hAnsi="仿宋" w:eastAsia="仿宋" w:cs="仿宋"/>
          <w:color w:val="auto"/>
          <w:sz w:val="24"/>
          <w:highlight w:val="none"/>
          <w:u w:val="single"/>
        </w:rPr>
        <w:sectPr>
          <w:footerReference r:id="rId14" w:type="default"/>
          <w:footerReference r:id="rId15" w:type="even"/>
          <w:pgSz w:w="11906" w:h="16838"/>
          <w:pgMar w:top="1418" w:right="1247" w:bottom="1418" w:left="1814" w:header="851" w:footer="992" w:gutter="0"/>
          <w:pgNumType w:fmt="decimal"/>
          <w:cols w:space="425" w:num="1"/>
          <w:docGrid w:type="lines" w:linePitch="312" w:charSpace="0"/>
        </w:sectPr>
      </w:pPr>
    </w:p>
    <w:p w14:paraId="263110B6">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格式</w:t>
      </w:r>
      <w:r>
        <w:rPr>
          <w:rFonts w:hint="eastAsia" w:ascii="仿宋" w:hAnsi="仿宋" w:eastAsia="仿宋" w:cs="仿宋"/>
          <w:b/>
          <w:color w:val="auto"/>
          <w:sz w:val="28"/>
          <w:szCs w:val="28"/>
          <w:highlight w:val="none"/>
          <w:lang w:val="en-US" w:eastAsia="zh-CN"/>
        </w:rPr>
        <w:t>7</w:t>
      </w:r>
      <w:r>
        <w:rPr>
          <w:rFonts w:hint="eastAsia" w:ascii="仿宋" w:hAnsi="仿宋" w:eastAsia="仿宋" w:cs="仿宋"/>
          <w:b/>
          <w:color w:val="auto"/>
          <w:sz w:val="28"/>
          <w:szCs w:val="28"/>
          <w:highlight w:val="none"/>
        </w:rPr>
        <w:t>-3. 谈判文件第一章“谈判邀请”中要求的证明材料</w:t>
      </w:r>
    </w:p>
    <w:p w14:paraId="086EE6B2">
      <w:pPr>
        <w:pStyle w:val="25"/>
        <w:rPr>
          <w:rFonts w:hint="eastAsia" w:ascii="仿宋" w:hAnsi="仿宋" w:eastAsia="仿宋" w:cs="仿宋"/>
          <w:b/>
          <w:color w:val="auto"/>
          <w:sz w:val="28"/>
          <w:szCs w:val="28"/>
          <w:highlight w:val="none"/>
        </w:rPr>
      </w:pPr>
    </w:p>
    <w:p w14:paraId="477E20C1">
      <w:pPr>
        <w:pStyle w:val="25"/>
        <w:rPr>
          <w:rFonts w:hint="eastAsia" w:ascii="仿宋" w:hAnsi="仿宋" w:eastAsia="仿宋" w:cs="仿宋"/>
          <w:b/>
          <w:color w:val="auto"/>
          <w:sz w:val="28"/>
          <w:szCs w:val="28"/>
          <w:highlight w:val="none"/>
        </w:rPr>
      </w:pPr>
    </w:p>
    <w:p w14:paraId="62E024A7">
      <w:pPr>
        <w:pStyle w:val="25"/>
        <w:rPr>
          <w:rFonts w:hint="eastAsia" w:ascii="仿宋" w:hAnsi="仿宋" w:eastAsia="仿宋" w:cs="仿宋"/>
          <w:b/>
          <w:color w:val="auto"/>
          <w:sz w:val="28"/>
          <w:szCs w:val="28"/>
          <w:highlight w:val="none"/>
        </w:rPr>
      </w:pPr>
    </w:p>
    <w:p w14:paraId="05032B6D">
      <w:pPr>
        <w:pStyle w:val="25"/>
        <w:rPr>
          <w:rFonts w:hint="eastAsia" w:ascii="仿宋" w:hAnsi="仿宋" w:eastAsia="仿宋" w:cs="仿宋"/>
          <w:b/>
          <w:color w:val="auto"/>
          <w:sz w:val="28"/>
          <w:szCs w:val="28"/>
          <w:highlight w:val="none"/>
        </w:rPr>
      </w:pPr>
    </w:p>
    <w:p w14:paraId="19357DA8">
      <w:pPr>
        <w:pStyle w:val="25"/>
        <w:rPr>
          <w:rFonts w:hint="eastAsia" w:ascii="仿宋" w:hAnsi="仿宋" w:eastAsia="仿宋" w:cs="仿宋"/>
          <w:b/>
          <w:color w:val="auto"/>
          <w:sz w:val="28"/>
          <w:szCs w:val="28"/>
          <w:highlight w:val="none"/>
        </w:rPr>
      </w:pPr>
    </w:p>
    <w:p w14:paraId="0E96BA8B">
      <w:pPr>
        <w:pStyle w:val="25"/>
        <w:rPr>
          <w:rFonts w:hint="eastAsia" w:ascii="仿宋" w:hAnsi="仿宋" w:eastAsia="仿宋" w:cs="仿宋"/>
          <w:b/>
          <w:color w:val="auto"/>
          <w:sz w:val="28"/>
          <w:szCs w:val="28"/>
          <w:highlight w:val="none"/>
        </w:rPr>
      </w:pPr>
    </w:p>
    <w:p w14:paraId="6ECD9B46">
      <w:pPr>
        <w:pStyle w:val="25"/>
        <w:rPr>
          <w:rFonts w:hint="eastAsia" w:ascii="仿宋" w:hAnsi="仿宋" w:eastAsia="仿宋" w:cs="仿宋"/>
          <w:b/>
          <w:color w:val="auto"/>
          <w:sz w:val="28"/>
          <w:szCs w:val="28"/>
          <w:highlight w:val="none"/>
        </w:rPr>
      </w:pPr>
    </w:p>
    <w:p w14:paraId="34E0952D">
      <w:pPr>
        <w:pStyle w:val="25"/>
        <w:rPr>
          <w:rFonts w:hint="eastAsia" w:ascii="仿宋" w:hAnsi="仿宋" w:eastAsia="仿宋" w:cs="仿宋"/>
          <w:b/>
          <w:color w:val="auto"/>
          <w:sz w:val="28"/>
          <w:szCs w:val="28"/>
          <w:highlight w:val="none"/>
        </w:rPr>
      </w:pPr>
    </w:p>
    <w:p w14:paraId="7FA172A4">
      <w:pPr>
        <w:pStyle w:val="25"/>
        <w:rPr>
          <w:rFonts w:hint="eastAsia" w:ascii="仿宋" w:hAnsi="仿宋" w:eastAsia="仿宋" w:cs="仿宋"/>
          <w:b/>
          <w:color w:val="auto"/>
          <w:sz w:val="28"/>
          <w:szCs w:val="28"/>
          <w:highlight w:val="none"/>
        </w:rPr>
      </w:pPr>
    </w:p>
    <w:p w14:paraId="6CAE127C">
      <w:pPr>
        <w:pStyle w:val="25"/>
        <w:rPr>
          <w:rFonts w:hint="eastAsia" w:ascii="仿宋" w:hAnsi="仿宋" w:eastAsia="仿宋" w:cs="仿宋"/>
          <w:b/>
          <w:color w:val="auto"/>
          <w:sz w:val="28"/>
          <w:szCs w:val="28"/>
          <w:highlight w:val="none"/>
        </w:rPr>
      </w:pPr>
    </w:p>
    <w:p w14:paraId="220E417B">
      <w:pPr>
        <w:pStyle w:val="25"/>
        <w:rPr>
          <w:rFonts w:hint="eastAsia" w:ascii="仿宋" w:hAnsi="仿宋" w:eastAsia="仿宋" w:cs="仿宋"/>
          <w:b/>
          <w:color w:val="auto"/>
          <w:sz w:val="28"/>
          <w:szCs w:val="28"/>
          <w:highlight w:val="none"/>
        </w:rPr>
      </w:pPr>
    </w:p>
    <w:p w14:paraId="376B2F9F">
      <w:pPr>
        <w:pStyle w:val="25"/>
        <w:rPr>
          <w:rFonts w:hint="eastAsia" w:ascii="仿宋" w:hAnsi="仿宋" w:eastAsia="仿宋" w:cs="仿宋"/>
          <w:b/>
          <w:color w:val="auto"/>
          <w:sz w:val="28"/>
          <w:szCs w:val="28"/>
          <w:highlight w:val="none"/>
        </w:rPr>
      </w:pPr>
    </w:p>
    <w:p w14:paraId="5EE37264">
      <w:pPr>
        <w:pStyle w:val="25"/>
        <w:rPr>
          <w:rFonts w:hint="eastAsia" w:ascii="仿宋" w:hAnsi="仿宋" w:eastAsia="仿宋" w:cs="仿宋"/>
          <w:b/>
          <w:color w:val="auto"/>
          <w:sz w:val="28"/>
          <w:szCs w:val="28"/>
          <w:highlight w:val="none"/>
        </w:rPr>
      </w:pPr>
    </w:p>
    <w:p w14:paraId="0A2A8BBE">
      <w:pPr>
        <w:pStyle w:val="25"/>
        <w:rPr>
          <w:rFonts w:hint="eastAsia" w:ascii="仿宋" w:hAnsi="仿宋" w:eastAsia="仿宋" w:cs="仿宋"/>
          <w:b/>
          <w:color w:val="auto"/>
          <w:sz w:val="28"/>
          <w:szCs w:val="28"/>
          <w:highlight w:val="none"/>
        </w:rPr>
      </w:pPr>
    </w:p>
    <w:p w14:paraId="49CDCF58">
      <w:pPr>
        <w:pStyle w:val="25"/>
        <w:rPr>
          <w:rFonts w:hint="eastAsia" w:ascii="仿宋" w:hAnsi="仿宋" w:eastAsia="仿宋" w:cs="仿宋"/>
          <w:b/>
          <w:color w:val="auto"/>
          <w:sz w:val="28"/>
          <w:szCs w:val="28"/>
          <w:highlight w:val="none"/>
        </w:rPr>
      </w:pPr>
    </w:p>
    <w:p w14:paraId="4ACB061E">
      <w:pPr>
        <w:pStyle w:val="25"/>
        <w:rPr>
          <w:rFonts w:hint="eastAsia" w:ascii="仿宋" w:hAnsi="仿宋" w:eastAsia="仿宋" w:cs="仿宋"/>
          <w:b/>
          <w:color w:val="auto"/>
          <w:sz w:val="28"/>
          <w:szCs w:val="28"/>
          <w:highlight w:val="none"/>
        </w:rPr>
      </w:pPr>
    </w:p>
    <w:p w14:paraId="59B68AD7">
      <w:pPr>
        <w:pStyle w:val="25"/>
        <w:rPr>
          <w:rFonts w:hint="eastAsia" w:ascii="仿宋" w:hAnsi="仿宋" w:eastAsia="仿宋" w:cs="仿宋"/>
          <w:b/>
          <w:color w:val="auto"/>
          <w:sz w:val="28"/>
          <w:szCs w:val="28"/>
          <w:highlight w:val="none"/>
        </w:rPr>
      </w:pPr>
    </w:p>
    <w:p w14:paraId="0DBC9226">
      <w:pPr>
        <w:pStyle w:val="25"/>
        <w:rPr>
          <w:rFonts w:hint="eastAsia" w:ascii="仿宋" w:hAnsi="仿宋" w:eastAsia="仿宋" w:cs="仿宋"/>
          <w:b/>
          <w:color w:val="auto"/>
          <w:sz w:val="28"/>
          <w:szCs w:val="28"/>
          <w:highlight w:val="none"/>
        </w:rPr>
      </w:pPr>
    </w:p>
    <w:p w14:paraId="23AAE259">
      <w:pPr>
        <w:pStyle w:val="5"/>
        <w:pageBreakBefore w:val="0"/>
        <w:kinsoku/>
        <w:wordWrap/>
        <w:overflowPunct/>
        <w:topLinePunct w:val="0"/>
        <w:bidi w:val="0"/>
        <w:spacing w:line="360" w:lineRule="auto"/>
        <w:jc w:val="center"/>
        <w:textAlignment w:val="auto"/>
        <w:outlineLvl w:val="0"/>
        <w:rPr>
          <w:rFonts w:hint="eastAsia" w:ascii="仿宋" w:hAnsi="仿宋" w:eastAsia="仿宋" w:cs="仿宋"/>
          <w:i w:val="0"/>
          <w:iCs w:val="0"/>
          <w:color w:val="auto"/>
          <w:sz w:val="24"/>
          <w:szCs w:val="24"/>
          <w:highlight w:val="none"/>
          <w:lang w:val="en-US" w:eastAsia="zh-CN"/>
        </w:rPr>
      </w:pPr>
      <w:bookmarkStart w:id="110" w:name="_Toc23974"/>
      <w:bookmarkStart w:id="111" w:name="_Toc31370"/>
      <w:r>
        <w:rPr>
          <w:rFonts w:hint="eastAsia" w:ascii="仿宋" w:hAnsi="仿宋" w:eastAsia="仿宋" w:cs="仿宋"/>
          <w:i w:val="0"/>
          <w:iCs w:val="0"/>
          <w:color w:val="auto"/>
          <w:sz w:val="24"/>
          <w:szCs w:val="24"/>
          <w:highlight w:val="none"/>
          <w:lang w:val="en-US" w:eastAsia="zh-CN"/>
        </w:rPr>
        <w:t>格式8-1 单位负责人为同一人或者存在直接控股、管理关系的不同供应商，不得参加同一合同项下的企业招标、采购活动声明函</w:t>
      </w:r>
      <w:bookmarkEnd w:id="110"/>
    </w:p>
    <w:p w14:paraId="7ACBA6B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rPr>
      </w:pPr>
    </w:p>
    <w:p w14:paraId="3105D15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color w:val="auto"/>
          <w:sz w:val="24"/>
          <w:szCs w:val="24"/>
          <w:highlight w:val="none"/>
        </w:rPr>
        <w:t>致(采购人或采购代理机构)</w:t>
      </w:r>
      <w:r>
        <w:rPr>
          <w:rFonts w:hint="eastAsia" w:ascii="仿宋" w:hAnsi="仿宋" w:eastAsia="仿宋" w:cs="仿宋"/>
          <w:color w:val="auto"/>
          <w:sz w:val="24"/>
          <w:szCs w:val="24"/>
          <w:highlight w:val="none"/>
          <w:lang w:eastAsia="zh-CN"/>
        </w:rPr>
        <w:t>：</w:t>
      </w:r>
    </w:p>
    <w:p w14:paraId="145EEE87">
      <w:pPr>
        <w:pStyle w:val="23"/>
        <w:keepNext w:val="0"/>
        <w:keepLines w:val="0"/>
        <w:widowControl/>
        <w:suppressLineNumbers w:val="0"/>
        <w:ind w:firstLine="480" w:firstLineChars="20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我公司参加贵单位(项目名称)项目采购活动，遵守《中华人民共和国招标投标法实施条例》有关“单位负责人为同一人或者存在直接控股、管理关系的不同供应商，不得参加同一合同项下的招投标、采购活动”的规定。</w:t>
      </w:r>
    </w:p>
    <w:p w14:paraId="19C7E46B">
      <w:pPr>
        <w:pStyle w:val="23"/>
        <w:keepNext w:val="0"/>
        <w:keepLines w:val="0"/>
        <w:widowControl/>
        <w:suppressLineNumbers w:val="0"/>
        <w:ind w:firstLine="480" w:firstLineChars="20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关联单位的说明:</w:t>
      </w:r>
    </w:p>
    <w:p w14:paraId="6E1C9B94">
      <w:pPr>
        <w:pStyle w:val="23"/>
        <w:keepNext w:val="0"/>
        <w:keepLines w:val="0"/>
        <w:widowControl/>
        <w:suppressLineNumbers w:val="0"/>
        <w:ind w:firstLine="480" w:firstLineChars="20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1.与我公司单位负责人为同一人的其他单位为:</w:t>
      </w:r>
    </w:p>
    <w:p w14:paraId="245F127C">
      <w:pPr>
        <w:pStyle w:val="23"/>
        <w:keepNext w:val="0"/>
        <w:keepLines w:val="0"/>
        <w:widowControl/>
        <w:suppressLineNumbers w:val="0"/>
        <w:ind w:firstLine="480" w:firstLineChars="20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lang w:val="en-US" w:eastAsia="zh-CN"/>
        </w:rPr>
        <w:t xml:space="preserve">                                                         </w:t>
      </w:r>
    </w:p>
    <w:p w14:paraId="57C633C0">
      <w:pPr>
        <w:pStyle w:val="23"/>
        <w:keepNext w:val="0"/>
        <w:keepLines w:val="0"/>
        <w:widowControl/>
        <w:suppressLineNumbers w:val="0"/>
        <w:ind w:firstLine="480" w:firstLineChars="20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2.与我公司存在直接控股、管理关系的其他单位为:</w:t>
      </w:r>
    </w:p>
    <w:p w14:paraId="0995EB5F">
      <w:pPr>
        <w:pStyle w:val="23"/>
        <w:keepNext w:val="0"/>
        <w:keepLines w:val="0"/>
        <w:widowControl/>
        <w:suppressLineNumbers w:val="0"/>
        <w:ind w:firstLine="480" w:firstLineChars="20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lang w:val="en-US" w:eastAsia="zh-CN"/>
        </w:rPr>
        <w:t xml:space="preserve">                                                  </w:t>
      </w:r>
    </w:p>
    <w:p w14:paraId="611843EC">
      <w:pPr>
        <w:pStyle w:val="23"/>
        <w:keepNext w:val="0"/>
        <w:keepLines w:val="0"/>
        <w:widowControl/>
        <w:suppressLineNumbers w:val="0"/>
        <w:ind w:firstLine="480" w:firstLineChars="20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以上声明完全属实，如有瞒报、虚报，我公司自行承担因此产生的所有法律责任。</w:t>
      </w:r>
    </w:p>
    <w:p w14:paraId="2CC9F8B2">
      <w:pPr>
        <w:pStyle w:val="23"/>
        <w:keepNext w:val="0"/>
        <w:keepLines w:val="0"/>
        <w:widowControl/>
        <w:suppressLineNumbers w:val="0"/>
        <w:ind w:firstLine="480" w:firstLineChars="200"/>
        <w:jc w:val="center"/>
        <w:rPr>
          <w:rFonts w:hint="eastAsia" w:ascii="仿宋" w:hAnsi="仿宋" w:eastAsia="仿宋" w:cs="仿宋"/>
          <w:i w:val="0"/>
          <w:iCs w:val="0"/>
          <w:caps w:val="0"/>
          <w:color w:val="auto"/>
          <w:spacing w:val="0"/>
          <w:sz w:val="24"/>
          <w:szCs w:val="24"/>
          <w:highlight w:val="none"/>
          <w:lang w:val="en-US" w:eastAsia="zh-CN"/>
        </w:rPr>
      </w:pPr>
    </w:p>
    <w:p w14:paraId="465DB70A">
      <w:pPr>
        <w:pStyle w:val="23"/>
        <w:keepNext w:val="0"/>
        <w:keepLines w:val="0"/>
        <w:widowControl/>
        <w:suppressLineNumbers w:val="0"/>
        <w:ind w:firstLine="480" w:firstLineChars="200"/>
        <w:jc w:val="center"/>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供应商(盖章):</w:t>
      </w:r>
    </w:p>
    <w:p w14:paraId="662EB607">
      <w:pPr>
        <w:pStyle w:val="23"/>
        <w:keepNext w:val="0"/>
        <w:keepLines w:val="0"/>
        <w:widowControl/>
        <w:suppressLineNumbers w:val="0"/>
        <w:ind w:firstLine="2160" w:firstLineChars="900"/>
        <w:jc w:val="both"/>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法定代表人或被授权人</w:t>
      </w:r>
      <w:r>
        <w:rPr>
          <w:rFonts w:hint="eastAsia" w:ascii="仿宋" w:hAnsi="仿宋" w:eastAsia="仿宋" w:cs="仿宋"/>
          <w:b w:val="0"/>
          <w:bCs w:val="0"/>
          <w:color w:val="auto"/>
          <w:kern w:val="2"/>
          <w:sz w:val="24"/>
          <w:szCs w:val="20"/>
          <w:highlight w:val="none"/>
          <w:lang w:val="en-US" w:eastAsia="zh-CN" w:bidi="ar-SA"/>
        </w:rPr>
        <w:t>（签字或签章）</w:t>
      </w:r>
      <w:r>
        <w:rPr>
          <w:rFonts w:hint="eastAsia" w:ascii="仿宋" w:hAnsi="仿宋" w:eastAsia="仿宋" w:cs="仿宋"/>
          <w:i w:val="0"/>
          <w:iCs w:val="0"/>
          <w:caps w:val="0"/>
          <w:color w:val="auto"/>
          <w:spacing w:val="0"/>
          <w:sz w:val="24"/>
          <w:szCs w:val="24"/>
          <w:highlight w:val="none"/>
          <w:lang w:val="en-US" w:eastAsia="zh-CN"/>
        </w:rPr>
        <w:t>:</w:t>
      </w:r>
    </w:p>
    <w:p w14:paraId="5ACD539C">
      <w:pPr>
        <w:pStyle w:val="23"/>
        <w:keepNext w:val="0"/>
        <w:keepLines w:val="0"/>
        <w:widowControl/>
        <w:suppressLineNumbers w:val="0"/>
        <w:ind w:firstLine="480" w:firstLineChars="200"/>
        <w:jc w:val="center"/>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日期: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年    月   日 </w:t>
      </w:r>
    </w:p>
    <w:p w14:paraId="236B1A67">
      <w:pPr>
        <w:pStyle w:val="5"/>
        <w:pageBreakBefore w:val="0"/>
        <w:kinsoku/>
        <w:wordWrap/>
        <w:overflowPunct/>
        <w:topLinePunct w:val="0"/>
        <w:bidi w:val="0"/>
        <w:spacing w:line="360" w:lineRule="auto"/>
        <w:jc w:val="center"/>
        <w:textAlignment w:val="auto"/>
        <w:outlineLvl w:val="0"/>
        <w:rPr>
          <w:rFonts w:hint="eastAsia" w:ascii="仿宋" w:hAnsi="仿宋" w:eastAsia="仿宋" w:cs="仿宋"/>
          <w:i w:val="0"/>
          <w:iCs w:val="0"/>
          <w:color w:val="auto"/>
          <w:sz w:val="24"/>
          <w:szCs w:val="24"/>
          <w:highlight w:val="none"/>
          <w:lang w:val="en-US" w:eastAsia="zh-CN"/>
        </w:rPr>
      </w:pPr>
    </w:p>
    <w:p w14:paraId="44529D1A">
      <w:pPr>
        <w:pStyle w:val="5"/>
        <w:pageBreakBefore w:val="0"/>
        <w:kinsoku/>
        <w:wordWrap/>
        <w:overflowPunct/>
        <w:topLinePunct w:val="0"/>
        <w:bidi w:val="0"/>
        <w:spacing w:line="360" w:lineRule="auto"/>
        <w:jc w:val="center"/>
        <w:textAlignment w:val="auto"/>
        <w:outlineLvl w:val="0"/>
        <w:rPr>
          <w:rFonts w:hint="eastAsia" w:ascii="仿宋" w:hAnsi="仿宋" w:eastAsia="仿宋" w:cs="仿宋"/>
          <w:i w:val="0"/>
          <w:iCs w:val="0"/>
          <w:color w:val="auto"/>
          <w:sz w:val="24"/>
          <w:szCs w:val="24"/>
          <w:highlight w:val="none"/>
          <w:lang w:val="en-US" w:eastAsia="zh-CN"/>
        </w:rPr>
      </w:pPr>
    </w:p>
    <w:p w14:paraId="7B5E02E9">
      <w:pPr>
        <w:pStyle w:val="8"/>
        <w:ind w:left="0" w:leftChars="0" w:firstLine="0" w:firstLineChars="0"/>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附：国家企业信用信息公示系统（网址:http://www.gsxt.gov.cn/index.html)中的“企业信用信息公示（开标前一个月内的）报告”</w:t>
      </w:r>
    </w:p>
    <w:bookmarkEnd w:id="111"/>
    <w:p w14:paraId="6680D34D">
      <w:pPr>
        <w:ind w:firstLine="480" w:firstLineChars="200"/>
        <w:rPr>
          <w:rFonts w:hint="eastAsia" w:ascii="仿宋" w:hAnsi="仿宋" w:eastAsia="仿宋" w:cs="仿宋"/>
          <w:color w:val="auto"/>
          <w:sz w:val="24"/>
          <w:szCs w:val="24"/>
          <w:highlight w:val="none"/>
          <w:lang w:val="en-US" w:eastAsia="zh-CN"/>
        </w:rPr>
      </w:pPr>
    </w:p>
    <w:p w14:paraId="5C274B02">
      <w:pPr>
        <w:pStyle w:val="2"/>
        <w:rPr>
          <w:rFonts w:hint="eastAsia" w:ascii="仿宋" w:hAnsi="仿宋" w:eastAsia="仿宋" w:cs="仿宋"/>
          <w:color w:val="auto"/>
          <w:sz w:val="24"/>
          <w:szCs w:val="24"/>
          <w:highlight w:val="none"/>
          <w:lang w:val="en-US" w:eastAsia="zh-CN"/>
        </w:rPr>
      </w:pPr>
    </w:p>
    <w:p w14:paraId="59250B0A">
      <w:pPr>
        <w:pStyle w:val="3"/>
        <w:rPr>
          <w:rFonts w:hint="eastAsia"/>
          <w:color w:val="auto"/>
          <w:highlight w:val="none"/>
          <w:lang w:val="en-US" w:eastAsia="zh-CN"/>
        </w:rPr>
      </w:pPr>
    </w:p>
    <w:p w14:paraId="6DB1BF2A">
      <w:pPr>
        <w:pStyle w:val="5"/>
        <w:pageBreakBefore w:val="0"/>
        <w:kinsoku/>
        <w:wordWrap/>
        <w:overflowPunct/>
        <w:topLinePunct w:val="0"/>
        <w:bidi w:val="0"/>
        <w:spacing w:line="36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格式8-2 廉洁承诺书</w:t>
      </w:r>
    </w:p>
    <w:p w14:paraId="2F7AFF2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荣幸参与</w:t>
      </w:r>
      <w:r>
        <w:rPr>
          <w:rFonts w:hint="eastAsia" w:ascii="仿宋" w:hAnsi="仿宋" w:eastAsia="仿宋" w:cs="仿宋"/>
          <w:color w:val="auto"/>
          <w:sz w:val="24"/>
          <w:szCs w:val="24"/>
          <w:highlight w:val="none"/>
        </w:rPr>
        <w:t>贵单位</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val="en-US" w:eastAsia="zh-CN"/>
        </w:rPr>
        <w:t>劳务分包/</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val="en-US" w:eastAsia="zh-CN"/>
        </w:rPr>
        <w:t>招标代理/</w:t>
      </w: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物资供应商/</w:t>
      </w:r>
      <w:r>
        <w:rPr>
          <w:rFonts w:hint="eastAsia" w:ascii="仿宋" w:hAnsi="仿宋" w:eastAsia="仿宋" w:cs="仿宋"/>
          <w:color w:val="auto"/>
          <w:sz w:val="24"/>
          <w:szCs w:val="24"/>
          <w:highlight w:val="none"/>
          <w:lang w:val="en-US" w:eastAsia="zh-CN"/>
        </w:rPr>
        <w:sym w:font="Wingdings" w:char="00FE"/>
      </w:r>
      <w:r>
        <w:rPr>
          <w:rFonts w:hint="eastAsia" w:ascii="仿宋" w:hAnsi="仿宋" w:eastAsia="仿宋" w:cs="仿宋"/>
          <w:color w:val="auto"/>
          <w:sz w:val="24"/>
          <w:szCs w:val="24"/>
          <w:highlight w:val="none"/>
          <w:lang w:val="en-US" w:eastAsia="zh-CN"/>
        </w:rPr>
        <w:t>服务供应商/</w:t>
      </w: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其他投标</w:t>
      </w:r>
      <w:r>
        <w:rPr>
          <w:rFonts w:hint="eastAsia" w:ascii="仿宋" w:hAnsi="仿宋" w:eastAsia="仿宋" w:cs="仿宋"/>
          <w:color w:val="auto"/>
          <w:sz w:val="24"/>
          <w:szCs w:val="24"/>
          <w:highlight w:val="none"/>
        </w:rPr>
        <w:t>，本公司郑重承诺，执业过程中严格遵守</w:t>
      </w:r>
      <w:r>
        <w:rPr>
          <w:rFonts w:hint="eastAsia" w:ascii="仿宋" w:hAnsi="仿宋" w:eastAsia="仿宋" w:cs="仿宋"/>
          <w:color w:val="auto"/>
          <w:sz w:val="24"/>
          <w:szCs w:val="24"/>
          <w:highlight w:val="none"/>
          <w:lang w:val="en-US" w:eastAsia="zh-CN"/>
        </w:rPr>
        <w:t>如下</w:t>
      </w:r>
      <w:r>
        <w:rPr>
          <w:rFonts w:hint="eastAsia" w:ascii="仿宋" w:hAnsi="仿宋" w:eastAsia="仿宋" w:cs="仿宋"/>
          <w:color w:val="auto"/>
          <w:sz w:val="24"/>
          <w:szCs w:val="24"/>
          <w:highlight w:val="none"/>
        </w:rPr>
        <w:t>规定：</w:t>
      </w:r>
    </w:p>
    <w:p w14:paraId="11075E0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1.严格执行相关法律、法规和规定，遵循公平、公正原则，认真履行职责，遵守职业道德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廉洁从业各项规定，做到依法经营、诚实守信和廉洁自律。</w:t>
      </w:r>
    </w:p>
    <w:p w14:paraId="7616F7E0">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.在服务过程中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向贵单位工作人员行贿或安排宴请和娱乐活动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坚决抵制商业贿赂，不收受任何业务关联单位的财物</w:t>
      </w:r>
      <w:r>
        <w:rPr>
          <w:rFonts w:hint="eastAsia" w:ascii="仿宋" w:hAnsi="仿宋" w:eastAsia="仿宋" w:cs="仿宋"/>
          <w:color w:val="auto"/>
          <w:sz w:val="24"/>
          <w:szCs w:val="24"/>
          <w:highlight w:val="none"/>
          <w:lang w:eastAsia="zh-CN"/>
        </w:rPr>
        <w:t>。</w:t>
      </w:r>
    </w:p>
    <w:p w14:paraId="3B7B9A5B">
      <w:p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不为</w:t>
      </w:r>
      <w:r>
        <w:rPr>
          <w:rFonts w:hint="eastAsia" w:ascii="仿宋" w:hAnsi="仿宋" w:eastAsia="仿宋" w:cs="仿宋"/>
          <w:color w:val="auto"/>
          <w:sz w:val="24"/>
          <w:szCs w:val="24"/>
          <w:highlight w:val="none"/>
        </w:rPr>
        <w:t>企业资质、业绩、奖惩情况、执业人员等方面弄虚作假、挂靠、</w:t>
      </w:r>
      <w:r>
        <w:rPr>
          <w:rFonts w:hint="eastAsia" w:ascii="仿宋" w:hAnsi="仿宋" w:eastAsia="仿宋" w:cs="仿宋"/>
          <w:color w:val="auto"/>
          <w:sz w:val="24"/>
          <w:szCs w:val="24"/>
          <w:highlight w:val="none"/>
          <w:lang w:val="en-US" w:eastAsia="zh-CN"/>
        </w:rPr>
        <w:t>提供不实的</w:t>
      </w:r>
      <w:r>
        <w:rPr>
          <w:rFonts w:hint="eastAsia" w:ascii="仿宋" w:hAnsi="仿宋" w:eastAsia="仿宋" w:cs="仿宋"/>
          <w:color w:val="auto"/>
          <w:sz w:val="24"/>
          <w:szCs w:val="24"/>
          <w:highlight w:val="none"/>
        </w:rPr>
        <w:t>信息资料</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串通违规操作、</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出具严重失实、弄虚作假、虚假报告或审查结论</w:t>
      </w:r>
      <w:r>
        <w:rPr>
          <w:rFonts w:hint="eastAsia" w:ascii="仿宋" w:hAnsi="仿宋" w:eastAsia="仿宋" w:cs="仿宋"/>
          <w:color w:val="auto"/>
          <w:sz w:val="24"/>
          <w:szCs w:val="24"/>
          <w:highlight w:val="none"/>
          <w:lang w:val="en-US" w:eastAsia="zh-CN"/>
        </w:rPr>
        <w:t>。</w:t>
      </w:r>
    </w:p>
    <w:p w14:paraId="7C05B058">
      <w:p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提供的</w:t>
      </w:r>
      <w:r>
        <w:rPr>
          <w:rFonts w:hint="eastAsia" w:ascii="仿宋" w:hAnsi="仿宋" w:eastAsia="仿宋" w:cs="仿宋"/>
          <w:color w:val="auto"/>
          <w:sz w:val="24"/>
          <w:szCs w:val="24"/>
          <w:highlight w:val="none"/>
        </w:rPr>
        <w:t>信息、资料及出具书面文件应当完整、真实、合法，符合行业技术标准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对执业中知悉的商业秘密及其他秘密事项予以保密</w:t>
      </w:r>
      <w:r>
        <w:rPr>
          <w:rFonts w:hint="eastAsia" w:ascii="仿宋" w:hAnsi="仿宋" w:eastAsia="仿宋" w:cs="仿宋"/>
          <w:color w:val="auto"/>
          <w:sz w:val="24"/>
          <w:szCs w:val="24"/>
          <w:highlight w:val="none"/>
          <w:lang w:eastAsia="zh-CN"/>
        </w:rPr>
        <w:t>。</w:t>
      </w:r>
    </w:p>
    <w:p w14:paraId="32842AD1">
      <w:p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.接受和协助有关行政监督部门依法监督、检查，及时向行政监督部门反映或举报执业过程中发现的违法违规和不正当行为</w:t>
      </w:r>
      <w:r>
        <w:rPr>
          <w:rFonts w:hint="eastAsia" w:ascii="仿宋" w:hAnsi="仿宋" w:eastAsia="仿宋" w:cs="仿宋"/>
          <w:color w:val="auto"/>
          <w:sz w:val="24"/>
          <w:szCs w:val="24"/>
          <w:highlight w:val="none"/>
          <w:lang w:eastAsia="zh-CN"/>
        </w:rPr>
        <w:t>。</w:t>
      </w:r>
    </w:p>
    <w:p w14:paraId="4DE58523">
      <w:p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6.如与项目相关方有直接或间接利益关系或按照有关规定需进行回避的，我方主动实行回避</w:t>
      </w:r>
      <w:r>
        <w:rPr>
          <w:rFonts w:hint="eastAsia" w:ascii="仿宋" w:hAnsi="仿宋" w:eastAsia="仿宋" w:cs="仿宋"/>
          <w:color w:val="auto"/>
          <w:sz w:val="24"/>
          <w:szCs w:val="24"/>
          <w:highlight w:val="none"/>
          <w:lang w:eastAsia="zh-CN"/>
        </w:rPr>
        <w:t>。</w:t>
      </w:r>
    </w:p>
    <w:p w14:paraId="67186A08">
      <w:p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以上承诺接受</w:t>
      </w:r>
      <w:r>
        <w:rPr>
          <w:rFonts w:hint="eastAsia" w:ascii="仿宋" w:hAnsi="仿宋" w:eastAsia="仿宋" w:cs="仿宋"/>
          <w:color w:val="auto"/>
          <w:sz w:val="24"/>
          <w:szCs w:val="24"/>
          <w:highlight w:val="none"/>
          <w:lang w:val="en-US" w:eastAsia="zh-CN"/>
        </w:rPr>
        <w:t>贵公司、相关部门及</w:t>
      </w:r>
      <w:r>
        <w:rPr>
          <w:rFonts w:hint="eastAsia" w:ascii="仿宋" w:hAnsi="仿宋" w:eastAsia="仿宋" w:cs="仿宋"/>
          <w:color w:val="auto"/>
          <w:sz w:val="24"/>
          <w:szCs w:val="24"/>
          <w:highlight w:val="none"/>
        </w:rPr>
        <w:t>广大</w:t>
      </w:r>
      <w:r>
        <w:rPr>
          <w:rFonts w:hint="eastAsia" w:ascii="仿宋" w:hAnsi="仿宋" w:eastAsia="仿宋" w:cs="仿宋"/>
          <w:color w:val="auto"/>
          <w:sz w:val="24"/>
          <w:szCs w:val="24"/>
          <w:highlight w:val="none"/>
          <w:lang w:val="en-US" w:eastAsia="zh-CN"/>
        </w:rPr>
        <w:t>群众</w:t>
      </w:r>
      <w:r>
        <w:rPr>
          <w:rFonts w:hint="eastAsia" w:ascii="仿宋" w:hAnsi="仿宋" w:eastAsia="仿宋" w:cs="仿宋"/>
          <w:color w:val="auto"/>
          <w:sz w:val="24"/>
          <w:szCs w:val="24"/>
          <w:highlight w:val="none"/>
        </w:rPr>
        <w:t>的监督。本</w:t>
      </w:r>
      <w:r>
        <w:rPr>
          <w:rFonts w:hint="eastAsia" w:ascii="仿宋" w:hAnsi="仿宋" w:eastAsia="仿宋" w:cs="仿宋"/>
          <w:color w:val="auto"/>
          <w:sz w:val="24"/>
          <w:szCs w:val="24"/>
          <w:highlight w:val="none"/>
          <w:lang w:val="en-US" w:eastAsia="zh-CN"/>
        </w:rPr>
        <w:t>公司</w:t>
      </w:r>
      <w:r>
        <w:rPr>
          <w:rFonts w:hint="eastAsia" w:ascii="仿宋" w:hAnsi="仿宋" w:eastAsia="仿宋" w:cs="仿宋"/>
          <w:color w:val="auto"/>
          <w:sz w:val="24"/>
          <w:szCs w:val="24"/>
          <w:highlight w:val="none"/>
        </w:rPr>
        <w:t>如违反承诺，自愿接受处理，承担违诺责任和法律后果</w:t>
      </w:r>
      <w:r>
        <w:rPr>
          <w:rFonts w:hint="eastAsia" w:ascii="仿宋" w:hAnsi="仿宋" w:eastAsia="仿宋" w:cs="仿宋"/>
          <w:color w:val="auto"/>
          <w:sz w:val="24"/>
          <w:szCs w:val="24"/>
          <w:highlight w:val="none"/>
          <w:lang w:eastAsia="zh-CN"/>
        </w:rPr>
        <w:t>。</w:t>
      </w:r>
    </w:p>
    <w:p w14:paraId="4641E0E6">
      <w:pPr>
        <w:ind w:firstLine="480" w:firstLineChars="200"/>
        <w:rPr>
          <w:rFonts w:hint="eastAsia" w:ascii="仿宋" w:hAnsi="仿宋" w:eastAsia="仿宋" w:cs="仿宋"/>
          <w:color w:val="auto"/>
          <w:sz w:val="24"/>
          <w:szCs w:val="24"/>
          <w:highlight w:val="none"/>
        </w:rPr>
      </w:pPr>
    </w:p>
    <w:p w14:paraId="2CC41224">
      <w:pPr>
        <w:rPr>
          <w:rFonts w:hint="eastAsia" w:ascii="仿宋" w:hAnsi="仿宋" w:eastAsia="仿宋" w:cs="仿宋"/>
          <w:color w:val="auto"/>
          <w:sz w:val="24"/>
          <w:szCs w:val="24"/>
          <w:highlight w:val="none"/>
        </w:rPr>
      </w:pPr>
    </w:p>
    <w:p w14:paraId="1B407506">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7E055D83">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承诺公司：（盖章）</w:t>
      </w:r>
    </w:p>
    <w:p w14:paraId="20677FB4">
      <w:pPr>
        <w:tabs>
          <w:tab w:val="left" w:pos="1236"/>
        </w:tabs>
        <w:bidi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公司法人：（盖章）</w:t>
      </w:r>
    </w:p>
    <w:p w14:paraId="752A0808">
      <w:pPr>
        <w:pStyle w:val="25"/>
        <w:rPr>
          <w:rFonts w:hint="eastAsia" w:ascii="仿宋" w:hAnsi="仿宋" w:eastAsia="仿宋" w:cs="仿宋"/>
          <w:b/>
          <w:color w:val="auto"/>
          <w:sz w:val="28"/>
          <w:szCs w:val="28"/>
          <w:highlight w:val="none"/>
        </w:rPr>
      </w:pPr>
    </w:p>
    <w:p w14:paraId="321B2852">
      <w:pPr>
        <w:rPr>
          <w:rFonts w:ascii="仿宋" w:hAnsi="仿宋" w:eastAsia="仿宋" w:cs="仿宋"/>
          <w:b/>
          <w:bCs/>
          <w:color w:val="auto"/>
          <w:sz w:val="32"/>
          <w:highlight w:val="none"/>
        </w:rPr>
      </w:pPr>
    </w:p>
    <w:p w14:paraId="1ABA48AF">
      <w:pPr>
        <w:widowControl/>
        <w:jc w:val="left"/>
        <w:rPr>
          <w:rFonts w:ascii="仿宋" w:hAnsi="仿宋" w:eastAsia="仿宋" w:cs="仿宋"/>
          <w:color w:val="auto"/>
          <w:highlight w:val="none"/>
        </w:rPr>
      </w:pPr>
    </w:p>
    <w:sectPr>
      <w:footerReference r:id="rId16" w:type="default"/>
      <w:pgSz w:w="11906" w:h="16838"/>
      <w:pgMar w:top="1440" w:right="1797" w:bottom="1440" w:left="1797"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D157E">
    <w:pPr>
      <w:pStyle w:val="19"/>
      <w:jc w:val="center"/>
    </w:pPr>
  </w:p>
  <w:p w14:paraId="4D6DA95F">
    <w:pPr>
      <w:pStyle w:val="1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E1EAE">
    <w:pPr>
      <w:pStyle w:val="19"/>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14:paraId="01DA21A6">
    <w:pPr>
      <w:pStyle w:val="1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F2572">
    <w:pPr>
      <w:pStyle w:val="19"/>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2E256E">
                          <w:pPr>
                            <w:pStyle w:val="19"/>
                            <w:rPr>
                              <w:rStyle w:val="29"/>
                            </w:rPr>
                          </w:pPr>
                          <w:r>
                            <w:rPr>
                              <w:rStyle w:val="29"/>
                            </w:rPr>
                            <w:fldChar w:fldCharType="begin"/>
                          </w:r>
                          <w:r>
                            <w:rPr>
                              <w:rStyle w:val="29"/>
                            </w:rPr>
                            <w:instrText xml:space="preserve">PAGE  </w:instrText>
                          </w:r>
                          <w:r>
                            <w:rPr>
                              <w:rStyle w:val="29"/>
                            </w:rPr>
                            <w:fldChar w:fldCharType="separate"/>
                          </w:r>
                          <w:r>
                            <w:rPr>
                              <w:rStyle w:val="29"/>
                            </w:rPr>
                            <w:t>37</w:t>
                          </w:r>
                          <w:r>
                            <w:rPr>
                              <w:rStyle w:val="29"/>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9SGhcsBAACcAwAADgAAAGRycy9lMm9Eb2MueG1srVPNjtMwEL4j8Q6W&#10;79RpV4I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fUWJ4xYHfvn+7fLj1+XnV7Ks&#10;bm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fUhoXLAQAAnAMAAA4AAAAAAAAAAQAgAAAAHgEAAGRycy9lMm9E&#10;b2MueG1sUEsFBgAAAAAGAAYAWQEAAFsFAAAAAA==&#10;">
              <v:fill on="f" focussize="0,0"/>
              <v:stroke on="f"/>
              <v:imagedata o:title=""/>
              <o:lock v:ext="edit" aspectratio="f"/>
              <v:textbox inset="0mm,0mm,0mm,0mm" style="mso-fit-shape-to-text:t;">
                <w:txbxContent>
                  <w:p w14:paraId="642E256E">
                    <w:pPr>
                      <w:pStyle w:val="19"/>
                      <w:rPr>
                        <w:rStyle w:val="29"/>
                      </w:rPr>
                    </w:pPr>
                    <w:r>
                      <w:rPr>
                        <w:rStyle w:val="29"/>
                      </w:rPr>
                      <w:fldChar w:fldCharType="begin"/>
                    </w:r>
                    <w:r>
                      <w:rPr>
                        <w:rStyle w:val="29"/>
                      </w:rPr>
                      <w:instrText xml:space="preserve">PAGE  </w:instrText>
                    </w:r>
                    <w:r>
                      <w:rPr>
                        <w:rStyle w:val="29"/>
                      </w:rPr>
                      <w:fldChar w:fldCharType="separate"/>
                    </w:r>
                    <w:r>
                      <w:rPr>
                        <w:rStyle w:val="29"/>
                      </w:rPr>
                      <w:t>37</w:t>
                    </w:r>
                    <w:r>
                      <w:rPr>
                        <w:rStyle w:val="29"/>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34337">
    <w:pPr>
      <w:pStyle w:val="19"/>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14:paraId="7C94CA2D">
    <w:pPr>
      <w:pStyle w:val="1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34903">
    <w:pPr>
      <w:pStyle w:val="19"/>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DEC836">
                          <w:pPr>
                            <w:pStyle w:val="19"/>
                            <w:rPr>
                              <w:rStyle w:val="29"/>
                            </w:rPr>
                          </w:pPr>
                          <w:r>
                            <w:rPr>
                              <w:rStyle w:val="29"/>
                            </w:rPr>
                            <w:fldChar w:fldCharType="begin"/>
                          </w:r>
                          <w:r>
                            <w:rPr>
                              <w:rStyle w:val="29"/>
                            </w:rPr>
                            <w:instrText xml:space="preserve">PAGE  </w:instrText>
                          </w:r>
                          <w:r>
                            <w:rPr>
                              <w:rStyle w:val="29"/>
                            </w:rPr>
                            <w:fldChar w:fldCharType="separate"/>
                          </w:r>
                          <w:r>
                            <w:rPr>
                              <w:rStyle w:val="29"/>
                            </w:rPr>
                            <w:t>40</w:t>
                          </w:r>
                          <w:r>
                            <w:rPr>
                              <w:rStyle w:val="29"/>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KywXMoBAACc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4tgdtzjwy/dvlx+/Lj+/kmX1&#10;8lVWqA9QY+JdwNQ0vPUD7s3sB3Rm4oOKNn+REsE46nu+6iuHRER+tF6t1xWGBMbmC+Kzh+chQnon&#10;vSXZaGjEARZd+ekDpDF1TsnVnL/VxpQhGveXAzGzh+Xexx6zlYb9MBHa+/aMfHqcfUMdrjol5r1D&#10;afOazEacjf1sHEPUh67sUa4H4c0xYROlt1xhhJ0K49AKu2nB8lb8eS9ZD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KywXMoBAACcAwAADgAAAAAAAAABACAAAAAeAQAAZHJzL2Uyb0Rv&#10;Yy54bWxQSwUGAAAAAAYABgBZAQAAWgUAAAAA&#10;">
              <v:fill on="f" focussize="0,0"/>
              <v:stroke on="f"/>
              <v:imagedata o:title=""/>
              <o:lock v:ext="edit" aspectratio="f"/>
              <v:textbox inset="0mm,0mm,0mm,0mm" style="mso-fit-shape-to-text:t;">
                <w:txbxContent>
                  <w:p w14:paraId="2DDEC836">
                    <w:pPr>
                      <w:pStyle w:val="19"/>
                      <w:rPr>
                        <w:rStyle w:val="29"/>
                      </w:rPr>
                    </w:pPr>
                    <w:r>
                      <w:rPr>
                        <w:rStyle w:val="29"/>
                      </w:rPr>
                      <w:fldChar w:fldCharType="begin"/>
                    </w:r>
                    <w:r>
                      <w:rPr>
                        <w:rStyle w:val="29"/>
                      </w:rPr>
                      <w:instrText xml:space="preserve">PAGE  </w:instrText>
                    </w:r>
                    <w:r>
                      <w:rPr>
                        <w:rStyle w:val="29"/>
                      </w:rPr>
                      <w:fldChar w:fldCharType="separate"/>
                    </w:r>
                    <w:r>
                      <w:rPr>
                        <w:rStyle w:val="29"/>
                      </w:rPr>
                      <w:t>40</w:t>
                    </w:r>
                    <w:r>
                      <w:rPr>
                        <w:rStyle w:val="29"/>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EBBDA">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F0180D">
                          <w:pPr>
                            <w:pStyle w:val="19"/>
                            <w:rPr>
                              <w:rStyle w:val="29"/>
                            </w:rPr>
                          </w:pPr>
                          <w:r>
                            <w:rPr>
                              <w:rStyle w:val="29"/>
                            </w:rPr>
                            <w:fldChar w:fldCharType="begin"/>
                          </w:r>
                          <w:r>
                            <w:rPr>
                              <w:rStyle w:val="29"/>
                            </w:rPr>
                            <w:instrText xml:space="preserve">PAGE  </w:instrText>
                          </w:r>
                          <w:r>
                            <w:rPr>
                              <w:rStyle w:val="29"/>
                            </w:rPr>
                            <w:fldChar w:fldCharType="separate"/>
                          </w:r>
                          <w:r>
                            <w:rPr>
                              <w:rStyle w:val="29"/>
                            </w:rPr>
                            <w:t>18</w:t>
                          </w:r>
                          <w:r>
                            <w:rPr>
                              <w:rStyle w:val="29"/>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14:paraId="29F0180D">
                    <w:pPr>
                      <w:pStyle w:val="19"/>
                      <w:rPr>
                        <w:rStyle w:val="29"/>
                      </w:rPr>
                    </w:pPr>
                    <w:r>
                      <w:rPr>
                        <w:rStyle w:val="29"/>
                      </w:rPr>
                      <w:fldChar w:fldCharType="begin"/>
                    </w:r>
                    <w:r>
                      <w:rPr>
                        <w:rStyle w:val="29"/>
                      </w:rPr>
                      <w:instrText xml:space="preserve">PAGE  </w:instrText>
                    </w:r>
                    <w:r>
                      <w:rPr>
                        <w:rStyle w:val="29"/>
                      </w:rPr>
                      <w:fldChar w:fldCharType="separate"/>
                    </w:r>
                    <w:r>
                      <w:rPr>
                        <w:rStyle w:val="29"/>
                      </w:rPr>
                      <w:t>18</w:t>
                    </w:r>
                    <w:r>
                      <w:rPr>
                        <w:rStyle w:val="29"/>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6ABE2">
    <w:pPr>
      <w:pStyle w:val="19"/>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14:paraId="3EC20D15">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E9375">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A08827">
                          <w:pPr>
                            <w:pStyle w:val="19"/>
                            <w:rPr>
                              <w:rStyle w:val="29"/>
                            </w:rPr>
                          </w:pPr>
                          <w:r>
                            <w:rPr>
                              <w:rStyle w:val="29"/>
                            </w:rPr>
                            <w:fldChar w:fldCharType="begin"/>
                          </w:r>
                          <w:r>
                            <w:rPr>
                              <w:rStyle w:val="29"/>
                            </w:rPr>
                            <w:instrText xml:space="preserve">PAGE  </w:instrText>
                          </w:r>
                          <w:r>
                            <w:rPr>
                              <w:rStyle w:val="29"/>
                            </w:rPr>
                            <w:fldChar w:fldCharType="separate"/>
                          </w:r>
                          <w:r>
                            <w:rPr>
                              <w:rStyle w:val="29"/>
                            </w:rPr>
                            <w:t>24</w:t>
                          </w:r>
                          <w:r>
                            <w:rPr>
                              <w:rStyle w:val="29"/>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fill on="f" focussize="0,0"/>
              <v:stroke on="f"/>
              <v:imagedata o:title=""/>
              <o:lock v:ext="edit" aspectratio="f"/>
              <v:textbox inset="0mm,0mm,0mm,0mm" style="mso-fit-shape-to-text:t;">
                <w:txbxContent>
                  <w:p w14:paraId="2FA08827">
                    <w:pPr>
                      <w:pStyle w:val="19"/>
                      <w:rPr>
                        <w:rStyle w:val="29"/>
                      </w:rPr>
                    </w:pPr>
                    <w:r>
                      <w:rPr>
                        <w:rStyle w:val="29"/>
                      </w:rPr>
                      <w:fldChar w:fldCharType="begin"/>
                    </w:r>
                    <w:r>
                      <w:rPr>
                        <w:rStyle w:val="29"/>
                      </w:rPr>
                      <w:instrText xml:space="preserve">PAGE  </w:instrText>
                    </w:r>
                    <w:r>
                      <w:rPr>
                        <w:rStyle w:val="29"/>
                      </w:rPr>
                      <w:fldChar w:fldCharType="separate"/>
                    </w:r>
                    <w:r>
                      <w:rPr>
                        <w:rStyle w:val="29"/>
                      </w:rPr>
                      <w:t>24</w:t>
                    </w:r>
                    <w:r>
                      <w:rPr>
                        <w:rStyle w:val="29"/>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56414">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D89EE5">
                          <w:pPr>
                            <w:pStyle w:val="19"/>
                            <w:rPr>
                              <w:rStyle w:val="29"/>
                            </w:rPr>
                          </w:pPr>
                          <w:r>
                            <w:rPr>
                              <w:rStyle w:val="29"/>
                            </w:rPr>
                            <w:fldChar w:fldCharType="begin"/>
                          </w:r>
                          <w:r>
                            <w:rPr>
                              <w:rStyle w:val="29"/>
                            </w:rPr>
                            <w:instrText xml:space="preserve">PAGE  </w:instrText>
                          </w:r>
                          <w:r>
                            <w:rPr>
                              <w:rStyle w:val="29"/>
                            </w:rPr>
                            <w:fldChar w:fldCharType="separate"/>
                          </w:r>
                          <w:r>
                            <w:rPr>
                              <w:rStyle w:val="29"/>
                            </w:rPr>
                            <w:t>26</w:t>
                          </w:r>
                          <w:r>
                            <w:rPr>
                              <w:rStyle w:val="29"/>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RahcsBAACcAwAADgAAAGRycy9lMm9Eb2MueG1srVNLjtswDN0X6B0E&#10;7SdyMkU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jEWoXLAQAAnAMAAA4AAAAAAAAAAQAgAAAAHgEAAGRycy9lMm9E&#10;b2MueG1sUEsFBgAAAAAGAAYAWQEAAFsFAAAAAA==&#10;">
              <v:fill on="f" focussize="0,0"/>
              <v:stroke on="f"/>
              <v:imagedata o:title=""/>
              <o:lock v:ext="edit" aspectratio="f"/>
              <v:textbox inset="0mm,0mm,0mm,0mm" style="mso-fit-shape-to-text:t;">
                <w:txbxContent>
                  <w:p w14:paraId="4BD89EE5">
                    <w:pPr>
                      <w:pStyle w:val="19"/>
                      <w:rPr>
                        <w:rStyle w:val="29"/>
                      </w:rPr>
                    </w:pPr>
                    <w:r>
                      <w:rPr>
                        <w:rStyle w:val="29"/>
                      </w:rPr>
                      <w:fldChar w:fldCharType="begin"/>
                    </w:r>
                    <w:r>
                      <w:rPr>
                        <w:rStyle w:val="29"/>
                      </w:rPr>
                      <w:instrText xml:space="preserve">PAGE  </w:instrText>
                    </w:r>
                    <w:r>
                      <w:rPr>
                        <w:rStyle w:val="29"/>
                      </w:rPr>
                      <w:fldChar w:fldCharType="separate"/>
                    </w:r>
                    <w:r>
                      <w:rPr>
                        <w:rStyle w:val="29"/>
                      </w:rPr>
                      <w:t>26</w:t>
                    </w:r>
                    <w:r>
                      <w:rPr>
                        <w:rStyle w:val="29"/>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00AB7">
    <w:pPr>
      <w:pStyle w:val="19"/>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14:paraId="5F62C2B0">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FC859">
    <w:pPr>
      <w:pStyle w:val="19"/>
      <w:ind w:right="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CDF9E6">
                          <w:pPr>
                            <w:pStyle w:val="19"/>
                            <w:rPr>
                              <w:rStyle w:val="29"/>
                            </w:rPr>
                          </w:pPr>
                          <w:r>
                            <w:rPr>
                              <w:rStyle w:val="29"/>
                            </w:rPr>
                            <w:fldChar w:fldCharType="begin"/>
                          </w:r>
                          <w:r>
                            <w:rPr>
                              <w:rStyle w:val="29"/>
                            </w:rPr>
                            <w:instrText xml:space="preserve">PAGE  </w:instrText>
                          </w:r>
                          <w:r>
                            <w:rPr>
                              <w:rStyle w:val="29"/>
                            </w:rPr>
                            <w:fldChar w:fldCharType="separate"/>
                          </w:r>
                          <w:r>
                            <w:rPr>
                              <w:rStyle w:val="29"/>
                            </w:rPr>
                            <w:t>34</w:t>
                          </w:r>
                          <w:r>
                            <w:rPr>
                              <w:rStyle w:val="29"/>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nBM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snBM8oBAACcAwAADgAAAAAAAAABACAAAAAeAQAAZHJzL2Uyb0Rv&#10;Yy54bWxQSwUGAAAAAAYABgBZAQAAWgUAAAAA&#10;">
              <v:fill on="f" focussize="0,0"/>
              <v:stroke on="f"/>
              <v:imagedata o:title=""/>
              <o:lock v:ext="edit" aspectratio="f"/>
              <v:textbox inset="0mm,0mm,0mm,0mm" style="mso-fit-shape-to-text:t;">
                <w:txbxContent>
                  <w:p w14:paraId="26CDF9E6">
                    <w:pPr>
                      <w:pStyle w:val="19"/>
                      <w:rPr>
                        <w:rStyle w:val="29"/>
                      </w:rPr>
                    </w:pPr>
                    <w:r>
                      <w:rPr>
                        <w:rStyle w:val="29"/>
                      </w:rPr>
                      <w:fldChar w:fldCharType="begin"/>
                    </w:r>
                    <w:r>
                      <w:rPr>
                        <w:rStyle w:val="29"/>
                      </w:rPr>
                      <w:instrText xml:space="preserve">PAGE  </w:instrText>
                    </w:r>
                    <w:r>
                      <w:rPr>
                        <w:rStyle w:val="29"/>
                      </w:rPr>
                      <w:fldChar w:fldCharType="separate"/>
                    </w:r>
                    <w:r>
                      <w:rPr>
                        <w:rStyle w:val="29"/>
                      </w:rPr>
                      <w:t>34</w:t>
                    </w:r>
                    <w:r>
                      <w:rPr>
                        <w:rStyle w:val="29"/>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2704C">
    <w:pPr>
      <w:pStyle w:val="19"/>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14:paraId="708DEB9D">
    <w:pPr>
      <w:pStyle w:val="1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3A46">
    <w:pPr>
      <w:pStyle w:val="19"/>
      <w:ind w:right="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0A41CF">
                          <w:pPr>
                            <w:pStyle w:val="19"/>
                            <w:rPr>
                              <w:rStyle w:val="29"/>
                            </w:rPr>
                          </w:pPr>
                          <w:r>
                            <w:rPr>
                              <w:rStyle w:val="29"/>
                            </w:rPr>
                            <w:fldChar w:fldCharType="begin"/>
                          </w:r>
                          <w:r>
                            <w:rPr>
                              <w:rStyle w:val="29"/>
                            </w:rPr>
                            <w:instrText xml:space="preserve">PAGE  </w:instrText>
                          </w:r>
                          <w:r>
                            <w:rPr>
                              <w:rStyle w:val="29"/>
                            </w:rPr>
                            <w:fldChar w:fldCharType="separate"/>
                          </w:r>
                          <w:r>
                            <w:rPr>
                              <w:rStyle w:val="29"/>
                            </w:rPr>
                            <w:t>36</w:t>
                          </w:r>
                          <w:r>
                            <w:rPr>
                              <w:rStyle w:val="29"/>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kdM8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RZ&#10;vV5l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3ZHTPLAQAAnAMAAA4AAAAAAAAAAQAgAAAAHgEAAGRycy9lMm9E&#10;b2MueG1sUEsFBgAAAAAGAAYAWQEAAFsFAAAAAA==&#10;">
              <v:fill on="f" focussize="0,0"/>
              <v:stroke on="f"/>
              <v:imagedata o:title=""/>
              <o:lock v:ext="edit" aspectratio="f"/>
              <v:textbox inset="0mm,0mm,0mm,0mm" style="mso-fit-shape-to-text:t;">
                <w:txbxContent>
                  <w:p w14:paraId="370A41CF">
                    <w:pPr>
                      <w:pStyle w:val="19"/>
                      <w:rPr>
                        <w:rStyle w:val="29"/>
                      </w:rPr>
                    </w:pPr>
                    <w:r>
                      <w:rPr>
                        <w:rStyle w:val="29"/>
                      </w:rPr>
                      <w:fldChar w:fldCharType="begin"/>
                    </w:r>
                    <w:r>
                      <w:rPr>
                        <w:rStyle w:val="29"/>
                      </w:rPr>
                      <w:instrText xml:space="preserve">PAGE  </w:instrText>
                    </w:r>
                    <w:r>
                      <w:rPr>
                        <w:rStyle w:val="29"/>
                      </w:rPr>
                      <w:fldChar w:fldCharType="separate"/>
                    </w:r>
                    <w:r>
                      <w:rPr>
                        <w:rStyle w:val="29"/>
                      </w:rPr>
                      <w:t>36</w:t>
                    </w:r>
                    <w:r>
                      <w:rPr>
                        <w:rStyle w:val="29"/>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00EA4">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48321"/>
    <w:multiLevelType w:val="singleLevel"/>
    <w:tmpl w:val="AE248321"/>
    <w:lvl w:ilvl="0" w:tentative="0">
      <w:start w:val="6"/>
      <w:numFmt w:val="chineseCounting"/>
      <w:suff w:val="nothing"/>
      <w:lvlText w:val="%1、"/>
      <w:lvlJc w:val="left"/>
      <w:rPr>
        <w:rFonts w:hint="eastAsia"/>
      </w:rPr>
    </w:lvl>
  </w:abstractNum>
  <w:abstractNum w:abstractNumId="1">
    <w:nsid w:val="29D16DA4"/>
    <w:multiLevelType w:val="multilevel"/>
    <w:tmpl w:val="29D16DA4"/>
    <w:lvl w:ilvl="0" w:tentative="0">
      <w:start w:val="1"/>
      <w:numFmt w:val="japaneseCounting"/>
      <w:lvlText w:val="%1、"/>
      <w:lvlJc w:val="left"/>
      <w:pPr>
        <w:ind w:left="516" w:hanging="516"/>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2C3F2FF7"/>
    <w:multiLevelType w:val="multilevel"/>
    <w:tmpl w:val="2C3F2FF7"/>
    <w:lvl w:ilvl="0" w:tentative="0">
      <w:start w:val="2"/>
      <w:numFmt w:val="japaneseCounting"/>
      <w:lvlText w:val="第%1章"/>
      <w:lvlJc w:val="left"/>
      <w:pPr>
        <w:tabs>
          <w:tab w:val="left" w:pos="1290"/>
        </w:tabs>
        <w:ind w:left="1290" w:hanging="129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5E10485D"/>
    <w:multiLevelType w:val="multilevel"/>
    <w:tmpl w:val="5E10485D"/>
    <w:lvl w:ilvl="0" w:tentative="0">
      <w:start w:val="1"/>
      <w:numFmt w:val="japaneseCounting"/>
      <w:lvlText w:val="第%1章"/>
      <w:lvlJc w:val="left"/>
      <w:pPr>
        <w:tabs>
          <w:tab w:val="left" w:pos="1080"/>
        </w:tabs>
        <w:ind w:left="1080" w:hanging="840"/>
      </w:pPr>
      <w:rPr>
        <w:rFonts w:hint="eastAsia" w:cs="Times New Roman"/>
      </w:rPr>
    </w:lvl>
    <w:lvl w:ilvl="1" w:tentative="0">
      <w:start w:val="1"/>
      <w:numFmt w:val="decimal"/>
      <w:lvlText w:val="%2）"/>
      <w:lvlJc w:val="left"/>
      <w:pPr>
        <w:tabs>
          <w:tab w:val="left" w:pos="1020"/>
        </w:tabs>
        <w:ind w:left="1020" w:hanging="360"/>
      </w:pPr>
      <w:rPr>
        <w:rFonts w:hint="eastAsia" w:cs="Times New Roman"/>
      </w:rPr>
    </w:lvl>
    <w:lvl w:ilvl="2" w:tentative="0">
      <w:start w:val="1"/>
      <w:numFmt w:val="lowerRoman"/>
      <w:lvlText w:val="%3."/>
      <w:lvlJc w:val="right"/>
      <w:pPr>
        <w:tabs>
          <w:tab w:val="left" w:pos="1500"/>
        </w:tabs>
        <w:ind w:left="1500" w:hanging="420"/>
      </w:pPr>
      <w:rPr>
        <w:rFonts w:cs="Times New Roman"/>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MTgxYWZjZmQ3ZWZkMzAzMDQxYTA1N2U0ZmE3YmMifQ=="/>
  </w:docVars>
  <w:rsids>
    <w:rsidRoot w:val="009C34C4"/>
    <w:rsid w:val="00000DFF"/>
    <w:rsid w:val="000025B4"/>
    <w:rsid w:val="00002C17"/>
    <w:rsid w:val="00003426"/>
    <w:rsid w:val="00003650"/>
    <w:rsid w:val="00003CBC"/>
    <w:rsid w:val="000052FF"/>
    <w:rsid w:val="000101E0"/>
    <w:rsid w:val="0001223E"/>
    <w:rsid w:val="0001257D"/>
    <w:rsid w:val="000125A6"/>
    <w:rsid w:val="00012F2B"/>
    <w:rsid w:val="000152CB"/>
    <w:rsid w:val="0001616F"/>
    <w:rsid w:val="00017299"/>
    <w:rsid w:val="00020712"/>
    <w:rsid w:val="00023206"/>
    <w:rsid w:val="000259E8"/>
    <w:rsid w:val="00026444"/>
    <w:rsid w:val="00026FD9"/>
    <w:rsid w:val="00030056"/>
    <w:rsid w:val="00030EBC"/>
    <w:rsid w:val="000312BB"/>
    <w:rsid w:val="00034B0D"/>
    <w:rsid w:val="00034E02"/>
    <w:rsid w:val="00036A33"/>
    <w:rsid w:val="00037E64"/>
    <w:rsid w:val="000404E0"/>
    <w:rsid w:val="000413FD"/>
    <w:rsid w:val="0004266F"/>
    <w:rsid w:val="00042A56"/>
    <w:rsid w:val="00044958"/>
    <w:rsid w:val="000461A4"/>
    <w:rsid w:val="000533FC"/>
    <w:rsid w:val="00054B4B"/>
    <w:rsid w:val="00056066"/>
    <w:rsid w:val="00056AF8"/>
    <w:rsid w:val="00057499"/>
    <w:rsid w:val="0006169B"/>
    <w:rsid w:val="00066BF0"/>
    <w:rsid w:val="00066E55"/>
    <w:rsid w:val="00070945"/>
    <w:rsid w:val="00071954"/>
    <w:rsid w:val="00071C14"/>
    <w:rsid w:val="00074CDE"/>
    <w:rsid w:val="000753B8"/>
    <w:rsid w:val="00083842"/>
    <w:rsid w:val="000857CC"/>
    <w:rsid w:val="00086941"/>
    <w:rsid w:val="00090382"/>
    <w:rsid w:val="000906C2"/>
    <w:rsid w:val="0009168F"/>
    <w:rsid w:val="0009493C"/>
    <w:rsid w:val="00094D27"/>
    <w:rsid w:val="000962E6"/>
    <w:rsid w:val="0009665D"/>
    <w:rsid w:val="0009700A"/>
    <w:rsid w:val="000975C3"/>
    <w:rsid w:val="000A0A62"/>
    <w:rsid w:val="000A5145"/>
    <w:rsid w:val="000A53F7"/>
    <w:rsid w:val="000A5EC3"/>
    <w:rsid w:val="000A71CA"/>
    <w:rsid w:val="000B33C0"/>
    <w:rsid w:val="000B61FA"/>
    <w:rsid w:val="000C0E7C"/>
    <w:rsid w:val="000C17D6"/>
    <w:rsid w:val="000C1D79"/>
    <w:rsid w:val="000C317B"/>
    <w:rsid w:val="000C4553"/>
    <w:rsid w:val="000C4F8B"/>
    <w:rsid w:val="000C7EB8"/>
    <w:rsid w:val="000D03E5"/>
    <w:rsid w:val="000D0657"/>
    <w:rsid w:val="000D1A6C"/>
    <w:rsid w:val="000D218E"/>
    <w:rsid w:val="000D2F06"/>
    <w:rsid w:val="000D308D"/>
    <w:rsid w:val="000D3691"/>
    <w:rsid w:val="000D3A97"/>
    <w:rsid w:val="000D427A"/>
    <w:rsid w:val="000D4AAF"/>
    <w:rsid w:val="000D4D8E"/>
    <w:rsid w:val="000D73EA"/>
    <w:rsid w:val="000D79C5"/>
    <w:rsid w:val="000E07B1"/>
    <w:rsid w:val="000E35D7"/>
    <w:rsid w:val="000E3A52"/>
    <w:rsid w:val="000E4823"/>
    <w:rsid w:val="000E6431"/>
    <w:rsid w:val="000E64FC"/>
    <w:rsid w:val="000E676F"/>
    <w:rsid w:val="000F181D"/>
    <w:rsid w:val="000F19EB"/>
    <w:rsid w:val="000F1E91"/>
    <w:rsid w:val="000F43E9"/>
    <w:rsid w:val="000F6699"/>
    <w:rsid w:val="000F7357"/>
    <w:rsid w:val="000F7D68"/>
    <w:rsid w:val="00100AB7"/>
    <w:rsid w:val="00101683"/>
    <w:rsid w:val="00103F38"/>
    <w:rsid w:val="00104997"/>
    <w:rsid w:val="00105372"/>
    <w:rsid w:val="0010545D"/>
    <w:rsid w:val="00105756"/>
    <w:rsid w:val="0010646F"/>
    <w:rsid w:val="00110C75"/>
    <w:rsid w:val="001115A1"/>
    <w:rsid w:val="00112529"/>
    <w:rsid w:val="0011293A"/>
    <w:rsid w:val="00113305"/>
    <w:rsid w:val="00113E54"/>
    <w:rsid w:val="00114BC7"/>
    <w:rsid w:val="001150FB"/>
    <w:rsid w:val="001160B4"/>
    <w:rsid w:val="00116190"/>
    <w:rsid w:val="001173DD"/>
    <w:rsid w:val="001200ED"/>
    <w:rsid w:val="00122288"/>
    <w:rsid w:val="00123745"/>
    <w:rsid w:val="001241C4"/>
    <w:rsid w:val="00124803"/>
    <w:rsid w:val="00124B0C"/>
    <w:rsid w:val="0012549A"/>
    <w:rsid w:val="001264AF"/>
    <w:rsid w:val="001272D7"/>
    <w:rsid w:val="00130EE8"/>
    <w:rsid w:val="001328DC"/>
    <w:rsid w:val="001334AF"/>
    <w:rsid w:val="0013484C"/>
    <w:rsid w:val="001357C3"/>
    <w:rsid w:val="00136331"/>
    <w:rsid w:val="00136CD0"/>
    <w:rsid w:val="0014060C"/>
    <w:rsid w:val="001414DC"/>
    <w:rsid w:val="00141AD4"/>
    <w:rsid w:val="00142242"/>
    <w:rsid w:val="0014267C"/>
    <w:rsid w:val="001442E9"/>
    <w:rsid w:val="0014580C"/>
    <w:rsid w:val="0015121D"/>
    <w:rsid w:val="001519A3"/>
    <w:rsid w:val="00152358"/>
    <w:rsid w:val="00153985"/>
    <w:rsid w:val="00157717"/>
    <w:rsid w:val="00161BFE"/>
    <w:rsid w:val="00162574"/>
    <w:rsid w:val="00162CAD"/>
    <w:rsid w:val="00162DA0"/>
    <w:rsid w:val="001631AC"/>
    <w:rsid w:val="00163509"/>
    <w:rsid w:val="00165727"/>
    <w:rsid w:val="00165C6E"/>
    <w:rsid w:val="001678AD"/>
    <w:rsid w:val="00167C3F"/>
    <w:rsid w:val="001719BB"/>
    <w:rsid w:val="00171A0E"/>
    <w:rsid w:val="001724BF"/>
    <w:rsid w:val="001743DB"/>
    <w:rsid w:val="00175112"/>
    <w:rsid w:val="0017529C"/>
    <w:rsid w:val="0017786C"/>
    <w:rsid w:val="00181367"/>
    <w:rsid w:val="00182406"/>
    <w:rsid w:val="00182E8F"/>
    <w:rsid w:val="00183022"/>
    <w:rsid w:val="001850F5"/>
    <w:rsid w:val="001855A1"/>
    <w:rsid w:val="00185A72"/>
    <w:rsid w:val="00186E9E"/>
    <w:rsid w:val="0019031A"/>
    <w:rsid w:val="00190E2C"/>
    <w:rsid w:val="001916E8"/>
    <w:rsid w:val="00191770"/>
    <w:rsid w:val="001936DF"/>
    <w:rsid w:val="00193F39"/>
    <w:rsid w:val="00193FCE"/>
    <w:rsid w:val="0019458C"/>
    <w:rsid w:val="00195993"/>
    <w:rsid w:val="001A1586"/>
    <w:rsid w:val="001A2182"/>
    <w:rsid w:val="001A3F92"/>
    <w:rsid w:val="001A5E5D"/>
    <w:rsid w:val="001A63A8"/>
    <w:rsid w:val="001B0AC2"/>
    <w:rsid w:val="001B7523"/>
    <w:rsid w:val="001B765B"/>
    <w:rsid w:val="001C0434"/>
    <w:rsid w:val="001C0832"/>
    <w:rsid w:val="001C31FE"/>
    <w:rsid w:val="001C356F"/>
    <w:rsid w:val="001C35CD"/>
    <w:rsid w:val="001C4CDE"/>
    <w:rsid w:val="001C52A4"/>
    <w:rsid w:val="001D21AC"/>
    <w:rsid w:val="001D41D7"/>
    <w:rsid w:val="001D4C6E"/>
    <w:rsid w:val="001D5CCE"/>
    <w:rsid w:val="001D63B6"/>
    <w:rsid w:val="001D6F41"/>
    <w:rsid w:val="001D7545"/>
    <w:rsid w:val="001D78C2"/>
    <w:rsid w:val="001D797F"/>
    <w:rsid w:val="001E0AFF"/>
    <w:rsid w:val="001E0BD2"/>
    <w:rsid w:val="001E17AE"/>
    <w:rsid w:val="001E1A2C"/>
    <w:rsid w:val="001E1BA6"/>
    <w:rsid w:val="001E2701"/>
    <w:rsid w:val="001E3B5E"/>
    <w:rsid w:val="001E3FBA"/>
    <w:rsid w:val="001E4FF1"/>
    <w:rsid w:val="001E60A1"/>
    <w:rsid w:val="001E6801"/>
    <w:rsid w:val="001E6C8D"/>
    <w:rsid w:val="001F2FE0"/>
    <w:rsid w:val="001F30A0"/>
    <w:rsid w:val="001F39EB"/>
    <w:rsid w:val="001F4B64"/>
    <w:rsid w:val="002010F7"/>
    <w:rsid w:val="00201E70"/>
    <w:rsid w:val="0020332B"/>
    <w:rsid w:val="00203D0E"/>
    <w:rsid w:val="002045AC"/>
    <w:rsid w:val="0020510E"/>
    <w:rsid w:val="00206E8C"/>
    <w:rsid w:val="002119B1"/>
    <w:rsid w:val="00212EB1"/>
    <w:rsid w:val="0021312D"/>
    <w:rsid w:val="00213823"/>
    <w:rsid w:val="002138DB"/>
    <w:rsid w:val="002139B3"/>
    <w:rsid w:val="00213F64"/>
    <w:rsid w:val="00214422"/>
    <w:rsid w:val="00215779"/>
    <w:rsid w:val="002160BE"/>
    <w:rsid w:val="002170BE"/>
    <w:rsid w:val="0022125A"/>
    <w:rsid w:val="00221FC7"/>
    <w:rsid w:val="00226C45"/>
    <w:rsid w:val="00227396"/>
    <w:rsid w:val="00231820"/>
    <w:rsid w:val="00231C30"/>
    <w:rsid w:val="00231DAD"/>
    <w:rsid w:val="00232309"/>
    <w:rsid w:val="00240111"/>
    <w:rsid w:val="0024114C"/>
    <w:rsid w:val="002419D6"/>
    <w:rsid w:val="002456FA"/>
    <w:rsid w:val="00245F57"/>
    <w:rsid w:val="00246FF0"/>
    <w:rsid w:val="00247538"/>
    <w:rsid w:val="00247AC3"/>
    <w:rsid w:val="00247CFD"/>
    <w:rsid w:val="00250622"/>
    <w:rsid w:val="00250F70"/>
    <w:rsid w:val="002517AF"/>
    <w:rsid w:val="002535A1"/>
    <w:rsid w:val="002539B0"/>
    <w:rsid w:val="00253E1C"/>
    <w:rsid w:val="0025459C"/>
    <w:rsid w:val="00256B41"/>
    <w:rsid w:val="00257760"/>
    <w:rsid w:val="002577DA"/>
    <w:rsid w:val="00261E7C"/>
    <w:rsid w:val="00262049"/>
    <w:rsid w:val="002631E6"/>
    <w:rsid w:val="00263B9E"/>
    <w:rsid w:val="00263CD4"/>
    <w:rsid w:val="00264161"/>
    <w:rsid w:val="002649BA"/>
    <w:rsid w:val="00264D84"/>
    <w:rsid w:val="00265143"/>
    <w:rsid w:val="00266030"/>
    <w:rsid w:val="00266461"/>
    <w:rsid w:val="00266DA8"/>
    <w:rsid w:val="0027014E"/>
    <w:rsid w:val="002711A7"/>
    <w:rsid w:val="002717E9"/>
    <w:rsid w:val="00271D84"/>
    <w:rsid w:val="0027372E"/>
    <w:rsid w:val="0027378A"/>
    <w:rsid w:val="00275463"/>
    <w:rsid w:val="00282443"/>
    <w:rsid w:val="002861E6"/>
    <w:rsid w:val="00291BC7"/>
    <w:rsid w:val="00292919"/>
    <w:rsid w:val="0029378D"/>
    <w:rsid w:val="002949FA"/>
    <w:rsid w:val="00295AB6"/>
    <w:rsid w:val="00297684"/>
    <w:rsid w:val="002A1163"/>
    <w:rsid w:val="002A323E"/>
    <w:rsid w:val="002A36E3"/>
    <w:rsid w:val="002A3DCC"/>
    <w:rsid w:val="002A46D4"/>
    <w:rsid w:val="002A6E0D"/>
    <w:rsid w:val="002A7E69"/>
    <w:rsid w:val="002B00A6"/>
    <w:rsid w:val="002B2ACF"/>
    <w:rsid w:val="002B2D97"/>
    <w:rsid w:val="002B3786"/>
    <w:rsid w:val="002B4A8C"/>
    <w:rsid w:val="002B6812"/>
    <w:rsid w:val="002C04B2"/>
    <w:rsid w:val="002C19A0"/>
    <w:rsid w:val="002C1D51"/>
    <w:rsid w:val="002C2055"/>
    <w:rsid w:val="002C23BB"/>
    <w:rsid w:val="002C2944"/>
    <w:rsid w:val="002C29CF"/>
    <w:rsid w:val="002C443B"/>
    <w:rsid w:val="002C48C7"/>
    <w:rsid w:val="002C4F6D"/>
    <w:rsid w:val="002D05A8"/>
    <w:rsid w:val="002D09D1"/>
    <w:rsid w:val="002D0DDA"/>
    <w:rsid w:val="002D1F10"/>
    <w:rsid w:val="002D1FBA"/>
    <w:rsid w:val="002D25D3"/>
    <w:rsid w:val="002D2FA7"/>
    <w:rsid w:val="002D49EB"/>
    <w:rsid w:val="002D4B28"/>
    <w:rsid w:val="002D4CBC"/>
    <w:rsid w:val="002D5FE6"/>
    <w:rsid w:val="002D71C4"/>
    <w:rsid w:val="002D7BC3"/>
    <w:rsid w:val="002E0E01"/>
    <w:rsid w:val="002E13E1"/>
    <w:rsid w:val="002E1C3B"/>
    <w:rsid w:val="002E536E"/>
    <w:rsid w:val="002E58E9"/>
    <w:rsid w:val="002E6178"/>
    <w:rsid w:val="002E7573"/>
    <w:rsid w:val="002F0C95"/>
    <w:rsid w:val="002F158E"/>
    <w:rsid w:val="002F22FB"/>
    <w:rsid w:val="002F2991"/>
    <w:rsid w:val="002F2A14"/>
    <w:rsid w:val="002F3141"/>
    <w:rsid w:val="002F3519"/>
    <w:rsid w:val="002F4C2F"/>
    <w:rsid w:val="002F5955"/>
    <w:rsid w:val="002F77DD"/>
    <w:rsid w:val="002F787D"/>
    <w:rsid w:val="002F7E75"/>
    <w:rsid w:val="003001E7"/>
    <w:rsid w:val="00302287"/>
    <w:rsid w:val="003032EA"/>
    <w:rsid w:val="0030355E"/>
    <w:rsid w:val="00304481"/>
    <w:rsid w:val="003044D5"/>
    <w:rsid w:val="003050B1"/>
    <w:rsid w:val="003061E2"/>
    <w:rsid w:val="0030651C"/>
    <w:rsid w:val="003137DC"/>
    <w:rsid w:val="003140A5"/>
    <w:rsid w:val="00314F85"/>
    <w:rsid w:val="003157CE"/>
    <w:rsid w:val="00315B2E"/>
    <w:rsid w:val="00315CE6"/>
    <w:rsid w:val="0031716D"/>
    <w:rsid w:val="00322F50"/>
    <w:rsid w:val="003232B6"/>
    <w:rsid w:val="0032447B"/>
    <w:rsid w:val="00327831"/>
    <w:rsid w:val="00330F5C"/>
    <w:rsid w:val="00331593"/>
    <w:rsid w:val="00332D72"/>
    <w:rsid w:val="00333618"/>
    <w:rsid w:val="00336940"/>
    <w:rsid w:val="0033773E"/>
    <w:rsid w:val="00340608"/>
    <w:rsid w:val="00341B4E"/>
    <w:rsid w:val="0034221F"/>
    <w:rsid w:val="003447B2"/>
    <w:rsid w:val="00347D1A"/>
    <w:rsid w:val="003503BA"/>
    <w:rsid w:val="00351D4E"/>
    <w:rsid w:val="0035408E"/>
    <w:rsid w:val="00356279"/>
    <w:rsid w:val="00356ECA"/>
    <w:rsid w:val="00357EEB"/>
    <w:rsid w:val="003616F2"/>
    <w:rsid w:val="00362C76"/>
    <w:rsid w:val="00363239"/>
    <w:rsid w:val="00363C1B"/>
    <w:rsid w:val="003670BE"/>
    <w:rsid w:val="003705E5"/>
    <w:rsid w:val="00372503"/>
    <w:rsid w:val="003728EF"/>
    <w:rsid w:val="00373352"/>
    <w:rsid w:val="00374D71"/>
    <w:rsid w:val="00380D77"/>
    <w:rsid w:val="00380F55"/>
    <w:rsid w:val="00384854"/>
    <w:rsid w:val="00384DDF"/>
    <w:rsid w:val="00385DF6"/>
    <w:rsid w:val="00386BAB"/>
    <w:rsid w:val="00386CF4"/>
    <w:rsid w:val="00390325"/>
    <w:rsid w:val="0039040A"/>
    <w:rsid w:val="003921E4"/>
    <w:rsid w:val="0039255A"/>
    <w:rsid w:val="00393432"/>
    <w:rsid w:val="00393D73"/>
    <w:rsid w:val="00393E94"/>
    <w:rsid w:val="003952A7"/>
    <w:rsid w:val="003A04F4"/>
    <w:rsid w:val="003A1F51"/>
    <w:rsid w:val="003A5588"/>
    <w:rsid w:val="003A5C77"/>
    <w:rsid w:val="003A6246"/>
    <w:rsid w:val="003A63B3"/>
    <w:rsid w:val="003A70C4"/>
    <w:rsid w:val="003A7A54"/>
    <w:rsid w:val="003B01B7"/>
    <w:rsid w:val="003B3EEC"/>
    <w:rsid w:val="003B4294"/>
    <w:rsid w:val="003B6220"/>
    <w:rsid w:val="003B718F"/>
    <w:rsid w:val="003B7921"/>
    <w:rsid w:val="003B7943"/>
    <w:rsid w:val="003C0421"/>
    <w:rsid w:val="003C345C"/>
    <w:rsid w:val="003C4ACE"/>
    <w:rsid w:val="003C58D9"/>
    <w:rsid w:val="003D022C"/>
    <w:rsid w:val="003D04D0"/>
    <w:rsid w:val="003D1903"/>
    <w:rsid w:val="003D19EA"/>
    <w:rsid w:val="003D28E5"/>
    <w:rsid w:val="003D3AA9"/>
    <w:rsid w:val="003D3E81"/>
    <w:rsid w:val="003D5351"/>
    <w:rsid w:val="003D5FEA"/>
    <w:rsid w:val="003D6FE6"/>
    <w:rsid w:val="003E00B6"/>
    <w:rsid w:val="003E133B"/>
    <w:rsid w:val="003E13A4"/>
    <w:rsid w:val="003E168F"/>
    <w:rsid w:val="003E228F"/>
    <w:rsid w:val="003E294B"/>
    <w:rsid w:val="003E33CC"/>
    <w:rsid w:val="003E471E"/>
    <w:rsid w:val="003E535C"/>
    <w:rsid w:val="003E712E"/>
    <w:rsid w:val="003E7C2F"/>
    <w:rsid w:val="003E7CDD"/>
    <w:rsid w:val="003F10A3"/>
    <w:rsid w:val="003F10AD"/>
    <w:rsid w:val="003F1926"/>
    <w:rsid w:val="003F6B4B"/>
    <w:rsid w:val="003F7661"/>
    <w:rsid w:val="003F78FC"/>
    <w:rsid w:val="0040077C"/>
    <w:rsid w:val="004032EE"/>
    <w:rsid w:val="00403926"/>
    <w:rsid w:val="00405660"/>
    <w:rsid w:val="004056BF"/>
    <w:rsid w:val="00406168"/>
    <w:rsid w:val="00406169"/>
    <w:rsid w:val="0040724E"/>
    <w:rsid w:val="004079EB"/>
    <w:rsid w:val="00410532"/>
    <w:rsid w:val="0041097A"/>
    <w:rsid w:val="0041187D"/>
    <w:rsid w:val="00412CA4"/>
    <w:rsid w:val="00413339"/>
    <w:rsid w:val="004140A8"/>
    <w:rsid w:val="004148D2"/>
    <w:rsid w:val="0041546B"/>
    <w:rsid w:val="00415479"/>
    <w:rsid w:val="004162CC"/>
    <w:rsid w:val="004165E9"/>
    <w:rsid w:val="00416B04"/>
    <w:rsid w:val="00417C87"/>
    <w:rsid w:val="00420BC9"/>
    <w:rsid w:val="00422C81"/>
    <w:rsid w:val="004253CA"/>
    <w:rsid w:val="004261C7"/>
    <w:rsid w:val="00430088"/>
    <w:rsid w:val="00431A78"/>
    <w:rsid w:val="00432936"/>
    <w:rsid w:val="00433C87"/>
    <w:rsid w:val="00434293"/>
    <w:rsid w:val="00434CBB"/>
    <w:rsid w:val="00435DD8"/>
    <w:rsid w:val="0043701A"/>
    <w:rsid w:val="00437182"/>
    <w:rsid w:val="00437531"/>
    <w:rsid w:val="00437A6C"/>
    <w:rsid w:val="004401D8"/>
    <w:rsid w:val="0044065F"/>
    <w:rsid w:val="00440B41"/>
    <w:rsid w:val="00441FE2"/>
    <w:rsid w:val="00446500"/>
    <w:rsid w:val="00446D81"/>
    <w:rsid w:val="004473D4"/>
    <w:rsid w:val="004503CD"/>
    <w:rsid w:val="00453AA7"/>
    <w:rsid w:val="00455FF1"/>
    <w:rsid w:val="00457330"/>
    <w:rsid w:val="004576D5"/>
    <w:rsid w:val="0046097F"/>
    <w:rsid w:val="00462084"/>
    <w:rsid w:val="00464713"/>
    <w:rsid w:val="00465AC6"/>
    <w:rsid w:val="00466D04"/>
    <w:rsid w:val="004678E4"/>
    <w:rsid w:val="004703E5"/>
    <w:rsid w:val="00470D03"/>
    <w:rsid w:val="00470D6B"/>
    <w:rsid w:val="00471226"/>
    <w:rsid w:val="00471F0A"/>
    <w:rsid w:val="00472A7B"/>
    <w:rsid w:val="004735B6"/>
    <w:rsid w:val="00474107"/>
    <w:rsid w:val="00474A6E"/>
    <w:rsid w:val="00475EDC"/>
    <w:rsid w:val="00476620"/>
    <w:rsid w:val="00477712"/>
    <w:rsid w:val="00477CF9"/>
    <w:rsid w:val="004805FB"/>
    <w:rsid w:val="0048082D"/>
    <w:rsid w:val="00480FA9"/>
    <w:rsid w:val="0048123C"/>
    <w:rsid w:val="00481FB3"/>
    <w:rsid w:val="00486353"/>
    <w:rsid w:val="00491481"/>
    <w:rsid w:val="00491CB0"/>
    <w:rsid w:val="004920D1"/>
    <w:rsid w:val="0049267D"/>
    <w:rsid w:val="00492A3E"/>
    <w:rsid w:val="00493B2C"/>
    <w:rsid w:val="00493BB0"/>
    <w:rsid w:val="004949AA"/>
    <w:rsid w:val="00494BC0"/>
    <w:rsid w:val="00494BC2"/>
    <w:rsid w:val="004967D2"/>
    <w:rsid w:val="004A0815"/>
    <w:rsid w:val="004A136E"/>
    <w:rsid w:val="004A45EC"/>
    <w:rsid w:val="004A4E64"/>
    <w:rsid w:val="004A5786"/>
    <w:rsid w:val="004A75F5"/>
    <w:rsid w:val="004A7785"/>
    <w:rsid w:val="004B09B8"/>
    <w:rsid w:val="004B1467"/>
    <w:rsid w:val="004B41B1"/>
    <w:rsid w:val="004B6C9F"/>
    <w:rsid w:val="004B7FA3"/>
    <w:rsid w:val="004C18A6"/>
    <w:rsid w:val="004C2786"/>
    <w:rsid w:val="004C2DCD"/>
    <w:rsid w:val="004C32EE"/>
    <w:rsid w:val="004C3F70"/>
    <w:rsid w:val="004C40F2"/>
    <w:rsid w:val="004C5ED9"/>
    <w:rsid w:val="004C762B"/>
    <w:rsid w:val="004D03C9"/>
    <w:rsid w:val="004D181B"/>
    <w:rsid w:val="004D367A"/>
    <w:rsid w:val="004D4530"/>
    <w:rsid w:val="004D4CF0"/>
    <w:rsid w:val="004D63E8"/>
    <w:rsid w:val="004D7462"/>
    <w:rsid w:val="004D7863"/>
    <w:rsid w:val="004E09AD"/>
    <w:rsid w:val="004E0DCD"/>
    <w:rsid w:val="004E4B9F"/>
    <w:rsid w:val="004E525F"/>
    <w:rsid w:val="004E6B28"/>
    <w:rsid w:val="004E7CC0"/>
    <w:rsid w:val="004F07A7"/>
    <w:rsid w:val="004F5861"/>
    <w:rsid w:val="004F5A4C"/>
    <w:rsid w:val="00500AFF"/>
    <w:rsid w:val="005010E9"/>
    <w:rsid w:val="00501D60"/>
    <w:rsid w:val="00505127"/>
    <w:rsid w:val="00505309"/>
    <w:rsid w:val="00506923"/>
    <w:rsid w:val="00507143"/>
    <w:rsid w:val="00507196"/>
    <w:rsid w:val="00510AFA"/>
    <w:rsid w:val="00510F88"/>
    <w:rsid w:val="005124BB"/>
    <w:rsid w:val="005125A5"/>
    <w:rsid w:val="005125FA"/>
    <w:rsid w:val="005138D4"/>
    <w:rsid w:val="00514FEF"/>
    <w:rsid w:val="005159AD"/>
    <w:rsid w:val="00515E2F"/>
    <w:rsid w:val="00516043"/>
    <w:rsid w:val="00516702"/>
    <w:rsid w:val="005172C3"/>
    <w:rsid w:val="005202F1"/>
    <w:rsid w:val="0052031C"/>
    <w:rsid w:val="00520387"/>
    <w:rsid w:val="00520581"/>
    <w:rsid w:val="00521A08"/>
    <w:rsid w:val="005239FD"/>
    <w:rsid w:val="00525932"/>
    <w:rsid w:val="0052640D"/>
    <w:rsid w:val="00526A8E"/>
    <w:rsid w:val="00526DD5"/>
    <w:rsid w:val="00527DD8"/>
    <w:rsid w:val="005315DB"/>
    <w:rsid w:val="005315E5"/>
    <w:rsid w:val="00532A46"/>
    <w:rsid w:val="00532AE6"/>
    <w:rsid w:val="0053309D"/>
    <w:rsid w:val="0053354D"/>
    <w:rsid w:val="00534323"/>
    <w:rsid w:val="00541047"/>
    <w:rsid w:val="00541537"/>
    <w:rsid w:val="00542768"/>
    <w:rsid w:val="00542B54"/>
    <w:rsid w:val="005430F5"/>
    <w:rsid w:val="005431DD"/>
    <w:rsid w:val="005447DC"/>
    <w:rsid w:val="005457C5"/>
    <w:rsid w:val="005458F0"/>
    <w:rsid w:val="005460A2"/>
    <w:rsid w:val="0054659C"/>
    <w:rsid w:val="00546BE8"/>
    <w:rsid w:val="00553143"/>
    <w:rsid w:val="005549BB"/>
    <w:rsid w:val="00555D3E"/>
    <w:rsid w:val="005560CF"/>
    <w:rsid w:val="00561675"/>
    <w:rsid w:val="0056251F"/>
    <w:rsid w:val="00562DD4"/>
    <w:rsid w:val="00564522"/>
    <w:rsid w:val="0056458F"/>
    <w:rsid w:val="00564A80"/>
    <w:rsid w:val="00564DA1"/>
    <w:rsid w:val="005654B5"/>
    <w:rsid w:val="0056630E"/>
    <w:rsid w:val="00566E41"/>
    <w:rsid w:val="005675D6"/>
    <w:rsid w:val="00573E85"/>
    <w:rsid w:val="005740AA"/>
    <w:rsid w:val="00575739"/>
    <w:rsid w:val="0057690B"/>
    <w:rsid w:val="005812B2"/>
    <w:rsid w:val="00581737"/>
    <w:rsid w:val="00582991"/>
    <w:rsid w:val="00582EBA"/>
    <w:rsid w:val="005854CD"/>
    <w:rsid w:val="00586003"/>
    <w:rsid w:val="00586D45"/>
    <w:rsid w:val="0059104F"/>
    <w:rsid w:val="005934CB"/>
    <w:rsid w:val="005945E2"/>
    <w:rsid w:val="005957D0"/>
    <w:rsid w:val="0059643F"/>
    <w:rsid w:val="005A07D2"/>
    <w:rsid w:val="005A1C0B"/>
    <w:rsid w:val="005A2C14"/>
    <w:rsid w:val="005A468F"/>
    <w:rsid w:val="005A46EE"/>
    <w:rsid w:val="005A4A48"/>
    <w:rsid w:val="005A5D20"/>
    <w:rsid w:val="005A642C"/>
    <w:rsid w:val="005A6D31"/>
    <w:rsid w:val="005A7EF0"/>
    <w:rsid w:val="005B37E5"/>
    <w:rsid w:val="005B3FED"/>
    <w:rsid w:val="005B400A"/>
    <w:rsid w:val="005B464A"/>
    <w:rsid w:val="005B50D5"/>
    <w:rsid w:val="005B675D"/>
    <w:rsid w:val="005C4FDF"/>
    <w:rsid w:val="005C73A9"/>
    <w:rsid w:val="005D420B"/>
    <w:rsid w:val="005D4E04"/>
    <w:rsid w:val="005D5972"/>
    <w:rsid w:val="005D748A"/>
    <w:rsid w:val="005D76A9"/>
    <w:rsid w:val="005E0767"/>
    <w:rsid w:val="005E157F"/>
    <w:rsid w:val="005E1757"/>
    <w:rsid w:val="005E2908"/>
    <w:rsid w:val="005E2B00"/>
    <w:rsid w:val="005E38FA"/>
    <w:rsid w:val="005E4EEF"/>
    <w:rsid w:val="005E7709"/>
    <w:rsid w:val="005E7D95"/>
    <w:rsid w:val="005F366F"/>
    <w:rsid w:val="005F492A"/>
    <w:rsid w:val="005F4C4C"/>
    <w:rsid w:val="005F6664"/>
    <w:rsid w:val="005F74B4"/>
    <w:rsid w:val="005F75B5"/>
    <w:rsid w:val="00601C4A"/>
    <w:rsid w:val="00604C16"/>
    <w:rsid w:val="006055BF"/>
    <w:rsid w:val="00605C2B"/>
    <w:rsid w:val="00605EBC"/>
    <w:rsid w:val="0060626D"/>
    <w:rsid w:val="00607167"/>
    <w:rsid w:val="006104E8"/>
    <w:rsid w:val="00612097"/>
    <w:rsid w:val="0061229E"/>
    <w:rsid w:val="00612573"/>
    <w:rsid w:val="0061618E"/>
    <w:rsid w:val="00617B88"/>
    <w:rsid w:val="006207D9"/>
    <w:rsid w:val="00622A07"/>
    <w:rsid w:val="00623D3F"/>
    <w:rsid w:val="00623FF4"/>
    <w:rsid w:val="006244B5"/>
    <w:rsid w:val="006248D6"/>
    <w:rsid w:val="00625D91"/>
    <w:rsid w:val="006266B1"/>
    <w:rsid w:val="00626BA5"/>
    <w:rsid w:val="00627EBD"/>
    <w:rsid w:val="0063408B"/>
    <w:rsid w:val="006341EC"/>
    <w:rsid w:val="006357D4"/>
    <w:rsid w:val="00636012"/>
    <w:rsid w:val="00636E1B"/>
    <w:rsid w:val="00637F53"/>
    <w:rsid w:val="00640919"/>
    <w:rsid w:val="006412DB"/>
    <w:rsid w:val="00646304"/>
    <w:rsid w:val="00646383"/>
    <w:rsid w:val="0064695D"/>
    <w:rsid w:val="00650F62"/>
    <w:rsid w:val="006536D1"/>
    <w:rsid w:val="00660108"/>
    <w:rsid w:val="00660D9B"/>
    <w:rsid w:val="00660E55"/>
    <w:rsid w:val="006639A2"/>
    <w:rsid w:val="00663EBF"/>
    <w:rsid w:val="0066604C"/>
    <w:rsid w:val="00666A25"/>
    <w:rsid w:val="00671567"/>
    <w:rsid w:val="006722DA"/>
    <w:rsid w:val="0067269D"/>
    <w:rsid w:val="00672B8B"/>
    <w:rsid w:val="006751C9"/>
    <w:rsid w:val="006779CE"/>
    <w:rsid w:val="00680F78"/>
    <w:rsid w:val="00683E7B"/>
    <w:rsid w:val="0068653E"/>
    <w:rsid w:val="006866F4"/>
    <w:rsid w:val="00686BC2"/>
    <w:rsid w:val="00687A41"/>
    <w:rsid w:val="0069078B"/>
    <w:rsid w:val="00690F46"/>
    <w:rsid w:val="00691BA8"/>
    <w:rsid w:val="00693BED"/>
    <w:rsid w:val="00695551"/>
    <w:rsid w:val="00695E33"/>
    <w:rsid w:val="0069689A"/>
    <w:rsid w:val="00696A14"/>
    <w:rsid w:val="00697F35"/>
    <w:rsid w:val="006A0B32"/>
    <w:rsid w:val="006A1DE8"/>
    <w:rsid w:val="006A24CA"/>
    <w:rsid w:val="006A3102"/>
    <w:rsid w:val="006A3358"/>
    <w:rsid w:val="006A351A"/>
    <w:rsid w:val="006A4719"/>
    <w:rsid w:val="006A4AD9"/>
    <w:rsid w:val="006A4DC0"/>
    <w:rsid w:val="006A5DD0"/>
    <w:rsid w:val="006A5FEC"/>
    <w:rsid w:val="006A647A"/>
    <w:rsid w:val="006A64B8"/>
    <w:rsid w:val="006A6FFC"/>
    <w:rsid w:val="006A7246"/>
    <w:rsid w:val="006A7483"/>
    <w:rsid w:val="006A77B6"/>
    <w:rsid w:val="006B1438"/>
    <w:rsid w:val="006B5D9C"/>
    <w:rsid w:val="006B6D43"/>
    <w:rsid w:val="006B71C8"/>
    <w:rsid w:val="006B72E7"/>
    <w:rsid w:val="006C1C0F"/>
    <w:rsid w:val="006C29DD"/>
    <w:rsid w:val="006C2E39"/>
    <w:rsid w:val="006C2EE5"/>
    <w:rsid w:val="006C365C"/>
    <w:rsid w:val="006C37C8"/>
    <w:rsid w:val="006C4C9F"/>
    <w:rsid w:val="006C67FF"/>
    <w:rsid w:val="006C7291"/>
    <w:rsid w:val="006C7D75"/>
    <w:rsid w:val="006D1788"/>
    <w:rsid w:val="006D2B45"/>
    <w:rsid w:val="006D3F08"/>
    <w:rsid w:val="006D58A3"/>
    <w:rsid w:val="006E02E0"/>
    <w:rsid w:val="006E1313"/>
    <w:rsid w:val="006E2A48"/>
    <w:rsid w:val="006E45B0"/>
    <w:rsid w:val="006E4A13"/>
    <w:rsid w:val="006E4E00"/>
    <w:rsid w:val="006E558D"/>
    <w:rsid w:val="006E5E4B"/>
    <w:rsid w:val="006E664A"/>
    <w:rsid w:val="006E69F7"/>
    <w:rsid w:val="006E6BA9"/>
    <w:rsid w:val="006E6BE3"/>
    <w:rsid w:val="006E6D77"/>
    <w:rsid w:val="006E7025"/>
    <w:rsid w:val="006E71DD"/>
    <w:rsid w:val="006E73DF"/>
    <w:rsid w:val="006F04BF"/>
    <w:rsid w:val="006F0C85"/>
    <w:rsid w:val="006F107E"/>
    <w:rsid w:val="006F35E7"/>
    <w:rsid w:val="006F5368"/>
    <w:rsid w:val="006F573C"/>
    <w:rsid w:val="006F77CA"/>
    <w:rsid w:val="0070056E"/>
    <w:rsid w:val="00700EB1"/>
    <w:rsid w:val="00701882"/>
    <w:rsid w:val="00703FE5"/>
    <w:rsid w:val="00705BF0"/>
    <w:rsid w:val="00705FDC"/>
    <w:rsid w:val="007072A7"/>
    <w:rsid w:val="00710B97"/>
    <w:rsid w:val="0071188F"/>
    <w:rsid w:val="0071418E"/>
    <w:rsid w:val="00715E76"/>
    <w:rsid w:val="007161EB"/>
    <w:rsid w:val="00716958"/>
    <w:rsid w:val="00716A62"/>
    <w:rsid w:val="00717367"/>
    <w:rsid w:val="00717439"/>
    <w:rsid w:val="00720065"/>
    <w:rsid w:val="00720148"/>
    <w:rsid w:val="007215A1"/>
    <w:rsid w:val="007220F7"/>
    <w:rsid w:val="0072503F"/>
    <w:rsid w:val="007260C1"/>
    <w:rsid w:val="00726EA5"/>
    <w:rsid w:val="00727901"/>
    <w:rsid w:val="00731025"/>
    <w:rsid w:val="007320FA"/>
    <w:rsid w:val="00732158"/>
    <w:rsid w:val="00736DB5"/>
    <w:rsid w:val="00741E4B"/>
    <w:rsid w:val="0074312E"/>
    <w:rsid w:val="0074380A"/>
    <w:rsid w:val="00745902"/>
    <w:rsid w:val="00745AFE"/>
    <w:rsid w:val="00747817"/>
    <w:rsid w:val="00747935"/>
    <w:rsid w:val="00747C60"/>
    <w:rsid w:val="00750D1C"/>
    <w:rsid w:val="00752A54"/>
    <w:rsid w:val="00755D06"/>
    <w:rsid w:val="00755F22"/>
    <w:rsid w:val="007561E6"/>
    <w:rsid w:val="00756E4A"/>
    <w:rsid w:val="00757C13"/>
    <w:rsid w:val="00762CCC"/>
    <w:rsid w:val="00765DF1"/>
    <w:rsid w:val="00767404"/>
    <w:rsid w:val="00767695"/>
    <w:rsid w:val="00770091"/>
    <w:rsid w:val="00771C80"/>
    <w:rsid w:val="00775071"/>
    <w:rsid w:val="00776C49"/>
    <w:rsid w:val="0077781B"/>
    <w:rsid w:val="00777906"/>
    <w:rsid w:val="0078099C"/>
    <w:rsid w:val="0078222D"/>
    <w:rsid w:val="00782753"/>
    <w:rsid w:val="00783CBF"/>
    <w:rsid w:val="0078629D"/>
    <w:rsid w:val="00787279"/>
    <w:rsid w:val="007902D9"/>
    <w:rsid w:val="00790F90"/>
    <w:rsid w:val="00792464"/>
    <w:rsid w:val="00792DF0"/>
    <w:rsid w:val="007935C6"/>
    <w:rsid w:val="00794847"/>
    <w:rsid w:val="007967F0"/>
    <w:rsid w:val="00797325"/>
    <w:rsid w:val="007976CE"/>
    <w:rsid w:val="007A0230"/>
    <w:rsid w:val="007A0452"/>
    <w:rsid w:val="007A0648"/>
    <w:rsid w:val="007A0675"/>
    <w:rsid w:val="007A13B7"/>
    <w:rsid w:val="007A1E3C"/>
    <w:rsid w:val="007A5BC2"/>
    <w:rsid w:val="007A743B"/>
    <w:rsid w:val="007B031A"/>
    <w:rsid w:val="007B15D4"/>
    <w:rsid w:val="007B41A0"/>
    <w:rsid w:val="007B4447"/>
    <w:rsid w:val="007B47C1"/>
    <w:rsid w:val="007B4D6C"/>
    <w:rsid w:val="007B6DF7"/>
    <w:rsid w:val="007C0ADB"/>
    <w:rsid w:val="007C0E69"/>
    <w:rsid w:val="007C3B3A"/>
    <w:rsid w:val="007C3C93"/>
    <w:rsid w:val="007C494D"/>
    <w:rsid w:val="007C5468"/>
    <w:rsid w:val="007C5974"/>
    <w:rsid w:val="007C71E7"/>
    <w:rsid w:val="007C7E98"/>
    <w:rsid w:val="007D0729"/>
    <w:rsid w:val="007D188D"/>
    <w:rsid w:val="007D19C0"/>
    <w:rsid w:val="007D27DB"/>
    <w:rsid w:val="007D3559"/>
    <w:rsid w:val="007D4D87"/>
    <w:rsid w:val="007D535B"/>
    <w:rsid w:val="007D67C2"/>
    <w:rsid w:val="007D6ACF"/>
    <w:rsid w:val="007D787B"/>
    <w:rsid w:val="007E4367"/>
    <w:rsid w:val="007E5147"/>
    <w:rsid w:val="007E6241"/>
    <w:rsid w:val="007E667C"/>
    <w:rsid w:val="007E6A42"/>
    <w:rsid w:val="007E71DB"/>
    <w:rsid w:val="007E7268"/>
    <w:rsid w:val="007E72D2"/>
    <w:rsid w:val="007F02A8"/>
    <w:rsid w:val="007F56C2"/>
    <w:rsid w:val="007F714B"/>
    <w:rsid w:val="008001C2"/>
    <w:rsid w:val="00800265"/>
    <w:rsid w:val="0080084A"/>
    <w:rsid w:val="00801F3F"/>
    <w:rsid w:val="00807254"/>
    <w:rsid w:val="008108D5"/>
    <w:rsid w:val="00810E57"/>
    <w:rsid w:val="00811D2E"/>
    <w:rsid w:val="008121E5"/>
    <w:rsid w:val="00812736"/>
    <w:rsid w:val="00813DC0"/>
    <w:rsid w:val="00814E6E"/>
    <w:rsid w:val="00815399"/>
    <w:rsid w:val="0081547C"/>
    <w:rsid w:val="0081587F"/>
    <w:rsid w:val="00817862"/>
    <w:rsid w:val="008178F6"/>
    <w:rsid w:val="0082095C"/>
    <w:rsid w:val="00820E17"/>
    <w:rsid w:val="00823AF0"/>
    <w:rsid w:val="008243DB"/>
    <w:rsid w:val="008308EB"/>
    <w:rsid w:val="00830985"/>
    <w:rsid w:val="00830D21"/>
    <w:rsid w:val="008314D4"/>
    <w:rsid w:val="00833848"/>
    <w:rsid w:val="00833C45"/>
    <w:rsid w:val="0083486E"/>
    <w:rsid w:val="00835EF6"/>
    <w:rsid w:val="0083603F"/>
    <w:rsid w:val="00837E11"/>
    <w:rsid w:val="008408F4"/>
    <w:rsid w:val="00841624"/>
    <w:rsid w:val="0084368D"/>
    <w:rsid w:val="00844333"/>
    <w:rsid w:val="00844EC4"/>
    <w:rsid w:val="00845D0E"/>
    <w:rsid w:val="008471A6"/>
    <w:rsid w:val="00847549"/>
    <w:rsid w:val="00847764"/>
    <w:rsid w:val="00847965"/>
    <w:rsid w:val="00847A10"/>
    <w:rsid w:val="00847E3A"/>
    <w:rsid w:val="008531D7"/>
    <w:rsid w:val="00853B7E"/>
    <w:rsid w:val="00854BF3"/>
    <w:rsid w:val="0085509C"/>
    <w:rsid w:val="00855258"/>
    <w:rsid w:val="00855797"/>
    <w:rsid w:val="008558A0"/>
    <w:rsid w:val="008573AA"/>
    <w:rsid w:val="00857AA8"/>
    <w:rsid w:val="00861CB8"/>
    <w:rsid w:val="0086269D"/>
    <w:rsid w:val="0086313B"/>
    <w:rsid w:val="008631FA"/>
    <w:rsid w:val="008638AC"/>
    <w:rsid w:val="00864405"/>
    <w:rsid w:val="00865A8A"/>
    <w:rsid w:val="008665A1"/>
    <w:rsid w:val="008706AD"/>
    <w:rsid w:val="008738CC"/>
    <w:rsid w:val="00874E61"/>
    <w:rsid w:val="00874F96"/>
    <w:rsid w:val="0087595B"/>
    <w:rsid w:val="00876A7E"/>
    <w:rsid w:val="00876D91"/>
    <w:rsid w:val="00877C62"/>
    <w:rsid w:val="008801EA"/>
    <w:rsid w:val="008804AF"/>
    <w:rsid w:val="00882D54"/>
    <w:rsid w:val="0088321C"/>
    <w:rsid w:val="008832AF"/>
    <w:rsid w:val="008838ED"/>
    <w:rsid w:val="008850A7"/>
    <w:rsid w:val="008858FD"/>
    <w:rsid w:val="008869AF"/>
    <w:rsid w:val="00886C36"/>
    <w:rsid w:val="00886E01"/>
    <w:rsid w:val="00887988"/>
    <w:rsid w:val="0089133B"/>
    <w:rsid w:val="00891BAD"/>
    <w:rsid w:val="00891D0F"/>
    <w:rsid w:val="00892630"/>
    <w:rsid w:val="0089337C"/>
    <w:rsid w:val="00894755"/>
    <w:rsid w:val="0089574E"/>
    <w:rsid w:val="0089742A"/>
    <w:rsid w:val="00897E79"/>
    <w:rsid w:val="008A130B"/>
    <w:rsid w:val="008A1FE7"/>
    <w:rsid w:val="008A20F7"/>
    <w:rsid w:val="008A21B9"/>
    <w:rsid w:val="008A2D2B"/>
    <w:rsid w:val="008A2FEA"/>
    <w:rsid w:val="008A34BD"/>
    <w:rsid w:val="008A5F35"/>
    <w:rsid w:val="008A61DE"/>
    <w:rsid w:val="008A6FE4"/>
    <w:rsid w:val="008B0E30"/>
    <w:rsid w:val="008B10FF"/>
    <w:rsid w:val="008B1B32"/>
    <w:rsid w:val="008B2D43"/>
    <w:rsid w:val="008B45C9"/>
    <w:rsid w:val="008B506E"/>
    <w:rsid w:val="008B5ADE"/>
    <w:rsid w:val="008B5B95"/>
    <w:rsid w:val="008B73D6"/>
    <w:rsid w:val="008B7839"/>
    <w:rsid w:val="008C28DE"/>
    <w:rsid w:val="008C2B0F"/>
    <w:rsid w:val="008C2E5F"/>
    <w:rsid w:val="008C2EC3"/>
    <w:rsid w:val="008C306C"/>
    <w:rsid w:val="008C5017"/>
    <w:rsid w:val="008C514D"/>
    <w:rsid w:val="008C58C4"/>
    <w:rsid w:val="008C6183"/>
    <w:rsid w:val="008C686A"/>
    <w:rsid w:val="008C7A73"/>
    <w:rsid w:val="008C7C1C"/>
    <w:rsid w:val="008C7FFA"/>
    <w:rsid w:val="008D0A8A"/>
    <w:rsid w:val="008D1C2E"/>
    <w:rsid w:val="008D3710"/>
    <w:rsid w:val="008D4055"/>
    <w:rsid w:val="008D4696"/>
    <w:rsid w:val="008E0FF2"/>
    <w:rsid w:val="008E32A4"/>
    <w:rsid w:val="008E42E4"/>
    <w:rsid w:val="008E54DC"/>
    <w:rsid w:val="008E6B20"/>
    <w:rsid w:val="008F0583"/>
    <w:rsid w:val="008F17D0"/>
    <w:rsid w:val="008F18E3"/>
    <w:rsid w:val="008F3E39"/>
    <w:rsid w:val="008F42D6"/>
    <w:rsid w:val="008F5661"/>
    <w:rsid w:val="008F5CE9"/>
    <w:rsid w:val="008F6655"/>
    <w:rsid w:val="008F6819"/>
    <w:rsid w:val="008F6F1F"/>
    <w:rsid w:val="009002C7"/>
    <w:rsid w:val="00900F2E"/>
    <w:rsid w:val="0090172C"/>
    <w:rsid w:val="00901D82"/>
    <w:rsid w:val="009035CB"/>
    <w:rsid w:val="0090488B"/>
    <w:rsid w:val="00904BC1"/>
    <w:rsid w:val="00905DAD"/>
    <w:rsid w:val="00911D24"/>
    <w:rsid w:val="0091235B"/>
    <w:rsid w:val="00913B62"/>
    <w:rsid w:val="0091756D"/>
    <w:rsid w:val="00920C61"/>
    <w:rsid w:val="009213E3"/>
    <w:rsid w:val="00921725"/>
    <w:rsid w:val="0092194E"/>
    <w:rsid w:val="00921AD1"/>
    <w:rsid w:val="00922AEC"/>
    <w:rsid w:val="00924013"/>
    <w:rsid w:val="00926462"/>
    <w:rsid w:val="009310E4"/>
    <w:rsid w:val="009336F2"/>
    <w:rsid w:val="00933CB5"/>
    <w:rsid w:val="009362F2"/>
    <w:rsid w:val="00936FA2"/>
    <w:rsid w:val="00937FB3"/>
    <w:rsid w:val="00940E1A"/>
    <w:rsid w:val="009431B6"/>
    <w:rsid w:val="00944703"/>
    <w:rsid w:val="00945D87"/>
    <w:rsid w:val="00950223"/>
    <w:rsid w:val="00951091"/>
    <w:rsid w:val="009514B8"/>
    <w:rsid w:val="00954A41"/>
    <w:rsid w:val="00954B7A"/>
    <w:rsid w:val="00954FBA"/>
    <w:rsid w:val="00956163"/>
    <w:rsid w:val="00956476"/>
    <w:rsid w:val="0095689E"/>
    <w:rsid w:val="00956D9B"/>
    <w:rsid w:val="00957918"/>
    <w:rsid w:val="00960B83"/>
    <w:rsid w:val="00960E3F"/>
    <w:rsid w:val="00962075"/>
    <w:rsid w:val="009622C5"/>
    <w:rsid w:val="00964936"/>
    <w:rsid w:val="00965014"/>
    <w:rsid w:val="00965CC5"/>
    <w:rsid w:val="009662B2"/>
    <w:rsid w:val="009665E0"/>
    <w:rsid w:val="00966D4F"/>
    <w:rsid w:val="009715F3"/>
    <w:rsid w:val="009726B9"/>
    <w:rsid w:val="009732CC"/>
    <w:rsid w:val="00973D80"/>
    <w:rsid w:val="009743A8"/>
    <w:rsid w:val="00975948"/>
    <w:rsid w:val="00975B47"/>
    <w:rsid w:val="00975C84"/>
    <w:rsid w:val="00975EC5"/>
    <w:rsid w:val="0097630F"/>
    <w:rsid w:val="00976602"/>
    <w:rsid w:val="009779FE"/>
    <w:rsid w:val="009826E6"/>
    <w:rsid w:val="00983989"/>
    <w:rsid w:val="00983BA2"/>
    <w:rsid w:val="00984405"/>
    <w:rsid w:val="009854ED"/>
    <w:rsid w:val="0098674F"/>
    <w:rsid w:val="00990207"/>
    <w:rsid w:val="00991265"/>
    <w:rsid w:val="00995F18"/>
    <w:rsid w:val="0099693C"/>
    <w:rsid w:val="009A2D7B"/>
    <w:rsid w:val="009A4968"/>
    <w:rsid w:val="009A4C06"/>
    <w:rsid w:val="009A5101"/>
    <w:rsid w:val="009A51FE"/>
    <w:rsid w:val="009B0A5F"/>
    <w:rsid w:val="009B0B23"/>
    <w:rsid w:val="009B19DB"/>
    <w:rsid w:val="009B24AC"/>
    <w:rsid w:val="009B2820"/>
    <w:rsid w:val="009B357C"/>
    <w:rsid w:val="009B3E4F"/>
    <w:rsid w:val="009B4103"/>
    <w:rsid w:val="009B559B"/>
    <w:rsid w:val="009B79A0"/>
    <w:rsid w:val="009B7A07"/>
    <w:rsid w:val="009C00A8"/>
    <w:rsid w:val="009C131A"/>
    <w:rsid w:val="009C34C4"/>
    <w:rsid w:val="009C5C4E"/>
    <w:rsid w:val="009D090E"/>
    <w:rsid w:val="009D24F2"/>
    <w:rsid w:val="009D32FD"/>
    <w:rsid w:val="009D667E"/>
    <w:rsid w:val="009D7C0F"/>
    <w:rsid w:val="009D7E0C"/>
    <w:rsid w:val="009E0390"/>
    <w:rsid w:val="009E1320"/>
    <w:rsid w:val="009E1BE0"/>
    <w:rsid w:val="009E1D32"/>
    <w:rsid w:val="009E277C"/>
    <w:rsid w:val="009E282F"/>
    <w:rsid w:val="009E3007"/>
    <w:rsid w:val="009E35AF"/>
    <w:rsid w:val="009E394E"/>
    <w:rsid w:val="009E4B59"/>
    <w:rsid w:val="009E5174"/>
    <w:rsid w:val="009E5508"/>
    <w:rsid w:val="009E607F"/>
    <w:rsid w:val="009E6476"/>
    <w:rsid w:val="009E7CAE"/>
    <w:rsid w:val="009F05DE"/>
    <w:rsid w:val="009F0E57"/>
    <w:rsid w:val="009F1172"/>
    <w:rsid w:val="009F120B"/>
    <w:rsid w:val="009F1A45"/>
    <w:rsid w:val="009F2B2C"/>
    <w:rsid w:val="009F2DCE"/>
    <w:rsid w:val="009F40A6"/>
    <w:rsid w:val="009F42C7"/>
    <w:rsid w:val="00A012B0"/>
    <w:rsid w:val="00A03875"/>
    <w:rsid w:val="00A03C15"/>
    <w:rsid w:val="00A03F24"/>
    <w:rsid w:val="00A049EA"/>
    <w:rsid w:val="00A04E85"/>
    <w:rsid w:val="00A04F64"/>
    <w:rsid w:val="00A055C6"/>
    <w:rsid w:val="00A111DB"/>
    <w:rsid w:val="00A12C77"/>
    <w:rsid w:val="00A12D74"/>
    <w:rsid w:val="00A137BF"/>
    <w:rsid w:val="00A14C56"/>
    <w:rsid w:val="00A14CB5"/>
    <w:rsid w:val="00A15399"/>
    <w:rsid w:val="00A21CBD"/>
    <w:rsid w:val="00A2224C"/>
    <w:rsid w:val="00A2249E"/>
    <w:rsid w:val="00A2578D"/>
    <w:rsid w:val="00A257FA"/>
    <w:rsid w:val="00A3043D"/>
    <w:rsid w:val="00A340F5"/>
    <w:rsid w:val="00A34714"/>
    <w:rsid w:val="00A358AC"/>
    <w:rsid w:val="00A35E6C"/>
    <w:rsid w:val="00A36C37"/>
    <w:rsid w:val="00A40E0E"/>
    <w:rsid w:val="00A41AEC"/>
    <w:rsid w:val="00A43450"/>
    <w:rsid w:val="00A45F08"/>
    <w:rsid w:val="00A4637D"/>
    <w:rsid w:val="00A5011E"/>
    <w:rsid w:val="00A50FD2"/>
    <w:rsid w:val="00A51314"/>
    <w:rsid w:val="00A52302"/>
    <w:rsid w:val="00A5371B"/>
    <w:rsid w:val="00A538B6"/>
    <w:rsid w:val="00A54586"/>
    <w:rsid w:val="00A5582A"/>
    <w:rsid w:val="00A5727D"/>
    <w:rsid w:val="00A57B1D"/>
    <w:rsid w:val="00A600C3"/>
    <w:rsid w:val="00A624BF"/>
    <w:rsid w:val="00A62BD1"/>
    <w:rsid w:val="00A65326"/>
    <w:rsid w:val="00A65C20"/>
    <w:rsid w:val="00A65CDD"/>
    <w:rsid w:val="00A65E27"/>
    <w:rsid w:val="00A66FD1"/>
    <w:rsid w:val="00A67344"/>
    <w:rsid w:val="00A705D8"/>
    <w:rsid w:val="00A709A8"/>
    <w:rsid w:val="00A70EB8"/>
    <w:rsid w:val="00A71D8D"/>
    <w:rsid w:val="00A729EC"/>
    <w:rsid w:val="00A740FD"/>
    <w:rsid w:val="00A763C6"/>
    <w:rsid w:val="00A765B2"/>
    <w:rsid w:val="00A77BF3"/>
    <w:rsid w:val="00A80ED8"/>
    <w:rsid w:val="00A829F1"/>
    <w:rsid w:val="00A83229"/>
    <w:rsid w:val="00A83DB4"/>
    <w:rsid w:val="00A83E38"/>
    <w:rsid w:val="00A83E9C"/>
    <w:rsid w:val="00A90C90"/>
    <w:rsid w:val="00A93309"/>
    <w:rsid w:val="00A95D5E"/>
    <w:rsid w:val="00A976DD"/>
    <w:rsid w:val="00A977F3"/>
    <w:rsid w:val="00AA4F7E"/>
    <w:rsid w:val="00AB0223"/>
    <w:rsid w:val="00AB13A7"/>
    <w:rsid w:val="00AB15E8"/>
    <w:rsid w:val="00AB275C"/>
    <w:rsid w:val="00AB2BD0"/>
    <w:rsid w:val="00AB3AE7"/>
    <w:rsid w:val="00AB611B"/>
    <w:rsid w:val="00AB61F2"/>
    <w:rsid w:val="00AB79C4"/>
    <w:rsid w:val="00AC1A9C"/>
    <w:rsid w:val="00AC2AE8"/>
    <w:rsid w:val="00AC3514"/>
    <w:rsid w:val="00AC3D02"/>
    <w:rsid w:val="00AC435A"/>
    <w:rsid w:val="00AC4FD6"/>
    <w:rsid w:val="00AC7757"/>
    <w:rsid w:val="00AD0A5C"/>
    <w:rsid w:val="00AD157F"/>
    <w:rsid w:val="00AD4627"/>
    <w:rsid w:val="00AD5893"/>
    <w:rsid w:val="00AD5F71"/>
    <w:rsid w:val="00AD7CD3"/>
    <w:rsid w:val="00AE0E53"/>
    <w:rsid w:val="00AE1200"/>
    <w:rsid w:val="00AE2EFE"/>
    <w:rsid w:val="00AE3FA1"/>
    <w:rsid w:val="00AE4194"/>
    <w:rsid w:val="00AE5272"/>
    <w:rsid w:val="00AE5B88"/>
    <w:rsid w:val="00AE6D5C"/>
    <w:rsid w:val="00AE754C"/>
    <w:rsid w:val="00AF0C15"/>
    <w:rsid w:val="00AF0E31"/>
    <w:rsid w:val="00AF10CA"/>
    <w:rsid w:val="00AF3938"/>
    <w:rsid w:val="00AF5FC4"/>
    <w:rsid w:val="00B00CB4"/>
    <w:rsid w:val="00B02D85"/>
    <w:rsid w:val="00B02DA4"/>
    <w:rsid w:val="00B04337"/>
    <w:rsid w:val="00B076D0"/>
    <w:rsid w:val="00B07C15"/>
    <w:rsid w:val="00B106E5"/>
    <w:rsid w:val="00B10A02"/>
    <w:rsid w:val="00B12BE8"/>
    <w:rsid w:val="00B13699"/>
    <w:rsid w:val="00B13C2F"/>
    <w:rsid w:val="00B14A17"/>
    <w:rsid w:val="00B15C63"/>
    <w:rsid w:val="00B21445"/>
    <w:rsid w:val="00B22355"/>
    <w:rsid w:val="00B24712"/>
    <w:rsid w:val="00B247AD"/>
    <w:rsid w:val="00B24842"/>
    <w:rsid w:val="00B25C0D"/>
    <w:rsid w:val="00B26178"/>
    <w:rsid w:val="00B269C5"/>
    <w:rsid w:val="00B26EA5"/>
    <w:rsid w:val="00B2773D"/>
    <w:rsid w:val="00B306F7"/>
    <w:rsid w:val="00B30ACD"/>
    <w:rsid w:val="00B31D73"/>
    <w:rsid w:val="00B3453E"/>
    <w:rsid w:val="00B35892"/>
    <w:rsid w:val="00B36F61"/>
    <w:rsid w:val="00B40086"/>
    <w:rsid w:val="00B4245A"/>
    <w:rsid w:val="00B42691"/>
    <w:rsid w:val="00B436D6"/>
    <w:rsid w:val="00B43812"/>
    <w:rsid w:val="00B444A1"/>
    <w:rsid w:val="00B4492D"/>
    <w:rsid w:val="00B458EA"/>
    <w:rsid w:val="00B471BB"/>
    <w:rsid w:val="00B50EBA"/>
    <w:rsid w:val="00B5227C"/>
    <w:rsid w:val="00B56D17"/>
    <w:rsid w:val="00B60E52"/>
    <w:rsid w:val="00B62139"/>
    <w:rsid w:val="00B63093"/>
    <w:rsid w:val="00B637A7"/>
    <w:rsid w:val="00B645CB"/>
    <w:rsid w:val="00B64EAD"/>
    <w:rsid w:val="00B667CC"/>
    <w:rsid w:val="00B67DB2"/>
    <w:rsid w:val="00B70022"/>
    <w:rsid w:val="00B70142"/>
    <w:rsid w:val="00B7052F"/>
    <w:rsid w:val="00B725C0"/>
    <w:rsid w:val="00B72975"/>
    <w:rsid w:val="00B72BCA"/>
    <w:rsid w:val="00B7346C"/>
    <w:rsid w:val="00B744E1"/>
    <w:rsid w:val="00B74933"/>
    <w:rsid w:val="00B74B77"/>
    <w:rsid w:val="00B76E16"/>
    <w:rsid w:val="00B7765E"/>
    <w:rsid w:val="00B7773C"/>
    <w:rsid w:val="00B82462"/>
    <w:rsid w:val="00B8487D"/>
    <w:rsid w:val="00B849C8"/>
    <w:rsid w:val="00B85649"/>
    <w:rsid w:val="00B85E83"/>
    <w:rsid w:val="00B8771F"/>
    <w:rsid w:val="00B90FF8"/>
    <w:rsid w:val="00B92DE8"/>
    <w:rsid w:val="00B94835"/>
    <w:rsid w:val="00B948C4"/>
    <w:rsid w:val="00B95BC2"/>
    <w:rsid w:val="00BA11A5"/>
    <w:rsid w:val="00BA1D5E"/>
    <w:rsid w:val="00BA1E1D"/>
    <w:rsid w:val="00BA207D"/>
    <w:rsid w:val="00BA211C"/>
    <w:rsid w:val="00BA226F"/>
    <w:rsid w:val="00BA3EC6"/>
    <w:rsid w:val="00BA4942"/>
    <w:rsid w:val="00BA52C9"/>
    <w:rsid w:val="00BA7F16"/>
    <w:rsid w:val="00BB2456"/>
    <w:rsid w:val="00BB27E4"/>
    <w:rsid w:val="00BB59AE"/>
    <w:rsid w:val="00BB6754"/>
    <w:rsid w:val="00BB7FE2"/>
    <w:rsid w:val="00BC09DA"/>
    <w:rsid w:val="00BC28AB"/>
    <w:rsid w:val="00BC411D"/>
    <w:rsid w:val="00BC4C63"/>
    <w:rsid w:val="00BC50BF"/>
    <w:rsid w:val="00BC59B9"/>
    <w:rsid w:val="00BC6E30"/>
    <w:rsid w:val="00BD0FEC"/>
    <w:rsid w:val="00BD1A42"/>
    <w:rsid w:val="00BD1B26"/>
    <w:rsid w:val="00BD2A35"/>
    <w:rsid w:val="00BD48D1"/>
    <w:rsid w:val="00BD5826"/>
    <w:rsid w:val="00BD5BC5"/>
    <w:rsid w:val="00BD5F36"/>
    <w:rsid w:val="00BD632C"/>
    <w:rsid w:val="00BD7038"/>
    <w:rsid w:val="00BE05B7"/>
    <w:rsid w:val="00BE08FC"/>
    <w:rsid w:val="00BE0CB1"/>
    <w:rsid w:val="00BE1366"/>
    <w:rsid w:val="00BE422C"/>
    <w:rsid w:val="00BE44F6"/>
    <w:rsid w:val="00BE5AEE"/>
    <w:rsid w:val="00BE5DFC"/>
    <w:rsid w:val="00BE5FB7"/>
    <w:rsid w:val="00BE6B59"/>
    <w:rsid w:val="00BF0EFA"/>
    <w:rsid w:val="00BF2881"/>
    <w:rsid w:val="00BF32DA"/>
    <w:rsid w:val="00BF3542"/>
    <w:rsid w:val="00BF393A"/>
    <w:rsid w:val="00BF4D31"/>
    <w:rsid w:val="00BF5B13"/>
    <w:rsid w:val="00C00822"/>
    <w:rsid w:val="00C00F35"/>
    <w:rsid w:val="00C01629"/>
    <w:rsid w:val="00C033CB"/>
    <w:rsid w:val="00C0356B"/>
    <w:rsid w:val="00C0425D"/>
    <w:rsid w:val="00C043E3"/>
    <w:rsid w:val="00C04654"/>
    <w:rsid w:val="00C05176"/>
    <w:rsid w:val="00C054B9"/>
    <w:rsid w:val="00C074A3"/>
    <w:rsid w:val="00C07D3C"/>
    <w:rsid w:val="00C12222"/>
    <w:rsid w:val="00C13C6A"/>
    <w:rsid w:val="00C13FDB"/>
    <w:rsid w:val="00C141AB"/>
    <w:rsid w:val="00C15851"/>
    <w:rsid w:val="00C167A3"/>
    <w:rsid w:val="00C17455"/>
    <w:rsid w:val="00C17944"/>
    <w:rsid w:val="00C20D0A"/>
    <w:rsid w:val="00C215F8"/>
    <w:rsid w:val="00C26D0F"/>
    <w:rsid w:val="00C3041C"/>
    <w:rsid w:val="00C30913"/>
    <w:rsid w:val="00C32230"/>
    <w:rsid w:val="00C323C3"/>
    <w:rsid w:val="00C333EB"/>
    <w:rsid w:val="00C33FA4"/>
    <w:rsid w:val="00C409C2"/>
    <w:rsid w:val="00C41969"/>
    <w:rsid w:val="00C42C81"/>
    <w:rsid w:val="00C43335"/>
    <w:rsid w:val="00C438B1"/>
    <w:rsid w:val="00C43ACB"/>
    <w:rsid w:val="00C43E5E"/>
    <w:rsid w:val="00C44E90"/>
    <w:rsid w:val="00C478F6"/>
    <w:rsid w:val="00C47C1D"/>
    <w:rsid w:val="00C510D1"/>
    <w:rsid w:val="00C52A33"/>
    <w:rsid w:val="00C543DA"/>
    <w:rsid w:val="00C54FEB"/>
    <w:rsid w:val="00C5528C"/>
    <w:rsid w:val="00C60974"/>
    <w:rsid w:val="00C63CFB"/>
    <w:rsid w:val="00C651DF"/>
    <w:rsid w:val="00C659EF"/>
    <w:rsid w:val="00C66FC0"/>
    <w:rsid w:val="00C67D07"/>
    <w:rsid w:val="00C70978"/>
    <w:rsid w:val="00C713FD"/>
    <w:rsid w:val="00C72B32"/>
    <w:rsid w:val="00C72B9F"/>
    <w:rsid w:val="00C73103"/>
    <w:rsid w:val="00C73C3E"/>
    <w:rsid w:val="00C73DF2"/>
    <w:rsid w:val="00C74DD3"/>
    <w:rsid w:val="00C76FA4"/>
    <w:rsid w:val="00C776C6"/>
    <w:rsid w:val="00C805D7"/>
    <w:rsid w:val="00C8324F"/>
    <w:rsid w:val="00C83D59"/>
    <w:rsid w:val="00C86CDD"/>
    <w:rsid w:val="00C92F0D"/>
    <w:rsid w:val="00C9352F"/>
    <w:rsid w:val="00C93AA6"/>
    <w:rsid w:val="00C9450D"/>
    <w:rsid w:val="00C95128"/>
    <w:rsid w:val="00C95175"/>
    <w:rsid w:val="00C96171"/>
    <w:rsid w:val="00C963B6"/>
    <w:rsid w:val="00C974BB"/>
    <w:rsid w:val="00C97906"/>
    <w:rsid w:val="00C97EB1"/>
    <w:rsid w:val="00CA07D0"/>
    <w:rsid w:val="00CA18D1"/>
    <w:rsid w:val="00CA1CC2"/>
    <w:rsid w:val="00CA28CC"/>
    <w:rsid w:val="00CA2AE6"/>
    <w:rsid w:val="00CA2C23"/>
    <w:rsid w:val="00CA36F1"/>
    <w:rsid w:val="00CA5431"/>
    <w:rsid w:val="00CA5501"/>
    <w:rsid w:val="00CA60A7"/>
    <w:rsid w:val="00CA72EC"/>
    <w:rsid w:val="00CB17DC"/>
    <w:rsid w:val="00CB206E"/>
    <w:rsid w:val="00CB2640"/>
    <w:rsid w:val="00CB53A1"/>
    <w:rsid w:val="00CB6333"/>
    <w:rsid w:val="00CB7025"/>
    <w:rsid w:val="00CB726A"/>
    <w:rsid w:val="00CC0476"/>
    <w:rsid w:val="00CC08E3"/>
    <w:rsid w:val="00CC13F1"/>
    <w:rsid w:val="00CC4191"/>
    <w:rsid w:val="00CC523E"/>
    <w:rsid w:val="00CC5A74"/>
    <w:rsid w:val="00CC6D11"/>
    <w:rsid w:val="00CC6E21"/>
    <w:rsid w:val="00CD0CED"/>
    <w:rsid w:val="00CD1367"/>
    <w:rsid w:val="00CD34DC"/>
    <w:rsid w:val="00CD5390"/>
    <w:rsid w:val="00CD678F"/>
    <w:rsid w:val="00CE0706"/>
    <w:rsid w:val="00CE48B5"/>
    <w:rsid w:val="00CE4B6F"/>
    <w:rsid w:val="00CE4F0F"/>
    <w:rsid w:val="00CE59DD"/>
    <w:rsid w:val="00CE7EC6"/>
    <w:rsid w:val="00CE7F5C"/>
    <w:rsid w:val="00CF00E3"/>
    <w:rsid w:val="00CF013B"/>
    <w:rsid w:val="00CF0911"/>
    <w:rsid w:val="00CF125F"/>
    <w:rsid w:val="00CF1BD9"/>
    <w:rsid w:val="00CF3FDC"/>
    <w:rsid w:val="00CF4C04"/>
    <w:rsid w:val="00CF4C7C"/>
    <w:rsid w:val="00CF4C9F"/>
    <w:rsid w:val="00CF5E8E"/>
    <w:rsid w:val="00D00A6F"/>
    <w:rsid w:val="00D0113F"/>
    <w:rsid w:val="00D020FB"/>
    <w:rsid w:val="00D04B9A"/>
    <w:rsid w:val="00D052C9"/>
    <w:rsid w:val="00D0550D"/>
    <w:rsid w:val="00D07609"/>
    <w:rsid w:val="00D13480"/>
    <w:rsid w:val="00D14C51"/>
    <w:rsid w:val="00D17C08"/>
    <w:rsid w:val="00D216E7"/>
    <w:rsid w:val="00D22C07"/>
    <w:rsid w:val="00D2309B"/>
    <w:rsid w:val="00D257D1"/>
    <w:rsid w:val="00D2638B"/>
    <w:rsid w:val="00D26642"/>
    <w:rsid w:val="00D26FB0"/>
    <w:rsid w:val="00D332B5"/>
    <w:rsid w:val="00D33771"/>
    <w:rsid w:val="00D33DDF"/>
    <w:rsid w:val="00D3419F"/>
    <w:rsid w:val="00D34748"/>
    <w:rsid w:val="00D34E4B"/>
    <w:rsid w:val="00D36674"/>
    <w:rsid w:val="00D37A0B"/>
    <w:rsid w:val="00D404D1"/>
    <w:rsid w:val="00D40605"/>
    <w:rsid w:val="00D43443"/>
    <w:rsid w:val="00D436A8"/>
    <w:rsid w:val="00D43AE0"/>
    <w:rsid w:val="00D44C7E"/>
    <w:rsid w:val="00D50D78"/>
    <w:rsid w:val="00D51AB0"/>
    <w:rsid w:val="00D51D4D"/>
    <w:rsid w:val="00D51F50"/>
    <w:rsid w:val="00D52CB5"/>
    <w:rsid w:val="00D5335F"/>
    <w:rsid w:val="00D5548A"/>
    <w:rsid w:val="00D56323"/>
    <w:rsid w:val="00D61AE6"/>
    <w:rsid w:val="00D648F1"/>
    <w:rsid w:val="00D64A6A"/>
    <w:rsid w:val="00D659C0"/>
    <w:rsid w:val="00D66777"/>
    <w:rsid w:val="00D66CE1"/>
    <w:rsid w:val="00D67C5D"/>
    <w:rsid w:val="00D701E3"/>
    <w:rsid w:val="00D70316"/>
    <w:rsid w:val="00D70455"/>
    <w:rsid w:val="00D708A9"/>
    <w:rsid w:val="00D70F9D"/>
    <w:rsid w:val="00D75DCF"/>
    <w:rsid w:val="00D762DD"/>
    <w:rsid w:val="00D8026A"/>
    <w:rsid w:val="00D831E5"/>
    <w:rsid w:val="00D83E9B"/>
    <w:rsid w:val="00D84128"/>
    <w:rsid w:val="00D84881"/>
    <w:rsid w:val="00D86F73"/>
    <w:rsid w:val="00D8787A"/>
    <w:rsid w:val="00D9054F"/>
    <w:rsid w:val="00D9109E"/>
    <w:rsid w:val="00D9372C"/>
    <w:rsid w:val="00D94030"/>
    <w:rsid w:val="00D945E1"/>
    <w:rsid w:val="00D94CB3"/>
    <w:rsid w:val="00D96385"/>
    <w:rsid w:val="00DA0642"/>
    <w:rsid w:val="00DA31CB"/>
    <w:rsid w:val="00DA37FB"/>
    <w:rsid w:val="00DA5853"/>
    <w:rsid w:val="00DA594C"/>
    <w:rsid w:val="00DA7835"/>
    <w:rsid w:val="00DA78B6"/>
    <w:rsid w:val="00DB2C42"/>
    <w:rsid w:val="00DB3403"/>
    <w:rsid w:val="00DB3A96"/>
    <w:rsid w:val="00DB6432"/>
    <w:rsid w:val="00DB70DD"/>
    <w:rsid w:val="00DB79B4"/>
    <w:rsid w:val="00DC03C4"/>
    <w:rsid w:val="00DC081B"/>
    <w:rsid w:val="00DC14C5"/>
    <w:rsid w:val="00DC1EFA"/>
    <w:rsid w:val="00DC202F"/>
    <w:rsid w:val="00DC494A"/>
    <w:rsid w:val="00DC54FF"/>
    <w:rsid w:val="00DC63EF"/>
    <w:rsid w:val="00DC7633"/>
    <w:rsid w:val="00DC7B37"/>
    <w:rsid w:val="00DD0955"/>
    <w:rsid w:val="00DD17C0"/>
    <w:rsid w:val="00DD2680"/>
    <w:rsid w:val="00DD2C79"/>
    <w:rsid w:val="00DD334F"/>
    <w:rsid w:val="00DD3F1B"/>
    <w:rsid w:val="00DD3FC9"/>
    <w:rsid w:val="00DD6969"/>
    <w:rsid w:val="00DD72A0"/>
    <w:rsid w:val="00DE2C2B"/>
    <w:rsid w:val="00DE2C77"/>
    <w:rsid w:val="00DE3664"/>
    <w:rsid w:val="00DE401D"/>
    <w:rsid w:val="00DE409E"/>
    <w:rsid w:val="00DE5A07"/>
    <w:rsid w:val="00DE5C42"/>
    <w:rsid w:val="00DE6306"/>
    <w:rsid w:val="00DE788B"/>
    <w:rsid w:val="00DF1149"/>
    <w:rsid w:val="00DF1489"/>
    <w:rsid w:val="00DF1A6B"/>
    <w:rsid w:val="00DF2215"/>
    <w:rsid w:val="00DF308A"/>
    <w:rsid w:val="00DF7E95"/>
    <w:rsid w:val="00E00C75"/>
    <w:rsid w:val="00E01300"/>
    <w:rsid w:val="00E02CF9"/>
    <w:rsid w:val="00E02E7B"/>
    <w:rsid w:val="00E02F83"/>
    <w:rsid w:val="00E043E2"/>
    <w:rsid w:val="00E04A79"/>
    <w:rsid w:val="00E06813"/>
    <w:rsid w:val="00E075A1"/>
    <w:rsid w:val="00E076B5"/>
    <w:rsid w:val="00E07E61"/>
    <w:rsid w:val="00E10220"/>
    <w:rsid w:val="00E1095B"/>
    <w:rsid w:val="00E1221E"/>
    <w:rsid w:val="00E12221"/>
    <w:rsid w:val="00E1247E"/>
    <w:rsid w:val="00E12CEE"/>
    <w:rsid w:val="00E12D3F"/>
    <w:rsid w:val="00E132E6"/>
    <w:rsid w:val="00E13A6E"/>
    <w:rsid w:val="00E141E7"/>
    <w:rsid w:val="00E15A1D"/>
    <w:rsid w:val="00E16FBB"/>
    <w:rsid w:val="00E21A1E"/>
    <w:rsid w:val="00E21B96"/>
    <w:rsid w:val="00E2588D"/>
    <w:rsid w:val="00E25DC8"/>
    <w:rsid w:val="00E26BFB"/>
    <w:rsid w:val="00E30E72"/>
    <w:rsid w:val="00E31E13"/>
    <w:rsid w:val="00E3276D"/>
    <w:rsid w:val="00E32A26"/>
    <w:rsid w:val="00E33556"/>
    <w:rsid w:val="00E33979"/>
    <w:rsid w:val="00E34E3C"/>
    <w:rsid w:val="00E360F5"/>
    <w:rsid w:val="00E36485"/>
    <w:rsid w:val="00E36551"/>
    <w:rsid w:val="00E37304"/>
    <w:rsid w:val="00E427FA"/>
    <w:rsid w:val="00E44EE8"/>
    <w:rsid w:val="00E4500C"/>
    <w:rsid w:val="00E450B7"/>
    <w:rsid w:val="00E5247B"/>
    <w:rsid w:val="00E5256D"/>
    <w:rsid w:val="00E52BB3"/>
    <w:rsid w:val="00E542B3"/>
    <w:rsid w:val="00E55550"/>
    <w:rsid w:val="00E556BB"/>
    <w:rsid w:val="00E55E4B"/>
    <w:rsid w:val="00E56A38"/>
    <w:rsid w:val="00E5706F"/>
    <w:rsid w:val="00E57608"/>
    <w:rsid w:val="00E57B57"/>
    <w:rsid w:val="00E60BB1"/>
    <w:rsid w:val="00E60C05"/>
    <w:rsid w:val="00E62DAA"/>
    <w:rsid w:val="00E63828"/>
    <w:rsid w:val="00E645CD"/>
    <w:rsid w:val="00E649E1"/>
    <w:rsid w:val="00E64D24"/>
    <w:rsid w:val="00E6616B"/>
    <w:rsid w:val="00E70301"/>
    <w:rsid w:val="00E70E86"/>
    <w:rsid w:val="00E71833"/>
    <w:rsid w:val="00E721F1"/>
    <w:rsid w:val="00E72A3A"/>
    <w:rsid w:val="00E74263"/>
    <w:rsid w:val="00E74CF8"/>
    <w:rsid w:val="00E763E0"/>
    <w:rsid w:val="00E81592"/>
    <w:rsid w:val="00E82370"/>
    <w:rsid w:val="00E833DF"/>
    <w:rsid w:val="00E83EC4"/>
    <w:rsid w:val="00E846B4"/>
    <w:rsid w:val="00E85194"/>
    <w:rsid w:val="00E85DBD"/>
    <w:rsid w:val="00E85FEF"/>
    <w:rsid w:val="00E8628E"/>
    <w:rsid w:val="00E86E52"/>
    <w:rsid w:val="00E902E8"/>
    <w:rsid w:val="00E932AD"/>
    <w:rsid w:val="00E933E8"/>
    <w:rsid w:val="00E95057"/>
    <w:rsid w:val="00E96368"/>
    <w:rsid w:val="00E96C36"/>
    <w:rsid w:val="00EA0CD7"/>
    <w:rsid w:val="00EA120C"/>
    <w:rsid w:val="00EA1DD4"/>
    <w:rsid w:val="00EA3AFA"/>
    <w:rsid w:val="00EA4A2C"/>
    <w:rsid w:val="00EA6170"/>
    <w:rsid w:val="00EA68F6"/>
    <w:rsid w:val="00EA6F3A"/>
    <w:rsid w:val="00EB0152"/>
    <w:rsid w:val="00EB07E3"/>
    <w:rsid w:val="00EB2A93"/>
    <w:rsid w:val="00EB2BF3"/>
    <w:rsid w:val="00EB35EF"/>
    <w:rsid w:val="00EB4110"/>
    <w:rsid w:val="00EB4426"/>
    <w:rsid w:val="00EB4E60"/>
    <w:rsid w:val="00EB6B09"/>
    <w:rsid w:val="00EB7D25"/>
    <w:rsid w:val="00EC1765"/>
    <w:rsid w:val="00EC2D02"/>
    <w:rsid w:val="00EC60C8"/>
    <w:rsid w:val="00EC6A43"/>
    <w:rsid w:val="00ED2A3A"/>
    <w:rsid w:val="00ED2A96"/>
    <w:rsid w:val="00ED2CE4"/>
    <w:rsid w:val="00ED4EB9"/>
    <w:rsid w:val="00ED5D4B"/>
    <w:rsid w:val="00ED62E8"/>
    <w:rsid w:val="00ED71F2"/>
    <w:rsid w:val="00ED7365"/>
    <w:rsid w:val="00ED7FF8"/>
    <w:rsid w:val="00EE1377"/>
    <w:rsid w:val="00EE396D"/>
    <w:rsid w:val="00EE438B"/>
    <w:rsid w:val="00EE5B1F"/>
    <w:rsid w:val="00EE755D"/>
    <w:rsid w:val="00EF141E"/>
    <w:rsid w:val="00EF1BFB"/>
    <w:rsid w:val="00EF28E5"/>
    <w:rsid w:val="00EF2EAF"/>
    <w:rsid w:val="00EF31CB"/>
    <w:rsid w:val="00EF3621"/>
    <w:rsid w:val="00EF4239"/>
    <w:rsid w:val="00EF6296"/>
    <w:rsid w:val="00EF6F5A"/>
    <w:rsid w:val="00EF7F9A"/>
    <w:rsid w:val="00F03235"/>
    <w:rsid w:val="00F041DC"/>
    <w:rsid w:val="00F04D60"/>
    <w:rsid w:val="00F055B3"/>
    <w:rsid w:val="00F0628A"/>
    <w:rsid w:val="00F07C93"/>
    <w:rsid w:val="00F1499F"/>
    <w:rsid w:val="00F15F8D"/>
    <w:rsid w:val="00F16D2A"/>
    <w:rsid w:val="00F20A31"/>
    <w:rsid w:val="00F218FB"/>
    <w:rsid w:val="00F21924"/>
    <w:rsid w:val="00F241EC"/>
    <w:rsid w:val="00F255CD"/>
    <w:rsid w:val="00F25DF7"/>
    <w:rsid w:val="00F30CFE"/>
    <w:rsid w:val="00F32166"/>
    <w:rsid w:val="00F3391B"/>
    <w:rsid w:val="00F3472A"/>
    <w:rsid w:val="00F34993"/>
    <w:rsid w:val="00F37A6D"/>
    <w:rsid w:val="00F41BE4"/>
    <w:rsid w:val="00F45A5B"/>
    <w:rsid w:val="00F45A77"/>
    <w:rsid w:val="00F45B35"/>
    <w:rsid w:val="00F537BD"/>
    <w:rsid w:val="00F53DAC"/>
    <w:rsid w:val="00F5428C"/>
    <w:rsid w:val="00F550C9"/>
    <w:rsid w:val="00F601D5"/>
    <w:rsid w:val="00F61B5C"/>
    <w:rsid w:val="00F62895"/>
    <w:rsid w:val="00F62A6B"/>
    <w:rsid w:val="00F631C8"/>
    <w:rsid w:val="00F638F5"/>
    <w:rsid w:val="00F63982"/>
    <w:rsid w:val="00F64925"/>
    <w:rsid w:val="00F64C6A"/>
    <w:rsid w:val="00F659A6"/>
    <w:rsid w:val="00F65CAC"/>
    <w:rsid w:val="00F66254"/>
    <w:rsid w:val="00F66C34"/>
    <w:rsid w:val="00F678F2"/>
    <w:rsid w:val="00F67BC1"/>
    <w:rsid w:val="00F70956"/>
    <w:rsid w:val="00F7217E"/>
    <w:rsid w:val="00F730EC"/>
    <w:rsid w:val="00F73FB6"/>
    <w:rsid w:val="00F743E6"/>
    <w:rsid w:val="00F74AC9"/>
    <w:rsid w:val="00F74BA9"/>
    <w:rsid w:val="00F7622D"/>
    <w:rsid w:val="00F762CF"/>
    <w:rsid w:val="00F7778F"/>
    <w:rsid w:val="00F80666"/>
    <w:rsid w:val="00F81A97"/>
    <w:rsid w:val="00F81EAA"/>
    <w:rsid w:val="00F82D01"/>
    <w:rsid w:val="00F839B2"/>
    <w:rsid w:val="00F850DE"/>
    <w:rsid w:val="00F8571C"/>
    <w:rsid w:val="00F87495"/>
    <w:rsid w:val="00F947D0"/>
    <w:rsid w:val="00F94D62"/>
    <w:rsid w:val="00F95329"/>
    <w:rsid w:val="00F9589C"/>
    <w:rsid w:val="00F963CC"/>
    <w:rsid w:val="00F97120"/>
    <w:rsid w:val="00FA0A91"/>
    <w:rsid w:val="00FA1E7B"/>
    <w:rsid w:val="00FA2843"/>
    <w:rsid w:val="00FA301C"/>
    <w:rsid w:val="00FA3C3D"/>
    <w:rsid w:val="00FA5319"/>
    <w:rsid w:val="00FA70B4"/>
    <w:rsid w:val="00FB0A8C"/>
    <w:rsid w:val="00FB1372"/>
    <w:rsid w:val="00FB14DB"/>
    <w:rsid w:val="00FB2BD6"/>
    <w:rsid w:val="00FB44E5"/>
    <w:rsid w:val="00FB55A4"/>
    <w:rsid w:val="00FB6D2F"/>
    <w:rsid w:val="00FB6F0E"/>
    <w:rsid w:val="00FC2C6D"/>
    <w:rsid w:val="00FC3D0F"/>
    <w:rsid w:val="00FC5E05"/>
    <w:rsid w:val="00FC6E7D"/>
    <w:rsid w:val="00FC757B"/>
    <w:rsid w:val="00FC76A4"/>
    <w:rsid w:val="00FC7B8D"/>
    <w:rsid w:val="00FD01E2"/>
    <w:rsid w:val="00FD06EF"/>
    <w:rsid w:val="00FD2CE7"/>
    <w:rsid w:val="00FD371B"/>
    <w:rsid w:val="00FD4D4B"/>
    <w:rsid w:val="00FE1E3E"/>
    <w:rsid w:val="00FE389F"/>
    <w:rsid w:val="00FE3B2F"/>
    <w:rsid w:val="00FE4109"/>
    <w:rsid w:val="00FE432F"/>
    <w:rsid w:val="00FE45EF"/>
    <w:rsid w:val="00FE4F04"/>
    <w:rsid w:val="00FE5390"/>
    <w:rsid w:val="00FE551B"/>
    <w:rsid w:val="00FE6A6D"/>
    <w:rsid w:val="00FE7A38"/>
    <w:rsid w:val="00FE7D3F"/>
    <w:rsid w:val="00FF0A59"/>
    <w:rsid w:val="00FF1BC6"/>
    <w:rsid w:val="00FF1E65"/>
    <w:rsid w:val="00FF2133"/>
    <w:rsid w:val="00FF3027"/>
    <w:rsid w:val="00FF3267"/>
    <w:rsid w:val="00FF4220"/>
    <w:rsid w:val="00FF4BE7"/>
    <w:rsid w:val="00FF7597"/>
    <w:rsid w:val="014B68BB"/>
    <w:rsid w:val="0189745F"/>
    <w:rsid w:val="0246107B"/>
    <w:rsid w:val="02712916"/>
    <w:rsid w:val="029D518A"/>
    <w:rsid w:val="02CD47AD"/>
    <w:rsid w:val="03031252"/>
    <w:rsid w:val="03600692"/>
    <w:rsid w:val="03BE3B85"/>
    <w:rsid w:val="0588367F"/>
    <w:rsid w:val="06E6333E"/>
    <w:rsid w:val="071B5E70"/>
    <w:rsid w:val="071C006D"/>
    <w:rsid w:val="072F4F4B"/>
    <w:rsid w:val="07CD02C0"/>
    <w:rsid w:val="09023F99"/>
    <w:rsid w:val="09153CCC"/>
    <w:rsid w:val="092D4B3A"/>
    <w:rsid w:val="09E244F6"/>
    <w:rsid w:val="0A3B3C06"/>
    <w:rsid w:val="0B0A3CE5"/>
    <w:rsid w:val="0B1F12A7"/>
    <w:rsid w:val="0B476208"/>
    <w:rsid w:val="0B867103"/>
    <w:rsid w:val="0B8E7D66"/>
    <w:rsid w:val="0DDB053A"/>
    <w:rsid w:val="0E250E55"/>
    <w:rsid w:val="0EB81A9E"/>
    <w:rsid w:val="0ECA5559"/>
    <w:rsid w:val="0ED315E3"/>
    <w:rsid w:val="0EE228DF"/>
    <w:rsid w:val="0FA83D44"/>
    <w:rsid w:val="10C20BDE"/>
    <w:rsid w:val="1199169B"/>
    <w:rsid w:val="127F4804"/>
    <w:rsid w:val="12C92657"/>
    <w:rsid w:val="13243B31"/>
    <w:rsid w:val="135E3ADF"/>
    <w:rsid w:val="143A4F2F"/>
    <w:rsid w:val="149E68BC"/>
    <w:rsid w:val="16010E59"/>
    <w:rsid w:val="17BB6387"/>
    <w:rsid w:val="18023FB5"/>
    <w:rsid w:val="182F038D"/>
    <w:rsid w:val="196B7938"/>
    <w:rsid w:val="1A335891"/>
    <w:rsid w:val="1A4F2DB6"/>
    <w:rsid w:val="1AAB7098"/>
    <w:rsid w:val="1C4C74AD"/>
    <w:rsid w:val="1C4F3541"/>
    <w:rsid w:val="1C56667E"/>
    <w:rsid w:val="1DAF24EA"/>
    <w:rsid w:val="1E041BE5"/>
    <w:rsid w:val="1E0D0FBE"/>
    <w:rsid w:val="1E6C03DB"/>
    <w:rsid w:val="200D54FF"/>
    <w:rsid w:val="20541126"/>
    <w:rsid w:val="20607AD1"/>
    <w:rsid w:val="218E2416"/>
    <w:rsid w:val="23E12592"/>
    <w:rsid w:val="25A91F14"/>
    <w:rsid w:val="263143A4"/>
    <w:rsid w:val="269C77FB"/>
    <w:rsid w:val="26A25328"/>
    <w:rsid w:val="26F31699"/>
    <w:rsid w:val="273914DD"/>
    <w:rsid w:val="284657F9"/>
    <w:rsid w:val="289C366A"/>
    <w:rsid w:val="28B66863"/>
    <w:rsid w:val="298734E1"/>
    <w:rsid w:val="2AF43C32"/>
    <w:rsid w:val="2D285E15"/>
    <w:rsid w:val="2D311EE9"/>
    <w:rsid w:val="2D35561D"/>
    <w:rsid w:val="2D595FCE"/>
    <w:rsid w:val="2DF950BB"/>
    <w:rsid w:val="2F01288F"/>
    <w:rsid w:val="2F104DB2"/>
    <w:rsid w:val="2F836C60"/>
    <w:rsid w:val="30255E6F"/>
    <w:rsid w:val="302B7A3A"/>
    <w:rsid w:val="303857A1"/>
    <w:rsid w:val="309F1F4A"/>
    <w:rsid w:val="310B5831"/>
    <w:rsid w:val="311C402C"/>
    <w:rsid w:val="31CB66DF"/>
    <w:rsid w:val="328877DE"/>
    <w:rsid w:val="32C35685"/>
    <w:rsid w:val="33A94C74"/>
    <w:rsid w:val="33AE06F6"/>
    <w:rsid w:val="34340DBC"/>
    <w:rsid w:val="346911EC"/>
    <w:rsid w:val="34735BC7"/>
    <w:rsid w:val="34B43864"/>
    <w:rsid w:val="34D128EE"/>
    <w:rsid w:val="368D15FD"/>
    <w:rsid w:val="37664A05"/>
    <w:rsid w:val="38170F5F"/>
    <w:rsid w:val="383B4C4E"/>
    <w:rsid w:val="383E473E"/>
    <w:rsid w:val="38533A90"/>
    <w:rsid w:val="386A6634"/>
    <w:rsid w:val="38AC5B4C"/>
    <w:rsid w:val="3B461054"/>
    <w:rsid w:val="3C502C92"/>
    <w:rsid w:val="3DB64D77"/>
    <w:rsid w:val="3EF619D4"/>
    <w:rsid w:val="3F546C30"/>
    <w:rsid w:val="3F9F3C1C"/>
    <w:rsid w:val="3FDC185A"/>
    <w:rsid w:val="40B732E0"/>
    <w:rsid w:val="415E7BFF"/>
    <w:rsid w:val="41A941B4"/>
    <w:rsid w:val="41D852BC"/>
    <w:rsid w:val="41EA3241"/>
    <w:rsid w:val="42A70AE7"/>
    <w:rsid w:val="431E51AA"/>
    <w:rsid w:val="445C4B46"/>
    <w:rsid w:val="449D0A3E"/>
    <w:rsid w:val="45264590"/>
    <w:rsid w:val="459B4BAA"/>
    <w:rsid w:val="46DB13AA"/>
    <w:rsid w:val="480C3F11"/>
    <w:rsid w:val="488A30D1"/>
    <w:rsid w:val="48E704DA"/>
    <w:rsid w:val="493A2D00"/>
    <w:rsid w:val="4CEA0599"/>
    <w:rsid w:val="4D353A16"/>
    <w:rsid w:val="4E113D90"/>
    <w:rsid w:val="4EC45545"/>
    <w:rsid w:val="4FB01CEF"/>
    <w:rsid w:val="4FE60D01"/>
    <w:rsid w:val="50740441"/>
    <w:rsid w:val="50935D35"/>
    <w:rsid w:val="51764AF1"/>
    <w:rsid w:val="5244074B"/>
    <w:rsid w:val="536D0492"/>
    <w:rsid w:val="543E6655"/>
    <w:rsid w:val="54874A5B"/>
    <w:rsid w:val="56B43963"/>
    <w:rsid w:val="574649D4"/>
    <w:rsid w:val="574F576F"/>
    <w:rsid w:val="5765071A"/>
    <w:rsid w:val="595A2602"/>
    <w:rsid w:val="59CB1861"/>
    <w:rsid w:val="59E82E83"/>
    <w:rsid w:val="5A5C56E7"/>
    <w:rsid w:val="5AD83836"/>
    <w:rsid w:val="5B303F63"/>
    <w:rsid w:val="5B9242D5"/>
    <w:rsid w:val="5BA04C44"/>
    <w:rsid w:val="5BD7618C"/>
    <w:rsid w:val="5CE00B4F"/>
    <w:rsid w:val="5DDE7CA6"/>
    <w:rsid w:val="5E9956FA"/>
    <w:rsid w:val="5F635DF2"/>
    <w:rsid w:val="5FF97DC3"/>
    <w:rsid w:val="60C211B9"/>
    <w:rsid w:val="61385312"/>
    <w:rsid w:val="61C403A5"/>
    <w:rsid w:val="61DE5221"/>
    <w:rsid w:val="626B2DBA"/>
    <w:rsid w:val="62894684"/>
    <w:rsid w:val="633B16F7"/>
    <w:rsid w:val="63640C4D"/>
    <w:rsid w:val="64271016"/>
    <w:rsid w:val="652E60D8"/>
    <w:rsid w:val="65A6702C"/>
    <w:rsid w:val="65CC6636"/>
    <w:rsid w:val="65F95DBC"/>
    <w:rsid w:val="663E7C90"/>
    <w:rsid w:val="672F50CE"/>
    <w:rsid w:val="67394D8D"/>
    <w:rsid w:val="67A44B06"/>
    <w:rsid w:val="67B46860"/>
    <w:rsid w:val="68A07BB4"/>
    <w:rsid w:val="68CB5A15"/>
    <w:rsid w:val="68E41826"/>
    <w:rsid w:val="691E53FA"/>
    <w:rsid w:val="69336E5E"/>
    <w:rsid w:val="6AD42215"/>
    <w:rsid w:val="6D4B0C89"/>
    <w:rsid w:val="6E351842"/>
    <w:rsid w:val="6F5E47A3"/>
    <w:rsid w:val="6F6949AF"/>
    <w:rsid w:val="70115F63"/>
    <w:rsid w:val="70FA7FA8"/>
    <w:rsid w:val="72752420"/>
    <w:rsid w:val="72E53996"/>
    <w:rsid w:val="734463A5"/>
    <w:rsid w:val="74480C07"/>
    <w:rsid w:val="74602D6B"/>
    <w:rsid w:val="748B756E"/>
    <w:rsid w:val="74A94EAA"/>
    <w:rsid w:val="74AD1B96"/>
    <w:rsid w:val="75B744E1"/>
    <w:rsid w:val="75C5257F"/>
    <w:rsid w:val="75D912A7"/>
    <w:rsid w:val="75DE488F"/>
    <w:rsid w:val="763E2BDE"/>
    <w:rsid w:val="76EF1037"/>
    <w:rsid w:val="774058EF"/>
    <w:rsid w:val="77882D05"/>
    <w:rsid w:val="7816515B"/>
    <w:rsid w:val="78FB12B4"/>
    <w:rsid w:val="795B7F3A"/>
    <w:rsid w:val="79A27982"/>
    <w:rsid w:val="7BEA1FCF"/>
    <w:rsid w:val="7D2B0FEB"/>
    <w:rsid w:val="7D573D6D"/>
    <w:rsid w:val="7DCD2B34"/>
    <w:rsid w:val="7EC65EC0"/>
    <w:rsid w:val="7F562119"/>
    <w:rsid w:val="7F8206A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3"/>
    <w:autoRedefine/>
    <w:qFormat/>
    <w:uiPriority w:val="99"/>
    <w:pPr>
      <w:keepNext/>
      <w:outlineLvl w:val="0"/>
    </w:pPr>
    <w:rPr>
      <w:rFonts w:ascii="宋体"/>
      <w:sz w:val="28"/>
    </w:rPr>
  </w:style>
  <w:style w:type="paragraph" w:styleId="5">
    <w:name w:val="heading 2"/>
    <w:basedOn w:val="1"/>
    <w:next w:val="1"/>
    <w:link w:val="34"/>
    <w:autoRedefine/>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5"/>
    <w:autoRedefine/>
    <w:qFormat/>
    <w:uiPriority w:val="99"/>
    <w:pPr>
      <w:keepNext/>
      <w:keepLines/>
      <w:spacing w:before="260" w:after="260" w:line="416" w:lineRule="auto"/>
      <w:outlineLvl w:val="2"/>
    </w:pPr>
    <w:rPr>
      <w:b/>
      <w:bCs/>
      <w:sz w:val="32"/>
      <w:szCs w:val="32"/>
    </w:rPr>
  </w:style>
  <w:style w:type="paragraph" w:styleId="7">
    <w:name w:val="heading 4"/>
    <w:basedOn w:val="1"/>
    <w:next w:val="1"/>
    <w:autoRedefine/>
    <w:qFormat/>
    <w:locked/>
    <w:uiPriority w:val="0"/>
    <w:pPr>
      <w:keepNext/>
      <w:keepLines/>
      <w:widowControl/>
      <w:spacing w:before="120" w:after="120" w:line="360" w:lineRule="auto"/>
      <w:jc w:val="center"/>
      <w:outlineLvl w:val="3"/>
    </w:pPr>
    <w:rPr>
      <w:rFonts w:ascii="Arial" w:hAnsi="Arial" w:eastAsia="黑体"/>
      <w:kern w:val="0"/>
      <w:sz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First Indent"/>
    <w:basedOn w:val="2"/>
    <w:qFormat/>
    <w:uiPriority w:val="0"/>
    <w:pPr>
      <w:ind w:firstLine="420" w:firstLineChars="100"/>
    </w:pPr>
  </w:style>
  <w:style w:type="paragraph" w:styleId="8">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9">
    <w:name w:val="Document Map"/>
    <w:basedOn w:val="1"/>
    <w:link w:val="48"/>
    <w:autoRedefine/>
    <w:semiHidden/>
    <w:qFormat/>
    <w:uiPriority w:val="99"/>
    <w:pPr>
      <w:shd w:val="clear" w:color="auto" w:fill="000080"/>
    </w:pPr>
  </w:style>
  <w:style w:type="paragraph" w:styleId="10">
    <w:name w:val="toa heading"/>
    <w:basedOn w:val="1"/>
    <w:next w:val="1"/>
    <w:autoRedefine/>
    <w:unhideWhenUsed/>
    <w:qFormat/>
    <w:uiPriority w:val="99"/>
    <w:pPr>
      <w:spacing w:before="120"/>
    </w:pPr>
    <w:rPr>
      <w:rFonts w:ascii="Cambria" w:hAnsi="Cambria"/>
      <w:sz w:val="24"/>
    </w:rPr>
  </w:style>
  <w:style w:type="paragraph" w:styleId="11">
    <w:name w:val="annotation text"/>
    <w:basedOn w:val="1"/>
    <w:link w:val="42"/>
    <w:autoRedefine/>
    <w:semiHidden/>
    <w:qFormat/>
    <w:uiPriority w:val="99"/>
    <w:pPr>
      <w:jc w:val="left"/>
    </w:pPr>
  </w:style>
  <w:style w:type="paragraph" w:styleId="12">
    <w:name w:val="Body Text Indent"/>
    <w:basedOn w:val="1"/>
    <w:next w:val="13"/>
    <w:qFormat/>
    <w:uiPriority w:val="0"/>
    <w:pPr>
      <w:autoSpaceDE w:val="0"/>
      <w:autoSpaceDN w:val="0"/>
      <w:adjustRightInd w:val="0"/>
      <w:spacing w:line="360" w:lineRule="auto"/>
      <w:ind w:firstLine="480"/>
      <w:jc w:val="left"/>
    </w:pPr>
    <w:rPr>
      <w:rFonts w:ascii="宋体" w:hAnsi="宋体"/>
      <w:kern w:val="0"/>
      <w:sz w:val="24"/>
    </w:rPr>
  </w:style>
  <w:style w:type="paragraph" w:styleId="13">
    <w:name w:val="envelope return"/>
    <w:basedOn w:val="1"/>
    <w:unhideWhenUsed/>
    <w:qFormat/>
    <w:uiPriority w:val="99"/>
    <w:pPr>
      <w:snapToGrid w:val="0"/>
    </w:pPr>
    <w:rPr>
      <w:rFonts w:ascii="Arial" w:hAnsi="Arial"/>
    </w:rPr>
  </w:style>
  <w:style w:type="paragraph" w:styleId="14">
    <w:name w:val="toc 3"/>
    <w:basedOn w:val="1"/>
    <w:next w:val="1"/>
    <w:autoRedefine/>
    <w:qFormat/>
    <w:uiPriority w:val="99"/>
    <w:pPr>
      <w:ind w:left="840" w:leftChars="400"/>
    </w:pPr>
  </w:style>
  <w:style w:type="paragraph" w:styleId="15">
    <w:name w:val="Plain Text"/>
    <w:basedOn w:val="1"/>
    <w:next w:val="1"/>
    <w:link w:val="40"/>
    <w:autoRedefine/>
    <w:qFormat/>
    <w:uiPriority w:val="99"/>
    <w:pPr>
      <w:spacing w:line="360" w:lineRule="auto"/>
    </w:pPr>
    <w:rPr>
      <w:rFonts w:ascii="楷体_GB2312" w:hAnsi="Courier New" w:eastAsia="楷体_GB2312"/>
      <w:sz w:val="24"/>
    </w:rPr>
  </w:style>
  <w:style w:type="paragraph" w:styleId="16">
    <w:name w:val="Date"/>
    <w:basedOn w:val="1"/>
    <w:next w:val="1"/>
    <w:link w:val="46"/>
    <w:autoRedefine/>
    <w:qFormat/>
    <w:uiPriority w:val="99"/>
    <w:rPr>
      <w:sz w:val="28"/>
    </w:rPr>
  </w:style>
  <w:style w:type="paragraph" w:styleId="17">
    <w:name w:val="Body Text Indent 2"/>
    <w:basedOn w:val="1"/>
    <w:next w:val="1"/>
    <w:link w:val="38"/>
    <w:autoRedefine/>
    <w:qFormat/>
    <w:uiPriority w:val="99"/>
    <w:pPr>
      <w:spacing w:line="312" w:lineRule="auto"/>
      <w:ind w:firstLine="480" w:firstLineChars="200"/>
    </w:pPr>
    <w:rPr>
      <w:sz w:val="24"/>
    </w:rPr>
  </w:style>
  <w:style w:type="paragraph" w:styleId="18">
    <w:name w:val="Balloon Text"/>
    <w:basedOn w:val="1"/>
    <w:link w:val="44"/>
    <w:autoRedefine/>
    <w:semiHidden/>
    <w:qFormat/>
    <w:uiPriority w:val="99"/>
    <w:rPr>
      <w:sz w:val="18"/>
      <w:szCs w:val="18"/>
    </w:rPr>
  </w:style>
  <w:style w:type="paragraph" w:styleId="19">
    <w:name w:val="footer"/>
    <w:basedOn w:val="1"/>
    <w:link w:val="36"/>
    <w:autoRedefine/>
    <w:qFormat/>
    <w:uiPriority w:val="99"/>
    <w:pPr>
      <w:tabs>
        <w:tab w:val="center" w:pos="4153"/>
        <w:tab w:val="right" w:pos="8306"/>
      </w:tabs>
      <w:snapToGrid w:val="0"/>
      <w:jc w:val="left"/>
    </w:pPr>
    <w:rPr>
      <w:sz w:val="18"/>
    </w:rPr>
  </w:style>
  <w:style w:type="paragraph" w:styleId="20">
    <w:name w:val="header"/>
    <w:basedOn w:val="1"/>
    <w:link w:val="37"/>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99"/>
    <w:pPr>
      <w:tabs>
        <w:tab w:val="right" w:leader="dot" w:pos="9913"/>
      </w:tabs>
    </w:pPr>
  </w:style>
  <w:style w:type="paragraph" w:styleId="22">
    <w:name w:val="toc 2"/>
    <w:basedOn w:val="1"/>
    <w:next w:val="1"/>
    <w:autoRedefine/>
    <w:qFormat/>
    <w:uiPriority w:val="99"/>
    <w:pPr>
      <w:tabs>
        <w:tab w:val="left" w:pos="941"/>
        <w:tab w:val="right" w:leader="dot" w:pos="9923"/>
      </w:tabs>
      <w:ind w:left="420" w:leftChars="200" w:right="283" w:rightChars="135"/>
    </w:pPr>
  </w:style>
  <w:style w:type="paragraph" w:styleId="23">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styleId="24">
    <w:name w:val="annotation subject"/>
    <w:basedOn w:val="11"/>
    <w:next w:val="11"/>
    <w:link w:val="43"/>
    <w:autoRedefine/>
    <w:semiHidden/>
    <w:qFormat/>
    <w:uiPriority w:val="99"/>
    <w:rPr>
      <w:b/>
      <w:bCs/>
    </w:rPr>
  </w:style>
  <w:style w:type="paragraph" w:styleId="25">
    <w:name w:val="Body Text First Indent 2"/>
    <w:basedOn w:val="12"/>
    <w:qFormat/>
    <w:uiPriority w:val="0"/>
    <w:pPr>
      <w:autoSpaceDE/>
      <w:autoSpaceDN/>
      <w:adjustRightInd/>
      <w:spacing w:after="120" w:line="240" w:lineRule="auto"/>
      <w:ind w:left="420" w:leftChars="200" w:firstLine="420" w:firstLineChars="200"/>
      <w:jc w:val="both"/>
    </w:pPr>
    <w:rPr>
      <w:rFonts w:ascii="Times New Roman" w:hAnsi="Times New Roman"/>
      <w:kern w:val="2"/>
      <w:sz w:val="21"/>
    </w:rPr>
  </w:style>
  <w:style w:type="table" w:styleId="27">
    <w:name w:val="Table Grid"/>
    <w:basedOn w:val="2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99"/>
    <w:rPr>
      <w:rFonts w:cs="Times New Roman"/>
    </w:rPr>
  </w:style>
  <w:style w:type="character" w:styleId="30">
    <w:name w:val="Hyperlink"/>
    <w:basedOn w:val="28"/>
    <w:autoRedefine/>
    <w:qFormat/>
    <w:uiPriority w:val="99"/>
    <w:rPr>
      <w:rFonts w:cs="Times New Roman"/>
      <w:color w:val="0000FF"/>
      <w:u w:val="single"/>
    </w:rPr>
  </w:style>
  <w:style w:type="character" w:styleId="31">
    <w:name w:val="annotation reference"/>
    <w:basedOn w:val="28"/>
    <w:autoRedefine/>
    <w:semiHidden/>
    <w:qFormat/>
    <w:uiPriority w:val="99"/>
    <w:rPr>
      <w:rFonts w:cs="Times New Roman"/>
      <w:sz w:val="21"/>
    </w:rPr>
  </w:style>
  <w:style w:type="paragraph" w:customStyle="1" w:styleId="32">
    <w:name w:val="Default"/>
    <w:autoRedefine/>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3">
    <w:name w:val="标题 1 Char"/>
    <w:basedOn w:val="28"/>
    <w:link w:val="4"/>
    <w:autoRedefine/>
    <w:qFormat/>
    <w:locked/>
    <w:uiPriority w:val="99"/>
    <w:rPr>
      <w:rFonts w:ascii="宋体" w:cs="Times New Roman"/>
      <w:kern w:val="2"/>
      <w:sz w:val="28"/>
    </w:rPr>
  </w:style>
  <w:style w:type="character" w:customStyle="1" w:styleId="34">
    <w:name w:val="标题 2 Char"/>
    <w:basedOn w:val="28"/>
    <w:link w:val="5"/>
    <w:autoRedefine/>
    <w:semiHidden/>
    <w:qFormat/>
    <w:locked/>
    <w:uiPriority w:val="99"/>
    <w:rPr>
      <w:rFonts w:ascii="Cambria" w:hAnsi="Cambria" w:eastAsia="宋体" w:cs="Times New Roman"/>
      <w:b/>
      <w:bCs/>
      <w:sz w:val="32"/>
      <w:szCs w:val="32"/>
    </w:rPr>
  </w:style>
  <w:style w:type="character" w:customStyle="1" w:styleId="35">
    <w:name w:val="标题 3 Char"/>
    <w:basedOn w:val="28"/>
    <w:link w:val="6"/>
    <w:autoRedefine/>
    <w:semiHidden/>
    <w:qFormat/>
    <w:locked/>
    <w:uiPriority w:val="99"/>
    <w:rPr>
      <w:rFonts w:cs="Times New Roman"/>
      <w:b/>
      <w:bCs/>
      <w:sz w:val="32"/>
      <w:szCs w:val="32"/>
    </w:rPr>
  </w:style>
  <w:style w:type="character" w:customStyle="1" w:styleId="36">
    <w:name w:val="页脚 Char"/>
    <w:basedOn w:val="28"/>
    <w:link w:val="19"/>
    <w:autoRedefine/>
    <w:semiHidden/>
    <w:qFormat/>
    <w:locked/>
    <w:uiPriority w:val="99"/>
    <w:rPr>
      <w:rFonts w:cs="Times New Roman"/>
      <w:sz w:val="18"/>
      <w:szCs w:val="18"/>
    </w:rPr>
  </w:style>
  <w:style w:type="character" w:customStyle="1" w:styleId="37">
    <w:name w:val="页眉 Char"/>
    <w:basedOn w:val="28"/>
    <w:link w:val="20"/>
    <w:autoRedefine/>
    <w:semiHidden/>
    <w:qFormat/>
    <w:locked/>
    <w:uiPriority w:val="99"/>
    <w:rPr>
      <w:rFonts w:cs="Times New Roman"/>
      <w:sz w:val="18"/>
      <w:szCs w:val="18"/>
    </w:rPr>
  </w:style>
  <w:style w:type="character" w:customStyle="1" w:styleId="38">
    <w:name w:val="正文文本缩进 2 Char"/>
    <w:basedOn w:val="28"/>
    <w:link w:val="17"/>
    <w:autoRedefine/>
    <w:semiHidden/>
    <w:qFormat/>
    <w:locked/>
    <w:uiPriority w:val="99"/>
    <w:rPr>
      <w:rFonts w:cs="Times New Roman"/>
      <w:sz w:val="20"/>
      <w:szCs w:val="20"/>
    </w:rPr>
  </w:style>
  <w:style w:type="paragraph" w:customStyle="1" w:styleId="39">
    <w:name w:val="Char2"/>
    <w:basedOn w:val="1"/>
    <w:autoRedefine/>
    <w:qFormat/>
    <w:uiPriority w:val="99"/>
    <w:pPr>
      <w:ind w:left="432" w:hanging="432"/>
    </w:pPr>
    <w:rPr>
      <w:sz w:val="24"/>
      <w:szCs w:val="24"/>
    </w:rPr>
  </w:style>
  <w:style w:type="character" w:customStyle="1" w:styleId="40">
    <w:name w:val="纯文本 Char"/>
    <w:basedOn w:val="28"/>
    <w:link w:val="15"/>
    <w:autoRedefine/>
    <w:qFormat/>
    <w:locked/>
    <w:uiPriority w:val="99"/>
    <w:rPr>
      <w:rFonts w:ascii="楷体_GB2312" w:hAnsi="Courier New" w:eastAsia="楷体_GB2312" w:cs="Times New Roman"/>
      <w:kern w:val="2"/>
      <w:sz w:val="24"/>
    </w:rPr>
  </w:style>
  <w:style w:type="paragraph" w:customStyle="1" w:styleId="41">
    <w:name w:val="正文1"/>
    <w:autoRedefine/>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42">
    <w:name w:val="批注文字 Char"/>
    <w:basedOn w:val="28"/>
    <w:link w:val="11"/>
    <w:autoRedefine/>
    <w:semiHidden/>
    <w:qFormat/>
    <w:locked/>
    <w:uiPriority w:val="99"/>
    <w:rPr>
      <w:rFonts w:cs="Times New Roman"/>
      <w:sz w:val="20"/>
      <w:szCs w:val="20"/>
    </w:rPr>
  </w:style>
  <w:style w:type="character" w:customStyle="1" w:styleId="43">
    <w:name w:val="批注主题 Char"/>
    <w:basedOn w:val="42"/>
    <w:link w:val="24"/>
    <w:autoRedefine/>
    <w:semiHidden/>
    <w:qFormat/>
    <w:locked/>
    <w:uiPriority w:val="99"/>
    <w:rPr>
      <w:rFonts w:cs="Times New Roman"/>
      <w:b/>
      <w:bCs/>
      <w:sz w:val="20"/>
      <w:szCs w:val="20"/>
    </w:rPr>
  </w:style>
  <w:style w:type="character" w:customStyle="1" w:styleId="44">
    <w:name w:val="批注框文本 Char"/>
    <w:basedOn w:val="28"/>
    <w:link w:val="18"/>
    <w:autoRedefine/>
    <w:semiHidden/>
    <w:qFormat/>
    <w:locked/>
    <w:uiPriority w:val="99"/>
    <w:rPr>
      <w:rFonts w:cs="Times New Roman"/>
      <w:sz w:val="2"/>
    </w:rPr>
  </w:style>
  <w:style w:type="paragraph" w:styleId="45">
    <w:name w:val="List Paragraph"/>
    <w:basedOn w:val="1"/>
    <w:autoRedefine/>
    <w:qFormat/>
    <w:uiPriority w:val="99"/>
    <w:pPr>
      <w:ind w:firstLine="420" w:firstLineChars="200"/>
    </w:pPr>
    <w:rPr>
      <w:szCs w:val="24"/>
    </w:rPr>
  </w:style>
  <w:style w:type="character" w:customStyle="1" w:styleId="46">
    <w:name w:val="日期 Char"/>
    <w:basedOn w:val="28"/>
    <w:link w:val="16"/>
    <w:autoRedefine/>
    <w:qFormat/>
    <w:locked/>
    <w:uiPriority w:val="99"/>
    <w:rPr>
      <w:rFonts w:cs="Times New Roman"/>
      <w:kern w:val="2"/>
      <w:sz w:val="28"/>
    </w:rPr>
  </w:style>
  <w:style w:type="paragraph" w:customStyle="1" w:styleId="47">
    <w:name w:val="Char"/>
    <w:basedOn w:val="1"/>
    <w:autoRedefine/>
    <w:qFormat/>
    <w:uiPriority w:val="99"/>
    <w:rPr>
      <w:rFonts w:ascii="仿宋_GB2312" w:eastAsia="仿宋_GB2312"/>
      <w:b/>
      <w:sz w:val="32"/>
      <w:szCs w:val="32"/>
    </w:rPr>
  </w:style>
  <w:style w:type="character" w:customStyle="1" w:styleId="48">
    <w:name w:val="文档结构图 Char"/>
    <w:basedOn w:val="28"/>
    <w:link w:val="9"/>
    <w:autoRedefine/>
    <w:semiHidden/>
    <w:qFormat/>
    <w:locked/>
    <w:uiPriority w:val="99"/>
    <w:rPr>
      <w:rFonts w:cs="Times New Roman"/>
      <w:sz w:val="2"/>
    </w:rPr>
  </w:style>
  <w:style w:type="paragraph" w:customStyle="1" w:styleId="49">
    <w:name w:val="Table Paragraph"/>
    <w:basedOn w:val="1"/>
    <w:autoRedefine/>
    <w:qFormat/>
    <w:uiPriority w:val="1"/>
    <w:pPr>
      <w:spacing w:before="54"/>
    </w:pPr>
    <w:rPr>
      <w:rFonts w:ascii="宋体" w:hAnsi="宋体" w:eastAsia="宋体" w:cs="宋体"/>
      <w:lang w:val="zh-CN" w:eastAsia="zh-CN" w:bidi="zh-CN"/>
    </w:rPr>
  </w:style>
  <w:style w:type="paragraph" w:customStyle="1" w:styleId="50">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江西省机电设备招标公司</Company>
  <Pages>38</Pages>
  <Words>15676</Words>
  <Characters>17496</Characters>
  <Lines>156</Lines>
  <Paragraphs>44</Paragraphs>
  <TotalTime>0</TotalTime>
  <ScaleCrop>false</ScaleCrop>
  <LinksUpToDate>false</LinksUpToDate>
  <CharactersWithSpaces>18095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2018-01-25T01:32:00Z</dcterms:created>
  <dc:creator>hxw</dc:creator>
  <cp:lastModifiedBy>赵曼</cp:lastModifiedBy>
  <cp:lastPrinted>2022-05-10T06:35:00Z</cp:lastPrinted>
  <dcterms:modified xsi:type="dcterms:W3CDTF">2025-06-17T03:02:37Z</dcterms:modified>
  <dc:title>竞争性谈判文件</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ADC6DDF29B4148D684D90E6EBAA3573C_13</vt:lpwstr>
  </property>
  <property fmtid="{D5CDD505-2E9C-101B-9397-08002B2CF9AE}" pid="4" name="KSOTemplateDocerSaveRecord">
    <vt:lpwstr>eyJoZGlkIjoiZTgzMzM5ODI1OWE0ZmRhZGQwZmVmNDU5NDNlNzUwOWYiLCJ1c2VySWQiOiI0NjMxNjc5ODAifQ==</vt:lpwstr>
  </property>
</Properties>
</file>