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货物为两台地磅加砝码合计44吨。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要求运输单位要具备外贸出口相关资质。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货物有上海港装船（甲方提供货物相关资料，乙方负责装船运输所需手续办理及费用）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lang w:val="en-US" w:eastAsia="zh-CN"/>
        </w:rPr>
        <w:t>海运（乙方承担运费）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lang w:val="en-US" w:eastAsia="zh-CN"/>
        </w:rPr>
        <w:t>坤甸港（乙方负责清关所有手续办理及费用，乙方负责卸船、装车及相关费用）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汽运至</w:t>
      </w:r>
      <w:r>
        <w:rPr>
          <w:rFonts w:hint="eastAsia"/>
          <w:b/>
          <w:bCs/>
          <w:sz w:val="28"/>
          <w:szCs w:val="28"/>
          <w:lang w:val="en-US" w:eastAsia="zh-CN"/>
        </w:rPr>
        <w:t>项目地（新乡村）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lang w:val="en-US" w:eastAsia="zh-CN"/>
        </w:rPr>
        <w:t>卸车至指定地方/直接有雅加达港运输至项目地（新乡村）卸车至指定地方。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A3DCF"/>
    <w:multiLevelType w:val="singleLevel"/>
    <w:tmpl w:val="225A3D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E5BD2"/>
    <w:rsid w:val="382C0547"/>
    <w:rsid w:val="47B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2025-06-25T01:04:00Z</dcterms:created>
  <dc:creator>fang4</dc:creator>
  <cp:lastModifiedBy>wugb248</cp:lastModifiedBy>
  <dcterms:modified xsi:type="dcterms:W3CDTF">2025-07-04T03:09:30Z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KSOTemplateDocerSaveRecord">
    <vt:lpwstr>eyJoZGlkIjoiNDBkYzU0MDY2N2Q0YWNmZGVkNTgxODdmY2IxYzUyNGQiLCJ1c2VySWQiOiIzMjYyOTg3NzgifQ==</vt:lpwstr>
  </property>
  <property fmtid="{D5CDD505-2E9C-101B-9397-08002B2CF9AE}" pid="4" name="ICV">
    <vt:lpwstr>77C0B2C687E343DDBAC921A11F77C4F9_12</vt:lpwstr>
  </property>
</Properties>
</file>