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2ABB53">
      <w:pPr>
        <w:spacing w:before="480" w:after="480" w:line="288" w:lineRule="auto"/>
        <w:ind w:left="0"/>
      </w:pPr>
      <w:r>
        <w:rPr>
          <w:rFonts w:ascii="Arial" w:hAnsi="Arial" w:eastAsia="等线" w:cs="Arial"/>
          <w:b/>
          <w:sz w:val="52"/>
        </w:rPr>
        <w:t>国内物流情况说明</w:t>
      </w:r>
    </w:p>
    <w:p w14:paraId="24A8DA6E">
      <w:pPr>
        <w:spacing w:before="300" w:after="120" w:line="288" w:lineRule="auto"/>
        <w:ind w:left="0"/>
        <w:jc w:val="left"/>
        <w:outlineLvl w:val="2"/>
      </w:pPr>
      <w:bookmarkStart w:id="0" w:name="heading_0"/>
      <w:r>
        <w:rPr>
          <w:rFonts w:ascii="Arial" w:hAnsi="Arial" w:eastAsia="等线" w:cs="Arial"/>
          <w:color w:val="3370FF"/>
          <w:sz w:val="30"/>
        </w:rPr>
        <w:t xml:space="preserve">1. </w:t>
      </w:r>
      <w:r>
        <w:rPr>
          <w:rFonts w:ascii="Arial" w:hAnsi="Arial" w:eastAsia="等线" w:cs="Arial"/>
          <w:b/>
          <w:sz w:val="30"/>
        </w:rPr>
        <w:t>海亮国内各基地物流运输概况</w:t>
      </w:r>
      <w:bookmarkEnd w:id="0"/>
    </w:p>
    <w:p w14:paraId="77A05053">
      <w:pPr>
        <w:spacing w:before="120" w:after="120" w:line="288" w:lineRule="auto"/>
        <w:ind w:left="0" w:firstLine="0"/>
        <w:jc w:val="left"/>
      </w:pPr>
      <w:r>
        <w:rPr>
          <w:rFonts w:ascii="Arial" w:hAnsi="Arial" w:eastAsia="等线" w:cs="Arial"/>
          <w:sz w:val="22"/>
        </w:rPr>
        <w:t>（注：以下汇总不含客户自提及供应商直送场景）</w:t>
      </w:r>
    </w:p>
    <w:p w14:paraId="20ED0B60">
      <w:pPr>
        <w:spacing w:before="120" w:after="120" w:line="288" w:lineRule="auto"/>
        <w:ind w:left="0"/>
      </w:pPr>
      <w:bookmarkStart w:id="10" w:name="_GoBack"/>
      <w:r>
        <w:object>
          <v:shape id="_x0000_i1025" o:spt="75" type="#_x0000_t75" style="height:197pt;width:414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6">
            <o:LockedField>false</o:LockedField>
          </o:OLEObject>
        </w:object>
      </w:r>
      <w:bookmarkEnd w:id="10"/>
    </w:p>
    <w:p w14:paraId="1DE97E18">
      <w:pPr>
        <w:spacing w:after="120"/>
        <w:ind w:left="0"/>
        <w:jc w:val="center"/>
      </w:pPr>
      <w:r>
        <w:rPr>
          <w:rFonts w:ascii="Arial" w:hAnsi="Arial" w:eastAsia="等线" w:cs="Arial"/>
          <w:b/>
          <w:sz w:val="22"/>
        </w:rPr>
        <w:t>点击图片可查看完整电子表格</w:t>
      </w:r>
    </w:p>
    <w:p w14:paraId="45D5C206">
      <w:pPr>
        <w:spacing w:before="300" w:after="120" w:line="288" w:lineRule="auto"/>
        <w:ind w:left="0"/>
        <w:jc w:val="left"/>
        <w:outlineLvl w:val="2"/>
      </w:pPr>
      <w:bookmarkStart w:id="1" w:name="heading_1"/>
      <w:r>
        <w:rPr>
          <w:rFonts w:ascii="Arial" w:hAnsi="Arial" w:eastAsia="等线" w:cs="Arial"/>
          <w:color w:val="3370FF"/>
          <w:sz w:val="30"/>
        </w:rPr>
        <w:t xml:space="preserve">2. </w:t>
      </w:r>
      <w:r>
        <w:rPr>
          <w:rFonts w:ascii="Arial" w:hAnsi="Arial" w:eastAsia="等线" w:cs="Arial"/>
          <w:b/>
          <w:sz w:val="30"/>
        </w:rPr>
        <w:t>物流合作核心要求与注意事项</w:t>
      </w:r>
      <w:bookmarkEnd w:id="1"/>
    </w:p>
    <w:p w14:paraId="7BFDA570">
      <w:pPr>
        <w:spacing w:before="260" w:after="120" w:line="288" w:lineRule="auto"/>
        <w:ind w:left="453"/>
        <w:jc w:val="left"/>
        <w:outlineLvl w:val="3"/>
      </w:pPr>
      <w:bookmarkStart w:id="2" w:name="heading_2"/>
      <w:r>
        <w:rPr>
          <w:rFonts w:ascii="Arial" w:hAnsi="Arial" w:eastAsia="等线" w:cs="Arial"/>
          <w:color w:val="3370FF"/>
          <w:sz w:val="28"/>
        </w:rPr>
        <w:t xml:space="preserve">2.1 </w:t>
      </w:r>
      <w:r>
        <w:rPr>
          <w:rFonts w:ascii="Arial" w:hAnsi="Arial" w:eastAsia="等线" w:cs="Arial"/>
          <w:b/>
          <w:sz w:val="28"/>
        </w:rPr>
        <w:t>报价与结算规则</w:t>
      </w:r>
      <w:bookmarkEnd w:id="2"/>
    </w:p>
    <w:p w14:paraId="69A60C6D">
      <w:pPr>
        <w:numPr>
          <w:ilvl w:val="0"/>
          <w:numId w:val="1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报价方式</w:t>
      </w:r>
      <w:r>
        <w:rPr>
          <w:rFonts w:ascii="Arial" w:hAnsi="Arial" w:eastAsia="等线" w:cs="Arial"/>
          <w:sz w:val="22"/>
        </w:rPr>
        <w:t>：</w:t>
      </w:r>
    </w:p>
    <w:p w14:paraId="362CAEA0">
      <w:pPr>
        <w:numPr>
          <w:ilvl w:val="0"/>
          <w:numId w:val="2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大部分产品按吨报价（元/吨），少量按车型报价（元/车），包材按数量报价（元/张），保温棉类按体积报价（元/立方）。</w:t>
      </w:r>
    </w:p>
    <w:p w14:paraId="10693F26">
      <w:pPr>
        <w:numPr>
          <w:ilvl w:val="0"/>
          <w:numId w:val="3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特殊说明：退货退料、包装物回收运输不单独招标，由中标线路承运方负责。</w:t>
      </w:r>
    </w:p>
    <w:p w14:paraId="555E760B">
      <w:pPr>
        <w:numPr>
          <w:ilvl w:val="0"/>
          <w:numId w:val="4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结算流程</w:t>
      </w:r>
      <w:r>
        <w:rPr>
          <w:rFonts w:ascii="Arial" w:hAnsi="Arial" w:eastAsia="等线" w:cs="Arial"/>
          <w:sz w:val="22"/>
        </w:rPr>
        <w:t>：</w:t>
      </w:r>
    </w:p>
    <w:p w14:paraId="19E7F967">
      <w:pPr>
        <w:numPr>
          <w:ilvl w:val="0"/>
          <w:numId w:val="5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运费月结，电汇支付。物流公司需于次月初提交签收凭证及运费清单，海亮审核后通知开票，票到后20日内付款。</w:t>
      </w:r>
    </w:p>
    <w:p w14:paraId="682D53B6">
      <w:pPr>
        <w:spacing w:before="260" w:after="120" w:line="288" w:lineRule="auto"/>
        <w:ind w:left="453"/>
        <w:jc w:val="left"/>
        <w:outlineLvl w:val="3"/>
      </w:pPr>
      <w:bookmarkStart w:id="3" w:name="heading_3"/>
      <w:r>
        <w:rPr>
          <w:rFonts w:ascii="Arial" w:hAnsi="Arial" w:eastAsia="等线" w:cs="Arial"/>
          <w:color w:val="3370FF"/>
          <w:sz w:val="28"/>
        </w:rPr>
        <w:t xml:space="preserve">2.2 </w:t>
      </w:r>
      <w:r>
        <w:rPr>
          <w:rFonts w:ascii="Arial" w:hAnsi="Arial" w:eastAsia="等线" w:cs="Arial"/>
          <w:b/>
          <w:sz w:val="28"/>
        </w:rPr>
        <w:t>运输执行要求</w:t>
      </w:r>
      <w:bookmarkEnd w:id="3"/>
    </w:p>
    <w:p w14:paraId="3A8FE311">
      <w:pPr>
        <w:numPr>
          <w:ilvl w:val="0"/>
          <w:numId w:val="6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承运责任</w:t>
      </w:r>
      <w:r>
        <w:rPr>
          <w:rFonts w:ascii="Arial" w:hAnsi="Arial" w:eastAsia="等线" w:cs="Arial"/>
          <w:sz w:val="22"/>
        </w:rPr>
        <w:t>：中标单位须承接线路全部运输任务，不得选择性承运或拒单。</w:t>
      </w:r>
    </w:p>
    <w:p w14:paraId="0066E9F1">
      <w:pPr>
        <w:numPr>
          <w:ilvl w:val="0"/>
          <w:numId w:val="7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车型规范</w:t>
      </w:r>
      <w:r>
        <w:rPr>
          <w:rFonts w:ascii="Arial" w:hAnsi="Arial" w:eastAsia="等线" w:cs="Arial"/>
          <w:sz w:val="22"/>
        </w:rPr>
        <w:t>：</w:t>
      </w:r>
    </w:p>
    <w:p w14:paraId="6C1D6475">
      <w:pPr>
        <w:numPr>
          <w:ilvl w:val="0"/>
          <w:numId w:val="8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适用车型包括9.6米以下货车、13/13.75/17.5米挂车，以及栏板、平板或飞翼车（厢式车需求极少）。</w:t>
      </w:r>
    </w:p>
    <w:p w14:paraId="67186309">
      <w:pPr>
        <w:numPr>
          <w:ilvl w:val="0"/>
          <w:numId w:val="9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运输量大的区域需每日调配数十辆9.6米以下货车及多辆挂车。</w:t>
      </w:r>
    </w:p>
    <w:p w14:paraId="781D3950">
      <w:pPr>
        <w:numPr>
          <w:ilvl w:val="0"/>
          <w:numId w:val="10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装运时效</w:t>
      </w:r>
      <w:r>
        <w:rPr>
          <w:rFonts w:ascii="Arial" w:hAnsi="Arial" w:eastAsia="等线" w:cs="Arial"/>
          <w:sz w:val="22"/>
        </w:rPr>
        <w:t>：须严格按海亮运输计划执行，确保及时装货、安全送达。</w:t>
      </w:r>
    </w:p>
    <w:p w14:paraId="120361DC">
      <w:pPr>
        <w:numPr>
          <w:ilvl w:val="0"/>
          <w:numId w:val="11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回收管理</w:t>
      </w:r>
      <w:r>
        <w:rPr>
          <w:rFonts w:ascii="Arial" w:hAnsi="Arial" w:eastAsia="等线" w:cs="Arial"/>
          <w:sz w:val="22"/>
        </w:rPr>
        <w:t>：退料及包装物回收需同步完成，若因成本过高或无法回收导致违约，将按协议追责。</w:t>
      </w:r>
    </w:p>
    <w:p w14:paraId="4B37DD3C">
      <w:pPr>
        <w:spacing w:before="260" w:after="120" w:line="288" w:lineRule="auto"/>
        <w:ind w:left="453"/>
        <w:jc w:val="left"/>
        <w:outlineLvl w:val="3"/>
      </w:pPr>
      <w:bookmarkStart w:id="4" w:name="heading_4"/>
      <w:r>
        <w:rPr>
          <w:rFonts w:ascii="Arial" w:hAnsi="Arial" w:eastAsia="等线" w:cs="Arial"/>
          <w:color w:val="3370FF"/>
          <w:sz w:val="28"/>
        </w:rPr>
        <w:t xml:space="preserve">2.3 </w:t>
      </w:r>
      <w:r>
        <w:rPr>
          <w:rFonts w:ascii="Arial" w:hAnsi="Arial" w:eastAsia="等线" w:cs="Arial"/>
          <w:b/>
          <w:sz w:val="28"/>
        </w:rPr>
        <w:t>操作规范与协调要求</w:t>
      </w:r>
      <w:bookmarkEnd w:id="4"/>
    </w:p>
    <w:p w14:paraId="0BEA7D77">
      <w:pPr>
        <w:numPr>
          <w:ilvl w:val="0"/>
          <w:numId w:val="12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合规性</w:t>
      </w:r>
      <w:r>
        <w:rPr>
          <w:rFonts w:ascii="Arial" w:hAnsi="Arial" w:eastAsia="等线" w:cs="Arial"/>
          <w:sz w:val="22"/>
        </w:rPr>
        <w:t>：遵守合同条款及海亮与客户的厂区制度。</w:t>
      </w:r>
    </w:p>
    <w:p w14:paraId="68F67F01">
      <w:pPr>
        <w:numPr>
          <w:ilvl w:val="0"/>
          <w:numId w:val="13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拼车策略</w:t>
      </w:r>
      <w:r>
        <w:rPr>
          <w:rFonts w:ascii="Arial" w:hAnsi="Arial" w:eastAsia="等线" w:cs="Arial"/>
          <w:sz w:val="22"/>
        </w:rPr>
        <w:t>：</w:t>
      </w:r>
    </w:p>
    <w:p w14:paraId="5DBC05B5">
      <w:pPr>
        <w:numPr>
          <w:ilvl w:val="0"/>
          <w:numId w:val="14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零担订单优先拼车，同方向不同客户订单需合并运输。</w:t>
      </w:r>
    </w:p>
    <w:p w14:paraId="6684E6C4">
      <w:pPr>
        <w:numPr>
          <w:ilvl w:val="0"/>
          <w:numId w:val="15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拼车需综合考虑货物特性（长度、重量、包装等）及临时计划变更，灵活调整车型。</w:t>
      </w:r>
    </w:p>
    <w:p w14:paraId="46B58C3B">
      <w:pPr>
        <w:numPr>
          <w:ilvl w:val="0"/>
          <w:numId w:val="16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签收管理</w:t>
      </w:r>
      <w:r>
        <w:rPr>
          <w:rFonts w:ascii="Arial" w:hAnsi="Arial" w:eastAsia="等线" w:cs="Arial"/>
          <w:sz w:val="22"/>
        </w:rPr>
        <w:t>：每单运输必须提供收货人签收回单，逾期回收将触发考核处罚。</w:t>
      </w:r>
    </w:p>
    <w:p w14:paraId="0B5F865D">
      <w:pPr>
        <w:spacing w:before="260" w:after="120" w:line="288" w:lineRule="auto"/>
        <w:ind w:left="453"/>
        <w:jc w:val="left"/>
        <w:outlineLvl w:val="3"/>
      </w:pPr>
      <w:bookmarkStart w:id="5" w:name="heading_5"/>
      <w:r>
        <w:rPr>
          <w:rFonts w:ascii="Arial" w:hAnsi="Arial" w:eastAsia="等线" w:cs="Arial"/>
          <w:color w:val="3370FF"/>
          <w:sz w:val="28"/>
        </w:rPr>
        <w:t xml:space="preserve">2.4 </w:t>
      </w:r>
      <w:r>
        <w:rPr>
          <w:rFonts w:ascii="Arial" w:hAnsi="Arial" w:eastAsia="等线" w:cs="Arial"/>
          <w:b/>
          <w:sz w:val="28"/>
        </w:rPr>
        <w:t>物流公司能力匹配</w:t>
      </w:r>
      <w:bookmarkEnd w:id="5"/>
    </w:p>
    <w:p w14:paraId="14CBA9B5">
      <w:pPr>
        <w:numPr>
          <w:ilvl w:val="0"/>
          <w:numId w:val="17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业务专长</w:t>
      </w:r>
      <w:r>
        <w:rPr>
          <w:rFonts w:ascii="Arial" w:hAnsi="Arial" w:eastAsia="等线" w:cs="Arial"/>
          <w:sz w:val="22"/>
        </w:rPr>
        <w:t>：明确自身优势领域（如短途/长途、零担/整车），确保中标后运力稳定。</w:t>
      </w:r>
    </w:p>
    <w:p w14:paraId="6CE5C30B">
      <w:pPr>
        <w:numPr>
          <w:ilvl w:val="0"/>
          <w:numId w:val="18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应急准备</w:t>
      </w:r>
      <w:r>
        <w:rPr>
          <w:rFonts w:ascii="Arial" w:hAnsi="Arial" w:eastAsia="等线" w:cs="Arial"/>
          <w:sz w:val="22"/>
        </w:rPr>
        <w:t>：自有车辆需作为运价波动时的后备资源，避免因合作司机拒单导致服务降级。</w:t>
      </w:r>
    </w:p>
    <w:p w14:paraId="3A0E6884">
      <w:pPr>
        <w:spacing w:before="260" w:after="120" w:line="288" w:lineRule="auto"/>
        <w:ind w:left="453"/>
        <w:jc w:val="left"/>
        <w:outlineLvl w:val="3"/>
      </w:pPr>
      <w:bookmarkStart w:id="6" w:name="heading_6"/>
      <w:r>
        <w:rPr>
          <w:rFonts w:ascii="Arial" w:hAnsi="Arial" w:eastAsia="等线" w:cs="Arial"/>
          <w:color w:val="3370FF"/>
          <w:sz w:val="28"/>
        </w:rPr>
        <w:t xml:space="preserve">2.5 </w:t>
      </w:r>
      <w:r>
        <w:rPr>
          <w:rFonts w:ascii="Arial" w:hAnsi="Arial" w:eastAsia="等线" w:cs="Arial"/>
          <w:b/>
          <w:sz w:val="28"/>
        </w:rPr>
        <w:t>运输计划动态性</w:t>
      </w:r>
      <w:bookmarkEnd w:id="6"/>
    </w:p>
    <w:p w14:paraId="3F166B63">
      <w:pPr>
        <w:numPr>
          <w:ilvl w:val="0"/>
          <w:numId w:val="19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时效要求</w:t>
      </w:r>
      <w:r>
        <w:rPr>
          <w:rFonts w:ascii="Arial" w:hAnsi="Arial" w:eastAsia="等线" w:cs="Arial"/>
          <w:sz w:val="22"/>
        </w:rPr>
        <w:t>：短途运输（200公里内）需上午装货、下午送达。</w:t>
      </w:r>
    </w:p>
    <w:p w14:paraId="6372E34D">
      <w:pPr>
        <w:numPr>
          <w:ilvl w:val="0"/>
          <w:numId w:val="20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计划变更</w:t>
      </w:r>
      <w:r>
        <w:rPr>
          <w:rFonts w:ascii="Arial" w:hAnsi="Arial" w:eastAsia="等线" w:cs="Arial"/>
          <w:sz w:val="22"/>
        </w:rPr>
        <w:t>：订单可能临时调整或取消，物流公司需具备快速响应能力。</w:t>
      </w:r>
    </w:p>
    <w:p w14:paraId="26DEC93A">
      <w:pPr>
        <w:numPr>
          <w:ilvl w:val="0"/>
          <w:numId w:val="21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全年无休</w:t>
      </w:r>
      <w:r>
        <w:rPr>
          <w:rFonts w:ascii="Arial" w:hAnsi="Arial" w:eastAsia="等线" w:cs="Arial"/>
          <w:sz w:val="22"/>
        </w:rPr>
        <w:t>：包括春节等节假日均需正常运营，司机资源需提前储备。</w:t>
      </w:r>
    </w:p>
    <w:p w14:paraId="1850F5CF">
      <w:pPr>
        <w:spacing w:before="260" w:after="120" w:line="288" w:lineRule="auto"/>
        <w:ind w:left="453"/>
        <w:jc w:val="left"/>
        <w:outlineLvl w:val="3"/>
      </w:pPr>
      <w:bookmarkStart w:id="7" w:name="heading_7"/>
      <w:r>
        <w:rPr>
          <w:rFonts w:ascii="Arial" w:hAnsi="Arial" w:eastAsia="等线" w:cs="Arial"/>
          <w:color w:val="3370FF"/>
          <w:sz w:val="28"/>
        </w:rPr>
        <w:t xml:space="preserve">2.6 </w:t>
      </w:r>
      <w:r>
        <w:rPr>
          <w:rFonts w:ascii="Arial" w:hAnsi="Arial" w:eastAsia="等线" w:cs="Arial"/>
          <w:b/>
          <w:sz w:val="28"/>
        </w:rPr>
        <w:t>驻场与人员管理</w:t>
      </w:r>
      <w:bookmarkEnd w:id="7"/>
    </w:p>
    <w:p w14:paraId="08BC723A">
      <w:pPr>
        <w:numPr>
          <w:ilvl w:val="0"/>
          <w:numId w:val="22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驻场成本</w:t>
      </w:r>
      <w:r>
        <w:rPr>
          <w:rFonts w:ascii="Arial" w:hAnsi="Arial" w:eastAsia="等线" w:cs="Arial"/>
          <w:sz w:val="22"/>
        </w:rPr>
        <w:t>：报价需涵盖现场驻场人员费用，经验丰富的驻场人员可优化运输方案，合理安排运输计划和应对运输计划变更。</w:t>
      </w:r>
    </w:p>
    <w:p w14:paraId="19058221">
      <w:pPr>
        <w:numPr>
          <w:ilvl w:val="0"/>
          <w:numId w:val="23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司机管控</w:t>
      </w:r>
      <w:r>
        <w:rPr>
          <w:rFonts w:ascii="Arial" w:hAnsi="Arial" w:eastAsia="等线" w:cs="Arial"/>
          <w:sz w:val="22"/>
        </w:rPr>
        <w:t>：</w:t>
      </w:r>
    </w:p>
    <w:p w14:paraId="102BE2D4">
      <w:pPr>
        <w:numPr>
          <w:ilvl w:val="0"/>
          <w:numId w:val="24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司机行为代表海亮形象，纠纷需通过物流公司或对接人协商解决，严禁客户现场冲突。</w:t>
      </w:r>
    </w:p>
    <w:p w14:paraId="14732A92">
      <w:pPr>
        <w:numPr>
          <w:ilvl w:val="0"/>
          <w:numId w:val="25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装卸流程需提前培训，随机车辆承运时，物流公司须专人指挥司机操作。</w:t>
      </w:r>
    </w:p>
    <w:p w14:paraId="00966047">
      <w:pPr>
        <w:spacing w:before="300" w:after="120" w:line="288" w:lineRule="auto"/>
        <w:ind w:left="0"/>
        <w:jc w:val="left"/>
        <w:outlineLvl w:val="2"/>
      </w:pPr>
      <w:bookmarkStart w:id="8" w:name="heading_8"/>
      <w:r>
        <w:rPr>
          <w:rFonts w:ascii="Arial" w:hAnsi="Arial" w:eastAsia="等线" w:cs="Arial"/>
          <w:color w:val="3370FF"/>
          <w:sz w:val="30"/>
        </w:rPr>
        <w:t xml:space="preserve">3. </w:t>
      </w:r>
      <w:r>
        <w:rPr>
          <w:rFonts w:ascii="Arial" w:hAnsi="Arial" w:eastAsia="等线" w:cs="Arial"/>
          <w:b/>
          <w:sz w:val="30"/>
        </w:rPr>
        <w:t>运输货物分类及特性</w:t>
      </w:r>
      <w:bookmarkEnd w:id="8"/>
    </w:p>
    <w:tbl>
      <w:tblPr>
        <w:tblStyle w:val="2"/>
        <w:tblW w:w="0" w:type="auto"/>
        <w:tblInd w:w="0" w:type="dxa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870"/>
        <w:gridCol w:w="3345"/>
        <w:gridCol w:w="4050"/>
      </w:tblGrid>
      <w:tr w14:paraId="32BD003E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D564E3B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b/>
                <w:sz w:val="22"/>
              </w:rPr>
              <w:t>货物类型</w:t>
            </w:r>
          </w:p>
        </w:tc>
        <w:tc>
          <w:tcPr>
            <w:tcW w:w="334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6FCFA59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b/>
                <w:sz w:val="22"/>
              </w:rPr>
              <w:t>特性与运输要求</w:t>
            </w:r>
          </w:p>
        </w:tc>
        <w:tc>
          <w:tcPr>
            <w:tcW w:w="40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E709567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b/>
                <w:sz w:val="22"/>
              </w:rPr>
              <w:t>图片</w:t>
            </w:r>
          </w:p>
        </w:tc>
      </w:tr>
      <w:tr w14:paraId="6AD57B64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2D61878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b/>
                <w:sz w:val="22"/>
              </w:rPr>
              <w:t>盘管</w:t>
            </w:r>
          </w:p>
        </w:tc>
        <w:tc>
          <w:tcPr>
            <w:tcW w:w="334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01359E7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体积：大部分1.1m×1.1m底面积，高度1.5-2m（高6-7层）；重量：平均在0.7-0.8吨/拖，但是重的可能超过1吨/拖，轻的也会低于0.5吨/拖；需加木板隔离防损。</w:t>
            </w:r>
          </w:p>
        </w:tc>
        <w:tc>
          <w:tcPr>
            <w:tcW w:w="40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B05E95E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990600" cy="1323975"/>
                  <wp:effectExtent l="0" t="0" r="0" b="1905"/>
                  <wp:docPr id="1" name="Drawing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rawing 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73E2C1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1095375" cy="1543050"/>
                  <wp:effectExtent l="0" t="0" r="1905" b="11430"/>
                  <wp:docPr id="2" name="Draw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rawing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83AA65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2419350" cy="1314450"/>
                  <wp:effectExtent l="0" t="0" r="3810" b="11430"/>
                  <wp:docPr id="3" name="Draw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rawing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C41C8C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2057400" cy="2505075"/>
                  <wp:effectExtent l="0" t="0" r="0" b="9525"/>
                  <wp:docPr id="4" name="Draw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rawing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85589A">
            <w:pPr>
              <w:spacing w:before="120" w:after="120" w:line="288" w:lineRule="auto"/>
              <w:ind w:left="0"/>
              <w:jc w:val="left"/>
            </w:pPr>
          </w:p>
        </w:tc>
      </w:tr>
      <w:tr w14:paraId="2CD0C497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ED884DF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b/>
                <w:sz w:val="22"/>
              </w:rPr>
              <w:t>直管</w:t>
            </w:r>
          </w:p>
        </w:tc>
        <w:tc>
          <w:tcPr>
            <w:tcW w:w="334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B792D0B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空心管，长度多样（不超过货车限长，普遍在3-6m，但是也有超长管超过10m），单位体积重量高于盘管。</w:t>
            </w:r>
          </w:p>
        </w:tc>
        <w:tc>
          <w:tcPr>
            <w:tcW w:w="40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E1E5B19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2209800" cy="2562225"/>
                  <wp:effectExtent l="0" t="0" r="0" b="13335"/>
                  <wp:docPr id="5" name="Draw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rawing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343506">
            <w:pPr>
              <w:spacing w:before="120" w:after="120" w:line="288" w:lineRule="auto"/>
              <w:ind w:left="0"/>
              <w:jc w:val="left"/>
            </w:pPr>
          </w:p>
        </w:tc>
      </w:tr>
      <w:tr w14:paraId="44909912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A49A801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b/>
                <w:sz w:val="22"/>
              </w:rPr>
              <w:t>铝管</w:t>
            </w:r>
          </w:p>
        </w:tc>
        <w:tc>
          <w:tcPr>
            <w:tcW w:w="334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AB6484E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木箱或托盘包装，需防碰撞。</w:t>
            </w:r>
          </w:p>
        </w:tc>
        <w:tc>
          <w:tcPr>
            <w:tcW w:w="40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92ACFC8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2047875" cy="1905000"/>
                  <wp:effectExtent l="0" t="0" r="9525" b="0"/>
                  <wp:docPr id="6" name="Draw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rawing 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9B8FAB">
            <w:pPr>
              <w:spacing w:before="120" w:after="120" w:line="288" w:lineRule="auto"/>
              <w:ind w:left="0"/>
              <w:jc w:val="left"/>
            </w:pPr>
          </w:p>
        </w:tc>
      </w:tr>
      <w:tr w14:paraId="3F2AE7D7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9BC2401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b/>
                <w:sz w:val="22"/>
              </w:rPr>
              <w:t>铜棒</w:t>
            </w:r>
          </w:p>
        </w:tc>
        <w:tc>
          <w:tcPr>
            <w:tcW w:w="334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9A7DBA5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实心铜材，长度多样（不超过货车限长，普遍在3-6m，但是也有超长管超过10m），单位体积重量高，运输时需固定防滚动。</w:t>
            </w:r>
          </w:p>
        </w:tc>
        <w:tc>
          <w:tcPr>
            <w:tcW w:w="40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519272F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2419350" cy="1428750"/>
                  <wp:effectExtent l="0" t="0" r="3810" b="3810"/>
                  <wp:docPr id="7" name="Draw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rawing 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BC946D">
            <w:pPr>
              <w:spacing w:before="120" w:after="120" w:line="288" w:lineRule="auto"/>
              <w:ind w:left="0"/>
              <w:jc w:val="left"/>
            </w:pPr>
          </w:p>
        </w:tc>
      </w:tr>
      <w:tr w14:paraId="7226E251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EE521CE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b/>
                <w:sz w:val="22"/>
              </w:rPr>
              <w:t>铜排</w:t>
            </w:r>
          </w:p>
        </w:tc>
        <w:tc>
          <w:tcPr>
            <w:tcW w:w="334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4BF3D28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扁平长条（6m为主，也会有其他长度），最常用车型是6.8米车型、9.6米车型和13米车型，需要加枕木隔离防摩擦。</w:t>
            </w:r>
          </w:p>
        </w:tc>
        <w:tc>
          <w:tcPr>
            <w:tcW w:w="40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AC086C9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1724025" cy="2238375"/>
                  <wp:effectExtent l="0" t="0" r="13335" b="1905"/>
                  <wp:docPr id="8" name="Draw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rawing 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D9E2DD">
            <w:pPr>
              <w:spacing w:before="120" w:after="120" w:line="288" w:lineRule="auto"/>
              <w:ind w:left="0"/>
              <w:jc w:val="left"/>
            </w:pPr>
          </w:p>
        </w:tc>
      </w:tr>
      <w:tr w14:paraId="1742D37C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79A2CA5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b/>
                <w:sz w:val="22"/>
              </w:rPr>
              <w:t>电解铜/锌锭等原料</w:t>
            </w:r>
          </w:p>
        </w:tc>
        <w:tc>
          <w:tcPr>
            <w:tcW w:w="334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284320F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大宗金属原料，需防潮防氧化。</w:t>
            </w:r>
          </w:p>
        </w:tc>
        <w:tc>
          <w:tcPr>
            <w:tcW w:w="40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46D05E9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2419350" cy="990600"/>
                  <wp:effectExtent l="0" t="0" r="3810" b="0"/>
                  <wp:docPr id="9" name="Draw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rawing 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102DBF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2286000" cy="1400175"/>
                  <wp:effectExtent l="0" t="0" r="0" b="1905"/>
                  <wp:docPr id="10" name="Draw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rawing 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E58FA7">
            <w:pPr>
              <w:spacing w:before="120" w:after="120" w:line="288" w:lineRule="auto"/>
              <w:ind w:left="0"/>
              <w:jc w:val="left"/>
            </w:pPr>
          </w:p>
        </w:tc>
      </w:tr>
      <w:tr w14:paraId="404A1E51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24AF19F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b/>
                <w:sz w:val="22"/>
              </w:rPr>
              <w:t>特殊货物</w:t>
            </w:r>
          </w:p>
        </w:tc>
        <w:tc>
          <w:tcPr>
            <w:tcW w:w="334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A89EA1E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包括废铜、铜沫、管件、设备、保温管等，运输频次低但需定制化方案。</w:t>
            </w:r>
          </w:p>
        </w:tc>
        <w:tc>
          <w:tcPr>
            <w:tcW w:w="40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ABF71BD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2352675" cy="1552575"/>
                  <wp:effectExtent l="0" t="0" r="9525" b="1905"/>
                  <wp:docPr id="11" name="Draw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rawing 1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B2044E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2409825" cy="1238250"/>
                  <wp:effectExtent l="0" t="0" r="13335" b="11430"/>
                  <wp:docPr id="12" name="Draw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rawing 1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05C8F0">
            <w:pPr>
              <w:spacing w:before="120" w:after="120" w:line="288" w:lineRule="auto"/>
              <w:ind w:left="0"/>
              <w:jc w:val="left"/>
            </w:pPr>
          </w:p>
        </w:tc>
      </w:tr>
      <w:tr w14:paraId="7162B1BB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8AA9CF1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b/>
                <w:sz w:val="22"/>
              </w:rPr>
              <w:t>包材回收</w:t>
            </w:r>
          </w:p>
        </w:tc>
        <w:tc>
          <w:tcPr>
            <w:tcW w:w="334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DE140BA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木托架、木盘片、木条、纸芯等需随车回收，物流公司需协调逆向运输流程。</w:t>
            </w:r>
          </w:p>
        </w:tc>
        <w:tc>
          <w:tcPr>
            <w:tcW w:w="40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9938349"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2419350" cy="752475"/>
                  <wp:effectExtent l="0" t="0" r="3810" b="9525"/>
                  <wp:docPr id="13" name="Draw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rawing 1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440B6E">
            <w:pPr>
              <w:spacing w:before="120" w:after="120" w:line="288" w:lineRule="auto"/>
              <w:ind w:left="0"/>
              <w:jc w:val="left"/>
            </w:pPr>
          </w:p>
        </w:tc>
      </w:tr>
    </w:tbl>
    <w:p w14:paraId="23451181">
      <w:pPr>
        <w:spacing w:before="300" w:after="120" w:line="288" w:lineRule="auto"/>
        <w:ind w:left="0"/>
        <w:jc w:val="left"/>
        <w:outlineLvl w:val="2"/>
      </w:pPr>
      <w:bookmarkStart w:id="9" w:name="heading_9"/>
      <w:r>
        <w:rPr>
          <w:rFonts w:ascii="Arial" w:hAnsi="Arial" w:eastAsia="等线" w:cs="Arial"/>
          <w:color w:val="3370FF"/>
          <w:sz w:val="30"/>
        </w:rPr>
        <w:t xml:space="preserve">4. </w:t>
      </w:r>
      <w:r>
        <w:rPr>
          <w:rFonts w:ascii="Arial" w:hAnsi="Arial" w:eastAsia="等线" w:cs="Arial"/>
          <w:b/>
          <w:sz w:val="30"/>
        </w:rPr>
        <w:t>当前物流合作痛点分析</w:t>
      </w:r>
      <w:bookmarkEnd w:id="9"/>
    </w:p>
    <w:p w14:paraId="4267528A">
      <w:pPr>
        <w:numPr>
          <w:ilvl w:val="0"/>
          <w:numId w:val="26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合作模式矛盾</w:t>
      </w:r>
      <w:r>
        <w:rPr>
          <w:rFonts w:ascii="Arial" w:hAnsi="Arial" w:eastAsia="等线" w:cs="Arial"/>
          <w:sz w:val="22"/>
        </w:rPr>
        <w:t>：</w:t>
      </w:r>
    </w:p>
    <w:p w14:paraId="051A05D0">
      <w:pPr>
        <w:numPr>
          <w:ilvl w:val="0"/>
          <w:numId w:val="27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大型物流公司</w:t>
      </w:r>
      <w:r>
        <w:rPr>
          <w:rFonts w:ascii="Arial" w:hAnsi="Arial" w:eastAsia="等线" w:cs="Arial"/>
          <w:sz w:val="22"/>
        </w:rPr>
        <w:t>：依赖外包车队或网约车，司机不固定，经验不足，易出现运输货损、服务下滑。</w:t>
      </w:r>
    </w:p>
    <w:p w14:paraId="6F3B2BEF">
      <w:pPr>
        <w:numPr>
          <w:ilvl w:val="0"/>
          <w:numId w:val="28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中小型专线公司</w:t>
      </w:r>
      <w:r>
        <w:rPr>
          <w:rFonts w:ascii="Arial" w:hAnsi="Arial" w:eastAsia="等线" w:cs="Arial"/>
          <w:sz w:val="22"/>
        </w:rPr>
        <w:t>：单家物流公司的运输线路覆盖有限，需要与多家中小型物流公司合作才能覆盖全部运输线路，管理成本高。</w:t>
      </w:r>
    </w:p>
    <w:p w14:paraId="1D827B89">
      <w:pPr>
        <w:numPr>
          <w:ilvl w:val="0"/>
          <w:numId w:val="29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在途追踪困难</w:t>
      </w:r>
      <w:r>
        <w:rPr>
          <w:rFonts w:ascii="Arial" w:hAnsi="Arial" w:eastAsia="等线" w:cs="Arial"/>
          <w:sz w:val="22"/>
        </w:rPr>
        <w:t>：</w:t>
      </w:r>
    </w:p>
    <w:p w14:paraId="6FE521F9">
      <w:pPr>
        <w:numPr>
          <w:ilvl w:val="0"/>
          <w:numId w:val="30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货物位置需通过电话人工确认，缺乏实时定位系统支持。</w:t>
      </w:r>
    </w:p>
    <w:p w14:paraId="3F881F52">
      <w:pPr>
        <w:numPr>
          <w:ilvl w:val="0"/>
          <w:numId w:val="31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计划波动风险</w:t>
      </w:r>
      <w:r>
        <w:rPr>
          <w:rFonts w:ascii="Arial" w:hAnsi="Arial" w:eastAsia="等线" w:cs="Arial"/>
          <w:sz w:val="22"/>
        </w:rPr>
        <w:t>：</w:t>
      </w:r>
    </w:p>
    <w:p w14:paraId="5A3914FC">
      <w:pPr>
        <w:numPr>
          <w:ilvl w:val="0"/>
          <w:numId w:val="32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运输量预估与实际操作存在偏差，预报运输计划与实际运输情况会有出入，中标公司需自行承担运力调配风险。</w:t>
      </w:r>
    </w:p>
    <w:p w14:paraId="71255C51">
      <w:pPr>
        <w:spacing w:before="120" w:after="120" w:line="288" w:lineRule="auto"/>
        <w:ind w:left="0"/>
        <w:jc w:val="left"/>
      </w:pPr>
    </w:p>
    <w:p w14:paraId="68BB9A72">
      <w:pPr>
        <w:spacing w:before="120" w:after="120" w:line="288" w:lineRule="auto"/>
        <w:ind w:left="0" w:firstLine="0"/>
        <w:jc w:val="left"/>
      </w:pPr>
    </w:p>
    <w:sectPr>
      <w:headerReference r:id="rId3" w:type="default"/>
      <w:footerReference r:id="rId4" w:type="default"/>
      <w:pgSz w:w="11905" w:h="1684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BC51A5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65EC1D">
    <w:r>
      <w:pict>
        <v:shape id="WordPictureWatermark1" o:spid="_x0000_s2049" o:spt="75" type="#_x0000_t75" style="position:absolute;left:0pt;height:697.5pt;width:414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image899"/>
          <o:lock v:ext="edit" aspectratio="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61FADE"/>
    <w:multiLevelType w:val="singleLevel"/>
    <w:tmpl w:val="8461FADE"/>
    <w:lvl w:ilvl="0" w:tentative="0">
      <w:start w:val="3"/>
      <w:numFmt w:val="decimal"/>
      <w:lvlText w:val="%1."/>
      <w:lvlJc w:val="left"/>
      <w:rPr>
        <w:color w:val="3370FF"/>
      </w:rPr>
    </w:lvl>
  </w:abstractNum>
  <w:abstractNum w:abstractNumId="1">
    <w:nsid w:val="9239341B"/>
    <w:multiLevelType w:val="singleLevel"/>
    <w:tmpl w:val="9239341B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">
    <w:nsid w:val="9288B902"/>
    <w:multiLevelType w:val="singleLevel"/>
    <w:tmpl w:val="9288B902"/>
    <w:lvl w:ilvl="0" w:tentative="0">
      <w:start w:val="2"/>
      <w:numFmt w:val="decimal"/>
      <w:lvlText w:val="%1."/>
      <w:lvlJc w:val="left"/>
      <w:rPr>
        <w:color w:val="3370FF"/>
      </w:rPr>
    </w:lvl>
  </w:abstractNum>
  <w:abstractNum w:abstractNumId="3">
    <w:nsid w:val="9C8AC8EF"/>
    <w:multiLevelType w:val="singleLevel"/>
    <w:tmpl w:val="9C8AC8EF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4">
    <w:nsid w:val="B0F1ACD9"/>
    <w:multiLevelType w:val="singleLevel"/>
    <w:tmpl w:val="B0F1ACD9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5">
    <w:nsid w:val="B5E306ED"/>
    <w:multiLevelType w:val="singleLevel"/>
    <w:tmpl w:val="B5E306ED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6">
    <w:nsid w:val="BE923771"/>
    <w:multiLevelType w:val="singleLevel"/>
    <w:tmpl w:val="BE923771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7">
    <w:nsid w:val="BF205925"/>
    <w:multiLevelType w:val="singleLevel"/>
    <w:tmpl w:val="BF205925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8">
    <w:nsid w:val="C8879AEF"/>
    <w:multiLevelType w:val="singleLevel"/>
    <w:tmpl w:val="C8879AEF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9">
    <w:nsid w:val="CF092B84"/>
    <w:multiLevelType w:val="singleLevel"/>
    <w:tmpl w:val="CF092B84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0">
    <w:nsid w:val="D7F9FE59"/>
    <w:multiLevelType w:val="singleLevel"/>
    <w:tmpl w:val="D7F9FE59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1">
    <w:nsid w:val="DCBA6B53"/>
    <w:multiLevelType w:val="singleLevel"/>
    <w:tmpl w:val="DCBA6B53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2">
    <w:nsid w:val="F4B5D9F5"/>
    <w:multiLevelType w:val="singleLevel"/>
    <w:tmpl w:val="F4B5D9F5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3">
    <w:nsid w:val="0053208E"/>
    <w:multiLevelType w:val="singleLevel"/>
    <w:tmpl w:val="0053208E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4">
    <w:nsid w:val="0248C179"/>
    <w:multiLevelType w:val="singleLevel"/>
    <w:tmpl w:val="0248C179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5">
    <w:nsid w:val="03D62ECE"/>
    <w:multiLevelType w:val="singleLevel"/>
    <w:tmpl w:val="03D62ECE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6">
    <w:nsid w:val="0E640482"/>
    <w:multiLevelType w:val="singleLevel"/>
    <w:tmpl w:val="0E640482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7">
    <w:nsid w:val="2470EC97"/>
    <w:multiLevelType w:val="singleLevel"/>
    <w:tmpl w:val="2470EC97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8">
    <w:nsid w:val="25B654F3"/>
    <w:multiLevelType w:val="singleLevel"/>
    <w:tmpl w:val="25B654F3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9">
    <w:nsid w:val="2A8F537B"/>
    <w:multiLevelType w:val="singleLevel"/>
    <w:tmpl w:val="2A8F537B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0">
    <w:nsid w:val="39A0D9AC"/>
    <w:multiLevelType w:val="singleLevel"/>
    <w:tmpl w:val="39A0D9AC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1">
    <w:nsid w:val="46A08BB8"/>
    <w:multiLevelType w:val="singleLevel"/>
    <w:tmpl w:val="46A08BB8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2">
    <w:nsid w:val="4C1BAE26"/>
    <w:multiLevelType w:val="singleLevel"/>
    <w:tmpl w:val="4C1BAE26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3">
    <w:nsid w:val="4D4DC07F"/>
    <w:multiLevelType w:val="singleLevel"/>
    <w:tmpl w:val="4D4DC07F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4">
    <w:nsid w:val="58765686"/>
    <w:multiLevelType w:val="singleLevel"/>
    <w:tmpl w:val="58765686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5">
    <w:nsid w:val="59ADCABA"/>
    <w:multiLevelType w:val="singleLevel"/>
    <w:tmpl w:val="59ADCABA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6">
    <w:nsid w:val="5A241D34"/>
    <w:multiLevelType w:val="singleLevel"/>
    <w:tmpl w:val="5A241D34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7">
    <w:nsid w:val="60382F6E"/>
    <w:multiLevelType w:val="singleLevel"/>
    <w:tmpl w:val="60382F6E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8">
    <w:nsid w:val="629F7852"/>
    <w:multiLevelType w:val="singleLevel"/>
    <w:tmpl w:val="629F7852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9">
    <w:nsid w:val="72183CF9"/>
    <w:multiLevelType w:val="singleLevel"/>
    <w:tmpl w:val="72183CF9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30">
    <w:nsid w:val="77ECEA79"/>
    <w:multiLevelType w:val="singleLevel"/>
    <w:tmpl w:val="77ECEA79"/>
    <w:lvl w:ilvl="0" w:tentative="0">
      <w:start w:val="1"/>
      <w:numFmt w:val="decimal"/>
      <w:lvlText w:val="%1."/>
      <w:lvlJc w:val="left"/>
      <w:rPr>
        <w:color w:val="3370FF"/>
      </w:rPr>
    </w:lvl>
  </w:abstractNum>
  <w:abstractNum w:abstractNumId="31">
    <w:nsid w:val="7C246926"/>
    <w:multiLevelType w:val="singleLevel"/>
    <w:tmpl w:val="7C246926"/>
    <w:lvl w:ilvl="0" w:tentative="0">
      <w:start w:val="0"/>
      <w:numFmt w:val="bullet"/>
      <w:lvlText w:val="•"/>
      <w:lvlJc w:val="left"/>
      <w:rPr>
        <w:color w:val="3370FF"/>
      </w:rPr>
    </w:lvl>
  </w:abstractNum>
  <w:num w:numId="1">
    <w:abstractNumId w:val="13"/>
  </w:num>
  <w:num w:numId="2">
    <w:abstractNumId w:val="9"/>
  </w:num>
  <w:num w:numId="3">
    <w:abstractNumId w:val="25"/>
  </w:num>
  <w:num w:numId="4">
    <w:abstractNumId w:val="7"/>
  </w:num>
  <w:num w:numId="5">
    <w:abstractNumId w:val="5"/>
  </w:num>
  <w:num w:numId="6">
    <w:abstractNumId w:val="15"/>
  </w:num>
  <w:num w:numId="7">
    <w:abstractNumId w:val="18"/>
  </w:num>
  <w:num w:numId="8">
    <w:abstractNumId w:val="29"/>
  </w:num>
  <w:num w:numId="9">
    <w:abstractNumId w:val="14"/>
  </w:num>
  <w:num w:numId="10">
    <w:abstractNumId w:val="1"/>
  </w:num>
  <w:num w:numId="11">
    <w:abstractNumId w:val="19"/>
  </w:num>
  <w:num w:numId="12">
    <w:abstractNumId w:val="26"/>
  </w:num>
  <w:num w:numId="13">
    <w:abstractNumId w:val="8"/>
  </w:num>
  <w:num w:numId="14">
    <w:abstractNumId w:val="23"/>
  </w:num>
  <w:num w:numId="15">
    <w:abstractNumId w:val="12"/>
  </w:num>
  <w:num w:numId="16">
    <w:abstractNumId w:val="17"/>
  </w:num>
  <w:num w:numId="17">
    <w:abstractNumId w:val="11"/>
  </w:num>
  <w:num w:numId="18">
    <w:abstractNumId w:val="10"/>
  </w:num>
  <w:num w:numId="19">
    <w:abstractNumId w:val="3"/>
  </w:num>
  <w:num w:numId="20">
    <w:abstractNumId w:val="22"/>
  </w:num>
  <w:num w:numId="21">
    <w:abstractNumId w:val="27"/>
  </w:num>
  <w:num w:numId="22">
    <w:abstractNumId w:val="16"/>
  </w:num>
  <w:num w:numId="23">
    <w:abstractNumId w:val="21"/>
  </w:num>
  <w:num w:numId="24">
    <w:abstractNumId w:val="4"/>
  </w:num>
  <w:num w:numId="25">
    <w:abstractNumId w:val="31"/>
  </w:num>
  <w:num w:numId="26">
    <w:abstractNumId w:val="30"/>
  </w:num>
  <w:num w:numId="27">
    <w:abstractNumId w:val="6"/>
  </w:num>
  <w:num w:numId="28">
    <w:abstractNumId w:val="28"/>
  </w:num>
  <w:num w:numId="29">
    <w:abstractNumId w:val="2"/>
  </w:num>
  <w:num w:numId="30">
    <w:abstractNumId w:val="20"/>
  </w:num>
  <w:num w:numId="31">
    <w:abstractNumId w:val="0"/>
  </w:num>
  <w:num w:numId="3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hdrShapeDefaults>
    <o:shapelayout v:ext="edit">
      <o:idmap v:ext="edit" data="2"/>
    </o:shapelayout>
  </w:hdrShapeDefaults>
  <w:compat>
    <w:useFELayout/>
    <w:splitPgBreakAndParaMark/>
    <w:compatSetting w:name="compatibilityMode" w:uri="http://schemas.microsoft.com/office/word" w:val="12"/>
  </w:compat>
  <w:rsids>
    <w:rsidRoot w:val="00000000"/>
    <w:rsid w:val="50C260C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sz w:val="21"/>
      <w:szCs w:val="22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oleObject" Target="embeddings/oleObject1.bin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6</Pages>
  <Words>1419</Words>
  <Characters>1493</Characters>
  <TotalTime>12</TotalTime>
  <ScaleCrop>false</ScaleCrop>
  <LinksUpToDate>false</LinksUpToDate>
  <CharactersWithSpaces>1503</CharactersWithSpaces>
  <Application>WPS Office_12.1.0.21541_F1E327BC-269C-435d-A152-05C5408002CA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2025-04-25T00:55:00Z</dcterms:created>
  <dc:creator>Apache POI</dc:creator>
  <cp:lastModifiedBy>流浪</cp:lastModifiedBy>
  <dcterms:modified xsi:type="dcterms:W3CDTF">2025-06-12T06:04:48Z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eyJoZGlkIjoiMWQwMmIxOTNlYjk2YWU3OTYxYTRjYzk3MWJkNGFjNjkiLCJ1c2VySWQiOiI2Njc3MjQ0NjQifQ==</vt:lpwstr>
  </property>
  <property fmtid="{D5CDD505-2E9C-101B-9397-08002B2CF9AE}" pid="3" name="KSOProductBuildVer">
    <vt:lpwstr>2052-12.1.0.21541</vt:lpwstr>
  </property>
  <property fmtid="{D5CDD505-2E9C-101B-9397-08002B2CF9AE}" pid="4" name="ICV">
    <vt:lpwstr>0ED500AA18994EFD9B806A790957E60D_12</vt:lpwstr>
  </property>
</Properties>
</file>