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新材料公司2025年铝轮毂物流运输配送项目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物流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zh-CN"/>
        </w:rPr>
        <w:t>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（注：新用户时请选择此类别，否则无法报名）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新材料公司2025年铝轮毂物流运输配送项目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吉利百矿集团下属单位新材料公司拟对2025年铝轮毂物流运输配送项目进行招标，招标范围详见下表</w:t>
      </w:r>
      <w:r>
        <w:rPr>
          <w:rFonts w:hint="eastAsia" w:ascii="微软雅黑" w:hAnsi="微软雅黑" w:eastAsia="微软雅黑" w:cs="微软雅黑"/>
          <w:color w:val="auto"/>
          <w:sz w:val="24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2.2招标范围：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678"/>
        <w:gridCol w:w="944"/>
        <w:gridCol w:w="989"/>
        <w:gridCol w:w="2233"/>
        <w:gridCol w:w="1023"/>
        <w:gridCol w:w="1114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路线序号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运输货物名称</w:t>
            </w:r>
          </w:p>
        </w:tc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起始地</w:t>
            </w:r>
          </w:p>
        </w:tc>
        <w:tc>
          <w:tcPr>
            <w:tcW w:w="1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目的地</w:t>
            </w:r>
          </w:p>
        </w:tc>
        <w:tc>
          <w:tcPr>
            <w:tcW w:w="5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运距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（公里）</w:t>
            </w:r>
          </w:p>
        </w:tc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运输方式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2025年计划运输数量（只）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标段一：不定向范围运输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铝轮毂及其它货物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以甲方计划为准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短途运输，以甲方计划为准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rFonts w:hint="eastAsia" w:ascii="微软雅黑" w:hAnsi="微软雅黑" w:eastAsia="微软雅黑" w:cs="微软雅黑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</w:t>
            </w:r>
            <w:r>
              <w:rPr>
                <w:rStyle w:val="32"/>
                <w:rFonts w:hint="eastAsia" w:ascii="微软雅黑" w:hAnsi="微软雅黑" w:eastAsia="微软雅黑" w:cs="微软雅黑"/>
                <w:lang w:val="en-US" w:eastAsia="zh-CN" w:bidi="ar"/>
              </w:rPr>
              <w:t>S</w:t>
            </w:r>
            <w:r>
              <w:rPr>
                <w:rStyle w:val="31"/>
                <w:rFonts w:hint="eastAsia" w:ascii="微软雅黑" w:hAnsi="微软雅黑" w:eastAsia="微软雅黑" w:cs="微软雅黑"/>
                <w:lang w:val="en-US" w:eastAsia="zh-CN" w:bidi="ar"/>
              </w:rPr>
              <w:t>≦500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铝轮毂及其它货物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以甲方计划为准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中途运输，以甲方计划为准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500&lt;S≦1000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铝轮毂及其它货物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以甲方计划为准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长途运输，以甲方计划为准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1000&lt;S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整车运输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标段二小计（整车）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标段划分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路线序号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运输货物名称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起始地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目的地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结算公里数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运输方式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2025年计划运输数量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标段二：不定向零担运输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铝轮毂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以甲方计划为准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短途运输，以甲方计划为准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rFonts w:hint="eastAsia" w:ascii="微软雅黑" w:hAnsi="微软雅黑" w:eastAsia="微软雅黑" w:cs="微软雅黑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</w:t>
            </w:r>
            <w:r>
              <w:rPr>
                <w:rStyle w:val="32"/>
                <w:rFonts w:hint="eastAsia" w:ascii="微软雅黑" w:hAnsi="微软雅黑" w:eastAsia="微软雅黑" w:cs="微软雅黑"/>
                <w:lang w:val="en-US" w:eastAsia="zh-CN" w:bidi="ar"/>
              </w:rPr>
              <w:t>S</w:t>
            </w:r>
            <w:r>
              <w:rPr>
                <w:rStyle w:val="31"/>
                <w:rFonts w:hint="eastAsia" w:ascii="微软雅黑" w:hAnsi="微软雅黑" w:eastAsia="微软雅黑" w:cs="微软雅黑"/>
                <w:lang w:val="en-US" w:eastAsia="zh-CN" w:bidi="ar"/>
              </w:rPr>
              <w:t>≦500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零担运输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铝轮毂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以甲方计划为准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中途运输，以甲方计划为准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500&lt;S≦1000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零担运输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铝轮毂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以甲方计划为准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长途运输，以甲方计划为准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1000&lt;S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零担运输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1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标段三小计（零担）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服务期限：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在中国境内注册，有独立法人资格和承担民事责任的能力。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遵守中华人民共和国有关法律、法规和条例。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具备道路运输主管部门颁发的《道路运输经营许可证》，且具有履行合同所必需的运输设备和能力。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近3年内不少于1例运输业绩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，且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合同总金额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在100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万元以上（业绩须附列表及对应类别的合同扫描件。合同原件扫描件须含首尾页、签字盖章页，否则按无效业绩处理）。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近年来有较好业绩且无不良商业行为；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具有良好的商业信誉和健全的财务会计制度，提供近三年的财务会计报告。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4.1.1 *凡有意参加报名的投标人，请至吉利控股集团招标采购平台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4.1.2 *报名截止时间：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道路运输许可经营证；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近三年审计报告或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税务系统下载的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财务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表（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</w:rPr>
        <w:t>近三年指202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年、202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年、202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年，审计报告优先）。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XXX；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5.1报名截止后，对所有报名单位进行资格初审，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初审合格后购买招标文件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；</w:t>
      </w:r>
    </w:p>
    <w:p>
      <w:pPr>
        <w:spacing w:line="440" w:lineRule="exact"/>
        <w:rPr>
          <w:rFonts w:hint="default" w:ascii="微软雅黑" w:hAnsi="微软雅黑" w:eastAsia="微软雅黑" w:cs="微软雅黑"/>
          <w:bCs/>
          <w:color w:val="FF000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5.2招标文件每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300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不退；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打款备注：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新材料公司2025年铝轮毂物流运输配送项目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标书费。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招标人：广西百矿新材料技术有限公司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招标组织单位：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招标组织单位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地址：广西百色市右江区永安大道1号(四塘镇)吉利百矿集团有限公司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赵  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手机号 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18577684634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Shang.Zhao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王丕朋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手机号19178625354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E-mail:Pipeng.Wang@geely.com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标书费于资格审查通过后缴纳，缴纳账户如下：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开户户名：吉利百矿集团有限公司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开户银行：建设银行百色中山支行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开户账号：45001676114050702700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科技工程与招标管理部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招标组织单位：吉利百矿集团有限公司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日期：202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年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11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日 </w:t>
      </w:r>
    </w:p>
    <w:p>
      <w:pPr>
        <w:pStyle w:val="16"/>
        <w:rPr>
          <w:rFonts w:hint="eastAsia" w:ascii="微软雅黑" w:hAnsi="微软雅黑" w:eastAsia="微软雅黑" w:cs="微软雅黑"/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8" o:spid="_x0000_s4098" o:spt="75" alt="Title: EayslinkWatermark" type="#_x0000_t75" style="position:absolute;left:0pt;height:56pt;width:120pt;mso-position-horizontal:right;mso-position-horizontal-relative:page;mso-position-vertical:top;mso-position-vertical-relative:page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r>
      <w:pict>
        <v:shape id="_x0000_s4099" o:spid="_x0000_s4099" o:spt="75" alt="Title: EayslinkWatermark" type="#_x0000_t75" style="position:absolute;left:0pt;height:56pt;width:12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/>
  <w:p/>
  <w:p/>
  <w:p/>
  <w:p>
    <w:r>
      <w:pict>
        <v:shape id="EayslinkWatermark" o:spid="_x0000_s4100" o:spt="75" alt="Title: EayslinkWatermark" type="#_x0000_t75" style="position:absolute;left:0pt;height:56pt;width:12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  <w:p/>
  <w:p>
    <w:r>
      <w:pict>
        <v:shape id="_x0000_s4097" o:spid="_x0000_s4097" o:spt="75" alt="Title: EayslinkWatermark" type="#_x0000_t75" style="position:absolute;left:0pt;height:56pt;width:12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DFFDA"/>
    <w:multiLevelType w:val="singleLevel"/>
    <w:tmpl w:val="0BFDFF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ZWVkMTZkZjVlNjU3OTRkODdkMTU1MDIxYWI5NTUifQ=="/>
  </w:docVars>
  <w:rsids>
    <w:rsidRoot w:val="00172A27"/>
    <w:rsid w:val="001D7D8F"/>
    <w:rsid w:val="00570836"/>
    <w:rsid w:val="00C2410B"/>
    <w:rsid w:val="0176292B"/>
    <w:rsid w:val="01FA1E4C"/>
    <w:rsid w:val="024D2111"/>
    <w:rsid w:val="02B046A6"/>
    <w:rsid w:val="02B510FA"/>
    <w:rsid w:val="034D6BB0"/>
    <w:rsid w:val="03CF73B2"/>
    <w:rsid w:val="04B97278"/>
    <w:rsid w:val="08066011"/>
    <w:rsid w:val="0843178C"/>
    <w:rsid w:val="0B1D3D7C"/>
    <w:rsid w:val="0E767028"/>
    <w:rsid w:val="0EC842E2"/>
    <w:rsid w:val="10EC5B3E"/>
    <w:rsid w:val="10FD4EE8"/>
    <w:rsid w:val="11DA1F24"/>
    <w:rsid w:val="11DE776B"/>
    <w:rsid w:val="11E44815"/>
    <w:rsid w:val="12165383"/>
    <w:rsid w:val="138E06B8"/>
    <w:rsid w:val="13DA2891"/>
    <w:rsid w:val="143A44EA"/>
    <w:rsid w:val="146C382B"/>
    <w:rsid w:val="14EA231D"/>
    <w:rsid w:val="15866F89"/>
    <w:rsid w:val="15FA0478"/>
    <w:rsid w:val="165A52E4"/>
    <w:rsid w:val="1689600C"/>
    <w:rsid w:val="169336AF"/>
    <w:rsid w:val="18275803"/>
    <w:rsid w:val="183B2BE1"/>
    <w:rsid w:val="18B47BD7"/>
    <w:rsid w:val="18B84619"/>
    <w:rsid w:val="19710B94"/>
    <w:rsid w:val="19B317F0"/>
    <w:rsid w:val="19EC0189"/>
    <w:rsid w:val="1A54439E"/>
    <w:rsid w:val="1AAF3709"/>
    <w:rsid w:val="1B006572"/>
    <w:rsid w:val="1BD23F86"/>
    <w:rsid w:val="1BDB2B53"/>
    <w:rsid w:val="1C5C5083"/>
    <w:rsid w:val="1DF833A9"/>
    <w:rsid w:val="1E625304"/>
    <w:rsid w:val="1EF94E9C"/>
    <w:rsid w:val="1F5E6095"/>
    <w:rsid w:val="20967991"/>
    <w:rsid w:val="21DE79D4"/>
    <w:rsid w:val="22095287"/>
    <w:rsid w:val="221C055F"/>
    <w:rsid w:val="224E7961"/>
    <w:rsid w:val="225A73C1"/>
    <w:rsid w:val="22D0336F"/>
    <w:rsid w:val="235B2DA4"/>
    <w:rsid w:val="247F5B01"/>
    <w:rsid w:val="25966783"/>
    <w:rsid w:val="25A0388E"/>
    <w:rsid w:val="26202C93"/>
    <w:rsid w:val="28001741"/>
    <w:rsid w:val="28E676DC"/>
    <w:rsid w:val="290D1F44"/>
    <w:rsid w:val="297A7364"/>
    <w:rsid w:val="2A562521"/>
    <w:rsid w:val="2AC31A97"/>
    <w:rsid w:val="2AFA6CE1"/>
    <w:rsid w:val="2BAE1354"/>
    <w:rsid w:val="2C9973F8"/>
    <w:rsid w:val="2E44718D"/>
    <w:rsid w:val="309B7A48"/>
    <w:rsid w:val="30CD4141"/>
    <w:rsid w:val="30F6566A"/>
    <w:rsid w:val="31A82723"/>
    <w:rsid w:val="32E21E22"/>
    <w:rsid w:val="33484942"/>
    <w:rsid w:val="352B1F6A"/>
    <w:rsid w:val="35492008"/>
    <w:rsid w:val="36324331"/>
    <w:rsid w:val="368057C9"/>
    <w:rsid w:val="36FA581D"/>
    <w:rsid w:val="372D5FD0"/>
    <w:rsid w:val="37617E18"/>
    <w:rsid w:val="383E03FD"/>
    <w:rsid w:val="387610B1"/>
    <w:rsid w:val="38E06631"/>
    <w:rsid w:val="3A4E5CD0"/>
    <w:rsid w:val="3A932306"/>
    <w:rsid w:val="3B61597D"/>
    <w:rsid w:val="3BC5272B"/>
    <w:rsid w:val="3C844C04"/>
    <w:rsid w:val="3CB704EE"/>
    <w:rsid w:val="3CF7166D"/>
    <w:rsid w:val="3D4249FF"/>
    <w:rsid w:val="3D527AF5"/>
    <w:rsid w:val="3EC22F71"/>
    <w:rsid w:val="3FCC2FD1"/>
    <w:rsid w:val="41646C25"/>
    <w:rsid w:val="41764A2B"/>
    <w:rsid w:val="41874A60"/>
    <w:rsid w:val="4188294A"/>
    <w:rsid w:val="420A006C"/>
    <w:rsid w:val="42E3655D"/>
    <w:rsid w:val="44BE2E8F"/>
    <w:rsid w:val="44FE459A"/>
    <w:rsid w:val="46004114"/>
    <w:rsid w:val="46C425D3"/>
    <w:rsid w:val="47285F3F"/>
    <w:rsid w:val="48102E25"/>
    <w:rsid w:val="48DB4BFB"/>
    <w:rsid w:val="495A0D27"/>
    <w:rsid w:val="4A180FA8"/>
    <w:rsid w:val="4A7531D6"/>
    <w:rsid w:val="4B165404"/>
    <w:rsid w:val="4B3F6DC9"/>
    <w:rsid w:val="4BA23901"/>
    <w:rsid w:val="4BB226CF"/>
    <w:rsid w:val="4D29462F"/>
    <w:rsid w:val="4F505DEA"/>
    <w:rsid w:val="4F732300"/>
    <w:rsid w:val="4FAC4FDD"/>
    <w:rsid w:val="4FDA433C"/>
    <w:rsid w:val="4FEB1C3C"/>
    <w:rsid w:val="4FF30377"/>
    <w:rsid w:val="506F3094"/>
    <w:rsid w:val="50EB4750"/>
    <w:rsid w:val="51517AD1"/>
    <w:rsid w:val="5272689E"/>
    <w:rsid w:val="55496A0F"/>
    <w:rsid w:val="55F41EB4"/>
    <w:rsid w:val="56B41FA9"/>
    <w:rsid w:val="57ED1672"/>
    <w:rsid w:val="595461AF"/>
    <w:rsid w:val="59631FEE"/>
    <w:rsid w:val="596439B2"/>
    <w:rsid w:val="5A63421E"/>
    <w:rsid w:val="5ACA62B5"/>
    <w:rsid w:val="5AF04D43"/>
    <w:rsid w:val="5B055025"/>
    <w:rsid w:val="5C006A47"/>
    <w:rsid w:val="5C8A4190"/>
    <w:rsid w:val="5CB87248"/>
    <w:rsid w:val="5D963C63"/>
    <w:rsid w:val="5EF15762"/>
    <w:rsid w:val="5F433BD0"/>
    <w:rsid w:val="5FFD6860"/>
    <w:rsid w:val="60213E7A"/>
    <w:rsid w:val="60681DE6"/>
    <w:rsid w:val="60AE3C5C"/>
    <w:rsid w:val="628E67D5"/>
    <w:rsid w:val="62D764DD"/>
    <w:rsid w:val="6331362E"/>
    <w:rsid w:val="64E64BB9"/>
    <w:rsid w:val="65CC5CFA"/>
    <w:rsid w:val="660D4DB6"/>
    <w:rsid w:val="676C0174"/>
    <w:rsid w:val="67A12167"/>
    <w:rsid w:val="69366FB6"/>
    <w:rsid w:val="699D2E51"/>
    <w:rsid w:val="6A357B03"/>
    <w:rsid w:val="6A631618"/>
    <w:rsid w:val="6C58731C"/>
    <w:rsid w:val="6CD2656E"/>
    <w:rsid w:val="6D3D10EF"/>
    <w:rsid w:val="6F7C517B"/>
    <w:rsid w:val="70FA6B7B"/>
    <w:rsid w:val="70FB4CE1"/>
    <w:rsid w:val="71B022EE"/>
    <w:rsid w:val="72184E0E"/>
    <w:rsid w:val="72184E79"/>
    <w:rsid w:val="727D245E"/>
    <w:rsid w:val="72D509D3"/>
    <w:rsid w:val="72DC7494"/>
    <w:rsid w:val="75E20A21"/>
    <w:rsid w:val="75EC2C69"/>
    <w:rsid w:val="762978E9"/>
    <w:rsid w:val="76515A45"/>
    <w:rsid w:val="76D07E61"/>
    <w:rsid w:val="76DB17BA"/>
    <w:rsid w:val="76E13C50"/>
    <w:rsid w:val="76E83563"/>
    <w:rsid w:val="76F94EB0"/>
    <w:rsid w:val="780B2231"/>
    <w:rsid w:val="79891BE0"/>
    <w:rsid w:val="7B0C0F79"/>
    <w:rsid w:val="7B8D442A"/>
    <w:rsid w:val="7D4D43F3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3">
    <w:name w:val="Body Text Indent"/>
    <w:basedOn w:val="1"/>
    <w:autoRedefine/>
    <w:qFormat/>
    <w:uiPriority w:val="0"/>
    <w:pPr>
      <w:ind w:firstLine="444"/>
    </w:pPr>
    <w:rPr>
      <w:b/>
      <w:sz w:val="24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qFormat/>
    <w:uiPriority w:val="0"/>
    <w:rPr>
      <w:color w:val="444444"/>
      <w:u w:val="none"/>
    </w:rPr>
  </w:style>
  <w:style w:type="character" w:styleId="14">
    <w:name w:val="Emphasis"/>
    <w:basedOn w:val="11"/>
    <w:autoRedefine/>
    <w:qFormat/>
    <w:uiPriority w:val="0"/>
    <w:rPr>
      <w:rFonts w:hint="eastAsia" w:ascii="微软雅黑" w:hAnsi="微软雅黑" w:eastAsia="微软雅黑" w:cs="微软雅黑"/>
    </w:rPr>
  </w:style>
  <w:style w:type="character" w:styleId="15">
    <w:name w:val="Hyperlink"/>
    <w:basedOn w:val="11"/>
    <w:autoRedefine/>
    <w:qFormat/>
    <w:uiPriority w:val="0"/>
    <w:rPr>
      <w:color w:val="444444"/>
      <w:u w:val="none"/>
    </w:rPr>
  </w:style>
  <w:style w:type="paragraph" w:customStyle="1" w:styleId="16">
    <w:name w:val="Default"/>
    <w:basedOn w:val="17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正文（首行缩进两字）"/>
    <w:basedOn w:val="1"/>
    <w:autoRedefine/>
    <w:qFormat/>
    <w:uiPriority w:val="0"/>
    <w:rPr>
      <w:szCs w:val="21"/>
    </w:rPr>
  </w:style>
  <w:style w:type="character" w:customStyle="1" w:styleId="18">
    <w:name w:val="enter"/>
    <w:basedOn w:val="11"/>
    <w:autoRedefine/>
    <w:qFormat/>
    <w:uiPriority w:val="0"/>
  </w:style>
  <w:style w:type="character" w:customStyle="1" w:styleId="19">
    <w:name w:val="realname"/>
    <w:basedOn w:val="11"/>
    <w:autoRedefine/>
    <w:qFormat/>
    <w:uiPriority w:val="0"/>
  </w:style>
  <w:style w:type="character" w:customStyle="1" w:styleId="20">
    <w:name w:val="realname1"/>
    <w:basedOn w:val="11"/>
    <w:autoRedefine/>
    <w:qFormat/>
    <w:uiPriority w:val="0"/>
  </w:style>
  <w:style w:type="character" w:customStyle="1" w:styleId="21">
    <w:name w:val="bwvip"/>
    <w:basedOn w:val="11"/>
    <w:autoRedefine/>
    <w:qFormat/>
    <w:uiPriority w:val="0"/>
  </w:style>
  <w:style w:type="character" w:customStyle="1" w:styleId="22">
    <w:name w:val="vip"/>
    <w:basedOn w:val="11"/>
    <w:autoRedefine/>
    <w:qFormat/>
    <w:uiPriority w:val="0"/>
  </w:style>
  <w:style w:type="character" w:customStyle="1" w:styleId="23">
    <w:name w:val="book"/>
    <w:basedOn w:val="11"/>
    <w:autoRedefine/>
    <w:qFormat/>
    <w:uiPriority w:val="0"/>
  </w:style>
  <w:style w:type="character" w:customStyle="1" w:styleId="24">
    <w:name w:val="enter1"/>
    <w:basedOn w:val="11"/>
    <w:autoRedefine/>
    <w:qFormat/>
    <w:uiPriority w:val="0"/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1"/>
    <w:autoRedefine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41"/>
    <w:basedOn w:val="11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1568</Words>
  <Characters>1795</Characters>
  <Lines>0</Lines>
  <Paragraphs>0</Paragraphs>
  <TotalTime>9</TotalTime>
  <ScaleCrop>false</ScaleCrop>
  <LinksUpToDate>false</LinksUpToDate>
  <CharactersWithSpaces>1811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heart枫林火山</cp:lastModifiedBy>
  <cp:lastPrinted>2021-03-30T08:55:00Z</cp:lastPrinted>
  <dcterms:modified xsi:type="dcterms:W3CDTF">2025-07-11T08:07:11Z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8F174C172F3D4E179351CED9E42D6DA7</vt:lpwstr>
  </property>
  <property fmtid="{D5CDD505-2E9C-101B-9397-08002B2CF9AE}" pid="3" name="KSOProductBuildVer">
    <vt:lpwstr>2052-12.1.0.16388</vt:lpwstr>
  </property>
  <property fmtid="{D5CDD505-2E9C-101B-9397-08002B2CF9AE}" pid="4" name="EagleCloud">
    <vt:lpwstr>61676334b4e8422151e43967553014381f5e06876ebe2bbce66cedec39aecaace13a7a50d2e78fc24905f2d515431157f0552615982347e1c37701d5e1d552b439364240fb3cb2ed3f5b47b5a74b7b51612a41e06f7734eefcebb32a687deebe13b1cf41e71dfad0c29cff8a1d725574ce32b09fa44973f14465bccb7f4b17c</vt:lpwstr>
  </property>
  <property fmtid="{D5CDD505-2E9C-101B-9397-08002B2CF9AE}" pid="5" name="EagleCloud1">
    <vt:lpwstr>49df1e4d4b32b794f8c868444dcdac3c27b01426c665f0ffdea988ed4b33258d4d902b5f04db7c5c2eddfa2afb887e73ec8c2eeaf45c3377547b6f757ac7c097d9e6b8a309084bada38702819b9bdf27be72d0deb07372aaa8e49578edc9a0da29c59c3f57690f828cd0a8edddfcbf5976b1cae8fbd5c2840052df7bebf90d9</vt:lpwstr>
  </property>
  <property fmtid="{D5CDD505-2E9C-101B-9397-08002B2CF9AE}" pid="6" name="EagleCloud2">
    <vt:lpwstr>be8bfb24aa93b0ab36d70d88d7432a2afa0fe83b6ff531ceba37820154ab8186997e015f937e1edff01dbfdead874081e83f8f1a6a73e1224fb33c58f4753a5b204d85de2420f45c1995db4e6770a6a8713864a865bdfeb071b056c6c43799a122726fcdc8d431b57775d604be37738aee7a9b5bae9c616321369992af4d761</vt:lpwstr>
  </property>
  <property fmtid="{D5CDD505-2E9C-101B-9397-08002B2CF9AE}" pid="7" name="EagleCloud3">
    <vt:lpwstr>db0a6bfa1324df93ab0a14066929bff8fadc5b80d00d75282aa982ae2a3ec6b2c37a784aaf57a9c2c02eb24e4ece18b672f173ab10ca3436ad83bfb2e50a0705a0fd592383ebc3d2c7cb116e663995d8a8d842bfd260bd248657351b180526304c1f40922a761b87da47c208ea6a791707a7e015f937e1edff01dbfdead8740</vt:lpwstr>
  </property>
  <property fmtid="{D5CDD505-2E9C-101B-9397-08002B2CF9AE}" pid="8" name="EagleCloud4">
    <vt:lpwstr>81e83f8f1a6a73e1224fb33c58f4753a5b2063da0efc3f0f15c1fe487cbd918a47c15f89bfbe668033b35600029fcbc81015e9dd34693f9972fb7c44e5544607bcb856b3d053ebeca91a0e991e153664a74fcf8b1973eb1d1bebe4e9431c507a05d89ab187c5aa19d1c5e3c7975793ddabc5d06d90bcc4b474ea34cc205ff83</vt:lpwstr>
  </property>
  <property fmtid="{D5CDD505-2E9C-101B-9397-08002B2CF9AE}" pid="9" name="EagleCloud5">
    <vt:lpwstr>bf53f98c2136d977e0c5854addb927dc1f65cc44cf8a00e0b22f9bdb05f81d77bba02a7c4fa1a5f05dc43a100b8d0573affd7b2e2c6922878e2fe6df1f47dc557b102cbedeaff72d99471be9b08a5ae967e0f5a7631c8bde80bf591c7659ec3f740fd8d6698a489439b5949c0f78582fb175ec37c097c8288d71477d8776d38</vt:lpwstr>
  </property>
  <property fmtid="{D5CDD505-2E9C-101B-9397-08002B2CF9AE}" pid="10" name="EagleCloud6">
    <vt:lpwstr>a8eb3968c10dd6bd9e9890adf8c9fd0e3684cf6bace4caf183b6285e098067baed8ee6cfc515fb94866606610791931f4b31b68ec1b308a95723a7fd89b2ed30650be8</vt:lpwstr>
  </property>
</Properties>
</file>