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宋体" w:hAnsi="宋体" w:eastAsia="宋体"/>
          <w:color w:val="auto"/>
        </w:rPr>
      </w:pPr>
      <w:r>
        <w:rPr>
          <w:rFonts w:hint="eastAsia" w:ascii="宋体" w:hAnsi="宋体" w:eastAsia="宋体"/>
          <w:color w:val="auto"/>
        </w:rPr>
        <w:t>招标人要求</w:t>
      </w:r>
    </w:p>
    <w:p>
      <w:pPr>
        <w:spacing w:line="400" w:lineRule="exact"/>
        <w:ind w:firstLine="422" w:firstLineChars="200"/>
        <w:outlineLvl w:val="1"/>
        <w:rPr>
          <w:rFonts w:ascii="宋体" w:hAnsi="宋体" w:eastAsia="宋体" w:cs="Arial"/>
          <w:b/>
          <w:bCs/>
          <w:color w:val="auto"/>
          <w:sz w:val="21"/>
          <w:szCs w:val="21"/>
        </w:rPr>
      </w:pPr>
      <w:bookmarkStart w:id="0" w:name="_Toc45009714"/>
      <w:bookmarkStart w:id="1" w:name="_Toc11276"/>
      <w:bookmarkStart w:id="2" w:name="_Toc14211"/>
      <w:bookmarkStart w:id="3" w:name="_Toc14759"/>
      <w:bookmarkStart w:id="4" w:name="_Toc25246"/>
      <w:bookmarkStart w:id="5" w:name="_Toc23687"/>
      <w:bookmarkStart w:id="6" w:name="_Toc13727"/>
      <w:bookmarkStart w:id="7" w:name="_Toc1957"/>
      <w:bookmarkStart w:id="8" w:name="_Toc20470"/>
      <w:bookmarkStart w:id="9" w:name="_Toc10652"/>
      <w:bookmarkStart w:id="10" w:name="_Toc12958"/>
      <w:bookmarkStart w:id="11" w:name="_Toc5798"/>
      <w:bookmarkStart w:id="12" w:name="_Toc13537"/>
      <w:r>
        <w:rPr>
          <w:rFonts w:hint="eastAsia" w:ascii="宋体" w:hAnsi="宋体" w:eastAsia="宋体" w:cs="Arial"/>
          <w:b/>
          <w:bCs/>
          <w:color w:val="auto"/>
          <w:sz w:val="21"/>
          <w:szCs w:val="21"/>
          <w:lang w:val="zh-CN"/>
        </w:rPr>
        <w:t>一、服务内容</w:t>
      </w:r>
      <w:bookmarkEnd w:id="0"/>
      <w:bookmarkEnd w:id="1"/>
      <w:bookmarkEnd w:id="2"/>
      <w:bookmarkEnd w:id="3"/>
      <w:bookmarkEnd w:id="4"/>
      <w:bookmarkEnd w:id="5"/>
      <w:bookmarkEnd w:id="6"/>
      <w:bookmarkEnd w:id="7"/>
      <w:bookmarkEnd w:id="8"/>
      <w:bookmarkEnd w:id="9"/>
      <w:bookmarkEnd w:id="10"/>
      <w:bookmarkEnd w:id="11"/>
      <w:bookmarkEnd w:id="12"/>
    </w:p>
    <w:p>
      <w:pPr>
        <w:spacing w:line="400" w:lineRule="exact"/>
        <w:ind w:firstLine="420" w:firstLineChars="200"/>
        <w:outlineLvl w:val="1"/>
        <w:rPr>
          <w:rFonts w:hint="eastAsia" w:ascii="宋体" w:hAnsi="宋体" w:eastAsia="宋体"/>
          <w:color w:val="auto"/>
          <w:szCs w:val="21"/>
          <w:lang w:val="en-US" w:eastAsia="zh-CN"/>
        </w:rPr>
      </w:pPr>
      <w:bookmarkStart w:id="13" w:name="_Toc21006"/>
      <w:bookmarkStart w:id="14" w:name="_Toc3877"/>
      <w:bookmarkStart w:id="15" w:name="_Toc17460"/>
      <w:bookmarkStart w:id="16" w:name="_Toc32619"/>
      <w:bookmarkStart w:id="17" w:name="_Toc21402"/>
      <w:bookmarkStart w:id="18" w:name="_Toc45009715"/>
      <w:bookmarkStart w:id="19" w:name="_Toc32323"/>
      <w:bookmarkStart w:id="20" w:name="_Toc24675"/>
      <w:bookmarkStart w:id="21" w:name="_Toc31004"/>
      <w:bookmarkStart w:id="22" w:name="_Toc32"/>
      <w:bookmarkStart w:id="23" w:name="_Toc23301"/>
      <w:bookmarkStart w:id="24" w:name="_Toc12705"/>
      <w:bookmarkStart w:id="25" w:name="_Toc7328"/>
      <w:r>
        <w:rPr>
          <w:rFonts w:hint="eastAsia" w:ascii="宋体" w:hAnsi="宋体" w:eastAsia="宋体"/>
          <w:color w:val="auto"/>
          <w:szCs w:val="21"/>
          <w:lang w:val="en-US" w:eastAsia="zh-CN"/>
        </w:rPr>
        <w:t>按照招标人要求，将全部货物从天津港经由哥伦比亚布埃纳文图拉港口运至哥伦比亚作业现场（坐标：西经72°24'20.42" 北纬05°29'09.12"）车板交货，不含哥伦比亚进口免税办理。物流服务包括但不限于港口地面操作服务（港口接卸货、装箱加固、绑扎加固、港口堆存、外观验收、数量清点、检重检尺、搬移、防潮防雨苫盖、货物件数拆解或绑扎合并、协助唛头整改、短倒、港口装船）、出口口岸通关服务（报检、海关编码的归类、报关单据制作、报关）、租船订舱海运、代理购买保险、目的港口卸货、清关、哥伦比亚港口所发生的一切杂费、内陆运输及运输车队办理进入作业现场所需相关资质、运途关系协调、资料交接、单据审核、货损理赔等全程服务。</w:t>
      </w:r>
      <w:bookmarkEnd w:id="13"/>
    </w:p>
    <w:p>
      <w:pPr>
        <w:spacing w:line="400" w:lineRule="exact"/>
        <w:ind w:firstLine="420" w:firstLineChars="200"/>
        <w:outlineLvl w:val="1"/>
        <w:rPr>
          <w:rFonts w:hint="eastAsia" w:ascii="宋体" w:hAnsi="宋体" w:eastAsia="宋体"/>
          <w:color w:val="auto"/>
          <w:szCs w:val="21"/>
          <w:lang w:val="en-US" w:eastAsia="zh-CN"/>
        </w:rPr>
      </w:pPr>
      <w:bookmarkStart w:id="26" w:name="_Toc12679"/>
      <w:r>
        <w:rPr>
          <w:rFonts w:hint="eastAsia" w:ascii="宋体" w:hAnsi="宋体" w:eastAsia="宋体"/>
          <w:color w:val="auto"/>
          <w:szCs w:val="21"/>
          <w:lang w:val="en-US" w:eastAsia="zh-CN"/>
        </w:rPr>
        <w:t>本批货物预计分多票报关，清关文件需要根据清关要求合单或者分单。目前货物还未出厂，箱单为预测箱单，件重尺的数据及报关金额以最终出厂数据为准。关于货物是否需要入舱，具体要求见箱单备注。部分设备易损坏，装船时要避免挤压。营房叠装时，需做好垫木防护，避免压坏房顶。</w:t>
      </w:r>
      <w:bookmarkEnd w:id="26"/>
    </w:p>
    <w:p>
      <w:pPr>
        <w:spacing w:line="400" w:lineRule="exact"/>
        <w:ind w:firstLine="420" w:firstLineChars="200"/>
        <w:outlineLvl w:val="1"/>
        <w:rPr>
          <w:rFonts w:hint="eastAsia" w:ascii="宋体" w:hAnsi="宋体" w:eastAsia="宋体"/>
          <w:color w:val="auto"/>
          <w:szCs w:val="21"/>
          <w:lang w:val="en-US" w:eastAsia="zh-CN"/>
        </w:rPr>
      </w:pPr>
      <w:bookmarkStart w:id="27" w:name="_Toc23964"/>
      <w:r>
        <w:rPr>
          <w:rFonts w:hint="eastAsia" w:ascii="宋体" w:hAnsi="宋体" w:eastAsia="宋体"/>
          <w:color w:val="auto"/>
          <w:szCs w:val="21"/>
          <w:lang w:val="en-US" w:eastAsia="zh-CN"/>
        </w:rPr>
        <w:t>运输周期要求：中标人应在货物具备集港交货条件之日起75天内将全部货物送达哥伦比亚作业现场。具体集港交货日期以渤海钻探第三钻井工程分公司的通知为准，集港交货通知至少在具备集港交货之日起前10天告知中标人，招标人7天内可完成港口交货。</w:t>
      </w:r>
      <w:bookmarkEnd w:id="27"/>
    </w:p>
    <w:p>
      <w:pPr>
        <w:spacing w:line="400" w:lineRule="exact"/>
        <w:ind w:firstLine="422" w:firstLineChars="200"/>
        <w:outlineLvl w:val="1"/>
        <w:rPr>
          <w:rFonts w:hint="eastAsia" w:ascii="宋体" w:hAnsi="宋体" w:eastAsia="宋体" w:cs="Arial"/>
          <w:b/>
          <w:bCs/>
          <w:color w:val="auto"/>
          <w:sz w:val="21"/>
          <w:szCs w:val="21"/>
          <w:lang w:val="zh-CN"/>
        </w:rPr>
      </w:pPr>
      <w:bookmarkStart w:id="28" w:name="_Toc15122"/>
      <w:r>
        <w:rPr>
          <w:rFonts w:hint="eastAsia" w:ascii="宋体" w:hAnsi="宋体" w:eastAsia="宋体" w:cs="Arial"/>
          <w:b/>
          <w:bCs/>
          <w:color w:val="auto"/>
          <w:sz w:val="21"/>
          <w:szCs w:val="21"/>
          <w:lang w:val="zh-CN"/>
        </w:rPr>
        <w:t>二、</w:t>
      </w:r>
      <w:r>
        <w:rPr>
          <w:rFonts w:hint="eastAsia" w:ascii="宋体" w:hAnsi="宋体" w:eastAsia="宋体" w:cs="Arial"/>
          <w:b/>
          <w:bCs/>
          <w:color w:val="auto"/>
          <w:sz w:val="21"/>
          <w:szCs w:val="21"/>
          <w:lang w:val="en-US" w:eastAsia="zh-CN"/>
        </w:rPr>
        <w:t>最高限价及</w:t>
      </w:r>
      <w:r>
        <w:rPr>
          <w:rFonts w:hint="eastAsia" w:ascii="宋体" w:hAnsi="宋体" w:eastAsia="宋体" w:cs="Arial"/>
          <w:b/>
          <w:bCs/>
          <w:color w:val="auto"/>
          <w:sz w:val="21"/>
          <w:szCs w:val="21"/>
          <w:lang w:val="zh-CN"/>
        </w:rPr>
        <w:t>报价要求</w:t>
      </w:r>
      <w:bookmarkEnd w:id="14"/>
      <w:bookmarkEnd w:id="15"/>
      <w:bookmarkEnd w:id="16"/>
      <w:bookmarkEnd w:id="17"/>
      <w:bookmarkEnd w:id="18"/>
      <w:bookmarkEnd w:id="19"/>
      <w:bookmarkEnd w:id="20"/>
      <w:bookmarkEnd w:id="21"/>
      <w:bookmarkEnd w:id="22"/>
      <w:bookmarkEnd w:id="23"/>
      <w:bookmarkEnd w:id="24"/>
      <w:bookmarkEnd w:id="25"/>
      <w:bookmarkEnd w:id="28"/>
    </w:p>
    <w:p>
      <w:pPr>
        <w:spacing w:line="400" w:lineRule="exact"/>
        <w:ind w:firstLine="420" w:firstLineChars="200"/>
        <w:outlineLvl w:val="1"/>
        <w:rPr>
          <w:rFonts w:hint="eastAsia" w:ascii="宋体" w:hAnsi="宋体" w:eastAsia="宋体" w:cs="Arial"/>
          <w:b w:val="0"/>
          <w:bCs w:val="0"/>
          <w:color w:val="auto"/>
          <w:sz w:val="21"/>
          <w:szCs w:val="21"/>
          <w:lang w:val="en-US" w:eastAsia="zh-CN"/>
        </w:rPr>
      </w:pPr>
      <w:bookmarkStart w:id="29" w:name="_Toc31235"/>
      <w:bookmarkStart w:id="30" w:name="_Toc8957"/>
      <w:r>
        <w:rPr>
          <w:rFonts w:hint="eastAsia" w:ascii="宋体" w:hAnsi="宋体" w:eastAsia="宋体" w:cs="Arial"/>
          <w:b w:val="0"/>
          <w:bCs w:val="0"/>
          <w:color w:val="auto"/>
          <w:sz w:val="21"/>
          <w:szCs w:val="21"/>
          <w:lang w:val="en-US" w:eastAsia="zh-CN"/>
        </w:rPr>
        <w:t>（一）最高限价</w:t>
      </w:r>
      <w:bookmarkEnd w:id="29"/>
      <w:bookmarkEnd w:id="30"/>
    </w:p>
    <w:p>
      <w:pPr>
        <w:pStyle w:val="2"/>
        <w:rPr>
          <w:rFonts w:hint="default" w:ascii="宋体" w:hAnsi="宋体" w:eastAsia="宋体" w:cstheme="minorBidi"/>
          <w:color w:val="auto"/>
          <w:kern w:val="2"/>
          <w:sz w:val="21"/>
          <w:szCs w:val="21"/>
          <w:lang w:val="en-US" w:eastAsia="zh-CN" w:bidi="ar-SA"/>
        </w:rPr>
      </w:pPr>
      <w:bookmarkStart w:id="31" w:name="OLE_LINK25"/>
      <w:bookmarkStart w:id="32" w:name="_Toc11393"/>
      <w:bookmarkStart w:id="33" w:name="_Toc31748"/>
      <w:r>
        <w:rPr>
          <w:rFonts w:hint="eastAsia" w:ascii="宋体" w:hAnsi="宋体" w:eastAsia="宋体" w:cstheme="minorBidi"/>
          <w:color w:val="auto"/>
          <w:kern w:val="2"/>
          <w:sz w:val="21"/>
          <w:szCs w:val="21"/>
          <w:lang w:val="en-US" w:eastAsia="zh-CN" w:bidi="ar-SA"/>
        </w:rPr>
        <w:t>最高限价：本项目最高限价为180万美元。</w:t>
      </w:r>
      <w:bookmarkEnd w:id="31"/>
    </w:p>
    <w:p>
      <w:pPr>
        <w:spacing w:line="400" w:lineRule="exact"/>
        <w:ind w:firstLine="420" w:firstLineChars="200"/>
        <w:outlineLvl w:val="1"/>
        <w:rPr>
          <w:rFonts w:hint="default" w:ascii="宋体" w:hAnsi="宋体" w:cs="宋体"/>
          <w:b w:val="0"/>
          <w:bCs w:val="0"/>
          <w:color w:val="000000"/>
          <w:kern w:val="0"/>
          <w:szCs w:val="21"/>
          <w:lang w:val="en-US" w:eastAsia="zh-CN"/>
        </w:rPr>
      </w:pPr>
      <w:r>
        <w:rPr>
          <w:rFonts w:hint="eastAsia" w:ascii="宋体" w:hAnsi="宋体" w:eastAsia="宋体" w:cs="Arial"/>
          <w:b w:val="0"/>
          <w:bCs w:val="0"/>
          <w:color w:val="auto"/>
          <w:sz w:val="21"/>
          <w:szCs w:val="21"/>
          <w:lang w:val="en-US" w:eastAsia="zh-CN"/>
        </w:rPr>
        <w:t>（二）</w:t>
      </w:r>
      <w:bookmarkStart w:id="34" w:name="_Toc2360"/>
      <w:bookmarkStart w:id="35" w:name="_Toc11191"/>
      <w:bookmarkStart w:id="36" w:name="_Toc45009716"/>
      <w:bookmarkStart w:id="37" w:name="_Toc14630"/>
      <w:bookmarkStart w:id="38" w:name="_Toc3702"/>
      <w:bookmarkStart w:id="39" w:name="_Toc8524"/>
      <w:bookmarkStart w:id="40" w:name="_Toc17325"/>
      <w:r>
        <w:rPr>
          <w:rFonts w:hint="eastAsia" w:ascii="宋体" w:hAnsi="宋体" w:eastAsia="宋体" w:cs="Arial"/>
          <w:b w:val="0"/>
          <w:bCs w:val="0"/>
          <w:color w:val="auto"/>
          <w:sz w:val="21"/>
          <w:szCs w:val="21"/>
          <w:lang w:val="en-US" w:eastAsia="zh-CN"/>
        </w:rPr>
        <w:t>报价要求</w:t>
      </w:r>
      <w:bookmarkEnd w:id="32"/>
      <w:bookmarkEnd w:id="33"/>
    </w:p>
    <w:p>
      <w:pPr>
        <w:widowControl/>
        <w:spacing w:line="240" w:lineRule="atLeast"/>
        <w:ind w:firstLine="422"/>
        <w:jc w:val="center"/>
        <w:rPr>
          <w:rFonts w:hint="eastAsia" w:ascii="宋体" w:hAnsi="宋体" w:cs="宋体"/>
          <w:b/>
          <w:bCs/>
          <w:color w:val="000000"/>
          <w:kern w:val="0"/>
          <w:szCs w:val="21"/>
          <w:lang w:val="en-US" w:eastAsia="zh-CN"/>
        </w:rPr>
      </w:pPr>
    </w:p>
    <w:bookmarkEnd w:id="34"/>
    <w:bookmarkEnd w:id="35"/>
    <w:bookmarkEnd w:id="36"/>
    <w:bookmarkEnd w:id="37"/>
    <w:bookmarkEnd w:id="38"/>
    <w:bookmarkEnd w:id="39"/>
    <w:bookmarkEnd w:id="40"/>
    <w:p>
      <w:pPr>
        <w:pStyle w:val="8"/>
        <w:spacing w:line="520" w:lineRule="exact"/>
        <w:ind w:firstLine="632" w:firstLineChars="300"/>
        <w:rPr>
          <w:rFonts w:hint="eastAsia" w:ascii="宋体" w:hAnsi="宋体" w:cs="宋体"/>
          <w:b/>
          <w:bCs/>
          <w:color w:val="000000"/>
          <w:kern w:val="0"/>
          <w:szCs w:val="21"/>
        </w:rPr>
      </w:pPr>
      <w:bookmarkStart w:id="41" w:name="_Toc6130"/>
      <w:bookmarkStart w:id="42" w:name="_Toc11718"/>
      <w:bookmarkStart w:id="43" w:name="_Toc8569"/>
      <w:bookmarkStart w:id="44" w:name="_Toc12215"/>
      <w:bookmarkStart w:id="45" w:name="_Toc22305"/>
      <w:bookmarkStart w:id="46" w:name="_Toc29483"/>
      <w:bookmarkStart w:id="47" w:name="_Toc21850"/>
      <w:bookmarkStart w:id="48" w:name="_Toc13015"/>
      <w:bookmarkStart w:id="49" w:name="_Toc21296"/>
      <w:bookmarkStart w:id="50" w:name="_Toc45009719"/>
      <w:bookmarkStart w:id="51" w:name="_Toc10170"/>
      <w:bookmarkStart w:id="52" w:name="_Toc922"/>
      <w:r>
        <w:rPr>
          <w:rFonts w:hint="eastAsia" w:ascii="宋体" w:hAnsi="宋体" w:eastAsia="宋体" w:cs="宋体"/>
          <w:b/>
          <w:bCs/>
          <w:color w:val="000000"/>
          <w:kern w:val="0"/>
          <w:lang w:val="en-US" w:eastAsia="zh-CN"/>
        </w:rPr>
        <w:t>天津港经由哥伦比亚布埃纳文图拉港至哥伦比亚作业现场车板交货报</w:t>
      </w:r>
      <w:r>
        <w:rPr>
          <w:rFonts w:hint="eastAsia" w:ascii="宋体" w:hAnsi="宋体" w:cs="宋体"/>
          <w:b/>
          <w:bCs/>
          <w:color w:val="000000"/>
          <w:kern w:val="0"/>
        </w:rPr>
        <w:t>价表（美元含税价）</w:t>
      </w:r>
    </w:p>
    <w:tbl>
      <w:tblPr>
        <w:tblStyle w:val="6"/>
        <w:tblpPr w:leftFromText="180" w:rightFromText="180" w:vertAnchor="text" w:horzAnchor="page" w:tblpXSpec="center" w:tblpY="294"/>
        <w:tblOverlap w:val="never"/>
        <w:tblW w:w="9865" w:type="dxa"/>
        <w:jc w:val="center"/>
        <w:tblLayout w:type="fixed"/>
        <w:tblCellMar>
          <w:top w:w="0" w:type="dxa"/>
          <w:left w:w="108" w:type="dxa"/>
          <w:bottom w:w="0" w:type="dxa"/>
          <w:right w:w="108" w:type="dxa"/>
        </w:tblCellMar>
      </w:tblPr>
      <w:tblGrid>
        <w:gridCol w:w="796"/>
        <w:gridCol w:w="3790"/>
        <w:gridCol w:w="1615"/>
        <w:gridCol w:w="1214"/>
        <w:gridCol w:w="1080"/>
        <w:gridCol w:w="1370"/>
      </w:tblGrid>
      <w:tr>
        <w:tblPrEx>
          <w:tblCellMar>
            <w:top w:w="0" w:type="dxa"/>
            <w:left w:w="108" w:type="dxa"/>
            <w:bottom w:w="0" w:type="dxa"/>
            <w:right w:w="108" w:type="dxa"/>
          </w:tblCellMar>
        </w:tblPrEx>
        <w:trPr>
          <w:trHeight w:val="432"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序号</w:t>
            </w:r>
          </w:p>
        </w:tc>
        <w:tc>
          <w:tcPr>
            <w:tcW w:w="37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费用名称</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数量</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单价</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总价</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3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32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7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港口杂费（包括报关费、文件费、设备交接单费、舱单费、安保费、加固费、港杂费、THC、CHC、VGM过磅称重费、装卸费、仓储费、短倒费等费用）（美元）</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rPr>
            </w:pPr>
            <w:r>
              <w:rPr>
                <w:rFonts w:hint="eastAsia" w:ascii="宋体" w:hAnsi="宋体"/>
                <w:sz w:val="20"/>
                <w:szCs w:val="20"/>
                <w:highlight w:val="none"/>
                <w:lang w:val="en-US" w:eastAsia="zh-CN"/>
              </w:rPr>
              <w:t>10000计费吨</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76" w:hRule="atLeast"/>
          <w:jc w:val="center"/>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7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海运费（美元）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rPr>
            </w:pPr>
            <w:r>
              <w:rPr>
                <w:rFonts w:hint="eastAsia" w:ascii="宋体" w:hAnsi="宋体"/>
                <w:sz w:val="20"/>
                <w:szCs w:val="20"/>
                <w:highlight w:val="none"/>
                <w:lang w:val="en-US" w:eastAsia="zh-CN"/>
              </w:rPr>
              <w:t>10000计费吨</w:t>
            </w:r>
          </w:p>
        </w:tc>
        <w:tc>
          <w:tcPr>
            <w:tcW w:w="121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7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52" w:hRule="atLeast"/>
          <w:jc w:val="center"/>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3790"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哥伦比亚布埃纳文图拉港港口卸船、清关、港口所有杂费、内陆运输及运输车队办理进入作业现场所需相关资质（不含进口免税办理）、社区协调（哥伦比亚社区关系复杂）、运途关系协调等所有费用。</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sz w:val="20"/>
                <w:szCs w:val="20"/>
                <w:highlight w:val="none"/>
                <w:lang w:val="en-US" w:eastAsia="zh-CN"/>
              </w:rPr>
              <w:t>10000计费吨</w:t>
            </w:r>
          </w:p>
        </w:tc>
        <w:tc>
          <w:tcPr>
            <w:tcW w:w="121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7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52" w:hRule="atLeast"/>
          <w:jc w:val="center"/>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37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全程保险费（美元）(包含海洋货物运输一切险）</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1400</w:t>
            </w:r>
            <w:r>
              <w:rPr>
                <w:rFonts w:hint="eastAsia" w:ascii="宋体" w:hAnsi="宋体" w:cs="宋体"/>
                <w:kern w:val="0"/>
                <w:sz w:val="20"/>
                <w:szCs w:val="20"/>
                <w:highlight w:val="none"/>
              </w:rPr>
              <w:t>0000美元</w:t>
            </w:r>
          </w:p>
        </w:tc>
        <w:tc>
          <w:tcPr>
            <w:tcW w:w="121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1.1X费率</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单价栏补填费率</w:t>
            </w:r>
          </w:p>
        </w:tc>
      </w:tr>
      <w:tr>
        <w:tblPrEx>
          <w:tblCellMar>
            <w:top w:w="0" w:type="dxa"/>
            <w:left w:w="108" w:type="dxa"/>
            <w:bottom w:w="0" w:type="dxa"/>
            <w:right w:w="108" w:type="dxa"/>
          </w:tblCellMar>
        </w:tblPrEx>
        <w:trPr>
          <w:trHeight w:val="452" w:hRule="atLeast"/>
          <w:jc w:val="center"/>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37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宋体" w:hAnsi="宋体" w:cs="宋体"/>
                <w:kern w:val="0"/>
                <w:sz w:val="18"/>
                <w:szCs w:val="18"/>
              </w:rPr>
            </w:pPr>
            <w:r>
              <w:rPr>
                <w:rFonts w:hint="eastAsia" w:ascii="宋体" w:hAnsi="宋体" w:cs="宋体"/>
                <w:kern w:val="0"/>
                <w:sz w:val="20"/>
                <w:szCs w:val="20"/>
                <w:highlight w:val="none"/>
              </w:rPr>
              <w:t>其它费用（如有请注明收费单价</w:t>
            </w:r>
            <w:r>
              <w:rPr>
                <w:rFonts w:hint="eastAsia" w:ascii="宋体" w:hAnsi="宋体" w:cs="宋体"/>
                <w:kern w:val="0"/>
                <w:sz w:val="20"/>
                <w:szCs w:val="20"/>
                <w:highlight w:val="none"/>
                <w:lang w:val="en-US" w:eastAsia="zh-CN"/>
              </w:rPr>
              <w:t>和</w:t>
            </w:r>
            <w:r>
              <w:rPr>
                <w:rFonts w:hint="eastAsia" w:ascii="宋体" w:hAnsi="宋体" w:cs="宋体"/>
                <w:kern w:val="0"/>
                <w:sz w:val="20"/>
                <w:szCs w:val="20"/>
                <w:highlight w:val="none"/>
              </w:rPr>
              <w:t>总价）</w:t>
            </w:r>
          </w:p>
        </w:tc>
        <w:tc>
          <w:tcPr>
            <w:tcW w:w="161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highlight w:val="none"/>
                <w:lang w:val="en-US" w:eastAsia="zh-CN"/>
              </w:rPr>
            </w:pPr>
            <w:r>
              <w:rPr>
                <w:rFonts w:hint="eastAsia" w:ascii="宋体" w:hAnsi="宋体"/>
                <w:sz w:val="20"/>
                <w:szCs w:val="20"/>
                <w:highlight w:val="none"/>
                <w:lang w:val="en-US" w:eastAsia="zh-CN"/>
              </w:rPr>
              <w:t>10000计费吨</w:t>
            </w:r>
          </w:p>
        </w:tc>
        <w:tc>
          <w:tcPr>
            <w:tcW w:w="121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96" w:hRule="atLeast"/>
          <w:jc w:val="center"/>
        </w:trPr>
        <w:tc>
          <w:tcPr>
            <w:tcW w:w="6201" w:type="dxa"/>
            <w:gridSpan w:val="3"/>
            <w:tcBorders>
              <w:top w:val="nil"/>
              <w:left w:val="single" w:color="auto" w:sz="4" w:space="0"/>
              <w:bottom w:val="single" w:color="auto" w:sz="4" w:space="0"/>
              <w:right w:val="single" w:color="auto" w:sz="4" w:space="0"/>
            </w:tcBorders>
            <w:noWrap w:val="0"/>
            <w:vAlign w:val="center"/>
          </w:tcPr>
          <w:p>
            <w:pPr>
              <w:widowControl/>
              <w:jc w:val="center"/>
            </w:pPr>
            <w:r>
              <w:rPr>
                <w:rFonts w:hint="eastAsia"/>
                <w:b/>
                <w:bCs/>
              </w:rPr>
              <w:t>中国天津港</w:t>
            </w:r>
            <w:r>
              <w:rPr>
                <w:rFonts w:hint="eastAsia" w:ascii="宋体" w:hAnsi="宋体" w:cs="宋体"/>
                <w:b/>
                <w:bCs/>
                <w:color w:val="000000"/>
                <w:kern w:val="0"/>
              </w:rPr>
              <w:t>－</w:t>
            </w:r>
            <w:r>
              <w:rPr>
                <w:rFonts w:hint="eastAsia" w:ascii="宋体" w:hAnsi="宋体" w:cs="宋体"/>
                <w:b/>
                <w:bCs/>
                <w:color w:val="000000"/>
                <w:kern w:val="0"/>
                <w:lang w:val="en-US" w:eastAsia="zh-CN"/>
              </w:rPr>
              <w:t>哥伦比亚作业现场车板交货</w:t>
            </w:r>
            <w:r>
              <w:rPr>
                <w:rFonts w:hint="eastAsia" w:ascii="宋体" w:hAnsi="宋体" w:cs="宋体"/>
                <w:b/>
                <w:bCs/>
                <w:color w:val="000000"/>
                <w:kern w:val="0"/>
              </w:rPr>
              <w:t>（港到</w:t>
            </w:r>
            <w:r>
              <w:rPr>
                <w:rFonts w:hint="eastAsia" w:ascii="宋体" w:hAnsi="宋体" w:cs="宋体"/>
                <w:b/>
                <w:bCs/>
                <w:color w:val="000000"/>
                <w:kern w:val="0"/>
                <w:lang w:val="en-US" w:eastAsia="zh-CN"/>
              </w:rPr>
              <w:t>门</w:t>
            </w:r>
            <w:r>
              <w:rPr>
                <w:rFonts w:hint="eastAsia" w:ascii="宋体" w:hAnsi="宋体" w:cs="宋体"/>
                <w:b/>
                <w:bCs/>
                <w:color w:val="000000"/>
                <w:kern w:val="0"/>
              </w:rPr>
              <w:t>）</w:t>
            </w:r>
            <w:r>
              <w:rPr>
                <w:rFonts w:hint="eastAsia"/>
                <w:b/>
                <w:bCs/>
              </w:rPr>
              <w:t>全部物流费用总计（美元）</w:t>
            </w:r>
            <w:r>
              <w:rPr>
                <w:rFonts w:hint="eastAsia" w:ascii="宋体" w:hAnsi="宋体" w:cs="宋体"/>
                <w:kern w:val="0"/>
                <w:sz w:val="20"/>
                <w:szCs w:val="20"/>
              </w:rPr>
              <w:t xml:space="preserve">      </w:t>
            </w:r>
            <w:r>
              <w:rPr>
                <w:rFonts w:hint="eastAsia" w:ascii="宋体" w:hAnsi="宋体" w:cs="宋体"/>
                <w:b/>
                <w:bCs/>
                <w:color w:val="000000"/>
                <w:kern w:val="0"/>
                <w:szCs w:val="21"/>
              </w:rPr>
              <w:t>总价=（1+2+3+4+5）</w:t>
            </w:r>
          </w:p>
        </w:tc>
        <w:tc>
          <w:tcPr>
            <w:tcW w:w="366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bl>
    <w:p>
      <w:pPr>
        <w:keepNext w:val="0"/>
        <w:keepLines w:val="0"/>
        <w:pageBreakBefore w:val="0"/>
        <w:kinsoku/>
        <w:wordWrap/>
        <w:overflowPunct/>
        <w:topLinePunct w:val="0"/>
        <w:autoSpaceDE/>
        <w:autoSpaceDN/>
        <w:bidi w:val="0"/>
        <w:adjustRightInd/>
        <w:snapToGrid/>
        <w:spacing w:line="240" w:lineRule="auto"/>
        <w:ind w:firstLine="360"/>
        <w:textAlignment w:val="auto"/>
        <w:rPr>
          <w:rFonts w:hint="eastAsia" w:ascii="宋体" w:hAnsi="宋体"/>
          <w:sz w:val="18"/>
          <w:szCs w:val="18"/>
        </w:rPr>
      </w:pPr>
    </w:p>
    <w:p>
      <w:pPr>
        <w:keepNext w:val="0"/>
        <w:keepLines w:val="0"/>
        <w:pageBreakBefore w:val="0"/>
        <w:kinsoku/>
        <w:wordWrap/>
        <w:overflowPunct/>
        <w:topLinePunct w:val="0"/>
        <w:autoSpaceDE/>
        <w:autoSpaceDN/>
        <w:bidi w:val="0"/>
        <w:adjustRightInd/>
        <w:snapToGrid/>
        <w:spacing w:line="240" w:lineRule="auto"/>
        <w:ind w:firstLine="360"/>
        <w:textAlignment w:val="auto"/>
        <w:rPr>
          <w:rFonts w:hint="eastAsia" w:ascii="宋体" w:hAnsi="宋体"/>
          <w:sz w:val="18"/>
          <w:szCs w:val="18"/>
        </w:rPr>
      </w:pPr>
      <w:r>
        <w:rPr>
          <w:rFonts w:hint="eastAsia" w:ascii="宋体" w:hAnsi="宋体"/>
          <w:sz w:val="18"/>
          <w:szCs w:val="18"/>
        </w:rPr>
        <w:t>投标单位：（盖章）　     　　法定代表人（或授权代表）：（签字）　  　      日期：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53" w:name="_Toc30846"/>
      <w:r>
        <w:rPr>
          <w:rFonts w:hint="eastAsia" w:asciiTheme="minorEastAsia" w:hAnsiTheme="minorEastAsia" w:eastAsiaTheme="minorEastAsia" w:cstheme="minorEastAsia"/>
          <w:b w:val="0"/>
          <w:bCs/>
          <w:color w:val="auto"/>
          <w:sz w:val="21"/>
          <w:szCs w:val="21"/>
          <w:lang w:val="zh-CN" w:eastAsia="zh-CN"/>
        </w:rPr>
        <w:t>报价说明:</w:t>
      </w:r>
      <w:bookmarkEnd w:id="5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en-US" w:eastAsia="zh-CN"/>
        </w:rPr>
      </w:pPr>
      <w:bookmarkStart w:id="54" w:name="_Toc8716"/>
      <w:r>
        <w:rPr>
          <w:rFonts w:hint="eastAsia" w:asciiTheme="minorEastAsia" w:hAnsiTheme="minorEastAsia" w:eastAsiaTheme="minorEastAsia" w:cstheme="minorEastAsia"/>
          <w:b w:val="0"/>
          <w:bCs/>
          <w:color w:val="auto"/>
          <w:sz w:val="21"/>
          <w:szCs w:val="21"/>
          <w:lang w:val="zh-CN" w:eastAsia="zh-CN"/>
        </w:rPr>
        <w:t>1.除非合同中另有规定，本报价应为完成本次天津港</w:t>
      </w:r>
      <w:r>
        <w:rPr>
          <w:rFonts w:hint="eastAsia" w:asciiTheme="minorEastAsia" w:hAnsiTheme="minorEastAsia" w:eastAsiaTheme="minorEastAsia" w:cstheme="minorEastAsia"/>
          <w:b w:val="0"/>
          <w:bCs/>
          <w:color w:val="auto"/>
          <w:sz w:val="21"/>
          <w:szCs w:val="21"/>
          <w:lang w:val="en-US" w:eastAsia="zh-CN"/>
        </w:rPr>
        <w:t>口</w:t>
      </w:r>
      <w:r>
        <w:rPr>
          <w:rFonts w:hint="eastAsia" w:asciiTheme="minorEastAsia" w:hAnsiTheme="minorEastAsia" w:eastAsiaTheme="minorEastAsia" w:cstheme="minorEastAsia"/>
          <w:b w:val="0"/>
          <w:bCs/>
          <w:color w:val="auto"/>
          <w:sz w:val="21"/>
          <w:szCs w:val="21"/>
          <w:lang w:val="zh-CN" w:eastAsia="zh-CN"/>
        </w:rPr>
        <w:t>接货</w:t>
      </w:r>
      <w:r>
        <w:rPr>
          <w:rFonts w:hint="eastAsia" w:asciiTheme="minorEastAsia" w:hAnsiTheme="minorEastAsia" w:eastAsiaTheme="minorEastAsia" w:cstheme="minorEastAsia"/>
          <w:b w:val="0"/>
          <w:bCs/>
          <w:color w:val="auto"/>
          <w:sz w:val="21"/>
          <w:szCs w:val="21"/>
          <w:lang w:val="en-US" w:eastAsia="zh-CN"/>
        </w:rPr>
        <w:t>运至哥伦比亚作业现场车板交货（不含哥伦比亚进口免税办理手续）</w:t>
      </w:r>
      <w:r>
        <w:rPr>
          <w:rFonts w:hint="eastAsia" w:asciiTheme="minorEastAsia" w:hAnsiTheme="minorEastAsia" w:eastAsiaTheme="minorEastAsia" w:cstheme="minorEastAsia"/>
          <w:b w:val="0"/>
          <w:bCs/>
          <w:color w:val="auto"/>
          <w:sz w:val="21"/>
          <w:szCs w:val="21"/>
          <w:lang w:val="zh-CN" w:eastAsia="zh-CN"/>
        </w:rPr>
        <w:t>所发生的各项费用总和。投标人要综合考虑各种因素，报出所有可能的、合理的、且必要的费用，如后期结算中</w:t>
      </w:r>
      <w:bookmarkStart w:id="55" w:name="OLE_LINK19"/>
      <w:r>
        <w:rPr>
          <w:rFonts w:hint="eastAsia" w:asciiTheme="minorEastAsia" w:hAnsiTheme="minorEastAsia" w:eastAsiaTheme="minorEastAsia" w:cstheme="minorEastAsia"/>
          <w:b w:val="0"/>
          <w:bCs/>
          <w:color w:val="auto"/>
          <w:sz w:val="21"/>
          <w:szCs w:val="21"/>
          <w:lang w:val="zh-CN" w:eastAsia="zh-CN"/>
        </w:rPr>
        <w:t>除计费吨和货物总价值变化引起的报价增加之外的其它非</w:t>
      </w:r>
      <w:r>
        <w:rPr>
          <w:rFonts w:hint="eastAsia" w:asciiTheme="minorEastAsia" w:hAnsiTheme="minorEastAsia" w:eastAsiaTheme="minorEastAsia" w:cstheme="minorEastAsia"/>
          <w:b w:val="0"/>
          <w:bCs/>
          <w:color w:val="auto"/>
          <w:sz w:val="21"/>
          <w:szCs w:val="21"/>
          <w:lang w:val="en-US" w:eastAsia="zh-CN"/>
        </w:rPr>
        <w:t>招标人</w:t>
      </w:r>
      <w:r>
        <w:rPr>
          <w:rFonts w:hint="eastAsia" w:asciiTheme="minorEastAsia" w:hAnsiTheme="minorEastAsia" w:eastAsiaTheme="minorEastAsia" w:cstheme="minorEastAsia"/>
          <w:b w:val="0"/>
          <w:bCs/>
          <w:color w:val="auto"/>
          <w:sz w:val="21"/>
          <w:szCs w:val="21"/>
          <w:lang w:val="zh-CN" w:eastAsia="zh-CN"/>
        </w:rPr>
        <w:t>因素引起的额外费用</w:t>
      </w:r>
      <w:r>
        <w:rPr>
          <w:rFonts w:hint="eastAsia" w:asciiTheme="minorEastAsia" w:hAnsiTheme="minorEastAsia" w:eastAsiaTheme="minorEastAsia" w:cstheme="minorEastAsia"/>
          <w:b w:val="0"/>
          <w:bCs/>
          <w:color w:val="auto"/>
          <w:sz w:val="21"/>
          <w:szCs w:val="21"/>
          <w:lang w:val="en-US" w:eastAsia="zh-CN"/>
        </w:rPr>
        <w:t>和因招标人因素产生的招标报价外的费用（投标人必须提前与渤海钻探钻井三公司进行沟通并书面确认费用）没有经过渤海钻探钻井三公司书面确认，招标人</w:t>
      </w:r>
      <w:r>
        <w:rPr>
          <w:rFonts w:hint="eastAsia" w:asciiTheme="minorEastAsia" w:hAnsiTheme="minorEastAsia" w:eastAsiaTheme="minorEastAsia" w:cstheme="minorEastAsia"/>
          <w:b w:val="0"/>
          <w:bCs/>
          <w:color w:val="auto"/>
          <w:sz w:val="21"/>
          <w:szCs w:val="21"/>
          <w:lang w:val="zh-CN" w:eastAsia="zh-CN"/>
        </w:rPr>
        <w:t>将不予以接受，由投标人自行承担。</w:t>
      </w:r>
      <w:bookmarkEnd w:id="54"/>
      <w:bookmarkEnd w:id="5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56" w:name="_Toc27165"/>
      <w:r>
        <w:rPr>
          <w:rFonts w:hint="eastAsia" w:asciiTheme="minorEastAsia" w:hAnsiTheme="minorEastAsia" w:eastAsiaTheme="minorEastAsia" w:cstheme="minorEastAsia"/>
          <w:b w:val="0"/>
          <w:bCs/>
          <w:color w:val="auto"/>
          <w:sz w:val="21"/>
          <w:szCs w:val="21"/>
          <w:lang w:val="zh-CN" w:eastAsia="zh-CN"/>
        </w:rPr>
        <w:t>2.价格表中单价为所运设备（货物）</w:t>
      </w:r>
      <w:r>
        <w:rPr>
          <w:rFonts w:hint="eastAsia" w:asciiTheme="minorEastAsia" w:hAnsiTheme="minorEastAsia" w:eastAsiaTheme="minorEastAsia" w:cstheme="minorEastAsia"/>
          <w:b w:val="0"/>
          <w:bCs/>
          <w:color w:val="auto"/>
          <w:sz w:val="21"/>
          <w:szCs w:val="21"/>
          <w:lang w:val="en-US" w:eastAsia="zh-CN"/>
        </w:rPr>
        <w:t>从天津港</w:t>
      </w:r>
      <w:r>
        <w:rPr>
          <w:rFonts w:hint="eastAsia" w:asciiTheme="minorEastAsia" w:hAnsiTheme="minorEastAsia" w:eastAsiaTheme="minorEastAsia" w:cstheme="minorEastAsia"/>
          <w:b w:val="0"/>
          <w:bCs/>
          <w:color w:val="auto"/>
          <w:sz w:val="21"/>
          <w:szCs w:val="21"/>
          <w:lang w:val="zh-CN" w:eastAsia="zh-CN"/>
        </w:rPr>
        <w:t>到</w:t>
      </w:r>
      <w:r>
        <w:rPr>
          <w:rFonts w:hint="eastAsia" w:asciiTheme="minorEastAsia" w:hAnsiTheme="minorEastAsia" w:eastAsiaTheme="minorEastAsia" w:cstheme="minorEastAsia"/>
          <w:b w:val="0"/>
          <w:bCs/>
          <w:color w:val="auto"/>
          <w:sz w:val="21"/>
          <w:szCs w:val="21"/>
          <w:lang w:val="en-US" w:eastAsia="zh-CN"/>
        </w:rPr>
        <w:t>哥伦比亚作业现场车板交货（不含哥伦比亚进口免税办理手续）的</w:t>
      </w:r>
      <w:r>
        <w:rPr>
          <w:rFonts w:hint="eastAsia" w:asciiTheme="minorEastAsia" w:hAnsiTheme="minorEastAsia" w:eastAsiaTheme="minorEastAsia" w:cstheme="minorEastAsia"/>
          <w:b w:val="0"/>
          <w:bCs/>
          <w:color w:val="auto"/>
          <w:sz w:val="21"/>
          <w:szCs w:val="21"/>
          <w:lang w:val="zh-CN" w:eastAsia="zh-CN"/>
        </w:rPr>
        <w:t>固定不变价格。序号1、2、</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lang w:val="zh-CN" w:eastAsia="zh-CN"/>
        </w:rPr>
        <w:t>项单价按照（美元/计费吨）报价，序号</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eastAsia="zh-CN"/>
        </w:rPr>
        <w:t>项单价栏补填费率</w:t>
      </w:r>
      <w:r>
        <w:rPr>
          <w:rFonts w:hint="eastAsia" w:asciiTheme="minorEastAsia" w:hAnsiTheme="minorEastAsia" w:eastAsiaTheme="minorEastAsia" w:cstheme="minorEastAsia"/>
          <w:b w:val="0"/>
          <w:bCs/>
          <w:color w:val="auto"/>
          <w:sz w:val="21"/>
          <w:szCs w:val="21"/>
          <w:lang w:val="en-US" w:eastAsia="zh-CN"/>
        </w:rPr>
        <w:t>计算总价</w:t>
      </w:r>
      <w:r>
        <w:rPr>
          <w:rFonts w:hint="eastAsia" w:asciiTheme="minorEastAsia" w:hAnsiTheme="minorEastAsia" w:eastAsiaTheme="minorEastAsia" w:cstheme="minorEastAsia"/>
          <w:b w:val="0"/>
          <w:bCs/>
          <w:color w:val="auto"/>
          <w:sz w:val="21"/>
          <w:szCs w:val="21"/>
          <w:lang w:val="zh-CN" w:eastAsia="zh-CN"/>
        </w:rPr>
        <w:t>。</w:t>
      </w:r>
      <w:bookmarkEnd w:id="5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57" w:name="_Toc7851"/>
      <w:r>
        <w:rPr>
          <w:rFonts w:hint="eastAsia" w:asciiTheme="minorEastAsia" w:hAnsiTheme="minorEastAsia" w:eastAsiaTheme="minorEastAsia" w:cstheme="minorEastAsia"/>
          <w:b w:val="0"/>
          <w:bCs/>
          <w:color w:val="auto"/>
          <w:sz w:val="21"/>
          <w:szCs w:val="21"/>
          <w:lang w:val="zh-CN" w:eastAsia="zh-CN"/>
        </w:rPr>
        <w:t>3.当分项价之和与总价不符时，以分项价为准。</w:t>
      </w:r>
      <w:bookmarkEnd w:id="5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58" w:name="_Toc2539"/>
      <w:bookmarkStart w:id="59" w:name="OLE_LINK30"/>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eastAsia="zh-CN"/>
        </w:rPr>
        <w:t>目的港船舶滞期费：由于中标人原因或船公司原因（包</w:t>
      </w:r>
      <w:r>
        <w:rPr>
          <w:rFonts w:hint="eastAsia" w:asciiTheme="minorEastAsia" w:hAnsiTheme="minorEastAsia" w:eastAsiaTheme="minorEastAsia" w:cstheme="minorEastAsia"/>
          <w:b w:val="0"/>
          <w:bCs/>
          <w:color w:val="auto"/>
          <w:sz w:val="21"/>
          <w:szCs w:val="21"/>
          <w:lang w:val="en-US" w:eastAsia="zh-CN"/>
        </w:rPr>
        <w:t>括</w:t>
      </w:r>
      <w:r>
        <w:rPr>
          <w:rFonts w:hint="eastAsia" w:asciiTheme="minorEastAsia" w:hAnsiTheme="minorEastAsia" w:eastAsiaTheme="minorEastAsia" w:cstheme="minorEastAsia"/>
          <w:b w:val="0"/>
          <w:bCs/>
          <w:color w:val="auto"/>
          <w:sz w:val="21"/>
          <w:szCs w:val="21"/>
          <w:lang w:val="zh-CN" w:eastAsia="zh-CN"/>
        </w:rPr>
        <w:t>但不限于港口、港口装卸时间及港口当局原因、客观因素等）产生的滞期费由中标人和船公司自行协商解决并自行承担；船泊具备靠泊条件，但由于招标人原因致使船舶在锚地等待，免责等待天数5天，超过5天而产生的滞期费由招标人承担，经招标人和中标人双方协商确认，滞期费费率按照双方约定执行，其固定费率不得超过</w:t>
      </w:r>
      <w:r>
        <w:rPr>
          <w:rFonts w:hint="eastAsia" w:asciiTheme="minorEastAsia" w:hAnsiTheme="minorEastAsia" w:eastAsiaTheme="minorEastAsia" w:cstheme="minorEastAsia"/>
          <w:b w:val="0"/>
          <w:bCs/>
          <w:color w:val="auto"/>
          <w:sz w:val="21"/>
          <w:szCs w:val="21"/>
          <w:lang w:val="en-US" w:eastAsia="zh-CN"/>
        </w:rPr>
        <w:t>20000美</w:t>
      </w:r>
      <w:r>
        <w:rPr>
          <w:rFonts w:hint="eastAsia" w:asciiTheme="minorEastAsia" w:hAnsiTheme="minorEastAsia" w:eastAsiaTheme="minorEastAsia" w:cstheme="minorEastAsia"/>
          <w:b w:val="0"/>
          <w:bCs/>
          <w:color w:val="auto"/>
          <w:sz w:val="21"/>
          <w:szCs w:val="21"/>
          <w:lang w:val="zh-CN" w:eastAsia="zh-CN"/>
        </w:rPr>
        <w:t>元/天。</w:t>
      </w:r>
      <w:bookmarkEnd w:id="5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0" w:name="_Toc24543"/>
      <w:r>
        <w:rPr>
          <w:rFonts w:hint="eastAsia" w:asciiTheme="minorEastAsia" w:hAnsiTheme="minorEastAsia" w:eastAsiaTheme="minorEastAsia" w:cstheme="minorEastAsia"/>
          <w:b w:val="0"/>
          <w:bCs/>
          <w:color w:val="auto"/>
          <w:sz w:val="21"/>
          <w:szCs w:val="21"/>
          <w:lang w:val="en-US" w:eastAsia="zh-CN"/>
        </w:rPr>
        <w:t>5.目的港港口货物免费堆存期为15天。由于中标人原因而产生的目的港港口超免堆存期货物堆存费由中标人承担，</w:t>
      </w:r>
      <w:r>
        <w:rPr>
          <w:rFonts w:hint="eastAsia" w:asciiTheme="minorEastAsia" w:hAnsiTheme="minorEastAsia" w:eastAsiaTheme="minorEastAsia" w:cstheme="minorEastAsia"/>
          <w:b w:val="0"/>
          <w:bCs/>
          <w:color w:val="auto"/>
          <w:sz w:val="21"/>
          <w:szCs w:val="21"/>
          <w:lang w:val="zh-CN" w:eastAsia="zh-CN"/>
        </w:rPr>
        <w:t>由于招标人原因</w:t>
      </w:r>
      <w:r>
        <w:rPr>
          <w:rFonts w:hint="eastAsia" w:asciiTheme="minorEastAsia" w:hAnsiTheme="minorEastAsia" w:eastAsiaTheme="minorEastAsia" w:cstheme="minorEastAsia"/>
          <w:b w:val="0"/>
          <w:bCs/>
          <w:color w:val="auto"/>
          <w:sz w:val="21"/>
          <w:szCs w:val="21"/>
          <w:lang w:val="en-US" w:eastAsia="zh-CN"/>
        </w:rPr>
        <w:t>产生的目的港港口超免堆存期货物堆存费由招标人承担，其固定费率1美元/计费吨·天。</w:t>
      </w:r>
      <w:bookmarkEnd w:id="60"/>
    </w:p>
    <w:bookmarkEnd w:id="59"/>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1" w:name="_Toc16284"/>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eastAsia="zh-CN"/>
        </w:rPr>
        <w:t>.全程保险费，在同等条件下建议选择中国石油昆仑保险经纪股份有限公司天津分公司.（联系人：徐浩   手机：13820691459    办公室电话：022-65278792）。</w:t>
      </w:r>
      <w:bookmarkEnd w:id="6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2" w:name="_Toc16777"/>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lang w:val="zh-CN" w:eastAsia="zh-CN"/>
        </w:rPr>
        <w:t>.所有费用应以美元报价和结算，不接收人民币报价。</w:t>
      </w:r>
      <w:bookmarkEnd w:id="6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3" w:name="_Toc18049"/>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lang w:val="zh-CN" w:eastAsia="zh-CN"/>
        </w:rPr>
        <w:t>.报价表格式及固定内容不允许私自修改。</w:t>
      </w:r>
      <w:bookmarkEnd w:id="6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4" w:name="_Toc3278"/>
      <w:r>
        <w:rPr>
          <w:rFonts w:hint="eastAsia" w:asciiTheme="minorEastAsia" w:hAnsiTheme="minorEastAsia" w:eastAsiaTheme="minorEastAsia" w:cstheme="minorEastAsia"/>
          <w:b w:val="0"/>
          <w:bCs/>
          <w:color w:val="auto"/>
          <w:sz w:val="21"/>
          <w:szCs w:val="21"/>
          <w:lang w:val="en-US" w:eastAsia="zh-CN"/>
        </w:rPr>
        <w:t>9</w:t>
      </w:r>
      <w:r>
        <w:rPr>
          <w:rFonts w:hint="eastAsia" w:asciiTheme="minorEastAsia" w:hAnsiTheme="minorEastAsia" w:eastAsiaTheme="minorEastAsia" w:cstheme="minorEastAsia"/>
          <w:b w:val="0"/>
          <w:bCs/>
          <w:color w:val="auto"/>
          <w:sz w:val="21"/>
          <w:szCs w:val="21"/>
          <w:lang w:val="zh-CN" w:eastAsia="zh-CN"/>
        </w:rPr>
        <w:t>.不接受有不确定附加条件的报价。</w:t>
      </w:r>
      <w:bookmarkEnd w:id="6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5" w:name="_Toc6649"/>
      <w:r>
        <w:rPr>
          <w:rFonts w:hint="eastAsia" w:asciiTheme="minorEastAsia" w:hAnsiTheme="minorEastAsia" w:eastAsiaTheme="minorEastAsia" w:cstheme="minorEastAsia"/>
          <w:b w:val="0"/>
          <w:bCs/>
          <w:color w:val="auto"/>
          <w:sz w:val="21"/>
          <w:szCs w:val="21"/>
          <w:lang w:val="en-US" w:eastAsia="zh-CN"/>
        </w:rPr>
        <w:t>10</w:t>
      </w:r>
      <w:r>
        <w:rPr>
          <w:rFonts w:hint="eastAsia" w:asciiTheme="minorEastAsia" w:hAnsiTheme="minorEastAsia" w:eastAsiaTheme="minorEastAsia" w:cstheme="minorEastAsia"/>
          <w:b w:val="0"/>
          <w:bCs/>
          <w:color w:val="auto"/>
          <w:sz w:val="21"/>
          <w:szCs w:val="21"/>
          <w:lang w:val="zh-CN" w:eastAsia="zh-CN"/>
        </w:rPr>
        <w:t>.最终结算依据为打尺报告数量和报关金额。</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lang w:val="en-US" w:eastAsia="zh-CN"/>
        </w:rPr>
      </w:pPr>
      <w:bookmarkStart w:id="66" w:name="_Toc29487"/>
      <w:r>
        <w:rPr>
          <w:rFonts w:hint="eastAsia" w:asciiTheme="minorEastAsia" w:hAnsiTheme="minorEastAsia" w:eastAsiaTheme="minorEastAsia" w:cstheme="minorEastAsia"/>
          <w:b w:val="0"/>
          <w:bCs/>
          <w:color w:val="auto"/>
          <w:sz w:val="21"/>
          <w:szCs w:val="21"/>
          <w:lang w:val="en-US" w:eastAsia="zh-CN"/>
        </w:rPr>
        <w:t>三</w:t>
      </w:r>
      <w:r>
        <w:rPr>
          <w:rFonts w:hint="eastAsia" w:asciiTheme="minorEastAsia" w:hAnsiTheme="minorEastAsia" w:eastAsiaTheme="minorEastAsia" w:cstheme="minorEastAsia"/>
          <w:b w:val="0"/>
          <w:bCs/>
          <w:color w:val="auto"/>
          <w:sz w:val="21"/>
          <w:szCs w:val="21"/>
          <w:lang w:val="zh-CN" w:eastAsia="zh-CN"/>
        </w:rPr>
        <w:t>、</w:t>
      </w:r>
      <w:r>
        <w:rPr>
          <w:rFonts w:hint="eastAsia" w:asciiTheme="minorEastAsia" w:hAnsiTheme="minorEastAsia" w:eastAsiaTheme="minorEastAsia" w:cstheme="minorEastAsia"/>
          <w:b w:val="0"/>
          <w:bCs/>
          <w:color w:val="auto"/>
          <w:sz w:val="21"/>
          <w:szCs w:val="21"/>
          <w:lang w:val="en-US" w:eastAsia="zh-CN"/>
        </w:rPr>
        <w:t>报价形式</w:t>
      </w:r>
      <w:bookmarkEnd w:id="41"/>
      <w:bookmarkEnd w:id="42"/>
      <w:bookmarkEnd w:id="43"/>
      <w:bookmarkEnd w:id="44"/>
      <w:bookmarkEnd w:id="45"/>
      <w:bookmarkEnd w:id="46"/>
      <w:bookmarkEnd w:id="47"/>
      <w:bookmarkEnd w:id="48"/>
      <w:bookmarkEnd w:id="49"/>
      <w:bookmarkEnd w:id="6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67" w:name="_Toc27192"/>
      <w:bookmarkStart w:id="68" w:name="_Toc3139"/>
      <w:bookmarkStart w:id="69" w:name="_Toc3138"/>
      <w:bookmarkStart w:id="70" w:name="_Toc17054"/>
      <w:bookmarkStart w:id="71" w:name="_Toc7842"/>
      <w:bookmarkStart w:id="72" w:name="_Toc7458"/>
      <w:bookmarkStart w:id="73" w:name="_Toc13420"/>
      <w:bookmarkStart w:id="74" w:name="_Toc30268"/>
      <w:bookmarkStart w:id="75" w:name="_Toc14389"/>
      <w:bookmarkStart w:id="76" w:name="_Toc15574"/>
      <w:bookmarkStart w:id="77" w:name="_Toc30023"/>
      <w:bookmarkStart w:id="78" w:name="_Toc14047"/>
      <w:bookmarkStart w:id="79" w:name="_Toc3122"/>
      <w:bookmarkStart w:id="80" w:name="_Toc28512"/>
      <w:r>
        <w:rPr>
          <w:rFonts w:hint="eastAsia" w:asciiTheme="minorEastAsia" w:hAnsiTheme="minorEastAsia" w:eastAsiaTheme="minorEastAsia" w:cstheme="minorEastAsia"/>
          <w:b w:val="0"/>
          <w:bCs/>
          <w:color w:val="auto"/>
          <w:sz w:val="21"/>
          <w:szCs w:val="21"/>
          <w:lang w:val="zh-CN" w:eastAsia="zh-CN"/>
        </w:rPr>
        <w:t>固定单价。投标人按照本项目所列分项明细，填写投标报价，投标报价保留2位小数。</w:t>
      </w:r>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81" w:name="_Toc12637"/>
      <w:bookmarkStart w:id="82" w:name="_Toc17395"/>
      <w:bookmarkStart w:id="83" w:name="_Toc3155"/>
      <w:bookmarkStart w:id="84" w:name="_Toc27538"/>
      <w:bookmarkStart w:id="85" w:name="_Toc6279"/>
      <w:r>
        <w:rPr>
          <w:rFonts w:hint="eastAsia" w:asciiTheme="minorEastAsia" w:hAnsiTheme="minorEastAsia" w:eastAsiaTheme="minorEastAsia" w:cstheme="minorEastAsia"/>
          <w:b w:val="0"/>
          <w:bCs/>
          <w:color w:val="auto"/>
          <w:sz w:val="21"/>
          <w:szCs w:val="21"/>
          <w:lang w:val="zh-CN" w:eastAsia="zh-CN"/>
        </w:rPr>
        <w:t>按照本项目投标总报价进行价格评审，投标总报价=∑〖数量×投标单价〗。</w:t>
      </w:r>
      <w:bookmarkEnd w:id="81"/>
      <w:bookmarkEnd w:id="82"/>
      <w:bookmarkEnd w:id="83"/>
      <w:bookmarkEnd w:id="84"/>
      <w:bookmarkEnd w:id="85"/>
    </w:p>
    <w:bookmarkEnd w:id="72"/>
    <w:bookmarkEnd w:id="73"/>
    <w:bookmarkEnd w:id="74"/>
    <w:bookmarkEnd w:id="75"/>
    <w:bookmarkEnd w:id="76"/>
    <w:bookmarkEnd w:id="77"/>
    <w:bookmarkEnd w:id="78"/>
    <w:bookmarkEnd w:id="79"/>
    <w:bookmarkEnd w:id="80"/>
    <w:p>
      <w:pPr>
        <w:spacing w:line="400" w:lineRule="exact"/>
        <w:ind w:firstLine="422" w:firstLineChars="200"/>
        <w:outlineLvl w:val="1"/>
        <w:rPr>
          <w:rFonts w:hint="default" w:ascii="宋体" w:hAnsi="宋体" w:eastAsia="宋体" w:cs="Arial"/>
          <w:b/>
          <w:bCs/>
          <w:color w:val="auto"/>
          <w:sz w:val="21"/>
          <w:szCs w:val="21"/>
          <w:lang w:val="en-US" w:eastAsia="zh-CN"/>
        </w:rPr>
      </w:pPr>
      <w:bookmarkStart w:id="86" w:name="_Toc7191"/>
      <w:bookmarkStart w:id="87" w:name="_Toc31544"/>
      <w:bookmarkStart w:id="88" w:name="_Toc15641"/>
      <w:bookmarkStart w:id="89" w:name="_Toc12597"/>
      <w:bookmarkStart w:id="90" w:name="_Toc32566"/>
      <w:bookmarkStart w:id="91" w:name="_Toc12960"/>
      <w:bookmarkStart w:id="92" w:name="_Toc72"/>
      <w:bookmarkStart w:id="93" w:name="_Toc28865"/>
      <w:bookmarkStart w:id="94" w:name="_Toc10682"/>
      <w:bookmarkStart w:id="95" w:name="_Toc29087"/>
      <w:r>
        <w:rPr>
          <w:rFonts w:hint="eastAsia" w:ascii="宋体" w:hAnsi="宋体" w:eastAsia="宋体" w:cs="Arial"/>
          <w:b/>
          <w:bCs/>
          <w:color w:val="auto"/>
          <w:sz w:val="21"/>
          <w:szCs w:val="21"/>
          <w:lang w:val="en-US" w:eastAsia="zh-CN"/>
        </w:rPr>
        <w:t>四</w:t>
      </w:r>
      <w:r>
        <w:rPr>
          <w:rFonts w:hint="eastAsia" w:ascii="宋体" w:hAnsi="宋体" w:eastAsia="宋体" w:cs="Arial"/>
          <w:b/>
          <w:bCs/>
          <w:color w:val="auto"/>
          <w:sz w:val="21"/>
          <w:szCs w:val="21"/>
          <w:lang w:val="zh-CN"/>
        </w:rPr>
        <w:t>、</w:t>
      </w:r>
      <w:r>
        <w:rPr>
          <w:rFonts w:hint="eastAsia" w:ascii="宋体" w:hAnsi="宋体" w:eastAsia="宋体" w:cs="Arial"/>
          <w:b/>
          <w:bCs/>
          <w:color w:val="auto"/>
          <w:sz w:val="21"/>
          <w:szCs w:val="21"/>
          <w:lang w:val="en-US" w:eastAsia="zh-CN"/>
        </w:rPr>
        <w:t>结算方式及付款</w:t>
      </w:r>
      <w:bookmarkEnd w:id="86"/>
      <w:bookmarkEnd w:id="87"/>
      <w:bookmarkEnd w:id="88"/>
      <w:bookmarkEnd w:id="89"/>
      <w:bookmarkEnd w:id="90"/>
      <w:bookmarkEnd w:id="91"/>
      <w:bookmarkEnd w:id="92"/>
      <w:bookmarkEnd w:id="93"/>
      <w:bookmarkEnd w:id="94"/>
      <w:bookmarkEnd w:id="95"/>
    </w:p>
    <w:p>
      <w:pPr>
        <w:spacing w:line="400" w:lineRule="exact"/>
        <w:ind w:firstLine="420" w:firstLineChars="200"/>
        <w:outlineLvl w:val="1"/>
        <w:rPr>
          <w:rFonts w:hint="eastAsia" w:asciiTheme="minorEastAsia" w:hAnsiTheme="minorEastAsia" w:eastAsiaTheme="minorEastAsia" w:cstheme="minorEastAsia"/>
          <w:b w:val="0"/>
          <w:bCs/>
          <w:color w:val="auto"/>
          <w:sz w:val="21"/>
          <w:szCs w:val="21"/>
          <w:lang w:val="zh-CN" w:eastAsia="zh-CN"/>
        </w:rPr>
      </w:pPr>
      <w:bookmarkStart w:id="96" w:name="_Toc18601"/>
      <w:bookmarkStart w:id="97" w:name="_Toc24943"/>
      <w:bookmarkStart w:id="98" w:name="_Toc31395"/>
      <w:bookmarkStart w:id="99" w:name="_Toc7381"/>
      <w:r>
        <w:rPr>
          <w:rFonts w:hint="eastAsia" w:asciiTheme="minorEastAsia" w:hAnsiTheme="minorEastAsia" w:eastAsiaTheme="minorEastAsia" w:cstheme="minorEastAsia"/>
          <w:b w:val="0"/>
          <w:bCs/>
          <w:color w:val="auto"/>
          <w:sz w:val="21"/>
          <w:szCs w:val="21"/>
          <w:lang w:val="zh-CN" w:eastAsia="zh-CN"/>
        </w:rPr>
        <w:t>1. 结算方式：</w:t>
      </w:r>
      <w:bookmarkEnd w:id="96"/>
      <w:r>
        <w:rPr>
          <w:rFonts w:hint="eastAsia" w:asciiTheme="minorEastAsia" w:hAnsiTheme="minorEastAsia" w:eastAsiaTheme="minorEastAsia" w:cstheme="minorEastAsia"/>
          <w:b w:val="0"/>
          <w:bCs/>
          <w:color w:val="auto"/>
          <w:sz w:val="21"/>
          <w:szCs w:val="21"/>
          <w:lang w:val="zh-CN" w:eastAsia="zh-CN"/>
        </w:rPr>
        <w:t xml:space="preserve"> </w:t>
      </w:r>
    </w:p>
    <w:p>
      <w:pPr>
        <w:spacing w:line="400" w:lineRule="exact"/>
        <w:ind w:firstLine="420" w:firstLineChars="200"/>
        <w:outlineLvl w:val="1"/>
        <w:rPr>
          <w:rFonts w:hint="eastAsia" w:asciiTheme="minorEastAsia" w:hAnsiTheme="minorEastAsia" w:eastAsiaTheme="minorEastAsia" w:cstheme="minorEastAsia"/>
          <w:b w:val="0"/>
          <w:bCs/>
          <w:color w:val="auto"/>
          <w:sz w:val="21"/>
          <w:szCs w:val="21"/>
          <w:lang w:val="zh-CN" w:eastAsia="zh-CN"/>
        </w:rPr>
      </w:pPr>
      <w:bookmarkStart w:id="100" w:name="_Toc1064"/>
      <w:r>
        <w:rPr>
          <w:rFonts w:hint="eastAsia" w:asciiTheme="minorEastAsia" w:hAnsiTheme="minorEastAsia" w:eastAsiaTheme="minorEastAsia" w:cstheme="minorEastAsia"/>
          <w:b w:val="0"/>
          <w:bCs/>
          <w:color w:val="auto"/>
          <w:sz w:val="21"/>
          <w:szCs w:val="21"/>
          <w:lang w:val="zh-CN" w:eastAsia="zh-CN"/>
        </w:rPr>
        <w:t>渤海钻探哥伦比亚公司与中标物流服务商签订合同并结算，结算货币种类为美元。</w:t>
      </w:r>
      <w:bookmarkEnd w:id="100"/>
    </w:p>
    <w:p>
      <w:pPr>
        <w:spacing w:line="400" w:lineRule="exact"/>
        <w:ind w:firstLine="420" w:firstLineChars="200"/>
        <w:outlineLvl w:val="1"/>
        <w:rPr>
          <w:rFonts w:hint="eastAsia" w:asciiTheme="minorEastAsia" w:hAnsiTheme="minorEastAsia" w:eastAsiaTheme="minorEastAsia" w:cstheme="minorEastAsia"/>
          <w:b w:val="0"/>
          <w:bCs/>
          <w:color w:val="auto"/>
          <w:sz w:val="21"/>
          <w:szCs w:val="21"/>
          <w:lang w:val="zh-CN" w:eastAsia="zh-CN"/>
        </w:rPr>
      </w:pPr>
      <w:bookmarkStart w:id="101" w:name="_Toc23368"/>
      <w:r>
        <w:rPr>
          <w:rFonts w:hint="eastAsia" w:asciiTheme="minorEastAsia" w:hAnsiTheme="minorEastAsia" w:eastAsiaTheme="minorEastAsia" w:cstheme="minorEastAsia"/>
          <w:b w:val="0"/>
          <w:bCs/>
          <w:color w:val="auto"/>
          <w:sz w:val="21"/>
          <w:szCs w:val="21"/>
          <w:lang w:val="zh-CN" w:eastAsia="zh-CN"/>
        </w:rPr>
        <w:t>2. 付款时间：</w:t>
      </w:r>
      <w:bookmarkEnd w:id="101"/>
    </w:p>
    <w:p>
      <w:pPr>
        <w:spacing w:line="400" w:lineRule="exact"/>
        <w:ind w:firstLine="420" w:firstLineChars="200"/>
        <w:outlineLvl w:val="1"/>
        <w:rPr>
          <w:rFonts w:hint="eastAsia" w:asciiTheme="minorEastAsia" w:hAnsiTheme="minorEastAsia" w:eastAsiaTheme="minorEastAsia" w:cstheme="minorEastAsia"/>
          <w:b w:val="0"/>
          <w:bCs/>
          <w:color w:val="auto"/>
          <w:sz w:val="21"/>
          <w:szCs w:val="21"/>
          <w:lang w:val="zh-CN" w:eastAsia="zh-CN"/>
        </w:rPr>
      </w:pPr>
      <w:bookmarkStart w:id="102" w:name="_Toc5828"/>
      <w:r>
        <w:rPr>
          <w:rFonts w:hint="eastAsia" w:asciiTheme="minorEastAsia" w:hAnsiTheme="minorEastAsia" w:eastAsiaTheme="minorEastAsia" w:cstheme="minorEastAsia"/>
          <w:b w:val="0"/>
          <w:bCs/>
          <w:color w:val="auto"/>
          <w:sz w:val="21"/>
          <w:szCs w:val="21"/>
          <w:lang w:val="zh-CN" w:eastAsia="zh-CN"/>
        </w:rPr>
        <w:t>所有货物运至哥伦比亚作业现场，哥伦比亚公司根据合同、报价和其他相关资料对费用明细进行审核、确认无误后，通知中标人出具发票，哥伦比亚公司收到中标人合格发票后180日内付款。</w:t>
      </w:r>
      <w:bookmarkEnd w:id="102"/>
    </w:p>
    <w:p>
      <w:pPr>
        <w:spacing w:line="400" w:lineRule="exact"/>
        <w:ind w:firstLine="422" w:firstLineChars="200"/>
        <w:outlineLvl w:val="1"/>
        <w:rPr>
          <w:rFonts w:hint="eastAsia" w:ascii="宋体" w:hAnsi="宋体" w:eastAsia="宋体" w:cs="Arial"/>
          <w:b/>
          <w:bCs/>
          <w:color w:val="auto"/>
          <w:sz w:val="21"/>
          <w:szCs w:val="21"/>
          <w:lang w:val="zh-CN" w:eastAsia="zh-CN"/>
        </w:rPr>
      </w:pPr>
      <w:bookmarkStart w:id="103" w:name="_Toc18600"/>
      <w:r>
        <w:rPr>
          <w:rFonts w:hint="eastAsia" w:ascii="宋体" w:hAnsi="宋体" w:eastAsia="宋体" w:cs="Arial"/>
          <w:b/>
          <w:bCs/>
          <w:color w:val="auto"/>
          <w:sz w:val="21"/>
          <w:szCs w:val="21"/>
          <w:lang w:val="en-US" w:eastAsia="zh-CN"/>
        </w:rPr>
        <w:t>五、</w:t>
      </w:r>
      <w:r>
        <w:rPr>
          <w:rFonts w:hint="eastAsia" w:ascii="宋体" w:hAnsi="宋体" w:eastAsia="宋体" w:cs="Arial"/>
          <w:b/>
          <w:bCs/>
          <w:color w:val="auto"/>
          <w:sz w:val="21"/>
          <w:szCs w:val="21"/>
          <w:lang w:val="zh-CN" w:eastAsia="zh-CN"/>
        </w:rPr>
        <w:t>技术标准和要求</w:t>
      </w:r>
      <w:bookmarkEnd w:id="97"/>
      <w:bookmarkEnd w:id="98"/>
      <w:bookmarkEnd w:id="99"/>
      <w:bookmarkEnd w:id="10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04" w:name="_Toc20769"/>
      <w:bookmarkStart w:id="105" w:name="_Toc8208"/>
      <w:bookmarkStart w:id="106" w:name="_Toc28415"/>
      <w:bookmarkStart w:id="107" w:name="_Toc15935"/>
      <w:bookmarkStart w:id="108" w:name="_Toc20376"/>
      <w:bookmarkStart w:id="109" w:name="_Toc13615"/>
      <w:bookmarkStart w:id="110" w:name="_Toc3425"/>
      <w:bookmarkStart w:id="111" w:name="_Toc1842"/>
      <w:bookmarkStart w:id="112" w:name="_Toc3637"/>
      <w:bookmarkStart w:id="113" w:name="_Toc5807"/>
      <w:r>
        <w:rPr>
          <w:rFonts w:hint="eastAsia" w:asciiTheme="minorEastAsia" w:hAnsiTheme="minorEastAsia" w:eastAsiaTheme="minorEastAsia" w:cstheme="minorEastAsia"/>
          <w:b w:val="0"/>
          <w:bCs/>
          <w:color w:val="auto"/>
          <w:sz w:val="21"/>
          <w:szCs w:val="21"/>
          <w:lang w:val="zh-CN" w:eastAsia="zh-CN"/>
        </w:rPr>
        <w:t>1、投标人采用包船或者拼船直航方式运输，不可分批发运，船型要适合装运发运设备等配套物资，船龄要求小于等于25年，设计航速高于12节。</w:t>
      </w:r>
      <w:bookmarkEnd w:id="10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4" w:name="_Toc15289"/>
      <w:r>
        <w:rPr>
          <w:rFonts w:hint="eastAsia" w:asciiTheme="minorEastAsia" w:hAnsiTheme="minorEastAsia" w:eastAsiaTheme="minorEastAsia" w:cstheme="minorEastAsia"/>
          <w:b w:val="0"/>
          <w:bCs/>
          <w:color w:val="auto"/>
          <w:sz w:val="21"/>
          <w:szCs w:val="21"/>
          <w:lang w:val="zh-CN" w:eastAsia="zh-CN"/>
        </w:rPr>
        <w:t>2、投标人须派遣至少2-3名项目操作人员驻扎在货物堆场和起运港口现场，主要工作是指导现场打包、绑扎、唛头粘贴等工作和港口的监装工作。</w:t>
      </w:r>
      <w:bookmarkEnd w:id="11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5" w:name="_Toc5276"/>
      <w:r>
        <w:rPr>
          <w:rFonts w:hint="eastAsia" w:asciiTheme="minorEastAsia" w:hAnsiTheme="minorEastAsia" w:eastAsiaTheme="minorEastAsia" w:cstheme="minorEastAsia"/>
          <w:b w:val="0"/>
          <w:bCs/>
          <w:color w:val="auto"/>
          <w:sz w:val="21"/>
          <w:szCs w:val="21"/>
          <w:lang w:val="zh-CN" w:eastAsia="zh-CN"/>
        </w:rPr>
        <w:t>3、投标人根据自身经验充分考虑货物情况，包括重载货物吨位及相应运输安排，招标人所提供货物信息仅作为参考，具体货物信息以最终箱单为准。招标文件中如有任何疑问，发标方负责解释澄清。投标人中标后不得以货物信息不准为由，提出责任或赔偿问题。</w:t>
      </w:r>
      <w:bookmarkEnd w:id="11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6" w:name="_Toc4577"/>
      <w:r>
        <w:rPr>
          <w:rFonts w:hint="eastAsia" w:asciiTheme="minorEastAsia" w:hAnsiTheme="minorEastAsia" w:eastAsiaTheme="minorEastAsia" w:cstheme="minorEastAsia"/>
          <w:b w:val="0"/>
          <w:bCs/>
          <w:color w:val="auto"/>
          <w:sz w:val="21"/>
          <w:szCs w:val="21"/>
          <w:lang w:val="zh-CN" w:eastAsia="zh-CN"/>
        </w:rPr>
        <w:t>4、发生货损、货差等问题，第一时间向招标人通报，收集提供保险索赔所需的一切相关证明资料，并积极开展索赔工作。</w:t>
      </w:r>
      <w:bookmarkEnd w:id="11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7" w:name="_Toc19579"/>
      <w:r>
        <w:rPr>
          <w:rFonts w:hint="eastAsia" w:asciiTheme="minorEastAsia" w:hAnsiTheme="minorEastAsia" w:eastAsiaTheme="minorEastAsia" w:cstheme="minorEastAsia"/>
          <w:b w:val="0"/>
          <w:bCs/>
          <w:color w:val="auto"/>
          <w:sz w:val="21"/>
          <w:szCs w:val="21"/>
          <w:lang w:val="zh-CN" w:eastAsia="zh-CN"/>
        </w:rPr>
        <w:t>5、及时提供运载船舶的主要参数和起运港集港周期、装船周期、海运周期、目的港卸货周期等。船舶装卸过程中要确保货物安全，要按照招标人的要求装载货物。</w:t>
      </w:r>
      <w:bookmarkEnd w:id="11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8" w:name="_Toc26334"/>
      <w:r>
        <w:rPr>
          <w:rFonts w:hint="eastAsia" w:asciiTheme="minorEastAsia" w:hAnsiTheme="minorEastAsia" w:eastAsiaTheme="minorEastAsia" w:cstheme="minorEastAsia"/>
          <w:b w:val="0"/>
          <w:bCs/>
          <w:color w:val="auto"/>
          <w:sz w:val="21"/>
          <w:szCs w:val="21"/>
          <w:lang w:val="zh-CN" w:eastAsia="zh-CN"/>
        </w:rPr>
        <w:t>6、投标人要对哥伦比亚港口、运输线路及作业现场进行踏勘工作，要充分了解当地的法律法规及作业现场的相关规定。</w:t>
      </w:r>
      <w:bookmarkEnd w:id="11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19" w:name="_Toc21708"/>
      <w:r>
        <w:rPr>
          <w:rFonts w:hint="eastAsia" w:asciiTheme="minorEastAsia" w:hAnsiTheme="minorEastAsia" w:eastAsiaTheme="minorEastAsia" w:cstheme="minorEastAsia"/>
          <w:b w:val="0"/>
          <w:bCs/>
          <w:color w:val="auto"/>
          <w:sz w:val="21"/>
          <w:szCs w:val="21"/>
          <w:lang w:val="zh-CN" w:eastAsia="zh-CN"/>
        </w:rPr>
        <w:t>7、目的港船舶滞期费：由于中标人原因或船公司原因（包但不限于港口、港口装卸时间及港口当局原因、客观因素等）产生的滞期费由中标人和船公司自行协商解决并自行承担；船泊具备靠泊条件，但由于招标人原因致使船舶在锚地等待，免责等待天数5天，超过5天而产生的滞期费由招标人承担，经招标人和中标人双方协商确认，滞期费费率按照双方约定执行，其固定费率不得超过20000美元/天。</w:t>
      </w:r>
      <w:bookmarkEnd w:id="11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lang w:val="zh-CN" w:eastAsia="zh-CN"/>
        </w:rPr>
      </w:pPr>
      <w:bookmarkStart w:id="120" w:name="_Toc16560"/>
      <w:r>
        <w:rPr>
          <w:rFonts w:hint="eastAsia" w:asciiTheme="minorEastAsia" w:hAnsiTheme="minorEastAsia" w:eastAsiaTheme="minorEastAsia" w:cstheme="minorEastAsia"/>
          <w:b w:val="0"/>
          <w:bCs/>
          <w:color w:val="auto"/>
          <w:sz w:val="21"/>
          <w:szCs w:val="21"/>
          <w:lang w:val="zh-CN" w:eastAsia="zh-CN"/>
        </w:rPr>
        <w:t>8、目的港港口货物免费堆存期为15天。由于中标人原因而产生的目的港港口超免堆存期货物堆存费由中标人承担，由于招标人原因产生的目的港港口超免堆存期货物堆存费由招标人承担，其固定费率1美元/计费吨·天。</w:t>
      </w:r>
      <w:bookmarkEnd w:id="120"/>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Arial"/>
          <w:b/>
          <w:bCs/>
          <w:color w:val="auto"/>
          <w:sz w:val="21"/>
          <w:szCs w:val="21"/>
          <w:lang w:val="en-US" w:eastAsia="zh-CN"/>
        </w:rPr>
      </w:pPr>
      <w:bookmarkStart w:id="121" w:name="_Toc21806"/>
      <w:r>
        <w:rPr>
          <w:rFonts w:hint="eastAsia" w:ascii="宋体" w:hAnsi="宋体" w:eastAsia="宋体" w:cs="Arial"/>
          <w:b/>
          <w:bCs/>
          <w:color w:val="auto"/>
          <w:sz w:val="21"/>
          <w:szCs w:val="21"/>
          <w:lang w:val="en-US" w:eastAsia="zh-CN"/>
        </w:rPr>
        <w:t>六</w:t>
      </w:r>
      <w:r>
        <w:rPr>
          <w:rFonts w:hint="eastAsia" w:ascii="宋体" w:hAnsi="宋体" w:eastAsia="宋体" w:cs="Arial"/>
          <w:b/>
          <w:bCs/>
          <w:color w:val="auto"/>
          <w:sz w:val="21"/>
          <w:szCs w:val="21"/>
          <w:lang w:val="zh-CN"/>
        </w:rPr>
        <w:t>、</w:t>
      </w:r>
      <w:bookmarkEnd w:id="50"/>
      <w:r>
        <w:rPr>
          <w:rFonts w:hint="eastAsia" w:ascii="宋体" w:hAnsi="宋体" w:eastAsia="宋体" w:cs="Arial"/>
          <w:b/>
          <w:bCs/>
          <w:color w:val="auto"/>
          <w:sz w:val="21"/>
          <w:szCs w:val="21"/>
          <w:lang w:val="en-US" w:eastAsia="zh-CN"/>
        </w:rPr>
        <w:t>招标人其他要求</w:t>
      </w:r>
      <w:bookmarkEnd w:id="51"/>
      <w:bookmarkEnd w:id="52"/>
      <w:bookmarkEnd w:id="105"/>
      <w:bookmarkEnd w:id="106"/>
      <w:bookmarkEnd w:id="107"/>
      <w:bookmarkEnd w:id="108"/>
      <w:bookmarkEnd w:id="109"/>
      <w:bookmarkEnd w:id="110"/>
      <w:bookmarkEnd w:id="111"/>
      <w:bookmarkEnd w:id="112"/>
      <w:bookmarkEnd w:id="113"/>
      <w:bookmarkEnd w:id="12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lang w:val="en-US" w:eastAsia="zh-CN"/>
        </w:rPr>
        <w:sectPr>
          <w:pgSz w:w="11906" w:h="16838"/>
          <w:pgMar w:top="1417" w:right="1474" w:bottom="1417" w:left="1474" w:header="851" w:footer="992" w:gutter="0"/>
          <w:pgNumType w:fmt="decimal"/>
          <w:cols w:space="0" w:num="1"/>
          <w:rtlGutter w:val="0"/>
          <w:docGrid w:linePitch="312" w:charSpace="0"/>
        </w:sectPr>
      </w:pPr>
      <w:bookmarkStart w:id="122" w:name="_Toc25508"/>
      <w:bookmarkStart w:id="123" w:name="_Toc27963"/>
      <w:r>
        <w:rPr>
          <w:rFonts w:hint="eastAsia" w:asciiTheme="minorEastAsia" w:hAnsiTheme="minorEastAsia" w:eastAsiaTheme="minorEastAsia" w:cstheme="minorEastAsia"/>
          <w:b w:val="0"/>
          <w:bCs/>
          <w:color w:val="auto"/>
          <w:sz w:val="21"/>
          <w:szCs w:val="21"/>
          <w:lang w:val="zh-CN" w:eastAsia="zh-CN"/>
        </w:rPr>
        <w:t>投标人应签订履约承诺书</w:t>
      </w:r>
      <w:r>
        <w:rPr>
          <w:rFonts w:hint="eastAsia" w:asciiTheme="minorEastAsia" w:hAnsiTheme="minorEastAsia" w:cstheme="minorEastAsia"/>
          <w:b w:val="0"/>
          <w:bCs/>
          <w:color w:val="auto"/>
          <w:sz w:val="21"/>
          <w:szCs w:val="21"/>
          <w:lang w:val="zh-CN" w:eastAsia="zh-CN"/>
        </w:rPr>
        <w:t>。</w:t>
      </w:r>
      <w:bookmarkEnd w:id="122"/>
      <w:bookmarkEnd w:id="123"/>
      <w:r>
        <w:rPr>
          <w:rFonts w:hint="eastAsia" w:asciiTheme="minorEastAsia" w:hAnsiTheme="minorEastAsia" w:cstheme="minorEastAsia"/>
          <w:b w:val="0"/>
          <w:bCs/>
          <w:color w:val="auto"/>
          <w:sz w:val="21"/>
          <w:szCs w:val="21"/>
          <w:highlight w:val="yellow"/>
          <w:lang w:val="zh-CN" w:eastAsia="zh-CN"/>
        </w:rPr>
        <w:t>中标人没有按照履约承诺书内容履约，招标人有权按“履约失信”行为进行失信处理。</w:t>
      </w:r>
      <w:bookmarkStart w:id="124" w:name="_GoBack"/>
      <w:bookmarkEnd w:id="12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68EB"/>
    <w:rsid w:val="1FCF3F70"/>
    <w:rsid w:val="20377E5F"/>
    <w:rsid w:val="27471AB1"/>
    <w:rsid w:val="290650EA"/>
    <w:rsid w:val="29287B65"/>
    <w:rsid w:val="297F2585"/>
    <w:rsid w:val="2AF452DF"/>
    <w:rsid w:val="2FD4542A"/>
    <w:rsid w:val="33F704C0"/>
    <w:rsid w:val="36A300D1"/>
    <w:rsid w:val="380A5ADF"/>
    <w:rsid w:val="3C28249A"/>
    <w:rsid w:val="40FB219A"/>
    <w:rsid w:val="4A6B233B"/>
    <w:rsid w:val="4BA82379"/>
    <w:rsid w:val="50D436B7"/>
    <w:rsid w:val="5DF241B0"/>
    <w:rsid w:val="653B5447"/>
    <w:rsid w:val="72716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2"/>
    <w:basedOn w:val="1"/>
    <w:next w:val="1"/>
    <w:unhideWhenUsed/>
    <w:qFormat/>
    <w:uiPriority w:val="0"/>
    <w:pPr>
      <w:keepNext/>
      <w:keepLines/>
      <w:spacing w:after="120" w:line="440" w:lineRule="exact"/>
      <w:outlineLvl w:val="1"/>
    </w:pPr>
    <w:rPr>
      <w:rFonts w:asciiTheme="majorHAnsi" w:hAnsiTheme="majorHAnsi" w:eastAsiaTheme="majorEastAsia" w:cstheme="majorBidi"/>
      <w:b/>
      <w:bCs/>
      <w:sz w:val="28"/>
      <w:szCs w:val="32"/>
    </w:rPr>
  </w:style>
  <w:style w:type="paragraph" w:styleId="2">
    <w:name w:val="heading 4"/>
    <w:basedOn w:val="1"/>
    <w:next w:val="1"/>
    <w:unhideWhenUsed/>
    <w:qFormat/>
    <w:uiPriority w:val="0"/>
    <w:pPr>
      <w:keepNext/>
      <w:keepLines/>
      <w:spacing w:line="440" w:lineRule="exact"/>
      <w:ind w:firstLine="200" w:firstLineChars="200"/>
      <w:outlineLvl w:val="3"/>
    </w:pPr>
    <w:rPr>
      <w:rFonts w:asciiTheme="majorHAnsi" w:hAnsiTheme="majorHAnsi" w:eastAsiaTheme="majorEastAsia" w:cstheme="majorBidi"/>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20" w:lineRule="atLeast"/>
    </w:pPr>
    <w:rPr>
      <w:spacing w:val="4"/>
      <w:sz w:val="18"/>
    </w:rPr>
  </w:style>
  <w:style w:type="paragraph" w:customStyle="1" w:styleId="8">
    <w:name w:val="中文正文、"/>
    <w:basedOn w:val="1"/>
    <w:qFormat/>
    <w:uiPriority w:val="0"/>
    <w:pPr>
      <w:spacing w:line="360" w:lineRule="auto"/>
      <w:ind w:firstLine="420" w:firstLineChars="200"/>
      <w:jc w:val="left"/>
    </w:pPr>
    <w:rPr>
      <w:rFonts w:ascii="Times New Roman" w:hAnsi="Times New Roman" w:eastAsia="宋体" w:cs="Times New Roman"/>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主任</dc:creator>
  <cp:lastModifiedBy>王欣</cp:lastModifiedBy>
  <dcterms:modified xsi:type="dcterms:W3CDTF">2025-07-10T08:27:45Z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294510A0D3A04813B6C7D8C3CEE11731</vt:lpwstr>
  </property>
</Properties>
</file>