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FB1D16">
      <w:pPr>
        <w:widowControl/>
        <w:jc w:val="center"/>
        <w:rPr>
          <w:rFonts w:ascii="宋体" w:hAnsi="宋体" w:eastAsia="宋体" w:cs="宋体"/>
          <w:b/>
          <w:kern w:val="0"/>
          <w:sz w:val="32"/>
          <w:szCs w:val="32"/>
        </w:rPr>
      </w:pPr>
      <w:r>
        <w:rPr>
          <w:rFonts w:hint="eastAsia" w:ascii="宋体" w:hAnsi="宋体" w:eastAsia="宋体" w:cs="宋体"/>
          <w:b/>
          <w:kern w:val="0"/>
          <w:sz w:val="32"/>
          <w:szCs w:val="32"/>
          <w:lang w:val="en-US" w:eastAsia="zh-CN"/>
        </w:rPr>
        <w:t>非招标采购交易平台</w:t>
      </w:r>
      <w:r>
        <w:rPr>
          <w:rFonts w:hint="eastAsia" w:ascii="宋体" w:hAnsi="宋体" w:eastAsia="宋体" w:cs="宋体"/>
          <w:b/>
          <w:kern w:val="0"/>
          <w:sz w:val="32"/>
          <w:szCs w:val="32"/>
        </w:rPr>
        <w:t>操作手册</w:t>
      </w:r>
    </w:p>
    <w:p w14:paraId="3560E448">
      <w:pPr>
        <w:widowControl/>
        <w:shd w:val="clear" w:color="auto" w:fill="auto"/>
        <w:tabs>
          <w:tab w:val="left" w:pos="4140"/>
        </w:tabs>
        <w:spacing w:line="360" w:lineRule="auto"/>
        <w:rPr>
          <w:rFonts w:hint="eastAsia" w:ascii="宋体" w:hAnsi="宋体" w:eastAsia="宋体" w:cs="宋体"/>
          <w:bCs/>
          <w:kern w:val="0"/>
          <w:szCs w:val="21"/>
          <w:u w:val="none"/>
          <w:lang w:val="zh-CN"/>
        </w:rPr>
      </w:pPr>
      <w:r>
        <w:rPr>
          <w:rFonts w:hint="eastAsia" w:ascii="宋体" w:hAnsi="宋体" w:eastAsia="宋体" w:cs="宋体"/>
          <w:bCs/>
          <w:kern w:val="0"/>
          <w:szCs w:val="21"/>
          <w:u w:val="none"/>
          <w:lang w:val="zh-CN"/>
        </w:rPr>
        <w:t>一、注册</w:t>
      </w:r>
    </w:p>
    <w:p w14:paraId="22B695AA">
      <w:pPr>
        <w:widowControl/>
        <w:shd w:val="clear" w:color="auto" w:fill="auto"/>
        <w:tabs>
          <w:tab w:val="left" w:pos="4140"/>
        </w:tabs>
        <w:spacing w:line="360" w:lineRule="auto"/>
        <w:rPr>
          <w:rFonts w:hint="eastAsia" w:ascii="宋体" w:hAnsi="宋体" w:eastAsia="宋体" w:cs="宋体"/>
          <w:bCs/>
          <w:kern w:val="0"/>
          <w:szCs w:val="21"/>
          <w:u w:val="none"/>
          <w:lang w:val="zh-CN"/>
        </w:rPr>
      </w:pPr>
      <w:r>
        <w:rPr>
          <w:rFonts w:hint="eastAsia" w:ascii="宋体" w:hAnsi="宋体" w:eastAsia="宋体" w:cs="宋体"/>
          <w:bCs/>
          <w:kern w:val="0"/>
          <w:szCs w:val="21"/>
          <w:u w:val="none"/>
          <w:lang w:val="zh-CN"/>
        </w:rPr>
        <w:t>1.</w:t>
      </w:r>
      <w:r>
        <w:rPr>
          <w:rFonts w:hint="eastAsia" w:ascii="宋体" w:hAnsi="宋体" w:eastAsia="宋体" w:cs="宋体"/>
          <w:bCs/>
          <w:kern w:val="0"/>
          <w:szCs w:val="21"/>
          <w:u w:val="none"/>
          <w:lang w:val="en-US" w:eastAsia="zh-CN"/>
        </w:rPr>
        <w:t>浏览器</w:t>
      </w:r>
      <w:r>
        <w:rPr>
          <w:rFonts w:hint="eastAsia" w:ascii="宋体" w:hAnsi="宋体" w:eastAsia="宋体" w:cs="宋体"/>
          <w:bCs/>
          <w:kern w:val="0"/>
          <w:szCs w:val="21"/>
          <w:u w:val="none"/>
          <w:lang w:val="zh-CN"/>
        </w:rPr>
        <w:t>打开https://dqytzbzx.com，进入</w:t>
      </w:r>
      <w:r>
        <w:rPr>
          <w:rFonts w:hint="eastAsia" w:ascii="宋体" w:hAnsi="宋体" w:eastAsia="宋体" w:cs="宋体"/>
          <w:bCs/>
          <w:kern w:val="0"/>
          <w:szCs w:val="21"/>
          <w:u w:val="none"/>
          <w:lang w:val="en-US" w:eastAsia="zh-CN"/>
        </w:rPr>
        <w:t>非招标采购交易平台</w:t>
      </w:r>
      <w:r>
        <w:rPr>
          <w:rFonts w:hint="eastAsia" w:ascii="宋体" w:hAnsi="宋体" w:eastAsia="宋体" w:cs="宋体"/>
          <w:bCs/>
          <w:kern w:val="0"/>
          <w:szCs w:val="21"/>
          <w:u w:val="none"/>
          <w:lang w:val="zh-CN"/>
        </w:rPr>
        <w:t>界面。</w:t>
      </w:r>
    </w:p>
    <w:p w14:paraId="25E9ECA3">
      <w:pPr>
        <w:widowControl/>
        <w:shd w:val="clear" w:color="auto" w:fill="auto"/>
        <w:tabs>
          <w:tab w:val="left" w:pos="4140"/>
        </w:tabs>
        <w:spacing w:line="360" w:lineRule="auto"/>
        <w:rPr>
          <w:rFonts w:hint="default" w:ascii="宋体" w:hAnsi="宋体" w:eastAsia="宋体" w:cs="宋体"/>
          <w:bCs/>
          <w:kern w:val="0"/>
          <w:szCs w:val="21"/>
          <w:u w:val="none"/>
          <w:lang w:val="en-US" w:eastAsia="zh-CN"/>
        </w:rPr>
      </w:pPr>
      <w:r>
        <w:rPr>
          <w:rFonts w:hint="eastAsia" w:ascii="宋体" w:hAnsi="宋体" w:eastAsia="宋体" w:cs="宋体"/>
          <w:bCs/>
          <w:kern w:val="0"/>
          <w:szCs w:val="21"/>
          <w:u w:val="none"/>
          <w:lang w:val="en-US" w:eastAsia="zh-CN"/>
        </w:rPr>
        <w:t>2</w:t>
      </w:r>
      <w:r>
        <w:rPr>
          <w:rFonts w:hint="eastAsia" w:ascii="宋体" w:hAnsi="宋体" w:eastAsia="宋体" w:cs="宋体"/>
          <w:bCs/>
          <w:kern w:val="0"/>
          <w:szCs w:val="21"/>
          <w:u w:val="none"/>
          <w:lang w:val="zh-CN"/>
        </w:rPr>
        <w:t>.点击</w:t>
      </w:r>
      <w:r>
        <w:rPr>
          <w:rFonts w:hint="eastAsia" w:ascii="宋体" w:hAnsi="宋体" w:eastAsia="宋体" w:cs="宋体"/>
          <w:bCs/>
          <w:kern w:val="0"/>
          <w:szCs w:val="21"/>
          <w:u w:val="none"/>
          <w:lang w:val="en-US" w:eastAsia="zh-CN"/>
        </w:rPr>
        <w:t>用户注册</w:t>
      </w:r>
      <w:r>
        <w:rPr>
          <w:rFonts w:hint="eastAsia" w:ascii="宋体" w:hAnsi="宋体" w:eastAsia="宋体" w:cs="宋体"/>
          <w:bCs/>
          <w:kern w:val="0"/>
          <w:szCs w:val="21"/>
          <w:u w:val="none"/>
          <w:lang w:val="zh-CN"/>
        </w:rPr>
        <w:t>，进入注册界面</w:t>
      </w:r>
      <w:r>
        <w:rPr>
          <w:rFonts w:hint="eastAsia" w:ascii="宋体" w:hAnsi="宋体" w:eastAsia="宋体" w:cs="宋体"/>
          <w:bCs/>
          <w:kern w:val="0"/>
          <w:szCs w:val="21"/>
          <w:u w:val="none"/>
          <w:lang w:val="zh-CN" w:eastAsia="zh-CN"/>
        </w:rPr>
        <w:t>。</w:t>
      </w:r>
    </w:p>
    <w:p w14:paraId="646DF220">
      <w:pPr>
        <w:widowControl/>
        <w:shd w:val="clear" w:color="auto" w:fill="auto"/>
        <w:tabs>
          <w:tab w:val="left" w:pos="4140"/>
        </w:tabs>
        <w:spacing w:line="360" w:lineRule="auto"/>
        <w:rPr>
          <w:rFonts w:hint="eastAsia" w:ascii="宋体" w:hAnsi="宋体" w:eastAsia="宋体" w:cs="宋体"/>
          <w:bCs/>
          <w:kern w:val="0"/>
          <w:szCs w:val="21"/>
          <w:u w:val="none"/>
          <w:lang w:val="zh-CN"/>
        </w:rPr>
      </w:pPr>
      <w:r>
        <w:drawing>
          <wp:inline distT="0" distB="0" distL="114300" distR="114300">
            <wp:extent cx="3797300" cy="17887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797300" cy="1788795"/>
                    </a:xfrm>
                    <a:prstGeom prst="rect">
                      <a:avLst/>
                    </a:prstGeom>
                    <a:noFill/>
                    <a:ln>
                      <a:noFill/>
                    </a:ln>
                  </pic:spPr>
                </pic:pic>
              </a:graphicData>
            </a:graphic>
          </wp:inline>
        </w:drawing>
      </w:r>
    </w:p>
    <w:p w14:paraId="55F01268">
      <w:pPr>
        <w:widowControl/>
        <w:shd w:val="clear" w:color="auto" w:fill="auto"/>
        <w:tabs>
          <w:tab w:val="left" w:pos="4140"/>
        </w:tabs>
        <w:spacing w:line="360" w:lineRule="auto"/>
        <w:rPr>
          <w:rFonts w:hint="eastAsia" w:ascii="宋体" w:hAnsi="宋体" w:eastAsia="宋体" w:cs="宋体"/>
          <w:bCs/>
          <w:kern w:val="0"/>
          <w:szCs w:val="21"/>
          <w:u w:val="none"/>
          <w:lang w:val="zh-CN"/>
        </w:rPr>
      </w:pPr>
    </w:p>
    <w:p w14:paraId="2B693434">
      <w:pPr>
        <w:widowControl/>
        <w:shd w:val="clear" w:color="auto" w:fill="auto"/>
        <w:tabs>
          <w:tab w:val="left" w:pos="4140"/>
        </w:tabs>
        <w:spacing w:line="360" w:lineRule="auto"/>
        <w:rPr>
          <w:rFonts w:hint="default" w:ascii="宋体" w:hAnsi="宋体" w:eastAsia="宋体" w:cs="宋体"/>
          <w:bCs/>
          <w:kern w:val="0"/>
          <w:szCs w:val="21"/>
          <w:u w:val="none"/>
          <w:lang w:val="en-US" w:eastAsia="zh-CN"/>
        </w:rPr>
      </w:pPr>
      <w:r>
        <w:drawing>
          <wp:inline distT="0" distB="0" distL="114300" distR="114300">
            <wp:extent cx="5267325" cy="1835785"/>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7325" cy="1835785"/>
                    </a:xfrm>
                    <a:prstGeom prst="rect">
                      <a:avLst/>
                    </a:prstGeom>
                    <a:noFill/>
                    <a:ln>
                      <a:noFill/>
                    </a:ln>
                  </pic:spPr>
                </pic:pic>
              </a:graphicData>
            </a:graphic>
          </wp:inline>
        </w:drawing>
      </w:r>
    </w:p>
    <w:p w14:paraId="253FA2D2">
      <w:pPr>
        <w:widowControl/>
        <w:shd w:val="clear" w:color="auto" w:fill="auto"/>
        <w:tabs>
          <w:tab w:val="left" w:pos="4140"/>
        </w:tabs>
        <w:spacing w:line="360" w:lineRule="auto"/>
        <w:rPr>
          <w:rFonts w:hint="eastAsia" w:ascii="宋体" w:hAnsi="宋体" w:eastAsia="宋体" w:cs="宋体"/>
          <w:bCs/>
          <w:color w:val="FF0000"/>
          <w:kern w:val="0"/>
          <w:szCs w:val="21"/>
          <w:u w:val="none"/>
          <w:lang w:val="en-US" w:eastAsia="zh-CN"/>
        </w:rPr>
      </w:pPr>
      <w:r>
        <w:rPr>
          <w:rFonts w:hint="eastAsia" w:ascii="宋体" w:hAnsi="宋体" w:eastAsia="宋体" w:cs="宋体"/>
          <w:bCs/>
          <w:kern w:val="0"/>
          <w:szCs w:val="21"/>
          <w:u w:val="none"/>
          <w:lang w:val="zh-CN"/>
        </w:rPr>
        <w:t>全部填写完毕之后，点击“提交”</w:t>
      </w:r>
      <w:r>
        <w:rPr>
          <w:rFonts w:hint="eastAsia" w:ascii="宋体" w:hAnsi="宋体" w:eastAsia="宋体" w:cs="宋体"/>
          <w:bCs/>
          <w:kern w:val="0"/>
          <w:szCs w:val="21"/>
          <w:u w:val="none"/>
          <w:lang w:val="zh-CN" w:eastAsia="zh-CN"/>
        </w:rPr>
        <w:t>，</w:t>
      </w:r>
      <w:r>
        <w:rPr>
          <w:rFonts w:hint="eastAsia" w:ascii="宋体" w:hAnsi="宋体" w:eastAsia="宋体" w:cs="宋体"/>
          <w:bCs/>
          <w:kern w:val="0"/>
          <w:szCs w:val="21"/>
          <w:u w:val="none"/>
          <w:lang w:val="zh-CN"/>
        </w:rPr>
        <w:t>等待审核即可</w:t>
      </w:r>
      <w:r>
        <w:rPr>
          <w:rFonts w:hint="eastAsia" w:ascii="宋体" w:hAnsi="宋体" w:eastAsia="宋体" w:cs="宋体"/>
          <w:bCs/>
          <w:kern w:val="0"/>
          <w:szCs w:val="21"/>
          <w:u w:val="none"/>
          <w:lang w:val="zh-CN" w:eastAsia="zh-CN"/>
        </w:rPr>
        <w:t>（</w:t>
      </w:r>
      <w:r>
        <w:rPr>
          <w:rFonts w:hint="eastAsia" w:ascii="宋体" w:hAnsi="宋体" w:eastAsia="宋体" w:cs="宋体"/>
          <w:bCs/>
          <w:kern w:val="0"/>
          <w:szCs w:val="21"/>
          <w:u w:val="none"/>
          <w:lang w:val="en-US" w:eastAsia="zh-CN"/>
        </w:rPr>
        <w:t>工作日8时30分至17时30分</w:t>
      </w:r>
      <w:r>
        <w:rPr>
          <w:rFonts w:hint="eastAsia" w:ascii="宋体" w:hAnsi="宋体" w:eastAsia="宋体" w:cs="宋体"/>
          <w:bCs/>
          <w:kern w:val="0"/>
          <w:szCs w:val="21"/>
          <w:u w:val="none"/>
          <w:lang w:val="zh-CN" w:eastAsia="zh-CN"/>
        </w:rPr>
        <w:t>），</w:t>
      </w:r>
      <w:r>
        <w:rPr>
          <w:rFonts w:hint="eastAsia" w:ascii="宋体" w:hAnsi="宋体" w:eastAsia="宋体" w:cs="宋体"/>
          <w:bCs/>
          <w:kern w:val="0"/>
          <w:szCs w:val="21"/>
          <w:u w:val="none"/>
          <w:lang w:val="en-US" w:eastAsia="zh-CN"/>
        </w:rPr>
        <w:t>审批进度通过短信形式发至注册时所留手机号。</w:t>
      </w:r>
      <w:r>
        <w:rPr>
          <w:rFonts w:hint="eastAsia" w:ascii="宋体" w:hAnsi="宋体" w:eastAsia="宋体" w:cs="宋体"/>
          <w:bCs/>
          <w:color w:val="FF0000"/>
          <w:kern w:val="0"/>
          <w:szCs w:val="21"/>
          <w:u w:val="none"/>
          <w:lang w:val="en-US" w:eastAsia="zh-CN"/>
        </w:rPr>
        <w:t>在</w:t>
      </w:r>
      <w:r>
        <w:rPr>
          <w:rFonts w:hint="eastAsia" w:ascii="宋体" w:hAnsi="宋体" w:eastAsia="宋体" w:cs="宋体"/>
          <w:bCs/>
          <w:color w:val="FF0000"/>
          <w:kern w:val="0"/>
          <w:szCs w:val="21"/>
          <w:u w:val="none"/>
          <w:lang w:val="zh-CN"/>
        </w:rPr>
        <w:t>dqytzbzx.com:880/purchase</w:t>
      </w:r>
      <w:r>
        <w:rPr>
          <w:rFonts w:hint="eastAsia" w:ascii="宋体" w:hAnsi="宋体" w:eastAsia="宋体" w:cs="宋体"/>
          <w:bCs/>
          <w:color w:val="FF0000"/>
          <w:kern w:val="0"/>
          <w:szCs w:val="21"/>
          <w:u w:val="none"/>
          <w:lang w:val="en-US" w:eastAsia="zh-CN"/>
        </w:rPr>
        <w:t>已注册的可直接登录。</w:t>
      </w:r>
    </w:p>
    <w:p w14:paraId="6C57741D">
      <w:pPr>
        <w:widowControl/>
        <w:shd w:val="clear" w:color="auto" w:fill="auto"/>
        <w:tabs>
          <w:tab w:val="left" w:pos="4140"/>
        </w:tabs>
        <w:spacing w:line="360" w:lineRule="auto"/>
        <w:rPr>
          <w:rFonts w:hint="default" w:ascii="宋体" w:hAnsi="宋体" w:eastAsia="宋体" w:cs="宋体"/>
          <w:bCs/>
          <w:color w:val="FF0000"/>
          <w:kern w:val="0"/>
          <w:szCs w:val="21"/>
          <w:u w:val="none"/>
          <w:lang w:val="en-US" w:eastAsia="zh-CN"/>
        </w:rPr>
      </w:pPr>
      <w:r>
        <w:rPr>
          <w:rFonts w:hint="eastAsia" w:ascii="宋体" w:hAnsi="宋体" w:eastAsia="宋体" w:cs="宋体"/>
          <w:bCs/>
          <w:color w:val="FF0000"/>
          <w:kern w:val="0"/>
          <w:szCs w:val="21"/>
          <w:u w:val="none"/>
          <w:lang w:val="en-US" w:eastAsia="zh-CN"/>
        </w:rPr>
        <w:t>3.忘记密码时，可通过“忘记密码？”输入账户名或手机号码，输入验证码修改密码。</w:t>
      </w:r>
    </w:p>
    <w:p w14:paraId="0F3BF5A3">
      <w:pPr>
        <w:widowControl/>
        <w:shd w:val="clear" w:color="auto" w:fill="auto"/>
        <w:tabs>
          <w:tab w:val="left" w:pos="4140"/>
        </w:tabs>
        <w:spacing w:line="360" w:lineRule="auto"/>
        <w:rPr>
          <w:rFonts w:hint="eastAsia" w:ascii="宋体" w:hAnsi="宋体" w:eastAsia="宋体" w:cs="宋体"/>
          <w:bCs/>
          <w:kern w:val="0"/>
          <w:szCs w:val="21"/>
          <w:u w:val="none"/>
          <w:lang w:val="en-US" w:eastAsia="zh-CN"/>
        </w:rPr>
      </w:pPr>
      <w:r>
        <w:rPr>
          <w:rFonts w:hint="eastAsia" w:ascii="宋体" w:hAnsi="宋体" w:eastAsia="宋体" w:cs="宋体"/>
          <w:bCs/>
          <w:kern w:val="0"/>
          <w:szCs w:val="21"/>
          <w:u w:val="none"/>
          <w:lang w:val="en-US" w:eastAsia="zh-CN"/>
        </w:rPr>
        <w:t>二、文件领取</w:t>
      </w:r>
    </w:p>
    <w:p w14:paraId="747B4097">
      <w:pPr>
        <w:widowControl/>
        <w:shd w:val="clear" w:color="auto" w:fill="auto"/>
        <w:tabs>
          <w:tab w:val="left" w:pos="4140"/>
        </w:tabs>
        <w:spacing w:line="360" w:lineRule="auto"/>
        <w:rPr>
          <w:rFonts w:hint="eastAsia" w:ascii="宋体" w:hAnsi="宋体" w:eastAsia="宋体" w:cs="宋体"/>
          <w:bCs/>
          <w:kern w:val="0"/>
          <w:szCs w:val="21"/>
          <w:u w:val="none"/>
          <w:lang w:val="zh-CN"/>
        </w:rPr>
      </w:pPr>
      <w:r>
        <w:rPr>
          <w:rFonts w:hint="eastAsia" w:ascii="宋体" w:hAnsi="宋体" w:eastAsia="宋体" w:cs="宋体"/>
          <w:bCs/>
          <w:kern w:val="0"/>
          <w:szCs w:val="21"/>
          <w:u w:val="none"/>
          <w:lang w:val="zh-CN"/>
        </w:rPr>
        <w:t>1.</w:t>
      </w:r>
      <w:r>
        <w:rPr>
          <w:rFonts w:hint="eastAsia" w:ascii="宋体" w:hAnsi="宋体" w:eastAsia="宋体" w:cs="宋体"/>
          <w:bCs/>
          <w:kern w:val="0"/>
          <w:szCs w:val="21"/>
          <w:u w:val="none"/>
          <w:lang w:val="en-US" w:eastAsia="zh-CN"/>
        </w:rPr>
        <w:t>点击拟报名的项目，确认无误后点击立即报名</w:t>
      </w:r>
      <w:r>
        <w:rPr>
          <w:rFonts w:hint="eastAsia" w:ascii="宋体" w:hAnsi="宋体" w:eastAsia="宋体" w:cs="宋体"/>
          <w:bCs/>
          <w:kern w:val="0"/>
          <w:szCs w:val="21"/>
          <w:u w:val="none"/>
          <w:lang w:val="zh-CN"/>
        </w:rPr>
        <w:t>。</w:t>
      </w:r>
    </w:p>
    <w:p w14:paraId="1C19722C">
      <w:pPr>
        <w:widowControl/>
        <w:shd w:val="clear" w:color="auto" w:fill="auto"/>
        <w:tabs>
          <w:tab w:val="left" w:pos="4140"/>
        </w:tabs>
        <w:spacing w:line="360" w:lineRule="auto"/>
        <w:rPr>
          <w:rFonts w:hint="eastAsia" w:ascii="宋体" w:hAnsi="宋体" w:eastAsia="宋体" w:cs="宋体"/>
          <w:bCs/>
          <w:kern w:val="0"/>
          <w:szCs w:val="21"/>
          <w:u w:val="none"/>
          <w:lang w:val="zh-CN"/>
        </w:rPr>
      </w:pPr>
    </w:p>
    <w:p w14:paraId="502E467F">
      <w:pPr>
        <w:widowControl/>
        <w:shd w:val="clear" w:color="auto" w:fill="auto"/>
        <w:tabs>
          <w:tab w:val="left" w:pos="4140"/>
        </w:tabs>
        <w:spacing w:line="360" w:lineRule="auto"/>
        <w:rPr>
          <w:rFonts w:hint="eastAsia" w:ascii="宋体" w:hAnsi="宋体" w:eastAsia="宋体" w:cs="宋体"/>
          <w:bCs/>
          <w:kern w:val="0"/>
          <w:szCs w:val="21"/>
          <w:u w:val="none"/>
          <w:lang w:val="zh-CN"/>
        </w:rPr>
      </w:pPr>
      <w:r>
        <w:rPr>
          <w:rFonts w:hint="eastAsia" w:ascii="宋体" w:hAnsi="宋体" w:eastAsia="宋体" w:cs="宋体"/>
          <w:bCs/>
          <w:kern w:val="0"/>
          <w:szCs w:val="21"/>
          <w:u w:val="none"/>
          <w:lang w:val="zh-CN"/>
        </w:rPr>
        <w:drawing>
          <wp:inline distT="0" distB="0" distL="114300" distR="114300">
            <wp:extent cx="5267325" cy="1338580"/>
            <wp:effectExtent l="0" t="0" r="317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7325" cy="1338580"/>
                    </a:xfrm>
                    <a:prstGeom prst="rect">
                      <a:avLst/>
                    </a:prstGeom>
                    <a:noFill/>
                    <a:ln>
                      <a:noFill/>
                    </a:ln>
                  </pic:spPr>
                </pic:pic>
              </a:graphicData>
            </a:graphic>
          </wp:inline>
        </w:drawing>
      </w:r>
    </w:p>
    <w:p w14:paraId="4513962E">
      <w:pPr>
        <w:widowControl/>
        <w:shd w:val="clear" w:color="auto" w:fill="auto"/>
        <w:tabs>
          <w:tab w:val="left" w:pos="4140"/>
        </w:tabs>
        <w:spacing w:line="360" w:lineRule="auto"/>
        <w:rPr>
          <w:rFonts w:hint="eastAsia" w:ascii="宋体" w:hAnsi="宋体" w:eastAsia="宋体" w:cs="宋体"/>
          <w:bCs/>
          <w:kern w:val="0"/>
          <w:szCs w:val="21"/>
          <w:u w:val="none"/>
          <w:lang w:val="en-US" w:eastAsia="zh-CN"/>
        </w:rPr>
      </w:pPr>
      <w:r>
        <w:rPr>
          <w:rFonts w:hint="eastAsia" w:ascii="宋体" w:hAnsi="宋体" w:eastAsia="宋体" w:cs="宋体"/>
          <w:bCs/>
          <w:kern w:val="0"/>
          <w:szCs w:val="21"/>
          <w:u w:val="none"/>
          <w:lang w:val="en-US" w:eastAsia="zh-CN"/>
        </w:rPr>
        <w:t>2</w:t>
      </w:r>
      <w:r>
        <w:rPr>
          <w:rFonts w:hint="eastAsia" w:ascii="宋体" w:hAnsi="宋体" w:eastAsia="宋体" w:cs="宋体"/>
          <w:bCs/>
          <w:kern w:val="0"/>
          <w:szCs w:val="21"/>
          <w:u w:val="none"/>
          <w:lang w:val="zh-CN"/>
        </w:rPr>
        <w:t>.</w:t>
      </w:r>
      <w:r>
        <w:rPr>
          <w:rFonts w:hint="eastAsia" w:ascii="宋体" w:hAnsi="宋体" w:eastAsia="宋体" w:cs="宋体"/>
          <w:bCs/>
          <w:kern w:val="0"/>
          <w:szCs w:val="21"/>
          <w:u w:val="none"/>
          <w:lang w:val="en-US" w:eastAsia="zh-CN"/>
        </w:rPr>
        <w:t>扫码交费后，点击首页公司图标，在订单管理查看报名交费情况。</w:t>
      </w:r>
    </w:p>
    <w:p w14:paraId="21936C5F">
      <w:pPr>
        <w:widowControl/>
        <w:shd w:val="clear" w:color="auto" w:fill="auto"/>
        <w:tabs>
          <w:tab w:val="left" w:pos="4140"/>
        </w:tabs>
        <w:spacing w:line="360" w:lineRule="auto"/>
        <w:rPr>
          <w:rFonts w:hint="default" w:ascii="宋体" w:hAnsi="宋体" w:eastAsia="宋体" w:cs="宋体"/>
          <w:bCs/>
          <w:kern w:val="0"/>
          <w:szCs w:val="21"/>
          <w:u w:val="none"/>
          <w:lang w:val="en-US" w:eastAsia="zh-CN"/>
        </w:rPr>
      </w:pPr>
      <w:r>
        <w:rPr>
          <w:rFonts w:hint="eastAsia" w:ascii="宋体" w:hAnsi="宋体" w:eastAsia="宋体" w:cs="宋体"/>
          <w:bCs/>
          <w:kern w:val="0"/>
          <w:szCs w:val="21"/>
          <w:u w:val="none"/>
          <w:lang w:val="zh-CN"/>
        </w:rPr>
        <w:drawing>
          <wp:inline distT="0" distB="0" distL="114300" distR="114300">
            <wp:extent cx="5273040" cy="2837815"/>
            <wp:effectExtent l="0" t="0" r="1016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73040" cy="2837815"/>
                    </a:xfrm>
                    <a:prstGeom prst="rect">
                      <a:avLst/>
                    </a:prstGeom>
                    <a:noFill/>
                    <a:ln>
                      <a:noFill/>
                    </a:ln>
                  </pic:spPr>
                </pic:pic>
              </a:graphicData>
            </a:graphic>
          </wp:inline>
        </w:drawing>
      </w:r>
    </w:p>
    <w:p w14:paraId="7B16E996">
      <w:pPr>
        <w:widowControl/>
        <w:shd w:val="clear" w:color="auto" w:fill="auto"/>
        <w:tabs>
          <w:tab w:val="left" w:pos="4140"/>
        </w:tabs>
        <w:spacing w:line="360" w:lineRule="auto"/>
        <w:rPr>
          <w:rFonts w:hint="eastAsia" w:ascii="宋体" w:hAnsi="宋体" w:eastAsia="宋体" w:cs="宋体"/>
          <w:bCs/>
          <w:kern w:val="0"/>
          <w:szCs w:val="21"/>
          <w:u w:val="none"/>
          <w:lang w:val="en-US" w:eastAsia="zh-CN"/>
        </w:rPr>
      </w:pPr>
      <w:r>
        <w:drawing>
          <wp:inline distT="0" distB="0" distL="114300" distR="114300">
            <wp:extent cx="5269865" cy="1203325"/>
            <wp:effectExtent l="0" t="0" r="6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9865" cy="1203325"/>
                    </a:xfrm>
                    <a:prstGeom prst="rect">
                      <a:avLst/>
                    </a:prstGeom>
                    <a:noFill/>
                    <a:ln>
                      <a:noFill/>
                    </a:ln>
                  </pic:spPr>
                </pic:pic>
              </a:graphicData>
            </a:graphic>
          </wp:inline>
        </w:drawing>
      </w:r>
    </w:p>
    <w:p w14:paraId="4F80E2FB">
      <w:pPr>
        <w:widowControl/>
        <w:shd w:val="clear" w:color="auto" w:fill="auto"/>
        <w:tabs>
          <w:tab w:val="left" w:pos="4140"/>
        </w:tabs>
        <w:spacing w:line="360" w:lineRule="auto"/>
        <w:rPr>
          <w:rFonts w:hint="eastAsia" w:ascii="宋体" w:hAnsi="宋体" w:eastAsia="宋体" w:cs="宋体"/>
          <w:bCs/>
          <w:kern w:val="0"/>
          <w:szCs w:val="21"/>
          <w:u w:val="none"/>
          <w:lang w:val="zh-CN"/>
        </w:rPr>
      </w:pPr>
    </w:p>
    <w:p w14:paraId="30045DA0">
      <w:pPr>
        <w:widowControl/>
        <w:shd w:val="clear" w:color="auto" w:fill="auto"/>
        <w:tabs>
          <w:tab w:val="left" w:pos="4140"/>
        </w:tabs>
        <w:spacing w:line="360" w:lineRule="auto"/>
        <w:rPr>
          <w:rFonts w:hint="eastAsia" w:ascii="宋体" w:hAnsi="宋体" w:eastAsia="宋体" w:cs="宋体"/>
          <w:bCs/>
          <w:kern w:val="0"/>
          <w:szCs w:val="21"/>
          <w:u w:val="none"/>
          <w:lang w:val="zh-CN"/>
        </w:rPr>
      </w:pPr>
      <w:r>
        <w:drawing>
          <wp:inline distT="0" distB="0" distL="114300" distR="114300">
            <wp:extent cx="5263515" cy="1167130"/>
            <wp:effectExtent l="0" t="0" r="698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3515" cy="1167130"/>
                    </a:xfrm>
                    <a:prstGeom prst="rect">
                      <a:avLst/>
                    </a:prstGeom>
                    <a:noFill/>
                    <a:ln>
                      <a:noFill/>
                    </a:ln>
                  </pic:spPr>
                </pic:pic>
              </a:graphicData>
            </a:graphic>
          </wp:inline>
        </w:drawing>
      </w:r>
    </w:p>
    <w:p w14:paraId="4D15133B">
      <w:pPr>
        <w:widowControl/>
        <w:shd w:val="clear" w:color="auto" w:fill="auto"/>
        <w:tabs>
          <w:tab w:val="left" w:pos="4140"/>
        </w:tabs>
        <w:spacing w:line="360" w:lineRule="auto"/>
        <w:rPr>
          <w:rFonts w:hint="eastAsia" w:ascii="宋体" w:hAnsi="宋体" w:eastAsia="宋体" w:cs="宋体"/>
          <w:bCs/>
          <w:kern w:val="0"/>
          <w:szCs w:val="21"/>
          <w:u w:val="none"/>
          <w:lang w:val="zh-CN"/>
        </w:rPr>
      </w:pPr>
    </w:p>
    <w:p w14:paraId="08084708">
      <w:pPr>
        <w:widowControl/>
        <w:shd w:val="clear" w:color="auto" w:fill="auto"/>
        <w:tabs>
          <w:tab w:val="left" w:pos="4140"/>
        </w:tabs>
        <w:spacing w:line="360" w:lineRule="auto"/>
        <w:rPr>
          <w:rFonts w:hint="default" w:ascii="宋体" w:hAnsi="宋体" w:eastAsia="宋体" w:cs="宋体"/>
          <w:bCs/>
          <w:kern w:val="0"/>
          <w:szCs w:val="21"/>
          <w:u w:val="none"/>
          <w:lang w:val="en-US" w:eastAsia="zh-CN"/>
        </w:rPr>
      </w:pPr>
      <w:r>
        <w:rPr>
          <w:rFonts w:hint="eastAsia" w:ascii="宋体" w:hAnsi="宋体" w:eastAsia="宋体" w:cs="宋体"/>
          <w:bCs/>
          <w:kern w:val="0"/>
          <w:szCs w:val="21"/>
          <w:u w:val="none"/>
          <w:lang w:val="en-US" w:eastAsia="zh-CN"/>
        </w:rPr>
        <w:t>3.交费成功后，可查看、下载此项目的谈判文件。</w:t>
      </w:r>
    </w:p>
    <w:p w14:paraId="47AD386D">
      <w:pPr>
        <w:widowControl/>
        <w:shd w:val="clear" w:color="auto" w:fill="auto"/>
        <w:tabs>
          <w:tab w:val="left" w:pos="4140"/>
        </w:tabs>
        <w:spacing w:line="360" w:lineRule="auto"/>
        <w:rPr>
          <w:rFonts w:hint="default" w:ascii="宋体" w:hAnsi="宋体" w:eastAsia="宋体" w:cs="宋体"/>
          <w:bCs/>
          <w:kern w:val="0"/>
          <w:szCs w:val="21"/>
          <w:u w:val="none"/>
          <w:lang w:val="en-US" w:eastAsia="zh-CN"/>
        </w:rPr>
      </w:pPr>
      <w:r>
        <w:rPr>
          <w:rFonts w:hint="eastAsia" w:ascii="宋体" w:hAnsi="宋体" w:eastAsia="宋体" w:cs="宋体"/>
          <w:bCs/>
          <w:kern w:val="0"/>
          <w:szCs w:val="21"/>
          <w:u w:val="none"/>
          <w:lang w:val="zh-CN"/>
        </w:rPr>
        <w:drawing>
          <wp:inline distT="0" distB="0" distL="114300" distR="114300">
            <wp:extent cx="5272405" cy="1114425"/>
            <wp:effectExtent l="0" t="0" r="444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272405" cy="1114425"/>
                    </a:xfrm>
                    <a:prstGeom prst="rect">
                      <a:avLst/>
                    </a:prstGeom>
                    <a:noFill/>
                    <a:ln>
                      <a:noFill/>
                    </a:ln>
                  </pic:spPr>
                </pic:pic>
              </a:graphicData>
            </a:graphic>
          </wp:inline>
        </w:drawing>
      </w:r>
    </w:p>
    <w:p w14:paraId="4D6416FC">
      <w:pPr>
        <w:widowControl/>
        <w:shd w:val="clear" w:color="auto" w:fill="auto"/>
        <w:tabs>
          <w:tab w:val="left" w:pos="4140"/>
        </w:tabs>
        <w:spacing w:line="360" w:lineRule="auto"/>
        <w:rPr>
          <w:rFonts w:hint="default" w:ascii="宋体" w:hAnsi="宋体" w:eastAsia="宋体" w:cs="宋体"/>
          <w:bCs/>
          <w:kern w:val="0"/>
          <w:szCs w:val="21"/>
          <w:u w:val="none"/>
          <w:lang w:val="en-US" w:eastAsia="zh-CN"/>
        </w:rPr>
      </w:pPr>
      <w:r>
        <w:rPr>
          <w:rFonts w:hint="eastAsia" w:ascii="宋体" w:hAnsi="宋体" w:eastAsia="宋体" w:cs="宋体"/>
          <w:bCs/>
          <w:kern w:val="0"/>
          <w:szCs w:val="21"/>
          <w:u w:val="none"/>
          <w:lang w:val="en-US" w:eastAsia="zh-CN"/>
        </w:rPr>
        <w:t>4.在发票管理中可以查看、下载电子发票，</w:t>
      </w:r>
      <w:r>
        <w:rPr>
          <w:rFonts w:hint="eastAsia" w:ascii="宋体" w:hAnsi="宋体" w:eastAsia="宋体" w:cs="宋体"/>
          <w:bCs/>
          <w:color w:val="FF0000"/>
          <w:kern w:val="0"/>
          <w:szCs w:val="21"/>
          <w:u w:val="none"/>
          <w:lang w:val="en-US" w:eastAsia="zh-CN"/>
        </w:rPr>
        <w:t>首次开票前应填写发票信息（因发票推送平台系统升级维护、网络延迟等原因没有实时推送的，恢复后会自动推送）</w:t>
      </w:r>
      <w:r>
        <w:rPr>
          <w:rFonts w:hint="eastAsia" w:ascii="宋体" w:hAnsi="宋体" w:eastAsia="宋体" w:cs="宋体"/>
          <w:bCs/>
          <w:kern w:val="0"/>
          <w:szCs w:val="21"/>
          <w:u w:val="none"/>
          <w:lang w:val="en-US" w:eastAsia="zh-CN"/>
        </w:rPr>
        <w:t>。</w:t>
      </w:r>
    </w:p>
    <w:p w14:paraId="03C25AF3">
      <w:pPr>
        <w:widowControl/>
        <w:shd w:val="clear" w:color="auto" w:fill="auto"/>
        <w:tabs>
          <w:tab w:val="left" w:pos="4140"/>
        </w:tabs>
        <w:spacing w:line="360" w:lineRule="auto"/>
        <w:rPr>
          <w:rFonts w:hint="eastAsia" w:ascii="宋体" w:hAnsi="宋体" w:eastAsia="宋体" w:cs="宋体"/>
          <w:bCs/>
          <w:kern w:val="0"/>
          <w:szCs w:val="21"/>
          <w:u w:val="none"/>
          <w:lang w:val="zh-CN"/>
        </w:rPr>
      </w:pPr>
      <w:r>
        <w:drawing>
          <wp:inline distT="0" distB="0" distL="114300" distR="114300">
            <wp:extent cx="5272405" cy="1722120"/>
            <wp:effectExtent l="0" t="0" r="10795"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272405" cy="1722120"/>
                    </a:xfrm>
                    <a:prstGeom prst="rect">
                      <a:avLst/>
                    </a:prstGeom>
                    <a:noFill/>
                    <a:ln>
                      <a:noFill/>
                    </a:ln>
                  </pic:spPr>
                </pic:pic>
              </a:graphicData>
            </a:graphic>
          </wp:inline>
        </w:drawing>
      </w:r>
    </w:p>
    <w:p w14:paraId="57D080CD">
      <w:pPr>
        <w:widowControl/>
        <w:shd w:val="clear" w:color="auto" w:fill="auto"/>
        <w:tabs>
          <w:tab w:val="left" w:pos="4140"/>
        </w:tabs>
        <w:spacing w:line="360" w:lineRule="auto"/>
        <w:rPr>
          <w:rFonts w:hint="eastAsia" w:ascii="宋体" w:hAnsi="宋体" w:eastAsia="宋体" w:cs="宋体"/>
          <w:bCs/>
          <w:kern w:val="0"/>
          <w:szCs w:val="21"/>
          <w:u w:val="none"/>
          <w:lang w:val="zh-CN"/>
        </w:rPr>
      </w:pPr>
      <w:r>
        <w:drawing>
          <wp:inline distT="0" distB="0" distL="114300" distR="114300">
            <wp:extent cx="5260975" cy="1242695"/>
            <wp:effectExtent l="0" t="0" r="952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0975" cy="1242695"/>
                    </a:xfrm>
                    <a:prstGeom prst="rect">
                      <a:avLst/>
                    </a:prstGeom>
                    <a:noFill/>
                    <a:ln>
                      <a:noFill/>
                    </a:ln>
                  </pic:spPr>
                </pic:pic>
              </a:graphicData>
            </a:graphic>
          </wp:inline>
        </w:drawing>
      </w:r>
    </w:p>
    <w:p w14:paraId="3DA0EBD9">
      <w:pPr>
        <w:widowControl/>
        <w:numPr>
          <w:ilvl w:val="0"/>
          <w:numId w:val="1"/>
        </w:numPr>
        <w:shd w:val="clear" w:color="auto" w:fill="auto"/>
        <w:tabs>
          <w:tab w:val="left" w:pos="4140"/>
        </w:tabs>
        <w:spacing w:line="360" w:lineRule="auto"/>
        <w:rPr>
          <w:rFonts w:hint="eastAsia" w:ascii="宋体" w:hAnsi="宋体" w:cs="宋体"/>
          <w:b/>
          <w:bCs/>
          <w:color w:val="auto"/>
          <w:highlight w:val="none"/>
          <w:lang w:val="en-US" w:eastAsia="zh-CN"/>
        </w:rPr>
      </w:pPr>
      <w:r>
        <w:rPr>
          <w:rFonts w:hint="eastAsia" w:ascii="宋体" w:hAnsi="宋体" w:cs="宋体"/>
          <w:b/>
          <w:bCs/>
          <w:color w:val="auto"/>
          <w:highlight w:val="none"/>
          <w:lang w:val="en-US" w:eastAsia="zh-CN"/>
        </w:rPr>
        <w:t>成交通知书</w:t>
      </w:r>
    </w:p>
    <w:p w14:paraId="3F3A27DC">
      <w:pPr>
        <w:widowControl/>
        <w:numPr>
          <w:ilvl w:val="0"/>
          <w:numId w:val="0"/>
        </w:numPr>
        <w:shd w:val="clear" w:color="auto" w:fill="auto"/>
        <w:tabs>
          <w:tab w:val="left" w:pos="4140"/>
        </w:tabs>
        <w:spacing w:line="360" w:lineRule="auto"/>
        <w:rPr>
          <w:rFonts w:hint="eastAsia" w:ascii="宋体" w:hAnsi="宋体" w:cs="宋体"/>
          <w:b/>
          <w:bCs/>
          <w:color w:val="auto"/>
          <w:highlight w:val="none"/>
          <w:lang w:val="en-US" w:eastAsia="zh-CN"/>
        </w:rPr>
      </w:pPr>
      <w:r>
        <w:rPr>
          <w:rFonts w:hint="eastAsia" w:ascii="宋体" w:hAnsi="宋体" w:eastAsia="宋体" w:cs="宋体"/>
          <w:bCs/>
          <w:color w:val="auto"/>
          <w:kern w:val="0"/>
          <w:szCs w:val="21"/>
          <w:u w:val="none"/>
          <w:lang w:val="en-US" w:eastAsia="zh-CN"/>
        </w:rPr>
        <w:t>公示期结束后，在项目管理中查找成交项目，在中标详情中交纳代理服务费并根据实际情况选择电子普通发票、专用发票。</w:t>
      </w:r>
    </w:p>
    <w:p w14:paraId="6E03EF33">
      <w:pPr>
        <w:pStyle w:val="7"/>
        <w:numPr>
          <w:ilvl w:val="0"/>
          <w:numId w:val="0"/>
        </w:numPr>
        <w:jc w:val="both"/>
        <w:rPr>
          <w:rFonts w:hint="default"/>
          <w:lang w:val="en-US" w:eastAsia="zh-CN"/>
        </w:rPr>
      </w:pPr>
      <w:r>
        <w:drawing>
          <wp:inline distT="0" distB="0" distL="114300" distR="114300">
            <wp:extent cx="5264785" cy="1230630"/>
            <wp:effectExtent l="0" t="0" r="5715" b="12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264785" cy="1230630"/>
                    </a:xfrm>
                    <a:prstGeom prst="rect">
                      <a:avLst/>
                    </a:prstGeom>
                    <a:noFill/>
                    <a:ln>
                      <a:noFill/>
                    </a:ln>
                  </pic:spPr>
                </pic:pic>
              </a:graphicData>
            </a:graphic>
          </wp:inline>
        </w:drawing>
      </w:r>
    </w:p>
    <w:p w14:paraId="7252E838">
      <w:pPr>
        <w:rPr>
          <w:rFonts w:hint="default"/>
          <w:lang w:val="en-US" w:eastAsia="zh-CN"/>
        </w:rPr>
      </w:pPr>
    </w:p>
    <w:p w14:paraId="6F7DB8CC"/>
    <w:p w14:paraId="5F641B44"/>
    <w:p w14:paraId="2FB819EB"/>
    <w:p w14:paraId="20C69B2B"/>
    <w:p w14:paraId="4FEDBA5E"/>
    <w:p w14:paraId="74FF7D75"/>
    <w:p w14:paraId="6361F4CD">
      <w:pPr>
        <w:spacing w:afterLines="100" w:line="400" w:lineRule="exact"/>
        <w:jc w:val="center"/>
        <w:outlineLvl w:val="0"/>
        <w:rPr>
          <w:rFonts w:ascii="黑体" w:eastAsia="黑体"/>
          <w:sz w:val="32"/>
          <w:szCs w:val="32"/>
        </w:rPr>
      </w:pPr>
      <w:bookmarkStart w:id="0" w:name="_Toc426028734"/>
      <w:bookmarkStart w:id="1" w:name="_Toc17802"/>
      <w:r>
        <w:rPr>
          <w:rFonts w:hint="eastAsia" w:ascii="黑体" w:eastAsia="黑体"/>
          <w:sz w:val="32"/>
          <w:szCs w:val="32"/>
        </w:rPr>
        <w:t>第一章 竞争性谈判</w:t>
      </w:r>
      <w:bookmarkEnd w:id="0"/>
      <w:r>
        <w:rPr>
          <w:rFonts w:hint="eastAsia" w:ascii="黑体" w:eastAsia="黑体"/>
          <w:sz w:val="32"/>
          <w:szCs w:val="32"/>
        </w:rPr>
        <w:t>公告</w:t>
      </w:r>
      <w:bookmarkEnd w:id="1"/>
    </w:p>
    <w:p w14:paraId="2FA06FC5">
      <w:pPr>
        <w:jc w:val="center"/>
        <w:rPr>
          <w:sz w:val="28"/>
          <w:szCs w:val="28"/>
        </w:rPr>
      </w:pPr>
      <w:r>
        <w:rPr>
          <w:rFonts w:hint="eastAsia"/>
          <w:sz w:val="28"/>
          <w:szCs w:val="28"/>
          <w:lang w:eastAsia="zh-CN"/>
        </w:rPr>
        <w:t xml:space="preserve"> 2025年大庆油田昆仑涂料有限公司危货运输项目</w:t>
      </w:r>
      <w:r>
        <w:rPr>
          <w:rFonts w:hint="eastAsia" w:cs="宋体"/>
          <w:kern w:val="0"/>
          <w:sz w:val="28"/>
          <w:szCs w:val="28"/>
        </w:rPr>
        <w:t>谈判公告</w:t>
      </w:r>
    </w:p>
    <w:p w14:paraId="3433D4B5">
      <w:pPr>
        <w:tabs>
          <w:tab w:val="left" w:pos="-105"/>
          <w:tab w:val="left" w:pos="420"/>
          <w:tab w:val="left" w:pos="630"/>
          <w:tab w:val="left" w:pos="1155"/>
          <w:tab w:val="left" w:pos="1890"/>
          <w:tab w:val="left" w:pos="3150"/>
          <w:tab w:val="left" w:pos="3780"/>
        </w:tabs>
        <w:spacing w:line="360" w:lineRule="auto"/>
        <w:ind w:right="-23" w:rightChars="-11" w:firstLine="5670" w:firstLineChars="2700"/>
        <w:rPr>
          <w:rFonts w:hint="eastAsia" w:ascii="宋体" w:hAnsi="宋体" w:eastAsia="宋体" w:cs="宋体"/>
          <w:szCs w:val="21"/>
          <w:lang w:eastAsia="zh-CN"/>
        </w:rPr>
      </w:pPr>
      <w:r>
        <w:rPr>
          <w:rFonts w:hint="eastAsia" w:ascii="宋体" w:hAnsi="宋体" w:cs="宋体"/>
          <w:szCs w:val="21"/>
        </w:rPr>
        <w:t>项目编号：</w:t>
      </w:r>
      <w:r>
        <w:rPr>
          <w:rFonts w:hint="eastAsia" w:ascii="宋体" w:hAnsi="宋体" w:cs="宋体"/>
          <w:szCs w:val="21"/>
          <w:lang w:eastAsia="zh-CN"/>
        </w:rPr>
        <w:t xml:space="preserve">02012025FWTP0132   </w:t>
      </w:r>
    </w:p>
    <w:p w14:paraId="2A45DC06">
      <w:pPr>
        <w:spacing w:line="360" w:lineRule="auto"/>
        <w:rPr>
          <w:rFonts w:ascii="宋体" w:hAnsi="宋体" w:cs="宋体"/>
          <w:b/>
          <w:szCs w:val="21"/>
        </w:rPr>
      </w:pPr>
      <w:r>
        <w:rPr>
          <w:rFonts w:hint="eastAsia" w:ascii="宋体" w:hAnsi="宋体" w:cs="宋体"/>
          <w:b/>
          <w:szCs w:val="21"/>
        </w:rPr>
        <w:t>1.项目概况与谈判范围</w:t>
      </w:r>
    </w:p>
    <w:p w14:paraId="4F084EF2">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Cs w:val="21"/>
        </w:rPr>
      </w:pPr>
      <w:r>
        <w:rPr>
          <w:rFonts w:hint="eastAsia" w:ascii="宋体" w:hAnsi="宋体" w:cs="宋体"/>
          <w:szCs w:val="21"/>
        </w:rPr>
        <w:t>1.1项目名称：</w:t>
      </w:r>
      <w:r>
        <w:rPr>
          <w:rFonts w:hint="eastAsia" w:ascii="宋体" w:hAnsi="宋体" w:cs="宋体"/>
          <w:szCs w:val="21"/>
          <w:lang w:eastAsia="zh-CN"/>
        </w:rPr>
        <w:t>2025年大庆油田昆仑涂料有限公司危货运输项目</w:t>
      </w:r>
      <w:r>
        <w:rPr>
          <w:rFonts w:hint="eastAsia" w:ascii="宋体" w:hAnsi="宋体" w:cs="宋体"/>
          <w:szCs w:val="21"/>
        </w:rPr>
        <w:t>；</w:t>
      </w:r>
    </w:p>
    <w:p w14:paraId="6C03DD69">
      <w:pPr>
        <w:pStyle w:val="10"/>
        <w:spacing w:before="0" w:beforeAutospacing="0" w:after="0" w:afterAutospacing="0" w:line="36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项目概况：大庆油田昆仑涂料有限公司2025年需要往油田各单位运送油漆、涂料产品，以及原材料的拉运，需要危险品运输车辆，大庆油田昆仑涂料有限公司不具备危险品货物运输能力,需要外委运输；保证油漆和涂料产品从涂料公司运送至油田各单位（大庆市内及十厂、松源等地方），以及原材料的运输。需要危险品运输资质的企业提供运输服务。</w:t>
      </w:r>
    </w:p>
    <w:p w14:paraId="37F51D5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3</w:t>
      </w:r>
      <w:r>
        <w:rPr>
          <w:rFonts w:hint="eastAsia" w:ascii="宋体" w:hAnsi="宋体" w:cs="宋体"/>
          <w:szCs w:val="21"/>
        </w:rPr>
        <w:t>服务地点：</w:t>
      </w:r>
      <w:r>
        <w:rPr>
          <w:rFonts w:hint="eastAsia" w:ascii="宋体" w:hAnsi="宋体" w:cs="宋体"/>
          <w:szCs w:val="21"/>
          <w:highlight w:val="none"/>
          <w:lang w:eastAsia="zh-CN"/>
        </w:rPr>
        <w:t xml:space="preserve">大庆油田昆仑涂料有限公司  </w:t>
      </w:r>
    </w:p>
    <w:p w14:paraId="0F4BDA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lang w:val="en-US" w:eastAsia="zh-CN"/>
        </w:rPr>
        <w:t>1.4</w:t>
      </w:r>
      <w:r>
        <w:rPr>
          <w:rFonts w:hint="eastAsia" w:ascii="宋体" w:hAnsi="宋体" w:cs="宋体"/>
          <w:szCs w:val="21"/>
        </w:rPr>
        <w:t>计划投资：人民币60万元（含税)</w:t>
      </w:r>
    </w:p>
    <w:p w14:paraId="5F5872F0">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cs="宋体"/>
          <w:szCs w:val="21"/>
          <w:u w:val="none"/>
        </w:rPr>
      </w:pPr>
      <w:r>
        <w:rPr>
          <w:rFonts w:hint="eastAsia" w:ascii="宋体" w:hAnsi="宋体" w:cs="宋体"/>
          <w:szCs w:val="21"/>
          <w:u w:val="none"/>
          <w:lang w:val="en-US" w:eastAsia="zh-CN"/>
        </w:rPr>
        <w:t>1.5</w:t>
      </w:r>
      <w:r>
        <w:rPr>
          <w:rFonts w:hint="eastAsia" w:ascii="宋体" w:hAnsi="宋体" w:cs="宋体"/>
          <w:szCs w:val="21"/>
          <w:u w:val="none"/>
        </w:rPr>
        <w:t>实施周期：</w:t>
      </w:r>
      <w:r>
        <w:rPr>
          <w:rFonts w:hint="eastAsia" w:ascii="宋体" w:hAnsi="宋体"/>
          <w:color w:val="000000"/>
          <w:szCs w:val="21"/>
          <w:u w:val="none"/>
        </w:rPr>
        <w:t>自签订合同之日起至2025年12月31日</w:t>
      </w:r>
      <w:r>
        <w:rPr>
          <w:rFonts w:hint="eastAsia" w:ascii="宋体" w:hAnsi="宋体" w:cs="宋体"/>
          <w:szCs w:val="21"/>
          <w:u w:val="none"/>
        </w:rPr>
        <w:t>；</w:t>
      </w:r>
    </w:p>
    <w:p w14:paraId="3EF8D160">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1.6主要技术要求或技术方案</w:t>
      </w:r>
    </w:p>
    <w:p w14:paraId="1D3B02E3">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1 投标人必须具备经营性道路危险货物运输营业执照和许可资质。</w:t>
      </w:r>
    </w:p>
    <w:p w14:paraId="4C09DA48">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2 运输车辆必须具有《危险品道路运输证》，且证照及运输手续必须真实、完整、合法、有效。</w:t>
      </w:r>
    </w:p>
    <w:p w14:paraId="5D0CBE65">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3 运输车辆必须符合国家法律、法规、规章的规定和国家标准的要求，配齐应急处理器材和防护用品，并处于良好工作状态。</w:t>
      </w:r>
    </w:p>
    <w:p w14:paraId="4DBAD09D">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4 承担运输任务的危险品罐车必须封口严密，能够承受正常运输条件下产生的内部压力和外部压力，保证危险化学品在运输中不因温度、湿度或者压力的变化而发生任何渗（洒）漏。其罐体必须经质检部门检测，持有质检部门颁发的“容器检测证书”和“检验合格证”，在检验合格的有效期内承运危险货物。</w:t>
      </w:r>
    </w:p>
    <w:p w14:paraId="671E57DB">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5 承担运输任务的驾驶员和押运员必须清楚有关法律、法规、规章的规定，掌握安全知识、专业技术、职业卫生防护及应急救援知识，并经考核合格，持证上岗。</w:t>
      </w:r>
    </w:p>
    <w:p w14:paraId="0E42FB23">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6 承担运输任务的驾驶和押运人员必须清楚所运危险物品的性质、危害特性，掌握包装容器的使用特性和发生意外时的应急措施。</w:t>
      </w:r>
    </w:p>
    <w:p w14:paraId="28BA9B03">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7 危险化学品运输车辆必须按照规定路线行驶，不得进入禁止通行的区域。</w:t>
      </w:r>
    </w:p>
    <w:p w14:paraId="4FCAE2D5">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8 运输途中需要停车住宿或者遇无法正常运输的情况时，依法应当向当地公安部门报告。</w:t>
      </w:r>
    </w:p>
    <w:p w14:paraId="0817A951">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9 按要求及时将货物运到指定地点，并办理相应的货物交接手续。</w:t>
      </w:r>
    </w:p>
    <w:p w14:paraId="396F570B">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10承担运输任务的驾驶人员或车辆进入甲方指定区域时应遵守甲方的相关规定。</w:t>
      </w:r>
    </w:p>
    <w:p w14:paraId="51ECDEA8">
      <w:pPr>
        <w:numPr>
          <w:ilvl w:val="0"/>
          <w:numId w:val="0"/>
        </w:numPr>
        <w:spacing w:line="360" w:lineRule="auto"/>
        <w:rPr>
          <w:rFonts w:hint="eastAsia" w:cs="宋体" w:asciiTheme="minorEastAsia" w:hAnsiTheme="minorEastAsia"/>
          <w:szCs w:val="21"/>
          <w:highlight w:val="none"/>
          <w:lang w:val="en-US" w:eastAsia="zh-CN"/>
        </w:rPr>
      </w:pPr>
      <w:r>
        <w:rPr>
          <w:rFonts w:hint="eastAsia" w:cs="宋体" w:asciiTheme="minorEastAsia" w:hAnsiTheme="minorEastAsia"/>
          <w:szCs w:val="21"/>
          <w:highlight w:val="none"/>
          <w:lang w:val="en-US" w:eastAsia="zh-CN"/>
        </w:rPr>
        <w:t>11 押运人员应对运输过程进行监督，对超装、超载、超速等违章行为进行纠正。</w:t>
      </w:r>
    </w:p>
    <w:p w14:paraId="0D65E545">
      <w:pPr>
        <w:numPr>
          <w:ilvl w:val="0"/>
          <w:numId w:val="0"/>
        </w:numPr>
        <w:spacing w:line="360" w:lineRule="auto"/>
        <w:rPr>
          <w:rFonts w:ascii="宋体" w:hAnsi="宋体" w:cs="宋体"/>
          <w:b/>
          <w:bCs/>
          <w:szCs w:val="21"/>
        </w:rPr>
      </w:pPr>
      <w:r>
        <w:rPr>
          <w:rFonts w:hint="eastAsia" w:ascii="宋体" w:hAnsi="宋体" w:cs="宋体"/>
          <w:b/>
          <w:bCs/>
          <w:szCs w:val="21"/>
        </w:rPr>
        <w:t>2.服务商资格要求</w:t>
      </w:r>
    </w:p>
    <w:p w14:paraId="1DB8AAA1">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szCs w:val="21"/>
          <w:lang w:val="en-US" w:eastAsia="zh-CN"/>
        </w:rPr>
      </w:pPr>
      <w:r>
        <w:rPr>
          <w:rFonts w:hint="eastAsia" w:ascii="宋体" w:hAnsi="宋体" w:cs="宋体"/>
          <w:szCs w:val="21"/>
          <w:lang w:val="en-US" w:eastAsia="zh-CN"/>
        </w:rPr>
        <w:t xml:space="preserve">2.1谈判人须为合格法人或其他组织，具有有效的企业法人营业执照（谈判文件中需提供原件的影印件）；     </w:t>
      </w:r>
    </w:p>
    <w:p w14:paraId="20E53D25">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szCs w:val="21"/>
          <w:lang w:val="en-US" w:eastAsia="zh-CN"/>
        </w:rPr>
      </w:pPr>
      <w:r>
        <w:rPr>
          <w:rFonts w:hint="eastAsia" w:ascii="宋体" w:hAnsi="宋体" w:cs="宋体"/>
          <w:szCs w:val="21"/>
          <w:lang w:val="en-US" w:eastAsia="zh-CN"/>
        </w:rPr>
        <w:t>2.2谈判人必须在《大庆油田有限责任公司2025年度工程技术服务承包商准入名录》内</w:t>
      </w:r>
    </w:p>
    <w:p w14:paraId="3BBB9777">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szCs w:val="21"/>
          <w:lang w:val="en-US" w:eastAsia="zh-CN"/>
        </w:rPr>
      </w:pPr>
      <w:r>
        <w:rPr>
          <w:rFonts w:hint="eastAsia" w:ascii="宋体" w:hAnsi="宋体" w:cs="宋体"/>
          <w:szCs w:val="21"/>
          <w:lang w:val="en-US" w:eastAsia="zh-CN"/>
        </w:rPr>
        <w:t>2.3谈判人须具备有效的《道路运输经营许可证》（经营性危险货物运输3类），需提供《道路运输经营许可证》原件的扫描件；</w:t>
      </w:r>
    </w:p>
    <w:p w14:paraId="5F067899">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szCs w:val="21"/>
          <w:lang w:val="en-US" w:eastAsia="zh-CN"/>
        </w:rPr>
      </w:pPr>
      <w:r>
        <w:rPr>
          <w:rFonts w:hint="eastAsia" w:ascii="宋体" w:hAnsi="宋体" w:cs="宋体"/>
          <w:szCs w:val="21"/>
          <w:lang w:val="en-US" w:eastAsia="zh-CN"/>
        </w:rPr>
        <w:t>2.4谈判人拟投入的车辆必须为运输公司自有车辆，具有荷载质量2吨的危险品货车1台、荷载质量5吨的危险品货车3台、荷载质量10吨及以上危险品货车1台、荷载质量30吨及以上危险品罐车1台。车辆购置时间</w:t>
      </w:r>
      <w:r>
        <w:rPr>
          <w:rFonts w:hint="eastAsia" w:ascii="宋体" w:hAnsi="宋体" w:cs="宋体"/>
          <w:szCs w:val="21"/>
          <w:highlight w:val="none"/>
          <w:lang w:val="en-US" w:eastAsia="zh-CN"/>
        </w:rPr>
        <w:t>应在谈判日之前，</w:t>
      </w:r>
      <w:r>
        <w:rPr>
          <w:rFonts w:hint="eastAsia" w:ascii="宋体" w:hAnsi="宋体" w:cs="宋体"/>
          <w:szCs w:val="21"/>
          <w:lang w:val="en-US" w:eastAsia="zh-CN"/>
        </w:rPr>
        <w:t>需提供车辆《机动车行驶证》和《危险品道路运输证》原件的扫描件；罐车需提供《罐体检测报告》原件的扫描件；</w:t>
      </w:r>
    </w:p>
    <w:p w14:paraId="431AE47D">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szCs w:val="21"/>
          <w:lang w:val="en-US" w:eastAsia="zh-CN"/>
        </w:rPr>
      </w:pPr>
      <w:r>
        <w:rPr>
          <w:rFonts w:hint="eastAsia" w:ascii="宋体" w:hAnsi="宋体" w:cs="宋体"/>
          <w:szCs w:val="21"/>
          <w:lang w:val="en-US" w:eastAsia="zh-CN"/>
        </w:rPr>
        <w:t>2.5谈判人须具有车辆驾驶人和押运人员，驾驶人应具有与所驾车型相符《机动车驾驶证》及《从业人员资格证》，从业资格类别为道路危险运输驾驶员；押运员应具有《从业人员资格证》，从业资格类别为道路危险货物运输押运人员。备注：驾驶员和押运员人数需与所提供的车辆数量相符，车辆驾驶人须提供机《机动车驾驶证》、《从业人员资格证》，押运员须提供《从业人员资格证》，全部要求原件的扫描件；</w:t>
      </w:r>
    </w:p>
    <w:p w14:paraId="1415B4B7">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szCs w:val="21"/>
          <w:lang w:val="en-US" w:eastAsia="zh-CN"/>
        </w:rPr>
      </w:pPr>
      <w:r>
        <w:rPr>
          <w:rFonts w:hint="eastAsia" w:ascii="宋体" w:hAnsi="宋体" w:cs="宋体"/>
          <w:szCs w:val="21"/>
          <w:lang w:val="en-US" w:eastAsia="zh-CN"/>
        </w:rPr>
        <w:t>2.6 谈判人须承诺：近三年内没有发生重大安全、质量责任事故，没有欠薪及员工上访讨薪等不良记录，未被工商行政管理机关在全国企业信用信息公示系统中列入严重违法失信企业名单，未被最高人民法院在“信用中国”网站（www.creditchina.gov.cn ）或各级信用信息共享平台中列入失信被执行人名单，未被列为中国石油天然气集团公司或大庆油田有限责任公司黑名单的企业；</w:t>
      </w:r>
    </w:p>
    <w:p w14:paraId="084AE472">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szCs w:val="21"/>
          <w:lang w:val="en-US" w:eastAsia="zh-CN"/>
        </w:rPr>
      </w:pPr>
      <w:r>
        <w:rPr>
          <w:rFonts w:hint="eastAsia" w:ascii="宋体" w:hAnsi="宋体" w:cs="宋体"/>
          <w:szCs w:val="21"/>
          <w:lang w:val="en-US" w:eastAsia="zh-CN"/>
        </w:rPr>
        <w:t>2.7谈判人累计失信分值达到下述①～④项标准之一的，将被否决投标。①投标人失信分累计达到8分，且最后一次失信开始时间距开标当日不足半年；②投标人失信分累计达到9分，且最后一次失信开始时间距开标当日不足一年；③投标人失信分累计达到10分，且最后一次失信开始时间距开标当日不足二年；④投标人失信分累计达到10.5分及以上，且最后一次失信开始时间距开标当日不足三年。投标人失信分以开标当日中国石油招标投标网发布的失信行为信息为准，由评委在评审时进行网络查询，如投标人有失信行为，保留查询截图存档。</w:t>
      </w:r>
    </w:p>
    <w:p w14:paraId="25A7DE79">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b/>
          <w:szCs w:val="21"/>
        </w:rPr>
      </w:pPr>
      <w:r>
        <w:rPr>
          <w:rFonts w:hint="eastAsia" w:ascii="宋体" w:hAnsi="宋体" w:cs="宋体"/>
          <w:b/>
          <w:szCs w:val="21"/>
          <w:lang w:val="en-US" w:eastAsia="zh-CN"/>
        </w:rPr>
        <w:t>3</w:t>
      </w:r>
      <w:r>
        <w:rPr>
          <w:rFonts w:hint="eastAsia" w:ascii="宋体" w:hAnsi="宋体" w:cs="宋体"/>
          <w:b/>
          <w:szCs w:val="21"/>
        </w:rPr>
        <w:t>、谈判文件的获取</w:t>
      </w:r>
    </w:p>
    <w:p w14:paraId="75D87FB4">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b/>
          <w:szCs w:val="21"/>
        </w:rPr>
      </w:pPr>
      <w:r>
        <w:rPr>
          <w:rFonts w:hint="eastAsia" w:ascii="宋体" w:hAnsi="宋体" w:cs="宋体"/>
          <w:b/>
          <w:szCs w:val="21"/>
          <w:lang w:val="en-US" w:eastAsia="zh-CN"/>
        </w:rPr>
        <w:t>3</w:t>
      </w:r>
      <w:r>
        <w:rPr>
          <w:rFonts w:hint="eastAsia" w:ascii="宋体" w:hAnsi="宋体" w:cs="宋体"/>
          <w:b/>
          <w:szCs w:val="21"/>
        </w:rPr>
        <w:t>.1谈判文件出售时间：</w:t>
      </w:r>
      <w:r>
        <w:rPr>
          <w:rFonts w:hint="eastAsia" w:ascii="宋体" w:hAnsi="宋体" w:cs="宋体"/>
          <w:b/>
          <w:szCs w:val="21"/>
          <w:highlight w:val="yellow"/>
        </w:rPr>
        <w:t>谈判文件出售时间：自202</w:t>
      </w:r>
      <w:r>
        <w:rPr>
          <w:rFonts w:hint="eastAsia" w:ascii="宋体" w:hAnsi="宋体" w:cs="宋体"/>
          <w:b/>
          <w:szCs w:val="21"/>
          <w:highlight w:val="yellow"/>
          <w:lang w:val="en-US" w:eastAsia="zh-CN"/>
        </w:rPr>
        <w:t>5</w:t>
      </w:r>
      <w:r>
        <w:rPr>
          <w:rFonts w:hint="eastAsia" w:ascii="宋体" w:hAnsi="宋体" w:cs="宋体"/>
          <w:b/>
          <w:szCs w:val="21"/>
          <w:highlight w:val="yellow"/>
        </w:rPr>
        <w:t>年</w:t>
      </w:r>
      <w:r>
        <w:rPr>
          <w:rFonts w:hint="eastAsia" w:ascii="宋体" w:hAnsi="宋体" w:cs="宋体"/>
          <w:b/>
          <w:szCs w:val="21"/>
          <w:highlight w:val="yellow"/>
          <w:lang w:val="en-US" w:eastAsia="zh-CN"/>
        </w:rPr>
        <w:t>07</w:t>
      </w:r>
      <w:r>
        <w:rPr>
          <w:rFonts w:hint="eastAsia" w:ascii="宋体" w:hAnsi="宋体" w:cs="宋体"/>
          <w:b/>
          <w:szCs w:val="21"/>
          <w:highlight w:val="yellow"/>
        </w:rPr>
        <w:t>月</w:t>
      </w:r>
      <w:r>
        <w:rPr>
          <w:rFonts w:hint="eastAsia" w:ascii="宋体" w:hAnsi="宋体" w:cs="宋体"/>
          <w:b/>
          <w:szCs w:val="21"/>
          <w:highlight w:val="yellow"/>
          <w:lang w:val="en-US" w:eastAsia="zh-CN"/>
        </w:rPr>
        <w:t>18</w:t>
      </w:r>
      <w:r>
        <w:rPr>
          <w:rFonts w:hint="eastAsia" w:ascii="宋体" w:hAnsi="宋体" w:cs="宋体"/>
          <w:b/>
          <w:szCs w:val="21"/>
          <w:highlight w:val="yellow"/>
        </w:rPr>
        <w:t>日08时00分至202</w:t>
      </w:r>
      <w:r>
        <w:rPr>
          <w:rFonts w:hint="eastAsia" w:ascii="宋体" w:hAnsi="宋体" w:cs="宋体"/>
          <w:b/>
          <w:szCs w:val="21"/>
          <w:highlight w:val="yellow"/>
          <w:lang w:val="en-US" w:eastAsia="zh-CN"/>
        </w:rPr>
        <w:t>5</w:t>
      </w:r>
      <w:r>
        <w:rPr>
          <w:rFonts w:hint="eastAsia" w:ascii="宋体" w:hAnsi="宋体" w:cs="宋体"/>
          <w:b/>
          <w:szCs w:val="21"/>
          <w:highlight w:val="yellow"/>
        </w:rPr>
        <w:t>年</w:t>
      </w:r>
      <w:r>
        <w:rPr>
          <w:rFonts w:hint="eastAsia" w:ascii="宋体" w:hAnsi="宋体" w:cs="宋体"/>
          <w:b/>
          <w:szCs w:val="21"/>
          <w:highlight w:val="yellow"/>
          <w:lang w:val="en-US" w:eastAsia="zh-CN"/>
        </w:rPr>
        <w:t>07</w:t>
      </w:r>
      <w:r>
        <w:rPr>
          <w:rFonts w:hint="eastAsia" w:ascii="宋体" w:hAnsi="宋体" w:cs="宋体"/>
          <w:b/>
          <w:szCs w:val="21"/>
          <w:highlight w:val="yellow"/>
        </w:rPr>
        <w:t>月</w:t>
      </w:r>
      <w:r>
        <w:rPr>
          <w:rFonts w:hint="eastAsia" w:ascii="宋体" w:hAnsi="宋体" w:cs="宋体"/>
          <w:b/>
          <w:szCs w:val="21"/>
          <w:highlight w:val="yellow"/>
          <w:lang w:val="en-US" w:eastAsia="zh-CN"/>
        </w:rPr>
        <w:t>21</w:t>
      </w:r>
      <w:r>
        <w:rPr>
          <w:rFonts w:hint="eastAsia" w:ascii="宋体" w:hAnsi="宋体" w:cs="宋体"/>
          <w:b/>
          <w:szCs w:val="21"/>
          <w:highlight w:val="yellow"/>
        </w:rPr>
        <w:t>日23时59分（北京时间，下同）；</w:t>
      </w:r>
    </w:p>
    <w:p w14:paraId="65DF7E33">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b/>
          <w:szCs w:val="21"/>
          <w:lang w:val="en-US" w:eastAsia="zh-CN"/>
        </w:rPr>
      </w:pPr>
      <w:r>
        <w:rPr>
          <w:rFonts w:hint="eastAsia" w:ascii="宋体" w:hAnsi="宋体" w:cs="宋体"/>
          <w:b/>
          <w:szCs w:val="21"/>
          <w:lang w:val="en-US" w:eastAsia="zh-CN"/>
        </w:rPr>
        <w:t>3.2谈判文件获取方式：线上发售。谈判响应人登录大庆油田招标中心非招标采购交易平台（https://dqytzbzx.com）自行交费、下载谈判文件及发票（操作手册详见附件），谈判文件每套售价人民币200元，售后不退。</w:t>
      </w:r>
    </w:p>
    <w:p w14:paraId="30AF070E">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b/>
          <w:szCs w:val="21"/>
          <w:lang w:val="en-US" w:eastAsia="zh-CN"/>
        </w:rPr>
      </w:pPr>
      <w:r>
        <w:rPr>
          <w:rFonts w:hint="eastAsia" w:ascii="宋体" w:hAnsi="宋体" w:cs="宋体"/>
          <w:b/>
          <w:szCs w:val="21"/>
          <w:lang w:val="en-US" w:eastAsia="zh-CN"/>
        </w:rPr>
        <w:t>3.3本项目公告、公示同时在中国石油招标投标网发布，成交通知书在大庆油田招标中心非招标采购交易平台发放。请各潜在响应人及时注册，以免错过相关信息。</w:t>
      </w:r>
    </w:p>
    <w:p w14:paraId="2C5F8FDA">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b/>
          <w:szCs w:val="21"/>
          <w:lang w:val="en-US" w:eastAsia="zh-CN"/>
        </w:rPr>
      </w:pPr>
      <w:r>
        <w:rPr>
          <w:rFonts w:hint="eastAsia" w:ascii="宋体" w:hAnsi="宋体" w:cs="宋体"/>
          <w:b/>
          <w:szCs w:val="21"/>
          <w:lang w:val="en-US" w:eastAsia="zh-CN"/>
        </w:rPr>
        <w:t>3.4如本项目需要重新组织谈判，在代理机构重新发布竞争性谈判公告后所有潜在响应人应重新履行报名、响应文件编制和响应文件递交等谈判的全部流程。竞争性谈判公告发布媒介为“大庆油田招标中心非招标采购交易平台（https://dqytzbzx.com），重新组织谈判的项目发布的竞争性谈判公告的项目名称后面会带“（二次）”、“（三次）”等后缀。 大庆油田招标中心非招标采购交易平台平台注册、审核咨询电话：029-68320561</w:t>
      </w:r>
    </w:p>
    <w:p w14:paraId="64F413FF">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b/>
          <w:szCs w:val="21"/>
        </w:rPr>
      </w:pPr>
      <w:r>
        <w:rPr>
          <w:rFonts w:hint="eastAsia" w:ascii="宋体" w:hAnsi="宋体" w:cs="宋体"/>
          <w:b/>
          <w:szCs w:val="21"/>
          <w:lang w:val="en-US" w:eastAsia="zh-CN"/>
        </w:rPr>
        <w:t>4</w:t>
      </w:r>
      <w:r>
        <w:rPr>
          <w:rFonts w:hint="eastAsia" w:ascii="宋体" w:hAnsi="宋体" w:cs="宋体"/>
          <w:b/>
          <w:szCs w:val="21"/>
        </w:rPr>
        <w:t>、谈判响应文件的递交</w:t>
      </w:r>
    </w:p>
    <w:p w14:paraId="381B7021">
      <w:pPr>
        <w:keepNext w:val="0"/>
        <w:keepLines w:val="0"/>
        <w:pageBreakBefore w:val="0"/>
        <w:kinsoku/>
        <w:wordWrap/>
        <w:overflowPunct/>
        <w:topLinePunct w:val="0"/>
        <w:autoSpaceDE/>
        <w:autoSpaceDN/>
        <w:bidi w:val="0"/>
        <w:adjustRightInd/>
        <w:snapToGrid/>
        <w:spacing w:line="360" w:lineRule="auto"/>
        <w:ind w:hanging="10"/>
        <w:textAlignment w:val="auto"/>
        <w:rPr>
          <w:rFonts w:hint="eastAsia" w:ascii="宋体" w:hAnsi="宋体" w:eastAsia="宋体" w:cs="宋体"/>
          <w:color w:val="auto"/>
          <w:sz w:val="21"/>
          <w:szCs w:val="21"/>
          <w:highlight w:val="none"/>
          <w:lang w:val="en-US" w:eastAsia="zh-CN"/>
        </w:rPr>
      </w:pPr>
      <w:r>
        <w:rPr>
          <w:rFonts w:hint="eastAsia" w:ascii="宋体" w:hAnsi="宋体" w:cs="宋体"/>
          <w:b/>
          <w:szCs w:val="21"/>
          <w:lang w:val="en-US" w:eastAsia="zh-CN"/>
        </w:rPr>
        <w:t>4</w:t>
      </w:r>
      <w:r>
        <w:rPr>
          <w:rFonts w:hint="eastAsia" w:ascii="宋体" w:hAnsi="宋体" w:cs="宋体"/>
          <w:b/>
          <w:szCs w:val="21"/>
        </w:rPr>
        <w:t>.1谈判响应文件递交的截止时间：</w:t>
      </w:r>
      <w:r>
        <w:rPr>
          <w:rFonts w:hint="eastAsia" w:ascii="宋体" w:hAnsi="宋体" w:cs="宋体"/>
          <w:b/>
          <w:szCs w:val="21"/>
          <w:highlight w:val="yellow"/>
        </w:rPr>
        <w:t>202</w:t>
      </w:r>
      <w:r>
        <w:rPr>
          <w:rFonts w:hint="eastAsia" w:ascii="宋体" w:hAnsi="宋体" w:cs="宋体"/>
          <w:b/>
          <w:szCs w:val="21"/>
          <w:highlight w:val="yellow"/>
          <w:lang w:val="en-US" w:eastAsia="zh-CN"/>
        </w:rPr>
        <w:t>5</w:t>
      </w:r>
      <w:r>
        <w:rPr>
          <w:rFonts w:hint="eastAsia" w:ascii="宋体" w:hAnsi="宋体" w:cs="宋体"/>
          <w:b/>
          <w:szCs w:val="21"/>
          <w:highlight w:val="yellow"/>
        </w:rPr>
        <w:t>年</w:t>
      </w:r>
      <w:r>
        <w:rPr>
          <w:rFonts w:hint="eastAsia" w:ascii="宋体" w:hAnsi="宋体" w:cs="宋体"/>
          <w:b/>
          <w:szCs w:val="21"/>
          <w:highlight w:val="yellow"/>
          <w:lang w:val="en-US" w:eastAsia="zh-CN"/>
        </w:rPr>
        <w:t>07</w:t>
      </w:r>
      <w:r>
        <w:rPr>
          <w:rFonts w:hint="eastAsia" w:ascii="宋体" w:hAnsi="宋体" w:cs="宋体"/>
          <w:b/>
          <w:szCs w:val="21"/>
          <w:highlight w:val="yellow"/>
        </w:rPr>
        <w:t>月</w:t>
      </w:r>
      <w:r>
        <w:rPr>
          <w:rFonts w:hint="eastAsia" w:ascii="宋体" w:hAnsi="宋体" w:cs="宋体"/>
          <w:b/>
          <w:szCs w:val="21"/>
          <w:highlight w:val="yellow"/>
          <w:lang w:val="en-US" w:eastAsia="zh-CN"/>
        </w:rPr>
        <w:t>23</w:t>
      </w:r>
      <w:r>
        <w:rPr>
          <w:rFonts w:hint="eastAsia" w:ascii="宋体" w:hAnsi="宋体" w:cs="宋体"/>
          <w:b/>
          <w:szCs w:val="21"/>
          <w:highlight w:val="yellow"/>
        </w:rPr>
        <w:t>日</w:t>
      </w:r>
      <w:r>
        <w:rPr>
          <w:rFonts w:hint="eastAsia" w:ascii="宋体" w:hAnsi="宋体" w:cs="宋体"/>
          <w:b/>
          <w:szCs w:val="21"/>
          <w:highlight w:val="yellow"/>
          <w:lang w:val="en-US" w:eastAsia="zh-CN"/>
        </w:rPr>
        <w:t>09</w:t>
      </w:r>
      <w:r>
        <w:rPr>
          <w:rFonts w:hint="eastAsia" w:ascii="宋体" w:hAnsi="宋体" w:cs="宋体"/>
          <w:b/>
          <w:szCs w:val="21"/>
          <w:highlight w:val="yellow"/>
        </w:rPr>
        <w:t>时00分，</w:t>
      </w:r>
      <w:r>
        <w:rPr>
          <w:rFonts w:hint="eastAsia" w:ascii="宋体" w:hAnsi="宋体" w:cs="宋体"/>
          <w:b/>
          <w:szCs w:val="21"/>
        </w:rPr>
        <w:t>地点为：大庆油田招标中心收发室（黑龙江省大庆市让胡路区爱国路51号）；</w:t>
      </w:r>
      <w:r>
        <w:rPr>
          <w:rFonts w:hint="eastAsia" w:ascii="宋体" w:hAnsi="宋体" w:eastAsia="宋体" w:cs="宋体"/>
          <w:color w:val="auto"/>
          <w:sz w:val="21"/>
          <w:szCs w:val="21"/>
          <w:highlight w:val="none"/>
          <w:lang w:val="en-US" w:eastAsia="zh-CN"/>
        </w:rPr>
        <w:t>具体位置见下图：</w:t>
      </w:r>
    </w:p>
    <w:p w14:paraId="6C354736">
      <w:pPr>
        <w:keepNext w:val="0"/>
        <w:keepLines w:val="0"/>
        <w:pageBreakBefore w:val="0"/>
        <w:kinsoku/>
        <w:wordWrap/>
        <w:overflowPunct/>
        <w:topLinePunct w:val="0"/>
        <w:autoSpaceDE/>
        <w:autoSpaceDN/>
        <w:bidi w:val="0"/>
        <w:adjustRightInd/>
        <w:snapToGrid/>
        <w:spacing w:line="360" w:lineRule="auto"/>
        <w:textAlignment w:val="auto"/>
        <w:outlineLvl w:val="1"/>
        <w:rPr>
          <w:rFonts w:hint="eastAsia" w:ascii="宋体" w:hAnsi="宋体" w:cs="宋体"/>
          <w:b/>
          <w:szCs w:val="21"/>
        </w:rPr>
      </w:pPr>
      <w:r>
        <w:rPr>
          <w:rFonts w:hint="eastAsia" w:ascii="宋体" w:hAnsi="宋体" w:cs="宋体"/>
          <w:b/>
          <w:szCs w:val="21"/>
          <w:lang w:val="en-US" w:eastAsia="zh-CN"/>
        </w:rPr>
        <w:drawing>
          <wp:anchor distT="0" distB="0" distL="114300" distR="114300" simplePos="0" relativeHeight="251660288" behindDoc="0" locked="0" layoutInCell="1" allowOverlap="1">
            <wp:simplePos x="0" y="0"/>
            <wp:positionH relativeFrom="column">
              <wp:posOffset>-198755</wp:posOffset>
            </wp:positionH>
            <wp:positionV relativeFrom="paragraph">
              <wp:posOffset>79375</wp:posOffset>
            </wp:positionV>
            <wp:extent cx="5721350" cy="3173730"/>
            <wp:effectExtent l="0" t="0" r="12700" b="7620"/>
            <wp:wrapNone/>
            <wp:docPr id="13" name="图片 13" descr="clipbord_175186906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lipbord_1751869065302"/>
                    <pic:cNvPicPr>
                      <a:picLocks noChangeAspect="1"/>
                    </pic:cNvPicPr>
                  </pic:nvPicPr>
                  <pic:blipFill>
                    <a:blip r:embed="rId15"/>
                    <a:stretch>
                      <a:fillRect/>
                    </a:stretch>
                  </pic:blipFill>
                  <pic:spPr>
                    <a:xfrm>
                      <a:off x="0" y="0"/>
                      <a:ext cx="5721350" cy="3173730"/>
                    </a:xfrm>
                    <a:prstGeom prst="rect">
                      <a:avLst/>
                    </a:prstGeom>
                  </pic:spPr>
                </pic:pic>
              </a:graphicData>
            </a:graphic>
          </wp:anchor>
        </w:drawing>
      </w:r>
    </w:p>
    <w:p w14:paraId="4E5537FF">
      <w:pPr>
        <w:spacing w:line="360" w:lineRule="auto"/>
        <w:outlineLvl w:val="1"/>
        <w:rPr>
          <w:rFonts w:hint="eastAsia" w:ascii="宋体" w:hAnsi="宋体" w:cs="宋体"/>
          <w:b/>
          <w:szCs w:val="21"/>
          <w:lang w:val="en-US" w:eastAsia="zh-CN"/>
        </w:rPr>
      </w:pPr>
    </w:p>
    <w:p w14:paraId="7A8D6A42">
      <w:pPr>
        <w:spacing w:line="360" w:lineRule="auto"/>
        <w:outlineLvl w:val="1"/>
        <w:rPr>
          <w:rFonts w:hint="eastAsia" w:ascii="宋体" w:hAnsi="宋体" w:cs="宋体"/>
          <w:b/>
          <w:szCs w:val="21"/>
          <w:lang w:val="en-US" w:eastAsia="zh-CN"/>
        </w:rPr>
      </w:pPr>
    </w:p>
    <w:p w14:paraId="76207F7E">
      <w:pPr>
        <w:spacing w:line="360" w:lineRule="auto"/>
        <w:outlineLvl w:val="1"/>
        <w:rPr>
          <w:rFonts w:hint="eastAsia" w:ascii="宋体" w:hAnsi="宋体" w:cs="宋体"/>
          <w:b/>
          <w:szCs w:val="21"/>
          <w:lang w:val="en-US" w:eastAsia="zh-CN"/>
        </w:rPr>
      </w:pPr>
    </w:p>
    <w:p w14:paraId="663A426C">
      <w:pPr>
        <w:spacing w:line="360" w:lineRule="auto"/>
        <w:outlineLvl w:val="1"/>
        <w:rPr>
          <w:rFonts w:hint="eastAsia" w:ascii="宋体" w:hAnsi="宋体" w:cs="宋体"/>
          <w:b/>
          <w:szCs w:val="21"/>
          <w:lang w:val="en-US" w:eastAsia="zh-CN"/>
        </w:rPr>
      </w:pPr>
    </w:p>
    <w:p w14:paraId="4FCC75C2">
      <w:pPr>
        <w:spacing w:line="360" w:lineRule="auto"/>
        <w:outlineLvl w:val="1"/>
        <w:rPr>
          <w:rFonts w:hint="eastAsia" w:ascii="宋体" w:hAnsi="宋体" w:cs="宋体"/>
          <w:b/>
          <w:szCs w:val="21"/>
          <w:lang w:val="en-US" w:eastAsia="zh-CN"/>
        </w:rPr>
      </w:pPr>
    </w:p>
    <w:p w14:paraId="38CC48A4">
      <w:pPr>
        <w:spacing w:line="360" w:lineRule="auto"/>
        <w:outlineLvl w:val="1"/>
        <w:rPr>
          <w:rFonts w:hint="eastAsia" w:ascii="宋体" w:hAnsi="宋体" w:cs="宋体"/>
          <w:b/>
          <w:szCs w:val="21"/>
          <w:lang w:val="en-US" w:eastAsia="zh-CN"/>
        </w:rPr>
      </w:pPr>
    </w:p>
    <w:p w14:paraId="3EABF5EC">
      <w:pPr>
        <w:spacing w:line="360" w:lineRule="auto"/>
        <w:outlineLvl w:val="1"/>
        <w:rPr>
          <w:rFonts w:hint="eastAsia" w:ascii="宋体" w:hAnsi="宋体" w:cs="宋体"/>
          <w:b/>
          <w:szCs w:val="21"/>
          <w:lang w:val="en-US" w:eastAsia="zh-CN"/>
        </w:rPr>
      </w:pPr>
    </w:p>
    <w:p w14:paraId="76FF0215">
      <w:pPr>
        <w:spacing w:line="360" w:lineRule="auto"/>
        <w:outlineLvl w:val="1"/>
        <w:rPr>
          <w:rFonts w:hint="eastAsia" w:ascii="宋体" w:hAnsi="宋体" w:cs="宋体"/>
          <w:b/>
          <w:szCs w:val="21"/>
          <w:lang w:val="en-US" w:eastAsia="zh-CN"/>
        </w:rPr>
      </w:pPr>
    </w:p>
    <w:p w14:paraId="6CB2BEAB">
      <w:pPr>
        <w:spacing w:line="360" w:lineRule="auto"/>
        <w:outlineLvl w:val="1"/>
        <w:rPr>
          <w:rFonts w:hint="eastAsia" w:ascii="宋体" w:hAnsi="宋体" w:cs="宋体"/>
          <w:b/>
          <w:szCs w:val="21"/>
          <w:lang w:val="en-US" w:eastAsia="zh-CN"/>
        </w:rPr>
      </w:pPr>
    </w:p>
    <w:p w14:paraId="64503FF9">
      <w:pPr>
        <w:spacing w:line="360" w:lineRule="auto"/>
        <w:outlineLvl w:val="1"/>
        <w:rPr>
          <w:rFonts w:hint="eastAsia" w:ascii="宋体" w:hAnsi="宋体" w:cs="宋体"/>
          <w:b/>
          <w:szCs w:val="21"/>
          <w:lang w:val="en-US" w:eastAsia="zh-CN"/>
        </w:rPr>
      </w:pPr>
    </w:p>
    <w:p w14:paraId="1425DF58">
      <w:pPr>
        <w:spacing w:line="360" w:lineRule="auto"/>
        <w:outlineLvl w:val="1"/>
        <w:rPr>
          <w:rFonts w:hint="eastAsia" w:ascii="宋体" w:hAnsi="宋体" w:cs="宋体"/>
          <w:b/>
          <w:szCs w:val="21"/>
          <w:lang w:val="en-US" w:eastAsia="zh-CN"/>
        </w:rPr>
      </w:pPr>
    </w:p>
    <w:p w14:paraId="08A829B3">
      <w:pPr>
        <w:spacing w:line="360" w:lineRule="auto"/>
        <w:outlineLvl w:val="1"/>
        <w:rPr>
          <w:rFonts w:hint="eastAsia" w:ascii="宋体" w:hAnsi="宋体" w:cs="宋体"/>
          <w:b/>
          <w:szCs w:val="21"/>
        </w:rPr>
      </w:pPr>
      <w:r>
        <w:rPr>
          <w:rFonts w:hint="eastAsia" w:ascii="宋体" w:hAnsi="宋体" w:cs="宋体"/>
          <w:b/>
          <w:szCs w:val="21"/>
          <w:lang w:val="en-US" w:eastAsia="zh-CN"/>
        </w:rPr>
        <w:t>4</w:t>
      </w:r>
      <w:r>
        <w:rPr>
          <w:rFonts w:hint="eastAsia" w:ascii="宋体" w:hAnsi="宋体" w:cs="宋体"/>
          <w:b/>
          <w:szCs w:val="21"/>
        </w:rPr>
        <w:t>.2逾期送达或者未送达指定地点的谈判响应文件，代理机构不予受理。参加谈判会议的谈判响应服务商代表须为谈判响应文件中的法定代表人或委托代理人。</w:t>
      </w:r>
    </w:p>
    <w:p w14:paraId="2DD0FE4C">
      <w:pPr>
        <w:spacing w:line="360" w:lineRule="auto"/>
        <w:outlineLvl w:val="1"/>
        <w:rPr>
          <w:rFonts w:hint="eastAsia" w:ascii="宋体" w:hAnsi="宋体" w:cs="宋体"/>
          <w:b/>
          <w:szCs w:val="21"/>
        </w:rPr>
      </w:pPr>
      <w:r>
        <w:rPr>
          <w:rFonts w:hint="eastAsia" w:ascii="宋体" w:hAnsi="宋体" w:cs="宋体"/>
          <w:b/>
          <w:szCs w:val="21"/>
          <w:lang w:val="en-US" w:eastAsia="zh-CN"/>
        </w:rPr>
        <w:t>5</w:t>
      </w:r>
      <w:r>
        <w:rPr>
          <w:rFonts w:hint="eastAsia" w:ascii="宋体" w:hAnsi="宋体" w:cs="宋体"/>
          <w:b/>
          <w:szCs w:val="21"/>
        </w:rPr>
        <w:t>.谈判</w:t>
      </w:r>
    </w:p>
    <w:p w14:paraId="6BD7E549">
      <w:pPr>
        <w:spacing w:line="360" w:lineRule="auto"/>
        <w:outlineLvl w:val="1"/>
        <w:rPr>
          <w:rFonts w:hint="eastAsia" w:ascii="宋体" w:hAnsi="宋体" w:cs="宋体"/>
          <w:b/>
          <w:szCs w:val="21"/>
        </w:rPr>
      </w:pPr>
      <w:r>
        <w:rPr>
          <w:rFonts w:hint="eastAsia" w:ascii="宋体" w:hAnsi="宋体" w:cs="宋体"/>
          <w:b/>
          <w:szCs w:val="21"/>
        </w:rPr>
        <w:t>谈判时间</w:t>
      </w:r>
      <w:r>
        <w:rPr>
          <w:rFonts w:hint="eastAsia" w:ascii="宋体" w:hAnsi="宋体" w:cs="宋体"/>
          <w:b/>
          <w:szCs w:val="21"/>
          <w:highlight w:val="yellow"/>
        </w:rPr>
        <w:t>：202</w:t>
      </w:r>
      <w:r>
        <w:rPr>
          <w:rFonts w:hint="eastAsia" w:ascii="宋体" w:hAnsi="宋体" w:cs="宋体"/>
          <w:b/>
          <w:szCs w:val="21"/>
          <w:highlight w:val="yellow"/>
          <w:lang w:val="en-US" w:eastAsia="zh-CN"/>
        </w:rPr>
        <w:t>5</w:t>
      </w:r>
      <w:r>
        <w:rPr>
          <w:rFonts w:hint="eastAsia" w:ascii="宋体" w:hAnsi="宋体" w:cs="宋体"/>
          <w:b/>
          <w:szCs w:val="21"/>
          <w:highlight w:val="yellow"/>
        </w:rPr>
        <w:t>年</w:t>
      </w:r>
      <w:r>
        <w:rPr>
          <w:rFonts w:hint="eastAsia" w:ascii="宋体" w:hAnsi="宋体" w:cs="宋体"/>
          <w:b/>
          <w:szCs w:val="21"/>
          <w:highlight w:val="yellow"/>
          <w:lang w:val="en-US" w:eastAsia="zh-CN"/>
        </w:rPr>
        <w:t>07</w:t>
      </w:r>
      <w:r>
        <w:rPr>
          <w:rFonts w:hint="eastAsia" w:ascii="宋体" w:hAnsi="宋体" w:cs="宋体"/>
          <w:b/>
          <w:szCs w:val="21"/>
          <w:highlight w:val="yellow"/>
        </w:rPr>
        <w:t>月</w:t>
      </w:r>
      <w:r>
        <w:rPr>
          <w:rFonts w:hint="eastAsia" w:ascii="宋体" w:hAnsi="宋体" w:cs="宋体"/>
          <w:b/>
          <w:szCs w:val="21"/>
          <w:highlight w:val="yellow"/>
          <w:lang w:val="en-US" w:eastAsia="zh-CN"/>
        </w:rPr>
        <w:t>23</w:t>
      </w:r>
      <w:r>
        <w:rPr>
          <w:rFonts w:hint="eastAsia" w:ascii="宋体" w:hAnsi="宋体" w:cs="宋体"/>
          <w:b/>
          <w:szCs w:val="21"/>
          <w:highlight w:val="yellow"/>
        </w:rPr>
        <w:t>日</w:t>
      </w:r>
      <w:r>
        <w:rPr>
          <w:rFonts w:hint="eastAsia" w:ascii="宋体" w:hAnsi="宋体" w:cs="宋体"/>
          <w:b/>
          <w:szCs w:val="21"/>
          <w:highlight w:val="yellow"/>
          <w:lang w:val="en-US" w:eastAsia="zh-CN"/>
        </w:rPr>
        <w:t>09</w:t>
      </w:r>
      <w:r>
        <w:rPr>
          <w:rFonts w:hint="eastAsia" w:ascii="宋体" w:hAnsi="宋体" w:cs="宋体"/>
          <w:b/>
          <w:szCs w:val="21"/>
          <w:highlight w:val="yellow"/>
        </w:rPr>
        <w:t>时00分；</w:t>
      </w:r>
    </w:p>
    <w:p w14:paraId="21A8AFBF">
      <w:pPr>
        <w:spacing w:line="360" w:lineRule="auto"/>
        <w:outlineLvl w:val="1"/>
        <w:rPr>
          <w:rFonts w:hint="eastAsia" w:ascii="宋体" w:hAnsi="宋体" w:cs="宋体"/>
          <w:b/>
          <w:szCs w:val="21"/>
        </w:rPr>
      </w:pPr>
      <w:r>
        <w:rPr>
          <w:rFonts w:hint="eastAsia" w:ascii="宋体" w:hAnsi="宋体" w:cs="宋体"/>
          <w:b/>
          <w:szCs w:val="21"/>
        </w:rPr>
        <w:t>谈判地点：大庆油田招标中心有限责任公司评标室（黑龙江省大庆市让胡路区爱国路51号）。</w:t>
      </w:r>
    </w:p>
    <w:p w14:paraId="40BBA9E6">
      <w:pPr>
        <w:spacing w:line="360" w:lineRule="auto"/>
        <w:rPr>
          <w:rFonts w:hint="eastAsia" w:ascii="宋体" w:hAnsi="宋体" w:cs="宋体"/>
          <w:b w:val="0"/>
          <w:bCs/>
          <w:szCs w:val="21"/>
        </w:rPr>
      </w:pPr>
      <w:r>
        <w:rPr>
          <w:rFonts w:hint="eastAsia" w:ascii="宋体" w:hAnsi="宋体" w:cs="宋体"/>
          <w:b w:val="0"/>
          <w:bCs/>
          <w:szCs w:val="21"/>
          <w:lang w:val="en-US" w:eastAsia="zh-CN"/>
        </w:rPr>
        <w:t>6</w:t>
      </w:r>
      <w:r>
        <w:rPr>
          <w:rFonts w:hint="eastAsia" w:ascii="宋体" w:hAnsi="宋体" w:cs="宋体"/>
          <w:b w:val="0"/>
          <w:bCs/>
          <w:szCs w:val="21"/>
        </w:rPr>
        <w:t>.联系方式</w:t>
      </w:r>
    </w:p>
    <w:p w14:paraId="0583C7DF">
      <w:pPr>
        <w:spacing w:line="360" w:lineRule="auto"/>
        <w:rPr>
          <w:rFonts w:hint="eastAsia" w:ascii="宋体" w:hAnsi="宋体" w:cs="宋体"/>
          <w:b w:val="0"/>
          <w:bCs/>
          <w:szCs w:val="21"/>
        </w:rPr>
      </w:pPr>
      <w:r>
        <w:rPr>
          <w:rFonts w:hint="eastAsia" w:ascii="宋体" w:hAnsi="宋体" w:cs="宋体"/>
          <w:b w:val="0"/>
          <w:bCs/>
          <w:szCs w:val="21"/>
        </w:rPr>
        <w:t>代理机构：大庆油田招标中心有限责任公司</w:t>
      </w:r>
    </w:p>
    <w:p w14:paraId="24B12AD5">
      <w:pPr>
        <w:spacing w:line="360" w:lineRule="auto"/>
        <w:rPr>
          <w:rFonts w:hint="eastAsia" w:ascii="宋体" w:hAnsi="宋体" w:cs="宋体"/>
          <w:b w:val="0"/>
          <w:bCs/>
          <w:szCs w:val="21"/>
        </w:rPr>
      </w:pPr>
      <w:r>
        <w:rPr>
          <w:rFonts w:hint="eastAsia" w:ascii="宋体" w:hAnsi="宋体" w:cs="宋体"/>
          <w:b w:val="0"/>
          <w:bCs/>
          <w:szCs w:val="21"/>
        </w:rPr>
        <w:t>单位地址：黑龙江省大庆市让胡路区爱国路51号</w:t>
      </w:r>
    </w:p>
    <w:p w14:paraId="61ED32E7">
      <w:pPr>
        <w:spacing w:line="360" w:lineRule="auto"/>
        <w:rPr>
          <w:rFonts w:hint="eastAsia" w:ascii="宋体" w:hAnsi="宋体" w:cs="宋体"/>
          <w:b w:val="0"/>
          <w:bCs/>
          <w:szCs w:val="21"/>
        </w:rPr>
      </w:pPr>
      <w:r>
        <w:rPr>
          <w:rFonts w:hint="eastAsia" w:ascii="宋体" w:hAnsi="宋体" w:cs="宋体"/>
          <w:b w:val="0"/>
          <w:bCs/>
          <w:szCs w:val="21"/>
        </w:rPr>
        <w:t>邮编：163453</w:t>
      </w:r>
    </w:p>
    <w:p w14:paraId="5F848264">
      <w:pPr>
        <w:spacing w:line="360" w:lineRule="auto"/>
        <w:rPr>
          <w:rFonts w:hint="eastAsia" w:ascii="宋体" w:hAnsi="宋体" w:cs="宋体"/>
          <w:b w:val="0"/>
          <w:bCs/>
          <w:szCs w:val="21"/>
        </w:rPr>
      </w:pPr>
      <w:r>
        <w:rPr>
          <w:rFonts w:hint="eastAsia" w:ascii="宋体" w:hAnsi="宋体" w:cs="宋体"/>
          <w:b w:val="0"/>
          <w:bCs/>
          <w:szCs w:val="21"/>
        </w:rPr>
        <w:t>联 系 人：那婷婷</w:t>
      </w:r>
    </w:p>
    <w:p w14:paraId="13406C08">
      <w:pPr>
        <w:spacing w:line="360" w:lineRule="auto"/>
        <w:rPr>
          <w:rFonts w:hint="eastAsia" w:ascii="宋体" w:hAnsi="宋体" w:cs="宋体"/>
          <w:b w:val="0"/>
          <w:bCs/>
          <w:szCs w:val="21"/>
          <w:lang w:val="en-US" w:eastAsia="zh-CN"/>
        </w:rPr>
      </w:pPr>
      <w:r>
        <w:rPr>
          <w:rFonts w:hint="eastAsia" w:ascii="宋体" w:hAnsi="宋体" w:cs="宋体"/>
          <w:b w:val="0"/>
          <w:bCs/>
          <w:szCs w:val="21"/>
        </w:rPr>
        <w:t>联系电话:  0459-5727</w:t>
      </w:r>
      <w:r>
        <w:rPr>
          <w:rFonts w:hint="eastAsia" w:ascii="宋体" w:hAnsi="宋体" w:cs="宋体"/>
          <w:b w:val="0"/>
          <w:bCs/>
          <w:szCs w:val="21"/>
          <w:lang w:val="en-US" w:eastAsia="zh-CN"/>
        </w:rPr>
        <w:t>235</w:t>
      </w:r>
    </w:p>
    <w:p w14:paraId="6EECAC14">
      <w:pPr>
        <w:spacing w:line="360" w:lineRule="auto"/>
        <w:rPr>
          <w:rFonts w:hint="eastAsia" w:ascii="宋体" w:hAnsi="宋体" w:cs="宋体"/>
          <w:b w:val="0"/>
          <w:bCs/>
          <w:szCs w:val="21"/>
        </w:rPr>
      </w:pPr>
      <w:r>
        <w:rPr>
          <w:rFonts w:hint="eastAsia" w:ascii="宋体" w:hAnsi="宋体" w:cs="宋体"/>
          <w:b w:val="0"/>
          <w:bCs/>
          <w:szCs w:val="21"/>
        </w:rPr>
        <w:t>开户银行：交通银行大庆分行龙岗支行</w:t>
      </w:r>
    </w:p>
    <w:p w14:paraId="2EEB21ED">
      <w:pPr>
        <w:spacing w:line="360" w:lineRule="auto"/>
        <w:rPr>
          <w:rFonts w:hint="eastAsia" w:ascii="宋体" w:hAnsi="宋体" w:cs="宋体"/>
          <w:b w:val="0"/>
          <w:bCs/>
          <w:szCs w:val="21"/>
        </w:rPr>
      </w:pPr>
      <w:r>
        <w:rPr>
          <w:rFonts w:hint="eastAsia" w:ascii="宋体" w:hAnsi="宋体" w:cs="宋体"/>
          <w:b w:val="0"/>
          <w:bCs/>
          <w:szCs w:val="21"/>
        </w:rPr>
        <w:t>账户名：大庆油田招标中心有限责任公司</w:t>
      </w:r>
    </w:p>
    <w:p w14:paraId="71BB8442">
      <w:pPr>
        <w:spacing w:line="360" w:lineRule="auto"/>
        <w:rPr>
          <w:rFonts w:hint="eastAsia" w:ascii="宋体" w:hAnsi="宋体" w:cs="宋体"/>
          <w:b w:val="0"/>
          <w:bCs/>
          <w:szCs w:val="21"/>
        </w:rPr>
      </w:pPr>
      <w:r>
        <w:rPr>
          <w:rFonts w:hint="eastAsia" w:ascii="宋体" w:hAnsi="宋体" w:cs="宋体"/>
          <w:b w:val="0"/>
          <w:bCs/>
          <w:szCs w:val="21"/>
        </w:rPr>
        <w:t>账号：236000605018000135550</w:t>
      </w:r>
    </w:p>
    <w:p w14:paraId="1B5C822D">
      <w:pPr>
        <w:spacing w:line="360" w:lineRule="auto"/>
        <w:rPr>
          <w:rFonts w:hint="eastAsia" w:ascii="宋体" w:hAnsi="宋体" w:cs="宋体"/>
          <w:b w:val="0"/>
          <w:bCs/>
          <w:szCs w:val="21"/>
          <w:lang w:eastAsia="zh-CN"/>
        </w:rPr>
      </w:pPr>
      <w:r>
        <w:rPr>
          <w:rFonts w:hint="eastAsia" w:ascii="宋体" w:hAnsi="宋体" w:cs="宋体"/>
          <w:b w:val="0"/>
          <w:bCs/>
          <w:szCs w:val="21"/>
        </w:rPr>
        <w:t>业主：</w:t>
      </w:r>
      <w:r>
        <w:rPr>
          <w:rFonts w:hint="eastAsia" w:ascii="宋体" w:hAnsi="宋体" w:cs="宋体"/>
          <w:b w:val="0"/>
          <w:bCs/>
          <w:szCs w:val="21"/>
          <w:lang w:eastAsia="zh-CN"/>
        </w:rPr>
        <w:t xml:space="preserve"> 大庆油田昆仑涂料有限公司</w:t>
      </w:r>
    </w:p>
    <w:p w14:paraId="0BEF322C">
      <w:pPr>
        <w:spacing w:line="360" w:lineRule="auto"/>
        <w:rPr>
          <w:rFonts w:hint="eastAsia" w:ascii="宋体" w:hAnsi="宋体" w:eastAsia="宋体" w:cs="Arial"/>
          <w:b w:val="0"/>
          <w:bCs/>
          <w:szCs w:val="21"/>
          <w:highlight w:val="none"/>
          <w:lang w:val="en-US" w:eastAsia="zh-CN"/>
        </w:rPr>
      </w:pPr>
      <w:r>
        <w:rPr>
          <w:rFonts w:hint="eastAsia" w:ascii="宋体" w:hAnsi="宋体" w:cs="宋体"/>
          <w:b w:val="0"/>
          <w:bCs/>
          <w:szCs w:val="21"/>
          <w:highlight w:val="none"/>
        </w:rPr>
        <w:t>联系人：</w:t>
      </w:r>
      <w:r>
        <w:rPr>
          <w:rFonts w:hint="eastAsia" w:ascii="宋体" w:hAnsi="宋体" w:cs="宋体"/>
          <w:b w:val="0"/>
          <w:bCs/>
          <w:szCs w:val="21"/>
          <w:lang w:eastAsia="zh-CN"/>
        </w:rPr>
        <w:t xml:space="preserve"> 赵宏庆</w:t>
      </w:r>
    </w:p>
    <w:p w14:paraId="5F80320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b w:val="0"/>
          <w:bCs/>
          <w:szCs w:val="21"/>
          <w:lang w:eastAsia="zh-CN"/>
        </w:rPr>
      </w:pPr>
      <w:bookmarkStart w:id="2" w:name="_Toc69198009"/>
      <w:bookmarkStart w:id="3" w:name="_Toc22852"/>
      <w:bookmarkStart w:id="4" w:name="_Toc3092"/>
      <w:bookmarkStart w:id="5" w:name="_Toc18521"/>
      <w:bookmarkStart w:id="6" w:name="_Toc17762"/>
      <w:bookmarkStart w:id="7" w:name="_Toc69202099"/>
      <w:bookmarkStart w:id="8" w:name="_Toc29479379"/>
      <w:r>
        <w:rPr>
          <w:rFonts w:hint="eastAsia" w:ascii="宋体" w:hAnsi="宋体" w:cs="Arial"/>
          <w:szCs w:val="21"/>
          <w:highlight w:val="none"/>
        </w:rPr>
        <w:t>联系方式：</w:t>
      </w:r>
      <w:bookmarkEnd w:id="2"/>
      <w:bookmarkEnd w:id="3"/>
      <w:bookmarkEnd w:id="4"/>
      <w:bookmarkEnd w:id="5"/>
      <w:bookmarkEnd w:id="6"/>
      <w:bookmarkEnd w:id="7"/>
      <w:bookmarkEnd w:id="8"/>
      <w:r>
        <w:rPr>
          <w:rFonts w:hint="eastAsia" w:ascii="宋体" w:hAnsi="宋体" w:cs="Arial"/>
          <w:szCs w:val="21"/>
          <w:highlight w:val="none"/>
          <w:lang w:val="en-US" w:eastAsia="zh-CN"/>
        </w:rPr>
        <w:t>0459-5681558</w:t>
      </w:r>
    </w:p>
    <w:p w14:paraId="45B226C9">
      <w:pPr>
        <w:pStyle w:val="6"/>
        <w:rPr>
          <w:rFonts w:hint="eastAsia"/>
          <w:color w:val="auto"/>
          <w:highlight w:val="none"/>
          <w:shd w:val="clear" w:color="auto" w:fill="auto"/>
          <w:lang w:eastAsia="zh-CN"/>
        </w:rPr>
      </w:pPr>
    </w:p>
    <w:p w14:paraId="166C09ED">
      <w:pPr>
        <w:pStyle w:val="11"/>
        <w:ind w:left="0" w:leftChars="0" w:firstLine="0" w:firstLineChars="0"/>
        <w:jc w:val="both"/>
        <w:rPr>
          <w:rFonts w:hint="eastAsia" w:ascii="宋体" w:hAnsi="宋体"/>
          <w:szCs w:val="21"/>
        </w:rPr>
      </w:pPr>
    </w:p>
    <w:p w14:paraId="13D756CE">
      <w:pPr>
        <w:pStyle w:val="18"/>
        <w:spacing w:before="0" w:after="0" w:line="360" w:lineRule="exact"/>
      </w:pPr>
      <w:r>
        <w:rPr>
          <w:rFonts w:hint="eastAsia"/>
        </w:rPr>
        <w:t>附件一</w:t>
      </w:r>
    </w:p>
    <w:p w14:paraId="79EB1B95">
      <w:pPr>
        <w:pStyle w:val="18"/>
        <w:spacing w:before="0" w:after="0" w:line="360" w:lineRule="exact"/>
        <w:rPr>
          <w:rFonts w:hint="eastAsia" w:eastAsia="楷体"/>
          <w:lang w:eastAsia="zh-CN"/>
        </w:rPr>
      </w:pPr>
      <w:r>
        <w:rPr>
          <w:rFonts w:hint="eastAsia" w:eastAsia="楷体"/>
          <w:lang w:eastAsia="zh-CN"/>
        </w:rPr>
        <w:drawing>
          <wp:inline distT="0" distB="0" distL="114300" distR="114300">
            <wp:extent cx="5399405" cy="3922395"/>
            <wp:effectExtent l="0" t="0" r="10795" b="1905"/>
            <wp:docPr id="14" name="图片 14" descr="1-2运输最高限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运输最高限价表"/>
                    <pic:cNvPicPr>
                      <a:picLocks noChangeAspect="1"/>
                    </pic:cNvPicPr>
                  </pic:nvPicPr>
                  <pic:blipFill>
                    <a:blip r:embed="rId16"/>
                    <a:stretch>
                      <a:fillRect/>
                    </a:stretch>
                  </pic:blipFill>
                  <pic:spPr>
                    <a:xfrm>
                      <a:off x="0" y="0"/>
                      <a:ext cx="5399405" cy="3922395"/>
                    </a:xfrm>
                    <a:prstGeom prst="rect">
                      <a:avLst/>
                    </a:prstGeom>
                  </pic:spPr>
                </pic:pic>
              </a:graphicData>
            </a:graphic>
          </wp:inline>
        </w:drawing>
      </w:r>
    </w:p>
    <w:p w14:paraId="70CE3AB2">
      <w:pPr>
        <w:keepNext w:val="0"/>
        <w:keepLines w:val="0"/>
        <w:widowControl/>
        <w:suppressLineNumbers w:val="0"/>
        <w:jc w:val="center"/>
        <w:textAlignment w:val="center"/>
        <w:rPr>
          <w:rFonts w:hint="eastAsia" w:ascii="楷体_GB2312" w:hAnsi="宋体" w:eastAsia="楷体_GB2312" w:cs="楷体_GB2312"/>
          <w:b/>
          <w:i w:val="0"/>
          <w:color w:val="000000"/>
          <w:kern w:val="0"/>
          <w:sz w:val="24"/>
          <w:szCs w:val="24"/>
          <w:u w:val="none"/>
          <w:lang w:val="en-US" w:eastAsia="zh-CN" w:bidi="ar"/>
        </w:rPr>
      </w:pPr>
      <w:r>
        <w:rPr>
          <w:rFonts w:hint="eastAsia" w:ascii="楷体_GB2312" w:hAnsi="宋体" w:eastAsia="楷体_GB2312" w:cs="楷体_GB2312"/>
          <w:b w:val="0"/>
          <w:bCs/>
          <w:i w:val="0"/>
          <w:color w:val="000000"/>
          <w:kern w:val="0"/>
          <w:sz w:val="24"/>
          <w:szCs w:val="24"/>
          <w:u w:val="none"/>
          <w:lang w:val="en-US" w:eastAsia="zh-CN" w:bidi="ar"/>
        </w:rPr>
        <w:t>危货运输最高限价表</w:t>
      </w:r>
    </w:p>
    <w:p w14:paraId="6088D4EC">
      <w:pPr>
        <w:keepNext w:val="0"/>
        <w:keepLines w:val="0"/>
        <w:widowControl/>
        <w:suppressLineNumbers w:val="0"/>
        <w:jc w:val="center"/>
        <w:textAlignment w:val="center"/>
        <w:rPr>
          <w:rFonts w:hint="eastAsia" w:ascii="宋体" w:hAnsi="宋体" w:eastAsia="宋体" w:cs="宋体"/>
          <w:sz w:val="24"/>
          <w:szCs w:val="24"/>
          <w:lang w:val="en-US" w:eastAsia="zh-CN"/>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11"/>
        <w:gridCol w:w="2672"/>
        <w:gridCol w:w="1490"/>
        <w:gridCol w:w="1764"/>
        <w:gridCol w:w="1399"/>
      </w:tblGrid>
      <w:tr w14:paraId="68DC4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4"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F02DA">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序号</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08682">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Style w:val="19"/>
                <w:rFonts w:hAnsi="宋体"/>
                <w:sz w:val="21"/>
                <w:szCs w:val="21"/>
                <w:lang w:val="en-US" w:eastAsia="zh-CN" w:bidi="ar"/>
              </w:rPr>
              <w:t>项目</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BFFFD">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单位</w:t>
            </w: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853FD">
            <w:pPr>
              <w:keepNext w:val="0"/>
              <w:keepLines w:val="0"/>
              <w:widowControl/>
              <w:suppressLineNumbers w:val="0"/>
              <w:jc w:val="center"/>
              <w:textAlignment w:val="center"/>
              <w:rPr>
                <w:rStyle w:val="19"/>
                <w:rFonts w:hint="default" w:hAnsi="宋体"/>
                <w:sz w:val="21"/>
                <w:szCs w:val="21"/>
                <w:lang w:val="en-US" w:eastAsia="zh-CN" w:bidi="ar"/>
              </w:rPr>
            </w:pPr>
            <w:r>
              <w:rPr>
                <w:rStyle w:val="19"/>
                <w:rFonts w:hint="eastAsia" w:hAnsi="宋体"/>
                <w:sz w:val="21"/>
                <w:szCs w:val="21"/>
                <w:lang w:val="en-US" w:eastAsia="zh-CN" w:bidi="ar"/>
              </w:rPr>
              <w:t>最高限价（元）</w:t>
            </w: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50B4B">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Style w:val="19"/>
                <w:rFonts w:hAnsi="宋体"/>
                <w:sz w:val="21"/>
                <w:szCs w:val="21"/>
                <w:lang w:val="en-US" w:eastAsia="zh-CN" w:bidi="ar"/>
              </w:rPr>
              <w:t>备注</w:t>
            </w:r>
          </w:p>
        </w:tc>
      </w:tr>
      <w:tr w14:paraId="1DAA8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C7D86">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一</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8B854">
            <w:pPr>
              <w:keepNext w:val="0"/>
              <w:keepLines w:val="0"/>
              <w:widowControl/>
              <w:suppressLineNumbers w:val="0"/>
              <w:jc w:val="left"/>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计程运输</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D1AA7">
            <w:pPr>
              <w:jc w:val="center"/>
              <w:rPr>
                <w:rFonts w:hint="default" w:ascii="Times New Roman" w:hAnsi="Times New Roman" w:eastAsia="宋体" w:cs="Times New Roman"/>
                <w:i w:val="0"/>
                <w:color w:val="000000"/>
                <w:sz w:val="21"/>
                <w:szCs w:val="21"/>
                <w:u w:val="none"/>
              </w:rPr>
            </w:pP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62235">
            <w:pPr>
              <w:jc w:val="left"/>
              <w:rPr>
                <w:rFonts w:hint="default" w:ascii="楷体_GB2312" w:hAnsi="宋体" w:eastAsia="楷体_GB2312" w:cs="楷体_GB2312"/>
                <w:i w:val="0"/>
                <w:color w:val="000000"/>
                <w:sz w:val="21"/>
                <w:szCs w:val="21"/>
                <w:u w:val="none"/>
              </w:rPr>
            </w:pP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6C263">
            <w:pPr>
              <w:jc w:val="left"/>
              <w:rPr>
                <w:rFonts w:hint="default" w:ascii="楷体_GB2312" w:hAnsi="宋体" w:eastAsia="楷体_GB2312" w:cs="楷体_GB2312"/>
                <w:i w:val="0"/>
                <w:color w:val="000000"/>
                <w:sz w:val="21"/>
                <w:szCs w:val="21"/>
                <w:u w:val="none"/>
              </w:rPr>
            </w:pPr>
          </w:p>
        </w:tc>
      </w:tr>
      <w:tr w14:paraId="2113C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E2B8E">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BB5AB">
            <w:pPr>
              <w:keepNext w:val="0"/>
              <w:keepLines w:val="0"/>
              <w:widowControl/>
              <w:suppressLineNumbers w:val="0"/>
              <w:jc w:val="left"/>
              <w:textAlignment w:val="center"/>
              <w:rPr>
                <w:rFonts w:hint="default" w:ascii="楷体_GB2312" w:hAnsi="宋体" w:eastAsia="楷体_GB2312" w:cs="楷体_GB2312"/>
                <w:i w:val="0"/>
                <w:color w:val="000000"/>
                <w:sz w:val="21"/>
                <w:szCs w:val="21"/>
                <w:u w:val="none"/>
              </w:rPr>
            </w:pPr>
            <w:r>
              <w:rPr>
                <w:rFonts w:hint="eastAsia" w:ascii="楷体_GB2312" w:hAnsi="宋体" w:eastAsia="楷体_GB2312" w:cs="楷体_GB2312"/>
                <w:i w:val="0"/>
                <w:color w:val="000000"/>
                <w:kern w:val="0"/>
                <w:sz w:val="21"/>
                <w:szCs w:val="21"/>
                <w:u w:val="none"/>
                <w:lang w:val="en-US" w:eastAsia="zh-CN" w:bidi="ar"/>
              </w:rPr>
              <w:t>2</w:t>
            </w:r>
            <w:r>
              <w:rPr>
                <w:rFonts w:hint="default" w:ascii="楷体_GB2312" w:hAnsi="宋体" w:eastAsia="楷体_GB2312" w:cs="楷体_GB2312"/>
                <w:i w:val="0"/>
                <w:color w:val="000000"/>
                <w:kern w:val="0"/>
                <w:sz w:val="21"/>
                <w:szCs w:val="21"/>
                <w:u w:val="none"/>
                <w:lang w:val="en-US" w:eastAsia="zh-CN" w:bidi="ar"/>
              </w:rPr>
              <w:t>吨及以上</w:t>
            </w:r>
            <w:r>
              <w:rPr>
                <w:rFonts w:hint="eastAsia" w:ascii="楷体_GB2312" w:hAnsi="宋体" w:eastAsia="楷体_GB2312" w:cs="楷体_GB2312"/>
                <w:i w:val="0"/>
                <w:color w:val="000000"/>
                <w:kern w:val="0"/>
                <w:sz w:val="21"/>
                <w:szCs w:val="21"/>
                <w:u w:val="none"/>
                <w:lang w:val="en-US" w:eastAsia="zh-CN" w:bidi="ar"/>
              </w:rPr>
              <w:t>危险品货车</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EF741">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吨千米</w:t>
            </w: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0FA79">
            <w:pPr>
              <w:jc w:val="center"/>
              <w:rPr>
                <w:rFonts w:hint="default" w:ascii="Times New Roman" w:hAnsi="Times New Roman" w:cs="Times New Roman"/>
                <w:i w:val="0"/>
                <w:color w:val="000000"/>
                <w:sz w:val="21"/>
                <w:szCs w:val="21"/>
                <w:u w:val="none"/>
                <w:lang w:val="en-US" w:eastAsia="zh-CN"/>
              </w:rPr>
            </w:pPr>
            <w:r>
              <w:rPr>
                <w:rFonts w:hint="eastAsia" w:cs="Times New Roman"/>
                <w:i w:val="0"/>
                <w:color w:val="000000"/>
                <w:sz w:val="21"/>
                <w:szCs w:val="21"/>
                <w:u w:val="none"/>
                <w:lang w:val="en-US" w:eastAsia="zh-CN"/>
              </w:rPr>
              <w:t>0.65</w:t>
            </w: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2794C">
            <w:pPr>
              <w:jc w:val="center"/>
              <w:rPr>
                <w:rFonts w:hint="eastAsia" w:ascii="Times New Roman" w:hAnsi="Times New Roman" w:eastAsia="宋体" w:cs="Times New Roman"/>
                <w:i w:val="0"/>
                <w:color w:val="000000"/>
                <w:sz w:val="21"/>
                <w:szCs w:val="21"/>
                <w:u w:val="none"/>
                <w:lang w:eastAsia="zh-CN"/>
              </w:rPr>
            </w:pPr>
            <w:r>
              <w:rPr>
                <w:rFonts w:hint="eastAsia" w:ascii="Times New Roman" w:hAnsi="Times New Roman" w:cs="Times New Roman"/>
                <w:i w:val="0"/>
                <w:color w:val="000000"/>
                <w:sz w:val="21"/>
                <w:szCs w:val="21"/>
                <w:u w:val="none"/>
                <w:lang w:eastAsia="zh-CN"/>
              </w:rPr>
              <w:t>不含税</w:t>
            </w:r>
          </w:p>
        </w:tc>
      </w:tr>
      <w:tr w14:paraId="122B6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CA30A">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（二）</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B01A5">
            <w:pPr>
              <w:keepNext w:val="0"/>
              <w:keepLines w:val="0"/>
              <w:widowControl/>
              <w:suppressLineNumbers w:val="0"/>
              <w:jc w:val="left"/>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计时运输</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817A3">
            <w:pPr>
              <w:jc w:val="center"/>
              <w:rPr>
                <w:rFonts w:hint="default" w:ascii="Times New Roman" w:hAnsi="Times New Roman" w:eastAsia="宋体" w:cs="Times New Roman"/>
                <w:i w:val="0"/>
                <w:color w:val="000000"/>
                <w:sz w:val="21"/>
                <w:szCs w:val="21"/>
                <w:u w:val="none"/>
              </w:rPr>
            </w:pP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CDEB2">
            <w:pPr>
              <w:jc w:val="center"/>
              <w:rPr>
                <w:rFonts w:hint="default" w:ascii="Times New Roman" w:hAnsi="Times New Roman" w:eastAsia="宋体" w:cs="Times New Roman"/>
                <w:i w:val="0"/>
                <w:color w:val="000000"/>
                <w:sz w:val="21"/>
                <w:szCs w:val="21"/>
                <w:u w:val="none"/>
              </w:rPr>
            </w:pP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C6CC1">
            <w:pPr>
              <w:jc w:val="center"/>
              <w:rPr>
                <w:rFonts w:hint="default" w:ascii="Times New Roman" w:hAnsi="Times New Roman" w:eastAsia="宋体" w:cs="Times New Roman"/>
                <w:i w:val="0"/>
                <w:color w:val="000000"/>
                <w:sz w:val="21"/>
                <w:szCs w:val="21"/>
                <w:u w:val="none"/>
              </w:rPr>
            </w:pPr>
          </w:p>
        </w:tc>
      </w:tr>
      <w:tr w14:paraId="1B0FA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8C35B">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E316F">
            <w:pPr>
              <w:keepNext w:val="0"/>
              <w:keepLines w:val="0"/>
              <w:widowControl/>
              <w:suppressLineNumbers w:val="0"/>
              <w:jc w:val="left"/>
              <w:textAlignment w:val="center"/>
              <w:rPr>
                <w:rFonts w:hint="default" w:ascii="楷体_GB2312" w:hAnsi="宋体" w:eastAsia="楷体_GB2312" w:cs="楷体_GB2312"/>
                <w:i w:val="0"/>
                <w:color w:val="000000"/>
                <w:sz w:val="21"/>
                <w:szCs w:val="21"/>
                <w:u w:val="none"/>
              </w:rPr>
            </w:pPr>
            <w:r>
              <w:rPr>
                <w:rFonts w:hint="eastAsia" w:ascii="楷体_GB2312" w:hAnsi="宋体" w:eastAsia="楷体_GB2312" w:cs="楷体_GB2312"/>
                <w:i w:val="0"/>
                <w:color w:val="000000"/>
                <w:kern w:val="0"/>
                <w:sz w:val="21"/>
                <w:szCs w:val="21"/>
                <w:u w:val="none"/>
                <w:lang w:val="en-US" w:eastAsia="zh-CN" w:bidi="ar"/>
              </w:rPr>
              <w:t>2</w:t>
            </w:r>
            <w:r>
              <w:rPr>
                <w:rFonts w:hint="default" w:ascii="楷体_GB2312" w:hAnsi="宋体" w:eastAsia="楷体_GB2312" w:cs="楷体_GB2312"/>
                <w:i w:val="0"/>
                <w:color w:val="000000"/>
                <w:kern w:val="0"/>
                <w:sz w:val="21"/>
                <w:szCs w:val="21"/>
                <w:u w:val="none"/>
                <w:lang w:val="en-US" w:eastAsia="zh-CN" w:bidi="ar"/>
              </w:rPr>
              <w:t>吨及以上</w:t>
            </w:r>
            <w:r>
              <w:rPr>
                <w:rFonts w:hint="eastAsia" w:ascii="楷体_GB2312" w:hAnsi="宋体" w:eastAsia="楷体_GB2312" w:cs="楷体_GB2312"/>
                <w:i w:val="0"/>
                <w:color w:val="000000"/>
                <w:kern w:val="0"/>
                <w:sz w:val="21"/>
                <w:szCs w:val="21"/>
                <w:u w:val="none"/>
                <w:lang w:val="en-US" w:eastAsia="zh-CN" w:bidi="ar"/>
              </w:rPr>
              <w:t>危险品货车</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0DDF5">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吨小时</w:t>
            </w: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27DDC">
            <w:pPr>
              <w:jc w:val="center"/>
              <w:rPr>
                <w:rFonts w:hint="default" w:ascii="Times New Roman" w:hAnsi="Times New Roman"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8.13</w:t>
            </w: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D017E">
            <w:pPr>
              <w:jc w:val="center"/>
              <w:rPr>
                <w:rFonts w:hint="eastAsia" w:ascii="Times New Roman" w:hAnsi="Times New Roman" w:eastAsia="宋体" w:cs="Times New Roman"/>
                <w:i w:val="0"/>
                <w:color w:val="000000"/>
                <w:sz w:val="21"/>
                <w:szCs w:val="21"/>
                <w:u w:val="none"/>
                <w:lang w:eastAsia="zh-CN"/>
              </w:rPr>
            </w:pPr>
            <w:r>
              <w:rPr>
                <w:rFonts w:hint="eastAsia" w:ascii="Times New Roman" w:hAnsi="Times New Roman" w:cs="Times New Roman"/>
                <w:i w:val="0"/>
                <w:color w:val="000000"/>
                <w:sz w:val="21"/>
                <w:szCs w:val="21"/>
                <w:u w:val="none"/>
                <w:lang w:eastAsia="zh-CN"/>
              </w:rPr>
              <w:t>不含税</w:t>
            </w:r>
          </w:p>
        </w:tc>
      </w:tr>
      <w:tr w14:paraId="53C6C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5F488">
            <w:pPr>
              <w:keepNext w:val="0"/>
              <w:keepLines w:val="0"/>
              <w:widowControl/>
              <w:suppressLineNumbers w:val="0"/>
              <w:jc w:val="center"/>
              <w:textAlignment w:val="center"/>
              <w:rPr>
                <w:rFonts w:hint="default" w:ascii="楷体_GB2312" w:hAnsi="宋体" w:eastAsia="楷体_GB2312" w:cs="楷体_GB2312"/>
                <w:i w:val="0"/>
                <w:color w:val="000000"/>
                <w:kern w:val="0"/>
                <w:sz w:val="21"/>
                <w:szCs w:val="21"/>
                <w:u w:val="none"/>
                <w:lang w:val="en-US" w:eastAsia="zh-CN" w:bidi="ar"/>
              </w:rPr>
            </w:pPr>
            <w:r>
              <w:rPr>
                <w:rFonts w:hint="eastAsia" w:ascii="楷体_GB2312" w:hAnsi="宋体" w:eastAsia="楷体_GB2312" w:cs="楷体_GB2312"/>
                <w:i w:val="0"/>
                <w:color w:val="000000"/>
                <w:kern w:val="0"/>
                <w:sz w:val="21"/>
                <w:szCs w:val="21"/>
                <w:u w:val="none"/>
                <w:lang w:val="en-US" w:eastAsia="zh-CN" w:bidi="ar"/>
              </w:rPr>
              <w:t>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EBDA0">
            <w:pPr>
              <w:keepNext w:val="0"/>
              <w:keepLines w:val="0"/>
              <w:widowControl/>
              <w:suppressLineNumbers w:val="0"/>
              <w:jc w:val="left"/>
              <w:textAlignment w:val="center"/>
              <w:rPr>
                <w:rFonts w:hint="default" w:ascii="楷体_GB2312" w:hAnsi="宋体" w:eastAsia="楷体_GB2312" w:cs="楷体_GB2312"/>
                <w:i w:val="0"/>
                <w:color w:val="000000"/>
                <w:kern w:val="0"/>
                <w:sz w:val="21"/>
                <w:szCs w:val="21"/>
                <w:u w:val="none"/>
                <w:lang w:val="en-US" w:eastAsia="zh-CN" w:bidi="ar"/>
              </w:rPr>
            </w:pPr>
            <w:r>
              <w:rPr>
                <w:rFonts w:hint="eastAsia" w:ascii="楷体_GB2312" w:hAnsi="宋体" w:eastAsia="楷体_GB2312" w:cs="楷体_GB2312"/>
                <w:i w:val="0"/>
                <w:color w:val="000000"/>
                <w:kern w:val="0"/>
                <w:sz w:val="21"/>
                <w:szCs w:val="21"/>
                <w:u w:val="none"/>
                <w:lang w:val="en-US" w:eastAsia="zh-CN" w:bidi="ar"/>
              </w:rPr>
              <w:t>30吨以上危险品罐车</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C8C49">
            <w:pPr>
              <w:keepNext w:val="0"/>
              <w:keepLines w:val="0"/>
              <w:widowControl/>
              <w:suppressLineNumbers w:val="0"/>
              <w:jc w:val="center"/>
              <w:textAlignment w:val="center"/>
              <w:rPr>
                <w:rFonts w:hint="default" w:ascii="楷体_GB2312" w:hAnsi="宋体" w:eastAsia="楷体_GB2312" w:cs="楷体_GB2312"/>
                <w:i w:val="0"/>
                <w:color w:val="000000"/>
                <w:kern w:val="0"/>
                <w:sz w:val="21"/>
                <w:szCs w:val="21"/>
                <w:u w:val="none"/>
                <w:lang w:val="en-US" w:eastAsia="zh-CN" w:bidi="ar"/>
              </w:rPr>
            </w:pPr>
            <w:r>
              <w:rPr>
                <w:rFonts w:hint="default" w:ascii="楷体_GB2312" w:hAnsi="宋体" w:eastAsia="楷体_GB2312" w:cs="楷体_GB2312"/>
                <w:i w:val="0"/>
                <w:color w:val="000000"/>
                <w:kern w:val="0"/>
                <w:sz w:val="21"/>
                <w:szCs w:val="21"/>
                <w:u w:val="none"/>
                <w:lang w:val="en-US" w:eastAsia="zh-CN" w:bidi="ar"/>
              </w:rPr>
              <w:t>吨小时</w:t>
            </w: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A82CC">
            <w:pPr>
              <w:jc w:val="center"/>
              <w:rPr>
                <w:rFonts w:hint="default" w:ascii="Times New Roman" w:hAnsi="Times New Roman"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8.66</w:t>
            </w: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4EE24">
            <w:pPr>
              <w:jc w:val="center"/>
              <w:rPr>
                <w:rFonts w:hint="eastAsia" w:ascii="Times New Roman" w:hAnsi="Times New Roman" w:cs="Times New Roman"/>
                <w:i w:val="0"/>
                <w:color w:val="000000"/>
                <w:sz w:val="21"/>
                <w:szCs w:val="21"/>
                <w:u w:val="none"/>
                <w:lang w:eastAsia="zh-CN"/>
              </w:rPr>
            </w:pPr>
            <w:r>
              <w:rPr>
                <w:rFonts w:hint="eastAsia" w:cs="Times New Roman"/>
                <w:i w:val="0"/>
                <w:color w:val="000000"/>
                <w:sz w:val="21"/>
                <w:szCs w:val="21"/>
                <w:u w:val="none"/>
                <w:lang w:eastAsia="zh-CN"/>
              </w:rPr>
              <w:t>不含税</w:t>
            </w:r>
          </w:p>
        </w:tc>
      </w:tr>
      <w:tr w14:paraId="5E090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638F3">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eastAsia" w:ascii="楷体_GB2312" w:hAnsi="宋体" w:eastAsia="楷体_GB2312" w:cs="楷体_GB2312"/>
                <w:i w:val="0"/>
                <w:color w:val="000000"/>
                <w:kern w:val="0"/>
                <w:sz w:val="21"/>
                <w:szCs w:val="21"/>
                <w:u w:val="none"/>
                <w:lang w:val="en-US" w:eastAsia="zh-CN" w:bidi="ar"/>
              </w:rPr>
              <w:t>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3F46D">
            <w:pPr>
              <w:keepNext w:val="0"/>
              <w:keepLines w:val="0"/>
              <w:widowControl/>
              <w:suppressLineNumbers w:val="0"/>
              <w:jc w:val="left"/>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2吨</w:t>
            </w:r>
            <w:r>
              <w:rPr>
                <w:rFonts w:hint="eastAsia" w:ascii="楷体_GB2312" w:hAnsi="宋体" w:eastAsia="楷体_GB2312" w:cs="楷体_GB2312"/>
                <w:i w:val="0"/>
                <w:color w:val="000000"/>
                <w:kern w:val="0"/>
                <w:sz w:val="21"/>
                <w:szCs w:val="21"/>
                <w:u w:val="none"/>
                <w:lang w:val="en-US" w:eastAsia="zh-CN" w:bidi="ar"/>
              </w:rPr>
              <w:t>危险品货车</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F8958">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台班</w:t>
            </w: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BA300">
            <w:pPr>
              <w:jc w:val="center"/>
              <w:rPr>
                <w:rFonts w:hint="default" w:ascii="Times New Roman" w:hAnsi="Times New Roman" w:cs="Times New Roman"/>
                <w:i w:val="0"/>
                <w:color w:val="000000"/>
                <w:sz w:val="21"/>
                <w:szCs w:val="21"/>
                <w:u w:val="none"/>
                <w:lang w:val="en-US" w:eastAsia="zh-CN"/>
              </w:rPr>
            </w:pPr>
            <w:r>
              <w:rPr>
                <w:rFonts w:hint="eastAsia" w:cs="Times New Roman"/>
                <w:i w:val="0"/>
                <w:color w:val="000000"/>
                <w:sz w:val="21"/>
                <w:szCs w:val="21"/>
                <w:u w:val="none"/>
                <w:lang w:val="en-US" w:eastAsia="zh-CN"/>
              </w:rPr>
              <w:t>130</w:t>
            </w: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D09A3">
            <w:pPr>
              <w:jc w:val="center"/>
              <w:rPr>
                <w:rFonts w:hint="eastAsia" w:ascii="Times New Roman" w:hAnsi="Times New Roman" w:eastAsia="宋体" w:cs="Times New Roman"/>
                <w:i w:val="0"/>
                <w:color w:val="000000"/>
                <w:sz w:val="21"/>
                <w:szCs w:val="21"/>
                <w:u w:val="none"/>
                <w:lang w:eastAsia="zh-CN"/>
              </w:rPr>
            </w:pPr>
            <w:r>
              <w:rPr>
                <w:rFonts w:hint="eastAsia" w:cs="Times New Roman"/>
                <w:i w:val="0"/>
                <w:color w:val="000000"/>
                <w:sz w:val="21"/>
                <w:szCs w:val="21"/>
                <w:u w:val="none"/>
                <w:lang w:eastAsia="zh-CN"/>
              </w:rPr>
              <w:t>不含税</w:t>
            </w:r>
          </w:p>
        </w:tc>
      </w:tr>
      <w:tr w14:paraId="3BB1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C2AF1">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eastAsia" w:ascii="楷体_GB2312" w:hAnsi="宋体" w:eastAsia="楷体_GB2312" w:cs="楷体_GB2312"/>
                <w:i w:val="0"/>
                <w:color w:val="000000"/>
                <w:kern w:val="0"/>
                <w:sz w:val="21"/>
                <w:szCs w:val="21"/>
                <w:u w:val="none"/>
                <w:lang w:val="en-US" w:eastAsia="zh-CN" w:bidi="ar"/>
              </w:rPr>
              <w:t>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EF140">
            <w:pPr>
              <w:keepNext w:val="0"/>
              <w:keepLines w:val="0"/>
              <w:widowControl/>
              <w:suppressLineNumbers w:val="0"/>
              <w:jc w:val="left"/>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5吨</w:t>
            </w:r>
            <w:r>
              <w:rPr>
                <w:rFonts w:hint="eastAsia" w:ascii="楷体_GB2312" w:hAnsi="宋体" w:eastAsia="楷体_GB2312" w:cs="楷体_GB2312"/>
                <w:i w:val="0"/>
                <w:color w:val="000000"/>
                <w:kern w:val="0"/>
                <w:sz w:val="21"/>
                <w:szCs w:val="21"/>
                <w:u w:val="none"/>
                <w:lang w:val="en-US" w:eastAsia="zh-CN" w:bidi="ar"/>
              </w:rPr>
              <w:t>危险品货车</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14CD7">
            <w:pPr>
              <w:keepNext w:val="0"/>
              <w:keepLines w:val="0"/>
              <w:widowControl/>
              <w:suppressLineNumbers w:val="0"/>
              <w:jc w:val="center"/>
              <w:textAlignment w:val="center"/>
              <w:rPr>
                <w:rFonts w:hint="default" w:ascii="楷体_GB2312" w:hAnsi="宋体" w:eastAsia="楷体_GB2312" w:cs="楷体_GB2312"/>
                <w:i w:val="0"/>
                <w:color w:val="000000"/>
                <w:sz w:val="21"/>
                <w:szCs w:val="21"/>
                <w:u w:val="none"/>
              </w:rPr>
            </w:pPr>
            <w:r>
              <w:rPr>
                <w:rFonts w:hint="default" w:ascii="楷体_GB2312" w:hAnsi="宋体" w:eastAsia="楷体_GB2312" w:cs="楷体_GB2312"/>
                <w:i w:val="0"/>
                <w:color w:val="000000"/>
                <w:kern w:val="0"/>
                <w:sz w:val="21"/>
                <w:szCs w:val="21"/>
                <w:u w:val="none"/>
                <w:lang w:val="en-US" w:eastAsia="zh-CN" w:bidi="ar"/>
              </w:rPr>
              <w:t>台班</w:t>
            </w: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A65AF">
            <w:pPr>
              <w:jc w:val="center"/>
              <w:rPr>
                <w:rFonts w:hint="default" w:ascii="Times New Roman" w:hAnsi="Times New Roman"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325</w:t>
            </w: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2CBE1">
            <w:pPr>
              <w:jc w:val="center"/>
              <w:rPr>
                <w:rFonts w:hint="eastAsia" w:ascii="Times New Roman" w:hAnsi="Times New Roman" w:eastAsia="宋体" w:cs="Times New Roman"/>
                <w:i w:val="0"/>
                <w:color w:val="000000"/>
                <w:sz w:val="21"/>
                <w:szCs w:val="21"/>
                <w:u w:val="none"/>
                <w:lang w:eastAsia="zh-CN"/>
              </w:rPr>
            </w:pPr>
            <w:r>
              <w:rPr>
                <w:rFonts w:hint="eastAsia" w:cs="Times New Roman"/>
                <w:i w:val="0"/>
                <w:color w:val="000000"/>
                <w:sz w:val="21"/>
                <w:szCs w:val="21"/>
                <w:u w:val="none"/>
                <w:lang w:eastAsia="zh-CN"/>
              </w:rPr>
              <w:t>不含税</w:t>
            </w:r>
          </w:p>
        </w:tc>
      </w:tr>
      <w:tr w14:paraId="35512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1BEDE">
            <w:pPr>
              <w:keepNext w:val="0"/>
              <w:keepLines w:val="0"/>
              <w:widowControl/>
              <w:suppressLineNumbers w:val="0"/>
              <w:jc w:val="center"/>
              <w:textAlignment w:val="center"/>
              <w:rPr>
                <w:rFonts w:hint="default" w:ascii="楷体_GB2312" w:hAnsi="宋体" w:eastAsia="楷体_GB2312" w:cs="楷体_GB2312"/>
                <w:i w:val="0"/>
                <w:color w:val="000000"/>
                <w:kern w:val="0"/>
                <w:sz w:val="21"/>
                <w:szCs w:val="21"/>
                <w:u w:val="none"/>
                <w:lang w:val="en-US" w:eastAsia="zh-CN" w:bidi="ar"/>
              </w:rPr>
            </w:pPr>
            <w:r>
              <w:rPr>
                <w:rFonts w:hint="eastAsia" w:ascii="楷体_GB2312" w:hAnsi="宋体" w:eastAsia="楷体_GB2312" w:cs="楷体_GB2312"/>
                <w:i w:val="0"/>
                <w:color w:val="000000"/>
                <w:kern w:val="0"/>
                <w:sz w:val="21"/>
                <w:szCs w:val="21"/>
                <w:u w:val="none"/>
                <w:lang w:val="en-US" w:eastAsia="zh-CN" w:bidi="ar"/>
              </w:rPr>
              <w:t>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EAEDA">
            <w:pPr>
              <w:keepNext w:val="0"/>
              <w:keepLines w:val="0"/>
              <w:widowControl/>
              <w:suppressLineNumbers w:val="0"/>
              <w:jc w:val="left"/>
              <w:textAlignment w:val="center"/>
              <w:rPr>
                <w:rFonts w:hint="default" w:ascii="楷体_GB2312" w:hAnsi="宋体" w:eastAsia="楷体_GB2312" w:cs="楷体_GB2312"/>
                <w:i w:val="0"/>
                <w:color w:val="000000"/>
                <w:kern w:val="2"/>
                <w:sz w:val="21"/>
                <w:szCs w:val="21"/>
                <w:u w:val="none"/>
                <w:lang w:val="en-US" w:eastAsia="zh-CN" w:bidi="ar-SA"/>
              </w:rPr>
            </w:pPr>
            <w:r>
              <w:rPr>
                <w:rFonts w:hint="eastAsia" w:ascii="楷体_GB2312" w:hAnsi="宋体" w:eastAsia="楷体_GB2312" w:cs="楷体_GB2312"/>
                <w:i w:val="0"/>
                <w:color w:val="000000"/>
                <w:kern w:val="0"/>
                <w:sz w:val="21"/>
                <w:szCs w:val="21"/>
                <w:u w:val="none"/>
                <w:lang w:val="en-US" w:eastAsia="zh-CN" w:bidi="ar"/>
              </w:rPr>
              <w:t>10</w:t>
            </w:r>
            <w:r>
              <w:rPr>
                <w:rFonts w:hint="default" w:ascii="楷体_GB2312" w:hAnsi="宋体" w:eastAsia="楷体_GB2312" w:cs="楷体_GB2312"/>
                <w:i w:val="0"/>
                <w:color w:val="000000"/>
                <w:kern w:val="0"/>
                <w:sz w:val="21"/>
                <w:szCs w:val="21"/>
                <w:u w:val="none"/>
                <w:lang w:val="en-US" w:eastAsia="zh-CN" w:bidi="ar"/>
              </w:rPr>
              <w:t>吨</w:t>
            </w:r>
            <w:r>
              <w:rPr>
                <w:rFonts w:hint="eastAsia" w:ascii="楷体_GB2312" w:hAnsi="宋体" w:eastAsia="楷体_GB2312" w:cs="楷体_GB2312"/>
                <w:i w:val="0"/>
                <w:color w:val="000000"/>
                <w:kern w:val="0"/>
                <w:sz w:val="21"/>
                <w:szCs w:val="21"/>
                <w:u w:val="none"/>
                <w:lang w:val="en-US" w:eastAsia="zh-CN" w:bidi="ar"/>
              </w:rPr>
              <w:t>危险品货车</w:t>
            </w:r>
          </w:p>
        </w:tc>
        <w:tc>
          <w:tcPr>
            <w:tcW w:w="1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AFB99">
            <w:pPr>
              <w:keepNext w:val="0"/>
              <w:keepLines w:val="0"/>
              <w:widowControl/>
              <w:suppressLineNumbers w:val="0"/>
              <w:jc w:val="center"/>
              <w:textAlignment w:val="center"/>
              <w:rPr>
                <w:rFonts w:hint="default" w:ascii="楷体_GB2312" w:hAnsi="宋体" w:eastAsia="楷体_GB2312" w:cs="楷体_GB2312"/>
                <w:i w:val="0"/>
                <w:color w:val="000000"/>
                <w:kern w:val="2"/>
                <w:sz w:val="21"/>
                <w:szCs w:val="21"/>
                <w:u w:val="none"/>
                <w:lang w:val="en-US" w:eastAsia="zh-CN" w:bidi="ar-SA"/>
              </w:rPr>
            </w:pPr>
            <w:r>
              <w:rPr>
                <w:rFonts w:hint="default" w:ascii="楷体_GB2312" w:hAnsi="宋体" w:eastAsia="楷体_GB2312" w:cs="楷体_GB2312"/>
                <w:i w:val="0"/>
                <w:color w:val="000000"/>
                <w:kern w:val="0"/>
                <w:sz w:val="21"/>
                <w:szCs w:val="21"/>
                <w:u w:val="none"/>
                <w:lang w:val="en-US" w:eastAsia="zh-CN" w:bidi="ar"/>
              </w:rPr>
              <w:t>台班</w:t>
            </w:r>
          </w:p>
        </w:tc>
        <w:tc>
          <w:tcPr>
            <w:tcW w:w="1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89401">
            <w:pPr>
              <w:jc w:val="center"/>
              <w:rPr>
                <w:rFonts w:hint="default" w:ascii="Times New Roman" w:hAnsi="Times New Roman" w:cs="Times New Roman"/>
                <w:i w:val="0"/>
                <w:color w:val="000000"/>
                <w:kern w:val="2"/>
                <w:sz w:val="21"/>
                <w:szCs w:val="21"/>
                <w:u w:val="none"/>
                <w:lang w:val="en-US" w:eastAsia="zh-CN" w:bidi="ar-SA"/>
              </w:rPr>
            </w:pPr>
            <w:r>
              <w:rPr>
                <w:rFonts w:hint="eastAsia" w:ascii="Times New Roman" w:hAnsi="Times New Roman" w:cs="Times New Roman"/>
                <w:i w:val="0"/>
                <w:color w:val="000000"/>
                <w:sz w:val="21"/>
                <w:szCs w:val="21"/>
                <w:u w:val="none"/>
                <w:lang w:val="en-US" w:eastAsia="zh-CN"/>
              </w:rPr>
              <w:t>650</w:t>
            </w:r>
          </w:p>
        </w:tc>
        <w:tc>
          <w:tcPr>
            <w:tcW w:w="13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D5F80">
            <w:pPr>
              <w:jc w:val="center"/>
              <w:rPr>
                <w:rFonts w:hint="eastAsia" w:ascii="Times New Roman" w:hAnsi="Times New Roman" w:eastAsia="宋体" w:cs="Times New Roman"/>
                <w:i w:val="0"/>
                <w:color w:val="000000"/>
                <w:kern w:val="2"/>
                <w:sz w:val="21"/>
                <w:szCs w:val="21"/>
                <w:u w:val="none"/>
                <w:lang w:val="en-US" w:eastAsia="zh-CN" w:bidi="ar-SA"/>
              </w:rPr>
            </w:pPr>
            <w:r>
              <w:rPr>
                <w:rFonts w:hint="eastAsia" w:cs="Times New Roman"/>
                <w:i w:val="0"/>
                <w:color w:val="000000"/>
                <w:sz w:val="21"/>
                <w:szCs w:val="21"/>
                <w:u w:val="none"/>
                <w:lang w:eastAsia="zh-CN"/>
              </w:rPr>
              <w:t>不含税</w:t>
            </w:r>
          </w:p>
        </w:tc>
      </w:tr>
    </w:tbl>
    <w:p w14:paraId="4764A49A">
      <w:pPr>
        <w:widowControl/>
        <w:spacing w:line="276" w:lineRule="auto"/>
        <w:jc w:val="left"/>
        <w:rPr>
          <w:rFonts w:hint="eastAsia" w:ascii="宋体" w:hAnsi="宋体"/>
          <w:color w:val="000000"/>
          <w:szCs w:val="21"/>
          <w:lang w:val="en-US" w:eastAsia="zh-CN"/>
        </w:rPr>
      </w:pPr>
    </w:p>
    <w:p w14:paraId="33CC623B">
      <w:pPr>
        <w:pStyle w:val="18"/>
        <w:spacing w:before="0" w:after="0" w:line="360" w:lineRule="exact"/>
      </w:pPr>
    </w:p>
    <w:p w14:paraId="694A4656">
      <w:pPr>
        <w:pStyle w:val="18"/>
        <w:spacing w:before="0" w:after="0" w:line="360" w:lineRule="exact"/>
      </w:pPr>
    </w:p>
    <w:p w14:paraId="2FA5B647">
      <w:pPr>
        <w:widowControl/>
        <w:spacing w:line="276" w:lineRule="auto"/>
        <w:jc w:val="left"/>
        <w:rPr>
          <w:rFonts w:hint="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按照《2025年大庆油田工程技术服务、生产保障、物资供应价格调整方案的通知》(庆油价发[2025]2号）货物运输服务中危险品货车和危险品罐车市场价格（不含税），作为谈判最高限价，在此基础上进行下浮。</w:t>
      </w:r>
    </w:p>
    <w:p w14:paraId="3A4E5531">
      <w:pPr>
        <w:pStyle w:val="18"/>
        <w:spacing w:before="0" w:after="0" w:line="360" w:lineRule="exact"/>
      </w:pPr>
    </w:p>
    <w:p w14:paraId="49125A11">
      <w:pPr>
        <w:rPr>
          <w:rFonts w:hint="default"/>
          <w:lang w:val="en-US"/>
        </w:rPr>
      </w:pPr>
      <w:bookmarkStart w:id="9" w:name="_GoBack"/>
      <w:bookmarkEnd w:id="9"/>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黑体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AB166">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ADBEC">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68ADBEC">
                    <w:pPr>
                      <w:pStyle w:val="9"/>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AA015E"/>
    <w:multiLevelType w:val="singleLevel"/>
    <w:tmpl w:val="70AA015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MTM0N2YwNjBiNWQxM2YwNTM0MTE5YmEwNzdlODcifQ=="/>
  </w:docVars>
  <w:rsids>
    <w:rsidRoot w:val="00000000"/>
    <w:rsid w:val="019733CE"/>
    <w:rsid w:val="052B1D13"/>
    <w:rsid w:val="0C4C0551"/>
    <w:rsid w:val="0D002E09"/>
    <w:rsid w:val="0EEE55E7"/>
    <w:rsid w:val="10C766C3"/>
    <w:rsid w:val="136777D8"/>
    <w:rsid w:val="149F6D0A"/>
    <w:rsid w:val="14CB69A8"/>
    <w:rsid w:val="1D357A14"/>
    <w:rsid w:val="28FD42E6"/>
    <w:rsid w:val="2BBE577D"/>
    <w:rsid w:val="2CAA5EBB"/>
    <w:rsid w:val="2E3B2552"/>
    <w:rsid w:val="31C66974"/>
    <w:rsid w:val="32AE6576"/>
    <w:rsid w:val="391F1DA8"/>
    <w:rsid w:val="3E34424D"/>
    <w:rsid w:val="4206632C"/>
    <w:rsid w:val="45381C2C"/>
    <w:rsid w:val="468C58DC"/>
    <w:rsid w:val="47E45B46"/>
    <w:rsid w:val="48FC1D01"/>
    <w:rsid w:val="4CB51CB3"/>
    <w:rsid w:val="4F60164F"/>
    <w:rsid w:val="528A6A67"/>
    <w:rsid w:val="534108AF"/>
    <w:rsid w:val="539D449B"/>
    <w:rsid w:val="57B13C05"/>
    <w:rsid w:val="5A47160F"/>
    <w:rsid w:val="5CEC3CB3"/>
    <w:rsid w:val="5D09796D"/>
    <w:rsid w:val="5F646CBC"/>
    <w:rsid w:val="64F51306"/>
    <w:rsid w:val="65551C71"/>
    <w:rsid w:val="65852686"/>
    <w:rsid w:val="6CAA509A"/>
    <w:rsid w:val="6E1B1295"/>
    <w:rsid w:val="6F570DB0"/>
    <w:rsid w:val="6F8C58DB"/>
    <w:rsid w:val="75461F9B"/>
    <w:rsid w:val="77883BDA"/>
    <w:rsid w:val="7FB91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iPriority="99"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6"/>
    <w:qFormat/>
    <w:uiPriority w:val="0"/>
    <w:pPr>
      <w:keepNext/>
      <w:keepLines/>
      <w:spacing w:line="360" w:lineRule="auto"/>
      <w:ind w:firstLine="540" w:firstLineChars="192"/>
      <w:jc w:val="center"/>
      <w:outlineLvl w:val="1"/>
    </w:pPr>
    <w:rPr>
      <w:rFonts w:ascii="Arial" w:hAnsi="Arial"/>
      <w:b/>
      <w:bCs/>
      <w:kern w:val="0"/>
      <w:sz w:val="28"/>
      <w:szCs w:val="32"/>
    </w:rPr>
  </w:style>
  <w:style w:type="paragraph" w:styleId="7">
    <w:name w:val="heading 4"/>
    <w:basedOn w:val="5"/>
    <w:next w:val="1"/>
    <w:qFormat/>
    <w:uiPriority w:val="0"/>
    <w:pPr>
      <w:keepNext/>
      <w:keepLines/>
      <w:spacing w:before="78" w:beforeLines="25" w:after="78" w:afterLines="25"/>
      <w:ind w:firstLine="100" w:firstLineChars="100"/>
      <w:outlineLvl w:val="3"/>
    </w:pPr>
    <w:rPr>
      <w:rFonts w:ascii="Cambria" w:hAnsi="Cambria" w:eastAsia="方正黑体简体"/>
      <w:iCs/>
      <w:lang w:eastAsia="en-US" w:bidi="en-US"/>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2"/>
    <w:basedOn w:val="1"/>
    <w:next w:val="3"/>
    <w:qFormat/>
    <w:uiPriority w:val="0"/>
    <w:rPr>
      <w:rFonts w:asciiTheme="minorHAnsi" w:hAnsiTheme="minorHAnsi" w:eastAsiaTheme="minorEastAsia" w:cstheme="minorBidi"/>
      <w:sz w:val="28"/>
    </w:rPr>
  </w:style>
  <w:style w:type="paragraph" w:styleId="3">
    <w:name w:val="Note Heading"/>
    <w:basedOn w:val="1"/>
    <w:next w:val="1"/>
    <w:unhideWhenUsed/>
    <w:qFormat/>
    <w:uiPriority w:val="99"/>
    <w:pPr>
      <w:widowControl/>
      <w:jc w:val="center"/>
    </w:pPr>
    <w:rPr>
      <w:rFonts w:eastAsia="仿宋_GB2312"/>
      <w:sz w:val="28"/>
    </w:rPr>
  </w:style>
  <w:style w:type="paragraph" w:styleId="6">
    <w:name w:val="Body Text"/>
    <w:basedOn w:val="1"/>
    <w:qFormat/>
    <w:uiPriority w:val="0"/>
    <w:pPr>
      <w:jc w:val="center"/>
    </w:pPr>
    <w:rPr>
      <w:rFonts w:asciiTheme="minorHAnsi" w:hAnsiTheme="minorHAnsi" w:eastAsiaTheme="minorEastAsia" w:cstheme="minorBidi"/>
      <w:sz w:val="52"/>
    </w:rPr>
  </w:style>
  <w:style w:type="paragraph" w:styleId="8">
    <w:name w:val="Normal Indent"/>
    <w:basedOn w:val="1"/>
    <w:qFormat/>
    <w:uiPriority w:val="0"/>
    <w:pPr>
      <w:widowControl/>
      <w:ind w:firstLine="420"/>
      <w:jc w:val="left"/>
    </w:pPr>
    <w:rPr>
      <w:rFonts w:asciiTheme="minorHAnsi" w:hAnsiTheme="minorHAnsi" w:eastAsiaTheme="minorEastAsia" w:cstheme="minorBidi"/>
      <w:szCs w:val="22"/>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paragraph" w:styleId="11">
    <w:name w:val="Body Text First Indent"/>
    <w:basedOn w:val="6"/>
    <w:qFormat/>
    <w:uiPriority w:val="0"/>
    <w:pPr>
      <w:spacing w:after="120"/>
      <w:ind w:firstLine="420" w:firstLineChars="100"/>
    </w:pPr>
    <w:rPr>
      <w:sz w:val="21"/>
      <w:szCs w:val="20"/>
    </w:r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Hyperlink"/>
    <w:basedOn w:val="14"/>
    <w:qFormat/>
    <w:uiPriority w:val="99"/>
    <w:rPr>
      <w:color w:val="0000FF"/>
      <w:u w:val="single"/>
    </w:rPr>
  </w:style>
  <w:style w:type="paragraph" w:customStyle="1" w:styleId="16">
    <w:name w:val="Default"/>
    <w:qFormat/>
    <w:uiPriority w:val="0"/>
    <w:pPr>
      <w:widowControl w:val="0"/>
      <w:autoSpaceDE w:val="0"/>
      <w:autoSpaceDN w:val="0"/>
      <w:adjustRightInd w:val="0"/>
    </w:pPr>
    <w:rPr>
      <w:rFonts w:ascii="Arial Unicode MS" w:hAnsi="Times New Roman" w:eastAsia="Arial Unicode MS" w:cs="Arial Unicode MS"/>
      <w:color w:val="000000"/>
      <w:sz w:val="24"/>
      <w:szCs w:val="24"/>
      <w:lang w:val="en-US" w:eastAsia="zh-CN" w:bidi="ar-SA"/>
    </w:rPr>
  </w:style>
  <w:style w:type="character" w:customStyle="1" w:styleId="17">
    <w:name w:val="font91"/>
    <w:basedOn w:val="14"/>
    <w:qFormat/>
    <w:uiPriority w:val="0"/>
    <w:rPr>
      <w:rFonts w:hint="eastAsia" w:ascii="宋体" w:hAnsi="宋体" w:eastAsia="宋体" w:cs="宋体"/>
      <w:b/>
      <w:bCs/>
      <w:color w:val="000000"/>
      <w:sz w:val="20"/>
      <w:szCs w:val="20"/>
      <w:u w:val="none"/>
    </w:rPr>
  </w:style>
  <w:style w:type="paragraph" w:customStyle="1" w:styleId="18">
    <w:name w:val="条款号"/>
    <w:basedOn w:val="4"/>
    <w:qFormat/>
    <w:uiPriority w:val="0"/>
    <w:pPr>
      <w:spacing w:before="120" w:after="120" w:line="319" w:lineRule="auto"/>
    </w:pPr>
    <w:rPr>
      <w:rFonts w:ascii="楷体" w:hAnsi="楷体" w:eastAsia="楷体"/>
      <w:sz w:val="24"/>
      <w:szCs w:val="24"/>
    </w:rPr>
  </w:style>
  <w:style w:type="character" w:customStyle="1" w:styleId="19">
    <w:name w:val="font31"/>
    <w:basedOn w:val="14"/>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372</Words>
  <Characters>425</Characters>
  <Lines>0</Lines>
  <Paragraphs>0</Paragraphs>
  <TotalTime>0</TotalTime>
  <ScaleCrop>false</ScaleCrop>
  <LinksUpToDate>false</LinksUpToDate>
  <CharactersWithSpaces>425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2023-05-29T09:33:00Z</dcterms:created>
  <dc:creator>Administrator</dc:creator>
  <cp:lastModifiedBy>Administrator</cp:lastModifiedBy>
  <dcterms:modified xsi:type="dcterms:W3CDTF">2025-07-17T06:07:12Z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TemplateDocerSaveRecord">
    <vt:lpwstr>eyJoZGlkIjoiYjdlZjQyODU0MTRiNGFhMDc0NDU2ZjBlZWQxNTNlNDYifQ==</vt:lpwstr>
  </property>
  <property fmtid="{D5CDD505-2E9C-101B-9397-08002B2CF9AE}" pid="4" name="ICV">
    <vt:lpwstr>5D9B2E1CBA1A4FC4880BA0BBB19523F4_13</vt:lpwstr>
  </property>
</Properties>
</file>