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C7751E">
      <w:pPr>
        <w:widowControl w:val="0"/>
        <w:jc w:val="center"/>
        <w:rPr>
          <w:b/>
          <w:sz w:val="48"/>
          <w:szCs w:val="48"/>
        </w:rPr>
      </w:pPr>
      <w:r>
        <w:rPr>
          <w:rFonts w:hint="eastAsia"/>
          <w:b/>
          <w:sz w:val="48"/>
          <w:szCs w:val="48"/>
        </w:rPr>
        <w:t>招标文件</w:t>
      </w:r>
    </w:p>
    <w:p w14:paraId="56E4E0B4">
      <w:pPr>
        <w:widowControl w:val="0"/>
        <w:rPr>
          <w:rFonts w:ascii="宋体"/>
          <w:b/>
          <w:kern w:val="2"/>
          <w:sz w:val="48"/>
          <w:szCs w:val="48"/>
        </w:rPr>
      </w:pPr>
    </w:p>
    <w:p w14:paraId="258D4D4E">
      <w:pPr>
        <w:jc w:val="center"/>
        <w:rPr>
          <w:b/>
          <w:sz w:val="32"/>
          <w:szCs w:val="32"/>
        </w:rPr>
      </w:pPr>
      <w:r>
        <w:rPr>
          <w:rFonts w:hint="eastAsia"/>
          <w:b/>
          <w:sz w:val="32"/>
          <w:szCs w:val="32"/>
        </w:rPr>
        <w:t>项目名称：</w:t>
      </w:r>
      <w:r>
        <w:rPr>
          <w:rFonts w:hint="eastAsia"/>
          <w:b/>
          <w:sz w:val="32"/>
          <w:szCs w:val="32"/>
          <w:lang w:eastAsia="zh-CN"/>
        </w:rPr>
        <w:t>电子商务（大宝系统）物流</w:t>
      </w:r>
      <w:r>
        <w:rPr>
          <w:rFonts w:hint="eastAsia"/>
          <w:b/>
          <w:sz w:val="32"/>
          <w:szCs w:val="32"/>
        </w:rPr>
        <w:t>服务</w:t>
      </w:r>
    </w:p>
    <w:p w14:paraId="38DB831A">
      <w:pPr>
        <w:jc w:val="center"/>
        <w:rPr>
          <w:b/>
          <w:sz w:val="32"/>
          <w:szCs w:val="32"/>
        </w:rPr>
      </w:pPr>
    </w:p>
    <w:p w14:paraId="58414726">
      <w:pPr>
        <w:ind w:firstLine="141" w:firstLineChars="50"/>
        <w:rPr>
          <w:rFonts w:ascii="宋体"/>
          <w:b/>
          <w:sz w:val="28"/>
          <w:szCs w:val="28"/>
        </w:rPr>
      </w:pPr>
      <w:r>
        <w:rPr>
          <w:rFonts w:hint="eastAsia" w:ascii="宋体" w:hAnsi="宋体"/>
          <w:b/>
          <w:sz w:val="28"/>
          <w:szCs w:val="28"/>
        </w:rPr>
        <w:t>目录：</w:t>
      </w:r>
    </w:p>
    <w:p w14:paraId="5B535A50">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14:paraId="27BCA347">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0AD0AA12">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02192EC3">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1B23A77D">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41DD262D">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5C0E6CEE">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3075C579">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312572B9">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04AEECCA">
      <w:pPr>
        <w:pStyle w:val="12"/>
        <w:rPr>
          <w:kern w:val="2"/>
        </w:rPr>
      </w:pPr>
      <w:r>
        <w:fldChar w:fldCharType="begin"/>
      </w:r>
      <w:r>
        <w:instrText xml:space="preserve"> HYPERLINK \l "_Toc350519242" </w:instrText>
      </w:r>
      <w:r>
        <w:fldChar w:fldCharType="separate"/>
      </w:r>
      <w:r>
        <w:rPr>
          <w:rStyle w:val="23"/>
          <w:rFonts w:hint="eastAsia"/>
        </w:rPr>
        <w:t>附件一：投标函格式</w:t>
      </w:r>
      <w:r>
        <w:tab/>
      </w:r>
      <w:r>
        <w:fldChar w:fldCharType="end"/>
      </w:r>
      <w:r>
        <w:rPr>
          <w:rFonts w:hint="eastAsia"/>
        </w:rPr>
        <w:t>10</w:t>
      </w:r>
    </w:p>
    <w:p w14:paraId="45BEC318">
      <w:pPr>
        <w:pStyle w:val="12"/>
        <w:rPr>
          <w:kern w:val="2"/>
        </w:rPr>
      </w:pPr>
      <w:r>
        <w:fldChar w:fldCharType="begin"/>
      </w:r>
      <w:r>
        <w:instrText xml:space="preserve"> HYPERLINK \l "_Toc350519243" </w:instrText>
      </w:r>
      <w:r>
        <w:fldChar w:fldCharType="separate"/>
      </w:r>
      <w:r>
        <w:rPr>
          <w:rStyle w:val="23"/>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14:paraId="424F5506">
      <w:pPr>
        <w:pStyle w:val="12"/>
        <w:rPr>
          <w:kern w:val="2"/>
        </w:rPr>
      </w:pPr>
      <w:r>
        <w:fldChar w:fldCharType="begin"/>
      </w:r>
      <w:r>
        <w:instrText xml:space="preserve"> HYPERLINK \l "_Toc350519244" </w:instrText>
      </w:r>
      <w:r>
        <w:fldChar w:fldCharType="separate"/>
      </w:r>
      <w:r>
        <w:rPr>
          <w:rStyle w:val="23"/>
          <w:rFonts w:hint="eastAsia"/>
        </w:rPr>
        <w:t>附件三：投标单位基本资料表（一）（二）（三）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14:paraId="787D90D5">
      <w:pPr>
        <w:pStyle w:val="12"/>
        <w:rPr>
          <w:kern w:val="2"/>
        </w:rPr>
      </w:pPr>
      <w:r>
        <w:fldChar w:fldCharType="begin"/>
      </w:r>
      <w:r>
        <w:instrText xml:space="preserve"> HYPERLINK \l "_Toc350519249" </w:instrText>
      </w:r>
      <w:r>
        <w:fldChar w:fldCharType="separate"/>
      </w:r>
      <w:r>
        <w:rPr>
          <w:rStyle w:val="23"/>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14:paraId="042A2A6D">
      <w:pPr>
        <w:rPr>
          <w:rFonts w:ascii="宋体" w:hAnsi="宋体"/>
          <w:b/>
          <w:sz w:val="28"/>
          <w:szCs w:val="28"/>
        </w:rPr>
      </w:pPr>
      <w:r>
        <w:rPr>
          <w:rStyle w:val="23"/>
          <w:rFonts w:hint="eastAsia" w:ascii="宋体" w:hAnsi="宋体"/>
          <w:b/>
          <w:color w:val="auto"/>
          <w:sz w:val="28"/>
          <w:szCs w:val="28"/>
          <w:u w:val="none"/>
        </w:rPr>
        <w:t>合同范本、物流公司KPI指标、反商业贿赂协议书........... . . ...14</w:t>
      </w:r>
    </w:p>
    <w:p w14:paraId="60AA5291">
      <w:r>
        <w:rPr>
          <w:rFonts w:ascii="宋体" w:hAnsi="宋体"/>
          <w:b/>
          <w:sz w:val="28"/>
          <w:szCs w:val="28"/>
        </w:rPr>
        <w:fldChar w:fldCharType="end"/>
      </w:r>
    </w:p>
    <w:p w14:paraId="012E5CA5">
      <w:pPr>
        <w:pStyle w:val="37"/>
        <w:snapToGrid w:val="0"/>
        <w:ind w:left="2383" w:leftChars="993" w:firstLine="1260" w:firstLineChars="450"/>
        <w:rPr>
          <w:color w:val="auto"/>
          <w:sz w:val="28"/>
          <w:szCs w:val="28"/>
        </w:rPr>
      </w:pPr>
    </w:p>
    <w:p w14:paraId="6AA4E2DB">
      <w:pPr>
        <w:pStyle w:val="37"/>
        <w:snapToGrid w:val="0"/>
        <w:ind w:left="2383" w:leftChars="993" w:firstLine="1260" w:firstLineChars="450"/>
        <w:rPr>
          <w:color w:val="auto"/>
          <w:sz w:val="28"/>
          <w:szCs w:val="28"/>
        </w:rPr>
      </w:pPr>
    </w:p>
    <w:p w14:paraId="529FDF40">
      <w:pPr>
        <w:pStyle w:val="37"/>
        <w:snapToGrid w:val="0"/>
        <w:ind w:left="2383" w:leftChars="993" w:firstLine="1260" w:firstLineChars="450"/>
        <w:rPr>
          <w:color w:val="auto"/>
          <w:sz w:val="28"/>
          <w:szCs w:val="28"/>
        </w:rPr>
      </w:pPr>
    </w:p>
    <w:p w14:paraId="5A446A92">
      <w:pPr>
        <w:pStyle w:val="37"/>
        <w:snapToGrid w:val="0"/>
        <w:ind w:left="2383" w:leftChars="993" w:firstLine="1260" w:firstLineChars="450"/>
        <w:rPr>
          <w:color w:val="auto"/>
          <w:sz w:val="28"/>
          <w:szCs w:val="28"/>
        </w:rPr>
      </w:pPr>
    </w:p>
    <w:p w14:paraId="0DB95875">
      <w:pPr>
        <w:pStyle w:val="37"/>
        <w:snapToGrid w:val="0"/>
        <w:ind w:left="2383" w:leftChars="993" w:firstLine="1260" w:firstLineChars="450"/>
        <w:rPr>
          <w:color w:val="auto"/>
          <w:sz w:val="28"/>
          <w:szCs w:val="28"/>
        </w:rPr>
      </w:pPr>
    </w:p>
    <w:p w14:paraId="1A8325D2">
      <w:pPr>
        <w:pStyle w:val="37"/>
        <w:snapToGrid w:val="0"/>
        <w:ind w:left="2383" w:leftChars="993" w:firstLine="1260" w:firstLineChars="450"/>
        <w:rPr>
          <w:color w:val="auto"/>
          <w:sz w:val="28"/>
          <w:szCs w:val="28"/>
        </w:rPr>
      </w:pPr>
    </w:p>
    <w:p w14:paraId="344EAE4D">
      <w:pPr>
        <w:spacing w:line="360" w:lineRule="auto"/>
        <w:ind w:firstLine="1"/>
        <w:jc w:val="center"/>
        <w:rPr>
          <w:b/>
          <w:sz w:val="36"/>
          <w:szCs w:val="36"/>
        </w:rPr>
      </w:pPr>
      <w:r>
        <w:rPr>
          <w:rFonts w:hint="eastAsia"/>
          <w:b/>
          <w:sz w:val="36"/>
          <w:szCs w:val="36"/>
        </w:rPr>
        <w:t>上海东冠健康用品股份有限公司</w:t>
      </w:r>
    </w:p>
    <w:p w14:paraId="49817E9D">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07E3212F">
      <w:pPr>
        <w:snapToGrid w:val="0"/>
        <w:rPr>
          <w:b/>
          <w:sz w:val="28"/>
          <w:szCs w:val="28"/>
        </w:rPr>
      </w:pPr>
    </w:p>
    <w:p w14:paraId="2F7CBAE0">
      <w:pPr>
        <w:pStyle w:val="3"/>
        <w:widowControl w:val="0"/>
        <w:numPr>
          <w:ilvl w:val="0"/>
          <w:numId w:val="1"/>
        </w:numPr>
        <w:jc w:val="center"/>
        <w:rPr>
          <w:rStyle w:val="23"/>
          <w:rFonts w:ascii="黑体"/>
          <w:b w:val="0"/>
          <w:bCs w:val="0"/>
          <w:color w:val="auto"/>
        </w:rPr>
      </w:pPr>
      <w:bookmarkStart w:id="0" w:name="_Toc50525871"/>
      <w:bookmarkStart w:id="1" w:name="_Toc51142826"/>
      <w:bookmarkStart w:id="2" w:name="_Toc51054100"/>
      <w:bookmarkStart w:id="3" w:name="_Toc350519233"/>
      <w:bookmarkStart w:id="4" w:name="_Toc55988823"/>
      <w:bookmarkStart w:id="5" w:name="_Toc51057511"/>
      <w:bookmarkStart w:id="6" w:name="_Toc59872422"/>
      <w:r>
        <w:rPr>
          <w:rStyle w:val="23"/>
          <w:rFonts w:hint="eastAsia" w:ascii="黑体"/>
          <w:color w:val="auto"/>
        </w:rPr>
        <w:t>背景资料</w:t>
      </w:r>
      <w:bookmarkEnd w:id="0"/>
      <w:bookmarkEnd w:id="1"/>
      <w:bookmarkEnd w:id="2"/>
      <w:bookmarkEnd w:id="3"/>
      <w:bookmarkEnd w:id="4"/>
      <w:bookmarkEnd w:id="5"/>
      <w:bookmarkEnd w:id="6"/>
    </w:p>
    <w:p w14:paraId="5F1A030F">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0526713"/>
      <w:bookmarkStart w:id="8" w:name="_Toc51054102"/>
    </w:p>
    <w:bookmarkEnd w:id="7"/>
    <w:bookmarkEnd w:id="8"/>
    <w:p w14:paraId="03F42E92">
      <w:pPr>
        <w:spacing w:line="360" w:lineRule="auto"/>
        <w:ind w:firstLine="480" w:firstLineChars="200"/>
        <w:rPr>
          <w:rFonts w:ascii="宋体" w:hAnsi="宋体" w:cs="宋体"/>
        </w:rPr>
      </w:pPr>
      <w:r>
        <w:rPr>
          <w:rFonts w:hint="eastAsia" w:ascii="宋体" w:hAnsi="宋体" w:cs="宋体"/>
        </w:rPr>
        <w:t>上海东冠健康用品股份有限公司</w:t>
      </w:r>
      <w:r>
        <w:rPr>
          <w:rFonts w:hint="eastAsia" w:ascii="宋体" w:hAnsi="宋体" w:cs="宋体"/>
          <w:lang w:eastAsia="zh-CN"/>
        </w:rPr>
        <w:t>2025</w:t>
      </w:r>
      <w:r>
        <w:rPr>
          <w:rFonts w:hint="eastAsia" w:ascii="宋体" w:hAnsi="宋体" w:cs="宋体"/>
        </w:rPr>
        <w:t>年度</w:t>
      </w:r>
      <w:r>
        <w:rPr>
          <w:rFonts w:hint="eastAsia" w:ascii="宋体" w:hAnsi="宋体" w:cs="宋体"/>
          <w:lang w:eastAsia="zh-CN"/>
        </w:rPr>
        <w:t>电子商务（大宝系统）物流</w:t>
      </w:r>
      <w:r>
        <w:rPr>
          <w:rFonts w:hint="eastAsia" w:ascii="宋体" w:hAnsi="宋体" w:cs="宋体"/>
        </w:rPr>
        <w:t>服务项目，招标人将</w:t>
      </w:r>
      <w:r>
        <w:rPr>
          <w:rFonts w:hint="eastAsia" w:ascii="宋体" w:hAnsi="宋体" w:cs="宋体"/>
          <w:lang w:eastAsia="zh-CN"/>
        </w:rPr>
        <w:t>电子商务（大宝系统）物流</w:t>
      </w:r>
      <w:r>
        <w:rPr>
          <w:rFonts w:hint="eastAsia" w:ascii="宋体" w:hAnsi="宋体" w:cs="宋体"/>
        </w:rPr>
        <w:t>服务外包给中标人，中标人为招标人提供存货管理和订单履行服务，包括入仓仓库选择、商品入库验收、作业流程设计、库存管理、订单接收、制单、分拣、包装、发运、晒单、快递选择、派送与跟踪等环节。</w:t>
      </w:r>
    </w:p>
    <w:p w14:paraId="49AB3B87">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4917957D">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w:t>
      </w:r>
      <w:r>
        <w:rPr>
          <w:rFonts w:hint="eastAsia" w:ascii="Arial" w:hAnsi="Arial" w:cs="Arial"/>
          <w:lang w:eastAsia="zh-CN"/>
        </w:rPr>
        <w:t>电子商务（大宝系统）物流</w:t>
      </w:r>
      <w:r>
        <w:rPr>
          <w:rFonts w:hint="eastAsia" w:ascii="Arial" w:hAnsi="Arial" w:cs="Arial"/>
        </w:rPr>
        <w:t>服务</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14:paraId="28CEC862">
      <w:pPr>
        <w:pStyle w:val="3"/>
        <w:widowControl w:val="0"/>
        <w:numPr>
          <w:ilvl w:val="0"/>
          <w:numId w:val="1"/>
        </w:numPr>
        <w:jc w:val="center"/>
        <w:rPr>
          <w:rStyle w:val="23"/>
          <w:rFonts w:ascii="黑体"/>
          <w:color w:val="auto"/>
        </w:rPr>
      </w:pPr>
      <w:bookmarkStart w:id="9" w:name="_Toc350519234"/>
      <w:bookmarkStart w:id="10" w:name="_Toc51057512"/>
      <w:bookmarkStart w:id="11" w:name="_Toc50525876"/>
      <w:bookmarkStart w:id="12" w:name="_Toc56046411"/>
      <w:bookmarkStart w:id="13" w:name="_Toc55988824"/>
      <w:bookmarkStart w:id="14" w:name="_Toc51142827"/>
      <w:bookmarkStart w:id="15" w:name="_Toc59872423"/>
      <w:bookmarkStart w:id="16" w:name="_Toc51054109"/>
      <w:bookmarkStart w:id="17" w:name="_Toc56052015"/>
      <w:r>
        <w:rPr>
          <w:rStyle w:val="23"/>
          <w:rFonts w:hint="eastAsia" w:ascii="黑体"/>
          <w:color w:val="auto"/>
        </w:rPr>
        <w:t>定义</w:t>
      </w:r>
      <w:bookmarkEnd w:id="9"/>
      <w:bookmarkEnd w:id="10"/>
      <w:bookmarkEnd w:id="11"/>
      <w:bookmarkEnd w:id="12"/>
      <w:bookmarkEnd w:id="13"/>
      <w:bookmarkEnd w:id="14"/>
      <w:bookmarkEnd w:id="15"/>
      <w:bookmarkEnd w:id="16"/>
      <w:bookmarkEnd w:id="17"/>
    </w:p>
    <w:p w14:paraId="1FEA27A1">
      <w:pPr>
        <w:pStyle w:val="12"/>
      </w:pPr>
      <w:r>
        <w:rPr>
          <w:rFonts w:hint="eastAsia"/>
        </w:rPr>
        <w:t>本附件中所用下列名词的含义在此予以确定。</w:t>
      </w:r>
    </w:p>
    <w:p w14:paraId="74FEFEA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指上海东冠健康用品股份有限公司。</w:t>
      </w:r>
    </w:p>
    <w:p w14:paraId="757C9BE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48767065">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02C2AD6F">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01842D88">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46D36258">
      <w:pPr>
        <w:pStyle w:val="3"/>
        <w:widowControl w:val="0"/>
        <w:numPr>
          <w:ilvl w:val="0"/>
          <w:numId w:val="1"/>
        </w:numPr>
        <w:jc w:val="center"/>
        <w:rPr>
          <w:rStyle w:val="23"/>
          <w:color w:val="auto"/>
          <w:u w:val="none"/>
        </w:rPr>
      </w:pPr>
      <w:bookmarkStart w:id="18" w:name="_Toc51057513"/>
      <w:bookmarkStart w:id="19" w:name="_Toc55988825"/>
      <w:bookmarkStart w:id="20" w:name="_Toc56046412"/>
      <w:bookmarkStart w:id="21" w:name="_Toc350519235"/>
      <w:bookmarkStart w:id="22" w:name="_Toc59872424"/>
      <w:bookmarkStart w:id="23" w:name="_Toc51142828"/>
      <w:bookmarkStart w:id="24" w:name="_Toc51054110"/>
      <w:bookmarkStart w:id="25" w:name="_Toc56052016"/>
      <w:bookmarkStart w:id="26" w:name="_Toc50525877"/>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3670B3B0">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1CAA38F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4958F16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74324F7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4920626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7A6BC3C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1342E2F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0809FBC5">
      <w:pPr>
        <w:pStyle w:val="3"/>
        <w:widowControl w:val="0"/>
        <w:numPr>
          <w:ilvl w:val="0"/>
          <w:numId w:val="1"/>
        </w:numPr>
        <w:jc w:val="center"/>
      </w:pPr>
      <w:bookmarkStart w:id="27" w:name="_Toc350519236"/>
      <w:bookmarkStart w:id="28" w:name="_Toc59872425"/>
      <w:bookmarkStart w:id="29" w:name="_Toc56052017"/>
      <w:bookmarkStart w:id="30" w:name="_Toc51142829"/>
      <w:bookmarkStart w:id="31" w:name="_Toc50525878"/>
      <w:bookmarkStart w:id="32" w:name="_Toc51057514"/>
      <w:bookmarkStart w:id="33" w:name="_Toc55988826"/>
      <w:bookmarkStart w:id="34" w:name="_Toc51054111"/>
      <w:bookmarkStart w:id="35" w:name="_Toc56046413"/>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p>
    <w:p w14:paraId="020C6679">
      <w:pPr>
        <w:widowControl w:val="0"/>
        <w:numPr>
          <w:ilvl w:val="1"/>
          <w:numId w:val="1"/>
        </w:numPr>
        <w:tabs>
          <w:tab w:val="left" w:pos="851"/>
          <w:tab w:val="clear" w:pos="567"/>
        </w:tabs>
        <w:spacing w:line="360" w:lineRule="auto"/>
        <w:ind w:left="851" w:hanging="851"/>
        <w:jc w:val="both"/>
      </w:pPr>
      <w:r>
        <w:rPr>
          <w:rFonts w:hint="eastAsia"/>
          <w:b/>
        </w:rPr>
        <w:t>电子商务共有三个招标项目，投标单位按下表设置，根据自身实力和优势进行或选择投标</w:t>
      </w:r>
      <w:r>
        <w:rPr>
          <w:rFonts w:hint="eastAsia"/>
        </w:rPr>
        <w:t>。</w:t>
      </w:r>
    </w:p>
    <w:tbl>
      <w:tblPr>
        <w:tblStyle w:val="18"/>
        <w:tblW w:w="9214" w:type="dxa"/>
        <w:tblInd w:w="-5" w:type="dxa"/>
        <w:tblLayout w:type="autofit"/>
        <w:tblCellMar>
          <w:top w:w="0" w:type="dxa"/>
          <w:left w:w="108" w:type="dxa"/>
          <w:bottom w:w="0" w:type="dxa"/>
          <w:right w:w="108" w:type="dxa"/>
        </w:tblCellMar>
      </w:tblPr>
      <w:tblGrid>
        <w:gridCol w:w="1701"/>
        <w:gridCol w:w="1134"/>
        <w:gridCol w:w="2694"/>
        <w:gridCol w:w="2231"/>
        <w:gridCol w:w="1454"/>
      </w:tblGrid>
      <w:tr w14:paraId="21198C54">
        <w:tblPrEx>
          <w:tblCellMar>
            <w:top w:w="0" w:type="dxa"/>
            <w:left w:w="108" w:type="dxa"/>
            <w:bottom w:w="0" w:type="dxa"/>
            <w:right w:w="108" w:type="dxa"/>
          </w:tblCellMar>
        </w:tblPrEx>
        <w:trPr>
          <w:trHeight w:val="578"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0C3E263">
            <w:pPr>
              <w:jc w:val="center"/>
              <w:rPr>
                <w:rFonts w:ascii="宋体" w:hAnsi="宋体" w:cs="宋体"/>
                <w:color w:val="000000"/>
                <w:sz w:val="21"/>
                <w:szCs w:val="21"/>
              </w:rPr>
            </w:pPr>
            <w:r>
              <w:rPr>
                <w:rFonts w:hint="eastAsia" w:ascii="宋体" w:hAnsi="宋体" w:cs="宋体"/>
                <w:color w:val="000000"/>
                <w:sz w:val="21"/>
                <w:szCs w:val="21"/>
              </w:rPr>
              <w:t>出发地点</w:t>
            </w:r>
          </w:p>
        </w:tc>
        <w:tc>
          <w:tcPr>
            <w:tcW w:w="1134" w:type="dxa"/>
            <w:tcBorders>
              <w:top w:val="single" w:color="auto" w:sz="4" w:space="0"/>
              <w:left w:val="nil"/>
              <w:bottom w:val="single" w:color="auto" w:sz="4" w:space="0"/>
              <w:right w:val="single" w:color="auto" w:sz="4" w:space="0"/>
            </w:tcBorders>
            <w:shd w:val="clear" w:color="auto" w:fill="auto"/>
            <w:vAlign w:val="center"/>
          </w:tcPr>
          <w:p w14:paraId="65D0ACCF">
            <w:pPr>
              <w:jc w:val="center"/>
              <w:rPr>
                <w:rFonts w:ascii="宋体" w:hAnsi="宋体" w:cs="宋体"/>
                <w:color w:val="000000"/>
                <w:sz w:val="21"/>
                <w:szCs w:val="21"/>
              </w:rPr>
            </w:pPr>
            <w:r>
              <w:rPr>
                <w:rFonts w:hint="eastAsia" w:ascii="宋体" w:hAnsi="宋体" w:cs="宋体"/>
                <w:color w:val="000000"/>
                <w:sz w:val="21"/>
                <w:szCs w:val="21"/>
              </w:rPr>
              <w:t>招标项目</w:t>
            </w:r>
          </w:p>
        </w:tc>
        <w:tc>
          <w:tcPr>
            <w:tcW w:w="2694" w:type="dxa"/>
            <w:tcBorders>
              <w:top w:val="single" w:color="auto" w:sz="4" w:space="0"/>
              <w:left w:val="nil"/>
              <w:bottom w:val="single" w:color="auto" w:sz="4" w:space="0"/>
              <w:right w:val="single" w:color="auto" w:sz="4" w:space="0"/>
            </w:tcBorders>
            <w:shd w:val="clear" w:color="auto" w:fill="auto"/>
            <w:vAlign w:val="center"/>
          </w:tcPr>
          <w:p w14:paraId="11825E90">
            <w:pPr>
              <w:jc w:val="center"/>
              <w:rPr>
                <w:rFonts w:ascii="宋体" w:hAnsi="宋体" w:cs="宋体"/>
                <w:color w:val="000000"/>
                <w:sz w:val="21"/>
                <w:szCs w:val="21"/>
              </w:rPr>
            </w:pPr>
            <w:r>
              <w:rPr>
                <w:rFonts w:hint="eastAsia" w:ascii="宋体" w:hAnsi="宋体" w:cs="宋体"/>
                <w:color w:val="000000"/>
                <w:sz w:val="21"/>
                <w:szCs w:val="21"/>
              </w:rPr>
              <w:t>配送目的区域</w:t>
            </w:r>
          </w:p>
        </w:tc>
        <w:tc>
          <w:tcPr>
            <w:tcW w:w="2231" w:type="dxa"/>
            <w:tcBorders>
              <w:top w:val="single" w:color="auto" w:sz="4" w:space="0"/>
              <w:left w:val="nil"/>
              <w:bottom w:val="single" w:color="auto" w:sz="4" w:space="0"/>
              <w:right w:val="single" w:color="auto" w:sz="4" w:space="0"/>
            </w:tcBorders>
            <w:shd w:val="clear" w:color="auto" w:fill="auto"/>
            <w:noWrap/>
            <w:vAlign w:val="center"/>
          </w:tcPr>
          <w:p w14:paraId="51727A3A">
            <w:pPr>
              <w:rPr>
                <w:rFonts w:ascii="宋体" w:hAnsi="宋体" w:cs="宋体"/>
                <w:color w:val="000000"/>
                <w:sz w:val="22"/>
                <w:szCs w:val="22"/>
              </w:rPr>
            </w:pPr>
            <w:r>
              <w:rPr>
                <w:rFonts w:hint="eastAsia" w:ascii="宋体" w:hAnsi="宋体" w:cs="宋体"/>
                <w:color w:val="000000"/>
                <w:sz w:val="22"/>
                <w:szCs w:val="22"/>
              </w:rPr>
              <w:t>服务内容</w:t>
            </w:r>
          </w:p>
        </w:tc>
        <w:tc>
          <w:tcPr>
            <w:tcW w:w="1454" w:type="dxa"/>
            <w:tcBorders>
              <w:top w:val="single" w:color="auto" w:sz="4" w:space="0"/>
              <w:left w:val="nil"/>
              <w:bottom w:val="single" w:color="auto" w:sz="4" w:space="0"/>
              <w:right w:val="single" w:color="auto" w:sz="4" w:space="0"/>
            </w:tcBorders>
            <w:shd w:val="clear" w:color="auto" w:fill="auto"/>
            <w:vAlign w:val="center"/>
          </w:tcPr>
          <w:p w14:paraId="2FC7DA96">
            <w:pPr>
              <w:jc w:val="center"/>
              <w:rPr>
                <w:rFonts w:ascii="宋体" w:hAnsi="宋体" w:cs="宋体"/>
                <w:color w:val="000000"/>
                <w:sz w:val="21"/>
                <w:szCs w:val="21"/>
              </w:rPr>
            </w:pPr>
            <w:r>
              <w:rPr>
                <w:rFonts w:hint="eastAsia" w:ascii="宋体" w:hAnsi="宋体" w:cs="宋体"/>
                <w:color w:val="000000"/>
                <w:sz w:val="21"/>
                <w:szCs w:val="21"/>
              </w:rPr>
              <w:t>配送客户</w:t>
            </w:r>
          </w:p>
        </w:tc>
      </w:tr>
      <w:tr w14:paraId="2467931C">
        <w:tblPrEx>
          <w:tblCellMar>
            <w:top w:w="0" w:type="dxa"/>
            <w:left w:w="108" w:type="dxa"/>
            <w:bottom w:w="0" w:type="dxa"/>
            <w:right w:w="108" w:type="dxa"/>
          </w:tblCellMar>
        </w:tblPrEx>
        <w:trPr>
          <w:trHeight w:val="765" w:hRule="atLeast"/>
        </w:trPr>
        <w:tc>
          <w:tcPr>
            <w:tcW w:w="1701" w:type="dxa"/>
            <w:tcBorders>
              <w:top w:val="nil"/>
              <w:left w:val="single" w:color="auto" w:sz="4" w:space="0"/>
              <w:bottom w:val="single" w:color="auto" w:sz="4" w:space="0"/>
              <w:right w:val="single" w:color="auto" w:sz="4" w:space="0"/>
            </w:tcBorders>
            <w:shd w:val="clear" w:color="auto" w:fill="auto"/>
            <w:vAlign w:val="center"/>
          </w:tcPr>
          <w:p w14:paraId="6C293234">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134" w:type="dxa"/>
            <w:tcBorders>
              <w:top w:val="nil"/>
              <w:left w:val="nil"/>
              <w:bottom w:val="single" w:color="auto" w:sz="4" w:space="0"/>
              <w:right w:val="single" w:color="auto" w:sz="4" w:space="0"/>
            </w:tcBorders>
            <w:shd w:val="clear" w:color="auto" w:fill="auto"/>
            <w:vAlign w:val="center"/>
          </w:tcPr>
          <w:p w14:paraId="0377DDDF">
            <w:pPr>
              <w:jc w:val="center"/>
              <w:rPr>
                <w:rFonts w:ascii="宋体" w:hAnsi="宋体" w:cs="宋体"/>
                <w:color w:val="000000"/>
                <w:sz w:val="21"/>
                <w:szCs w:val="21"/>
              </w:rPr>
            </w:pPr>
            <w:r>
              <w:rPr>
                <w:rFonts w:hint="eastAsia" w:ascii="宋体" w:hAnsi="宋体" w:cs="宋体"/>
                <w:color w:val="000000"/>
                <w:sz w:val="21"/>
                <w:szCs w:val="21"/>
              </w:rPr>
              <w:t>1</w:t>
            </w:r>
          </w:p>
        </w:tc>
        <w:tc>
          <w:tcPr>
            <w:tcW w:w="2694" w:type="dxa"/>
            <w:tcBorders>
              <w:top w:val="nil"/>
              <w:left w:val="nil"/>
              <w:bottom w:val="single" w:color="auto" w:sz="4" w:space="0"/>
              <w:right w:val="single" w:color="auto" w:sz="4" w:space="0"/>
            </w:tcBorders>
            <w:shd w:val="clear" w:color="auto" w:fill="auto"/>
            <w:vAlign w:val="center"/>
          </w:tcPr>
          <w:p w14:paraId="2887538F">
            <w:pPr>
              <w:jc w:val="center"/>
              <w:rPr>
                <w:rFonts w:ascii="宋体" w:hAnsi="宋体" w:cs="宋体"/>
                <w:color w:val="000000"/>
                <w:sz w:val="21"/>
                <w:szCs w:val="21"/>
              </w:rPr>
            </w:pPr>
            <w:r>
              <w:rPr>
                <w:rFonts w:hint="eastAsia" w:ascii="宋体" w:hAnsi="宋体" w:cs="宋体"/>
                <w:color w:val="000000"/>
                <w:sz w:val="21"/>
                <w:szCs w:val="21"/>
              </w:rPr>
              <w:t>华东</w:t>
            </w:r>
          </w:p>
        </w:tc>
        <w:tc>
          <w:tcPr>
            <w:tcW w:w="2231" w:type="dxa"/>
            <w:tcBorders>
              <w:top w:val="nil"/>
              <w:left w:val="nil"/>
              <w:bottom w:val="single" w:color="auto" w:sz="4" w:space="0"/>
              <w:right w:val="single" w:color="auto" w:sz="4" w:space="0"/>
            </w:tcBorders>
            <w:shd w:val="clear" w:color="auto" w:fill="auto"/>
            <w:noWrap/>
            <w:vAlign w:val="center"/>
          </w:tcPr>
          <w:p w14:paraId="6A9D5A7B">
            <w:pPr>
              <w:rPr>
                <w:rFonts w:ascii="宋体" w:hAnsi="宋体" w:cs="宋体"/>
                <w:color w:val="000000"/>
                <w:sz w:val="22"/>
                <w:szCs w:val="22"/>
              </w:rPr>
            </w:pPr>
            <w:r>
              <w:rPr>
                <w:rFonts w:hint="eastAsia" w:ascii="宋体" w:hAnsi="宋体" w:cs="宋体"/>
                <w:color w:val="000000"/>
                <w:sz w:val="22"/>
                <w:szCs w:val="22"/>
              </w:rPr>
              <w:t>快递配送</w:t>
            </w:r>
          </w:p>
        </w:tc>
        <w:tc>
          <w:tcPr>
            <w:tcW w:w="1454" w:type="dxa"/>
            <w:tcBorders>
              <w:top w:val="nil"/>
              <w:left w:val="nil"/>
              <w:bottom w:val="single" w:color="auto" w:sz="4" w:space="0"/>
              <w:right w:val="single" w:color="auto" w:sz="4" w:space="0"/>
            </w:tcBorders>
            <w:shd w:val="clear" w:color="auto" w:fill="auto"/>
            <w:vAlign w:val="center"/>
          </w:tcPr>
          <w:p w14:paraId="31A5101A">
            <w:pPr>
              <w:jc w:val="both"/>
              <w:rPr>
                <w:rFonts w:ascii="宋体" w:hAnsi="宋体" w:cs="宋体"/>
                <w:color w:val="000000"/>
                <w:sz w:val="21"/>
                <w:szCs w:val="21"/>
              </w:rPr>
            </w:pPr>
            <w:r>
              <w:rPr>
                <w:rFonts w:hint="eastAsia" w:ascii="宋体" w:hAnsi="宋体" w:cs="宋体"/>
                <w:color w:val="000000"/>
                <w:sz w:val="21"/>
                <w:szCs w:val="21"/>
              </w:rPr>
              <w:t>电商客户</w:t>
            </w:r>
          </w:p>
        </w:tc>
      </w:tr>
      <w:tr w14:paraId="006A9E42">
        <w:tblPrEx>
          <w:tblCellMar>
            <w:top w:w="0" w:type="dxa"/>
            <w:left w:w="108" w:type="dxa"/>
            <w:bottom w:w="0" w:type="dxa"/>
            <w:right w:w="108" w:type="dxa"/>
          </w:tblCellMar>
        </w:tblPrEx>
        <w:trPr>
          <w:trHeight w:val="765" w:hRule="atLeast"/>
        </w:trPr>
        <w:tc>
          <w:tcPr>
            <w:tcW w:w="1701" w:type="dxa"/>
            <w:tcBorders>
              <w:top w:val="nil"/>
              <w:left w:val="single" w:color="auto" w:sz="4" w:space="0"/>
              <w:bottom w:val="single" w:color="auto" w:sz="4" w:space="0"/>
              <w:right w:val="single" w:color="auto" w:sz="4" w:space="0"/>
            </w:tcBorders>
            <w:shd w:val="clear" w:color="auto" w:fill="auto"/>
            <w:vAlign w:val="center"/>
          </w:tcPr>
          <w:p w14:paraId="34834E99">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134" w:type="dxa"/>
            <w:tcBorders>
              <w:top w:val="nil"/>
              <w:left w:val="nil"/>
              <w:bottom w:val="single" w:color="auto" w:sz="4" w:space="0"/>
              <w:right w:val="single" w:color="auto" w:sz="4" w:space="0"/>
            </w:tcBorders>
            <w:shd w:val="clear" w:color="auto" w:fill="auto"/>
            <w:vAlign w:val="center"/>
          </w:tcPr>
          <w:p w14:paraId="2C6B0A9E">
            <w:pPr>
              <w:jc w:val="center"/>
              <w:rPr>
                <w:rFonts w:ascii="宋体" w:hAnsi="宋体" w:cs="宋体"/>
                <w:color w:val="000000"/>
                <w:sz w:val="21"/>
                <w:szCs w:val="21"/>
              </w:rPr>
            </w:pPr>
            <w:r>
              <w:rPr>
                <w:rFonts w:hint="eastAsia" w:ascii="宋体" w:hAnsi="宋体" w:cs="宋体"/>
                <w:color w:val="000000"/>
                <w:sz w:val="21"/>
                <w:szCs w:val="21"/>
              </w:rPr>
              <w:t>2</w:t>
            </w:r>
          </w:p>
        </w:tc>
        <w:tc>
          <w:tcPr>
            <w:tcW w:w="2694" w:type="dxa"/>
            <w:tcBorders>
              <w:top w:val="nil"/>
              <w:left w:val="nil"/>
              <w:bottom w:val="single" w:color="auto" w:sz="4" w:space="0"/>
              <w:right w:val="single" w:color="auto" w:sz="4" w:space="0"/>
            </w:tcBorders>
            <w:shd w:val="clear" w:color="auto" w:fill="auto"/>
            <w:vAlign w:val="center"/>
          </w:tcPr>
          <w:p w14:paraId="21830A5F">
            <w:pPr>
              <w:jc w:val="center"/>
              <w:rPr>
                <w:rFonts w:ascii="宋体" w:hAnsi="宋体" w:cs="宋体"/>
                <w:color w:val="000000"/>
                <w:sz w:val="21"/>
                <w:szCs w:val="21"/>
              </w:rPr>
            </w:pPr>
            <w:r>
              <w:rPr>
                <w:rFonts w:hint="eastAsia" w:ascii="宋体" w:hAnsi="宋体" w:cs="宋体"/>
                <w:color w:val="000000"/>
                <w:sz w:val="21"/>
                <w:szCs w:val="21"/>
              </w:rPr>
              <w:t>除华东外全国（外围）</w:t>
            </w:r>
          </w:p>
        </w:tc>
        <w:tc>
          <w:tcPr>
            <w:tcW w:w="2231" w:type="dxa"/>
            <w:tcBorders>
              <w:top w:val="nil"/>
              <w:left w:val="nil"/>
              <w:bottom w:val="single" w:color="auto" w:sz="4" w:space="0"/>
              <w:right w:val="single" w:color="auto" w:sz="4" w:space="0"/>
            </w:tcBorders>
            <w:shd w:val="clear" w:color="auto" w:fill="auto"/>
            <w:noWrap/>
            <w:vAlign w:val="center"/>
          </w:tcPr>
          <w:p w14:paraId="3B31901D">
            <w:pPr>
              <w:rPr>
                <w:rFonts w:ascii="宋体" w:hAnsi="宋体" w:cs="宋体"/>
                <w:color w:val="000000"/>
                <w:sz w:val="22"/>
                <w:szCs w:val="22"/>
              </w:rPr>
            </w:pPr>
            <w:r>
              <w:rPr>
                <w:rFonts w:hint="eastAsia" w:ascii="宋体" w:hAnsi="宋体" w:cs="宋体"/>
                <w:color w:val="000000"/>
                <w:sz w:val="22"/>
                <w:szCs w:val="22"/>
              </w:rPr>
              <w:t>快递配送</w:t>
            </w:r>
          </w:p>
        </w:tc>
        <w:tc>
          <w:tcPr>
            <w:tcW w:w="1454" w:type="dxa"/>
            <w:tcBorders>
              <w:top w:val="nil"/>
              <w:left w:val="nil"/>
              <w:bottom w:val="single" w:color="auto" w:sz="4" w:space="0"/>
              <w:right w:val="single" w:color="auto" w:sz="4" w:space="0"/>
            </w:tcBorders>
            <w:shd w:val="clear" w:color="auto" w:fill="auto"/>
            <w:vAlign w:val="center"/>
          </w:tcPr>
          <w:p w14:paraId="77728BD0">
            <w:pPr>
              <w:jc w:val="both"/>
              <w:rPr>
                <w:rFonts w:ascii="宋体" w:hAnsi="宋体" w:cs="宋体"/>
                <w:color w:val="000000"/>
                <w:sz w:val="21"/>
                <w:szCs w:val="21"/>
              </w:rPr>
            </w:pPr>
            <w:r>
              <w:rPr>
                <w:rFonts w:hint="eastAsia" w:ascii="宋体" w:hAnsi="宋体" w:cs="宋体"/>
                <w:color w:val="000000"/>
                <w:sz w:val="21"/>
                <w:szCs w:val="21"/>
              </w:rPr>
              <w:t>电商客户</w:t>
            </w:r>
          </w:p>
        </w:tc>
      </w:tr>
      <w:tr w14:paraId="6FACE7A9">
        <w:tblPrEx>
          <w:tblCellMar>
            <w:top w:w="0" w:type="dxa"/>
            <w:left w:w="108" w:type="dxa"/>
            <w:bottom w:w="0" w:type="dxa"/>
            <w:right w:w="108" w:type="dxa"/>
          </w:tblCellMar>
        </w:tblPrEx>
        <w:trPr>
          <w:trHeight w:val="765" w:hRule="atLeast"/>
        </w:trPr>
        <w:tc>
          <w:tcPr>
            <w:tcW w:w="1701" w:type="dxa"/>
            <w:tcBorders>
              <w:top w:val="nil"/>
              <w:left w:val="single" w:color="auto" w:sz="4" w:space="0"/>
              <w:bottom w:val="single" w:color="auto" w:sz="4" w:space="0"/>
              <w:right w:val="single" w:color="auto" w:sz="4" w:space="0"/>
            </w:tcBorders>
            <w:shd w:val="clear" w:color="auto" w:fill="auto"/>
            <w:vAlign w:val="center"/>
          </w:tcPr>
          <w:p w14:paraId="1545E87A">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134" w:type="dxa"/>
            <w:tcBorders>
              <w:top w:val="nil"/>
              <w:left w:val="nil"/>
              <w:bottom w:val="single" w:color="auto" w:sz="4" w:space="0"/>
              <w:right w:val="single" w:color="auto" w:sz="4" w:space="0"/>
            </w:tcBorders>
            <w:shd w:val="clear" w:color="auto" w:fill="auto"/>
            <w:vAlign w:val="center"/>
          </w:tcPr>
          <w:p w14:paraId="35F44107">
            <w:pPr>
              <w:jc w:val="center"/>
              <w:rPr>
                <w:rFonts w:ascii="宋体" w:hAnsi="宋体" w:cs="宋体"/>
                <w:color w:val="000000"/>
                <w:sz w:val="21"/>
                <w:szCs w:val="21"/>
              </w:rPr>
            </w:pPr>
            <w:r>
              <w:rPr>
                <w:rFonts w:hint="eastAsia" w:ascii="宋体" w:hAnsi="宋体" w:cs="宋体"/>
                <w:color w:val="000000"/>
                <w:sz w:val="21"/>
                <w:szCs w:val="21"/>
              </w:rPr>
              <w:t>3</w:t>
            </w:r>
          </w:p>
        </w:tc>
        <w:tc>
          <w:tcPr>
            <w:tcW w:w="2694" w:type="dxa"/>
            <w:tcBorders>
              <w:top w:val="nil"/>
              <w:left w:val="nil"/>
              <w:bottom w:val="single" w:color="auto" w:sz="4" w:space="0"/>
              <w:right w:val="single" w:color="auto" w:sz="4" w:space="0"/>
            </w:tcBorders>
            <w:shd w:val="clear" w:color="auto" w:fill="auto"/>
            <w:vAlign w:val="center"/>
          </w:tcPr>
          <w:p w14:paraId="766F6B11">
            <w:pPr>
              <w:jc w:val="center"/>
              <w:rPr>
                <w:rFonts w:ascii="宋体" w:hAnsi="宋体" w:cs="宋体"/>
                <w:color w:val="000000"/>
                <w:sz w:val="21"/>
                <w:szCs w:val="21"/>
              </w:rPr>
            </w:pPr>
            <w:r>
              <w:rPr>
                <w:rFonts w:hint="eastAsia" w:ascii="宋体" w:hAnsi="宋体" w:cs="宋体"/>
                <w:color w:val="000000"/>
                <w:sz w:val="21"/>
                <w:szCs w:val="21"/>
              </w:rPr>
              <w:t>全国</w:t>
            </w:r>
          </w:p>
        </w:tc>
        <w:tc>
          <w:tcPr>
            <w:tcW w:w="2231" w:type="dxa"/>
            <w:tcBorders>
              <w:top w:val="nil"/>
              <w:left w:val="nil"/>
              <w:bottom w:val="single" w:color="auto" w:sz="4" w:space="0"/>
              <w:right w:val="single" w:color="auto" w:sz="4" w:space="0"/>
            </w:tcBorders>
            <w:shd w:val="clear" w:color="auto" w:fill="auto"/>
            <w:noWrap/>
            <w:vAlign w:val="center"/>
          </w:tcPr>
          <w:p w14:paraId="2B6B5247">
            <w:pPr>
              <w:rPr>
                <w:rFonts w:ascii="宋体" w:hAnsi="宋体" w:cs="宋体"/>
                <w:color w:val="000000"/>
                <w:sz w:val="22"/>
                <w:szCs w:val="22"/>
              </w:rPr>
            </w:pPr>
            <w:r>
              <w:rPr>
                <w:rFonts w:hint="eastAsia" w:ascii="宋体" w:hAnsi="宋体" w:cs="宋体"/>
                <w:color w:val="000000"/>
                <w:sz w:val="22"/>
                <w:szCs w:val="22"/>
              </w:rPr>
              <w:t>包裹打包、贴面单、其他关联服务等</w:t>
            </w:r>
          </w:p>
        </w:tc>
        <w:tc>
          <w:tcPr>
            <w:tcW w:w="1454" w:type="dxa"/>
            <w:tcBorders>
              <w:top w:val="nil"/>
              <w:left w:val="nil"/>
              <w:bottom w:val="single" w:color="auto" w:sz="4" w:space="0"/>
              <w:right w:val="single" w:color="auto" w:sz="4" w:space="0"/>
            </w:tcBorders>
            <w:shd w:val="clear" w:color="auto" w:fill="auto"/>
            <w:vAlign w:val="center"/>
          </w:tcPr>
          <w:p w14:paraId="4F40453C">
            <w:pPr>
              <w:jc w:val="both"/>
              <w:rPr>
                <w:rFonts w:ascii="宋体" w:hAnsi="宋体" w:cs="宋体"/>
                <w:color w:val="000000"/>
                <w:sz w:val="21"/>
                <w:szCs w:val="21"/>
              </w:rPr>
            </w:pPr>
            <w:r>
              <w:rPr>
                <w:rFonts w:hint="eastAsia" w:ascii="宋体" w:hAnsi="宋体" w:cs="宋体"/>
                <w:color w:val="000000"/>
                <w:sz w:val="21"/>
                <w:szCs w:val="21"/>
              </w:rPr>
              <w:t>电商客户</w:t>
            </w:r>
          </w:p>
        </w:tc>
      </w:tr>
    </w:tbl>
    <w:p w14:paraId="57402891">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lang w:eastAsia="zh-CN"/>
        </w:rPr>
        <w:t>2025</w:t>
      </w:r>
      <w:r>
        <w:rPr>
          <w:rFonts w:hint="eastAsia" w:ascii="宋体" w:hAnsi="宋体" w:cs="宋体"/>
          <w:b/>
        </w:rPr>
        <w:t>年电子商务货量年度预测：</w:t>
      </w:r>
    </w:p>
    <w:p w14:paraId="53612B5A">
      <w:pPr>
        <w:pStyle w:val="64"/>
        <w:widowControl w:val="0"/>
        <w:spacing w:line="360" w:lineRule="auto"/>
        <w:ind w:left="425" w:firstLine="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全国总计约</w:t>
      </w:r>
      <w:r>
        <w:rPr>
          <w:rFonts w:hint="eastAsia" w:ascii="宋体" w:hAnsi="宋体"/>
          <w:color w:val="000000" w:themeColor="text1"/>
          <w:sz w:val="24"/>
          <w:szCs w:val="24"/>
          <w:lang w:val="en-US" w:eastAsia="zh-CN"/>
          <w14:textFill>
            <w14:solidFill>
              <w14:schemeClr w14:val="tx1"/>
            </w14:solidFill>
          </w14:textFill>
        </w:rPr>
        <w:t>130</w:t>
      </w:r>
      <w:r>
        <w:rPr>
          <w:rFonts w:hint="eastAsia" w:ascii="宋体" w:hAnsi="宋体"/>
          <w:color w:val="000000" w:themeColor="text1"/>
          <w:sz w:val="24"/>
          <w:szCs w:val="24"/>
          <w14:textFill>
            <w14:solidFill>
              <w14:schemeClr w14:val="tx1"/>
            </w14:solidFill>
          </w14:textFill>
        </w:rPr>
        <w:t>万件</w:t>
      </w:r>
      <w:r>
        <w:rPr>
          <w:rFonts w:ascii="宋体" w:hAnsi="宋体"/>
          <w:color w:val="000000" w:themeColor="text1"/>
          <w:sz w:val="24"/>
          <w:szCs w:val="24"/>
          <w14:textFill>
            <w14:solidFill>
              <w14:schemeClr w14:val="tx1"/>
            </w14:solidFill>
          </w14:textFill>
        </w:rPr>
        <w:t>包裹</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，其中华东</w:t>
      </w:r>
      <w:r>
        <w:rPr>
          <w:rFonts w:hint="eastAsia" w:ascii="宋体" w:hAnsi="宋体"/>
          <w:color w:val="000000" w:themeColor="text1"/>
          <w:sz w:val="24"/>
          <w:szCs w:val="24"/>
          <w14:textFill>
            <w14:solidFill>
              <w14:schemeClr w14:val="tx1"/>
            </w14:solidFill>
          </w14:textFill>
        </w:rPr>
        <w:t>约</w:t>
      </w:r>
      <w:r>
        <w:rPr>
          <w:rFonts w:hint="eastAsia" w:ascii="宋体" w:hAnsi="宋体"/>
          <w:color w:val="000000" w:themeColor="text1"/>
          <w:sz w:val="24"/>
          <w:szCs w:val="24"/>
          <w:lang w:val="en-US" w:eastAsia="zh-CN"/>
          <w14:textFill>
            <w14:solidFill>
              <w14:schemeClr w14:val="tx1"/>
            </w14:solidFill>
          </w14:textFill>
        </w:rPr>
        <w:t>85</w:t>
      </w:r>
      <w:r>
        <w:rPr>
          <w:rFonts w:hint="eastAsia" w:ascii="宋体" w:hAnsi="宋体"/>
          <w:color w:val="000000" w:themeColor="text1"/>
          <w:sz w:val="24"/>
          <w:szCs w:val="24"/>
          <w14:textFill>
            <w14:solidFill>
              <w14:schemeClr w14:val="tx1"/>
            </w14:solidFill>
          </w14:textFill>
        </w:rPr>
        <w:t>万</w:t>
      </w:r>
      <w:r>
        <w:rPr>
          <w:rFonts w:ascii="宋体" w:hAnsi="宋体"/>
          <w:color w:val="000000" w:themeColor="text1"/>
          <w:sz w:val="24"/>
          <w:szCs w:val="24"/>
          <w14:textFill>
            <w14:solidFill>
              <w14:schemeClr w14:val="tx1"/>
            </w14:solidFill>
          </w14:textFill>
        </w:rPr>
        <w:t>件</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，外围</w:t>
      </w:r>
      <w:r>
        <w:rPr>
          <w:rFonts w:hint="eastAsia" w:ascii="宋体" w:hAnsi="宋体"/>
          <w:color w:val="000000" w:themeColor="text1"/>
          <w:sz w:val="24"/>
          <w:szCs w:val="24"/>
          <w14:textFill>
            <w14:solidFill>
              <w14:schemeClr w14:val="tx1"/>
            </w14:solidFill>
          </w14:textFill>
        </w:rPr>
        <w:t>约</w:t>
      </w:r>
      <w:r>
        <w:rPr>
          <w:rFonts w:hint="eastAsia" w:ascii="宋体" w:hAnsi="宋体"/>
          <w:color w:val="000000" w:themeColor="text1"/>
          <w:sz w:val="24"/>
          <w:szCs w:val="24"/>
          <w:lang w:val="en-US" w:eastAsia="zh-CN"/>
          <w14:textFill>
            <w14:solidFill>
              <w14:schemeClr w14:val="tx1"/>
            </w14:solidFill>
          </w14:textFill>
        </w:rPr>
        <w:t>45</w:t>
      </w:r>
      <w:r>
        <w:rPr>
          <w:rFonts w:hint="eastAsia" w:ascii="宋体" w:hAnsi="宋体"/>
          <w:color w:val="000000" w:themeColor="text1"/>
          <w:sz w:val="24"/>
          <w:szCs w:val="24"/>
          <w14:textFill>
            <w14:solidFill>
              <w14:schemeClr w14:val="tx1"/>
            </w14:solidFill>
          </w14:textFill>
        </w:rPr>
        <w:t>万件/年。</w:t>
      </w:r>
    </w:p>
    <w:p w14:paraId="51C8EC05">
      <w:pPr>
        <w:widowControl w:val="0"/>
        <w:tabs>
          <w:tab w:val="left" w:pos="425"/>
          <w:tab w:val="left" w:pos="851"/>
        </w:tabs>
        <w:spacing w:line="360" w:lineRule="auto"/>
        <w:ind w:firstLine="964" w:firstLineChars="400"/>
        <w:jc w:val="both"/>
        <w:rPr>
          <w:rFonts w:ascii="宋体" w:cs="宋体"/>
          <w:b/>
        </w:rPr>
      </w:pPr>
      <w:r>
        <w:rPr>
          <w:rFonts w:hint="eastAsia" w:ascii="宋体" w:hAnsi="宋体" w:cs="宋体"/>
          <w:b/>
        </w:rPr>
        <w:t>服务要求：</w:t>
      </w:r>
    </w:p>
    <w:p w14:paraId="24134AD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132BF25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17FC4587">
      <w:pPr>
        <w:widowControl w:val="0"/>
        <w:numPr>
          <w:ilvl w:val="2"/>
          <w:numId w:val="1"/>
        </w:numPr>
        <w:tabs>
          <w:tab w:val="left" w:pos="851"/>
          <w:tab w:val="clear" w:pos="709"/>
        </w:tabs>
        <w:spacing w:line="360" w:lineRule="auto"/>
        <w:ind w:left="851" w:hanging="851"/>
        <w:jc w:val="both"/>
      </w:pPr>
      <w:r>
        <w:rPr>
          <w:rFonts w:hint="eastAsia" w:ascii="宋体" w:hAnsi="宋体"/>
        </w:rPr>
        <w:t>服务时限要求：必须在收到</w:t>
      </w:r>
      <w:r>
        <w:rPr>
          <w:rStyle w:val="23"/>
          <w:rFonts w:hint="eastAsia"/>
          <w:color w:val="auto"/>
          <w:u w:val="none"/>
        </w:rPr>
        <w:t>我公司</w:t>
      </w:r>
      <w:r>
        <w:rPr>
          <w:rFonts w:hint="eastAsia" w:ascii="宋体" w:hAnsi="宋体"/>
        </w:rPr>
        <w:t>订单后最迟</w:t>
      </w:r>
      <w:r>
        <w:rPr>
          <w:rFonts w:hint="eastAsia" w:ascii="宋体" w:hAnsi="宋体"/>
          <w:lang w:val="en-US" w:eastAsia="zh-CN"/>
        </w:rPr>
        <w:t>24</w:t>
      </w:r>
      <w:r>
        <w:rPr>
          <w:rFonts w:hint="eastAsia" w:ascii="宋体" w:hAnsi="宋体"/>
        </w:rPr>
        <w:t xml:space="preserve">小时之内完成发货。            </w:t>
      </w:r>
      <w:r>
        <w:t>拆单：平台订单产品重量10公斤以内的</w:t>
      </w:r>
      <w:r>
        <w:rPr>
          <w:rFonts w:hint="eastAsia"/>
        </w:rPr>
        <w:t>，</w:t>
      </w:r>
      <w:r>
        <w:t>未经</w:t>
      </w:r>
      <w:r>
        <w:rPr>
          <w:rStyle w:val="23"/>
          <w:rFonts w:hint="eastAsia"/>
          <w:color w:val="auto"/>
          <w:u w:val="none"/>
        </w:rPr>
        <w:t>我公司</w:t>
      </w:r>
      <w:r>
        <w:t>书面同意不得擅自拆单</w:t>
      </w:r>
      <w:r>
        <w:rPr>
          <w:rFonts w:hint="eastAsia" w:ascii="宋体" w:hAnsi="宋体"/>
        </w:rPr>
        <w:t>。</w:t>
      </w:r>
    </w:p>
    <w:p w14:paraId="44040AA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6A1AAFB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1CD3FF03">
      <w:pPr>
        <w:widowControl w:val="0"/>
        <w:numPr>
          <w:ilvl w:val="2"/>
          <w:numId w:val="1"/>
        </w:numPr>
        <w:tabs>
          <w:tab w:val="left" w:pos="851"/>
          <w:tab w:val="clear" w:pos="709"/>
        </w:tabs>
        <w:spacing w:line="360" w:lineRule="auto"/>
        <w:ind w:left="851" w:hanging="851"/>
        <w:jc w:val="both"/>
      </w:pPr>
      <w:r>
        <w:rPr>
          <w:rStyle w:val="23"/>
          <w:rFonts w:hint="eastAsia"/>
          <w:color w:val="auto"/>
          <w:u w:val="none"/>
        </w:rPr>
        <w:t>提供全年全天候配送，保障春节等节假日正常配送，对旺季配送应有应急预案，提供保质保量和高效的物流服务。</w:t>
      </w:r>
    </w:p>
    <w:p w14:paraId="0BEACF6A">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14:paraId="4A23C743">
      <w:pPr>
        <w:widowControl w:val="0"/>
        <w:spacing w:line="360" w:lineRule="auto"/>
        <w:jc w:val="both"/>
        <w:rPr>
          <w:rStyle w:val="23"/>
          <w:color w:val="auto"/>
          <w:u w:val="none"/>
        </w:rPr>
      </w:pPr>
    </w:p>
    <w:p w14:paraId="59A02031">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6EFFE33F">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69BDD3DB">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32756F0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5E30F35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16F38F3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招标办事机构：上海东冠纸业有限公司采购部。</w:t>
      </w:r>
    </w:p>
    <w:p w14:paraId="18C9350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7A04FCED">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2B1EB0ED">
      <w:pPr>
        <w:spacing w:line="360" w:lineRule="auto"/>
        <w:ind w:right="-159" w:firstLine="840" w:firstLineChars="350"/>
        <w:rPr>
          <w:rFonts w:hint="eastAsia" w:ascii="宋体" w:hAnsi="宋体"/>
          <w:lang w:val="en-US" w:eastAsia="zh-CN"/>
        </w:rPr>
      </w:pPr>
      <w:r>
        <w:rPr>
          <w:rFonts w:hint="eastAsia" w:ascii="宋体" w:hAnsi="宋体"/>
        </w:rPr>
        <w:t>招标联系人：</w:t>
      </w:r>
      <w:r>
        <w:rPr>
          <w:rFonts w:hint="eastAsia" w:ascii="宋体" w:hAnsi="宋体"/>
          <w:lang w:val="en-US" w:eastAsia="zh-CN"/>
        </w:rPr>
        <w:t>严政会</w:t>
      </w:r>
    </w:p>
    <w:p w14:paraId="2C2FAF36">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w:t>
      </w:r>
      <w:r>
        <w:rPr>
          <w:rFonts w:hint="eastAsia" w:ascii="宋体" w:hAnsi="宋体"/>
          <w:lang w:val="en-US" w:eastAsia="zh-CN"/>
        </w:rPr>
        <w:t>15618508085</w:t>
      </w:r>
    </w:p>
    <w:p w14:paraId="3C617266">
      <w:pPr>
        <w:spacing w:line="360" w:lineRule="auto"/>
        <w:ind w:right="-159" w:firstLine="840" w:firstLineChars="350"/>
        <w:rPr>
          <w:rFonts w:ascii="宋体"/>
        </w:rPr>
      </w:pPr>
      <w:r>
        <w:rPr>
          <w:rFonts w:hint="eastAsia" w:ascii="宋体" w:hAnsi="宋体"/>
        </w:rPr>
        <w:t>邮箱：</w:t>
      </w:r>
      <w:r>
        <w:rPr>
          <w:rFonts w:hint="eastAsia" w:ascii="宋体" w:hAnsi="宋体"/>
          <w:lang w:val="en-US" w:eastAsia="zh-CN"/>
        </w:rPr>
        <w:t>yanzh</w:t>
      </w:r>
      <w:r>
        <w:rPr>
          <w:rFonts w:hint="eastAsia" w:ascii="宋体" w:hAnsi="宋体"/>
        </w:rPr>
        <w:t>@socp.com.cn</w:t>
      </w:r>
    </w:p>
    <w:p w14:paraId="67051CC9">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月上旬</w:t>
      </w:r>
    </w:p>
    <w:p w14:paraId="4A2E345E">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09313E17">
      <w:pPr>
        <w:spacing w:line="360" w:lineRule="auto"/>
        <w:ind w:firstLine="480" w:firstLineChars="200"/>
        <w:rPr>
          <w:rStyle w:val="23"/>
          <w:color w:val="auto"/>
          <w:u w:val="none"/>
        </w:rPr>
      </w:pPr>
    </w:p>
    <w:p w14:paraId="4127B905">
      <w:pPr>
        <w:pStyle w:val="3"/>
        <w:widowControl w:val="0"/>
        <w:numPr>
          <w:ilvl w:val="0"/>
          <w:numId w:val="1"/>
        </w:numPr>
        <w:jc w:val="center"/>
        <w:rPr>
          <w:rStyle w:val="23"/>
          <w:color w:val="auto"/>
          <w:u w:val="none"/>
        </w:rPr>
      </w:pPr>
      <w:bookmarkStart w:id="36" w:name="_Toc51057516"/>
      <w:bookmarkStart w:id="37" w:name="_Toc51142831"/>
      <w:bookmarkStart w:id="38" w:name="_Toc56046415"/>
      <w:bookmarkStart w:id="39" w:name="_Toc51054112"/>
      <w:bookmarkStart w:id="40" w:name="_Toc55988828"/>
      <w:bookmarkStart w:id="41" w:name="_Toc50525879"/>
      <w:bookmarkStart w:id="42" w:name="_Toc350519237"/>
      <w:bookmarkStart w:id="43" w:name="_Toc56052019"/>
      <w:bookmarkStart w:id="44" w:name="_Toc59872427"/>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2BF1D0CB">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76E3C0F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1A6F30BB">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36AD3DC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2F284FA4">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38841794">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3E8949CE">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33E130C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61197DC3">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29FA8D83">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0C13B51B">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6B179077">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020E2643">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73DE83B8">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3A703091">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7D040BDB">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1F47C0F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1EC215CD">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w:t>
      </w:r>
      <w:r>
        <w:rPr>
          <w:rStyle w:val="23"/>
          <w:rFonts w:hint="eastAsia"/>
          <w:color w:val="auto"/>
          <w:highlight w:val="yellow"/>
          <w:u w:val="none"/>
        </w:rPr>
        <w:t>另加</w:t>
      </w:r>
      <w:r>
        <w:rPr>
          <w:rStyle w:val="23"/>
          <w:color w:val="auto"/>
          <w:highlight w:val="yellow"/>
          <w:u w:val="none"/>
        </w:rPr>
        <w:t>U</w:t>
      </w:r>
      <w:r>
        <w:rPr>
          <w:rStyle w:val="23"/>
          <w:rFonts w:hint="eastAsia"/>
          <w:color w:val="auto"/>
          <w:highlight w:val="yellow"/>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16CB260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0A7F8CA1">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5A42B00A">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 为</w:t>
      </w:r>
      <w:r>
        <w:rPr>
          <w:rStyle w:val="23"/>
          <w:color w:val="auto"/>
          <w:u w:val="none"/>
        </w:rPr>
        <w:t>90</w:t>
      </w:r>
      <w:r>
        <w:rPr>
          <w:rStyle w:val="23"/>
          <w:rFonts w:hint="eastAsia"/>
          <w:color w:val="auto"/>
          <w:u w:val="none"/>
        </w:rPr>
        <w:t>天（从标书提交截止日起算）</w:t>
      </w:r>
    </w:p>
    <w:p w14:paraId="4B68484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105B9F33">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5E92AF4">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F71888">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1374EB4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0773D74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1633E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28D2FE5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174110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057E3C34">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56D85C7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5616A86">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5407038">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41DF08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1BA06E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74C51562">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7D250CE">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42AAC20A">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6A72C095">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32ED2E3D">
      <w:pPr>
        <w:widowControl w:val="0"/>
        <w:spacing w:line="360" w:lineRule="auto"/>
        <w:jc w:val="both"/>
        <w:rPr>
          <w:rStyle w:val="23"/>
          <w:color w:val="auto"/>
          <w:u w:val="none"/>
        </w:rPr>
      </w:pPr>
    </w:p>
    <w:p w14:paraId="2202DCF8">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62E3E045">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5B1FB086">
      <w:pPr>
        <w:spacing w:line="360" w:lineRule="auto"/>
        <w:ind w:firstLine="853" w:firstLineChars="354"/>
        <w:rPr>
          <w:rStyle w:val="23"/>
          <w:b/>
          <w:color w:val="auto"/>
          <w:u w:val="none"/>
        </w:rPr>
      </w:pPr>
      <w:r>
        <w:rPr>
          <w:rStyle w:val="23"/>
          <w:rFonts w:hint="eastAsia"/>
          <w:b/>
          <w:color w:val="auto"/>
          <w:u w:val="none"/>
        </w:rPr>
        <w:t>附件一：投标函格式</w:t>
      </w:r>
    </w:p>
    <w:p w14:paraId="69C3EF60">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1CC328E4">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060485B4">
      <w:pPr>
        <w:spacing w:line="360" w:lineRule="auto"/>
        <w:ind w:firstLine="853" w:firstLineChars="354"/>
        <w:rPr>
          <w:rStyle w:val="23"/>
          <w:b/>
          <w:color w:val="auto"/>
          <w:u w:val="none"/>
        </w:rPr>
      </w:pPr>
      <w:r>
        <w:rPr>
          <w:rStyle w:val="23"/>
          <w:rFonts w:hint="eastAsia"/>
          <w:b/>
          <w:color w:val="auto"/>
          <w:u w:val="none"/>
        </w:rPr>
        <w:t>附件四：报价表格式</w:t>
      </w:r>
    </w:p>
    <w:p w14:paraId="7689F9D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2641C64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4461701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6915B5FC">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00F3750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16DCE695">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lang w:eastAsia="zh-CN"/>
        </w:rPr>
        <w:t>电子商务（大宝系统）物流</w:t>
      </w:r>
      <w:r>
        <w:rPr>
          <w:rFonts w:hint="eastAsia" w:ascii="宋体" w:hAnsi="宋体" w:cs="宋体"/>
          <w:b/>
        </w:rPr>
        <w:t>”</w:t>
      </w:r>
      <w:r>
        <w:rPr>
          <w:rFonts w:hint="eastAsia" w:ascii="宋体" w:hAnsi="宋体" w:cs="宋体"/>
        </w:rPr>
        <w:t>字样</w:t>
      </w:r>
      <w:r>
        <w:rPr>
          <w:rStyle w:val="23"/>
          <w:rFonts w:hint="eastAsia"/>
          <w:b/>
          <w:color w:val="auto"/>
          <w:u w:val="none"/>
        </w:rPr>
        <w:t>。</w:t>
      </w:r>
    </w:p>
    <w:p w14:paraId="3386AA9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504B1445">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 xml:space="preserve">8 </w:t>
      </w:r>
      <w:r>
        <w:rPr>
          <w:rStyle w:val="23"/>
          <w:rFonts w:hint="eastAsia"/>
          <w:b/>
          <w:color w:val="auto"/>
          <w:u w:val="none"/>
        </w:rPr>
        <w:t>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（以邮戳为准）送达上海东冠纸业有限公司采购部，地址：上海市金山区亭林镇林慧路1000号，邮编：201505。一切迟到的投标文件都将被拒绝。</w:t>
      </w:r>
    </w:p>
    <w:p w14:paraId="6B55801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4A2076A8">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5A74E5C5">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519F8F22">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7142D9A6">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2CA4AE64">
      <w:pPr>
        <w:widowControl w:val="0"/>
        <w:numPr>
          <w:ilvl w:val="0"/>
          <w:numId w:val="2"/>
        </w:numPr>
        <w:spacing w:line="360" w:lineRule="auto"/>
        <w:jc w:val="both"/>
        <w:rPr>
          <w:color w:val="0000FF"/>
          <w:u w:val="single"/>
        </w:rPr>
      </w:pPr>
      <w:r>
        <w:rPr>
          <w:rStyle w:val="23"/>
          <w:rFonts w:hint="eastAsia"/>
          <w:color w:val="auto"/>
          <w:u w:val="none"/>
        </w:rPr>
        <w:t>附条件的投标。</w:t>
      </w:r>
    </w:p>
    <w:p w14:paraId="44C2FA2F">
      <w:pPr>
        <w:pStyle w:val="3"/>
        <w:widowControl w:val="0"/>
        <w:numPr>
          <w:ilvl w:val="0"/>
          <w:numId w:val="1"/>
        </w:numPr>
        <w:jc w:val="center"/>
        <w:rPr>
          <w:rStyle w:val="23"/>
          <w:color w:val="auto"/>
          <w:u w:val="none"/>
        </w:rPr>
      </w:pPr>
      <w:bookmarkStart w:id="45" w:name="_Toc51057517"/>
      <w:bookmarkStart w:id="46" w:name="_Toc51054113"/>
      <w:bookmarkStart w:id="47" w:name="_Toc50525880"/>
      <w:bookmarkStart w:id="48" w:name="_Toc51142832"/>
      <w:bookmarkStart w:id="49" w:name="_Toc56052020"/>
      <w:bookmarkStart w:id="50" w:name="_Toc350519238"/>
      <w:bookmarkStart w:id="51" w:name="_Toc59872428"/>
      <w:bookmarkStart w:id="52" w:name="_Toc56046416"/>
      <w:bookmarkStart w:id="53" w:name="_Toc55988829"/>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0704BE5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5C0693E0">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审计、法务、财务、物流、仓储、采购等部门组成评标小组，进行相关开标、评标，根据不同区域及要求，最终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0363DFC8">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298CA23F">
      <w:pPr>
        <w:pStyle w:val="3"/>
        <w:widowControl w:val="0"/>
        <w:numPr>
          <w:ilvl w:val="0"/>
          <w:numId w:val="1"/>
        </w:numPr>
        <w:jc w:val="center"/>
        <w:rPr>
          <w:rStyle w:val="23"/>
          <w:rFonts w:ascii="黑体"/>
          <w:color w:val="auto"/>
          <w:u w:val="none"/>
        </w:rPr>
      </w:pPr>
      <w:bookmarkStart w:id="54" w:name="_Toc59872429"/>
      <w:bookmarkStart w:id="55" w:name="_Toc56052021"/>
      <w:bookmarkStart w:id="56" w:name="_Toc56046417"/>
      <w:bookmarkStart w:id="57" w:name="_Toc51142833"/>
      <w:bookmarkStart w:id="58" w:name="_Toc350519239"/>
      <w:bookmarkStart w:id="59" w:name="_Toc55988830"/>
      <w:r>
        <w:rPr>
          <w:rStyle w:val="23"/>
          <w:rFonts w:hint="eastAsia" w:ascii="黑体"/>
          <w:color w:val="auto"/>
          <w:u w:val="none"/>
        </w:rPr>
        <w:t>评标</w:t>
      </w:r>
      <w:bookmarkEnd w:id="54"/>
      <w:bookmarkEnd w:id="55"/>
      <w:bookmarkEnd w:id="56"/>
      <w:bookmarkEnd w:id="57"/>
      <w:bookmarkEnd w:id="58"/>
      <w:bookmarkEnd w:id="59"/>
    </w:p>
    <w:p w14:paraId="1339134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0FA50361">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487F546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57D543F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2B9E1B93">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6B94A7F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40FDDA6C">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65B1339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11D60D50">
      <w:pPr>
        <w:widowControl w:val="0"/>
        <w:spacing w:line="360" w:lineRule="auto"/>
        <w:ind w:left="851"/>
        <w:jc w:val="both"/>
        <w:rPr>
          <w:rStyle w:val="23"/>
          <w:color w:val="auto"/>
          <w:u w:val="none"/>
        </w:rPr>
      </w:pPr>
      <w:r>
        <w:rPr>
          <w:rStyle w:val="23"/>
          <w:rFonts w:hint="eastAsia"/>
          <w:color w:val="auto"/>
          <w:u w:val="none"/>
        </w:rPr>
        <w:t>报价：</w:t>
      </w:r>
      <w:r>
        <w:rPr>
          <w:rStyle w:val="23"/>
          <w:rFonts w:hint="eastAsia"/>
          <w:color w:val="auto"/>
          <w:u w:val="none"/>
          <w:lang w:val="en-US" w:eastAsia="zh-CN"/>
        </w:rPr>
        <w:t>65</w:t>
      </w:r>
      <w:r>
        <w:rPr>
          <w:rStyle w:val="23"/>
          <w:rFonts w:hint="eastAsia"/>
          <w:color w:val="auto"/>
          <w:u w:val="none"/>
        </w:rPr>
        <w:t>%</w:t>
      </w:r>
    </w:p>
    <w:p w14:paraId="5BC976F3">
      <w:pPr>
        <w:widowControl w:val="0"/>
        <w:spacing w:line="360" w:lineRule="auto"/>
        <w:ind w:left="851"/>
        <w:jc w:val="both"/>
        <w:rPr>
          <w:rStyle w:val="23"/>
          <w:color w:val="auto"/>
          <w:u w:val="none"/>
        </w:rPr>
      </w:pPr>
      <w:r>
        <w:rPr>
          <w:rStyle w:val="23"/>
          <w:rFonts w:hint="eastAsia"/>
          <w:color w:val="auto"/>
          <w:u w:val="none"/>
        </w:rPr>
        <w:t>服务能力：是否从事生活用纸等快速消费品行业的区域配送业务。</w:t>
      </w:r>
      <w:r>
        <w:rPr>
          <w:rStyle w:val="23"/>
          <w:rFonts w:hint="eastAsia"/>
          <w:color w:val="auto"/>
          <w:u w:val="none"/>
          <w:lang w:val="en-US" w:eastAsia="zh-CN"/>
        </w:rPr>
        <w:t>35</w:t>
      </w:r>
      <w:r>
        <w:rPr>
          <w:rStyle w:val="23"/>
          <w:rFonts w:hint="eastAsia"/>
          <w:color w:val="auto"/>
          <w:u w:val="none"/>
        </w:rPr>
        <w:t>%</w:t>
      </w:r>
    </w:p>
    <w:p w14:paraId="5AE52DA7">
      <w:pPr>
        <w:widowControl w:val="0"/>
        <w:spacing w:line="360" w:lineRule="auto"/>
        <w:ind w:left="851"/>
        <w:jc w:val="both"/>
        <w:rPr>
          <w:rStyle w:val="23"/>
          <w:color w:val="auto"/>
          <w:u w:val="none"/>
        </w:rPr>
      </w:pPr>
    </w:p>
    <w:p w14:paraId="251556A8">
      <w:pPr>
        <w:widowControl w:val="0"/>
        <w:spacing w:line="360" w:lineRule="auto"/>
        <w:ind w:left="851"/>
        <w:jc w:val="both"/>
        <w:rPr>
          <w:rFonts w:ascii="宋体"/>
        </w:rPr>
      </w:pPr>
      <w:bookmarkStart w:id="60" w:name="_Toc59872430"/>
      <w:bookmarkStart w:id="61" w:name="_Toc51054114"/>
      <w:bookmarkStart w:id="62" w:name="_Toc50525881"/>
      <w:bookmarkStart w:id="63" w:name="_Toc56046418"/>
      <w:bookmarkStart w:id="64" w:name="_Toc55988831"/>
      <w:bookmarkStart w:id="65" w:name="_Toc51057518"/>
      <w:bookmarkStart w:id="66" w:name="_Toc56052022"/>
      <w:bookmarkStart w:id="67" w:name="_Toc51142834"/>
      <w:r>
        <w:rPr>
          <w:rStyle w:val="23"/>
          <w:rFonts w:hint="eastAsia"/>
          <w:color w:val="auto"/>
          <w:u w:val="none"/>
        </w:rPr>
        <w:t>按得分高低确定候选中标者，招标方件择日对候选中标者进行询问、实地考察，候选中标人必须</w:t>
      </w:r>
      <w:bookmarkStart w:id="111" w:name="_GoBack"/>
      <w:bookmarkEnd w:id="111"/>
      <w:r>
        <w:rPr>
          <w:rStyle w:val="23"/>
          <w:rFonts w:hint="eastAsia"/>
          <w:color w:val="auto"/>
          <w:u w:val="none"/>
        </w:rPr>
        <w:t>如实回答和接受询问或考察，提供所需的相关资料，招标领导小</w:t>
      </w:r>
      <w:r>
        <w:rPr>
          <w:rFonts w:hint="eastAsia" w:ascii="宋体" w:hAnsi="宋体"/>
        </w:rPr>
        <w:t>组综合决定中标人，招标单位对未中标者不做解释。</w:t>
      </w:r>
    </w:p>
    <w:p w14:paraId="3EAA2F97">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21F0956A">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25A0CA0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月上旬与中标者签订相关物流合同，合同签约期为一年半。即：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202</w:t>
      </w:r>
      <w:r>
        <w:rPr>
          <w:rStyle w:val="23"/>
          <w:rFonts w:hint="eastAsia"/>
          <w:color w:val="auto"/>
          <w:u w:val="none"/>
          <w:lang w:val="en-US" w:eastAsia="zh-CN"/>
        </w:rPr>
        <w:t>6</w:t>
      </w:r>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30</w:t>
      </w:r>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2472D25F">
      <w:pPr>
        <w:pStyle w:val="3"/>
        <w:widowControl w:val="0"/>
        <w:numPr>
          <w:ilvl w:val="0"/>
          <w:numId w:val="1"/>
        </w:numPr>
        <w:jc w:val="center"/>
        <w:rPr>
          <w:rStyle w:val="23"/>
          <w:color w:val="auto"/>
          <w:u w:val="none"/>
        </w:rPr>
      </w:pPr>
      <w:bookmarkStart w:id="69" w:name="_Toc56052023"/>
      <w:bookmarkStart w:id="70" w:name="_Toc56046419"/>
      <w:bookmarkStart w:id="71" w:name="_Toc59872431"/>
      <w:bookmarkStart w:id="72" w:name="_Toc50525882"/>
      <w:bookmarkStart w:id="73" w:name="_Toc51057519"/>
      <w:bookmarkStart w:id="74" w:name="_Toc55988832"/>
      <w:bookmarkStart w:id="75" w:name="_Toc350519241"/>
      <w:bookmarkStart w:id="76" w:name="_Toc51142835"/>
      <w:bookmarkStart w:id="77" w:name="_Toc51054115"/>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63FD54F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08B1420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133EC62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6A44CE8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6CB44E1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5C24868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004A79B6">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442BEE38">
      <w:pPr>
        <w:pStyle w:val="37"/>
        <w:snapToGrid w:val="0"/>
        <w:ind w:left="718" w:leftChars="49" w:hanging="600" w:hangingChars="250"/>
        <w:rPr>
          <w:rFonts w:ascii="宋体" w:hAnsi="宋体"/>
        </w:rPr>
      </w:pPr>
      <w:bookmarkStart w:id="78" w:name="_Toc51054116"/>
      <w:bookmarkStart w:id="79" w:name="_Toc51060694"/>
      <w:bookmarkStart w:id="80" w:name="_Toc51057520"/>
      <w:bookmarkStart w:id="81" w:name="_Toc50525883"/>
      <w:bookmarkStart w:id="82" w:name="_Toc59876733"/>
      <w:bookmarkStart w:id="83" w:name="_Toc51142836"/>
    </w:p>
    <w:p w14:paraId="645EAF89">
      <w:pPr>
        <w:pStyle w:val="37"/>
        <w:snapToGrid w:val="0"/>
        <w:rPr>
          <w:rFonts w:ascii="宋体" w:hAnsi="宋体"/>
        </w:rPr>
      </w:pPr>
    </w:p>
    <w:p w14:paraId="1F811727"/>
    <w:p w14:paraId="3661FABA">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67DC76F4">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0FCC5020">
      <w:pPr>
        <w:spacing w:line="360" w:lineRule="auto"/>
        <w:ind w:firstLine="3424" w:firstLineChars="1427"/>
        <w:rPr>
          <w:rStyle w:val="23"/>
        </w:rPr>
      </w:pPr>
    </w:p>
    <w:p w14:paraId="2C2A9B2A">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上海东冠健康用品股份有限公司</w:t>
      </w:r>
    </w:p>
    <w:p w14:paraId="798F754B">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0F93B2B0">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303AC7E8">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5A13CB13">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44626FCB">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0F679B10">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14B45FE6">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66CFBF09">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4AE0BD39">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2AC7FE56">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5574FFC9">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048593FF">
      <w:pPr>
        <w:spacing w:line="360" w:lineRule="auto"/>
        <w:rPr>
          <w:rStyle w:val="23"/>
          <w:color w:val="auto"/>
          <w:u w:val="none"/>
        </w:rPr>
      </w:pPr>
    </w:p>
    <w:p w14:paraId="138B462D">
      <w:pPr>
        <w:spacing w:line="360" w:lineRule="auto"/>
        <w:ind w:firstLine="482" w:firstLineChars="200"/>
        <w:rPr>
          <w:rStyle w:val="23"/>
          <w:b/>
          <w:color w:val="auto"/>
          <w:u w:val="none"/>
        </w:rPr>
      </w:pPr>
      <w:r>
        <w:rPr>
          <w:rStyle w:val="23"/>
          <w:rFonts w:hint="eastAsia"/>
          <w:b/>
          <w:color w:val="auto"/>
          <w:u w:val="none"/>
        </w:rPr>
        <w:t>地址：邮编：</w:t>
      </w:r>
    </w:p>
    <w:p w14:paraId="610FEA16">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3A94419B">
      <w:pPr>
        <w:spacing w:line="360" w:lineRule="auto"/>
        <w:ind w:firstLine="5421" w:firstLineChars="2250"/>
        <w:rPr>
          <w:rStyle w:val="23"/>
          <w:b/>
          <w:color w:val="auto"/>
          <w:u w:val="none"/>
        </w:rPr>
      </w:pPr>
      <w:r>
        <w:rPr>
          <w:rStyle w:val="23"/>
          <w:rFonts w:hint="eastAsia"/>
          <w:b/>
          <w:color w:val="auto"/>
          <w:u w:val="none"/>
        </w:rPr>
        <w:t>年月日</w:t>
      </w:r>
    </w:p>
    <w:p w14:paraId="64A5BB90">
      <w:pPr>
        <w:spacing w:line="360" w:lineRule="auto"/>
        <w:ind w:firstLine="4578" w:firstLineChars="1900"/>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794B3082">
        <w:tblPrEx>
          <w:tblCellMar>
            <w:top w:w="0" w:type="dxa"/>
            <w:left w:w="108" w:type="dxa"/>
            <w:bottom w:w="0" w:type="dxa"/>
            <w:right w:w="108" w:type="dxa"/>
          </w:tblCellMar>
        </w:tblPrEx>
        <w:trPr>
          <w:trHeight w:val="600" w:hRule="atLeast"/>
        </w:trPr>
        <w:tc>
          <w:tcPr>
            <w:tcW w:w="9101" w:type="dxa"/>
            <w:gridSpan w:val="12"/>
            <w:tcBorders>
              <w:top w:val="nil"/>
            </w:tcBorders>
            <w:vAlign w:val="bottom"/>
          </w:tcPr>
          <w:p w14:paraId="45195E80">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附件二：投标单位基本资料表</w:t>
            </w:r>
          </w:p>
        </w:tc>
      </w:tr>
      <w:tr w14:paraId="56F52916">
        <w:tblPrEx>
          <w:tblCellMar>
            <w:top w:w="0" w:type="dxa"/>
            <w:left w:w="108" w:type="dxa"/>
            <w:bottom w:w="0" w:type="dxa"/>
            <w:right w:w="108" w:type="dxa"/>
          </w:tblCellMar>
        </w:tblPrEx>
        <w:trPr>
          <w:trHeight w:val="402" w:hRule="atLeast"/>
        </w:trPr>
        <w:tc>
          <w:tcPr>
            <w:tcW w:w="9101" w:type="dxa"/>
            <w:gridSpan w:val="12"/>
            <w:vAlign w:val="center"/>
          </w:tcPr>
          <w:p w14:paraId="5490ED87">
            <w:pPr>
              <w:pStyle w:val="2"/>
              <w:spacing w:before="100" w:beforeAutospacing="1" w:after="100" w:afterAutospacing="1"/>
              <w:rPr>
                <w:rFonts w:ascii="宋体" w:eastAsia="宋体" w:cs="宋体"/>
                <w:b w:val="0"/>
                <w:bCs/>
              </w:rPr>
            </w:pPr>
            <w:r>
              <w:rPr>
                <w:rStyle w:val="23"/>
                <w:rFonts w:hint="eastAsia"/>
                <w:color w:val="auto"/>
                <w:kern w:val="0"/>
                <w:sz w:val="24"/>
                <w:szCs w:val="24"/>
                <w:u w:val="none"/>
              </w:rPr>
              <w:t>表一：投标单位基本资料表（一）</w:t>
            </w:r>
          </w:p>
        </w:tc>
      </w:tr>
      <w:tr w14:paraId="0450339D">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1636110E">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14:paraId="3338F451">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2B01A40A">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78FEDA96">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6414AD38">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08461996">
            <w:pPr>
              <w:jc w:val="center"/>
              <w:rPr>
                <w:rFonts w:ascii="宋体" w:cs="宋体"/>
                <w:sz w:val="21"/>
                <w:szCs w:val="21"/>
              </w:rPr>
            </w:pPr>
          </w:p>
        </w:tc>
      </w:tr>
      <w:tr w14:paraId="14EF0AB8">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13D8B048">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14:paraId="7AEF6E01">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4E5C10E0">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3D004C99">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4F8760A6">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17939CB2">
            <w:pPr>
              <w:jc w:val="center"/>
              <w:rPr>
                <w:rFonts w:ascii="宋体" w:cs="宋体"/>
                <w:sz w:val="21"/>
                <w:szCs w:val="21"/>
              </w:rPr>
            </w:pPr>
          </w:p>
        </w:tc>
      </w:tr>
      <w:tr w14:paraId="1A2172D3">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317AF535">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14:paraId="551DCD37">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7356A473">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5DEFB813">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5075AB1C">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4D3234D3">
            <w:pPr>
              <w:jc w:val="center"/>
              <w:rPr>
                <w:rFonts w:ascii="宋体" w:cs="宋体"/>
                <w:sz w:val="21"/>
                <w:szCs w:val="21"/>
              </w:rPr>
            </w:pPr>
          </w:p>
        </w:tc>
      </w:tr>
      <w:tr w14:paraId="1776F0D4">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103EB8E9">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14:paraId="51487538">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3C5D67C">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37C23787">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30D8FFC6">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0FD91E95">
            <w:pPr>
              <w:jc w:val="center"/>
              <w:rPr>
                <w:rFonts w:ascii="宋体" w:cs="宋体"/>
                <w:sz w:val="21"/>
                <w:szCs w:val="21"/>
              </w:rPr>
            </w:pPr>
          </w:p>
        </w:tc>
      </w:tr>
      <w:tr w14:paraId="36268BD1">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4901BF6B">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14:paraId="631953DF">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DB37058">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47E9D41C">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707AFE7A">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39817306">
            <w:pPr>
              <w:jc w:val="center"/>
              <w:rPr>
                <w:rFonts w:ascii="宋体" w:cs="宋体"/>
                <w:sz w:val="21"/>
                <w:szCs w:val="21"/>
              </w:rPr>
            </w:pPr>
          </w:p>
        </w:tc>
      </w:tr>
      <w:tr w14:paraId="7A785833">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7FCE9435">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14:paraId="3318B9CE">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14:paraId="569CD3C0">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14:paraId="59744444">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14:paraId="5C6BC489">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2D5FA1D3">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8CFDE43">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14:paraId="698E9C89">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14:paraId="1F1818B3">
            <w:pPr>
              <w:jc w:val="center"/>
              <w:rPr>
                <w:rFonts w:ascii="宋体" w:cs="宋体"/>
                <w:bCs/>
                <w:sz w:val="21"/>
                <w:szCs w:val="21"/>
              </w:rPr>
            </w:pPr>
            <w:r>
              <w:rPr>
                <w:rFonts w:hint="eastAsia" w:ascii="宋体" w:hAnsi="宋体" w:cs="宋体"/>
                <w:bCs/>
                <w:sz w:val="21"/>
                <w:szCs w:val="21"/>
              </w:rPr>
              <w:t>□其他</w:t>
            </w:r>
          </w:p>
        </w:tc>
      </w:tr>
    </w:tbl>
    <w:p w14:paraId="75DCA02C">
      <w:pPr>
        <w:pStyle w:val="2"/>
        <w:spacing w:before="0" w:after="0"/>
        <w:rPr>
          <w:rStyle w:val="23"/>
          <w:color w:val="auto"/>
          <w:kern w:val="0"/>
          <w:sz w:val="24"/>
          <w:szCs w:val="24"/>
          <w:u w:val="none"/>
        </w:rPr>
      </w:pPr>
      <w:r>
        <w:rPr>
          <w:rStyle w:val="23"/>
          <w:rFonts w:hint="eastAsia"/>
          <w:color w:val="auto"/>
          <w:kern w:val="0"/>
          <w:sz w:val="24"/>
          <w:szCs w:val="24"/>
          <w:u w:val="none"/>
        </w:rPr>
        <w:t>表二：投标单位基本资料表（二）</w:t>
      </w:r>
    </w:p>
    <w:tbl>
      <w:tblPr>
        <w:tblStyle w:val="18"/>
        <w:tblW w:w="12670" w:type="dxa"/>
        <w:tblInd w:w="-5" w:type="dxa"/>
        <w:tblLayout w:type="fixed"/>
        <w:tblCellMar>
          <w:top w:w="0" w:type="dxa"/>
          <w:left w:w="108" w:type="dxa"/>
          <w:bottom w:w="0" w:type="dxa"/>
          <w:right w:w="108" w:type="dxa"/>
        </w:tblCellMar>
      </w:tblPr>
      <w:tblGrid>
        <w:gridCol w:w="7"/>
        <w:gridCol w:w="851"/>
        <w:gridCol w:w="142"/>
        <w:gridCol w:w="850"/>
        <w:gridCol w:w="534"/>
        <w:gridCol w:w="236"/>
        <w:gridCol w:w="223"/>
        <w:gridCol w:w="567"/>
        <w:gridCol w:w="567"/>
        <w:gridCol w:w="708"/>
        <w:gridCol w:w="284"/>
        <w:gridCol w:w="850"/>
        <w:gridCol w:w="284"/>
        <w:gridCol w:w="283"/>
        <w:gridCol w:w="426"/>
        <w:gridCol w:w="425"/>
        <w:gridCol w:w="283"/>
        <w:gridCol w:w="369"/>
        <w:gridCol w:w="340"/>
        <w:gridCol w:w="861"/>
        <w:gridCol w:w="239"/>
        <w:gridCol w:w="2025"/>
        <w:gridCol w:w="1080"/>
        <w:gridCol w:w="236"/>
      </w:tblGrid>
      <w:tr w14:paraId="68C60812">
        <w:tblPrEx>
          <w:tblCellMar>
            <w:top w:w="0" w:type="dxa"/>
            <w:left w:w="108" w:type="dxa"/>
            <w:bottom w:w="0" w:type="dxa"/>
            <w:right w:w="108" w:type="dxa"/>
          </w:tblCellMar>
        </w:tblPrEx>
        <w:trPr>
          <w:gridBefore w:val="1"/>
          <w:gridAfter w:val="3"/>
          <w:wBefore w:w="7" w:type="dxa"/>
          <w:wAfter w:w="3341" w:type="dxa"/>
          <w:trHeight w:val="402" w:hRule="atLeast"/>
        </w:trPr>
        <w:tc>
          <w:tcPr>
            <w:tcW w:w="993" w:type="dxa"/>
            <w:gridSpan w:val="2"/>
            <w:tcBorders>
              <w:top w:val="single" w:color="auto" w:sz="4" w:space="0"/>
              <w:left w:val="single" w:color="auto" w:sz="4" w:space="0"/>
              <w:bottom w:val="single" w:color="auto" w:sz="4" w:space="0"/>
              <w:right w:val="single" w:color="auto" w:sz="4" w:space="0"/>
            </w:tcBorders>
            <w:vAlign w:val="center"/>
          </w:tcPr>
          <w:p w14:paraId="2BF9BDBC">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14:paraId="26F0919E">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14:paraId="760F1657">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14:paraId="3BD8ED6F">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14:paraId="0C198F79">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14:paraId="4BA1C7C2">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14:paraId="18793D2A">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14:paraId="7E2C2602">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14:paraId="7EBB0BF1">
            <w:pPr>
              <w:jc w:val="center"/>
              <w:rPr>
                <w:rFonts w:ascii="宋体" w:cs="宋体"/>
                <w:sz w:val="21"/>
                <w:szCs w:val="21"/>
              </w:rPr>
            </w:pPr>
            <w:r>
              <w:rPr>
                <w:rFonts w:hint="eastAsia" w:ascii="宋体" w:hAnsi="宋体" w:cs="宋体"/>
                <w:sz w:val="21"/>
                <w:szCs w:val="21"/>
              </w:rPr>
              <w:t>车辆性质</w:t>
            </w:r>
          </w:p>
        </w:tc>
      </w:tr>
      <w:tr w14:paraId="4D481FC7">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10308D8F">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14:paraId="31B35375">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4795854C">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4E278DA0">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5E7104DF">
            <w:pPr>
              <w:jc w:val="center"/>
              <w:rPr>
                <w:rFonts w:ascii="宋体" w:cs="宋体"/>
              </w:rPr>
            </w:pPr>
          </w:p>
        </w:tc>
        <w:tc>
          <w:tcPr>
            <w:tcW w:w="850" w:type="dxa"/>
            <w:tcBorders>
              <w:top w:val="nil"/>
              <w:left w:val="nil"/>
              <w:bottom w:val="single" w:color="auto" w:sz="4" w:space="0"/>
              <w:right w:val="single" w:color="auto" w:sz="4" w:space="0"/>
            </w:tcBorders>
            <w:vAlign w:val="center"/>
          </w:tcPr>
          <w:p w14:paraId="30D4BF5F">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6CBE699D">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5FE69E86">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2D5C6980">
            <w:pPr>
              <w:jc w:val="center"/>
              <w:rPr>
                <w:rFonts w:ascii="宋体" w:cs="宋体"/>
                <w:sz w:val="21"/>
                <w:szCs w:val="21"/>
              </w:rPr>
            </w:pPr>
            <w:r>
              <w:rPr>
                <w:rFonts w:hint="eastAsia" w:ascii="宋体" w:hAnsi="宋体" w:cs="宋体"/>
                <w:sz w:val="21"/>
                <w:szCs w:val="21"/>
              </w:rPr>
              <w:t>□自有□租赁□协议</w:t>
            </w:r>
          </w:p>
        </w:tc>
      </w:tr>
      <w:tr w14:paraId="77A74A26">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62F7EBAF">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14:paraId="5C1982F9">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9C26199">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11270DF1">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224E847C">
            <w:pPr>
              <w:jc w:val="center"/>
              <w:rPr>
                <w:rFonts w:ascii="宋体" w:cs="宋体"/>
              </w:rPr>
            </w:pPr>
          </w:p>
        </w:tc>
        <w:tc>
          <w:tcPr>
            <w:tcW w:w="850" w:type="dxa"/>
            <w:tcBorders>
              <w:top w:val="nil"/>
              <w:left w:val="nil"/>
              <w:bottom w:val="single" w:color="auto" w:sz="4" w:space="0"/>
              <w:right w:val="single" w:color="auto" w:sz="4" w:space="0"/>
            </w:tcBorders>
            <w:vAlign w:val="center"/>
          </w:tcPr>
          <w:p w14:paraId="393D49C9">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7F447B75">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014136BC">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3DDD8E42">
            <w:pPr>
              <w:jc w:val="center"/>
              <w:rPr>
                <w:rFonts w:ascii="宋体" w:cs="宋体"/>
                <w:sz w:val="21"/>
                <w:szCs w:val="21"/>
              </w:rPr>
            </w:pPr>
            <w:r>
              <w:rPr>
                <w:rFonts w:hint="eastAsia" w:ascii="宋体" w:hAnsi="宋体" w:cs="宋体"/>
                <w:sz w:val="21"/>
                <w:szCs w:val="21"/>
              </w:rPr>
              <w:t>□自有□租赁□协议</w:t>
            </w:r>
          </w:p>
        </w:tc>
      </w:tr>
      <w:tr w14:paraId="4E2614F8">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67D486BE">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14:paraId="5F421970">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05D6C58B">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1B650F8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0F11AA6D">
            <w:pPr>
              <w:jc w:val="center"/>
              <w:rPr>
                <w:rFonts w:ascii="宋体" w:cs="宋体"/>
              </w:rPr>
            </w:pPr>
          </w:p>
        </w:tc>
        <w:tc>
          <w:tcPr>
            <w:tcW w:w="850" w:type="dxa"/>
            <w:tcBorders>
              <w:top w:val="nil"/>
              <w:left w:val="nil"/>
              <w:bottom w:val="single" w:color="auto" w:sz="4" w:space="0"/>
              <w:right w:val="single" w:color="auto" w:sz="4" w:space="0"/>
            </w:tcBorders>
            <w:vAlign w:val="center"/>
          </w:tcPr>
          <w:p w14:paraId="33C3DF28">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7C54C6E9">
            <w:pPr>
              <w:rPr>
                <w:rFonts w:ascii="宋体" w:cs="宋体"/>
              </w:rPr>
            </w:pPr>
          </w:p>
        </w:tc>
        <w:tc>
          <w:tcPr>
            <w:tcW w:w="1077" w:type="dxa"/>
            <w:gridSpan w:val="3"/>
            <w:tcBorders>
              <w:top w:val="nil"/>
              <w:left w:val="nil"/>
              <w:bottom w:val="single" w:color="auto" w:sz="4" w:space="0"/>
              <w:right w:val="single" w:color="auto" w:sz="4" w:space="0"/>
            </w:tcBorders>
            <w:vAlign w:val="center"/>
          </w:tcPr>
          <w:p w14:paraId="5B5FE07D">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08340164">
            <w:pPr>
              <w:jc w:val="center"/>
              <w:rPr>
                <w:rFonts w:ascii="宋体" w:cs="宋体"/>
                <w:sz w:val="21"/>
                <w:szCs w:val="21"/>
              </w:rPr>
            </w:pPr>
            <w:r>
              <w:rPr>
                <w:rFonts w:hint="eastAsia" w:ascii="宋体" w:hAnsi="宋体" w:cs="宋体"/>
                <w:sz w:val="21"/>
                <w:szCs w:val="21"/>
              </w:rPr>
              <w:t>□自有□租赁□协议</w:t>
            </w:r>
          </w:p>
        </w:tc>
      </w:tr>
      <w:tr w14:paraId="0A720573">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25FF5E6A">
            <w:pPr>
              <w:jc w:val="center"/>
              <w:rPr>
                <w:rFonts w:ascii="宋体" w:cs="宋体"/>
              </w:rPr>
            </w:pPr>
          </w:p>
        </w:tc>
        <w:tc>
          <w:tcPr>
            <w:tcW w:w="850" w:type="dxa"/>
            <w:tcBorders>
              <w:top w:val="nil"/>
              <w:left w:val="nil"/>
              <w:bottom w:val="single" w:color="auto" w:sz="4" w:space="0"/>
              <w:right w:val="single" w:color="auto" w:sz="4" w:space="0"/>
            </w:tcBorders>
            <w:vAlign w:val="center"/>
          </w:tcPr>
          <w:p w14:paraId="50D5C6B3">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343491BA">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5FC7581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7D8B9484">
            <w:pPr>
              <w:jc w:val="center"/>
              <w:rPr>
                <w:rFonts w:ascii="宋体" w:cs="宋体"/>
              </w:rPr>
            </w:pPr>
          </w:p>
        </w:tc>
        <w:tc>
          <w:tcPr>
            <w:tcW w:w="850" w:type="dxa"/>
            <w:tcBorders>
              <w:top w:val="nil"/>
              <w:left w:val="nil"/>
              <w:bottom w:val="single" w:color="auto" w:sz="4" w:space="0"/>
              <w:right w:val="single" w:color="auto" w:sz="4" w:space="0"/>
            </w:tcBorders>
            <w:vAlign w:val="center"/>
          </w:tcPr>
          <w:p w14:paraId="6ECD7932">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BAF6D12">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73F839C1">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14CCA8BD">
            <w:pPr>
              <w:jc w:val="center"/>
              <w:rPr>
                <w:rFonts w:ascii="宋体" w:cs="宋体"/>
                <w:sz w:val="21"/>
                <w:szCs w:val="21"/>
              </w:rPr>
            </w:pPr>
            <w:r>
              <w:rPr>
                <w:rFonts w:hint="eastAsia" w:ascii="宋体" w:hAnsi="宋体" w:cs="宋体"/>
                <w:sz w:val="21"/>
                <w:szCs w:val="21"/>
              </w:rPr>
              <w:t>□自有□租赁□协议</w:t>
            </w:r>
          </w:p>
        </w:tc>
      </w:tr>
      <w:tr w14:paraId="65447DFA">
        <w:tblPrEx>
          <w:tblCellMar>
            <w:top w:w="0" w:type="dxa"/>
            <w:left w:w="108" w:type="dxa"/>
            <w:bottom w:w="0" w:type="dxa"/>
            <w:right w:w="108" w:type="dxa"/>
          </w:tblCellMar>
        </w:tblPrEx>
        <w:trPr>
          <w:gridBefore w:val="1"/>
          <w:gridAfter w:val="3"/>
          <w:wBefore w:w="7" w:type="dxa"/>
          <w:wAfter w:w="3341" w:type="dxa"/>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5347B563">
            <w:pPr>
              <w:jc w:val="center"/>
              <w:rPr>
                <w:rFonts w:ascii="宋体" w:cs="宋体"/>
              </w:rPr>
            </w:pPr>
          </w:p>
        </w:tc>
        <w:tc>
          <w:tcPr>
            <w:tcW w:w="850" w:type="dxa"/>
            <w:tcBorders>
              <w:top w:val="nil"/>
              <w:left w:val="nil"/>
              <w:bottom w:val="single" w:color="auto" w:sz="4" w:space="0"/>
              <w:right w:val="single" w:color="auto" w:sz="4" w:space="0"/>
            </w:tcBorders>
            <w:vAlign w:val="center"/>
          </w:tcPr>
          <w:p w14:paraId="0106820B">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71B782C3">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2820577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7BC879DF">
            <w:pPr>
              <w:jc w:val="center"/>
              <w:rPr>
                <w:rFonts w:ascii="宋体" w:cs="宋体"/>
              </w:rPr>
            </w:pPr>
          </w:p>
        </w:tc>
        <w:tc>
          <w:tcPr>
            <w:tcW w:w="850" w:type="dxa"/>
            <w:tcBorders>
              <w:top w:val="nil"/>
              <w:left w:val="nil"/>
              <w:bottom w:val="single" w:color="auto" w:sz="4" w:space="0"/>
              <w:right w:val="single" w:color="auto" w:sz="4" w:space="0"/>
            </w:tcBorders>
            <w:vAlign w:val="center"/>
          </w:tcPr>
          <w:p w14:paraId="54F853B3">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5AFE540">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57FA9F51">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44BEC2D0">
            <w:pPr>
              <w:jc w:val="center"/>
              <w:rPr>
                <w:rFonts w:ascii="宋体" w:cs="宋体"/>
                <w:sz w:val="21"/>
                <w:szCs w:val="21"/>
              </w:rPr>
            </w:pPr>
            <w:r>
              <w:rPr>
                <w:rFonts w:hint="eastAsia" w:ascii="宋体" w:hAnsi="宋体" w:cs="宋体"/>
                <w:sz w:val="21"/>
                <w:szCs w:val="21"/>
              </w:rPr>
              <w:t>□自有□租赁□协议</w:t>
            </w:r>
          </w:p>
        </w:tc>
      </w:tr>
      <w:tr w14:paraId="6B473CC2">
        <w:tblPrEx>
          <w:tblCellMar>
            <w:top w:w="0" w:type="dxa"/>
            <w:left w:w="108" w:type="dxa"/>
            <w:bottom w:w="0" w:type="dxa"/>
            <w:right w:w="108" w:type="dxa"/>
          </w:tblCellMar>
        </w:tblPrEx>
        <w:trPr>
          <w:gridBefore w:val="1"/>
          <w:gridAfter w:val="3"/>
          <w:wBefore w:w="7" w:type="dxa"/>
          <w:wAfter w:w="3341" w:type="dxa"/>
          <w:trHeight w:val="312" w:hRule="atLeast"/>
        </w:trPr>
        <w:tc>
          <w:tcPr>
            <w:tcW w:w="993" w:type="dxa"/>
            <w:gridSpan w:val="2"/>
            <w:tcBorders>
              <w:top w:val="nil"/>
              <w:left w:val="nil"/>
              <w:bottom w:val="nil"/>
              <w:right w:val="nil"/>
            </w:tcBorders>
            <w:vAlign w:val="center"/>
          </w:tcPr>
          <w:p w14:paraId="0FA1C68D">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14:paraId="4C4AC3D2">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58FFE65E">
        <w:tblPrEx>
          <w:tblCellMar>
            <w:top w:w="0" w:type="dxa"/>
            <w:left w:w="108" w:type="dxa"/>
            <w:bottom w:w="0" w:type="dxa"/>
            <w:right w:w="108" w:type="dxa"/>
          </w:tblCellMar>
        </w:tblPrEx>
        <w:trPr>
          <w:gridBefore w:val="1"/>
          <w:gridAfter w:val="3"/>
          <w:wBefore w:w="7" w:type="dxa"/>
          <w:wAfter w:w="3341" w:type="dxa"/>
          <w:trHeight w:val="312" w:hRule="atLeast"/>
        </w:trPr>
        <w:tc>
          <w:tcPr>
            <w:tcW w:w="993" w:type="dxa"/>
            <w:gridSpan w:val="2"/>
            <w:tcBorders>
              <w:top w:val="nil"/>
              <w:left w:val="nil"/>
              <w:bottom w:val="nil"/>
              <w:right w:val="nil"/>
            </w:tcBorders>
            <w:vAlign w:val="center"/>
          </w:tcPr>
          <w:p w14:paraId="26F2C6C7">
            <w:pPr>
              <w:jc w:val="center"/>
              <w:rPr>
                <w:rFonts w:ascii="宋体" w:cs="宋体"/>
              </w:rPr>
            </w:pPr>
          </w:p>
        </w:tc>
        <w:tc>
          <w:tcPr>
            <w:tcW w:w="8329" w:type="dxa"/>
            <w:gridSpan w:val="18"/>
            <w:vMerge w:val="continue"/>
            <w:tcBorders>
              <w:top w:val="nil"/>
              <w:left w:val="nil"/>
              <w:bottom w:val="nil"/>
              <w:right w:val="nil"/>
            </w:tcBorders>
            <w:vAlign w:val="center"/>
          </w:tcPr>
          <w:p w14:paraId="4AC09423">
            <w:pPr>
              <w:rPr>
                <w:rFonts w:ascii="宋体" w:cs="宋体"/>
              </w:rPr>
            </w:pPr>
          </w:p>
        </w:tc>
      </w:tr>
      <w:tr w14:paraId="189284F0">
        <w:tblPrEx>
          <w:tblCellMar>
            <w:top w:w="0" w:type="dxa"/>
            <w:left w:w="108" w:type="dxa"/>
            <w:bottom w:w="0" w:type="dxa"/>
            <w:right w:w="108" w:type="dxa"/>
          </w:tblCellMar>
        </w:tblPrEx>
        <w:trPr>
          <w:gridBefore w:val="1"/>
          <w:gridAfter w:val="3"/>
          <w:wBefore w:w="7" w:type="dxa"/>
          <w:wAfter w:w="3341" w:type="dxa"/>
          <w:trHeight w:val="312" w:hRule="atLeast"/>
        </w:trPr>
        <w:tc>
          <w:tcPr>
            <w:tcW w:w="993" w:type="dxa"/>
            <w:gridSpan w:val="2"/>
            <w:tcBorders>
              <w:top w:val="nil"/>
              <w:left w:val="nil"/>
              <w:bottom w:val="nil"/>
              <w:right w:val="nil"/>
            </w:tcBorders>
            <w:vAlign w:val="center"/>
          </w:tcPr>
          <w:p w14:paraId="6C359450">
            <w:pPr>
              <w:jc w:val="center"/>
              <w:rPr>
                <w:rFonts w:ascii="宋体" w:cs="宋体"/>
              </w:rPr>
            </w:pPr>
          </w:p>
        </w:tc>
        <w:tc>
          <w:tcPr>
            <w:tcW w:w="8329" w:type="dxa"/>
            <w:gridSpan w:val="18"/>
            <w:vMerge w:val="continue"/>
            <w:tcBorders>
              <w:top w:val="nil"/>
              <w:left w:val="nil"/>
              <w:bottom w:val="nil"/>
              <w:right w:val="nil"/>
            </w:tcBorders>
            <w:vAlign w:val="center"/>
          </w:tcPr>
          <w:p w14:paraId="5E87BE0B">
            <w:pPr>
              <w:rPr>
                <w:rFonts w:ascii="宋体" w:cs="宋体"/>
              </w:rPr>
            </w:pPr>
          </w:p>
        </w:tc>
      </w:tr>
      <w:tr w14:paraId="79674658">
        <w:tblPrEx>
          <w:tblCellMar>
            <w:top w:w="0" w:type="dxa"/>
            <w:left w:w="108" w:type="dxa"/>
            <w:bottom w:w="0" w:type="dxa"/>
            <w:right w:w="108" w:type="dxa"/>
          </w:tblCellMar>
        </w:tblPrEx>
        <w:trPr>
          <w:gridBefore w:val="1"/>
          <w:gridAfter w:val="3"/>
          <w:wBefore w:w="7" w:type="dxa"/>
          <w:wAfter w:w="3341" w:type="dxa"/>
          <w:trHeight w:val="312" w:hRule="atLeast"/>
        </w:trPr>
        <w:tc>
          <w:tcPr>
            <w:tcW w:w="993" w:type="dxa"/>
            <w:gridSpan w:val="2"/>
            <w:tcBorders>
              <w:top w:val="nil"/>
              <w:left w:val="nil"/>
              <w:bottom w:val="nil"/>
              <w:right w:val="nil"/>
            </w:tcBorders>
            <w:vAlign w:val="center"/>
          </w:tcPr>
          <w:p w14:paraId="4802B5F7">
            <w:pPr>
              <w:jc w:val="center"/>
              <w:rPr>
                <w:rFonts w:ascii="宋体" w:cs="宋体"/>
              </w:rPr>
            </w:pPr>
          </w:p>
        </w:tc>
        <w:tc>
          <w:tcPr>
            <w:tcW w:w="8329" w:type="dxa"/>
            <w:gridSpan w:val="18"/>
            <w:vMerge w:val="continue"/>
            <w:tcBorders>
              <w:top w:val="nil"/>
              <w:left w:val="nil"/>
              <w:bottom w:val="nil"/>
              <w:right w:val="nil"/>
            </w:tcBorders>
            <w:vAlign w:val="center"/>
          </w:tcPr>
          <w:p w14:paraId="2B0BA936">
            <w:pPr>
              <w:rPr>
                <w:rFonts w:ascii="宋体" w:cs="宋体"/>
              </w:rPr>
            </w:pPr>
          </w:p>
        </w:tc>
      </w:tr>
      <w:tr w14:paraId="1A26F684">
        <w:tblPrEx>
          <w:tblCellMar>
            <w:top w:w="0" w:type="dxa"/>
            <w:left w:w="108" w:type="dxa"/>
            <w:bottom w:w="0" w:type="dxa"/>
            <w:right w:w="108" w:type="dxa"/>
          </w:tblCellMar>
        </w:tblPrEx>
        <w:trPr>
          <w:trHeight w:val="300" w:hRule="atLeast"/>
        </w:trPr>
        <w:tc>
          <w:tcPr>
            <w:tcW w:w="2384" w:type="dxa"/>
            <w:gridSpan w:val="5"/>
            <w:tcBorders>
              <w:top w:val="nil"/>
              <w:left w:val="nil"/>
              <w:bottom w:val="nil"/>
              <w:right w:val="nil"/>
            </w:tcBorders>
            <w:vAlign w:val="bottom"/>
          </w:tcPr>
          <w:p w14:paraId="0A0293FC">
            <w:pPr>
              <w:rPr>
                <w:rFonts w:ascii="宋体" w:cs="宋体"/>
              </w:rPr>
            </w:pPr>
          </w:p>
        </w:tc>
        <w:tc>
          <w:tcPr>
            <w:tcW w:w="236" w:type="dxa"/>
            <w:tcBorders>
              <w:top w:val="nil"/>
              <w:left w:val="nil"/>
              <w:bottom w:val="nil"/>
              <w:right w:val="nil"/>
            </w:tcBorders>
            <w:vAlign w:val="bottom"/>
          </w:tcPr>
          <w:p w14:paraId="1FF3E152">
            <w:pPr>
              <w:rPr>
                <w:rFonts w:ascii="宋体" w:cs="宋体"/>
              </w:rPr>
            </w:pPr>
          </w:p>
        </w:tc>
        <w:tc>
          <w:tcPr>
            <w:tcW w:w="2065" w:type="dxa"/>
            <w:gridSpan w:val="4"/>
            <w:tcBorders>
              <w:top w:val="nil"/>
              <w:left w:val="nil"/>
              <w:bottom w:val="nil"/>
              <w:right w:val="nil"/>
            </w:tcBorders>
            <w:vAlign w:val="bottom"/>
          </w:tcPr>
          <w:p w14:paraId="6A17D829">
            <w:pPr>
              <w:rPr>
                <w:rFonts w:ascii="宋体" w:cs="宋体"/>
              </w:rPr>
            </w:pPr>
          </w:p>
        </w:tc>
        <w:tc>
          <w:tcPr>
            <w:tcW w:w="1701" w:type="dxa"/>
            <w:gridSpan w:val="4"/>
            <w:tcBorders>
              <w:top w:val="nil"/>
              <w:left w:val="nil"/>
              <w:bottom w:val="nil"/>
              <w:right w:val="nil"/>
            </w:tcBorders>
            <w:vAlign w:val="bottom"/>
          </w:tcPr>
          <w:p w14:paraId="2FCC80C6">
            <w:pPr>
              <w:rPr>
                <w:rFonts w:ascii="宋体" w:cs="宋体"/>
              </w:rPr>
            </w:pPr>
          </w:p>
        </w:tc>
        <w:tc>
          <w:tcPr>
            <w:tcW w:w="1134" w:type="dxa"/>
            <w:gridSpan w:val="3"/>
            <w:tcBorders>
              <w:top w:val="nil"/>
              <w:left w:val="nil"/>
              <w:bottom w:val="nil"/>
              <w:right w:val="nil"/>
            </w:tcBorders>
            <w:vAlign w:val="bottom"/>
          </w:tcPr>
          <w:p w14:paraId="53750AA3">
            <w:pPr>
              <w:rPr>
                <w:rFonts w:ascii="宋体" w:cs="宋体"/>
              </w:rPr>
            </w:pPr>
          </w:p>
        </w:tc>
        <w:tc>
          <w:tcPr>
            <w:tcW w:w="3834" w:type="dxa"/>
            <w:gridSpan w:val="5"/>
            <w:tcBorders>
              <w:top w:val="nil"/>
              <w:left w:val="nil"/>
              <w:bottom w:val="nil"/>
              <w:right w:val="nil"/>
            </w:tcBorders>
            <w:vAlign w:val="bottom"/>
          </w:tcPr>
          <w:p w14:paraId="4C25FFD5">
            <w:pPr>
              <w:rPr>
                <w:rFonts w:ascii="宋体" w:cs="宋体"/>
              </w:rPr>
            </w:pPr>
          </w:p>
        </w:tc>
        <w:tc>
          <w:tcPr>
            <w:tcW w:w="1080" w:type="dxa"/>
            <w:tcBorders>
              <w:top w:val="nil"/>
              <w:left w:val="nil"/>
              <w:bottom w:val="nil"/>
              <w:right w:val="nil"/>
            </w:tcBorders>
            <w:vAlign w:val="bottom"/>
          </w:tcPr>
          <w:p w14:paraId="68D46871">
            <w:pPr>
              <w:rPr>
                <w:rFonts w:ascii="宋体" w:cs="宋体"/>
              </w:rPr>
            </w:pPr>
          </w:p>
        </w:tc>
        <w:tc>
          <w:tcPr>
            <w:tcW w:w="236" w:type="dxa"/>
            <w:tcBorders>
              <w:top w:val="nil"/>
              <w:left w:val="nil"/>
              <w:bottom w:val="nil"/>
              <w:right w:val="nil"/>
            </w:tcBorders>
            <w:vAlign w:val="bottom"/>
          </w:tcPr>
          <w:p w14:paraId="37B79DA1">
            <w:pPr>
              <w:rPr>
                <w:rFonts w:ascii="宋体" w:cs="宋体"/>
              </w:rPr>
            </w:pPr>
          </w:p>
        </w:tc>
      </w:tr>
      <w:tr w14:paraId="3394F62E">
        <w:tblPrEx>
          <w:tblCellMar>
            <w:top w:w="0" w:type="dxa"/>
            <w:left w:w="108" w:type="dxa"/>
            <w:bottom w:w="0" w:type="dxa"/>
            <w:right w:w="108" w:type="dxa"/>
          </w:tblCellMar>
        </w:tblPrEx>
        <w:trPr>
          <w:trHeight w:val="285" w:hRule="atLeast"/>
        </w:trPr>
        <w:tc>
          <w:tcPr>
            <w:tcW w:w="11354" w:type="dxa"/>
            <w:gridSpan w:val="22"/>
            <w:tcBorders>
              <w:top w:val="nil"/>
              <w:left w:val="nil"/>
              <w:bottom w:val="nil"/>
              <w:right w:val="nil"/>
            </w:tcBorders>
            <w:vAlign w:val="center"/>
          </w:tcPr>
          <w:p w14:paraId="63CBF54D">
            <w:pPr>
              <w:rPr>
                <w:rFonts w:ascii="宋体" w:cs="宋体"/>
              </w:rPr>
            </w:pP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14:paraId="228E7287">
            <w:pPr>
              <w:rPr>
                <w:rFonts w:ascii="宋体" w:cs="宋体"/>
              </w:rPr>
            </w:pPr>
          </w:p>
        </w:tc>
        <w:tc>
          <w:tcPr>
            <w:tcW w:w="236" w:type="dxa"/>
            <w:tcBorders>
              <w:top w:val="nil"/>
              <w:left w:val="nil"/>
              <w:bottom w:val="nil"/>
              <w:right w:val="nil"/>
            </w:tcBorders>
            <w:vAlign w:val="bottom"/>
          </w:tcPr>
          <w:p w14:paraId="4DCC5991">
            <w:pPr>
              <w:rPr>
                <w:rFonts w:ascii="宋体" w:cs="宋体"/>
              </w:rPr>
            </w:pPr>
          </w:p>
        </w:tc>
      </w:tr>
      <w:tr w14:paraId="601E4109">
        <w:tblPrEx>
          <w:tblCellMar>
            <w:top w:w="0" w:type="dxa"/>
            <w:left w:w="108" w:type="dxa"/>
            <w:bottom w:w="0" w:type="dxa"/>
            <w:right w:w="108" w:type="dxa"/>
          </w:tblCellMar>
        </w:tblPrEx>
        <w:trPr>
          <w:gridAfter w:val="4"/>
          <w:wAfter w:w="3580" w:type="dxa"/>
          <w:trHeight w:val="300" w:hRule="atLeast"/>
        </w:trPr>
        <w:tc>
          <w:tcPr>
            <w:tcW w:w="9090" w:type="dxa"/>
            <w:gridSpan w:val="20"/>
            <w:tcBorders>
              <w:top w:val="nil"/>
              <w:left w:val="nil"/>
              <w:bottom w:val="double" w:color="auto" w:sz="6" w:space="0"/>
              <w:right w:val="nil"/>
            </w:tcBorders>
            <w:vAlign w:val="center"/>
          </w:tcPr>
          <w:p w14:paraId="74B508C4">
            <w:pPr>
              <w:rPr>
                <w:rFonts w:ascii="宋体" w:cs="宋体"/>
                <w:b/>
                <w:bCs/>
              </w:rPr>
            </w:pPr>
          </w:p>
        </w:tc>
      </w:tr>
      <w:tr w14:paraId="2AD029EC">
        <w:tblPrEx>
          <w:tblCellMar>
            <w:top w:w="0" w:type="dxa"/>
            <w:left w:w="108" w:type="dxa"/>
            <w:bottom w:w="0" w:type="dxa"/>
            <w:right w:w="108" w:type="dxa"/>
          </w:tblCellMar>
        </w:tblPrEx>
        <w:trPr>
          <w:gridAfter w:val="4"/>
          <w:wAfter w:w="3580" w:type="dxa"/>
          <w:trHeight w:val="585" w:hRule="atLeast"/>
        </w:trPr>
        <w:tc>
          <w:tcPr>
            <w:tcW w:w="858" w:type="dxa"/>
            <w:gridSpan w:val="2"/>
            <w:tcBorders>
              <w:top w:val="double" w:color="auto" w:sz="6" w:space="0"/>
              <w:left w:val="double" w:color="auto" w:sz="6" w:space="0"/>
              <w:bottom w:val="single" w:color="auto" w:sz="4" w:space="0"/>
              <w:right w:val="single" w:color="auto" w:sz="4" w:space="0"/>
            </w:tcBorders>
            <w:vAlign w:val="center"/>
          </w:tcPr>
          <w:p w14:paraId="03B1DD9A">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14:paraId="598EFC90">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14:paraId="5D7C132D">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14:paraId="7BF890A4">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14:paraId="09D1E7FB">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14:paraId="54BD3A29">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14:paraId="7A6D16A6">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861" w:type="dxa"/>
            <w:tcBorders>
              <w:top w:val="double" w:color="auto" w:sz="6" w:space="0"/>
              <w:left w:val="nil"/>
              <w:bottom w:val="single" w:color="auto" w:sz="4" w:space="0"/>
              <w:right w:val="double" w:color="auto" w:sz="6" w:space="0"/>
            </w:tcBorders>
            <w:vAlign w:val="center"/>
          </w:tcPr>
          <w:p w14:paraId="460AE3C0">
            <w:pPr>
              <w:jc w:val="center"/>
              <w:rPr>
                <w:rFonts w:ascii="宋体" w:cs="宋体"/>
                <w:b/>
                <w:bCs/>
                <w:sz w:val="18"/>
                <w:szCs w:val="18"/>
              </w:rPr>
            </w:pPr>
            <w:r>
              <w:rPr>
                <w:rFonts w:hint="eastAsia" w:ascii="宋体" w:hAnsi="宋体" w:cs="宋体"/>
                <w:b/>
                <w:bCs/>
                <w:sz w:val="18"/>
                <w:szCs w:val="18"/>
              </w:rPr>
              <w:t>备注</w:t>
            </w:r>
          </w:p>
        </w:tc>
      </w:tr>
      <w:tr w14:paraId="3DAA80F4">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0EE50F2A">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4837C3A">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434178DD">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41C68E2D">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794930A8">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07DC94D8">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446E707">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1F19D91A">
            <w:pPr>
              <w:rPr>
                <w:rFonts w:ascii="宋体" w:cs="宋体"/>
                <w:sz w:val="18"/>
                <w:szCs w:val="18"/>
              </w:rPr>
            </w:pPr>
          </w:p>
        </w:tc>
      </w:tr>
      <w:tr w14:paraId="45D8C168">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5121E78F">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1CBD2767">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1F9D54B7">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71C7B018">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14BB6ABA">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74FA2B86">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C64983C">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7A3106A4">
            <w:pPr>
              <w:rPr>
                <w:rFonts w:ascii="宋体" w:cs="宋体"/>
                <w:sz w:val="18"/>
                <w:szCs w:val="18"/>
              </w:rPr>
            </w:pPr>
          </w:p>
        </w:tc>
      </w:tr>
      <w:tr w14:paraId="2B0A808D">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27808820">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8F30932">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6EB48745">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1EB6668B">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56889B5E">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51BD39D1">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635FEA81">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71B4400F">
            <w:pPr>
              <w:rPr>
                <w:rFonts w:ascii="宋体" w:cs="宋体"/>
                <w:sz w:val="18"/>
                <w:szCs w:val="18"/>
              </w:rPr>
            </w:pPr>
          </w:p>
        </w:tc>
      </w:tr>
      <w:tr w14:paraId="192FB40B">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4CF279DD">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D39E88F">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019B5E31">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40791FAB">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01C0C0DD">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5AB37FC7">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339D68E">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4CE8C739">
            <w:pPr>
              <w:rPr>
                <w:rFonts w:ascii="宋体" w:cs="宋体"/>
                <w:sz w:val="18"/>
                <w:szCs w:val="18"/>
              </w:rPr>
            </w:pPr>
          </w:p>
        </w:tc>
      </w:tr>
      <w:tr w14:paraId="73FFEB7F">
        <w:tblPrEx>
          <w:tblCellMar>
            <w:top w:w="0" w:type="dxa"/>
            <w:left w:w="108" w:type="dxa"/>
            <w:bottom w:w="0" w:type="dxa"/>
            <w:right w:w="108" w:type="dxa"/>
          </w:tblCellMar>
        </w:tblPrEx>
        <w:trPr>
          <w:gridAfter w:val="4"/>
          <w:wAfter w:w="3580" w:type="dxa"/>
          <w:trHeight w:val="315" w:hRule="atLeast"/>
        </w:trPr>
        <w:tc>
          <w:tcPr>
            <w:tcW w:w="858" w:type="dxa"/>
            <w:gridSpan w:val="2"/>
            <w:tcBorders>
              <w:top w:val="single" w:color="auto" w:sz="4" w:space="0"/>
              <w:left w:val="double" w:color="auto" w:sz="6" w:space="0"/>
              <w:bottom w:val="single" w:color="auto" w:sz="4" w:space="0"/>
              <w:right w:val="single" w:color="auto" w:sz="4" w:space="0"/>
            </w:tcBorders>
            <w:vAlign w:val="bottom"/>
          </w:tcPr>
          <w:p w14:paraId="561AD7C5">
            <w:pPr>
              <w:rPr>
                <w:rFonts w:ascii="宋体" w:cs="宋体"/>
                <w:sz w:val="18"/>
                <w:szCs w:val="18"/>
              </w:rPr>
            </w:pPr>
          </w:p>
          <w:p w14:paraId="5ED48F3C">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1B87D581">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45166E22">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088BF801">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7CB5F62E">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6BB24F46">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2982758">
            <w:pPr>
              <w:rPr>
                <w:rFonts w:ascii="宋体" w:cs="宋体"/>
                <w:sz w:val="18"/>
                <w:szCs w:val="18"/>
              </w:rPr>
            </w:pPr>
          </w:p>
        </w:tc>
        <w:tc>
          <w:tcPr>
            <w:tcW w:w="861" w:type="dxa"/>
            <w:tcBorders>
              <w:top w:val="single" w:color="auto" w:sz="4" w:space="0"/>
              <w:left w:val="nil"/>
              <w:bottom w:val="single" w:color="auto" w:sz="4" w:space="0"/>
              <w:right w:val="double" w:color="auto" w:sz="6" w:space="0"/>
            </w:tcBorders>
            <w:vAlign w:val="bottom"/>
          </w:tcPr>
          <w:p w14:paraId="122A18A3">
            <w:pPr>
              <w:rPr>
                <w:rFonts w:ascii="宋体" w:cs="宋体"/>
                <w:sz w:val="18"/>
                <w:szCs w:val="18"/>
              </w:rPr>
            </w:pPr>
          </w:p>
        </w:tc>
      </w:tr>
    </w:tbl>
    <w:p w14:paraId="3BFA4F83">
      <w:pPr>
        <w:pStyle w:val="2"/>
        <w:spacing w:before="0" w:after="0"/>
        <w:rPr>
          <w:sz w:val="24"/>
        </w:rPr>
      </w:pPr>
      <w:bookmarkStart w:id="85" w:name="_附件五：差异表格式"/>
      <w:bookmarkEnd w:id="85"/>
      <w:bookmarkStart w:id="86" w:name="_附件六：履约保函格式"/>
      <w:bookmarkEnd w:id="86"/>
      <w:bookmarkStart w:id="87" w:name="_Toc51060699"/>
      <w:bookmarkStart w:id="88" w:name="_Toc51142841"/>
      <w:bookmarkStart w:id="89" w:name="_Toc59876738"/>
      <w:bookmarkStart w:id="90" w:name="_Toc51054124"/>
      <w:bookmarkStart w:id="91" w:name="_Toc51057528"/>
      <w:bookmarkStart w:id="92" w:name="_Toc50525890"/>
      <w:bookmarkStart w:id="93" w:name="_Toc350519250"/>
      <w:r>
        <w:rPr>
          <w:rStyle w:val="23"/>
          <w:rFonts w:hint="eastAsia"/>
          <w:color w:val="auto"/>
          <w:sz w:val="24"/>
          <w:u w:val="none"/>
        </w:rPr>
        <w:t>附件四</w:t>
      </w:r>
      <w:bookmarkEnd w:id="87"/>
      <w:bookmarkEnd w:id="88"/>
      <w:bookmarkEnd w:id="89"/>
      <w:bookmarkEnd w:id="90"/>
      <w:bookmarkEnd w:id="91"/>
      <w:bookmarkEnd w:id="92"/>
      <w:bookmarkStart w:id="94" w:name="_Toc350159197"/>
      <w:r>
        <w:rPr>
          <w:rStyle w:val="23"/>
          <w:rFonts w:hint="eastAsia"/>
          <w:color w:val="auto"/>
          <w:sz w:val="24"/>
          <w:u w:val="none"/>
        </w:rPr>
        <w:t>：报价表</w:t>
      </w:r>
      <w:bookmarkEnd w:id="93"/>
      <w:bookmarkEnd w:id="94"/>
      <w:r>
        <w:rPr>
          <w:rStyle w:val="23"/>
          <w:rFonts w:hint="eastAsia"/>
          <w:color w:val="auto"/>
          <w:sz w:val="24"/>
          <w:u w:val="none"/>
        </w:rPr>
        <w:t>格式</w:t>
      </w:r>
    </w:p>
    <w:tbl>
      <w:tblPr>
        <w:tblStyle w:val="18"/>
        <w:tblW w:w="9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
        <w:gridCol w:w="699"/>
        <w:gridCol w:w="479"/>
        <w:gridCol w:w="946"/>
        <w:gridCol w:w="795"/>
        <w:gridCol w:w="586"/>
        <w:gridCol w:w="618"/>
        <w:gridCol w:w="676"/>
        <w:gridCol w:w="571"/>
        <w:gridCol w:w="521"/>
        <w:gridCol w:w="610"/>
        <w:gridCol w:w="610"/>
        <w:gridCol w:w="559"/>
        <w:gridCol w:w="614"/>
        <w:gridCol w:w="688"/>
        <w:gridCol w:w="509"/>
        <w:gridCol w:w="117"/>
      </w:tblGrid>
      <w:tr w14:paraId="4F21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vMerge w:val="restart"/>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4878F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55802B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w:t>
            </w:r>
          </w:p>
        </w:tc>
        <w:tc>
          <w:tcPr>
            <w:tcW w:w="7474"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w:t>
            </w:r>
          </w:p>
        </w:tc>
      </w:tr>
      <w:tr w14:paraId="3458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vMerge w:val="continue"/>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28100003">
            <w:pPr>
              <w:jc w:val="center"/>
              <w:rPr>
                <w:rFonts w:hint="eastAsia" w:ascii="宋体" w:hAnsi="宋体" w:eastAsia="宋体" w:cs="宋体"/>
                <w:b/>
                <w:bCs/>
                <w:i w:val="0"/>
                <w:iCs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19E951FB">
            <w:pPr>
              <w:jc w:val="center"/>
              <w:rPr>
                <w:rFonts w:hint="eastAsia" w:ascii="宋体" w:hAnsi="宋体" w:eastAsia="宋体" w:cs="宋体"/>
                <w:b/>
                <w:bCs/>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1657CA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0.5kg</w:t>
            </w:r>
          </w:p>
        </w:tc>
        <w:tc>
          <w:tcPr>
            <w:tcW w:w="586"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7996DB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1kg</w:t>
            </w:r>
          </w:p>
        </w:tc>
        <w:tc>
          <w:tcPr>
            <w:tcW w:w="618"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24E58B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2kg</w:t>
            </w:r>
          </w:p>
        </w:tc>
        <w:tc>
          <w:tcPr>
            <w:tcW w:w="676"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72BC13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3kg</w:t>
            </w:r>
          </w:p>
        </w:tc>
        <w:tc>
          <w:tcPr>
            <w:tcW w:w="571"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01DE8F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4kg</w:t>
            </w:r>
          </w:p>
        </w:tc>
        <w:tc>
          <w:tcPr>
            <w:tcW w:w="521"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71BF0B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5kg</w:t>
            </w:r>
          </w:p>
        </w:tc>
        <w:tc>
          <w:tcPr>
            <w:tcW w:w="610"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1D569A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6kg</w:t>
            </w:r>
          </w:p>
        </w:tc>
        <w:tc>
          <w:tcPr>
            <w:tcW w:w="610"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219E41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7kg</w:t>
            </w:r>
          </w:p>
        </w:tc>
        <w:tc>
          <w:tcPr>
            <w:tcW w:w="559"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38EF12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8kg</w:t>
            </w:r>
          </w:p>
        </w:tc>
        <w:tc>
          <w:tcPr>
            <w:tcW w:w="614"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50939D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9kg</w:t>
            </w:r>
          </w:p>
        </w:tc>
        <w:tc>
          <w:tcPr>
            <w:tcW w:w="688"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58AC9D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10kg</w:t>
            </w:r>
          </w:p>
        </w:tc>
        <w:tc>
          <w:tcPr>
            <w:tcW w:w="626" w:type="dxa"/>
            <w:gridSpan w:val="2"/>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7AA69D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11kg</w:t>
            </w:r>
          </w:p>
        </w:tc>
      </w:tr>
      <w:tr w14:paraId="488E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CAE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8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4FBA">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AC4E">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2070">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2ACA">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5C53">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80C1">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4FD1">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2C91">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0AF5">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A3C7">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0741">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1B2E">
            <w:pPr>
              <w:rPr>
                <w:rFonts w:hint="eastAsia" w:ascii="宋体" w:hAnsi="宋体" w:eastAsia="宋体" w:cs="宋体"/>
                <w:i w:val="0"/>
                <w:iCs w:val="0"/>
                <w:color w:val="000000"/>
                <w:sz w:val="20"/>
                <w:szCs w:val="20"/>
                <w:u w:val="none"/>
              </w:rPr>
            </w:pPr>
          </w:p>
        </w:tc>
      </w:tr>
      <w:tr w14:paraId="0199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E3F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4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41B3">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2B6E">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6041">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A5C2">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5A6C">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FC3A">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44B2">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10A4">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FBC7">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0FFD">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0158">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D3FA">
            <w:pPr>
              <w:rPr>
                <w:rFonts w:hint="eastAsia" w:ascii="宋体" w:hAnsi="宋体" w:eastAsia="宋体" w:cs="宋体"/>
                <w:i w:val="0"/>
                <w:iCs w:val="0"/>
                <w:color w:val="000000"/>
                <w:sz w:val="20"/>
                <w:szCs w:val="20"/>
                <w:u w:val="none"/>
              </w:rPr>
            </w:pPr>
          </w:p>
        </w:tc>
      </w:tr>
      <w:tr w14:paraId="067B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2C9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C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A271">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B9AC">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609B">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786C">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0715">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6C1A">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25B5">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B6C3">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F1EC">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6B7F">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07DF">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37D2">
            <w:pPr>
              <w:rPr>
                <w:rFonts w:hint="eastAsia" w:ascii="宋体" w:hAnsi="宋体" w:eastAsia="宋体" w:cs="宋体"/>
                <w:i w:val="0"/>
                <w:iCs w:val="0"/>
                <w:color w:val="000000"/>
                <w:sz w:val="20"/>
                <w:szCs w:val="20"/>
                <w:u w:val="none"/>
              </w:rPr>
            </w:pPr>
          </w:p>
        </w:tc>
      </w:tr>
      <w:tr w14:paraId="41D0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7FE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3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F56A">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7938">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BBE6">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67B3">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249E">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B192">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9BB4">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5630">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D811">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DC64">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518D">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1EE0">
            <w:pPr>
              <w:rPr>
                <w:rFonts w:hint="eastAsia" w:ascii="宋体" w:hAnsi="宋体" w:eastAsia="宋体" w:cs="宋体"/>
                <w:i w:val="0"/>
                <w:iCs w:val="0"/>
                <w:color w:val="000000"/>
                <w:sz w:val="20"/>
                <w:szCs w:val="20"/>
                <w:u w:val="none"/>
              </w:rPr>
            </w:pPr>
          </w:p>
        </w:tc>
      </w:tr>
      <w:tr w14:paraId="24EB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49A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A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0FCE">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6DDC">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BEB0">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8E07">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7235">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9CEF">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8293">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7E8B">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7F54">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EE4A">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D3A">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5E9F">
            <w:pPr>
              <w:rPr>
                <w:rFonts w:hint="eastAsia" w:ascii="宋体" w:hAnsi="宋体" w:eastAsia="宋体" w:cs="宋体"/>
                <w:i w:val="0"/>
                <w:iCs w:val="0"/>
                <w:color w:val="000000"/>
                <w:sz w:val="20"/>
                <w:szCs w:val="20"/>
                <w:u w:val="none"/>
              </w:rPr>
            </w:pPr>
          </w:p>
        </w:tc>
      </w:tr>
      <w:tr w14:paraId="0EA1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14F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E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E474">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6BBD">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6BDD">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DC0C">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84E2">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746">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AAAF">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8648">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A2B3">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B85D">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7A1F">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0487">
            <w:pPr>
              <w:rPr>
                <w:rFonts w:hint="eastAsia" w:ascii="宋体" w:hAnsi="宋体" w:eastAsia="宋体" w:cs="宋体"/>
                <w:i w:val="0"/>
                <w:iCs w:val="0"/>
                <w:color w:val="000000"/>
                <w:sz w:val="20"/>
                <w:szCs w:val="20"/>
                <w:u w:val="none"/>
              </w:rPr>
            </w:pPr>
          </w:p>
        </w:tc>
      </w:tr>
      <w:tr w14:paraId="06C8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5F1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2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1892">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047D">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DFF7">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6C53">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5843">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C047">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20CF">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1CE7">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84F1">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DCE5">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396D">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5B33">
            <w:pPr>
              <w:rPr>
                <w:rFonts w:hint="eastAsia" w:ascii="宋体" w:hAnsi="宋体" w:eastAsia="宋体" w:cs="宋体"/>
                <w:i w:val="0"/>
                <w:iCs w:val="0"/>
                <w:color w:val="000000"/>
                <w:sz w:val="20"/>
                <w:szCs w:val="20"/>
                <w:u w:val="none"/>
              </w:rPr>
            </w:pPr>
          </w:p>
        </w:tc>
      </w:tr>
      <w:tr w14:paraId="0CB8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8F6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3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0D52">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6B68">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5FF7">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30D8">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AE15">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B0CD">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0BB3">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0633">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260D">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A19E">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0137">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D216">
            <w:pPr>
              <w:rPr>
                <w:rFonts w:hint="eastAsia" w:ascii="宋体" w:hAnsi="宋体" w:eastAsia="宋体" w:cs="宋体"/>
                <w:i w:val="0"/>
                <w:iCs w:val="0"/>
                <w:color w:val="000000"/>
                <w:sz w:val="20"/>
                <w:szCs w:val="20"/>
                <w:u w:val="none"/>
              </w:rPr>
            </w:pPr>
          </w:p>
        </w:tc>
      </w:tr>
      <w:tr w14:paraId="352E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D95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0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74D5">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2E59">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2E68">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8B0E">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CDE8">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80C9">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1E0A">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0A5D">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452B">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177F">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C705">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96E9">
            <w:pPr>
              <w:rPr>
                <w:rFonts w:hint="eastAsia" w:ascii="宋体" w:hAnsi="宋体" w:eastAsia="宋体" w:cs="宋体"/>
                <w:i w:val="0"/>
                <w:iCs w:val="0"/>
                <w:color w:val="000000"/>
                <w:sz w:val="20"/>
                <w:szCs w:val="20"/>
                <w:u w:val="none"/>
              </w:rPr>
            </w:pPr>
          </w:p>
        </w:tc>
      </w:tr>
      <w:tr w14:paraId="06D6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268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7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2407">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71AA">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018C">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E8C1">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47FE">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9203">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5248">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F281">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14FF">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FABC">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84DD">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9745">
            <w:pPr>
              <w:rPr>
                <w:rFonts w:hint="eastAsia" w:ascii="宋体" w:hAnsi="宋体" w:eastAsia="宋体" w:cs="宋体"/>
                <w:i w:val="0"/>
                <w:iCs w:val="0"/>
                <w:color w:val="000000"/>
                <w:sz w:val="20"/>
                <w:szCs w:val="20"/>
                <w:u w:val="none"/>
              </w:rPr>
            </w:pPr>
          </w:p>
        </w:tc>
      </w:tr>
      <w:tr w14:paraId="649F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D93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1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B109">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611D">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70BD">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C07B">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171C">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3D98">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291B">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EB37">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7D4B">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8C52">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B431">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72A3">
            <w:pPr>
              <w:rPr>
                <w:rFonts w:hint="eastAsia" w:ascii="宋体" w:hAnsi="宋体" w:eastAsia="宋体" w:cs="宋体"/>
                <w:i w:val="0"/>
                <w:iCs w:val="0"/>
                <w:color w:val="000000"/>
                <w:sz w:val="20"/>
                <w:szCs w:val="20"/>
                <w:u w:val="none"/>
              </w:rPr>
            </w:pPr>
          </w:p>
        </w:tc>
      </w:tr>
      <w:tr w14:paraId="354A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51C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C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6AEC">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E3A1">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9750">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5AF5">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45BB">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5DB8">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9CF9">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EC03">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6117">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3C5F">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2625">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62E9">
            <w:pPr>
              <w:rPr>
                <w:rFonts w:hint="eastAsia" w:ascii="宋体" w:hAnsi="宋体" w:eastAsia="宋体" w:cs="宋体"/>
                <w:i w:val="0"/>
                <w:iCs w:val="0"/>
                <w:color w:val="000000"/>
                <w:sz w:val="20"/>
                <w:szCs w:val="20"/>
                <w:u w:val="none"/>
              </w:rPr>
            </w:pPr>
          </w:p>
        </w:tc>
      </w:tr>
      <w:tr w14:paraId="6161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EB1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9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8717">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011F">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7309">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4089">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5CB1">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6D16">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11EC">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BE84">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3866">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629D">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AFEC">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8B99">
            <w:pPr>
              <w:rPr>
                <w:rFonts w:hint="eastAsia" w:ascii="宋体" w:hAnsi="宋体" w:eastAsia="宋体" w:cs="宋体"/>
                <w:i w:val="0"/>
                <w:iCs w:val="0"/>
                <w:color w:val="000000"/>
                <w:sz w:val="20"/>
                <w:szCs w:val="20"/>
                <w:u w:val="none"/>
              </w:rPr>
            </w:pPr>
          </w:p>
        </w:tc>
      </w:tr>
      <w:tr w14:paraId="288C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3C4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4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9E75">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2D45">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0186">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AD83">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644D">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A3FC">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A901">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138E">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9C86">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579D">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199E">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ECB2">
            <w:pPr>
              <w:rPr>
                <w:rFonts w:hint="eastAsia" w:ascii="宋体" w:hAnsi="宋体" w:eastAsia="宋体" w:cs="宋体"/>
                <w:i w:val="0"/>
                <w:iCs w:val="0"/>
                <w:color w:val="000000"/>
                <w:sz w:val="20"/>
                <w:szCs w:val="20"/>
                <w:u w:val="none"/>
              </w:rPr>
            </w:pPr>
          </w:p>
        </w:tc>
      </w:tr>
      <w:tr w14:paraId="636D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ADC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7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30B8">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1829">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9447">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7D7E">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90D2">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E354">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D500">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95F8">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6856">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783A">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42AF">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1ACF">
            <w:pPr>
              <w:rPr>
                <w:rFonts w:hint="eastAsia" w:ascii="宋体" w:hAnsi="宋体" w:eastAsia="宋体" w:cs="宋体"/>
                <w:i w:val="0"/>
                <w:iCs w:val="0"/>
                <w:color w:val="000000"/>
                <w:sz w:val="20"/>
                <w:szCs w:val="20"/>
                <w:u w:val="none"/>
              </w:rPr>
            </w:pPr>
          </w:p>
        </w:tc>
      </w:tr>
      <w:tr w14:paraId="2910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3F5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3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1D60">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4F2D">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09BA">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603">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A52A">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4886">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CC5D">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4D9A">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8694">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62CC">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2A5C">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48B2">
            <w:pPr>
              <w:rPr>
                <w:rFonts w:hint="eastAsia" w:ascii="宋体" w:hAnsi="宋体" w:eastAsia="宋体" w:cs="宋体"/>
                <w:i w:val="0"/>
                <w:iCs w:val="0"/>
                <w:color w:val="000000"/>
                <w:sz w:val="20"/>
                <w:szCs w:val="20"/>
                <w:u w:val="none"/>
              </w:rPr>
            </w:pPr>
          </w:p>
        </w:tc>
      </w:tr>
      <w:tr w14:paraId="47AC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6B2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0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34A0">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6FA6">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7138">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C0A2">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0D61">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A897">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3D87">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11B1">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5AF3">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58FF">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DAC4">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5443">
            <w:pPr>
              <w:rPr>
                <w:rFonts w:hint="eastAsia" w:ascii="宋体" w:hAnsi="宋体" w:eastAsia="宋体" w:cs="宋体"/>
                <w:i w:val="0"/>
                <w:iCs w:val="0"/>
                <w:color w:val="000000"/>
                <w:sz w:val="20"/>
                <w:szCs w:val="20"/>
                <w:u w:val="none"/>
              </w:rPr>
            </w:pPr>
          </w:p>
        </w:tc>
      </w:tr>
      <w:tr w14:paraId="3C7B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7E1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9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BA5B">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6E49">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DEB9">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5FCA">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357E">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6C2E">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FB0D">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F070">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42EE">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0918">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8B88">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0CAC">
            <w:pPr>
              <w:rPr>
                <w:rFonts w:hint="eastAsia" w:ascii="宋体" w:hAnsi="宋体" w:eastAsia="宋体" w:cs="宋体"/>
                <w:i w:val="0"/>
                <w:iCs w:val="0"/>
                <w:color w:val="000000"/>
                <w:sz w:val="20"/>
                <w:szCs w:val="20"/>
                <w:u w:val="none"/>
              </w:rPr>
            </w:pPr>
          </w:p>
        </w:tc>
      </w:tr>
      <w:tr w14:paraId="1AF6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726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D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825">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6EA2">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33CF">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9A58">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2873">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1DDE">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8989">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5649">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A527">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F6CA">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3239">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8B9F">
            <w:pPr>
              <w:rPr>
                <w:rFonts w:hint="eastAsia" w:ascii="宋体" w:hAnsi="宋体" w:eastAsia="宋体" w:cs="宋体"/>
                <w:i w:val="0"/>
                <w:iCs w:val="0"/>
                <w:color w:val="000000"/>
                <w:sz w:val="20"/>
                <w:szCs w:val="20"/>
                <w:u w:val="none"/>
              </w:rPr>
            </w:pPr>
          </w:p>
        </w:tc>
      </w:tr>
      <w:tr w14:paraId="2FD5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7B2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3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8895">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7605">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BDCE">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24C3">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1A0B">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B89">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C0EA">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AEFF">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4F65">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109C">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1632">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308B">
            <w:pPr>
              <w:rPr>
                <w:rFonts w:hint="eastAsia" w:ascii="宋体" w:hAnsi="宋体" w:eastAsia="宋体" w:cs="宋体"/>
                <w:i w:val="0"/>
                <w:iCs w:val="0"/>
                <w:color w:val="000000"/>
                <w:sz w:val="20"/>
                <w:szCs w:val="20"/>
                <w:u w:val="none"/>
              </w:rPr>
            </w:pPr>
          </w:p>
        </w:tc>
      </w:tr>
      <w:tr w14:paraId="620A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449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A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B79">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AEDC">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100A">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0E1A">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FD0E">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2A9E">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2DFA">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182E">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9486">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A42F">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25AD">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7E2A">
            <w:pPr>
              <w:rPr>
                <w:rFonts w:hint="eastAsia" w:ascii="宋体" w:hAnsi="宋体" w:eastAsia="宋体" w:cs="宋体"/>
                <w:i w:val="0"/>
                <w:iCs w:val="0"/>
                <w:color w:val="000000"/>
                <w:sz w:val="20"/>
                <w:szCs w:val="20"/>
                <w:u w:val="none"/>
              </w:rPr>
            </w:pPr>
          </w:p>
        </w:tc>
      </w:tr>
      <w:tr w14:paraId="4B7A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F68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F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ECF7">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90DB">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18BF">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9435">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7E9D">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80E7">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E738">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EF92">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471C">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D9F0">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D8CD">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D81C">
            <w:pPr>
              <w:rPr>
                <w:rFonts w:hint="eastAsia" w:ascii="宋体" w:hAnsi="宋体" w:eastAsia="宋体" w:cs="宋体"/>
                <w:i w:val="0"/>
                <w:iCs w:val="0"/>
                <w:color w:val="000000"/>
                <w:sz w:val="20"/>
                <w:szCs w:val="20"/>
                <w:u w:val="none"/>
              </w:rPr>
            </w:pPr>
          </w:p>
        </w:tc>
      </w:tr>
      <w:tr w14:paraId="29E8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C31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D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CAB7">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FF86">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CE16">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7432">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B2F3">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EF59">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7725">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BF4C">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AE9B">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0FF6">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4590">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A332">
            <w:pPr>
              <w:rPr>
                <w:rFonts w:hint="eastAsia" w:ascii="宋体" w:hAnsi="宋体" w:eastAsia="宋体" w:cs="宋体"/>
                <w:i w:val="0"/>
                <w:iCs w:val="0"/>
                <w:color w:val="000000"/>
                <w:sz w:val="20"/>
                <w:szCs w:val="20"/>
                <w:u w:val="none"/>
              </w:rPr>
            </w:pPr>
          </w:p>
        </w:tc>
      </w:tr>
      <w:tr w14:paraId="2662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FAF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3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02E6">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B2C8">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FA30">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052B">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471F">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98E5">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0F11">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9162">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E8C3">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34BE">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8F27">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0C1F">
            <w:pPr>
              <w:rPr>
                <w:rFonts w:hint="eastAsia" w:ascii="宋体" w:hAnsi="宋体" w:eastAsia="宋体" w:cs="宋体"/>
                <w:i w:val="0"/>
                <w:iCs w:val="0"/>
                <w:color w:val="000000"/>
                <w:sz w:val="20"/>
                <w:szCs w:val="20"/>
                <w:u w:val="none"/>
              </w:rPr>
            </w:pPr>
          </w:p>
        </w:tc>
      </w:tr>
      <w:tr w14:paraId="2941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6F0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1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2BA2">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6CE9">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BF06">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78B6">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452C">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2C0C">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5EDC">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F6B3">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2E44">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958B">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AC87">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5FA8">
            <w:pPr>
              <w:rPr>
                <w:rFonts w:hint="eastAsia" w:ascii="宋体" w:hAnsi="宋体" w:eastAsia="宋体" w:cs="宋体"/>
                <w:i w:val="0"/>
                <w:iCs w:val="0"/>
                <w:color w:val="000000"/>
                <w:sz w:val="20"/>
                <w:szCs w:val="20"/>
                <w:u w:val="none"/>
              </w:rPr>
            </w:pPr>
          </w:p>
        </w:tc>
      </w:tr>
      <w:tr w14:paraId="7BBC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9F0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4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12B3">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B420">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E6DC">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AE13">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6881">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316B">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B527">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9129">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800E">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407F">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378B">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9743">
            <w:pPr>
              <w:rPr>
                <w:rFonts w:hint="eastAsia" w:ascii="宋体" w:hAnsi="宋体" w:eastAsia="宋体" w:cs="宋体"/>
                <w:i w:val="0"/>
                <w:iCs w:val="0"/>
                <w:color w:val="000000"/>
                <w:sz w:val="20"/>
                <w:szCs w:val="20"/>
                <w:u w:val="none"/>
              </w:rPr>
            </w:pPr>
          </w:p>
        </w:tc>
      </w:tr>
      <w:tr w14:paraId="7D96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885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3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BA8D">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A2ED">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B95E">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24B3">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3F74">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6231">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8083">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B116">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C014">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3C9D">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920E">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B221">
            <w:pPr>
              <w:rPr>
                <w:rFonts w:hint="eastAsia" w:ascii="宋体" w:hAnsi="宋体" w:eastAsia="宋体" w:cs="宋体"/>
                <w:i w:val="0"/>
                <w:iCs w:val="0"/>
                <w:color w:val="000000"/>
                <w:sz w:val="20"/>
                <w:szCs w:val="20"/>
                <w:u w:val="none"/>
              </w:rPr>
            </w:pPr>
          </w:p>
        </w:tc>
      </w:tr>
      <w:tr w14:paraId="4CEE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C8D0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D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9048">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6ACC">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927B">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C141">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951C">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AEFF">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696B">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2F14">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41BA">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A6A4">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C0DF">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91FB">
            <w:pPr>
              <w:rPr>
                <w:rFonts w:hint="eastAsia" w:ascii="宋体" w:hAnsi="宋体" w:eastAsia="宋体" w:cs="宋体"/>
                <w:i w:val="0"/>
                <w:iCs w:val="0"/>
                <w:color w:val="000000"/>
                <w:sz w:val="20"/>
                <w:szCs w:val="20"/>
                <w:u w:val="none"/>
              </w:rPr>
            </w:pPr>
          </w:p>
        </w:tc>
      </w:tr>
      <w:tr w14:paraId="23A0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F36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D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2D44">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7F96">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37F3">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E702">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767C">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5C72">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B724">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5BAA">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94A5">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795B">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57AC">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6793">
            <w:pPr>
              <w:rPr>
                <w:rFonts w:hint="eastAsia" w:ascii="宋体" w:hAnsi="宋体" w:eastAsia="宋体" w:cs="宋体"/>
                <w:i w:val="0"/>
                <w:iCs w:val="0"/>
                <w:color w:val="000000"/>
                <w:sz w:val="20"/>
                <w:szCs w:val="20"/>
                <w:u w:val="none"/>
              </w:rPr>
            </w:pPr>
          </w:p>
        </w:tc>
      </w:tr>
      <w:tr w14:paraId="4940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86"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E84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A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AA7E">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43A1">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B013">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6B07">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8074">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9E79">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849A">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0A48">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2BC7">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531A">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7408">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62FA">
            <w:pPr>
              <w:rPr>
                <w:rFonts w:hint="eastAsia" w:ascii="宋体" w:hAnsi="宋体" w:eastAsia="宋体" w:cs="宋体"/>
                <w:i w:val="0"/>
                <w:iCs w:val="0"/>
                <w:color w:val="000000"/>
                <w:sz w:val="20"/>
                <w:szCs w:val="20"/>
                <w:u w:val="none"/>
              </w:rPr>
            </w:pPr>
          </w:p>
        </w:tc>
      </w:tr>
      <w:tr w14:paraId="1FA3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8" w:type="dxa"/>
          <w:trHeight w:val="294" w:hRule="atLeast"/>
        </w:trPr>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6BB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D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D88E">
            <w:pP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C0E6">
            <w:pP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DDC6">
            <w:pP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ED79">
            <w:pPr>
              <w:rPr>
                <w:rFonts w:hint="eastAsia" w:ascii="宋体" w:hAnsi="宋体" w:eastAsia="宋体" w:cs="宋体"/>
                <w:i w:val="0"/>
                <w:iCs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6C39">
            <w:pPr>
              <w:rPr>
                <w:rFonts w:hint="eastAsia" w:ascii="宋体" w:hAnsi="宋体" w:eastAsia="宋体" w:cs="宋体"/>
                <w:i w:val="0"/>
                <w:iCs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A522">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7D8A">
            <w:pP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39D7">
            <w:pP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23A8">
            <w:pPr>
              <w:rPr>
                <w:rFonts w:hint="eastAsia" w:ascii="宋体" w:hAnsi="宋体" w:eastAsia="宋体" w:cs="宋体"/>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4F2E">
            <w:pP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4C8F">
            <w:pPr>
              <w:rPr>
                <w:rFonts w:hint="eastAsia" w:ascii="宋体" w:hAnsi="宋体" w:eastAsia="宋体" w:cs="宋体"/>
                <w:i w:val="0"/>
                <w:iCs w:val="0"/>
                <w:color w:val="000000"/>
                <w:sz w:val="20"/>
                <w:szCs w:val="20"/>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B703">
            <w:pPr>
              <w:rPr>
                <w:rFonts w:hint="eastAsia" w:ascii="宋体" w:hAnsi="宋体" w:eastAsia="宋体" w:cs="宋体"/>
                <w:i w:val="0"/>
                <w:iCs w:val="0"/>
                <w:color w:val="000000"/>
                <w:sz w:val="20"/>
                <w:szCs w:val="20"/>
                <w:u w:val="none"/>
              </w:rPr>
            </w:pPr>
          </w:p>
        </w:tc>
      </w:tr>
      <w:tr w14:paraId="086AE3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7" w:type="dxa"/>
          <w:trHeight w:val="376" w:hRule="atLeast"/>
        </w:trPr>
        <w:tc>
          <w:tcPr>
            <w:tcW w:w="797" w:type="dxa"/>
            <w:gridSpan w:val="2"/>
            <w:vMerge w:val="restart"/>
            <w:tcBorders>
              <w:top w:val="single" w:color="auto" w:sz="4" w:space="0"/>
              <w:left w:val="single" w:color="auto" w:sz="4" w:space="0"/>
              <w:right w:val="single" w:color="auto" w:sz="4" w:space="0"/>
            </w:tcBorders>
            <w:shd w:val="clear" w:color="auto" w:fill="auto"/>
            <w:noWrap/>
            <w:vAlign w:val="center"/>
          </w:tcPr>
          <w:p w14:paraId="2F96E814">
            <w:pPr>
              <w:jc w:val="center"/>
              <w:rPr>
                <w:rFonts w:ascii="宋体" w:hAnsi="宋体" w:cs="宋体"/>
                <w:color w:val="000000"/>
                <w:sz w:val="22"/>
                <w:szCs w:val="22"/>
              </w:rPr>
            </w:pPr>
            <w:r>
              <w:rPr>
                <w:rFonts w:hint="eastAsia" w:ascii="宋体" w:hAnsi="宋体" w:cs="宋体"/>
                <w:color w:val="000000"/>
                <w:sz w:val="22"/>
                <w:szCs w:val="22"/>
              </w:rPr>
              <w:t>备注:</w:t>
            </w:r>
          </w:p>
        </w:tc>
        <w:tc>
          <w:tcPr>
            <w:tcW w:w="8782" w:type="dxa"/>
            <w:gridSpan w:val="14"/>
            <w:tcBorders>
              <w:top w:val="single" w:color="auto" w:sz="4" w:space="0"/>
              <w:left w:val="nil"/>
              <w:bottom w:val="single" w:color="auto" w:sz="4" w:space="0"/>
              <w:right w:val="single" w:color="auto" w:sz="4" w:space="0"/>
            </w:tcBorders>
            <w:shd w:val="clear" w:color="auto" w:fill="auto"/>
            <w:noWrap/>
            <w:vAlign w:val="bottom"/>
          </w:tcPr>
          <w:p w14:paraId="5886591A">
            <w:pPr>
              <w:jc w:val="left"/>
              <w:rPr>
                <w:rFonts w:hint="default" w:ascii="宋体" w:hAnsi="宋体" w:cs="宋体"/>
                <w:color w:val="000000"/>
                <w:sz w:val="22"/>
                <w:szCs w:val="22"/>
                <w:lang w:val="en-US"/>
              </w:rPr>
            </w:pPr>
            <w:r>
              <w:rPr>
                <w:rFonts w:hint="eastAsia" w:ascii="宋体" w:hAnsi="宋体" w:cs="宋体"/>
                <w:color w:val="000000"/>
                <w:sz w:val="22"/>
                <w:szCs w:val="22"/>
              </w:rPr>
              <w:t>1、</w:t>
            </w:r>
            <w:r>
              <w:rPr>
                <w:rFonts w:hint="eastAsia" w:ascii="宋体" w:hAnsi="宋体" w:cs="宋体"/>
                <w:color w:val="000000"/>
                <w:sz w:val="22"/>
                <w:szCs w:val="22"/>
                <w:lang w:val="en-US" w:eastAsia="zh-CN"/>
              </w:rPr>
              <w:t>要求快递品牌</w:t>
            </w:r>
            <w:r>
              <w:rPr>
                <w:rFonts w:hint="eastAsia" w:ascii="宋体" w:hAnsi="宋体" w:cs="宋体"/>
                <w:b/>
                <w:bCs/>
                <w:color w:val="000000"/>
                <w:sz w:val="36"/>
                <w:szCs w:val="36"/>
                <w:lang w:val="en-US" w:eastAsia="zh-CN"/>
              </w:rPr>
              <w:t>京东、丹鸟、德邦、顺丰</w:t>
            </w:r>
            <w:r>
              <w:rPr>
                <w:rFonts w:hint="eastAsia" w:ascii="宋体" w:hAnsi="宋体" w:cs="宋体"/>
                <w:color w:val="000000"/>
                <w:sz w:val="22"/>
                <w:szCs w:val="22"/>
                <w:lang w:val="en-US" w:eastAsia="zh-CN"/>
              </w:rPr>
              <w:t>;</w:t>
            </w:r>
          </w:p>
        </w:tc>
      </w:tr>
      <w:tr w14:paraId="6D50C9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After w:val="1"/>
          <w:wAfter w:w="117" w:type="dxa"/>
          <w:trHeight w:val="960" w:hRule="atLeast"/>
        </w:trPr>
        <w:tc>
          <w:tcPr>
            <w:tcW w:w="797" w:type="dxa"/>
            <w:gridSpan w:val="2"/>
            <w:vMerge w:val="continue"/>
            <w:tcBorders>
              <w:left w:val="single" w:color="auto" w:sz="4" w:space="0"/>
              <w:right w:val="single" w:color="auto" w:sz="4" w:space="0"/>
            </w:tcBorders>
            <w:shd w:val="clear" w:color="auto" w:fill="auto"/>
            <w:vAlign w:val="center"/>
          </w:tcPr>
          <w:p w14:paraId="5CE004AE">
            <w:pPr>
              <w:rPr>
                <w:rFonts w:ascii="宋体" w:hAnsi="宋体" w:cs="宋体"/>
                <w:color w:val="000000"/>
                <w:sz w:val="22"/>
                <w:szCs w:val="22"/>
              </w:rPr>
            </w:pPr>
          </w:p>
        </w:tc>
        <w:tc>
          <w:tcPr>
            <w:tcW w:w="8782"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5D20244C">
            <w:pPr>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rPr>
              <w:t xml:space="preserve">2.需要组包:(1)、2-10件按:  </w:t>
            </w:r>
            <w:r>
              <w:rPr>
                <w:rFonts w:hint="eastAsia" w:ascii="宋体" w:hAnsi="宋体" w:cs="宋体"/>
                <w:color w:val="000000"/>
                <w:sz w:val="22"/>
                <w:szCs w:val="22"/>
                <w:lang w:val="en-US" w:eastAsia="zh-CN"/>
              </w:rPr>
              <w:t>___</w:t>
            </w:r>
            <w:r>
              <w:rPr>
                <w:rFonts w:hint="eastAsia" w:ascii="宋体" w:hAnsi="宋体" w:cs="宋体"/>
                <w:color w:val="000000"/>
                <w:sz w:val="22"/>
                <w:szCs w:val="22"/>
              </w:rPr>
              <w:t xml:space="preserve">元/包裹,(2)、11-20件内按:  </w:t>
            </w:r>
            <w:r>
              <w:rPr>
                <w:rFonts w:hint="eastAsia" w:ascii="宋体" w:hAnsi="宋体" w:cs="宋体"/>
                <w:color w:val="000000"/>
                <w:sz w:val="22"/>
                <w:szCs w:val="22"/>
                <w:lang w:val="en-US" w:eastAsia="zh-CN"/>
              </w:rPr>
              <w:t>___</w:t>
            </w:r>
            <w:r>
              <w:rPr>
                <w:rFonts w:hint="eastAsia" w:ascii="宋体" w:hAnsi="宋体" w:cs="宋体"/>
                <w:color w:val="000000"/>
                <w:sz w:val="22"/>
                <w:szCs w:val="22"/>
              </w:rPr>
              <w:t xml:space="preserve">元/包裹,(3)、21-31及以上件按:  </w:t>
            </w:r>
            <w:r>
              <w:rPr>
                <w:rFonts w:hint="eastAsia" w:ascii="宋体" w:hAnsi="宋体" w:cs="宋体"/>
                <w:color w:val="000000"/>
                <w:sz w:val="22"/>
                <w:szCs w:val="22"/>
                <w:lang w:val="en-US" w:eastAsia="zh-CN"/>
              </w:rPr>
              <w:t>___</w:t>
            </w:r>
            <w:r>
              <w:rPr>
                <w:rFonts w:hint="eastAsia" w:ascii="宋体" w:hAnsi="宋体" w:cs="宋体"/>
                <w:color w:val="000000"/>
                <w:sz w:val="22"/>
                <w:szCs w:val="22"/>
              </w:rPr>
              <w:t>元/包裹结算,(4)、无需增值服务的按:免费。（5）包材甲方提供</w:t>
            </w:r>
            <w:r>
              <w:rPr>
                <w:rFonts w:hint="eastAsia" w:ascii="宋体" w:hAnsi="宋体" w:cs="宋体"/>
                <w:color w:val="000000"/>
                <w:sz w:val="22"/>
                <w:szCs w:val="22"/>
                <w:lang w:val="en-US" w:eastAsia="zh-CN"/>
              </w:rPr>
              <w:t>;</w:t>
            </w:r>
          </w:p>
        </w:tc>
      </w:tr>
      <w:tr w14:paraId="026477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7" w:type="dxa"/>
          <w:trHeight w:val="650" w:hRule="atLeast"/>
        </w:trPr>
        <w:tc>
          <w:tcPr>
            <w:tcW w:w="797" w:type="dxa"/>
            <w:gridSpan w:val="2"/>
            <w:vMerge w:val="continue"/>
            <w:tcBorders>
              <w:left w:val="single" w:color="auto" w:sz="4" w:space="0"/>
              <w:right w:val="single" w:color="auto" w:sz="4" w:space="0"/>
            </w:tcBorders>
            <w:shd w:val="clear" w:color="auto" w:fill="auto"/>
            <w:vAlign w:val="center"/>
          </w:tcPr>
          <w:p w14:paraId="0F5B6EAD">
            <w:pPr>
              <w:rPr>
                <w:rFonts w:ascii="宋体" w:hAnsi="宋体" w:cs="宋体"/>
                <w:color w:val="000000"/>
                <w:sz w:val="22"/>
                <w:szCs w:val="22"/>
              </w:rPr>
            </w:pPr>
          </w:p>
        </w:tc>
        <w:tc>
          <w:tcPr>
            <w:tcW w:w="8782" w:type="dxa"/>
            <w:gridSpan w:val="14"/>
            <w:tcBorders>
              <w:top w:val="single" w:color="auto" w:sz="4" w:space="0"/>
              <w:left w:val="nil"/>
              <w:bottom w:val="single" w:color="auto" w:sz="4" w:space="0"/>
              <w:right w:val="single" w:color="auto" w:sz="4" w:space="0"/>
            </w:tcBorders>
            <w:shd w:val="clear" w:color="auto" w:fill="auto"/>
            <w:noWrap/>
            <w:vAlign w:val="bottom"/>
          </w:tcPr>
          <w:p w14:paraId="0F85685D">
            <w:pPr>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rPr>
              <w:t>3、计费标准取整公斤计算，即超过3公斤按4公斤标准结算，以此类推</w:t>
            </w:r>
            <w:r>
              <w:rPr>
                <w:rFonts w:hint="eastAsia" w:ascii="宋体" w:hAnsi="宋体" w:cs="宋体"/>
                <w:color w:val="000000"/>
                <w:sz w:val="22"/>
                <w:szCs w:val="22"/>
                <w:lang w:val="en-US" w:eastAsia="zh-CN"/>
              </w:rPr>
              <w:t>;</w:t>
            </w:r>
          </w:p>
        </w:tc>
      </w:tr>
      <w:tr w14:paraId="17B380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7" w:type="dxa"/>
          <w:trHeight w:val="650" w:hRule="atLeast"/>
        </w:trPr>
        <w:tc>
          <w:tcPr>
            <w:tcW w:w="797" w:type="dxa"/>
            <w:gridSpan w:val="2"/>
            <w:vMerge w:val="continue"/>
            <w:tcBorders>
              <w:left w:val="single" w:color="auto" w:sz="4" w:space="0"/>
              <w:right w:val="single" w:color="auto" w:sz="4" w:space="0"/>
            </w:tcBorders>
            <w:shd w:val="clear" w:color="auto" w:fill="auto"/>
            <w:vAlign w:val="center"/>
          </w:tcPr>
          <w:p w14:paraId="5E3A1A09">
            <w:pPr>
              <w:rPr>
                <w:rFonts w:ascii="宋体" w:hAnsi="宋体" w:cs="宋体"/>
                <w:color w:val="000000"/>
                <w:sz w:val="22"/>
                <w:szCs w:val="22"/>
              </w:rPr>
            </w:pPr>
          </w:p>
        </w:tc>
        <w:tc>
          <w:tcPr>
            <w:tcW w:w="8782" w:type="dxa"/>
            <w:gridSpan w:val="14"/>
            <w:tcBorders>
              <w:top w:val="single" w:color="auto" w:sz="4" w:space="0"/>
              <w:left w:val="nil"/>
              <w:bottom w:val="single" w:color="auto" w:sz="4" w:space="0"/>
              <w:right w:val="single" w:color="auto" w:sz="4" w:space="0"/>
            </w:tcBorders>
            <w:shd w:val="clear" w:color="auto" w:fill="auto"/>
            <w:noWrap/>
            <w:vAlign w:val="bottom"/>
          </w:tcPr>
          <w:p w14:paraId="01A13240">
            <w:pPr>
              <w:jc w:val="left"/>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4、仓库性质_______,免租期________天，仓库租赁费_______元/立方/天，其余杂费_____；</w:t>
            </w:r>
          </w:p>
        </w:tc>
      </w:tr>
      <w:tr w14:paraId="680B1E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17" w:type="dxa"/>
          <w:trHeight w:val="650" w:hRule="atLeast"/>
        </w:trPr>
        <w:tc>
          <w:tcPr>
            <w:tcW w:w="797" w:type="dxa"/>
            <w:gridSpan w:val="2"/>
            <w:vMerge w:val="continue"/>
            <w:tcBorders>
              <w:left w:val="single" w:color="auto" w:sz="4" w:space="0"/>
              <w:bottom w:val="single" w:color="000000" w:sz="4" w:space="0"/>
              <w:right w:val="single" w:color="auto" w:sz="4" w:space="0"/>
            </w:tcBorders>
            <w:shd w:val="clear" w:color="auto" w:fill="auto"/>
            <w:vAlign w:val="center"/>
          </w:tcPr>
          <w:p w14:paraId="56907939">
            <w:pPr>
              <w:rPr>
                <w:rFonts w:ascii="宋体" w:hAnsi="宋体" w:cs="宋体"/>
                <w:color w:val="000000"/>
                <w:sz w:val="22"/>
                <w:szCs w:val="22"/>
              </w:rPr>
            </w:pPr>
          </w:p>
        </w:tc>
        <w:tc>
          <w:tcPr>
            <w:tcW w:w="8782" w:type="dxa"/>
            <w:gridSpan w:val="14"/>
            <w:tcBorders>
              <w:top w:val="single" w:color="auto" w:sz="4" w:space="0"/>
              <w:left w:val="nil"/>
              <w:bottom w:val="single" w:color="auto" w:sz="4" w:space="0"/>
              <w:right w:val="single" w:color="auto" w:sz="4" w:space="0"/>
            </w:tcBorders>
            <w:shd w:val="clear" w:color="auto" w:fill="auto"/>
            <w:noWrap/>
            <w:vAlign w:val="bottom"/>
          </w:tcPr>
          <w:p w14:paraId="605FBC90">
            <w:pPr>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r>
              <w:rPr>
                <w:rFonts w:hint="eastAsia" w:ascii="宋体" w:hAnsi="宋体" w:cs="宋体"/>
                <w:color w:val="000000"/>
                <w:sz w:val="22"/>
                <w:szCs w:val="22"/>
              </w:rPr>
              <w:t>上述价格含6%增值税专用发票</w:t>
            </w:r>
            <w:r>
              <w:rPr>
                <w:rFonts w:hint="eastAsia" w:ascii="宋体" w:hAnsi="宋体" w:cs="宋体"/>
                <w:color w:val="000000"/>
                <w:sz w:val="22"/>
                <w:szCs w:val="22"/>
                <w:lang w:eastAsia="zh-CN"/>
              </w:rPr>
              <w:t>。</w:t>
            </w:r>
          </w:p>
        </w:tc>
      </w:tr>
    </w:tbl>
    <w:p w14:paraId="790C340F"/>
    <w:p w14:paraId="36DFA1F5"/>
    <w:p w14:paraId="3C550AEC">
      <w:pPr>
        <w:rPr>
          <w:b/>
          <w:sz w:val="28"/>
          <w:szCs w:val="28"/>
        </w:rPr>
      </w:pPr>
      <w:r>
        <w:rPr>
          <w:rFonts w:hint="eastAsia" w:ascii="宋体" w:hAnsi="宋体" w:cs="宋体"/>
          <w:color w:val="000000"/>
          <w:sz w:val="21"/>
          <w:szCs w:val="21"/>
        </w:rPr>
        <w:t>（备注：以上价格包含所有费用）</w:t>
      </w:r>
    </w:p>
    <w:p w14:paraId="2590CE30">
      <w:pPr>
        <w:spacing w:line="360" w:lineRule="auto"/>
        <w:rPr>
          <w:rStyle w:val="23"/>
          <w:b/>
          <w:color w:val="auto"/>
          <w:u w:val="none"/>
        </w:rPr>
      </w:pPr>
      <w:r>
        <w:rPr>
          <w:rStyle w:val="23"/>
          <w:rFonts w:hint="eastAsia"/>
          <w:b/>
          <w:color w:val="auto"/>
          <w:u w:val="none"/>
        </w:rPr>
        <w:t>投标人授权代表（签字）投标人全称（公章）</w:t>
      </w:r>
    </w:p>
    <w:p w14:paraId="3F42C1BB">
      <w:pPr>
        <w:spacing w:line="360" w:lineRule="auto"/>
        <w:ind w:firstLine="4831" w:firstLineChars="2005"/>
        <w:rPr>
          <w:rStyle w:val="23"/>
          <w:b/>
          <w:color w:val="auto"/>
          <w:u w:val="none"/>
        </w:rPr>
      </w:pPr>
    </w:p>
    <w:p w14:paraId="7F0F08E8">
      <w:pPr>
        <w:spacing w:line="360" w:lineRule="auto"/>
        <w:rPr>
          <w:rStyle w:val="23"/>
          <w:b/>
          <w:color w:val="auto"/>
          <w:u w:val="none"/>
        </w:rPr>
      </w:pPr>
    </w:p>
    <w:p w14:paraId="7ED5B4A6">
      <w:pPr>
        <w:spacing w:line="360" w:lineRule="auto"/>
        <w:ind w:firstLine="4831" w:firstLineChars="2005"/>
        <w:rPr>
          <w:rStyle w:val="23"/>
          <w:b/>
          <w:color w:val="auto"/>
          <w:u w:val="none"/>
        </w:rPr>
      </w:pPr>
      <w:r>
        <w:rPr>
          <w:rStyle w:val="23"/>
          <w:rFonts w:hint="eastAsia"/>
          <w:b/>
          <w:color w:val="auto"/>
          <w:u w:val="none"/>
        </w:rPr>
        <w:t>年 月 日</w:t>
      </w:r>
    </w:p>
    <w:p w14:paraId="778E0F41">
      <w:pPr>
        <w:pStyle w:val="2"/>
        <w:spacing w:before="0" w:after="0" w:line="240" w:lineRule="auto"/>
        <w:rPr>
          <w:rFonts w:hint="eastAsia" w:ascii="黑体" w:eastAsia="黑体" w:cs="黑体"/>
          <w:b w:val="0"/>
          <w:sz w:val="28"/>
          <w:szCs w:val="28"/>
        </w:rPr>
      </w:pPr>
      <w:bookmarkStart w:id="95" w:name="_Toc358454133"/>
    </w:p>
    <w:p w14:paraId="0588AE1C">
      <w:pPr>
        <w:pStyle w:val="2"/>
        <w:spacing w:before="0" w:after="0" w:line="240" w:lineRule="auto"/>
        <w:rPr>
          <w:rFonts w:hint="eastAsia" w:ascii="黑体" w:eastAsia="黑体" w:cs="黑体"/>
          <w:b w:val="0"/>
          <w:sz w:val="28"/>
          <w:szCs w:val="28"/>
        </w:rPr>
      </w:pPr>
    </w:p>
    <w:p w14:paraId="5F7BE381">
      <w:pPr>
        <w:pStyle w:val="2"/>
        <w:spacing w:before="0" w:after="0" w:line="240" w:lineRule="auto"/>
        <w:rPr>
          <w:rFonts w:hint="eastAsia" w:ascii="黑体" w:eastAsia="黑体" w:cs="黑体"/>
          <w:b w:val="0"/>
          <w:sz w:val="28"/>
          <w:szCs w:val="28"/>
        </w:rPr>
      </w:pPr>
    </w:p>
    <w:p w14:paraId="3F5CB121">
      <w:pPr>
        <w:pStyle w:val="2"/>
        <w:spacing w:before="0" w:after="0" w:line="240" w:lineRule="auto"/>
        <w:rPr>
          <w:rFonts w:hint="eastAsia" w:ascii="黑体" w:eastAsia="黑体" w:cs="黑体"/>
          <w:b w:val="0"/>
          <w:sz w:val="28"/>
          <w:szCs w:val="28"/>
        </w:rPr>
      </w:pPr>
    </w:p>
    <w:p w14:paraId="78917D29">
      <w:pPr>
        <w:pStyle w:val="2"/>
        <w:spacing w:before="0" w:after="0" w:line="240" w:lineRule="auto"/>
        <w:rPr>
          <w:rFonts w:hint="eastAsia" w:ascii="黑体" w:eastAsia="黑体" w:cs="黑体"/>
          <w:b w:val="0"/>
          <w:sz w:val="28"/>
          <w:szCs w:val="28"/>
        </w:rPr>
      </w:pPr>
    </w:p>
    <w:p w14:paraId="51A4FC2D">
      <w:pPr>
        <w:pStyle w:val="2"/>
        <w:spacing w:before="0" w:after="0" w:line="240" w:lineRule="auto"/>
        <w:rPr>
          <w:rFonts w:hint="eastAsia" w:ascii="黑体" w:eastAsia="黑体" w:cs="黑体"/>
          <w:b w:val="0"/>
          <w:sz w:val="28"/>
          <w:szCs w:val="28"/>
        </w:rPr>
      </w:pPr>
    </w:p>
    <w:p w14:paraId="089401D8">
      <w:pPr>
        <w:pStyle w:val="2"/>
        <w:spacing w:before="0" w:after="0" w:line="240" w:lineRule="auto"/>
        <w:rPr>
          <w:rFonts w:hint="eastAsia" w:ascii="黑体" w:eastAsia="黑体" w:cs="黑体"/>
          <w:b w:val="0"/>
          <w:sz w:val="28"/>
          <w:szCs w:val="28"/>
        </w:rPr>
      </w:pPr>
    </w:p>
    <w:p w14:paraId="4628A7EC">
      <w:pPr>
        <w:pStyle w:val="2"/>
        <w:spacing w:before="0" w:after="0" w:line="240" w:lineRule="auto"/>
        <w:rPr>
          <w:rFonts w:hint="eastAsia" w:ascii="黑体" w:eastAsia="黑体" w:cs="黑体"/>
          <w:b w:val="0"/>
          <w:sz w:val="28"/>
          <w:szCs w:val="28"/>
        </w:rPr>
      </w:pPr>
    </w:p>
    <w:p w14:paraId="36BA7F8E">
      <w:pPr>
        <w:pStyle w:val="2"/>
        <w:spacing w:before="0" w:after="0" w:line="240" w:lineRule="auto"/>
        <w:rPr>
          <w:rFonts w:hint="eastAsia" w:ascii="黑体" w:eastAsia="黑体" w:cs="黑体"/>
          <w:b w:val="0"/>
          <w:sz w:val="28"/>
          <w:szCs w:val="28"/>
        </w:rPr>
      </w:pPr>
    </w:p>
    <w:p w14:paraId="597F3375">
      <w:pPr>
        <w:pStyle w:val="2"/>
        <w:spacing w:before="0" w:after="0" w:line="240" w:lineRule="auto"/>
        <w:rPr>
          <w:rFonts w:hint="eastAsia" w:ascii="黑体" w:eastAsia="黑体" w:cs="黑体"/>
          <w:b w:val="0"/>
          <w:sz w:val="28"/>
          <w:szCs w:val="28"/>
        </w:rPr>
      </w:pPr>
    </w:p>
    <w:p w14:paraId="6780349F">
      <w:pPr>
        <w:pStyle w:val="2"/>
        <w:spacing w:before="0" w:after="0" w:line="240" w:lineRule="auto"/>
        <w:rPr>
          <w:rFonts w:ascii="黑体" w:eastAsia="黑体" w:cs="黑体"/>
          <w:b w:val="0"/>
          <w:sz w:val="28"/>
          <w:szCs w:val="28"/>
        </w:rPr>
      </w:pPr>
      <w:r>
        <w:rPr>
          <w:rFonts w:hint="eastAsia" w:ascii="黑体" w:eastAsia="黑体" w:cs="黑体"/>
          <w:b w:val="0"/>
          <w:sz w:val="28"/>
          <w:szCs w:val="28"/>
        </w:rPr>
        <w:t>合同范本</w:t>
      </w:r>
      <w:bookmarkEnd w:id="95"/>
    </w:p>
    <w:p w14:paraId="3C6F9C64">
      <w:pPr>
        <w:tabs>
          <w:tab w:val="left" w:pos="3240"/>
        </w:tabs>
        <w:autoSpaceDE w:val="0"/>
        <w:autoSpaceDN w:val="0"/>
        <w:adjustRightInd w:val="0"/>
        <w:jc w:val="center"/>
        <w:rPr>
          <w:rFonts w:ascii="宋体" w:hAnsi="宋体" w:cs="黑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电子商务（大宝系统）物流</w:t>
      </w:r>
      <w:r>
        <w:rPr>
          <w:rFonts w:hint="eastAsia" w:ascii="宋体" w:hAnsi="宋体"/>
          <w:b/>
          <w:color w:val="000000" w:themeColor="text1"/>
          <w:sz w:val="32"/>
          <w:szCs w:val="32"/>
          <w14:textFill>
            <w14:solidFill>
              <w14:schemeClr w14:val="tx1"/>
            </w14:solidFill>
          </w14:textFill>
        </w:rPr>
        <w:t>服务合同</w:t>
      </w:r>
    </w:p>
    <w:p w14:paraId="20CF7FFF">
      <w:pPr>
        <w:spacing w:line="276" w:lineRule="auto"/>
        <w:rPr>
          <w:rFonts w:asciiTheme="minorEastAsia" w:hAnsiTheme="minorEastAsia" w:eastAsiaTheme="minorEastAsia"/>
          <w:color w:val="000000" w:themeColor="text1"/>
          <w:szCs w:val="21"/>
          <w14:textFill>
            <w14:solidFill>
              <w14:schemeClr w14:val="tx1"/>
            </w14:solidFill>
          </w14:textFill>
        </w:rPr>
      </w:pPr>
    </w:p>
    <w:p w14:paraId="536E210B">
      <w:pPr>
        <w:pStyle w:val="7"/>
        <w:spacing w:before="100" w:beforeAutospacing="1"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本合同由以下各方于</w:t>
      </w:r>
      <w:r>
        <w:rPr>
          <w:rFonts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14:textFill>
            <w14:solidFill>
              <w14:schemeClr w14:val="tx1"/>
            </w14:solidFill>
          </w14:textFill>
        </w:rPr>
        <w:t>年</w:t>
      </w:r>
      <w:r>
        <w:rPr>
          <w:rFonts w:hint="eastAsia" w:hAnsi="宋体"/>
          <w:b/>
          <w:bCs/>
          <w:color w:val="000000" w:themeColor="text1"/>
          <w:sz w:val="20"/>
          <w:u w:val="single"/>
          <w14:textFill>
            <w14:solidFill>
              <w14:schemeClr w14:val="tx1"/>
            </w14:solidFill>
          </w14:textFill>
        </w:rPr>
        <w:t xml:space="preserve"> </w:t>
      </w:r>
      <w:r>
        <w:rPr>
          <w:rFonts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14:textFill>
            <w14:solidFill>
              <w14:schemeClr w14:val="tx1"/>
            </w14:solidFill>
          </w14:textFill>
        </w:rPr>
        <w:t xml:space="preserve"> 月</w:t>
      </w:r>
      <w:r>
        <w:rPr>
          <w:rFonts w:hint="eastAsia" w:hAnsi="宋体"/>
          <w:b/>
          <w:bCs/>
          <w:color w:val="000000" w:themeColor="text1"/>
          <w:sz w:val="20"/>
          <w:u w:val="single"/>
          <w14:textFill>
            <w14:solidFill>
              <w14:schemeClr w14:val="tx1"/>
            </w14:solidFill>
          </w14:textFill>
        </w:rPr>
        <w:t xml:space="preserve"> </w:t>
      </w:r>
      <w:r>
        <w:rPr>
          <w:rFonts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u w:val="single"/>
          <w14:textFill>
            <w14:solidFill>
              <w14:schemeClr w14:val="tx1"/>
            </w14:solidFill>
          </w14:textFill>
        </w:rPr>
        <w:t xml:space="preserve"> </w:t>
      </w:r>
      <w:r>
        <w:rPr>
          <w:rFonts w:hint="eastAsia" w:hAnsi="宋体"/>
          <w:b/>
          <w:bCs/>
          <w:color w:val="000000" w:themeColor="text1"/>
          <w:sz w:val="20"/>
          <w14:textFill>
            <w14:solidFill>
              <w14:schemeClr w14:val="tx1"/>
            </w14:solidFill>
          </w14:textFill>
        </w:rPr>
        <w:t>日在上海市浦东新区签署</w:t>
      </w:r>
    </w:p>
    <w:p w14:paraId="42F680CE">
      <w:pPr>
        <w:pStyle w:val="7"/>
        <w:spacing w:before="156" w:beforeLines="50"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托运方合同编号：</w:t>
      </w:r>
    </w:p>
    <w:p w14:paraId="05B84890">
      <w:pPr>
        <w:pStyle w:val="7"/>
        <w:spacing w:before="156" w:beforeLines="50" w:line="360" w:lineRule="auto"/>
        <w:rPr>
          <w:color w:val="000000" w:themeColor="text1"/>
          <w14:textFill>
            <w14:solidFill>
              <w14:schemeClr w14:val="tx1"/>
            </w14:solidFill>
          </w14:textFill>
        </w:rPr>
      </w:pPr>
      <w:r>
        <w:rPr>
          <w:rFonts w:hint="eastAsia" w:hAnsi="宋体"/>
          <w:b/>
          <w:bCs/>
          <w:color w:val="000000" w:themeColor="text1"/>
          <w:sz w:val="20"/>
          <w14:textFill>
            <w14:solidFill>
              <w14:schemeClr w14:val="tx1"/>
            </w14:solidFill>
          </w14:textFill>
        </w:rPr>
        <w:t>托运方1（甲方1）：上海东冠健康用品股份有限公司</w:t>
      </w:r>
    </w:p>
    <w:p w14:paraId="09C47B1B">
      <w:pPr>
        <w:pStyle w:val="7"/>
        <w:spacing w:before="156" w:beforeLines="50"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地址：上海市浦东新民夏路158号</w:t>
      </w:r>
    </w:p>
    <w:p w14:paraId="51B37687">
      <w:pPr>
        <w:pStyle w:val="7"/>
        <w:spacing w:before="156" w:beforeLines="50"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电话/传真：021-57277145/021-57277678</w:t>
      </w:r>
    </w:p>
    <w:p w14:paraId="6CD6E9F7">
      <w:pPr>
        <w:pStyle w:val="7"/>
        <w:spacing w:before="156" w:beforeLines="50" w:line="360" w:lineRule="auto"/>
        <w:rPr>
          <w:rFonts w:hAnsi="宋体"/>
          <w:b/>
          <w:bCs/>
          <w:color w:val="000000" w:themeColor="text1"/>
          <w:sz w:val="20"/>
          <w14:textFill>
            <w14:solidFill>
              <w14:schemeClr w14:val="tx1"/>
            </w14:solidFill>
          </w14:textFill>
        </w:rPr>
      </w:pPr>
    </w:p>
    <w:p w14:paraId="0BDA892B">
      <w:pPr>
        <w:pStyle w:val="7"/>
        <w:spacing w:before="156" w:beforeLines="50" w:line="360" w:lineRule="auto"/>
        <w:rPr>
          <w:rFonts w:hAnsi="宋体"/>
          <w:b/>
          <w:bCs/>
          <w:color w:val="000000" w:themeColor="text1"/>
          <w:sz w:val="20"/>
          <w:u w:val="single"/>
          <w14:textFill>
            <w14:solidFill>
              <w14:schemeClr w14:val="tx1"/>
            </w14:solidFill>
          </w14:textFill>
        </w:rPr>
      </w:pPr>
      <w:r>
        <w:rPr>
          <w:rFonts w:hint="eastAsia" w:hAnsi="宋体"/>
          <w:b/>
          <w:bCs/>
          <w:color w:val="000000" w:themeColor="text1"/>
          <w:sz w:val="20"/>
          <w14:textFill>
            <w14:solidFill>
              <w14:schemeClr w14:val="tx1"/>
            </w14:solidFill>
          </w14:textFill>
        </w:rPr>
        <w:t>承运方合同编号：</w:t>
      </w:r>
    </w:p>
    <w:p w14:paraId="59CCE167">
      <w:pPr>
        <w:pStyle w:val="7"/>
        <w:spacing w:before="156" w:beforeLines="50" w:line="360" w:lineRule="auto"/>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承运方（乙方）：</w:t>
      </w:r>
    </w:p>
    <w:p w14:paraId="23F021C2">
      <w:pPr>
        <w:pStyle w:val="7"/>
        <w:spacing w:before="156" w:beforeLines="50" w:line="360" w:lineRule="auto"/>
        <w:rPr>
          <w:rFonts w:hAnsi="宋体"/>
          <w:b/>
          <w:bCs/>
          <w:sz w:val="20"/>
        </w:rPr>
      </w:pPr>
      <w:r>
        <w:rPr>
          <w:rFonts w:hint="eastAsia" w:hAnsi="宋体"/>
          <w:b/>
          <w:bCs/>
          <w:color w:val="000000" w:themeColor="text1"/>
          <w:sz w:val="20"/>
          <w14:textFill>
            <w14:solidFill>
              <w14:schemeClr w14:val="tx1"/>
            </w14:solidFill>
          </w14:textFill>
        </w:rPr>
        <w:t>地址：</w:t>
      </w:r>
      <w:r>
        <w:rPr>
          <w:rFonts w:hAnsi="宋体"/>
          <w:b/>
          <w:bCs/>
          <w:sz w:val="20"/>
        </w:rPr>
        <w:t xml:space="preserve"> </w:t>
      </w:r>
    </w:p>
    <w:p w14:paraId="4E4BD42F">
      <w:pPr>
        <w:pStyle w:val="7"/>
        <w:spacing w:before="156" w:beforeLines="50" w:line="360" w:lineRule="auto"/>
        <w:rPr>
          <w:rFonts w:hAnsi="宋体"/>
          <w:sz w:val="20"/>
        </w:rPr>
      </w:pPr>
      <w:r>
        <w:rPr>
          <w:rFonts w:hint="eastAsia" w:hAnsi="宋体"/>
          <w:b/>
          <w:bCs/>
          <w:color w:val="000000" w:themeColor="text1"/>
          <w:sz w:val="20"/>
          <w14:textFill>
            <w14:solidFill>
              <w14:schemeClr w14:val="tx1"/>
            </w14:solidFill>
          </w14:textFill>
        </w:rPr>
        <w:t>电话/传真：</w:t>
      </w:r>
      <w:r>
        <w:rPr>
          <w:rFonts w:hint="eastAsia" w:hAnsi="宋体"/>
          <w:b/>
          <w:bCs/>
          <w:sz w:val="20"/>
        </w:rPr>
        <w:t xml:space="preserve"> </w:t>
      </w:r>
    </w:p>
    <w:p w14:paraId="4E17FE91">
      <w:pPr>
        <w:spacing w:before="156" w:beforeLines="50" w:line="360"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是一家生产销售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098DE54F">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96" w:name="_Toc523812573"/>
      <w:r>
        <w:rPr>
          <w:rFonts w:hint="eastAsia" w:ascii="宋体" w:hAnsi="宋体" w:eastAsia="宋体"/>
          <w:color w:val="000000" w:themeColor="text1"/>
          <w:sz w:val="20"/>
          <w14:textFill>
            <w14:solidFill>
              <w14:schemeClr w14:val="tx1"/>
            </w14:solidFill>
          </w14:textFill>
        </w:rPr>
        <w:t>约定合作内容</w:t>
      </w:r>
      <w:bookmarkEnd w:id="96"/>
    </w:p>
    <w:p w14:paraId="23A2B901">
      <w:pPr>
        <w:spacing w:line="360" w:lineRule="auto"/>
        <w:rPr>
          <w:rFonts w:ascii="宋体" w:hAnsi="宋体"/>
          <w:b/>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甲方委托乙方提供</w:t>
      </w:r>
      <w:r>
        <w:rPr>
          <w:rFonts w:hint="eastAsia" w:ascii="宋体" w:hAnsi="宋体"/>
          <w:bCs/>
          <w:color w:val="000000" w:themeColor="text1"/>
          <w:sz w:val="20"/>
          <w:szCs w:val="20"/>
          <w:lang w:eastAsia="zh-CN"/>
          <w14:textFill>
            <w14:solidFill>
              <w14:schemeClr w14:val="tx1"/>
            </w14:solidFill>
          </w14:textFill>
        </w:rPr>
        <w:t>电子商务（大宝系统）物流</w:t>
      </w:r>
      <w:r>
        <w:rPr>
          <w:rFonts w:hint="eastAsia" w:ascii="宋体" w:hAnsi="宋体"/>
          <w:bCs/>
          <w:color w:val="000000" w:themeColor="text1"/>
          <w:sz w:val="20"/>
          <w:szCs w:val="20"/>
          <w14:textFill>
            <w14:solidFill>
              <w14:schemeClr w14:val="tx1"/>
            </w14:solidFill>
          </w14:textFill>
        </w:rPr>
        <w:t>服务，服务内容、价格参考“权利与义务”和“报价表”</w:t>
      </w:r>
    </w:p>
    <w:p w14:paraId="34A022C5">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r>
        <w:rPr>
          <w:rFonts w:hint="eastAsia" w:ascii="宋体" w:hAnsi="宋体" w:eastAsia="宋体"/>
          <w:color w:val="000000" w:themeColor="text1"/>
          <w:sz w:val="20"/>
          <w14:textFill>
            <w14:solidFill>
              <w14:schemeClr w14:val="tx1"/>
            </w14:solidFill>
          </w14:textFill>
        </w:rPr>
        <w:t>甲方权利及义务</w:t>
      </w:r>
    </w:p>
    <w:p w14:paraId="7E62BD60">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甲方应保证其存放在乙方仓库商品的合法性，并对甲方在乙方库内所有商品承担包括但不限于侵犯第三方知识产权，商品质量赔偿等法律责任；</w:t>
      </w:r>
    </w:p>
    <w:p w14:paraId="2D07F59A">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根据自身经营的需要，计划举办促销活动的，根据活动规模和业务难度，甲方需提前五天到十天，以书面方式将促销计划及促销期间每日的销售及订单数量的预期等信息告知乙方，甲乙双方共同协商促销期间服务执行方案，若甲方应电商平台要求举办临时促销活动则需第一时间告知乙方而不受前述规定时间的限制。对于甲方未提前通知乙方促销信息致使促销期间乙方提供的服务未能满足服务标准的，甲方同意乙方不承担赔偿责任；</w:t>
      </w:r>
    </w:p>
    <w:p w14:paraId="2565D3D0">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甲方商品入库到乙方仓库，需要提前1个工作日发出入库通知单；</w:t>
      </w:r>
    </w:p>
    <w:p w14:paraId="4E7B9540">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甲方商品运输至乙方仓库所产生的费用由甲方自行承担；</w:t>
      </w:r>
    </w:p>
    <w:p w14:paraId="7619850C">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甲方应按本合同及附件中约定，按时足额向乙方支付本合同所约定的服务费用及其他款项；</w:t>
      </w:r>
    </w:p>
    <w:p w14:paraId="4C122488">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甲方按照合同约定向乙方提供</w:t>
      </w:r>
      <w:r>
        <w:rPr>
          <w:rFonts w:hint="eastAsia" w:ascii="宋体" w:hAnsi="宋体"/>
          <w:sz w:val="20"/>
          <w:szCs w:val="20"/>
        </w:rPr>
        <w:t>乙方用于整箱的云仓仓储以及整箱贴单发货使用的临时场地。涉及分拣，打包的货物（两件以上含两件）由甲方运送到乙方仓库，乙方自行处理并发货。</w:t>
      </w:r>
    </w:p>
    <w:p w14:paraId="6F1042F4">
      <w:pPr>
        <w:pStyle w:val="64"/>
        <w:widowControl w:val="0"/>
        <w:numPr>
          <w:ilvl w:val="0"/>
          <w:numId w:val="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所有包材物料(纸箱、胶带)由甲方提供至乙方仓库，乙方需提供即时库存及使用情况。</w:t>
      </w:r>
    </w:p>
    <w:p w14:paraId="5DE58AC4">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r>
        <w:rPr>
          <w:rFonts w:hint="eastAsia" w:ascii="宋体" w:hAnsi="宋体" w:eastAsia="宋体"/>
          <w:color w:val="000000" w:themeColor="text1"/>
          <w:sz w:val="20"/>
          <w14:textFill>
            <w14:solidFill>
              <w14:schemeClr w14:val="tx1"/>
            </w14:solidFill>
          </w14:textFill>
        </w:rPr>
        <w:t>乙方权利及义务</w:t>
      </w:r>
    </w:p>
    <w:p w14:paraId="4A09726B">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乙方承诺遵守协议规定的服务内容，并承担相应的赔偿与罚则；</w:t>
      </w:r>
    </w:p>
    <w:p w14:paraId="67775E51">
      <w:pPr>
        <w:pStyle w:val="64"/>
        <w:widowControl w:val="0"/>
        <w:spacing w:line="360" w:lineRule="auto"/>
        <w:ind w:left="420" w:firstLine="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乙方有权对甲方电商物流进行设计和实施，改变电商物流设计和实施流程前，乙方需要至少提前10个工作日以书面形式（信函或邮件）通知甲方，并与甲方达成书面确认一致；</w:t>
      </w:r>
    </w:p>
    <w:p w14:paraId="696A3565">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乙方有权按本合同约定向甲方收取本合同项下的服务费用及其它款项。在甲方延迟支付相关费用或款项时，乙方有权要求甲方支付逾期付款违约金，但不得影响甲方销售订单的配送服务；</w:t>
      </w:r>
    </w:p>
    <w:p w14:paraId="2A8F5A14">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乙方应向甲方提供结算数据，供乙方与甲方进行财务结算；</w:t>
      </w:r>
    </w:p>
    <w:p w14:paraId="587F8ACE">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商品在存储、保管期间如因商品自身原因发生异常或紧急情形，乙方需及时反馈给甲方，在甲方赶到现场前，积极采取相关措施以避免甲方损失的扩大，相关费用由甲方承担。乙方负责商品的存储管理，全权负责甲方在库商品的资产安全。乙方应保持租赁物的清洁卫生、通风和干燥，货品码放整齐，并做好防火、防潮、防盗、防鼠、防虫等工作。由于乙方的责任，造成仓储中商品毁损、灭失、变质、污染等情形的，由乙方向甲方承担相关商品价值的直接损失（商品价值一般是指商品的出厂含税价）；但乙方能证明因为以下原因造成的，不承担相应的赔偿责任：</w:t>
      </w:r>
    </w:p>
    <w:p w14:paraId="2FFCDD00">
      <w:pPr>
        <w:pStyle w:val="64"/>
        <w:widowControl w:val="0"/>
        <w:numPr>
          <w:ilvl w:val="0"/>
          <w:numId w:val="7"/>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不可抗力（见本协议对不可抗力定义）；</w:t>
      </w:r>
    </w:p>
    <w:p w14:paraId="12B70C83">
      <w:pPr>
        <w:pStyle w:val="64"/>
        <w:widowControl w:val="0"/>
        <w:numPr>
          <w:ilvl w:val="0"/>
          <w:numId w:val="7"/>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商品本身的质量问题。</w:t>
      </w:r>
    </w:p>
    <w:p w14:paraId="1367CA52">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甲方应按照双方约定的要求向乙方发出出入库指令，乙方不接受甲方不符合要求的其他出入库指令，包括但不限于“白条”或口头通知；</w:t>
      </w:r>
    </w:p>
    <w:p w14:paraId="0FC95F45">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乙方需按照事前约定规划用途使用甲方提供的场地，投入的设备需符合国家相关规定的要求，如需变更场地使用规划和用途，需事先征得甲方同意，乙方在甲方提供的场地内进行作业，需遵守甲方的厂规厂纪；</w:t>
      </w:r>
    </w:p>
    <w:p w14:paraId="3B588560">
      <w:pPr>
        <w:pStyle w:val="64"/>
        <w:widowControl w:val="0"/>
        <w:numPr>
          <w:ilvl w:val="0"/>
          <w:numId w:val="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商品在订单配送期间由于乙方的责任，造成商品订单配送中商品毁损、灭失、变质、污染等情形的，由乙方向甲方承担相关商品价值的直接损失（此时的商品价值一般是指甲方商品出厂含税价金额）。责任划分原则：</w:t>
      </w:r>
    </w:p>
    <w:p w14:paraId="4E018D44">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产品质量原因导致的，乙方不承担责任，并且发生的运费服务费及退件回程损失等由甲方承担；</w:t>
      </w:r>
    </w:p>
    <w:p w14:paraId="2C9537EE">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物流原因导致的，乙方承担责任；</w:t>
      </w:r>
    </w:p>
    <w:p w14:paraId="738F7136">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甲方设定的附加服务产生的退货(如七天无理由退换货)，发生的运费服务费及退件回程损失等由甲方承担；</w:t>
      </w:r>
    </w:p>
    <w:p w14:paraId="60F716F5">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由于甲方客户原因导致的商品拒收退回或更改地址，发生的运费服务费及退件回程损失等由甲方承担；</w:t>
      </w:r>
    </w:p>
    <w:p w14:paraId="0238960A">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如责任无法清晰界定，由平台判定的责任作为归属，如平台未判定，则双方友好协商界定责任；</w:t>
      </w:r>
    </w:p>
    <w:p w14:paraId="4FE0B9BA">
      <w:pPr>
        <w:pStyle w:val="64"/>
        <w:numPr>
          <w:ilvl w:val="0"/>
          <w:numId w:val="8"/>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其他未尽的情况，由双方友好协商解决，并及时补充备忘录作为协议附件。</w:t>
      </w:r>
    </w:p>
    <w:p w14:paraId="7B41E1F8">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有权利自由处置属于乙方的可回收或可变现垃圾(如废旧纸箱等)，其他无法可回收或变现垃圾委托甲方协助处理；甲方产品所产生的可回收或可变现垃圾(如废旧纸箱等)，乙方咨询甲方后，按照甲方的建议方式进行处置；</w:t>
      </w:r>
    </w:p>
    <w:p w14:paraId="2986F04A">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在库商品所有权属甲方，乙方不得无故留置甲方的商品，如乙方违反本规定的，应按留置商品的出厂含税价之两倍向甲方支付违约金。如</w:t>
      </w:r>
      <w:r>
        <w:rPr>
          <w:rFonts w:ascii="宋体" w:hAnsi="宋体"/>
          <w:color w:val="000000" w:themeColor="text1"/>
          <w:sz w:val="20"/>
          <w:szCs w:val="20"/>
          <w14:textFill>
            <w14:solidFill>
              <w14:schemeClr w14:val="tx1"/>
            </w14:solidFill>
          </w14:textFill>
        </w:rPr>
        <w:t>因甲方在协议履约过程中造成的违约，乙方可以追究甲方的违约责任但不得留置甲方的商品</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否则应按前述规定向甲方支付违约金。</w:t>
      </w:r>
    </w:p>
    <w:p w14:paraId="38BD10D6">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装卸及安全责任</w:t>
      </w:r>
    </w:p>
    <w:p w14:paraId="483BC64C">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3833224F">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1CB7FC3B">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乙方用于装卸、运送的机械、工器具及安全防护用具等均由乙方自备，质量必须满足作业需要，并经有资质检验单位检验符合安全规定，乙方对因使用工器具不当所造成的人员伤害及设备损坏负责。</w:t>
      </w:r>
    </w:p>
    <w:p w14:paraId="59541A81">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0A89B41D">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乙方知晓甲方为一级防火单位，严格执行各类防火防爆制度，严禁在厂区内任何地方吸烟和动用明火，消防器材禁止挪作他用。每发现一次应向甲方支付违约金人民币3000元。</w:t>
      </w:r>
    </w:p>
    <w:p w14:paraId="5FCF6991">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乙方在作业过程中应保证不损害甲方及第三人的人身、财产权利。如因乙方原因给甲方或第三人造成人身伤害或财产损失的，乙方应予赔偿。</w:t>
      </w:r>
    </w:p>
    <w:p w14:paraId="3311BFE3">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人员（乙方人员包括但不限于乙方的劳动合同工、乙方雇佣的临时劳务工、乙方作为定作人聘用的为其完成指定任务的人员等）发生工伤由乙方负责。在为甲方作业过程中，乙方人员出现人身伤亡事故的，属于乙方或伤亡人员本人原因的由乙方承担全部责任并进行处理；属于第三方原因的，甲方不承担责任。</w:t>
      </w:r>
    </w:p>
    <w:p w14:paraId="4AFB23A2">
      <w:pPr>
        <w:pStyle w:val="64"/>
        <w:numPr>
          <w:ilvl w:val="0"/>
          <w:numId w:val="9"/>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乙方人员若发生偷盗甲方财产的，乙方应按商品出厂含税价的三倍向甲方支付违约金并承担相应的法律责任。</w:t>
      </w:r>
    </w:p>
    <w:p w14:paraId="1F92D239">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仓储管理责任</w:t>
      </w:r>
    </w:p>
    <w:p w14:paraId="5E979C69">
      <w:pPr>
        <w:pStyle w:val="64"/>
        <w:numPr>
          <w:ilvl w:val="0"/>
          <w:numId w:val="10"/>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日常管理：乙方必须按照各产品类型及规格型号合理设置</w:t>
      </w:r>
      <w:r>
        <w:rPr>
          <w:rFonts w:ascii="宋体" w:hAnsi="宋体"/>
          <w:color w:val="000000" w:themeColor="text1"/>
          <w:sz w:val="20"/>
          <w:szCs w:val="20"/>
          <w14:textFill>
            <w14:solidFill>
              <w14:schemeClr w14:val="tx1"/>
            </w14:solidFill>
          </w14:textFill>
        </w:rPr>
        <w:t>ERP</w:t>
      </w:r>
      <w:r>
        <w:rPr>
          <w:rFonts w:hint="eastAsia" w:ascii="宋体" w:hAnsi="宋体"/>
          <w:color w:val="000000" w:themeColor="text1"/>
          <w:sz w:val="20"/>
          <w:szCs w:val="20"/>
          <w14:textFill>
            <w14:solidFill>
              <w14:schemeClr w14:val="tx1"/>
            </w14:solidFill>
          </w14:textFill>
        </w:rPr>
        <w:t>管理系统的进销存，并提供相关账号权限给到甲方查看。；乙方应做好各成品的日常核查工作，乙方必须对各类库存物资定期进行检查盘点，并做到账、物、两者一致。甲方相关人员有权</w:t>
      </w:r>
      <w:r>
        <w:rPr>
          <w:rFonts w:ascii="宋体" w:hAnsi="宋体"/>
          <w:color w:val="000000" w:themeColor="text1"/>
          <w:sz w:val="20"/>
          <w:szCs w:val="20"/>
          <w14:textFill>
            <w14:solidFill>
              <w14:schemeClr w14:val="tx1"/>
            </w14:solidFill>
          </w14:textFill>
        </w:rPr>
        <w:t>不定期</w:t>
      </w:r>
      <w:r>
        <w:rPr>
          <w:rFonts w:hint="eastAsia" w:ascii="宋体" w:hAnsi="宋体"/>
          <w:color w:val="000000" w:themeColor="text1"/>
          <w:sz w:val="20"/>
          <w:szCs w:val="20"/>
          <w14:textFill>
            <w14:solidFill>
              <w14:schemeClr w14:val="tx1"/>
            </w14:solidFill>
          </w14:textFill>
        </w:rPr>
        <w:t>参加仓库的盘点工作。</w:t>
      </w:r>
    </w:p>
    <w:p w14:paraId="795861D3">
      <w:pPr>
        <w:pStyle w:val="64"/>
        <w:numPr>
          <w:ilvl w:val="0"/>
          <w:numId w:val="10"/>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入库管理：成品进仓时，乙方必须凭送货单(检验合格单)办理入库手续，入库时乙方应注意验收，如遇损坏的货品，乙方须当场书面注明，如当场不提出则视为货物完好。乙方入库签收后，货物管理责任即由甲方移交至乙方。仓库现场管理工作必须严格按照5S要求、ISO9001标准具体规定执行。</w:t>
      </w:r>
    </w:p>
    <w:p w14:paraId="4EADDB41">
      <w:pPr>
        <w:pStyle w:val="64"/>
        <w:numPr>
          <w:ilvl w:val="0"/>
          <w:numId w:val="10"/>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出库管理：必须采用先进先出法。出库时必须办理出库手续，即根据甲方相关人员签发的送货单(客户的订单)领货，乙方应核对物品的名称、规格</w:t>
      </w:r>
      <w:r>
        <w:rPr>
          <w:rFonts w:ascii="宋体" w:hAnsi="宋体"/>
          <w:color w:val="000000" w:themeColor="text1"/>
          <w:sz w:val="20"/>
          <w:szCs w:val="20"/>
          <w14:textFill>
            <w14:solidFill>
              <w14:schemeClr w14:val="tx1"/>
            </w14:solidFill>
          </w14:textFill>
        </w:rPr>
        <w:t>、数量、质量状况，核对正确后方可发货；同时，乙方应及时</w:t>
      </w:r>
      <w:r>
        <w:rPr>
          <w:rFonts w:hint="eastAsia" w:ascii="宋体" w:hAnsi="宋体"/>
          <w:color w:val="000000" w:themeColor="text1"/>
          <w:sz w:val="20"/>
          <w:szCs w:val="20"/>
          <w14:textFill>
            <w14:solidFill>
              <w14:schemeClr w14:val="tx1"/>
            </w14:solidFill>
          </w14:textFill>
        </w:rPr>
        <w:t>更新ERP系统</w:t>
      </w:r>
      <w:r>
        <w:rPr>
          <w:rFonts w:ascii="宋体" w:hAnsi="宋体"/>
          <w:color w:val="000000" w:themeColor="text1"/>
          <w:sz w:val="20"/>
          <w:szCs w:val="20"/>
          <w14:textFill>
            <w14:solidFill>
              <w14:schemeClr w14:val="tx1"/>
            </w14:solidFill>
          </w14:textFill>
        </w:rPr>
        <w:t>库存</w:t>
      </w:r>
      <w:r>
        <w:rPr>
          <w:rFonts w:hint="eastAsia" w:ascii="宋体" w:hAnsi="宋体"/>
          <w:color w:val="000000" w:themeColor="text1"/>
          <w:sz w:val="20"/>
          <w:szCs w:val="20"/>
          <w14:textFill>
            <w14:solidFill>
              <w14:schemeClr w14:val="tx1"/>
            </w14:solidFill>
          </w14:textFill>
        </w:rPr>
        <w:t>；仓库发货需配合规定的到货时间执行，确保订单能准时及准确送达至客户端。</w:t>
      </w:r>
    </w:p>
    <w:p w14:paraId="7EC13356">
      <w:pPr>
        <w:pStyle w:val="64"/>
        <w:numPr>
          <w:ilvl w:val="0"/>
          <w:numId w:val="6"/>
        </w:numPr>
        <w:rPr>
          <w:rFonts w:ascii="宋体" w:hAnsi="宋体"/>
          <w:sz w:val="20"/>
          <w:szCs w:val="20"/>
        </w:rPr>
      </w:pPr>
      <w:r>
        <w:rPr>
          <w:rFonts w:hint="eastAsia" w:ascii="宋体" w:hAnsi="宋体"/>
          <w:sz w:val="20"/>
          <w:szCs w:val="20"/>
        </w:rPr>
        <w:t>库存物资清查盘点中发现问题和差错，乙方应及时用书面的形式向甲方汇报，库存盘亏盘盈后正负相抵，剩余盘盈部分转交甲方，如若盘亏盘盈正负相抵后仍有盘亏的部分，则由乙方按商品出厂含税价向甲方赔偿。</w:t>
      </w:r>
    </w:p>
    <w:p w14:paraId="54DB6B91">
      <w:pPr>
        <w:pStyle w:val="64"/>
        <w:numPr>
          <w:ilvl w:val="0"/>
          <w:numId w:val="6"/>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配送责任</w:t>
      </w:r>
    </w:p>
    <w:p w14:paraId="00BA874D">
      <w:pPr>
        <w:pStyle w:val="64"/>
        <w:numPr>
          <w:ilvl w:val="0"/>
          <w:numId w:val="11"/>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乙方必须建立跟踪服务备甲方查询。凡乙方承运甲方财产的车辆，乙方必须向保险公司投保第三者责任险，出现交通事故，造成甲方财产损失，乙方应按法律规定赔付甲方。</w:t>
      </w:r>
    </w:p>
    <w:p w14:paraId="0EE53E7C">
      <w:pPr>
        <w:pStyle w:val="64"/>
        <w:numPr>
          <w:ilvl w:val="0"/>
          <w:numId w:val="11"/>
        </w:numPr>
        <w:spacing w:before="156" w:beforeLines="50"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服务时限要求：乙方必须在收到甲方订单后最迟</w:t>
      </w:r>
      <w:r>
        <w:rPr>
          <w:rFonts w:hint="eastAsia" w:ascii="宋体" w:hAnsi="宋体"/>
          <w:color w:val="000000" w:themeColor="text1"/>
          <w:sz w:val="20"/>
          <w:szCs w:val="20"/>
          <w:lang w:val="en-US" w:eastAsia="zh-CN"/>
          <w14:textFill>
            <w14:solidFill>
              <w14:schemeClr w14:val="tx1"/>
            </w14:solidFill>
          </w14:textFill>
        </w:rPr>
        <w:t>24</w:t>
      </w:r>
      <w:r>
        <w:rPr>
          <w:rFonts w:hint="eastAsia" w:ascii="宋体" w:hAnsi="宋体"/>
          <w:color w:val="000000" w:themeColor="text1"/>
          <w:sz w:val="20"/>
          <w:szCs w:val="20"/>
          <w14:textFill>
            <w14:solidFill>
              <w14:schemeClr w14:val="tx1"/>
            </w14:solidFill>
          </w14:textFill>
        </w:rPr>
        <w:t>小时之内完成发货，逾期发货由乙方承担甲方相应逾期发货造成的损失（包括但不限于客户索赔、平台罚款等违约金等）。</w:t>
      </w:r>
    </w:p>
    <w:p w14:paraId="0B9AE6A7">
      <w:pPr>
        <w:pStyle w:val="64"/>
        <w:numPr>
          <w:ilvl w:val="0"/>
          <w:numId w:val="6"/>
        </w:numPr>
        <w:spacing w:line="360" w:lineRule="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拆单：平台订单产品重量10公斤以内的</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未经甲方书面同意不得擅自拆单</w:t>
      </w:r>
      <w:r>
        <w:rPr>
          <w:rFonts w:hint="eastAsia" w:ascii="宋体" w:hAnsi="宋体"/>
          <w:color w:val="000000" w:themeColor="text1"/>
          <w:sz w:val="20"/>
          <w:szCs w:val="20"/>
          <w14:textFill>
            <w14:solidFill>
              <w14:schemeClr w14:val="tx1"/>
            </w14:solidFill>
          </w14:textFill>
        </w:rPr>
        <w:t>。</w:t>
      </w:r>
      <w:bookmarkStart w:id="97" w:name="_Toc523812575"/>
    </w:p>
    <w:p w14:paraId="508F5E36">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r>
        <w:rPr>
          <w:rFonts w:hint="eastAsia" w:ascii="宋体" w:hAnsi="宋体" w:eastAsia="宋体"/>
          <w:color w:val="000000" w:themeColor="text1"/>
          <w:sz w:val="20"/>
          <w14:textFill>
            <w14:solidFill>
              <w14:schemeClr w14:val="tx1"/>
            </w14:solidFill>
          </w14:textFill>
        </w:rPr>
        <w:t>服务报价表【详见附件一】</w:t>
      </w:r>
      <w:bookmarkEnd w:id="97"/>
    </w:p>
    <w:p w14:paraId="271E0F07">
      <w:pPr>
        <w:spacing w:line="360" w:lineRule="auto"/>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附件一</w:t>
      </w:r>
      <w:r>
        <w:rPr>
          <w:rFonts w:hint="eastAsia" w:ascii="宋体" w:hAnsi="宋体"/>
          <w:color w:val="000000" w:themeColor="text1"/>
          <w:sz w:val="20"/>
          <w:szCs w:val="20"/>
          <w14:textFill>
            <w14:solidFill>
              <w14:schemeClr w14:val="tx1"/>
            </w14:solidFill>
          </w14:textFill>
        </w:rPr>
        <w:t>，《服务报价表》作为本合同不可分割的一部分。</w:t>
      </w:r>
    </w:p>
    <w:p w14:paraId="71A00F04">
      <w:pPr>
        <w:pStyle w:val="64"/>
        <w:numPr>
          <w:ilvl w:val="0"/>
          <w:numId w:val="12"/>
        </w:numPr>
        <w:spacing w:line="360" w:lineRule="auto"/>
        <w:rPr>
          <w:rFonts w:ascii="宋体" w:hAnsi="宋体"/>
          <w:sz w:val="20"/>
          <w:szCs w:val="20"/>
        </w:rPr>
      </w:pPr>
      <w:r>
        <w:rPr>
          <w:rFonts w:hint="eastAsia" w:ascii="宋体" w:hAnsi="宋体"/>
          <w:color w:val="000000" w:themeColor="text1"/>
          <w:sz w:val="20"/>
          <w:szCs w:val="20"/>
          <w14:textFill>
            <w14:solidFill>
              <w14:schemeClr w14:val="tx1"/>
            </w14:solidFill>
          </w14:textFill>
        </w:rPr>
        <w:t>操作费按快递包裹数量进行计算，</w:t>
      </w:r>
      <w:r>
        <w:rPr>
          <w:rFonts w:hint="eastAsia" w:ascii="宋体" w:hAnsi="宋体"/>
          <w:sz w:val="20"/>
          <w:szCs w:val="20"/>
        </w:rPr>
        <w:t>不计泡重。</w:t>
      </w:r>
    </w:p>
    <w:p w14:paraId="246D0B4F">
      <w:pPr>
        <w:pStyle w:val="64"/>
        <w:numPr>
          <w:ilvl w:val="0"/>
          <w:numId w:val="12"/>
        </w:numPr>
        <w:spacing w:line="360" w:lineRule="auto"/>
        <w:rPr>
          <w:rFonts w:ascii="宋体" w:hAnsi="宋体"/>
          <w:sz w:val="20"/>
          <w:szCs w:val="20"/>
        </w:rPr>
      </w:pPr>
      <w:r>
        <w:rPr>
          <w:rFonts w:hint="eastAsia" w:ascii="宋体" w:hAnsi="宋体"/>
          <w:color w:val="000000" w:themeColor="text1"/>
          <w:sz w:val="20"/>
          <w:szCs w:val="20"/>
          <w14:textFill>
            <w14:solidFill>
              <w14:schemeClr w14:val="tx1"/>
            </w14:solidFill>
          </w14:textFill>
        </w:rPr>
        <w:t>快递费是以快递包裹单个重量进行计算，</w:t>
      </w:r>
      <w:r>
        <w:rPr>
          <w:rFonts w:hint="eastAsia" w:ascii="宋体" w:hAnsi="宋体"/>
          <w:sz w:val="20"/>
          <w:szCs w:val="20"/>
        </w:rPr>
        <w:t>不计泡重。</w:t>
      </w:r>
    </w:p>
    <w:p w14:paraId="06579D1C">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98" w:name="_Toc523812576"/>
      <w:r>
        <w:rPr>
          <w:rFonts w:hint="eastAsia" w:ascii="宋体" w:hAnsi="宋体" w:eastAsia="宋体"/>
          <w:color w:val="000000" w:themeColor="text1"/>
          <w:sz w:val="20"/>
          <w14:textFill>
            <w14:solidFill>
              <w14:schemeClr w14:val="tx1"/>
            </w14:solidFill>
          </w14:textFill>
        </w:rPr>
        <w:t>费用结算与支付</w:t>
      </w:r>
      <w:bookmarkEnd w:id="98"/>
    </w:p>
    <w:p w14:paraId="6A32F29E">
      <w:pPr>
        <w:pStyle w:val="64"/>
        <w:numPr>
          <w:ilvl w:val="0"/>
          <w:numId w:val="13"/>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结算与支付方式</w:t>
      </w:r>
    </w:p>
    <w:p w14:paraId="3F92811F">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云仓物流服务费结算周期为每月</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6日-次月</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5日，(例如：1月</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6日-2月</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5日)；</w:t>
      </w:r>
    </w:p>
    <w:p w14:paraId="7270676A">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乙方于当月月底前(例如：2月2</w:t>
      </w:r>
      <w:r>
        <w:rPr>
          <w:rFonts w:ascii="宋体" w:hAnsi="宋体"/>
          <w:color w:val="000000" w:themeColor="text1"/>
          <w:sz w:val="20"/>
          <w:szCs w:val="20"/>
          <w14:textFill>
            <w14:solidFill>
              <w14:schemeClr w14:val="tx1"/>
            </w14:solidFill>
          </w14:textFill>
        </w:rPr>
        <w:t>8</w:t>
      </w:r>
      <w:r>
        <w:rPr>
          <w:rFonts w:hint="eastAsia" w:ascii="宋体" w:hAnsi="宋体"/>
          <w:color w:val="000000" w:themeColor="text1"/>
          <w:sz w:val="20"/>
          <w:szCs w:val="20"/>
          <w14:textFill>
            <w14:solidFill>
              <w14:schemeClr w14:val="tx1"/>
            </w14:solidFill>
          </w14:textFill>
        </w:rPr>
        <w:t>日前)将上一个物流服务周期(例如1月</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日</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14:textFill>
            <w14:solidFill>
              <w14:schemeClr w14:val="tx1"/>
            </w14:solidFill>
          </w14:textFill>
        </w:rPr>
        <w:t>31</w:t>
      </w:r>
      <w:r>
        <w:rPr>
          <w:rFonts w:hint="eastAsia" w:ascii="宋体" w:hAnsi="宋体"/>
          <w:color w:val="000000" w:themeColor="text1"/>
          <w:sz w:val="20"/>
          <w:szCs w:val="20"/>
          <w14:textFill>
            <w14:solidFill>
              <w14:schemeClr w14:val="tx1"/>
            </w14:solidFill>
          </w14:textFill>
        </w:rPr>
        <w:t>日的服务周期)的结算清单交甲方，甲方应在次月</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日前(例如：3月</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日前)完成确认。乙方在甲方确认后的五日内(例如：3月10日前)向甲方开具增值税专用发票。经确认有异议的，由乙方提供相关凭证进一步与甲方进行确认。在双方确认结算清单之前甲方将暂停付款程序直至双方确认一致，由此造成的支付延误甲方不承担任何责任；</w:t>
      </w:r>
    </w:p>
    <w:p w14:paraId="5D3C2F96">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甲方于费用确认当月的30日(例如3月30日)前向乙方支付上一个物流服务周期(例如1月</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日</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14:textFill>
            <w14:solidFill>
              <w14:schemeClr w14:val="tx1"/>
            </w14:solidFill>
          </w14:textFill>
        </w:rPr>
        <w:t>31</w:t>
      </w:r>
      <w:r>
        <w:rPr>
          <w:rFonts w:hint="eastAsia" w:ascii="宋体" w:hAnsi="宋体"/>
          <w:color w:val="000000" w:themeColor="text1"/>
          <w:sz w:val="20"/>
          <w:szCs w:val="20"/>
          <w14:textFill>
            <w14:solidFill>
              <w14:schemeClr w14:val="tx1"/>
            </w14:solidFill>
          </w14:textFill>
        </w:rPr>
        <w:t>日的服务周期)的服务费用，逾期未支付，甲方应承担逾期费用每日万分一的逾期滞纳金；</w:t>
      </w:r>
    </w:p>
    <w:p w14:paraId="68FA84DA">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特殊情况下，本月不能提供结算清单的部分服务（包括但不限于转件，破损退回确认等情况），一律自动计入下期结算清单；</w:t>
      </w:r>
    </w:p>
    <w:p w14:paraId="6DC78698">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快递价格为未税价格，国家税率变化的，未税价格不变，含税价格的税金根据国家出台的最新税率政策予以调整；</w:t>
      </w:r>
    </w:p>
    <w:p w14:paraId="1A836889">
      <w:pPr>
        <w:pStyle w:val="64"/>
        <w:widowControl w:val="0"/>
        <w:numPr>
          <w:ilvl w:val="0"/>
          <w:numId w:val="1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乙方收款账户信息</w:t>
      </w:r>
    </w:p>
    <w:p w14:paraId="3E4E183A">
      <w:pPr>
        <w:widowControl w:val="0"/>
        <w:spacing w:line="360" w:lineRule="auto"/>
        <w:ind w:firstLine="300" w:firstLineChars="150"/>
        <w:jc w:val="both"/>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开户银行：</w:t>
      </w:r>
      <w:r>
        <w:rPr>
          <w:rFonts w:ascii="宋体" w:hAnsi="宋体"/>
          <w:sz w:val="20"/>
          <w:szCs w:val="20"/>
          <w:u w:val="single"/>
        </w:rPr>
        <w:t>*******************</w:t>
      </w:r>
    </w:p>
    <w:p w14:paraId="55043559">
      <w:pPr>
        <w:widowControl w:val="0"/>
        <w:spacing w:line="360" w:lineRule="auto"/>
        <w:ind w:firstLine="300" w:firstLineChars="150"/>
        <w:jc w:val="both"/>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账户名称：</w:t>
      </w:r>
      <w:r>
        <w:rPr>
          <w:rFonts w:ascii="宋体" w:hAnsi="宋体"/>
          <w:sz w:val="20"/>
          <w:szCs w:val="20"/>
          <w:u w:val="single"/>
        </w:rPr>
        <w:t>*******************</w:t>
      </w:r>
    </w:p>
    <w:p w14:paraId="1D7F6DBA">
      <w:pPr>
        <w:widowControl w:val="0"/>
        <w:spacing w:line="360" w:lineRule="auto"/>
        <w:ind w:firstLine="300" w:firstLineChars="150"/>
        <w:jc w:val="both"/>
        <w:rPr>
          <w:rFonts w:ascii="宋体" w:hAnsi="宋体"/>
          <w:sz w:val="20"/>
          <w:szCs w:val="20"/>
          <w:u w:val="single"/>
        </w:rPr>
      </w:pPr>
    </w:p>
    <w:p w14:paraId="3CA13C9B">
      <w:pPr>
        <w:widowControl w:val="0"/>
        <w:spacing w:line="360" w:lineRule="auto"/>
        <w:ind w:firstLine="300" w:firstLineChars="150"/>
        <w:jc w:val="both"/>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银行账号：</w:t>
      </w:r>
      <w:r>
        <w:rPr>
          <w:rFonts w:ascii="宋体" w:hAnsi="宋体"/>
          <w:sz w:val="20"/>
          <w:szCs w:val="20"/>
          <w:u w:val="single"/>
        </w:rPr>
        <w:t>*******************</w:t>
      </w:r>
    </w:p>
    <w:p w14:paraId="109EDD74">
      <w:pPr>
        <w:widowControl w:val="0"/>
        <w:spacing w:line="360" w:lineRule="auto"/>
        <w:ind w:firstLine="300" w:firstLineChars="150"/>
        <w:jc w:val="both"/>
        <w:rPr>
          <w:rFonts w:ascii="宋体" w:hAnsi="宋体"/>
          <w:color w:val="000000" w:themeColor="text1"/>
          <w:sz w:val="20"/>
          <w:szCs w:val="20"/>
          <w:u w:val="single"/>
          <w14:textFill>
            <w14:solidFill>
              <w14:schemeClr w14:val="tx1"/>
            </w14:solidFill>
          </w14:textFill>
        </w:rPr>
      </w:pPr>
    </w:p>
    <w:p w14:paraId="39A26822">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99" w:name="_Toc523812577"/>
      <w:r>
        <w:rPr>
          <w:rFonts w:hint="eastAsia" w:ascii="宋体" w:hAnsi="宋体" w:eastAsia="宋体"/>
          <w:color w:val="000000" w:themeColor="text1"/>
          <w:sz w:val="20"/>
          <w14:textFill>
            <w14:solidFill>
              <w14:schemeClr w14:val="tx1"/>
            </w14:solidFill>
          </w14:textFill>
        </w:rPr>
        <w:t>合同生效、解除与变更条件</w:t>
      </w:r>
      <w:bookmarkEnd w:id="99"/>
    </w:p>
    <w:p w14:paraId="2681B4A6">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本合同有效期：从</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年</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日至</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年 </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日为止；</w:t>
      </w:r>
    </w:p>
    <w:p w14:paraId="58FC050B">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因乙方为甲方提供物流服务，前期需要投入一定的设备和人工成本。双方约定，如项目运作三个月内，即</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年</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月</w:t>
      </w:r>
      <w:r>
        <w:rPr>
          <w:rFonts w:ascii="宋体" w:hAnsi="宋体"/>
          <w:color w:val="000000" w:themeColor="text1"/>
          <w:sz w:val="20"/>
          <w:szCs w:val="20"/>
          <w:u w:val="single"/>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日前，任何一方要求提前解除合同的，需向对方支付人民币拾万元的违约金；</w:t>
      </w:r>
    </w:p>
    <w:p w14:paraId="575A4E70">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合同期未满但超过三个月的，甲方要求提前解除合同的，需要提前1个月书面通知对方，以确保双方的业务正常衔接而无须承担违约责任。乙方若需提前解除合同，应提前2个月书面通知乙方而无须承担违约责任；</w:t>
      </w:r>
    </w:p>
    <w:p w14:paraId="3E7FF78E">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除合同约定的解除条件外，任何一方擅自提前解除本合同的，应向对方支付违约金人民币拾万元；</w:t>
      </w:r>
    </w:p>
    <w:p w14:paraId="4E48C665">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甲乙双方因有特殊原因，需变更合同，经双方协商一致后，对本合同做相应的变更，以补充协议形式确定，补充协议与原合同具有同等法律效力；</w:t>
      </w:r>
    </w:p>
    <w:p w14:paraId="58EFF94A">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在双方签订合同日期，乙方需向甲方支付人民币拾万元服务质量保证金，此保证金在双方解除合同后，甲方于3</w:t>
      </w:r>
      <w:r>
        <w:rPr>
          <w:rFonts w:ascii="宋体" w:hAnsi="宋体"/>
          <w:color w:val="000000" w:themeColor="text1"/>
          <w:sz w:val="20"/>
          <w:szCs w:val="20"/>
          <w14:textFill>
            <w14:solidFill>
              <w14:schemeClr w14:val="tx1"/>
            </w14:solidFill>
          </w14:textFill>
        </w:rPr>
        <w:t>0</w:t>
      </w:r>
      <w:r>
        <w:rPr>
          <w:rFonts w:hint="eastAsia" w:ascii="宋体" w:hAnsi="宋体"/>
          <w:color w:val="000000" w:themeColor="text1"/>
          <w:sz w:val="20"/>
          <w:szCs w:val="20"/>
          <w14:textFill>
            <w14:solidFill>
              <w14:schemeClr w14:val="tx1"/>
            </w14:solidFill>
          </w14:textFill>
        </w:rPr>
        <w:t>日内予以无息退还。</w:t>
      </w:r>
    </w:p>
    <w:p w14:paraId="093B7B9B">
      <w:pPr>
        <w:pStyle w:val="64"/>
        <w:widowControl w:val="0"/>
        <w:numPr>
          <w:ilvl w:val="0"/>
          <w:numId w:val="1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解除本合同的条件：</w:t>
      </w:r>
    </w:p>
    <w:p w14:paraId="4A01961E">
      <w:pPr>
        <w:pStyle w:val="64"/>
        <w:widowControl w:val="0"/>
        <w:numPr>
          <w:ilvl w:val="0"/>
          <w:numId w:val="1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乙方提供的服务无法达到甲方要求，经甲方书面催告</w:t>
      </w:r>
      <w:r>
        <w:rPr>
          <w:rFonts w:ascii="宋体" w:hAnsi="宋体"/>
          <w:color w:val="000000" w:themeColor="text1"/>
          <w:sz w:val="20"/>
          <w:szCs w:val="20"/>
          <w14:textFill>
            <w14:solidFill>
              <w14:schemeClr w14:val="tx1"/>
            </w14:solidFill>
          </w14:textFill>
        </w:rPr>
        <w:t>7</w:t>
      </w:r>
      <w:r>
        <w:rPr>
          <w:rFonts w:hint="eastAsia" w:ascii="宋体" w:hAnsi="宋体"/>
          <w:color w:val="000000" w:themeColor="text1"/>
          <w:sz w:val="20"/>
          <w:szCs w:val="20"/>
          <w14:textFill>
            <w14:solidFill>
              <w14:schemeClr w14:val="tx1"/>
            </w14:solidFill>
          </w14:textFill>
        </w:rPr>
        <w:t>日内仍不改正或经一次改正后仍无法达到甲方要求的，甲方有权单方面解除本合同，尚未结清的订单处理费、运输费等应在违约及事故等遗留问题处理后的下一个结账日结清；</w:t>
      </w:r>
    </w:p>
    <w:p w14:paraId="39E8C834">
      <w:pPr>
        <w:pStyle w:val="64"/>
        <w:widowControl w:val="0"/>
        <w:numPr>
          <w:ilvl w:val="0"/>
          <w:numId w:val="16"/>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双方未经对方书面允许,向第三方透漏与对方有关的商业秘密和商业信息(包括但不限于财务信息、本合同及附件的信息、技术秘密、客户资料、商品来源、销售渠道、销售方式、商品类别以及销量等等)的，受害方有权单方面解除本合同。</w:t>
      </w:r>
    </w:p>
    <w:p w14:paraId="32553B6C">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0" w:name="_Toc523812578"/>
      <w:r>
        <w:rPr>
          <w:rFonts w:hint="eastAsia" w:ascii="宋体" w:hAnsi="宋体" w:eastAsia="宋体"/>
          <w:color w:val="000000" w:themeColor="text1"/>
          <w:sz w:val="20"/>
          <w14:textFill>
            <w14:solidFill>
              <w14:schemeClr w14:val="tx1"/>
            </w14:solidFill>
          </w14:textFill>
        </w:rPr>
        <w:t>法律适用与纠纷解决</w:t>
      </w:r>
      <w:bookmarkEnd w:id="100"/>
    </w:p>
    <w:p w14:paraId="0AD5717C">
      <w:pPr>
        <w:pStyle w:val="64"/>
        <w:widowControl w:val="0"/>
        <w:numPr>
          <w:ilvl w:val="0"/>
          <w:numId w:val="17"/>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本合同的订立、效力、解释、履行和争议的解决均适用中华人民共和国法律、法规；</w:t>
      </w:r>
    </w:p>
    <w:p w14:paraId="396F4DF5">
      <w:pPr>
        <w:pStyle w:val="64"/>
        <w:widowControl w:val="0"/>
        <w:numPr>
          <w:ilvl w:val="0"/>
          <w:numId w:val="17"/>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由本合同产生或者执行合同时发生的争议，首先由双方协商解决。如协商不成，提请甲方所在地人民法院裁决；</w:t>
      </w:r>
    </w:p>
    <w:p w14:paraId="7E0E7469">
      <w:pPr>
        <w:pStyle w:val="64"/>
        <w:widowControl w:val="0"/>
        <w:numPr>
          <w:ilvl w:val="0"/>
          <w:numId w:val="17"/>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在上述磋商或诉讼期间，双方应继续履行争议部分之外的本合同项下各自义务。</w:t>
      </w:r>
      <w:bookmarkStart w:id="101" w:name="_Toc313000500"/>
    </w:p>
    <w:p w14:paraId="0B94DA22">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2" w:name="_Toc523812579"/>
      <w:r>
        <w:rPr>
          <w:rFonts w:hint="eastAsia" w:ascii="宋体" w:hAnsi="宋体" w:eastAsia="宋体"/>
          <w:color w:val="000000" w:themeColor="text1"/>
          <w:sz w:val="20"/>
          <w14:textFill>
            <w14:solidFill>
              <w14:schemeClr w14:val="tx1"/>
            </w14:solidFill>
          </w14:textFill>
        </w:rPr>
        <w:t>知识产权</w:t>
      </w:r>
      <w:bookmarkEnd w:id="101"/>
      <w:bookmarkEnd w:id="102"/>
    </w:p>
    <w:p w14:paraId="6880F2BC">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35ED12D4">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62F82482">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649D72BB">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0747522B">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5627F41E">
      <w:pPr>
        <w:widowControl w:val="0"/>
        <w:numPr>
          <w:ilvl w:val="0"/>
          <w:numId w:val="18"/>
        </w:numPr>
        <w:spacing w:line="360" w:lineRule="auto"/>
        <w:jc w:val="both"/>
        <w:rPr>
          <w:rFonts w:ascii="宋体" w:hAnsi="宋体"/>
          <w:vanish/>
          <w:color w:val="000000" w:themeColor="text1"/>
          <w:sz w:val="20"/>
          <w:szCs w:val="20"/>
          <w14:textFill>
            <w14:solidFill>
              <w14:schemeClr w14:val="tx1"/>
            </w14:solidFill>
          </w14:textFill>
        </w:rPr>
      </w:pPr>
    </w:p>
    <w:p w14:paraId="55CCFB17">
      <w:pPr>
        <w:pStyle w:val="64"/>
        <w:widowControl w:val="0"/>
        <w:numPr>
          <w:ilvl w:val="0"/>
          <w:numId w:val="19"/>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甲方拥有在乙方仓库内销售商品的品牌（包括但不仅限于“网上销售业务”中所含的任何标识、品牌、域名和产品）的知识产权或该知识产权的授权使用权；</w:t>
      </w:r>
    </w:p>
    <w:p w14:paraId="33C9732E">
      <w:pPr>
        <w:pStyle w:val="64"/>
        <w:widowControl w:val="0"/>
        <w:numPr>
          <w:ilvl w:val="0"/>
          <w:numId w:val="19"/>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乙方拥有双方合作中的电子商务运营系统及其操作规范的所有知识产权，由乙方提供的包括不限于项目运营信息系统、仓储物流的有关规范、流程、图表、说明等文字知识产权属乙方独自所有，甲方不得利用技术手段予以篡改或侵犯；</w:t>
      </w:r>
    </w:p>
    <w:p w14:paraId="52546CAC">
      <w:pPr>
        <w:pStyle w:val="64"/>
        <w:widowControl w:val="0"/>
        <w:numPr>
          <w:ilvl w:val="0"/>
          <w:numId w:val="19"/>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任意一方需在得到对方的书面授权后，方可使用对方的商标、标识。任意一方并不能因为本合同自动获得对方商标、标识的使用权。</w:t>
      </w:r>
      <w:bookmarkStart w:id="103" w:name="_Toc313000501"/>
    </w:p>
    <w:p w14:paraId="0BD9EED6">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4" w:name="_Toc523812580"/>
      <w:r>
        <w:rPr>
          <w:rFonts w:hint="eastAsia" w:ascii="宋体" w:hAnsi="宋体" w:eastAsia="宋体"/>
          <w:color w:val="000000" w:themeColor="text1"/>
          <w:sz w:val="20"/>
          <w14:textFill>
            <w14:solidFill>
              <w14:schemeClr w14:val="tx1"/>
            </w14:solidFill>
          </w14:textFill>
        </w:rPr>
        <w:t>保密责任</w:t>
      </w:r>
      <w:bookmarkEnd w:id="103"/>
      <w:bookmarkEnd w:id="104"/>
    </w:p>
    <w:p w14:paraId="42AC2DE1">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6268FC09">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7099C34D">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55E65F9A">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01EE6FE4">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3347223F">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4AF98901">
      <w:pPr>
        <w:widowControl w:val="0"/>
        <w:numPr>
          <w:ilvl w:val="0"/>
          <w:numId w:val="20"/>
        </w:numPr>
        <w:spacing w:line="360" w:lineRule="auto"/>
        <w:jc w:val="both"/>
        <w:rPr>
          <w:rFonts w:ascii="宋体" w:hAnsi="宋体"/>
          <w:vanish/>
          <w:color w:val="000000" w:themeColor="text1"/>
          <w:sz w:val="20"/>
          <w:szCs w:val="20"/>
          <w14:textFill>
            <w14:solidFill>
              <w14:schemeClr w14:val="tx1"/>
            </w14:solidFill>
          </w14:textFill>
        </w:rPr>
      </w:pPr>
    </w:p>
    <w:p w14:paraId="6209CC18">
      <w:pPr>
        <w:pStyle w:val="64"/>
        <w:widowControl w:val="0"/>
        <w:numPr>
          <w:ilvl w:val="0"/>
          <w:numId w:val="21"/>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双方对本合同以及在履行本合同中接触到的双方的经营情况、商业信息、客户名单、技术资料、</w:t>
      </w:r>
      <w:r>
        <w:rPr>
          <w:rFonts w:ascii="宋体" w:hAnsi="宋体"/>
          <w:color w:val="000000" w:themeColor="text1"/>
          <w:sz w:val="20"/>
          <w:szCs w:val="20"/>
          <w14:textFill>
            <w14:solidFill>
              <w14:schemeClr w14:val="tx1"/>
            </w14:solidFill>
          </w14:textFill>
        </w:rPr>
        <w:t>服务费报价及快递费报价</w:t>
      </w:r>
      <w:r>
        <w:rPr>
          <w:rFonts w:hint="eastAsia" w:ascii="宋体" w:hAnsi="宋体"/>
          <w:color w:val="000000" w:themeColor="text1"/>
          <w:sz w:val="20"/>
          <w:szCs w:val="20"/>
          <w14:textFill>
            <w14:solidFill>
              <w14:schemeClr w14:val="tx1"/>
            </w14:solidFill>
          </w14:textFill>
        </w:rPr>
        <w:t>等将严格保密，非经对方事先书面同意和合同正常履行之需，不得向第三方泄漏；</w:t>
      </w:r>
    </w:p>
    <w:p w14:paraId="2CE7A1AA">
      <w:pPr>
        <w:pStyle w:val="64"/>
        <w:widowControl w:val="0"/>
        <w:numPr>
          <w:ilvl w:val="0"/>
          <w:numId w:val="21"/>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双方应保证本方雇员履行上述义务；</w:t>
      </w:r>
    </w:p>
    <w:p w14:paraId="4D31D4A4">
      <w:pPr>
        <w:pStyle w:val="64"/>
        <w:widowControl w:val="0"/>
        <w:numPr>
          <w:ilvl w:val="0"/>
          <w:numId w:val="21"/>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本义务不因本合同的解除、终止、撤消而失效</w:t>
      </w:r>
      <w:bookmarkStart w:id="105" w:name="_Toc313000502"/>
      <w:r>
        <w:rPr>
          <w:rFonts w:hint="eastAsia" w:ascii="宋体" w:hAnsi="宋体"/>
          <w:color w:val="000000" w:themeColor="text1"/>
          <w:sz w:val="20"/>
          <w:szCs w:val="20"/>
          <w14:textFill>
            <w14:solidFill>
              <w14:schemeClr w14:val="tx1"/>
            </w14:solidFill>
          </w14:textFill>
        </w:rPr>
        <w:t>；</w:t>
      </w:r>
    </w:p>
    <w:p w14:paraId="0BB78846">
      <w:pPr>
        <w:pStyle w:val="64"/>
        <w:widowControl w:val="0"/>
        <w:numPr>
          <w:ilvl w:val="0"/>
          <w:numId w:val="21"/>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双方违反本合同规定的保密义务的，违约方应按已履行合同月均服务费</w:t>
      </w:r>
      <w:r>
        <w:rPr>
          <w:rFonts w:ascii="宋体" w:hAnsi="宋体"/>
          <w:color w:val="000000" w:themeColor="text1"/>
          <w:sz w:val="20"/>
          <w:szCs w:val="20"/>
          <w14:textFill>
            <w14:solidFill>
              <w14:schemeClr w14:val="tx1"/>
            </w14:solidFill>
          </w14:textFill>
        </w:rPr>
        <w:t>的</w:t>
      </w:r>
      <w:r>
        <w:rPr>
          <w:rFonts w:hint="eastAsia" w:ascii="宋体" w:hAnsi="宋体"/>
          <w:color w:val="000000" w:themeColor="text1"/>
          <w:sz w:val="20"/>
          <w:szCs w:val="20"/>
          <w14:textFill>
            <w14:solidFill>
              <w14:schemeClr w14:val="tx1"/>
            </w14:solidFill>
          </w14:textFill>
        </w:rPr>
        <w:t>50</w:t>
      </w:r>
      <w:r>
        <w:rPr>
          <w:rFonts w:ascii="宋体" w:hAnsi="宋体"/>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支付违约金。</w:t>
      </w:r>
    </w:p>
    <w:p w14:paraId="1AF3A01A">
      <w:pPr>
        <w:widowControl w:val="0"/>
        <w:spacing w:line="360" w:lineRule="auto"/>
        <w:ind w:left="420"/>
        <w:jc w:val="both"/>
        <w:rPr>
          <w:rFonts w:ascii="宋体" w:hAnsi="宋体"/>
          <w:color w:val="000000" w:themeColor="text1"/>
          <w:sz w:val="20"/>
          <w:szCs w:val="20"/>
          <w14:textFill>
            <w14:solidFill>
              <w14:schemeClr w14:val="tx1"/>
            </w14:solidFill>
          </w14:textFill>
        </w:rPr>
      </w:pPr>
    </w:p>
    <w:p w14:paraId="0F51C18B">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6" w:name="_Toc523812581"/>
      <w:r>
        <w:rPr>
          <w:rFonts w:hint="eastAsia" w:ascii="宋体" w:hAnsi="宋体" w:eastAsia="宋体"/>
          <w:color w:val="000000" w:themeColor="text1"/>
          <w:sz w:val="20"/>
          <w14:textFill>
            <w14:solidFill>
              <w14:schemeClr w14:val="tx1"/>
            </w14:solidFill>
          </w14:textFill>
        </w:rPr>
        <w:t>违约责任</w:t>
      </w:r>
      <w:bookmarkEnd w:id="105"/>
      <w:bookmarkEnd w:id="106"/>
    </w:p>
    <w:p w14:paraId="4E7A9888">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503A8B99">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710A3F86">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3133FACE">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322985E1">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7E01E8CB">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2A4CAEB4">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5AD70C13">
      <w:pPr>
        <w:widowControl w:val="0"/>
        <w:numPr>
          <w:ilvl w:val="0"/>
          <w:numId w:val="22"/>
        </w:numPr>
        <w:spacing w:line="360" w:lineRule="auto"/>
        <w:jc w:val="both"/>
        <w:rPr>
          <w:rFonts w:ascii="宋体" w:hAnsi="宋体"/>
          <w:vanish/>
          <w:color w:val="000000" w:themeColor="text1"/>
          <w:sz w:val="20"/>
          <w:szCs w:val="20"/>
          <w14:textFill>
            <w14:solidFill>
              <w14:schemeClr w14:val="tx1"/>
            </w14:solidFill>
          </w14:textFill>
        </w:rPr>
      </w:pPr>
    </w:p>
    <w:p w14:paraId="06F72932">
      <w:pPr>
        <w:pStyle w:val="64"/>
        <w:widowControl w:val="0"/>
        <w:numPr>
          <w:ilvl w:val="0"/>
          <w:numId w:val="23"/>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如一方违反本合同的有关规定，另一方有权书面通知违约方在合理的时间内纠正违约行为，并对违约造成的损失索赔。如违约方未能在规定的时间内纠正违约行为，则守约方有权终止本合同；</w:t>
      </w:r>
    </w:p>
    <w:p w14:paraId="52F4130B">
      <w:pPr>
        <w:pStyle w:val="64"/>
        <w:widowControl w:val="0"/>
        <w:numPr>
          <w:ilvl w:val="0"/>
          <w:numId w:val="23"/>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甲方违反本合同费用结算和支付约定，未能按期足额向乙方支付服务费用及其他款项时，甲方同意乙方根据本协议“费用结算与支付”相关约定执行。</w:t>
      </w:r>
    </w:p>
    <w:p w14:paraId="788B6974">
      <w:pPr>
        <w:pStyle w:val="2"/>
        <w:numPr>
          <w:ilvl w:val="0"/>
          <w:numId w:val="4"/>
        </w:numPr>
        <w:tabs>
          <w:tab w:val="left" w:pos="425"/>
        </w:tabs>
        <w:spacing w:line="360" w:lineRule="auto"/>
        <w:ind w:left="425" w:hanging="425"/>
        <w:rPr>
          <w:rFonts w:ascii="宋体" w:hAnsi="宋体" w:eastAsia="宋体"/>
          <w:color w:val="000000" w:themeColor="text1"/>
          <w:kern w:val="0"/>
          <w:sz w:val="20"/>
          <w14:textFill>
            <w14:solidFill>
              <w14:schemeClr w14:val="tx1"/>
            </w14:solidFill>
          </w14:textFill>
        </w:rPr>
      </w:pPr>
      <w:bookmarkStart w:id="107" w:name="_Toc523812582"/>
      <w:r>
        <w:rPr>
          <w:rFonts w:hint="eastAsia" w:ascii="宋体" w:hAnsi="宋体" w:eastAsia="宋体"/>
          <w:color w:val="000000" w:themeColor="text1"/>
          <w:kern w:val="0"/>
          <w:sz w:val="20"/>
          <w:lang w:eastAsia="en-US"/>
          <w14:textFill>
            <w14:solidFill>
              <w14:schemeClr w14:val="tx1"/>
            </w14:solidFill>
          </w14:textFill>
        </w:rPr>
        <w:t>不可抗力</w:t>
      </w:r>
      <w:bookmarkEnd w:id="107"/>
    </w:p>
    <w:p w14:paraId="17598CE4">
      <w:pPr>
        <w:pStyle w:val="64"/>
        <w:widowControl w:val="0"/>
        <w:numPr>
          <w:ilvl w:val="0"/>
          <w:numId w:val="2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任何一方不承担由于不可抗力因素（如战争、火灾、洪水、台风、地震等不可抗拒事件）造成的未能履行其本合同义务的责任。“不可抗力”依照《中华人民共和国合同法》的相关定义。不可抗力事故持续超出一个月，甲乙双方均有权取消合同；</w:t>
      </w:r>
    </w:p>
    <w:p w14:paraId="617EC325">
      <w:pPr>
        <w:pStyle w:val="64"/>
        <w:widowControl w:val="0"/>
        <w:numPr>
          <w:ilvl w:val="0"/>
          <w:numId w:val="24"/>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声称遭受不可抗力的一方应在不可抗力发生后不迟于7天内通知另一方，且应尽可能减少不可抗力所产生之影响，并在事件消除后立即恢复本合同的履行，除非此等履行已不可能或者不必要。</w:t>
      </w:r>
    </w:p>
    <w:p w14:paraId="571144BF">
      <w:pPr>
        <w:pStyle w:val="2"/>
        <w:numPr>
          <w:ilvl w:val="0"/>
          <w:numId w:val="4"/>
        </w:numPr>
        <w:tabs>
          <w:tab w:val="left" w:pos="425"/>
        </w:tabs>
        <w:spacing w:line="360" w:lineRule="auto"/>
        <w:ind w:left="425" w:hanging="425"/>
        <w:rPr>
          <w:rFonts w:ascii="宋体" w:hAnsi="宋体" w:eastAsia="宋体"/>
          <w:color w:val="000000" w:themeColor="text1"/>
          <w:sz w:val="20"/>
          <w14:textFill>
            <w14:solidFill>
              <w14:schemeClr w14:val="tx1"/>
            </w14:solidFill>
          </w14:textFill>
        </w:rPr>
      </w:pPr>
      <w:bookmarkStart w:id="108" w:name="_Toc523812583"/>
      <w:r>
        <w:rPr>
          <w:rFonts w:hint="eastAsia" w:ascii="宋体" w:hAnsi="宋体" w:eastAsia="宋体"/>
          <w:color w:val="000000" w:themeColor="text1"/>
          <w:kern w:val="0"/>
          <w:sz w:val="20"/>
          <w14:textFill>
            <w14:solidFill>
              <w14:schemeClr w14:val="tx1"/>
            </w14:solidFill>
          </w14:textFill>
        </w:rPr>
        <w:t>有效通知</w:t>
      </w:r>
      <w:bookmarkEnd w:id="108"/>
    </w:p>
    <w:p w14:paraId="4C873937">
      <w:pPr>
        <w:spacing w:line="360" w:lineRule="auto"/>
        <w:ind w:left="48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本协议下所规定的通知应以书面形式通过以下邮址递交收悉，通知的到达以对方收悉为准：</w:t>
      </w:r>
    </w:p>
    <w:p w14:paraId="7AAAC70C">
      <w:pPr>
        <w:spacing w:line="360" w:lineRule="auto"/>
        <w:ind w:left="48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甲方项目运营联系人：</w:t>
      </w:r>
      <w:r>
        <w:rPr>
          <w:rFonts w:hint="eastAsia" w:ascii="宋体" w:hAnsi="宋体"/>
          <w:color w:val="000000" w:themeColor="text1"/>
          <w:sz w:val="20"/>
          <w:szCs w:val="20"/>
          <w:u w:val="single"/>
          <w14:textFill>
            <w14:solidFill>
              <w14:schemeClr w14:val="tx1"/>
            </w14:solidFill>
          </w14:textFill>
        </w:rPr>
        <w:t xml:space="preserve"> </w:t>
      </w:r>
    </w:p>
    <w:p w14:paraId="04A30FEC">
      <w:pPr>
        <w:spacing w:line="360" w:lineRule="auto"/>
        <w:ind w:left="480" w:left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甲方邮箱地址：</w:t>
      </w:r>
      <w:r>
        <w:rPr>
          <w:rFonts w:hint="eastAsia" w:ascii="宋体" w:hAnsi="宋体"/>
          <w:color w:val="000000" w:themeColor="text1"/>
          <w:sz w:val="20"/>
          <w:szCs w:val="20"/>
          <w:u w:val="single"/>
          <w14:textFill>
            <w14:solidFill>
              <w14:schemeClr w14:val="tx1"/>
            </w14:solidFill>
          </w14:textFill>
        </w:rPr>
        <w:t xml:space="preserve"> </w:t>
      </w:r>
    </w:p>
    <w:p w14:paraId="7EA68E3F">
      <w:pPr>
        <w:spacing w:line="360" w:lineRule="auto"/>
        <w:ind w:left="480" w:leftChars="200"/>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乙方项目运营联系人：</w:t>
      </w:r>
      <w:r>
        <w:rPr>
          <w:rFonts w:hint="eastAsia" w:ascii="宋体" w:hAnsi="宋体"/>
          <w:sz w:val="20"/>
          <w:szCs w:val="20"/>
          <w:u w:val="single"/>
        </w:rPr>
        <w:t xml:space="preserve"> </w:t>
      </w:r>
    </w:p>
    <w:p w14:paraId="56AC0BF5">
      <w:pPr>
        <w:spacing w:line="360" w:lineRule="auto"/>
        <w:ind w:left="480" w:leftChars="200"/>
        <w:rPr>
          <w:rFonts w:ascii="宋体" w:hAnsi="宋体"/>
          <w:sz w:val="20"/>
          <w:szCs w:val="20"/>
          <w:u w:val="single"/>
        </w:rPr>
      </w:pPr>
      <w:r>
        <w:rPr>
          <w:rFonts w:hint="eastAsia" w:ascii="宋体" w:hAnsi="宋体"/>
          <w:color w:val="000000" w:themeColor="text1"/>
          <w:sz w:val="20"/>
          <w:szCs w:val="20"/>
          <w14:textFill>
            <w14:solidFill>
              <w14:schemeClr w14:val="tx1"/>
            </w14:solidFill>
          </w14:textFill>
        </w:rPr>
        <w:t>乙方邮箱地址：</w:t>
      </w:r>
      <w:bookmarkStart w:id="109" w:name="_Toc523812584"/>
    </w:p>
    <w:p w14:paraId="2153A6A0">
      <w:pPr>
        <w:spacing w:line="360" w:lineRule="auto"/>
        <w:ind w:left="480" w:leftChars="200"/>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其他约定事项</w:t>
      </w:r>
      <w:bookmarkEnd w:id="109"/>
    </w:p>
    <w:p w14:paraId="212BFBD4">
      <w:pPr>
        <w:pStyle w:val="64"/>
        <w:widowControl w:val="0"/>
        <w:numPr>
          <w:ilvl w:val="0"/>
          <w:numId w:val="2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本协议附件具有与本协议相同的法律效力，双方都必须严格遵照执行。违反规定所造成的损失，由违约方承担；</w:t>
      </w:r>
    </w:p>
    <w:p w14:paraId="2F68B43B">
      <w:pPr>
        <w:pStyle w:val="64"/>
        <w:widowControl w:val="0"/>
        <w:numPr>
          <w:ilvl w:val="0"/>
          <w:numId w:val="2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超出本协议的特殊服务或未约定内容，甲乙双方本着公平合理的原则，协商解决。</w:t>
      </w:r>
    </w:p>
    <w:p w14:paraId="5ED70875">
      <w:pPr>
        <w:pStyle w:val="64"/>
        <w:widowControl w:val="0"/>
        <w:numPr>
          <w:ilvl w:val="0"/>
          <w:numId w:val="25"/>
        </w:numPr>
        <w:spacing w:line="360"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本合同一式两份，甲、乙双方各持一份，双方签字盖章后生效。</w:t>
      </w:r>
    </w:p>
    <w:p w14:paraId="7A6C6637">
      <w:pPr>
        <w:spacing w:line="360" w:lineRule="auto"/>
        <w:rPr>
          <w:rFonts w:ascii="宋体" w:hAnsi="宋体"/>
          <w:color w:val="000000" w:themeColor="text1"/>
          <w:sz w:val="20"/>
          <w:szCs w:val="20"/>
          <w14:textFill>
            <w14:solidFill>
              <w14:schemeClr w14:val="tx1"/>
            </w14:solidFill>
          </w14:textFill>
        </w:rPr>
      </w:pPr>
    </w:p>
    <w:p w14:paraId="2B9A3388">
      <w:pPr>
        <w:spacing w:line="360" w:lineRule="auto"/>
        <w:ind w:left="378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以下无正文</w:t>
      </w:r>
    </w:p>
    <w:p w14:paraId="55B7C371">
      <w:pPr>
        <w:spacing w:line="360" w:lineRule="auto"/>
        <w:ind w:firstLine="200" w:firstLineChars="100"/>
        <w:rPr>
          <w:rFonts w:ascii="宋体" w:hAnsi="宋体"/>
          <w:bCs/>
          <w:color w:val="000000" w:themeColor="text1"/>
          <w:sz w:val="20"/>
          <w:szCs w:val="20"/>
          <w14:textFill>
            <w14:solidFill>
              <w14:schemeClr w14:val="tx1"/>
            </w14:solidFill>
          </w14:textFill>
        </w:rPr>
      </w:pPr>
    </w:p>
    <w:p w14:paraId="05D1BA7E">
      <w:pPr>
        <w:spacing w:line="360" w:lineRule="auto"/>
        <w:ind w:firstLine="200" w:firstLineChars="100"/>
        <w:rPr>
          <w:rFonts w:ascii="宋体" w:hAnsi="宋体"/>
          <w:bCs/>
          <w:color w:val="000000" w:themeColor="text1"/>
          <w:sz w:val="20"/>
          <w:szCs w:val="20"/>
          <w14:textFill>
            <w14:solidFill>
              <w14:schemeClr w14:val="tx1"/>
            </w14:solidFill>
          </w14:textFill>
        </w:rPr>
      </w:pPr>
    </w:p>
    <w:p w14:paraId="59EC3197">
      <w:pPr>
        <w:spacing w:line="360" w:lineRule="auto"/>
        <w:rPr>
          <w:rFonts w:ascii="宋体" w:hAnsi="宋体"/>
          <w:bCs/>
          <w:color w:val="000000" w:themeColor="text1"/>
          <w:sz w:val="20"/>
          <w:szCs w:val="20"/>
          <w14:textFill>
            <w14:solidFill>
              <w14:schemeClr w14:val="tx1"/>
            </w14:solidFill>
          </w14:textFill>
        </w:rPr>
      </w:pPr>
    </w:p>
    <w:p w14:paraId="55374213">
      <w:pPr>
        <w:spacing w:line="360" w:lineRule="auto"/>
        <w:rPr>
          <w:rFonts w:ascii="宋体" w:hAnsi="宋体"/>
          <w:bCs/>
          <w:color w:val="000000" w:themeColor="text1"/>
          <w:sz w:val="20"/>
          <w:szCs w:val="20"/>
          <w14:textFill>
            <w14:solidFill>
              <w14:schemeClr w14:val="tx1"/>
            </w14:solidFill>
          </w14:textFill>
        </w:rPr>
      </w:pPr>
    </w:p>
    <w:p w14:paraId="43EEB309">
      <w:pPr>
        <w:spacing w:line="360" w:lineRule="auto"/>
        <w:ind w:firstLine="201" w:firstLineChars="1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甲方1：</w:t>
      </w:r>
      <w:r>
        <w:rPr>
          <w:rFonts w:hint="eastAsia" w:hAnsi="宋体"/>
          <w:b/>
          <w:bCs/>
          <w:color w:val="000000" w:themeColor="text1"/>
          <w:sz w:val="20"/>
          <w14:textFill>
            <w14:solidFill>
              <w14:schemeClr w14:val="tx1"/>
            </w14:solidFill>
          </w14:textFill>
        </w:rPr>
        <w:t xml:space="preserve">上海东冠健康用品股份有限公司   </w:t>
      </w:r>
      <w:r>
        <w:rPr>
          <w:rFonts w:hAnsi="宋体"/>
          <w:b/>
          <w:bCs/>
          <w:color w:val="000000" w:themeColor="text1"/>
          <w:sz w:val="20"/>
          <w14:textFill>
            <w14:solidFill>
              <w14:schemeClr w14:val="tx1"/>
            </w14:solidFill>
          </w14:textFill>
        </w:rPr>
        <w:t xml:space="preserve">             </w:t>
      </w:r>
      <w:r>
        <w:rPr>
          <w:rFonts w:hint="eastAsia" w:ascii="宋体" w:hAnsi="宋体"/>
          <w:b/>
          <w:bCs/>
          <w:color w:val="000000" w:themeColor="text1"/>
          <w:sz w:val="20"/>
          <w:szCs w:val="20"/>
          <w14:textFill>
            <w14:solidFill>
              <w14:schemeClr w14:val="tx1"/>
            </w14:solidFill>
          </w14:textFill>
        </w:rPr>
        <w:t>乙方：</w:t>
      </w:r>
      <w:r>
        <w:rPr>
          <w:rFonts w:hint="eastAsia" w:hAnsi="宋体"/>
          <w:b/>
          <w:bCs/>
          <w:sz w:val="20"/>
        </w:rPr>
        <w:t xml:space="preserve"> </w:t>
      </w:r>
    </w:p>
    <w:p w14:paraId="37573BD5">
      <w:pPr>
        <w:spacing w:line="360" w:lineRule="auto"/>
        <w:ind w:firstLine="201" w:firstLineChars="1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联系人 ：                        </w:t>
      </w:r>
      <w:r>
        <w:rPr>
          <w:rFonts w:ascii="宋体" w:hAnsi="宋体"/>
          <w:b/>
          <w:bCs/>
          <w:color w:val="000000" w:themeColor="text1"/>
          <w:sz w:val="20"/>
          <w:szCs w:val="20"/>
          <w14:textFill>
            <w14:solidFill>
              <w14:schemeClr w14:val="tx1"/>
            </w14:solidFill>
          </w14:textFill>
        </w:rPr>
        <w:t xml:space="preserve">                  </w:t>
      </w:r>
      <w:r>
        <w:rPr>
          <w:rFonts w:hint="eastAsia" w:ascii="宋体" w:hAnsi="宋体"/>
          <w:b/>
          <w:bCs/>
          <w:color w:val="000000" w:themeColor="text1"/>
          <w:sz w:val="20"/>
          <w:szCs w:val="20"/>
          <w14:textFill>
            <w14:solidFill>
              <w14:schemeClr w14:val="tx1"/>
            </w14:solidFill>
          </w14:textFill>
        </w:rPr>
        <w:t>联系人：</w:t>
      </w:r>
    </w:p>
    <w:p w14:paraId="289F32DF">
      <w:pPr>
        <w:spacing w:line="360" w:lineRule="auto"/>
        <w:ind w:firstLine="201" w:firstLineChars="1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日期：                           </w:t>
      </w:r>
      <w:r>
        <w:rPr>
          <w:rFonts w:ascii="宋体" w:hAnsi="宋体"/>
          <w:b/>
          <w:bCs/>
          <w:color w:val="000000" w:themeColor="text1"/>
          <w:sz w:val="20"/>
          <w:szCs w:val="20"/>
          <w14:textFill>
            <w14:solidFill>
              <w14:schemeClr w14:val="tx1"/>
            </w14:solidFill>
          </w14:textFill>
        </w:rPr>
        <w:t xml:space="preserve">                  </w:t>
      </w:r>
      <w:r>
        <w:rPr>
          <w:rFonts w:hint="eastAsia" w:ascii="宋体" w:hAnsi="宋体"/>
          <w:b/>
          <w:bCs/>
          <w:color w:val="000000" w:themeColor="text1"/>
          <w:sz w:val="20"/>
          <w:szCs w:val="20"/>
          <w14:textFill>
            <w14:solidFill>
              <w14:schemeClr w14:val="tx1"/>
            </w14:solidFill>
          </w14:textFill>
        </w:rPr>
        <w:t>日期：</w:t>
      </w:r>
    </w:p>
    <w:p w14:paraId="7E6F5C57">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113672D0">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70DF5D1E">
      <w:pPr>
        <w:pStyle w:val="7"/>
        <w:spacing w:before="156" w:beforeLines="50" w:line="360" w:lineRule="auto"/>
        <w:rPr>
          <w:rFonts w:hAnsi="宋体"/>
          <w:b/>
          <w:bCs/>
          <w:color w:val="000000" w:themeColor="text1"/>
          <w:sz w:val="20"/>
          <w14:textFill>
            <w14:solidFill>
              <w14:schemeClr w14:val="tx1"/>
            </w14:solidFill>
          </w14:textFill>
        </w:rPr>
      </w:pPr>
    </w:p>
    <w:p w14:paraId="440433A5">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703E2292">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1AC12EE1">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003040B0">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562E5656">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4AB2F623">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4E997D39">
      <w:pPr>
        <w:spacing w:line="360" w:lineRule="auto"/>
        <w:ind w:firstLine="201" w:firstLineChars="100"/>
        <w:rPr>
          <w:rFonts w:ascii="宋体" w:hAnsi="宋体"/>
          <w:b/>
          <w:bCs/>
          <w:color w:val="000000" w:themeColor="text1"/>
          <w:sz w:val="20"/>
          <w:szCs w:val="20"/>
          <w14:textFill>
            <w14:solidFill>
              <w14:schemeClr w14:val="tx1"/>
            </w14:solidFill>
          </w14:textFill>
        </w:rPr>
      </w:pPr>
    </w:p>
    <w:p w14:paraId="74AB0D0F">
      <w:pPr>
        <w:spacing w:line="360" w:lineRule="auto"/>
        <w:rPr>
          <w:rFonts w:ascii="宋体" w:hAnsi="宋体"/>
          <w:b/>
          <w:bCs/>
          <w:color w:val="000000" w:themeColor="text1"/>
          <w:sz w:val="20"/>
          <w:szCs w:val="20"/>
          <w14:textFill>
            <w14:solidFill>
              <w14:schemeClr w14:val="tx1"/>
            </w14:solidFill>
          </w14:textFill>
        </w:rPr>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pPr>
    </w:p>
    <w:p w14:paraId="694648A2">
      <w:pPr>
        <w:spacing w:line="360"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附件一</w:t>
      </w:r>
      <w:r>
        <w:rPr>
          <w:rFonts w:ascii="宋体" w:hAnsi="宋体"/>
          <w:b/>
          <w:bCs/>
          <w:color w:val="000000" w:themeColor="text1"/>
          <w:sz w:val="20"/>
          <w:szCs w:val="20"/>
          <w14:textFill>
            <w14:solidFill>
              <w14:schemeClr w14:val="tx1"/>
            </w14:solidFill>
          </w14:textFill>
        </w:rPr>
        <w:t>：</w:t>
      </w:r>
      <w:r>
        <w:rPr>
          <w:rFonts w:hint="eastAsia" w:ascii="宋体" w:hAnsi="宋体"/>
          <w:b/>
          <w:bCs/>
          <w:color w:val="000000" w:themeColor="text1"/>
          <w:sz w:val="20"/>
          <w:szCs w:val="20"/>
          <w14:textFill>
            <w14:solidFill>
              <w14:schemeClr w14:val="tx1"/>
            </w14:solidFill>
          </w14:textFill>
        </w:rPr>
        <w:t>服务</w:t>
      </w:r>
      <w:r>
        <w:rPr>
          <w:rFonts w:ascii="宋体" w:hAnsi="宋体"/>
          <w:b/>
          <w:bCs/>
          <w:color w:val="000000" w:themeColor="text1"/>
          <w:sz w:val="20"/>
          <w:szCs w:val="20"/>
          <w14:textFill>
            <w14:solidFill>
              <w14:schemeClr w14:val="tx1"/>
            </w14:solidFill>
          </w14:textFill>
        </w:rPr>
        <w:t>报价表</w:t>
      </w:r>
      <w:r>
        <w:rPr>
          <w:rFonts w:hint="eastAsia" w:ascii="宋体" w:hAnsi="宋体"/>
          <w:b/>
          <w:bCs/>
          <w:color w:val="000000" w:themeColor="text1"/>
          <w:sz w:val="20"/>
          <w:szCs w:val="20"/>
          <w14:textFill>
            <w14:solidFill>
              <w14:schemeClr w14:val="tx1"/>
            </w14:solidFill>
          </w14:textFill>
        </w:rPr>
        <w:t>(新)</w:t>
      </w:r>
    </w:p>
    <w:p w14:paraId="5F7D2349">
      <w:pPr>
        <w:rPr>
          <w:rFonts w:ascii="宋体" w:hAnsi="宋体" w:cs="宋体"/>
          <w:color w:val="000000" w:themeColor="text1"/>
          <w:sz w:val="20"/>
          <w:szCs w:val="20"/>
          <w14:textFill>
            <w14:solidFill>
              <w14:schemeClr w14:val="tx1"/>
            </w14:solidFill>
          </w14:textFill>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
        <w:gridCol w:w="704"/>
        <w:gridCol w:w="92"/>
        <w:gridCol w:w="836"/>
        <w:gridCol w:w="940"/>
        <w:gridCol w:w="1103"/>
        <w:gridCol w:w="856"/>
        <w:gridCol w:w="856"/>
        <w:gridCol w:w="856"/>
        <w:gridCol w:w="856"/>
        <w:gridCol w:w="1185"/>
        <w:gridCol w:w="1113"/>
        <w:gridCol w:w="925"/>
        <w:gridCol w:w="1112"/>
        <w:gridCol w:w="1225"/>
        <w:gridCol w:w="1530"/>
        <w:gridCol w:w="108"/>
      </w:tblGrid>
      <w:tr w14:paraId="3978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411"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1A209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928" w:type="dxa"/>
            <w:gridSpan w:val="2"/>
            <w:vMerge w:val="restart"/>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369810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w:t>
            </w:r>
          </w:p>
        </w:tc>
        <w:tc>
          <w:tcPr>
            <w:tcW w:w="12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9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w:t>
            </w:r>
          </w:p>
        </w:tc>
      </w:tr>
      <w:tr w14:paraId="6A0B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411"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5E62FC19">
            <w:pPr>
              <w:jc w:val="center"/>
              <w:rPr>
                <w:rFonts w:hint="eastAsia" w:ascii="宋体" w:hAnsi="宋体" w:eastAsia="宋体" w:cs="宋体"/>
                <w:b/>
                <w:bCs/>
                <w:i w:val="0"/>
                <w:iCs w:val="0"/>
                <w:color w:val="000000"/>
                <w:sz w:val="20"/>
                <w:szCs w:val="20"/>
                <w:u w:val="none"/>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1049E871">
            <w:pPr>
              <w:jc w:val="center"/>
              <w:rPr>
                <w:rFonts w:hint="eastAsia" w:ascii="宋体" w:hAnsi="宋体" w:eastAsia="宋体" w:cs="宋体"/>
                <w:b/>
                <w:bCs/>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04C5F5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0.5kg</w:t>
            </w:r>
          </w:p>
        </w:tc>
        <w:tc>
          <w:tcPr>
            <w:tcW w:w="1103"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4C1F3A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1kg</w:t>
            </w:r>
          </w:p>
        </w:tc>
        <w:tc>
          <w:tcPr>
            <w:tcW w:w="856"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10CF9F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2kg</w:t>
            </w:r>
          </w:p>
        </w:tc>
        <w:tc>
          <w:tcPr>
            <w:tcW w:w="856"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276019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3kg</w:t>
            </w:r>
          </w:p>
        </w:tc>
        <w:tc>
          <w:tcPr>
            <w:tcW w:w="856"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6255D0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4kg</w:t>
            </w:r>
          </w:p>
        </w:tc>
        <w:tc>
          <w:tcPr>
            <w:tcW w:w="856"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4A7674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5kg</w:t>
            </w:r>
          </w:p>
        </w:tc>
        <w:tc>
          <w:tcPr>
            <w:tcW w:w="1185"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08C4AC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6kg</w:t>
            </w:r>
          </w:p>
        </w:tc>
        <w:tc>
          <w:tcPr>
            <w:tcW w:w="1113"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31C6CD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7kg</w:t>
            </w:r>
          </w:p>
        </w:tc>
        <w:tc>
          <w:tcPr>
            <w:tcW w:w="925"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29988F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8kg</w:t>
            </w:r>
          </w:p>
        </w:tc>
        <w:tc>
          <w:tcPr>
            <w:tcW w:w="1112"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1EDB65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9kg</w:t>
            </w:r>
          </w:p>
        </w:tc>
        <w:tc>
          <w:tcPr>
            <w:tcW w:w="1225" w:type="dxa"/>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3D25CA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10kg</w:t>
            </w:r>
          </w:p>
        </w:tc>
        <w:tc>
          <w:tcPr>
            <w:tcW w:w="1638" w:type="dxa"/>
            <w:gridSpan w:val="2"/>
            <w:tcBorders>
              <w:top w:val="single" w:color="000000" w:sz="4" w:space="0"/>
              <w:left w:val="single" w:color="000000" w:sz="4" w:space="0"/>
              <w:bottom w:val="single" w:color="000000" w:sz="4" w:space="0"/>
              <w:right w:val="single" w:color="000000" w:sz="4" w:space="0"/>
            </w:tcBorders>
            <w:shd w:val="clear" w:color="DDEBF7" w:fill="DDEBF7"/>
            <w:noWrap/>
            <w:vAlign w:val="center"/>
          </w:tcPr>
          <w:p w14:paraId="0AAF61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11kg</w:t>
            </w:r>
          </w:p>
        </w:tc>
      </w:tr>
      <w:tr w14:paraId="3747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6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342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2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7283">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131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BECA">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C9BB">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605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B0BB">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507E">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5B2F">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FE2F">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0D3C">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84F9">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B9A0">
            <w:pPr>
              <w:rPr>
                <w:rFonts w:hint="eastAsia" w:ascii="宋体" w:hAnsi="宋体" w:eastAsia="宋体" w:cs="宋体"/>
                <w:i w:val="0"/>
                <w:iCs w:val="0"/>
                <w:color w:val="000000"/>
                <w:sz w:val="20"/>
                <w:szCs w:val="20"/>
                <w:u w:val="none"/>
              </w:rPr>
            </w:pPr>
          </w:p>
        </w:tc>
      </w:tr>
      <w:tr w14:paraId="4D1D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9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A4A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7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59D4">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AAA">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E24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CF0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757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D129">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3EF8">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0F16">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ED14">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805C">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CBFD">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7C19">
            <w:pPr>
              <w:rPr>
                <w:rFonts w:hint="eastAsia" w:ascii="宋体" w:hAnsi="宋体" w:eastAsia="宋体" w:cs="宋体"/>
                <w:i w:val="0"/>
                <w:iCs w:val="0"/>
                <w:color w:val="000000"/>
                <w:sz w:val="20"/>
                <w:szCs w:val="20"/>
                <w:u w:val="none"/>
              </w:rPr>
            </w:pPr>
          </w:p>
        </w:tc>
      </w:tr>
      <w:tr w14:paraId="49C5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424"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8FE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1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AC2E">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0886">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90D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1A3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1AF3">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4DD7">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320D">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462A">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ADE6">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FDAE">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4474">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8FA4">
            <w:pPr>
              <w:rPr>
                <w:rFonts w:hint="eastAsia" w:ascii="宋体" w:hAnsi="宋体" w:eastAsia="宋体" w:cs="宋体"/>
                <w:i w:val="0"/>
                <w:iCs w:val="0"/>
                <w:color w:val="000000"/>
                <w:sz w:val="20"/>
                <w:szCs w:val="20"/>
                <w:u w:val="none"/>
              </w:rPr>
            </w:pPr>
          </w:p>
        </w:tc>
      </w:tr>
      <w:tr w14:paraId="0B34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7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D15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B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E2B6">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E0F1">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66C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0398">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6DD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64E2">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5C25">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4DB0">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5F57">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3B9C">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A5EC">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96C3">
            <w:pPr>
              <w:rPr>
                <w:rFonts w:hint="eastAsia" w:ascii="宋体" w:hAnsi="宋体" w:eastAsia="宋体" w:cs="宋体"/>
                <w:i w:val="0"/>
                <w:iCs w:val="0"/>
                <w:color w:val="000000"/>
                <w:sz w:val="20"/>
                <w:szCs w:val="20"/>
                <w:u w:val="none"/>
              </w:rPr>
            </w:pPr>
          </w:p>
        </w:tc>
      </w:tr>
      <w:tr w14:paraId="3044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40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21C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8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D2F7">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E3EA">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9D0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5A09">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6776">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C108">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4233">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C6E">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0DCD">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EE88">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EB7D">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A19F">
            <w:pPr>
              <w:rPr>
                <w:rFonts w:hint="eastAsia" w:ascii="宋体" w:hAnsi="宋体" w:eastAsia="宋体" w:cs="宋体"/>
                <w:i w:val="0"/>
                <w:iCs w:val="0"/>
                <w:color w:val="000000"/>
                <w:sz w:val="20"/>
                <w:szCs w:val="20"/>
                <w:u w:val="none"/>
              </w:rPr>
            </w:pPr>
          </w:p>
        </w:tc>
      </w:tr>
      <w:tr w14:paraId="5429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3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5BA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D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CD3E">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24F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2D4E">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356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F67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DB3F">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09E6">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8712">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266F">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5A2E">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DD97">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4F36">
            <w:pPr>
              <w:rPr>
                <w:rFonts w:hint="eastAsia" w:ascii="宋体" w:hAnsi="宋体" w:eastAsia="宋体" w:cs="宋体"/>
                <w:i w:val="0"/>
                <w:iCs w:val="0"/>
                <w:color w:val="000000"/>
                <w:sz w:val="20"/>
                <w:szCs w:val="20"/>
                <w:u w:val="none"/>
              </w:rPr>
            </w:pPr>
          </w:p>
        </w:tc>
      </w:tr>
      <w:tr w14:paraId="0BB9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5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0BD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B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AF6B">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FFC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8BE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FB6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E90A">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B336">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2B1B">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10F0">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BD0E">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8EBC">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C512">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940B">
            <w:pPr>
              <w:rPr>
                <w:rFonts w:hint="eastAsia" w:ascii="宋体" w:hAnsi="宋体" w:eastAsia="宋体" w:cs="宋体"/>
                <w:i w:val="0"/>
                <w:iCs w:val="0"/>
                <w:color w:val="000000"/>
                <w:sz w:val="20"/>
                <w:szCs w:val="20"/>
                <w:u w:val="none"/>
              </w:rPr>
            </w:pPr>
          </w:p>
        </w:tc>
      </w:tr>
      <w:tr w14:paraId="466C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3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5BE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A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4B02">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5848">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7D88">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89F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7C4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3BDB">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2F56">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DFDA">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A998">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CF0D">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C5D7">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F4BF">
            <w:pPr>
              <w:rPr>
                <w:rFonts w:hint="eastAsia" w:ascii="宋体" w:hAnsi="宋体" w:eastAsia="宋体" w:cs="宋体"/>
                <w:i w:val="0"/>
                <w:iCs w:val="0"/>
                <w:color w:val="000000"/>
                <w:sz w:val="20"/>
                <w:szCs w:val="20"/>
                <w:u w:val="none"/>
              </w:rPr>
            </w:pPr>
          </w:p>
        </w:tc>
      </w:tr>
      <w:tr w14:paraId="1F0B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32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2E2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7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FFAC">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B3C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B6DA">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27CB">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038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66B3">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8D21">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BC80">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9699">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5390">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AAEC">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80F8">
            <w:pPr>
              <w:rPr>
                <w:rFonts w:hint="eastAsia" w:ascii="宋体" w:hAnsi="宋体" w:eastAsia="宋体" w:cs="宋体"/>
                <w:i w:val="0"/>
                <w:iCs w:val="0"/>
                <w:color w:val="000000"/>
                <w:sz w:val="20"/>
                <w:szCs w:val="20"/>
                <w:u w:val="none"/>
              </w:rPr>
            </w:pPr>
          </w:p>
        </w:tc>
      </w:tr>
      <w:tr w14:paraId="2B1C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2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E48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F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5E40">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C73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541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422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6D3A">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105B">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2B7F">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F06D">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577A">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BADC">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76DA">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3F4D">
            <w:pPr>
              <w:rPr>
                <w:rFonts w:hint="eastAsia" w:ascii="宋体" w:hAnsi="宋体" w:eastAsia="宋体" w:cs="宋体"/>
                <w:i w:val="0"/>
                <w:iCs w:val="0"/>
                <w:color w:val="000000"/>
                <w:sz w:val="20"/>
                <w:szCs w:val="20"/>
                <w:u w:val="none"/>
              </w:rPr>
            </w:pPr>
          </w:p>
        </w:tc>
      </w:tr>
      <w:tr w14:paraId="4388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4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FC4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3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9620">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57E6">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963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02A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A03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97E4">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3D8C">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3F30">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F538">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58C3">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9FBC">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7C57">
            <w:pPr>
              <w:rPr>
                <w:rFonts w:hint="eastAsia" w:ascii="宋体" w:hAnsi="宋体" w:eastAsia="宋体" w:cs="宋体"/>
                <w:i w:val="0"/>
                <w:iCs w:val="0"/>
                <w:color w:val="000000"/>
                <w:sz w:val="20"/>
                <w:szCs w:val="20"/>
                <w:u w:val="none"/>
              </w:rPr>
            </w:pPr>
          </w:p>
        </w:tc>
      </w:tr>
      <w:tr w14:paraId="03A0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34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CFD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0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0AE4">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59B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D28B">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AE0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0D9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682B">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3DC9">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F18D">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E08C">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62B8">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2D28">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5E59">
            <w:pPr>
              <w:rPr>
                <w:rFonts w:hint="eastAsia" w:ascii="宋体" w:hAnsi="宋体" w:eastAsia="宋体" w:cs="宋体"/>
                <w:i w:val="0"/>
                <w:iCs w:val="0"/>
                <w:color w:val="000000"/>
                <w:sz w:val="20"/>
                <w:szCs w:val="20"/>
                <w:u w:val="none"/>
              </w:rPr>
            </w:pPr>
          </w:p>
        </w:tc>
      </w:tr>
      <w:tr w14:paraId="5798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22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3D3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4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8FCF">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67E">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875B">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53F7">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0B63">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24AB">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83A3">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F148">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7BB7">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EE10">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2181">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56BE">
            <w:pPr>
              <w:rPr>
                <w:rFonts w:hint="eastAsia" w:ascii="宋体" w:hAnsi="宋体" w:eastAsia="宋体" w:cs="宋体"/>
                <w:i w:val="0"/>
                <w:iCs w:val="0"/>
                <w:color w:val="000000"/>
                <w:sz w:val="20"/>
                <w:szCs w:val="20"/>
                <w:u w:val="none"/>
              </w:rPr>
            </w:pPr>
          </w:p>
        </w:tc>
      </w:tr>
      <w:tr w14:paraId="40BA9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22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4FB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3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5CEA">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C4EB">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0CC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0CC2">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E6E1">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776B">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0202">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8F3D">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0C32">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C19">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0047">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8A94">
            <w:pPr>
              <w:rPr>
                <w:rFonts w:hint="eastAsia" w:ascii="宋体" w:hAnsi="宋体" w:eastAsia="宋体" w:cs="宋体"/>
                <w:i w:val="0"/>
                <w:iCs w:val="0"/>
                <w:color w:val="000000"/>
                <w:sz w:val="20"/>
                <w:szCs w:val="20"/>
                <w:u w:val="none"/>
              </w:rPr>
            </w:pPr>
          </w:p>
        </w:tc>
      </w:tr>
      <w:tr w14:paraId="39CE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2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B1E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5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2576">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5F64">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988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91A1">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2852">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313">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54D2">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D9B5">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2C7C">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F4B1">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790A">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F08">
            <w:pPr>
              <w:rPr>
                <w:rFonts w:hint="eastAsia" w:ascii="宋体" w:hAnsi="宋体" w:eastAsia="宋体" w:cs="宋体"/>
                <w:i w:val="0"/>
                <w:iCs w:val="0"/>
                <w:color w:val="000000"/>
                <w:sz w:val="20"/>
                <w:szCs w:val="20"/>
                <w:u w:val="none"/>
              </w:rPr>
            </w:pPr>
          </w:p>
        </w:tc>
      </w:tr>
      <w:tr w14:paraId="2DFF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0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B33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9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20DB">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9CA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B18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B11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4451">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82E5">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C887">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4058">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37C2">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B190">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25BB">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6CF7">
            <w:pPr>
              <w:rPr>
                <w:rFonts w:hint="eastAsia" w:ascii="宋体" w:hAnsi="宋体" w:eastAsia="宋体" w:cs="宋体"/>
                <w:i w:val="0"/>
                <w:iCs w:val="0"/>
                <w:color w:val="000000"/>
                <w:sz w:val="20"/>
                <w:szCs w:val="20"/>
                <w:u w:val="none"/>
              </w:rPr>
            </w:pPr>
          </w:p>
        </w:tc>
      </w:tr>
      <w:tr w14:paraId="19A3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4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FA0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D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42E4">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72C6">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AC93">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74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1F23">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C430">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4238">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85AC">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3061">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0C33">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A5EE">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B8C1">
            <w:pPr>
              <w:rPr>
                <w:rFonts w:hint="eastAsia" w:ascii="宋体" w:hAnsi="宋体" w:eastAsia="宋体" w:cs="宋体"/>
                <w:i w:val="0"/>
                <w:iCs w:val="0"/>
                <w:color w:val="000000"/>
                <w:sz w:val="20"/>
                <w:szCs w:val="20"/>
                <w:u w:val="none"/>
              </w:rPr>
            </w:pPr>
          </w:p>
        </w:tc>
      </w:tr>
      <w:tr w14:paraId="7064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33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0B5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9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94F6">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F5A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BA91">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C4A8">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45F6">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29DF">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0753">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947D">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82D3">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78EF">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5846">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D581">
            <w:pPr>
              <w:rPr>
                <w:rFonts w:hint="eastAsia" w:ascii="宋体" w:hAnsi="宋体" w:eastAsia="宋体" w:cs="宋体"/>
                <w:i w:val="0"/>
                <w:iCs w:val="0"/>
                <w:color w:val="000000"/>
                <w:sz w:val="20"/>
                <w:szCs w:val="20"/>
                <w:u w:val="none"/>
              </w:rPr>
            </w:pPr>
          </w:p>
        </w:tc>
      </w:tr>
      <w:tr w14:paraId="6BED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2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3CD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6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5BA8">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BC1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33F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788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182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24AD">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42EB">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1B0B">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170B">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4071">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EF38">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C6FA">
            <w:pPr>
              <w:rPr>
                <w:rFonts w:hint="eastAsia" w:ascii="宋体" w:hAnsi="宋体" w:eastAsia="宋体" w:cs="宋体"/>
                <w:i w:val="0"/>
                <w:iCs w:val="0"/>
                <w:color w:val="000000"/>
                <w:sz w:val="20"/>
                <w:szCs w:val="20"/>
                <w:u w:val="none"/>
              </w:rPr>
            </w:pPr>
          </w:p>
        </w:tc>
      </w:tr>
      <w:tr w14:paraId="0FD2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36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E8B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B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67D4">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418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C05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2BC6">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D0E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74FD">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A0E8">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55C3">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0895">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DB77">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8FE3">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F009">
            <w:pPr>
              <w:rPr>
                <w:rFonts w:hint="eastAsia" w:ascii="宋体" w:hAnsi="宋体" w:eastAsia="宋体" w:cs="宋体"/>
                <w:i w:val="0"/>
                <w:iCs w:val="0"/>
                <w:color w:val="000000"/>
                <w:sz w:val="20"/>
                <w:szCs w:val="20"/>
                <w:u w:val="none"/>
              </w:rPr>
            </w:pPr>
          </w:p>
        </w:tc>
      </w:tr>
      <w:tr w14:paraId="5972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5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ADF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2357">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13C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A9B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414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1028">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E552">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04D4">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EFE7">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9E62">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E9CC">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1316">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9020">
            <w:pPr>
              <w:rPr>
                <w:rFonts w:hint="eastAsia" w:ascii="宋体" w:hAnsi="宋体" w:eastAsia="宋体" w:cs="宋体"/>
                <w:i w:val="0"/>
                <w:iCs w:val="0"/>
                <w:color w:val="000000"/>
                <w:sz w:val="20"/>
                <w:szCs w:val="20"/>
                <w:u w:val="none"/>
              </w:rPr>
            </w:pPr>
          </w:p>
        </w:tc>
      </w:tr>
      <w:tr w14:paraId="505A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6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1B6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4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C5F0">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A45E">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0279">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18E2">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FDF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E58B">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4547">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4FB3">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0644">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FD89">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D5D4">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0292">
            <w:pPr>
              <w:rPr>
                <w:rFonts w:hint="eastAsia" w:ascii="宋体" w:hAnsi="宋体" w:eastAsia="宋体" w:cs="宋体"/>
                <w:i w:val="0"/>
                <w:iCs w:val="0"/>
                <w:color w:val="000000"/>
                <w:sz w:val="20"/>
                <w:szCs w:val="20"/>
                <w:u w:val="none"/>
              </w:rPr>
            </w:pPr>
          </w:p>
        </w:tc>
      </w:tr>
      <w:tr w14:paraId="22CC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1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1D4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2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9B26">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1DE0">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CFF2">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DFB6">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996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9971">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3CAC">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6977">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1D0B">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395">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50ED">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191F">
            <w:pPr>
              <w:rPr>
                <w:rFonts w:hint="eastAsia" w:ascii="宋体" w:hAnsi="宋体" w:eastAsia="宋体" w:cs="宋体"/>
                <w:i w:val="0"/>
                <w:iCs w:val="0"/>
                <w:color w:val="000000"/>
                <w:sz w:val="20"/>
                <w:szCs w:val="20"/>
                <w:u w:val="none"/>
              </w:rPr>
            </w:pPr>
          </w:p>
        </w:tc>
      </w:tr>
      <w:tr w14:paraId="2D59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3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C84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91B5">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B24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9041">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23E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27DA">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3457">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399B">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A39B">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87F">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5EE9">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127D">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9626">
            <w:pPr>
              <w:rPr>
                <w:rFonts w:hint="eastAsia" w:ascii="宋体" w:hAnsi="宋体" w:eastAsia="宋体" w:cs="宋体"/>
                <w:i w:val="0"/>
                <w:iCs w:val="0"/>
                <w:color w:val="000000"/>
                <w:sz w:val="20"/>
                <w:szCs w:val="20"/>
                <w:u w:val="none"/>
              </w:rPr>
            </w:pPr>
          </w:p>
        </w:tc>
      </w:tr>
      <w:tr w14:paraId="6FDF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2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8D9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0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DD65">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CA57">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B61B">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996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0F2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5E96">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D120">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813D">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D81A">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484">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B9CB">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A81B">
            <w:pPr>
              <w:rPr>
                <w:rFonts w:hint="eastAsia" w:ascii="宋体" w:hAnsi="宋体" w:eastAsia="宋体" w:cs="宋体"/>
                <w:i w:val="0"/>
                <w:iCs w:val="0"/>
                <w:color w:val="000000"/>
                <w:sz w:val="20"/>
                <w:szCs w:val="20"/>
                <w:u w:val="none"/>
              </w:rPr>
            </w:pPr>
          </w:p>
        </w:tc>
      </w:tr>
      <w:tr w14:paraId="6B56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2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B2C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2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7CC">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2A0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B01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041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056E">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BB40">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623E">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FB0D">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536A">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46CE">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0088">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A461">
            <w:pPr>
              <w:rPr>
                <w:rFonts w:hint="eastAsia" w:ascii="宋体" w:hAnsi="宋体" w:eastAsia="宋体" w:cs="宋体"/>
                <w:i w:val="0"/>
                <w:iCs w:val="0"/>
                <w:color w:val="000000"/>
                <w:sz w:val="20"/>
                <w:szCs w:val="20"/>
                <w:u w:val="none"/>
              </w:rPr>
            </w:pPr>
          </w:p>
        </w:tc>
      </w:tr>
      <w:tr w14:paraId="2BBC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B30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9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DD4F">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F9BB">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9594">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D7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18C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6316">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F1B9">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A584">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ECE8">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53AC">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3FE1">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D8B0">
            <w:pPr>
              <w:rPr>
                <w:rFonts w:hint="eastAsia" w:ascii="宋体" w:hAnsi="宋体" w:eastAsia="宋体" w:cs="宋体"/>
                <w:i w:val="0"/>
                <w:iCs w:val="0"/>
                <w:color w:val="000000"/>
                <w:sz w:val="20"/>
                <w:szCs w:val="20"/>
                <w:u w:val="none"/>
              </w:rPr>
            </w:pPr>
          </w:p>
        </w:tc>
      </w:tr>
      <w:tr w14:paraId="406E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7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76F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0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089C">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9C1E">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C5FE">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71FF">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44E8">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D567">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61B8">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358E">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9539">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2960">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D1D7">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7723">
            <w:pPr>
              <w:rPr>
                <w:rFonts w:hint="eastAsia" w:ascii="宋体" w:hAnsi="宋体" w:eastAsia="宋体" w:cs="宋体"/>
                <w:i w:val="0"/>
                <w:iCs w:val="0"/>
                <w:color w:val="000000"/>
                <w:sz w:val="20"/>
                <w:szCs w:val="20"/>
                <w:u w:val="none"/>
              </w:rPr>
            </w:pPr>
          </w:p>
        </w:tc>
      </w:tr>
      <w:tr w14:paraId="28B0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36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BC7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6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5028">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C5C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7D69">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B531">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FFC5">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7689">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B7FF">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334C">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DB6E">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7ACF">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F6B8">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DC90">
            <w:pPr>
              <w:rPr>
                <w:rFonts w:hint="eastAsia" w:ascii="宋体" w:hAnsi="宋体" w:eastAsia="宋体" w:cs="宋体"/>
                <w:i w:val="0"/>
                <w:iCs w:val="0"/>
                <w:color w:val="000000"/>
                <w:sz w:val="20"/>
                <w:szCs w:val="20"/>
                <w:u w:val="none"/>
              </w:rPr>
            </w:pPr>
          </w:p>
        </w:tc>
      </w:tr>
      <w:tr w14:paraId="3072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10" w:type="dxa"/>
          <w:trHeight w:val="2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9DA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A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BB69">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3E5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DB4C">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E57D">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E82B">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8D6C">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B905">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CE21">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A55B">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8425">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55AB">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59C0">
            <w:pPr>
              <w:rPr>
                <w:rFonts w:hint="eastAsia" w:ascii="宋体" w:hAnsi="宋体" w:eastAsia="宋体" w:cs="宋体"/>
                <w:i w:val="0"/>
                <w:iCs w:val="0"/>
                <w:color w:val="000000"/>
                <w:sz w:val="20"/>
                <w:szCs w:val="20"/>
                <w:u w:val="none"/>
              </w:rPr>
            </w:pPr>
          </w:p>
        </w:tc>
      </w:tr>
      <w:tr w14:paraId="3BE3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 w:type="dxa"/>
          <w:trHeight w:val="29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C52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B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西藏</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DEC6">
            <w:pP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2507">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8EB7">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A163">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451A">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3FF1">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13F7">
            <w:pPr>
              <w:rPr>
                <w:rFonts w:hint="eastAsia" w:ascii="宋体" w:hAnsi="宋体" w:eastAsia="宋体" w:cs="宋体"/>
                <w:i w:val="0"/>
                <w:iCs w:val="0"/>
                <w:color w:val="000000"/>
                <w:sz w:val="20"/>
                <w:szCs w:val="20"/>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2EB2">
            <w:pP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A1B8">
            <w:pPr>
              <w:rPr>
                <w:rFonts w:hint="eastAsia" w:ascii="宋体" w:hAnsi="宋体" w:eastAsia="宋体" w:cs="宋体"/>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2289">
            <w:pP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7557">
            <w:pPr>
              <w:rPr>
                <w:rFonts w:hint="eastAsia" w:ascii="宋体" w:hAnsi="宋体" w:eastAsia="宋体" w:cs="宋体"/>
                <w:i w:val="0"/>
                <w:iCs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2402">
            <w:pPr>
              <w:rPr>
                <w:rFonts w:hint="eastAsia" w:ascii="宋体" w:hAnsi="宋体" w:eastAsia="宋体" w:cs="宋体"/>
                <w:i w:val="0"/>
                <w:iCs w:val="0"/>
                <w:color w:val="000000"/>
                <w:sz w:val="20"/>
                <w:szCs w:val="20"/>
                <w:u w:val="none"/>
              </w:rPr>
            </w:pPr>
          </w:p>
        </w:tc>
      </w:tr>
      <w:tr w14:paraId="0F96D3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8" w:type="dxa"/>
          <w:trHeight w:val="717" w:hRule="atLeast"/>
        </w:trPr>
        <w:tc>
          <w:tcPr>
            <w:tcW w:w="906" w:type="dxa"/>
            <w:gridSpan w:val="3"/>
            <w:vMerge w:val="restart"/>
            <w:tcBorders>
              <w:top w:val="single" w:color="auto" w:sz="4" w:space="0"/>
              <w:left w:val="single" w:color="auto" w:sz="4" w:space="0"/>
              <w:right w:val="single" w:color="auto" w:sz="4" w:space="0"/>
            </w:tcBorders>
            <w:shd w:val="clear" w:color="auto" w:fill="auto"/>
            <w:noWrap/>
            <w:vAlign w:val="center"/>
          </w:tcPr>
          <w:p w14:paraId="2E4F5FBE">
            <w:pPr>
              <w:jc w:val="center"/>
              <w:rPr>
                <w:rFonts w:ascii="宋体" w:hAnsi="宋体" w:cs="宋体"/>
                <w:color w:val="000000"/>
                <w:sz w:val="22"/>
                <w:szCs w:val="22"/>
              </w:rPr>
            </w:pPr>
            <w:r>
              <w:rPr>
                <w:rFonts w:hint="eastAsia" w:ascii="宋体" w:hAnsi="宋体" w:cs="宋体"/>
                <w:color w:val="000000"/>
                <w:sz w:val="22"/>
                <w:szCs w:val="22"/>
              </w:rPr>
              <w:t>备注:</w:t>
            </w:r>
          </w:p>
        </w:tc>
        <w:tc>
          <w:tcPr>
            <w:tcW w:w="13393" w:type="dxa"/>
            <w:gridSpan w:val="13"/>
            <w:tcBorders>
              <w:top w:val="single" w:color="auto" w:sz="4" w:space="0"/>
              <w:left w:val="nil"/>
              <w:bottom w:val="single" w:color="auto" w:sz="4" w:space="0"/>
              <w:right w:val="single" w:color="auto" w:sz="4" w:space="0"/>
            </w:tcBorders>
            <w:shd w:val="clear" w:color="auto" w:fill="auto"/>
            <w:noWrap/>
            <w:vAlign w:val="bottom"/>
          </w:tcPr>
          <w:p w14:paraId="1D5CB2FF">
            <w:pPr>
              <w:jc w:val="left"/>
              <w:rPr>
                <w:rFonts w:hint="default" w:ascii="宋体" w:hAnsi="宋体" w:cs="宋体"/>
                <w:color w:val="000000"/>
                <w:sz w:val="22"/>
                <w:szCs w:val="22"/>
                <w:lang w:val="en-US"/>
              </w:rPr>
            </w:pPr>
            <w:r>
              <w:rPr>
                <w:rFonts w:hint="eastAsia" w:ascii="宋体" w:hAnsi="宋体" w:cs="宋体"/>
                <w:color w:val="000000"/>
                <w:sz w:val="22"/>
                <w:szCs w:val="22"/>
              </w:rPr>
              <w:t>1、</w:t>
            </w:r>
            <w:r>
              <w:rPr>
                <w:rFonts w:hint="eastAsia" w:ascii="宋体" w:hAnsi="宋体" w:cs="宋体"/>
                <w:color w:val="000000"/>
                <w:sz w:val="22"/>
                <w:szCs w:val="22"/>
                <w:lang w:val="en-US" w:eastAsia="zh-CN"/>
              </w:rPr>
              <w:t>要求快递品牌</w:t>
            </w:r>
            <w:r>
              <w:rPr>
                <w:rFonts w:hint="eastAsia" w:ascii="宋体" w:hAnsi="宋体" w:cs="宋体"/>
                <w:b/>
                <w:bCs/>
                <w:color w:val="000000"/>
                <w:sz w:val="28"/>
                <w:szCs w:val="28"/>
                <w:lang w:val="en-US" w:eastAsia="zh-CN"/>
              </w:rPr>
              <w:t>京东、丹鸟、德邦、顺丰</w:t>
            </w:r>
            <w:r>
              <w:rPr>
                <w:rFonts w:hint="eastAsia" w:ascii="宋体" w:hAnsi="宋体" w:cs="宋体"/>
                <w:color w:val="000000"/>
                <w:sz w:val="22"/>
                <w:szCs w:val="22"/>
                <w:lang w:val="en-US" w:eastAsia="zh-CN"/>
              </w:rPr>
              <w:t>;</w:t>
            </w:r>
          </w:p>
        </w:tc>
      </w:tr>
      <w:tr w14:paraId="485CDE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8" w:type="dxa"/>
          <w:trHeight w:val="1041" w:hRule="atLeast"/>
        </w:trPr>
        <w:tc>
          <w:tcPr>
            <w:tcW w:w="906" w:type="dxa"/>
            <w:gridSpan w:val="3"/>
            <w:vMerge w:val="continue"/>
            <w:tcBorders>
              <w:left w:val="single" w:color="auto" w:sz="4" w:space="0"/>
              <w:right w:val="single" w:color="auto" w:sz="4" w:space="0"/>
            </w:tcBorders>
            <w:shd w:val="clear" w:color="auto" w:fill="auto"/>
            <w:vAlign w:val="center"/>
          </w:tcPr>
          <w:p w14:paraId="6F087C94">
            <w:pPr>
              <w:rPr>
                <w:rFonts w:ascii="宋体" w:hAnsi="宋体" w:cs="宋体"/>
                <w:color w:val="000000"/>
                <w:sz w:val="22"/>
                <w:szCs w:val="22"/>
              </w:rPr>
            </w:pPr>
          </w:p>
        </w:tc>
        <w:tc>
          <w:tcPr>
            <w:tcW w:w="13393"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14:paraId="71C4D022">
            <w:pPr>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rPr>
              <w:t xml:space="preserve">2.需要组包:(1)、2-10件按:  </w:t>
            </w:r>
            <w:r>
              <w:rPr>
                <w:rFonts w:hint="eastAsia" w:ascii="宋体" w:hAnsi="宋体" w:cs="宋体"/>
                <w:color w:val="000000"/>
                <w:sz w:val="22"/>
                <w:szCs w:val="22"/>
                <w:lang w:val="en-US" w:eastAsia="zh-CN"/>
              </w:rPr>
              <w:t>___</w:t>
            </w:r>
            <w:r>
              <w:rPr>
                <w:rFonts w:hint="eastAsia" w:ascii="宋体" w:hAnsi="宋体" w:cs="宋体"/>
                <w:color w:val="000000"/>
                <w:sz w:val="22"/>
                <w:szCs w:val="22"/>
              </w:rPr>
              <w:t xml:space="preserve">元/包裹,(2)、11-20件内按:  </w:t>
            </w:r>
            <w:r>
              <w:rPr>
                <w:rFonts w:hint="eastAsia" w:ascii="宋体" w:hAnsi="宋体" w:cs="宋体"/>
                <w:color w:val="000000"/>
                <w:sz w:val="22"/>
                <w:szCs w:val="22"/>
                <w:lang w:val="en-US" w:eastAsia="zh-CN"/>
              </w:rPr>
              <w:t>___</w:t>
            </w:r>
            <w:r>
              <w:rPr>
                <w:rFonts w:hint="eastAsia" w:ascii="宋体" w:hAnsi="宋体" w:cs="宋体"/>
                <w:color w:val="000000"/>
                <w:sz w:val="22"/>
                <w:szCs w:val="22"/>
              </w:rPr>
              <w:t xml:space="preserve">元/包裹,(3)、21-31及以上件按:  </w:t>
            </w:r>
            <w:r>
              <w:rPr>
                <w:rFonts w:hint="eastAsia" w:ascii="宋体" w:hAnsi="宋体" w:cs="宋体"/>
                <w:color w:val="000000"/>
                <w:sz w:val="22"/>
                <w:szCs w:val="22"/>
                <w:lang w:val="en-US" w:eastAsia="zh-CN"/>
              </w:rPr>
              <w:t>___</w:t>
            </w:r>
            <w:r>
              <w:rPr>
                <w:rFonts w:hint="eastAsia" w:ascii="宋体" w:hAnsi="宋体" w:cs="宋体"/>
                <w:color w:val="000000"/>
                <w:sz w:val="22"/>
                <w:szCs w:val="22"/>
              </w:rPr>
              <w:t>元/包裹结算,(4)、无需增值服务的按:免费。（5）包材甲方提供</w:t>
            </w:r>
            <w:r>
              <w:rPr>
                <w:rFonts w:hint="eastAsia" w:ascii="宋体" w:hAnsi="宋体" w:cs="宋体"/>
                <w:color w:val="000000"/>
                <w:sz w:val="22"/>
                <w:szCs w:val="22"/>
                <w:lang w:val="en-US" w:eastAsia="zh-CN"/>
              </w:rPr>
              <w:t>;</w:t>
            </w:r>
          </w:p>
        </w:tc>
      </w:tr>
      <w:tr w14:paraId="6A0FC3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8" w:type="dxa"/>
          <w:trHeight w:val="715" w:hRule="atLeast"/>
        </w:trPr>
        <w:tc>
          <w:tcPr>
            <w:tcW w:w="906" w:type="dxa"/>
            <w:gridSpan w:val="3"/>
            <w:vMerge w:val="continue"/>
            <w:tcBorders>
              <w:left w:val="single" w:color="auto" w:sz="4" w:space="0"/>
              <w:right w:val="single" w:color="auto" w:sz="4" w:space="0"/>
            </w:tcBorders>
            <w:shd w:val="clear" w:color="auto" w:fill="auto"/>
            <w:vAlign w:val="center"/>
          </w:tcPr>
          <w:p w14:paraId="2E938419">
            <w:pPr>
              <w:rPr>
                <w:rFonts w:ascii="宋体" w:hAnsi="宋体" w:cs="宋体"/>
                <w:color w:val="000000"/>
                <w:sz w:val="22"/>
                <w:szCs w:val="22"/>
              </w:rPr>
            </w:pPr>
          </w:p>
        </w:tc>
        <w:tc>
          <w:tcPr>
            <w:tcW w:w="13393" w:type="dxa"/>
            <w:gridSpan w:val="13"/>
            <w:tcBorders>
              <w:top w:val="single" w:color="auto" w:sz="4" w:space="0"/>
              <w:left w:val="nil"/>
              <w:bottom w:val="single" w:color="auto" w:sz="4" w:space="0"/>
              <w:right w:val="single" w:color="auto" w:sz="4" w:space="0"/>
            </w:tcBorders>
            <w:shd w:val="clear" w:color="auto" w:fill="auto"/>
            <w:noWrap/>
            <w:vAlign w:val="bottom"/>
          </w:tcPr>
          <w:p w14:paraId="1886AD4A">
            <w:pPr>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rPr>
              <w:t>3、计费标准取整公斤计算，即超过3公斤按4公斤标准结算，以此类推</w:t>
            </w:r>
            <w:r>
              <w:rPr>
                <w:rFonts w:hint="eastAsia" w:ascii="宋体" w:hAnsi="宋体" w:cs="宋体"/>
                <w:color w:val="000000"/>
                <w:sz w:val="22"/>
                <w:szCs w:val="22"/>
                <w:lang w:val="en-US" w:eastAsia="zh-CN"/>
              </w:rPr>
              <w:t>;</w:t>
            </w:r>
          </w:p>
        </w:tc>
      </w:tr>
      <w:tr w14:paraId="1CAB7A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8" w:type="dxa"/>
          <w:trHeight w:val="715" w:hRule="atLeast"/>
        </w:trPr>
        <w:tc>
          <w:tcPr>
            <w:tcW w:w="906" w:type="dxa"/>
            <w:gridSpan w:val="3"/>
            <w:vMerge w:val="continue"/>
            <w:tcBorders>
              <w:left w:val="single" w:color="auto" w:sz="4" w:space="0"/>
              <w:right w:val="single" w:color="auto" w:sz="4" w:space="0"/>
            </w:tcBorders>
            <w:shd w:val="clear" w:color="auto" w:fill="auto"/>
            <w:vAlign w:val="center"/>
          </w:tcPr>
          <w:p w14:paraId="116CB2BC">
            <w:pPr>
              <w:rPr>
                <w:rFonts w:ascii="宋体" w:hAnsi="宋体" w:cs="宋体"/>
                <w:color w:val="000000"/>
                <w:sz w:val="22"/>
                <w:szCs w:val="22"/>
              </w:rPr>
            </w:pPr>
          </w:p>
        </w:tc>
        <w:tc>
          <w:tcPr>
            <w:tcW w:w="13393" w:type="dxa"/>
            <w:gridSpan w:val="13"/>
            <w:tcBorders>
              <w:top w:val="single" w:color="auto" w:sz="4" w:space="0"/>
              <w:left w:val="nil"/>
              <w:bottom w:val="single" w:color="auto" w:sz="4" w:space="0"/>
              <w:right w:val="single" w:color="auto" w:sz="4" w:space="0"/>
            </w:tcBorders>
            <w:shd w:val="clear" w:color="auto" w:fill="auto"/>
            <w:noWrap/>
            <w:vAlign w:val="bottom"/>
          </w:tcPr>
          <w:p w14:paraId="006020A3">
            <w:pPr>
              <w:jc w:val="left"/>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4、仓库性质_______(自营或云仓）,免租期________天，仓库租赁费_______元/立方/天，其余杂费_____；</w:t>
            </w:r>
          </w:p>
        </w:tc>
      </w:tr>
      <w:tr w14:paraId="7C9AFB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08" w:type="dxa"/>
          <w:trHeight w:val="745" w:hRule="atLeast"/>
        </w:trPr>
        <w:tc>
          <w:tcPr>
            <w:tcW w:w="906" w:type="dxa"/>
            <w:gridSpan w:val="3"/>
            <w:vMerge w:val="continue"/>
            <w:tcBorders>
              <w:left w:val="single" w:color="auto" w:sz="4" w:space="0"/>
              <w:bottom w:val="single" w:color="000000" w:sz="4" w:space="0"/>
              <w:right w:val="single" w:color="auto" w:sz="4" w:space="0"/>
            </w:tcBorders>
            <w:shd w:val="clear" w:color="auto" w:fill="auto"/>
            <w:vAlign w:val="center"/>
          </w:tcPr>
          <w:p w14:paraId="4C84050E">
            <w:pPr>
              <w:rPr>
                <w:rFonts w:ascii="宋体" w:hAnsi="宋体" w:cs="宋体"/>
                <w:color w:val="000000"/>
                <w:sz w:val="22"/>
                <w:szCs w:val="22"/>
              </w:rPr>
            </w:pPr>
          </w:p>
        </w:tc>
        <w:tc>
          <w:tcPr>
            <w:tcW w:w="13393" w:type="dxa"/>
            <w:gridSpan w:val="13"/>
            <w:tcBorders>
              <w:top w:val="single" w:color="auto" w:sz="4" w:space="0"/>
              <w:left w:val="nil"/>
              <w:bottom w:val="single" w:color="auto" w:sz="4" w:space="0"/>
              <w:right w:val="single" w:color="auto" w:sz="4" w:space="0"/>
            </w:tcBorders>
            <w:shd w:val="clear" w:color="auto" w:fill="auto"/>
            <w:noWrap/>
            <w:vAlign w:val="bottom"/>
          </w:tcPr>
          <w:p w14:paraId="1753DA10">
            <w:pPr>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r>
              <w:rPr>
                <w:rFonts w:hint="eastAsia" w:ascii="宋体" w:hAnsi="宋体" w:cs="宋体"/>
                <w:color w:val="000000"/>
                <w:sz w:val="22"/>
                <w:szCs w:val="22"/>
              </w:rPr>
              <w:t>上述价格含6%增值税专用发票</w:t>
            </w:r>
            <w:r>
              <w:rPr>
                <w:rFonts w:hint="eastAsia" w:ascii="宋体" w:hAnsi="宋体" w:cs="宋体"/>
                <w:color w:val="000000"/>
                <w:sz w:val="22"/>
                <w:szCs w:val="22"/>
                <w:lang w:eastAsia="zh-CN"/>
              </w:rPr>
              <w:t>。</w:t>
            </w:r>
          </w:p>
        </w:tc>
      </w:tr>
    </w:tbl>
    <w:p w14:paraId="3B3DBF3A">
      <w:pPr>
        <w:pStyle w:val="7"/>
        <w:rPr>
          <w:rFonts w:hAnsi="宋体"/>
          <w:b/>
          <w:color w:val="000000" w:themeColor="text1"/>
          <w:sz w:val="20"/>
          <w14:textFill>
            <w14:solidFill>
              <w14:schemeClr w14:val="tx1"/>
            </w14:solidFill>
          </w14:textFill>
        </w:rPr>
        <w:sectPr>
          <w:pgSz w:w="16838" w:h="11906" w:orient="landscape"/>
          <w:pgMar w:top="1474" w:right="1077" w:bottom="1191" w:left="964" w:header="851" w:footer="992" w:gutter="0"/>
          <w:cols w:space="720" w:num="1"/>
          <w:docGrid w:type="lines" w:linePitch="326" w:charSpace="0"/>
        </w:sectPr>
      </w:pPr>
    </w:p>
    <w:p w14:paraId="7C2C7E9F">
      <w:pPr>
        <w:rPr>
          <w:rFonts w:ascii="宋体" w:hAnsi="宋体"/>
          <w:b/>
          <w:color w:val="000000" w:themeColor="text1"/>
          <w:sz w:val="20"/>
          <w:szCs w:val="20"/>
          <w14:textFill>
            <w14:solidFill>
              <w14:schemeClr w14:val="tx1"/>
            </w14:solidFill>
          </w14:textFill>
        </w:rPr>
      </w:pPr>
    </w:p>
    <w:p w14:paraId="623F9990">
      <w:pPr>
        <w:pStyle w:val="7"/>
        <w:rPr>
          <w:rFonts w:hAnsi="宋体"/>
          <w:b/>
          <w:color w:val="000000" w:themeColor="text1"/>
          <w:sz w:val="20"/>
          <w14:textFill>
            <w14:solidFill>
              <w14:schemeClr w14:val="tx1"/>
            </w14:solidFill>
          </w14:textFill>
        </w:rPr>
      </w:pPr>
    </w:p>
    <w:p w14:paraId="3CF304A7">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反商业贿赂协议书</w:t>
      </w:r>
    </w:p>
    <w:p w14:paraId="52063E41">
      <w:pPr>
        <w:jc w:val="center"/>
        <w:rPr>
          <w:rFonts w:ascii="宋体" w:hAns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r>
        <w:rPr>
          <w:rFonts w:hint="eastAsia" w:ascii="宋体" w:hAnsi="宋体" w:cs="宋体"/>
          <w:b/>
          <w:bCs/>
          <w:color w:val="000000" w:themeColor="text1"/>
          <w:sz w:val="18"/>
          <w:szCs w:val="18"/>
          <w14:textFill>
            <w14:solidFill>
              <w14:schemeClr w14:val="tx1"/>
            </w14:solidFill>
          </w14:textFill>
        </w:rPr>
        <w:t>usiness Anti-bribe agreement</w:t>
      </w:r>
    </w:p>
    <w:p w14:paraId="548F174F">
      <w:pPr>
        <w:spacing w:line="360" w:lineRule="auto"/>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甲方1：</w:t>
      </w:r>
      <w:r>
        <w:rPr>
          <w:rFonts w:hint="eastAsia" w:hAnsi="宋体"/>
          <w:b/>
          <w:bCs/>
          <w:color w:val="000000" w:themeColor="text1"/>
          <w:sz w:val="20"/>
          <w14:textFill>
            <w14:solidFill>
              <w14:schemeClr w14:val="tx1"/>
            </w14:solidFill>
          </w14:textFill>
        </w:rPr>
        <w:t>上海东冠健康用品股份有限公司</w:t>
      </w:r>
      <w:r>
        <w:rPr>
          <w:rFonts w:hint="eastAsia" w:ascii="宋体" w:hAnsi="宋体"/>
          <w:b/>
          <w:color w:val="000000" w:themeColor="text1"/>
          <w:sz w:val="18"/>
          <w:szCs w:val="18"/>
          <w14:textFill>
            <w14:solidFill>
              <w14:schemeClr w14:val="tx1"/>
            </w14:solidFill>
          </w14:textFill>
        </w:rPr>
        <w:t> </w:t>
      </w:r>
    </w:p>
    <w:p w14:paraId="107E076C">
      <w:pPr>
        <w:rPr>
          <w:rFonts w:hAnsi="宋体"/>
          <w:b/>
          <w:bCs/>
          <w:color w:val="000000" w:themeColor="text1"/>
          <w:sz w:val="20"/>
          <w14:textFill>
            <w14:solidFill>
              <w14:schemeClr w14:val="tx1"/>
            </w14:solidFill>
          </w14:textFill>
        </w:rPr>
      </w:pPr>
      <w:r>
        <w:rPr>
          <w:rFonts w:hint="eastAsia" w:hAnsi="宋体"/>
          <w:b/>
          <w:bCs/>
          <w:color w:val="000000" w:themeColor="text1"/>
          <w:sz w:val="20"/>
          <w14:textFill>
            <w14:solidFill>
              <w14:schemeClr w14:val="tx1"/>
            </w14:solidFill>
          </w14:textFill>
        </w:rPr>
        <w:t>乙方：</w:t>
      </w:r>
    </w:p>
    <w:p w14:paraId="4DEF65EB">
      <w:pP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Party B</w:t>
      </w:r>
      <w:r>
        <w:rPr>
          <w:rFonts w:ascii="宋体" w:hAnsi="宋体" w:cs="宋体"/>
          <w:b/>
          <w:color w:val="000000" w:themeColor="text1"/>
          <w:sz w:val="18"/>
          <w:szCs w:val="18"/>
          <w14:textFill>
            <w14:solidFill>
              <w14:schemeClr w14:val="tx1"/>
            </w14:solidFill>
          </w14:textFill>
        </w:rPr>
        <w:t xml:space="preserve">: </w:t>
      </w:r>
    </w:p>
    <w:p w14:paraId="7425BE3C">
      <w:pPr>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r>
        <w:rPr>
          <w:rFonts w:hint="eastAsia" w:ascii="宋体" w:hAnsi="宋体"/>
          <w:color w:val="000000" w:themeColor="text1"/>
          <w:sz w:val="18"/>
          <w:szCs w:val="18"/>
          <w14:textFill>
            <w14:solidFill>
              <w14:schemeClr w14:val="tx1"/>
            </w14:solidFill>
          </w14:textFill>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67000A24">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In order to reject the business bribe and protect the mutual legitimate rights during the process of business trade. Party A and Party B come to terms in the form of this agreement at the date of ___________, this </w:t>
      </w:r>
      <w:r>
        <w:rPr>
          <w:rFonts w:ascii="宋体" w:hAnsi="宋体"/>
          <w:color w:val="000000" w:themeColor="text1"/>
          <w:sz w:val="18"/>
          <w:szCs w:val="18"/>
          <w14:textFill>
            <w14:solidFill>
              <w14:schemeClr w14:val="tx1"/>
            </w14:solidFill>
          </w14:textFill>
        </w:rPr>
        <w:t>agreement</w:t>
      </w:r>
      <w:r>
        <w:rPr>
          <w:rFonts w:hint="eastAsia" w:ascii="宋体" w:hAnsi="宋体"/>
          <w:color w:val="000000" w:themeColor="text1"/>
          <w:sz w:val="18"/>
          <w:szCs w:val="18"/>
          <w14:textFill>
            <w14:solidFill>
              <w14:schemeClr w14:val="tx1"/>
            </w14:solidFill>
          </w14:textFill>
        </w:rPr>
        <w:t xml:space="preserve"> is valid </w:t>
      </w:r>
      <w:r>
        <w:rPr>
          <w:rFonts w:ascii="宋体" w:hAnsi="宋体"/>
          <w:color w:val="000000" w:themeColor="text1"/>
          <w:sz w:val="18"/>
          <w:szCs w:val="18"/>
          <w14:textFill>
            <w14:solidFill>
              <w14:schemeClr w14:val="tx1"/>
            </w14:solidFill>
          </w14:textFill>
        </w:rPr>
        <w:t>until withdrawal by either party</w:t>
      </w:r>
      <w:r>
        <w:rPr>
          <w:rFonts w:hint="eastAsia" w:ascii="宋体" w:hAnsi="宋体"/>
          <w:color w:val="000000" w:themeColor="text1"/>
          <w:sz w:val="18"/>
          <w:szCs w:val="18"/>
          <w14:textFill>
            <w14:solidFill>
              <w14:schemeClr w14:val="tx1"/>
            </w14:solidFill>
          </w14:textFill>
        </w:rPr>
        <w:t>.</w:t>
      </w:r>
    </w:p>
    <w:p w14:paraId="0791FB2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一、双方相互承诺如下：</w:t>
      </w:r>
    </w:p>
    <w:p w14:paraId="065C7BC8">
      <w:pPr>
        <w:ind w:firstLine="360" w:firstLineChars="200"/>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Both Parties </w:t>
      </w:r>
      <w:r>
        <w:rPr>
          <w:rFonts w:hint="eastAsia" w:hAnsi="宋体"/>
          <w:b/>
          <w:bCs/>
          <w:color w:val="000000" w:themeColor="text1"/>
          <w:sz w:val="20"/>
          <w14:textFill>
            <w14:solidFill>
              <w14:schemeClr w14:val="tx1"/>
            </w14:solidFill>
          </w14:textFill>
        </w:rPr>
        <w:t>consent</w:t>
      </w:r>
      <w:r>
        <w:rPr>
          <w:rFonts w:hint="eastAsia" w:ascii="宋体" w:hAnsi="宋体"/>
          <w:color w:val="000000" w:themeColor="text1"/>
          <w:sz w:val="18"/>
          <w:szCs w:val="18"/>
          <w14:textFill>
            <w14:solidFill>
              <w14:schemeClr w14:val="tx1"/>
            </w14:solidFill>
          </w14:textFill>
        </w:rPr>
        <w:t xml:space="preserve"> as follows,</w:t>
      </w:r>
    </w:p>
    <w:p w14:paraId="25056A1F">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不以金钱方式（包括但不限于支付现金，赠与银行卡，赠与有价证券，如购物卡、提货单、娱乐场所会员卡、打折卡、代币券证券）贿赂对方的业务人员、高管人员等与合同履行相关的人员（下称“合同履行相关人员”）。</w:t>
      </w:r>
    </w:p>
    <w:p w14:paraId="5BC4DF28">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Not allowed to bribe the other side in the form of presenting money(include but not limited in cash, credit card, </w:t>
      </w:r>
      <w:r>
        <w:rPr>
          <w:rFonts w:ascii="宋体" w:hAnsi="宋体"/>
          <w:color w:val="000000" w:themeColor="text1"/>
          <w:sz w:val="18"/>
          <w:szCs w:val="18"/>
          <w14:textFill>
            <w14:solidFill>
              <w14:schemeClr w14:val="tx1"/>
            </w14:solidFill>
          </w14:textFill>
        </w:rPr>
        <w:t>securities</w:t>
      </w:r>
      <w:r>
        <w:rPr>
          <w:rFonts w:hint="eastAsia" w:ascii="宋体" w:hAnsi="宋体"/>
          <w:color w:val="000000" w:themeColor="text1"/>
          <w:sz w:val="18"/>
          <w:szCs w:val="18"/>
          <w14:textFill>
            <w14:solidFill>
              <w14:schemeClr w14:val="tx1"/>
            </w14:solidFill>
          </w14:textFill>
        </w:rPr>
        <w:t xml:space="preserve">, shopping cards, bill of lading, recreational </w:t>
      </w:r>
      <w:r>
        <w:rPr>
          <w:rFonts w:ascii="宋体" w:hAnsi="宋体"/>
          <w:color w:val="000000" w:themeColor="text1"/>
          <w:sz w:val="18"/>
          <w:szCs w:val="18"/>
          <w14:textFill>
            <w14:solidFill>
              <w14:schemeClr w14:val="tx1"/>
            </w14:solidFill>
          </w14:textFill>
        </w:rPr>
        <w:t>membership card</w:t>
      </w:r>
      <w:r>
        <w:rPr>
          <w:rFonts w:hint="eastAsia" w:ascii="宋体" w:hAnsi="宋体"/>
          <w:color w:val="000000" w:themeColor="text1"/>
          <w:sz w:val="18"/>
          <w:szCs w:val="18"/>
          <w14:textFill>
            <w14:solidFill>
              <w14:schemeClr w14:val="tx1"/>
            </w14:solidFill>
          </w14:textFill>
        </w:rPr>
        <w:t xml:space="preserve">, discount card, and token </w:t>
      </w:r>
      <w:r>
        <w:rPr>
          <w:rFonts w:ascii="宋体" w:hAnsi="宋体"/>
          <w:color w:val="000000" w:themeColor="text1"/>
          <w:sz w:val="18"/>
          <w:szCs w:val="18"/>
          <w14:textFill>
            <w14:solidFill>
              <w14:schemeClr w14:val="tx1"/>
            </w14:solidFill>
          </w14:textFill>
        </w:rPr>
        <w:t>negotiable securities</w:t>
      </w:r>
      <w:r>
        <w:rPr>
          <w:rFonts w:hint="eastAsia" w:ascii="宋体" w:hAnsi="宋体"/>
          <w:color w:val="000000" w:themeColor="text1"/>
          <w:sz w:val="18"/>
          <w:szCs w:val="18"/>
          <w14:textFill>
            <w14:solidFill>
              <w14:schemeClr w14:val="tx1"/>
            </w14:solidFill>
          </w14:textFill>
        </w:rPr>
        <w:t>, etc.).</w:t>
      </w:r>
    </w:p>
    <w:p w14:paraId="2AB1EEB4">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2、不以实物方式（包括但不限于赠送或出借录像摄像设备、家电设备、健身器材、汽车、住房等实物）贿赂对方的合同履行相关人员。</w:t>
      </w:r>
    </w:p>
    <w:p w14:paraId="071F3BD2">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Not allowed to bribe the other side in the form of presenting </w:t>
      </w:r>
      <w:r>
        <w:rPr>
          <w:rFonts w:ascii="宋体" w:hAnsi="宋体"/>
          <w:color w:val="000000" w:themeColor="text1"/>
          <w:sz w:val="18"/>
          <w:szCs w:val="18"/>
          <w14:textFill>
            <w14:solidFill>
              <w14:schemeClr w14:val="tx1"/>
            </w14:solidFill>
          </w14:textFill>
        </w:rPr>
        <w:t>actual objects(</w:t>
      </w:r>
      <w:r>
        <w:rPr>
          <w:rFonts w:hint="eastAsia" w:ascii="宋体" w:hAnsi="宋体"/>
          <w:color w:val="000000" w:themeColor="text1"/>
          <w:sz w:val="18"/>
          <w:szCs w:val="18"/>
          <w14:textFill>
            <w14:solidFill>
              <w14:schemeClr w14:val="tx1"/>
            </w14:solidFill>
          </w14:textFill>
        </w:rPr>
        <w:t xml:space="preserve">include but not limited in presenting or lending the video camera, domestic equipment, </w:t>
      </w:r>
      <w:r>
        <w:rPr>
          <w:rFonts w:ascii="宋体" w:hAnsi="宋体"/>
          <w:color w:val="000000" w:themeColor="text1"/>
          <w:sz w:val="18"/>
          <w:szCs w:val="18"/>
          <w14:textFill>
            <w14:solidFill>
              <w14:schemeClr w14:val="tx1"/>
            </w14:solidFill>
          </w14:textFill>
        </w:rPr>
        <w:t>body-building</w:t>
      </w:r>
      <w:r>
        <w:rPr>
          <w:rFonts w:hint="eastAsia" w:ascii="宋体" w:hAnsi="宋体"/>
          <w:color w:val="000000" w:themeColor="text1"/>
          <w:sz w:val="18"/>
          <w:szCs w:val="18"/>
          <w14:textFill>
            <w14:solidFill>
              <w14:schemeClr w14:val="tx1"/>
            </w14:solidFill>
          </w14:textFill>
        </w:rPr>
        <w:t>equipments, cars, dwelling houses etc.</w:t>
      </w:r>
      <w:r>
        <w:rPr>
          <w:rFonts w:ascii="宋体" w:hAnsi="宋体"/>
          <w:color w:val="000000" w:themeColor="text1"/>
          <w:sz w:val="18"/>
          <w:szCs w:val="18"/>
          <w14:textFill>
            <w14:solidFill>
              <w14:schemeClr w14:val="tx1"/>
            </w14:solidFill>
          </w14:textFill>
        </w:rPr>
        <w:t>)</w:t>
      </w:r>
    </w:p>
    <w:p w14:paraId="5446A541">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3、不以消费方式（包括但不限于宴请、娱乐消费、旅游、国内或国外考察等方式）贿赂对方的合同履行相关人员。</w:t>
      </w:r>
    </w:p>
    <w:p w14:paraId="353E90C5">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Not allowed to bribe the other side in the form of expense (include but not limited in banquet, recreational expense, travel, domestic or overseas investigation).</w:t>
      </w:r>
    </w:p>
    <w:p w14:paraId="3C44AD75">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4、不以其他任何方式（包括但不限于以朋友名义提供各种好处、活动抽奖、赌博中故意输钱、性贿赂等方式）贿赂对方的合同履行相关人员。</w:t>
      </w:r>
    </w:p>
    <w:p w14:paraId="31BF3DD1">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 Not allowed to bribe the other side in the form of the others (include but not limited in giving benefits in the name of a friend, such as </w:t>
      </w:r>
      <w:r>
        <w:rPr>
          <w:rFonts w:ascii="宋体" w:hAnsi="宋体"/>
          <w:color w:val="000000" w:themeColor="text1"/>
          <w:sz w:val="18"/>
          <w:szCs w:val="18"/>
          <w14:textFill>
            <w14:solidFill>
              <w14:schemeClr w14:val="tx1"/>
            </w14:solidFill>
          </w14:textFill>
        </w:rPr>
        <w:t>lucky draw</w:t>
      </w:r>
      <w:r>
        <w:rPr>
          <w:rFonts w:hint="eastAsia" w:ascii="宋体" w:hAnsi="宋体"/>
          <w:color w:val="000000" w:themeColor="text1"/>
          <w:sz w:val="18"/>
          <w:szCs w:val="18"/>
          <w14:textFill>
            <w14:solidFill>
              <w14:schemeClr w14:val="tx1"/>
            </w14:solidFill>
          </w14:textFill>
        </w:rPr>
        <w:t xml:space="preserve">, intending to lose money in gambling, bribe in </w:t>
      </w:r>
      <w:r>
        <w:rPr>
          <w:rFonts w:ascii="宋体" w:hAnsi="宋体"/>
          <w:color w:val="000000" w:themeColor="text1"/>
          <w:sz w:val="18"/>
          <w:szCs w:val="18"/>
          <w14:textFill>
            <w14:solidFill>
              <w14:schemeClr w14:val="tx1"/>
            </w14:solidFill>
          </w14:textFill>
        </w:rPr>
        <w:t>pornographic</w:t>
      </w:r>
      <w:r>
        <w:rPr>
          <w:rFonts w:hint="eastAsia" w:ascii="宋体" w:hAnsi="宋体"/>
          <w:color w:val="000000" w:themeColor="text1"/>
          <w:sz w:val="18"/>
          <w:szCs w:val="18"/>
          <w14:textFill>
            <w14:solidFill>
              <w14:schemeClr w14:val="tx1"/>
            </w14:solidFill>
          </w14:textFill>
        </w:rPr>
        <w:t xml:space="preserve"> activities, etc.).</w:t>
      </w:r>
    </w:p>
    <w:p w14:paraId="10B34C60">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二、双方确认以下行为不为商业贿赂：</w:t>
      </w:r>
    </w:p>
    <w:p w14:paraId="4985C35C">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Both parties confirm the following behaviors beyond the range of business bribe,</w:t>
      </w:r>
    </w:p>
    <w:p w14:paraId="2BA47B03">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1、基于商业礼仪、赠送市场价为人民币</w:t>
      </w:r>
      <w:r>
        <w:rPr>
          <w:rFonts w:hint="eastAsia" w:ascii="宋体" w:hAnsi="宋体"/>
          <w:color w:val="000000" w:themeColor="text1"/>
          <w:sz w:val="18"/>
          <w:szCs w:val="18"/>
          <w:u w:val="single"/>
          <w14:textFill>
            <w14:solidFill>
              <w14:schemeClr w14:val="tx1"/>
            </w14:solidFill>
          </w14:textFill>
        </w:rPr>
        <w:t xml:space="preserve"> 50 </w:t>
      </w:r>
      <w:r>
        <w:rPr>
          <w:rFonts w:hint="eastAsia" w:ascii="宋体" w:hAnsi="宋体"/>
          <w:color w:val="000000" w:themeColor="text1"/>
          <w:sz w:val="18"/>
          <w:szCs w:val="18"/>
          <w14:textFill>
            <w14:solidFill>
              <w14:schemeClr w14:val="tx1"/>
            </w14:solidFill>
          </w14:textFill>
        </w:rPr>
        <w:t>元以下的小礼品、地方特产；</w:t>
      </w:r>
    </w:p>
    <w:p w14:paraId="600FECB7">
      <w:pPr>
        <w:ind w:left="120" w:leftChars="50" w:firstLine="270" w:firstLineChars="15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At the aim of expressing the </w:t>
      </w:r>
      <w:r>
        <w:rPr>
          <w:rFonts w:ascii="宋体" w:hAnsi="宋体"/>
          <w:color w:val="000000" w:themeColor="text1"/>
          <w:sz w:val="18"/>
          <w:szCs w:val="18"/>
          <w14:textFill>
            <w14:solidFill>
              <w14:schemeClr w14:val="tx1"/>
            </w14:solidFill>
          </w14:textFill>
        </w:rPr>
        <w:t>businessetiquette</w:t>
      </w:r>
      <w:r>
        <w:rPr>
          <w:rFonts w:hint="eastAsia" w:ascii="宋体" w:hAnsi="宋体"/>
          <w:color w:val="000000" w:themeColor="text1"/>
          <w:sz w:val="18"/>
          <w:szCs w:val="18"/>
          <w14:textFill>
            <w14:solidFill>
              <w14:schemeClr w14:val="tx1"/>
            </w14:solidFill>
          </w14:textFill>
        </w:rPr>
        <w:t xml:space="preserve">, sending the other parties with souvenir or </w:t>
      </w:r>
      <w:r>
        <w:rPr>
          <w:rFonts w:ascii="宋体" w:hAnsi="宋体"/>
          <w:color w:val="000000" w:themeColor="text1"/>
          <w:sz w:val="18"/>
          <w:szCs w:val="18"/>
          <w14:textFill>
            <w14:solidFill>
              <w14:schemeClr w14:val="tx1"/>
            </w14:solidFill>
          </w14:textFill>
        </w:rPr>
        <w:t>special local product</w:t>
      </w:r>
      <w:r>
        <w:rPr>
          <w:rFonts w:hint="eastAsia" w:ascii="宋体" w:hAnsi="宋体"/>
          <w:color w:val="000000" w:themeColor="text1"/>
          <w:sz w:val="18"/>
          <w:szCs w:val="18"/>
          <w14:textFill>
            <w14:solidFill>
              <w14:schemeClr w14:val="tx1"/>
            </w14:solidFill>
          </w14:textFill>
        </w:rPr>
        <w:t xml:space="preserve"> under </w:t>
      </w:r>
      <w:r>
        <w:rPr>
          <w:rFonts w:hint="eastAsia" w:ascii="宋体" w:hAnsi="宋体"/>
          <w:color w:val="000000" w:themeColor="text1"/>
          <w:sz w:val="18"/>
          <w:szCs w:val="18"/>
          <w:u w:val="single"/>
          <w14:textFill>
            <w14:solidFill>
              <w14:schemeClr w14:val="tx1"/>
            </w14:solidFill>
          </w14:textFill>
        </w:rPr>
        <w:t>_50_</w:t>
      </w:r>
      <w:r>
        <w:rPr>
          <w:rFonts w:hint="eastAsia" w:ascii="宋体" w:hAnsi="宋体"/>
          <w:color w:val="000000" w:themeColor="text1"/>
          <w:sz w:val="18"/>
          <w:szCs w:val="18"/>
          <w14:textFill>
            <w14:solidFill>
              <w14:schemeClr w14:val="tx1"/>
            </w14:solidFill>
          </w14:textFill>
        </w:rPr>
        <w:t>RMB in market price.</w:t>
      </w:r>
    </w:p>
    <w:p w14:paraId="5DF92562">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2、基于商业接待礼仪，提供工作餐、住宿、交通等与合同履行相关的工作方便。</w:t>
      </w:r>
    </w:p>
    <w:p w14:paraId="3A1C18F0">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At the aim of expressing the business hospitable etiquette, arranging the accommodation and transportation for the other side, which adds more convenience to the contract fulfillment.</w:t>
      </w:r>
    </w:p>
    <w:p w14:paraId="62F57E16">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三、在商业合作过程中，如任一方发现对方业务员、高管人员等与合同履行相关的人员有第一条所述之任一行为（无论是行为人是基于合法或非法目的），均应在第一时间通报对方。</w:t>
      </w:r>
    </w:p>
    <w:p w14:paraId="7EF2F618">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During the process of business trade, once one party detects that one of the above mentioned occurs in the other side, he should notify the relevant principal with no hesitation.</w:t>
      </w:r>
    </w:p>
    <w:p w14:paraId="49D7EA5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四、在商业合作过程中，如任一方发现对方业务员、高管人员等与合同履行相关的人员向己方索要第一条所述的任一好处，应予拒绝，并应在第一时间向对方通报。</w:t>
      </w:r>
    </w:p>
    <w:p w14:paraId="7B45A334">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During the process of business trade, once one party finds the other side asks him for benefits, he should refuse the other side and notify the principal of the other party with no hesitation.</w:t>
      </w:r>
    </w:p>
    <w:p w14:paraId="39930A69">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ascii="宋体" w:hAnsi="宋体"/>
          <w:color w:val="000000" w:themeColor="text1"/>
          <w:sz w:val="18"/>
          <w:szCs w:val="18"/>
          <w:u w:val="single"/>
          <w14:textFill>
            <w14:solidFill>
              <w14:schemeClr w14:val="tx1"/>
            </w14:solidFill>
          </w14:textFill>
        </w:rPr>
        <w:t xml:space="preserve"> 30%  </w:t>
      </w:r>
      <w:r>
        <w:rPr>
          <w:rFonts w:hint="eastAsia" w:ascii="宋体" w:hAnsi="宋体"/>
          <w:color w:val="000000" w:themeColor="text1"/>
          <w:sz w:val="18"/>
          <w:szCs w:val="18"/>
          <w14:textFill>
            <w14:solidFill>
              <w14:schemeClr w14:val="tx1"/>
            </w14:solidFill>
          </w14:textFill>
        </w:rPr>
        <w:t>支付违约金。构成商业贿赂（行贿）犯罪的交由司法机关追究其刑事责任。</w:t>
      </w:r>
    </w:p>
    <w:p w14:paraId="5903362F">
      <w:pPr>
        <w:ind w:firstLine="42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If any party disobeys any term of this agreement, the treaty follower has the right to regard this violation as the damage for contract, which including has been signed contract and be going to sign contract, fulfillment and fairness. And the treaty follower</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s legitimate rights, namely the other party fells back. Then the treaty follower has the right to cancel the contract unilaterally, and ask the other party to pay him the </w:t>
      </w:r>
      <w:r>
        <w:rPr>
          <w:rFonts w:ascii="宋体" w:hAnsi="宋体"/>
          <w:color w:val="000000" w:themeColor="text1"/>
          <w:sz w:val="18"/>
          <w:szCs w:val="18"/>
          <w14:textFill>
            <w14:solidFill>
              <w14:schemeClr w14:val="tx1"/>
            </w14:solidFill>
          </w14:textFill>
        </w:rPr>
        <w:t>penal sum</w:t>
      </w:r>
      <w:r>
        <w:rPr>
          <w:rFonts w:hint="eastAsia" w:ascii="宋体" w:hAnsi="宋体"/>
          <w:color w:val="000000" w:themeColor="text1"/>
          <w:sz w:val="18"/>
          <w:szCs w:val="18"/>
          <w14:textFill>
            <w14:solidFill>
              <w14:schemeClr w14:val="tx1"/>
            </w14:solidFill>
          </w14:textFill>
        </w:rPr>
        <w:t xml:space="preserve"> at the price of 30% the contracted price. If such behavior has formed into business bribe crime, the offender should be sent to the judicial organization for pursuing his criminal responsibility.</w:t>
      </w:r>
    </w:p>
    <w:p w14:paraId="6B429352">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六、本协议之争议解决方式与已签合同相同。</w:t>
      </w:r>
    </w:p>
    <w:p w14:paraId="741AA05B">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The solution for the above mentioned dispute is the same as what</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s on the contractsigned before.</w:t>
      </w:r>
    </w:p>
    <w:p w14:paraId="3C86AEB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七、双方确认：本协议所约定的违约金并不过高，双方均予接受。</w:t>
      </w:r>
    </w:p>
    <w:p w14:paraId="15EA1686">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Both parties confirm that the penal sum is acceptable.</w:t>
      </w:r>
    </w:p>
    <w:p w14:paraId="506EDD4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八、本协议经双方签章后生效。</w:t>
      </w:r>
    </w:p>
    <w:p w14:paraId="482CF63E">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This agreement will be valid after both party sign.</w:t>
      </w:r>
    </w:p>
    <w:p w14:paraId="7FEF7A7E">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九、本协议一式两份，双方各执一份。</w:t>
      </w:r>
    </w:p>
    <w:p w14:paraId="213B290A">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This agreement duplicates for each party holding one.</w:t>
      </w:r>
    </w:p>
    <w:p w14:paraId="75A22272">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十、本协议中英文含义有冲突的，以中文为准。</w:t>
      </w:r>
    </w:p>
    <w:p w14:paraId="681069FF">
      <w:pPr>
        <w:rPr>
          <w:rFonts w:ascii="宋体" w:hAnsi="宋体"/>
          <w:color w:val="000000" w:themeColor="text1"/>
          <w:sz w:val="18"/>
          <w:szCs w:val="18"/>
          <w14:textFill>
            <w14:solidFill>
              <w14:schemeClr w14:val="tx1"/>
            </w14:solidFill>
          </w14:textFill>
        </w:rPr>
      </w:pPr>
    </w:p>
    <w:p w14:paraId="58BF3BC5">
      <w:pPr>
        <w:rPr>
          <w:rFonts w:ascii="宋体" w:hAnsi="Courier New"/>
          <w:b/>
          <w:color w:val="000000" w:themeColor="text1"/>
          <w:kern w:val="2"/>
          <w:sz w:val="21"/>
          <w:szCs w:val="20"/>
          <w14:textFill>
            <w14:solidFill>
              <w14:schemeClr w14:val="tx1"/>
            </w14:solidFill>
          </w14:textFill>
        </w:rPr>
      </w:pPr>
      <w:r>
        <w:rPr>
          <w:rFonts w:hint="eastAsia" w:ascii="宋体" w:hAnsi="Courier New"/>
          <w:b/>
          <w:color w:val="000000" w:themeColor="text1"/>
          <w:kern w:val="2"/>
          <w:sz w:val="21"/>
          <w:szCs w:val="20"/>
          <w14:textFill>
            <w14:solidFill>
              <w14:schemeClr w14:val="tx1"/>
            </w14:solidFill>
          </w14:textFill>
        </w:rPr>
        <w:t>甲方</w:t>
      </w:r>
      <w:r>
        <w:rPr>
          <w:rFonts w:ascii="宋体" w:hAnsi="Courier New"/>
          <w:b/>
          <w:color w:val="000000" w:themeColor="text1"/>
          <w:kern w:val="2"/>
          <w:sz w:val="21"/>
          <w:szCs w:val="20"/>
          <w14:textFill>
            <w14:solidFill>
              <w14:schemeClr w14:val="tx1"/>
            </w14:solidFill>
          </w14:textFill>
        </w:rPr>
        <w:t>1：上海东冠健康用品股份有限公司</w:t>
      </w:r>
    </w:p>
    <w:p w14:paraId="3B64D021">
      <w:pPr>
        <w:rPr>
          <w:rFonts w:ascii="宋体" w:hAnsi="Courier New"/>
          <w:b/>
          <w:color w:val="000000" w:themeColor="text1"/>
          <w:kern w:val="2"/>
          <w:sz w:val="21"/>
          <w:szCs w:val="20"/>
          <w14:textFill>
            <w14:solidFill>
              <w14:schemeClr w14:val="tx1"/>
            </w14:solidFill>
          </w14:textFill>
        </w:rPr>
      </w:pPr>
    </w:p>
    <w:p w14:paraId="25915A7B">
      <w:pPr>
        <w:rPr>
          <w:rFonts w:ascii="宋体" w:hAnsi="Courier New"/>
          <w:b/>
          <w:color w:val="000000" w:themeColor="text1"/>
          <w:kern w:val="2"/>
          <w:sz w:val="21"/>
          <w:szCs w:val="20"/>
          <w14:textFill>
            <w14:solidFill>
              <w14:schemeClr w14:val="tx1"/>
            </w14:solidFill>
          </w14:textFill>
        </w:rPr>
      </w:pPr>
    </w:p>
    <w:p w14:paraId="5448E804">
      <w:pPr>
        <w:rPr>
          <w:rFonts w:ascii="宋体" w:hAnsi="Courier New"/>
          <w:b/>
          <w:color w:val="000000" w:themeColor="text1"/>
          <w:kern w:val="2"/>
          <w:sz w:val="21"/>
          <w:szCs w:val="20"/>
          <w14:textFill>
            <w14:solidFill>
              <w14:schemeClr w14:val="tx1"/>
            </w14:solidFill>
          </w14:textFill>
        </w:rPr>
      </w:pPr>
    </w:p>
    <w:p w14:paraId="0BF9B84C">
      <w:pPr>
        <w:rPr>
          <w:rFonts w:ascii="宋体" w:hAnsi="Courier New"/>
          <w:b/>
          <w:color w:val="000000" w:themeColor="text1"/>
          <w:kern w:val="2"/>
          <w:sz w:val="21"/>
          <w:szCs w:val="20"/>
          <w14:textFill>
            <w14:solidFill>
              <w14:schemeClr w14:val="tx1"/>
            </w14:solidFill>
          </w14:textFill>
        </w:rPr>
      </w:pPr>
    </w:p>
    <w:p w14:paraId="06200318">
      <w:pPr>
        <w:rPr>
          <w:rFonts w:ascii="宋体" w:hAnsi="Courier New"/>
          <w:b/>
          <w:color w:val="000000" w:themeColor="text1"/>
          <w:kern w:val="2"/>
          <w:sz w:val="21"/>
          <w:szCs w:val="20"/>
          <w14:textFill>
            <w14:solidFill>
              <w14:schemeClr w14:val="tx1"/>
            </w14:solidFill>
          </w14:textFill>
        </w:rPr>
      </w:pPr>
    </w:p>
    <w:p w14:paraId="15236E23">
      <w:pPr>
        <w:rPr>
          <w:rFonts w:ascii="宋体" w:hAnsi="Courier New"/>
          <w:b/>
          <w:color w:val="000000" w:themeColor="text1"/>
          <w:kern w:val="2"/>
          <w:sz w:val="21"/>
          <w:szCs w:val="20"/>
          <w14:textFill>
            <w14:solidFill>
              <w14:schemeClr w14:val="tx1"/>
            </w14:solidFill>
          </w14:textFill>
        </w:rPr>
      </w:pPr>
    </w:p>
    <w:p w14:paraId="0B44F3F5">
      <w:pPr>
        <w:rPr>
          <w:rFonts w:ascii="宋体" w:hAnsi="Courier New"/>
          <w:b/>
          <w:color w:val="000000" w:themeColor="text1"/>
          <w:kern w:val="2"/>
          <w:sz w:val="21"/>
          <w:szCs w:val="20"/>
          <w14:textFill>
            <w14:solidFill>
              <w14:schemeClr w14:val="tx1"/>
            </w14:solidFill>
          </w14:textFill>
        </w:rPr>
      </w:pPr>
    </w:p>
    <w:p w14:paraId="6F4FBD2A">
      <w:pPr>
        <w:rPr>
          <w:rFonts w:ascii="宋体" w:hAnsi="Courier New"/>
          <w:b/>
          <w:color w:val="000000" w:themeColor="text1"/>
          <w:kern w:val="2"/>
          <w:sz w:val="21"/>
          <w:szCs w:val="20"/>
          <w14:textFill>
            <w14:solidFill>
              <w14:schemeClr w14:val="tx1"/>
            </w14:solidFill>
          </w14:textFill>
        </w:rPr>
      </w:pPr>
      <w:r>
        <w:rPr>
          <w:rFonts w:hint="eastAsia" w:ascii="宋体" w:hAnsi="Courier New"/>
          <w:b/>
          <w:color w:val="000000" w:themeColor="text1"/>
          <w:kern w:val="2"/>
          <w:sz w:val="21"/>
          <w:szCs w:val="20"/>
          <w14:textFill>
            <w14:solidFill>
              <w14:schemeClr w14:val="tx1"/>
            </w14:solidFill>
          </w14:textFill>
        </w:rPr>
        <w:t>乙方：</w:t>
      </w:r>
    </w:p>
    <w:p w14:paraId="6118F92E">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Party B:</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cachet</w:t>
      </w:r>
      <w:r>
        <w:rPr>
          <w:rFonts w:hint="eastAsia" w:ascii="宋体" w:hAnsi="宋体"/>
          <w:color w:val="000000" w:themeColor="text1"/>
          <w:sz w:val="18"/>
          <w:szCs w:val="18"/>
          <w14:textFill>
            <w14:solidFill>
              <w14:schemeClr w14:val="tx1"/>
            </w14:solidFill>
          </w14:textFill>
        </w:rPr>
        <w:t>)</w:t>
      </w:r>
    </w:p>
    <w:p w14:paraId="161C3C8B">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法定代表人：</w:t>
      </w:r>
    </w:p>
    <w:p w14:paraId="544B6A60">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Representative:</w:t>
      </w:r>
    </w:p>
    <w:p w14:paraId="6C3CC275">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联系人：</w:t>
      </w:r>
    </w:p>
    <w:p w14:paraId="71FCFDAF">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Contact person:</w:t>
      </w:r>
    </w:p>
    <w:p w14:paraId="119D1418">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地址： </w:t>
      </w:r>
    </w:p>
    <w:p w14:paraId="52189763">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电话/传真：</w:t>
      </w:r>
    </w:p>
    <w:p w14:paraId="1474936C">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Tel/Fax</w:t>
      </w:r>
    </w:p>
    <w:p w14:paraId="574863A2">
      <w:pPr>
        <w:rPr>
          <w:rFonts w:ascii="宋体" w:hAnsi="宋体"/>
          <w:color w:val="000000" w:themeColor="text1"/>
          <w:sz w:val="18"/>
          <w:szCs w:val="18"/>
          <w14:textFill>
            <w14:solidFill>
              <w14:schemeClr w14:val="tx1"/>
            </w14:solidFill>
          </w14:textFill>
        </w:rPr>
      </w:pPr>
    </w:p>
    <w:p w14:paraId="0F23300C">
      <w:pPr>
        <w:rPr>
          <w:rStyle w:val="23"/>
          <w:rFonts w:ascii="宋体" w:hAnsi="宋体"/>
          <w:color w:val="000000" w:themeColor="text1"/>
          <w:sz w:val="18"/>
          <w:szCs w:val="18"/>
          <w:u w:val="none"/>
          <w14:textFill>
            <w14:solidFill>
              <w14:schemeClr w14:val="tx1"/>
            </w14:solidFill>
          </w14:textFill>
        </w:rPr>
      </w:pPr>
    </w:p>
    <w:p w14:paraId="1A30FDA4">
      <w:pPr>
        <w:rPr>
          <w:rStyle w:val="23"/>
          <w:rFonts w:ascii="宋体" w:hAnsi="宋体"/>
          <w:color w:val="000000" w:themeColor="text1"/>
          <w:sz w:val="18"/>
          <w:szCs w:val="18"/>
          <w:u w:val="none"/>
          <w14:textFill>
            <w14:solidFill>
              <w14:schemeClr w14:val="tx1"/>
            </w14:solidFill>
          </w14:textFill>
        </w:rPr>
      </w:pPr>
    </w:p>
    <w:p w14:paraId="4F927332">
      <w:pPr>
        <w:rPr>
          <w:rStyle w:val="23"/>
          <w:rFonts w:ascii="宋体" w:hAnsi="宋体"/>
          <w:color w:val="000000" w:themeColor="text1"/>
          <w:sz w:val="18"/>
          <w:szCs w:val="18"/>
          <w:u w:val="none"/>
          <w14:textFill>
            <w14:solidFill>
              <w14:schemeClr w14:val="tx1"/>
            </w14:solidFill>
          </w14:textFill>
        </w:rPr>
      </w:pPr>
    </w:p>
    <w:p w14:paraId="6BE6AA68">
      <w:pPr>
        <w:rPr>
          <w:rStyle w:val="23"/>
          <w:rFonts w:ascii="宋体" w:hAnsi="宋体"/>
          <w:color w:val="000000" w:themeColor="text1"/>
          <w:sz w:val="18"/>
          <w:szCs w:val="18"/>
          <w:u w:val="none"/>
          <w14:textFill>
            <w14:solidFill>
              <w14:schemeClr w14:val="tx1"/>
            </w14:solidFill>
          </w14:textFill>
        </w:rPr>
      </w:pPr>
    </w:p>
    <w:p w14:paraId="2943970F">
      <w:pPr>
        <w:rPr>
          <w:rStyle w:val="23"/>
          <w:rFonts w:ascii="宋体" w:hAnsi="宋体"/>
          <w:color w:val="000000" w:themeColor="text1"/>
          <w:sz w:val="18"/>
          <w:szCs w:val="18"/>
          <w:u w:val="none"/>
          <w14:textFill>
            <w14:solidFill>
              <w14:schemeClr w14:val="tx1"/>
            </w14:solidFill>
          </w14:textFill>
        </w:rPr>
      </w:pPr>
    </w:p>
    <w:p w14:paraId="7D771F07">
      <w:pPr>
        <w:rPr>
          <w:rStyle w:val="23"/>
          <w:rFonts w:ascii="宋体" w:hAnsi="宋体"/>
          <w:color w:val="000000" w:themeColor="text1"/>
          <w:sz w:val="18"/>
          <w:szCs w:val="18"/>
          <w:u w:val="none"/>
          <w14:textFill>
            <w14:solidFill>
              <w14:schemeClr w14:val="tx1"/>
            </w14:solidFill>
          </w14:textFill>
        </w:rPr>
      </w:pPr>
    </w:p>
    <w:p w14:paraId="1CF4E410">
      <w:pPr>
        <w:rPr>
          <w:rStyle w:val="23"/>
          <w:rFonts w:ascii="宋体" w:hAnsi="宋体"/>
          <w:color w:val="000000" w:themeColor="text1"/>
          <w:sz w:val="18"/>
          <w:szCs w:val="18"/>
          <w:u w:val="none"/>
          <w14:textFill>
            <w14:solidFill>
              <w14:schemeClr w14:val="tx1"/>
            </w14:solidFill>
          </w14:textFill>
        </w:rPr>
      </w:pPr>
    </w:p>
    <w:p w14:paraId="53F6E8F1">
      <w:pPr>
        <w:spacing w:after="312" w:afterLines="100"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厂区环境保护责任协议书</w:t>
      </w:r>
    </w:p>
    <w:p w14:paraId="42534250">
      <w:pPr>
        <w:spacing w:line="480" w:lineRule="exact"/>
        <w:rPr>
          <w:rFonts w:ascii="宋体" w:hAnsi="宋体"/>
          <w:b/>
          <w:color w:val="000000" w:themeColor="text1"/>
          <w:szCs w:val="44"/>
          <w14:textFill>
            <w14:solidFill>
              <w14:schemeClr w14:val="tx1"/>
            </w14:solidFill>
          </w14:textFill>
        </w:rPr>
      </w:pPr>
      <w:r>
        <w:rPr>
          <w:rFonts w:hint="eastAsia"/>
          <w:b/>
          <w:color w:val="000000" w:themeColor="text1"/>
          <w:sz w:val="44"/>
          <w:szCs w:val="44"/>
          <w14:textFill>
            <w14:solidFill>
              <w14:schemeClr w14:val="tx1"/>
            </w14:solidFill>
          </w14:textFill>
        </w:rPr>
        <w:t xml:space="preserve">                                    </w:t>
      </w:r>
    </w:p>
    <w:p w14:paraId="0F23CBF6">
      <w:pPr>
        <w:spacing w:line="480" w:lineRule="exact"/>
        <w:rPr>
          <w:b/>
          <w:color w:val="000000" w:themeColor="text1"/>
          <w:sz w:val="44"/>
          <w:szCs w:val="44"/>
          <w14:textFill>
            <w14:solidFill>
              <w14:schemeClr w14:val="tx1"/>
            </w14:solidFill>
          </w14:textFill>
        </w:rPr>
      </w:pPr>
    </w:p>
    <w:p w14:paraId="6B54481F">
      <w:pPr>
        <w:spacing w:line="48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甲方1：上海东冠健康用品股份有限公司 </w:t>
      </w:r>
    </w:p>
    <w:p w14:paraId="1B5FD077">
      <w:pPr>
        <w:tabs>
          <w:tab w:val="left" w:pos="360"/>
          <w:tab w:val="center" w:pos="4393"/>
        </w:tabs>
        <w:spacing w:line="4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45CD1ACE">
      <w:pPr>
        <w:tabs>
          <w:tab w:val="left" w:pos="360"/>
          <w:tab w:val="center" w:pos="4393"/>
          <w:tab w:val="left" w:pos="7920"/>
        </w:tabs>
        <w:spacing w:line="480" w:lineRule="exac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乙方：  </w:t>
      </w:r>
    </w:p>
    <w:p w14:paraId="688A25CD">
      <w:pPr>
        <w:tabs>
          <w:tab w:val="left" w:pos="360"/>
          <w:tab w:val="center" w:pos="4393"/>
          <w:tab w:val="left" w:pos="7920"/>
        </w:tabs>
        <w:spacing w:line="480" w:lineRule="exact"/>
        <w:ind w:left="1680" w:leftChars="100" w:hanging="1440" w:hangingChars="6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16D928EE">
      <w:pPr>
        <w:spacing w:line="48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保护上海东冠纸业有限公司厂区的整体环境，防止发生环境污染事故，营造一个文明、整洁、环保的绿色工厂，经甲乙双方友好协商，乙方作为在上海东冠纸业有限公司厂区内从事各项作业的一方，在与甲方签订业务合同时，同时与甲方签订本环境卫生责任协议。</w:t>
      </w:r>
    </w:p>
    <w:p w14:paraId="2403E4D1">
      <w:pPr>
        <w:widowControl w:val="0"/>
        <w:numPr>
          <w:ilvl w:val="0"/>
          <w:numId w:val="26"/>
        </w:numPr>
        <w:spacing w:before="100" w:beforeAutospacing="1"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适用范围</w:t>
      </w:r>
    </w:p>
    <w:p w14:paraId="446DDBCD">
      <w:pPr>
        <w:spacing w:line="48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凡是在甲方厂区内从事包括但不限于货物运输（原纸、成品、包材、煤、化学品、成品油等），废品分捡和处理（废纸、废金属、废箱、废板等），污泥清理，垃圾清运，废油清理，工程施工（基建、设备安装）、设备维修、叉车修理、车辆租赁、绿化养护、保洁等业务的所有外来作业方，均属责任书签订范围之列。</w:t>
      </w:r>
    </w:p>
    <w:p w14:paraId="459611F4">
      <w:pPr>
        <w:widowControl w:val="0"/>
        <w:numPr>
          <w:ilvl w:val="0"/>
          <w:numId w:val="26"/>
        </w:numPr>
        <w:spacing w:before="100" w:beforeAutospacing="1" w:after="156" w:afterLines="50"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责任与义务</w:t>
      </w:r>
    </w:p>
    <w:p w14:paraId="293B863F">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甲方责任与义务</w:t>
      </w:r>
    </w:p>
    <w:p w14:paraId="6B99F919">
      <w:pPr>
        <w:widowControl w:val="0"/>
        <w:numPr>
          <w:ilvl w:val="0"/>
          <w:numId w:val="27"/>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为乙方办理进入甲方工厂的有关手续。</w:t>
      </w:r>
    </w:p>
    <w:p w14:paraId="0CF62899">
      <w:pPr>
        <w:widowControl w:val="0"/>
        <w:numPr>
          <w:ilvl w:val="0"/>
          <w:numId w:val="27"/>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配合乙方做好危险物、各种废品的收集等工作。</w:t>
      </w:r>
    </w:p>
    <w:p w14:paraId="5A803A71">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乙方的责任与义务</w:t>
      </w:r>
    </w:p>
    <w:p w14:paraId="044ED81F">
      <w:pPr>
        <w:widowControl w:val="0"/>
        <w:numPr>
          <w:ilvl w:val="0"/>
          <w:numId w:val="28"/>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指派专业技术人员定期至甲方负责危险废弃物的处理。</w:t>
      </w:r>
    </w:p>
    <w:p w14:paraId="5FC5D349">
      <w:pPr>
        <w:widowControl w:val="0"/>
        <w:numPr>
          <w:ilvl w:val="0"/>
          <w:numId w:val="28"/>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指派专人负责本协议执行的全过程。</w:t>
      </w:r>
    </w:p>
    <w:p w14:paraId="43476FEF">
      <w:pPr>
        <w:widowControl w:val="0"/>
        <w:numPr>
          <w:ilvl w:val="0"/>
          <w:numId w:val="28"/>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对派遣至甲方从事业务活动的人员（包括司机、货物装卸工），乙方有义务配合甲方做好业务人员的厂纪厂规、消防安全、环境卫生、文明行为等相关管理规定的宣传教育工作，并对乙方人员在甲方内的违规行为负有一定责任。</w:t>
      </w:r>
    </w:p>
    <w:p w14:paraId="269E0A8E">
      <w:pPr>
        <w:widowControl w:val="0"/>
        <w:numPr>
          <w:ilvl w:val="0"/>
          <w:numId w:val="26"/>
        </w:numPr>
        <w:spacing w:before="100" w:beforeAutospacing="1" w:after="156" w:afterLines="50"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厂区行为规范和环境要求</w:t>
      </w:r>
    </w:p>
    <w:p w14:paraId="18079E30">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厂区个人行为规范</w:t>
      </w:r>
    </w:p>
    <w:p w14:paraId="774C5E8B">
      <w:pPr>
        <w:widowControl w:val="0"/>
        <w:numPr>
          <w:ilvl w:val="0"/>
          <w:numId w:val="29"/>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乙方人员进入厂区，必须照章登记，货物凭证出门，严格遵守和执行甲方的规章制度和个人行为规范，厂区内严禁赤膊、穿拖鞋装卸货等不文明行为。乙方人员每违反一次，须向甲方支付违约金人民币100元。</w:t>
      </w:r>
    </w:p>
    <w:p w14:paraId="47D3E2CC">
      <w:pPr>
        <w:widowControl w:val="0"/>
        <w:numPr>
          <w:ilvl w:val="0"/>
          <w:numId w:val="29"/>
        </w:numPr>
        <w:spacing w:line="480" w:lineRule="exact"/>
        <w:jc w:val="both"/>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甲方厂内实行一级防火，严禁任何人在非吸烟点、及厕所吸烟。</w:t>
      </w:r>
    </w:p>
    <w:p w14:paraId="26B07FF5">
      <w:pPr>
        <w:widowControl w:val="0"/>
        <w:numPr>
          <w:ilvl w:val="0"/>
          <w:numId w:val="29"/>
        </w:numPr>
        <w:spacing w:line="480" w:lineRule="exact"/>
        <w:jc w:val="both"/>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严禁在厂内道路、绿化带、餐厅等公共区域随地吐痰、乱丢果皮纸屑、塑料袋等各种生活垃圾，严禁在厂区厕所内洗澡和洗衣，以及厕所外其他地方大小便。</w:t>
      </w:r>
    </w:p>
    <w:p w14:paraId="5C29974B">
      <w:pPr>
        <w:widowControl w:val="0"/>
        <w:numPr>
          <w:ilvl w:val="0"/>
          <w:numId w:val="29"/>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做到文明就餐，餐后及时将桌上脏物和废纸收进餐盘倒入泔脚桶，严禁将垃圾倒在地上或餐桌上。</w:t>
      </w:r>
    </w:p>
    <w:p w14:paraId="429E086A">
      <w:pPr>
        <w:widowControl w:val="0"/>
        <w:numPr>
          <w:ilvl w:val="0"/>
          <w:numId w:val="29"/>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严禁乙方人员携未成年人进入厂区，一经发现，甲方有权立即请乙方人员及相关未成年人离开厂区，并有权要求乙方向甲方支付人民币2000元的违约金，同时，相关未成年人在违规进入厂区时，发生财产损失、人身损害或第三方侵权的，相关责任由乙方全权承担，与甲方无涉。</w:t>
      </w:r>
    </w:p>
    <w:p w14:paraId="43B5A120">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厂区工业危险废弃物的处理、运输和交接</w:t>
      </w:r>
    </w:p>
    <w:p w14:paraId="29F32191">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甲方对厂区内的各种工业危险废弃物（如废油渣，废油漆桶、废化学品桶等）实行规范管理，乙方必须按甲方指定区域进行集中堆放，排列整齐。严禁他人将废弃物丢入厂区空地及绿化空地。</w:t>
      </w:r>
    </w:p>
    <w:p w14:paraId="6F5B8274">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乙方按甲方要求，在规定限期内将暂存在甲方的各类废弃物（废油渣，废油漆桶、废化学品桶等）装车运出厂外。</w:t>
      </w:r>
    </w:p>
    <w:p w14:paraId="24A8809F">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甲方实行全厂道路和绿化卫生承包责任制，叉车维修区域的卫生环境由乙方负责承包。乙方有责任配合甲方做好叉车维修区域周围的环境卫生。</w:t>
      </w:r>
    </w:p>
    <w:p w14:paraId="6F5B1D90">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维修结束后，必须做到“工完场地净：维修区域无垃圾和废弃物（如油布、废纸、塑料、油桶、油渣、金属等）。乙方维修人员离厂时，必须随车将废油布、废油纸、废油等工业危险废弃物带出厂，严禁随意丢入甲方生活垃圾筒中和其他地方，一经查处，甲方将对乙方给予严肃处理和罚款。</w:t>
      </w:r>
    </w:p>
    <w:p w14:paraId="158A1A4C">
      <w:pPr>
        <w:widowControl w:val="0"/>
        <w:numPr>
          <w:ilvl w:val="0"/>
          <w:numId w:val="30"/>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乙方应每月将维修区域上的油污彻底清扫一次，不得使油污堆积及污染道路，影响厂区的整体卫生环境。</w:t>
      </w:r>
    </w:p>
    <w:p w14:paraId="6E1F882F">
      <w:pPr>
        <w:widowControl w:val="0"/>
        <w:numPr>
          <w:ilvl w:val="1"/>
          <w:numId w:val="26"/>
        </w:numPr>
        <w:spacing w:line="480" w:lineRule="exact"/>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绿化、环境卫生要求和标准</w:t>
      </w:r>
    </w:p>
    <w:p w14:paraId="4AB86437">
      <w:pPr>
        <w:widowControl w:val="0"/>
        <w:numPr>
          <w:ilvl w:val="0"/>
          <w:numId w:val="31"/>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各种车辆（包括但不限于原纸、成品、包材、浆板运输车；工程设备维修车；污泥、废品处理及垃圾清运等大型车辆等）进入厂区，必须认真遵守甲方的有关车辆禁令规定，按规定的车辆行驶路线限速行驶（转弯限速5公里，道路限速10公里）。若因车辆超速损坏厂区道路、绿化及路边侧石，乙方必须承担甲方被毁坏绿化或修复道路所产生的所有费用。</w:t>
      </w:r>
    </w:p>
    <w:p w14:paraId="1EE9769D">
      <w:pPr>
        <w:widowControl w:val="0"/>
        <w:numPr>
          <w:ilvl w:val="0"/>
          <w:numId w:val="31"/>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货运车辆，运完货后装卸人员必须及时将车上及散落在道路及周围的废纸及时清理至垃圾筒内，做到“货完场地净”，严禁车上废纸随车飘落。严禁货运、施工、维修等作业人员将食品袋、果皮纸屑、废栈板、纸浆、污泥、碎石泥沙、空油桶、化学品桶等各种废弃物丢入厂区的草坪绿化带、道路及车间门口。</w:t>
      </w:r>
    </w:p>
    <w:p w14:paraId="7D781656">
      <w:pPr>
        <w:widowControl w:val="0"/>
        <w:numPr>
          <w:ilvl w:val="0"/>
          <w:numId w:val="31"/>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凡因业务需要，乙方车辆需在甲方进行现场作业的，现场作业完毕，乙方必须及时清理工作现场以及周围的环境卫生，保证绿化带、道路等区域无纸浆、污泥和积水。</w:t>
      </w:r>
    </w:p>
    <w:p w14:paraId="02FDCF04">
      <w:pPr>
        <w:widowControl w:val="0"/>
        <w:numPr>
          <w:ilvl w:val="0"/>
          <w:numId w:val="31"/>
        </w:numPr>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废品、污泥处理商必须按双方合同规定的时间及时进行清运，严禁废品和污泥堆积。清运时严禁人员和车辆践踏草坪，损坏树木和路边侧石。清运完毕，必须及时将作业现场周围的道路（包括路边侧石）、绿化带等周围区域用水冲洗，保证路面和草坪绿化无异味。</w:t>
      </w:r>
    </w:p>
    <w:p w14:paraId="5DFB83F9">
      <w:pPr>
        <w:widowControl w:val="0"/>
        <w:numPr>
          <w:ilvl w:val="0"/>
          <w:numId w:val="31"/>
        </w:numPr>
        <w:spacing w:line="480" w:lineRule="exact"/>
        <w:jc w:val="both"/>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装卸人员作业时应爱护甲方厂区内的厂房、道路、绿化等各种建筑物，严禁践踏草坪和绿化。</w:t>
      </w:r>
      <w:r>
        <w:rPr>
          <w:rFonts w:hint="eastAsia" w:ascii="宋体" w:hAnsi="宋体"/>
          <w:color w:val="000000" w:themeColor="text1"/>
          <w14:textFill>
            <w14:solidFill>
              <w14:schemeClr w14:val="tx1"/>
            </w14:solidFill>
          </w14:textFill>
        </w:rPr>
        <w:t xml:space="preserve"> </w:t>
      </w:r>
    </w:p>
    <w:p w14:paraId="1502D828">
      <w:pPr>
        <w:widowControl w:val="0"/>
        <w:numPr>
          <w:ilvl w:val="0"/>
          <w:numId w:val="26"/>
        </w:numPr>
        <w:spacing w:before="100" w:beforeAutospacing="1"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违约</w:t>
      </w:r>
    </w:p>
    <w:p w14:paraId="292B21D7">
      <w:pPr>
        <w:widowControl w:val="0"/>
        <w:numPr>
          <w:ilvl w:val="1"/>
          <w:numId w:val="26"/>
        </w:numPr>
        <w:spacing w:line="480" w:lineRule="exact"/>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乙方人员违反本协议规定的义务，甲方将视违约情形及危害后果，要求乙方按违约次数向甲方支付违约金人民币200-500元，乙方有权向乙方人员予以追索。</w:t>
      </w:r>
    </w:p>
    <w:p w14:paraId="76BE0E7E">
      <w:pPr>
        <w:widowControl w:val="0"/>
        <w:numPr>
          <w:ilvl w:val="1"/>
          <w:numId w:val="26"/>
        </w:numPr>
        <w:spacing w:line="480" w:lineRule="exact"/>
        <w:jc w:val="both"/>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若因乙方人的违约，给甲方造成重大经济损失的，一切损失均由乙方承担，必要时甲方追究乙方的相关法律责任。</w:t>
      </w:r>
    </w:p>
    <w:p w14:paraId="743EEC5C">
      <w:pPr>
        <w:widowControl w:val="0"/>
        <w:numPr>
          <w:ilvl w:val="1"/>
          <w:numId w:val="26"/>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因乙方人员的违约造成对甲方的整体环境卫生产生严重影响的，有权解除与乙方的业务合同，解除合作，并由乙方承担相关的违约责任。</w:t>
      </w:r>
    </w:p>
    <w:p w14:paraId="2CFE778A">
      <w:pPr>
        <w:widowControl w:val="0"/>
        <w:numPr>
          <w:ilvl w:val="0"/>
          <w:numId w:val="26"/>
        </w:numPr>
        <w:spacing w:before="312" w:beforeLines="100" w:line="480" w:lineRule="exact"/>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其他</w:t>
      </w:r>
    </w:p>
    <w:p w14:paraId="393CB530">
      <w:pPr>
        <w:widowControl w:val="0"/>
        <w:numPr>
          <w:ilvl w:val="1"/>
          <w:numId w:val="26"/>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因本协议发生争议时，双方依据合同规定进行协商。协商不成的，由甲方所在地人民法院为管辖法院。</w:t>
      </w:r>
    </w:p>
    <w:p w14:paraId="68FFB3EC">
      <w:pPr>
        <w:widowControl w:val="0"/>
        <w:numPr>
          <w:ilvl w:val="1"/>
          <w:numId w:val="26"/>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本协议自双方加盖双方公章或合同专用章后生效，并自乙方业务合同有效期届满自行失效。</w:t>
      </w:r>
    </w:p>
    <w:p w14:paraId="34A65B7F">
      <w:pPr>
        <w:widowControl w:val="0"/>
        <w:numPr>
          <w:ilvl w:val="1"/>
          <w:numId w:val="26"/>
        </w:numPr>
        <w:spacing w:line="48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乙方自签订本协议书之日起，视为对甲方的环保责任书内容均已知晓，并保证遵守和履行本协议的内容。</w:t>
      </w:r>
    </w:p>
    <w:p w14:paraId="6D10ED27">
      <w:pPr>
        <w:spacing w:line="480" w:lineRule="exact"/>
        <w:rPr>
          <w:color w:val="000000" w:themeColor="text1"/>
          <w14:textFill>
            <w14:solidFill>
              <w14:schemeClr w14:val="tx1"/>
            </w14:solidFill>
          </w14:textFill>
        </w:rPr>
      </w:pPr>
    </w:p>
    <w:p w14:paraId="3D66DF17">
      <w:pPr>
        <w:spacing w:line="480" w:lineRule="exact"/>
        <w:rPr>
          <w:color w:val="000000" w:themeColor="text1"/>
          <w14:textFill>
            <w14:solidFill>
              <w14:schemeClr w14:val="tx1"/>
            </w14:solidFill>
          </w14:textFill>
        </w:rPr>
      </w:pPr>
    </w:p>
    <w:p w14:paraId="2E893AD1">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甲方1：</w:t>
      </w:r>
      <w:r>
        <w:rPr>
          <w:rFonts w:hint="eastAsia" w:hAnsi="宋体"/>
          <w:b/>
          <w:bCs/>
          <w:color w:val="000000" w:themeColor="text1"/>
          <w:sz w:val="20"/>
          <w14:textFill>
            <w14:solidFill>
              <w14:schemeClr w14:val="tx1"/>
            </w14:solidFill>
          </w14:textFill>
        </w:rPr>
        <w:t>上海东冠健康用品股份有限公司</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乙方：</w:t>
      </w:r>
    </w:p>
    <w:p w14:paraId="61A22603">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联系人 ：                                         联系人：</w:t>
      </w:r>
    </w:p>
    <w:p w14:paraId="249922E0">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日期：                                            日期：</w:t>
      </w:r>
    </w:p>
    <w:p w14:paraId="21DBA06D">
      <w:pPr>
        <w:spacing w:line="480" w:lineRule="exact"/>
        <w:rPr>
          <w:color w:val="000000" w:themeColor="text1"/>
          <w14:textFill>
            <w14:solidFill>
              <w14:schemeClr w14:val="tx1"/>
            </w14:solidFill>
          </w14:textFill>
        </w:rPr>
      </w:pPr>
    </w:p>
    <w:p w14:paraId="01A64028">
      <w:pPr>
        <w:spacing w:line="480" w:lineRule="exact"/>
        <w:rPr>
          <w:color w:val="000000" w:themeColor="text1"/>
          <w14:textFill>
            <w14:solidFill>
              <w14:schemeClr w14:val="tx1"/>
            </w14:solidFill>
          </w14:textFill>
        </w:rPr>
      </w:pPr>
    </w:p>
    <w:p w14:paraId="61F7E7BD">
      <w:pPr>
        <w:spacing w:line="312" w:lineRule="auto"/>
        <w:rPr>
          <w:color w:val="000000" w:themeColor="text1"/>
          <w14:textFill>
            <w14:solidFill>
              <w14:schemeClr w14:val="tx1"/>
            </w14:solidFill>
          </w14:textFill>
        </w:rPr>
      </w:pPr>
    </w:p>
    <w:p w14:paraId="7E823A1D">
      <w:pPr>
        <w:spacing w:line="312" w:lineRule="auto"/>
        <w:rPr>
          <w:color w:val="000000" w:themeColor="text1"/>
          <w14:textFill>
            <w14:solidFill>
              <w14:schemeClr w14:val="tx1"/>
            </w14:solidFill>
          </w14:textFill>
        </w:rPr>
      </w:pPr>
    </w:p>
    <w:p w14:paraId="64FC6AE3">
      <w:pPr>
        <w:spacing w:line="312" w:lineRule="auto"/>
        <w:rPr>
          <w:color w:val="000000" w:themeColor="text1"/>
          <w14:textFill>
            <w14:solidFill>
              <w14:schemeClr w14:val="tx1"/>
            </w14:solidFill>
          </w14:textFill>
        </w:rPr>
      </w:pPr>
    </w:p>
    <w:p w14:paraId="429D6626">
      <w:pPr>
        <w:spacing w:line="312" w:lineRule="auto"/>
        <w:rPr>
          <w:color w:val="000000" w:themeColor="text1"/>
          <w14:textFill>
            <w14:solidFill>
              <w14:schemeClr w14:val="tx1"/>
            </w14:solidFill>
          </w14:textFill>
        </w:rPr>
      </w:pPr>
    </w:p>
    <w:p w14:paraId="2B6497EC">
      <w:pPr>
        <w:spacing w:line="312" w:lineRule="auto"/>
        <w:rPr>
          <w:color w:val="000000" w:themeColor="text1"/>
          <w14:textFill>
            <w14:solidFill>
              <w14:schemeClr w14:val="tx1"/>
            </w14:solidFill>
          </w14:textFill>
        </w:rPr>
      </w:pPr>
    </w:p>
    <w:tbl>
      <w:tblPr>
        <w:tblStyle w:val="18"/>
        <w:tblW w:w="0" w:type="auto"/>
        <w:tblInd w:w="0" w:type="dxa"/>
        <w:tblLayout w:type="fixed"/>
        <w:tblCellMar>
          <w:top w:w="0" w:type="dxa"/>
          <w:left w:w="108" w:type="dxa"/>
          <w:bottom w:w="0" w:type="dxa"/>
          <w:right w:w="108" w:type="dxa"/>
        </w:tblCellMar>
      </w:tblPr>
      <w:tblGrid>
        <w:gridCol w:w="830"/>
        <w:gridCol w:w="680"/>
        <w:gridCol w:w="680"/>
        <w:gridCol w:w="680"/>
        <w:gridCol w:w="2040"/>
        <w:gridCol w:w="979"/>
        <w:gridCol w:w="680"/>
        <w:gridCol w:w="597"/>
        <w:gridCol w:w="1172"/>
        <w:gridCol w:w="504"/>
        <w:gridCol w:w="680"/>
      </w:tblGrid>
      <w:tr w14:paraId="20077CF1">
        <w:tblPrEx>
          <w:tblCellMar>
            <w:top w:w="0" w:type="dxa"/>
            <w:left w:w="108" w:type="dxa"/>
            <w:bottom w:w="0" w:type="dxa"/>
            <w:right w:w="108" w:type="dxa"/>
          </w:tblCellMar>
        </w:tblPrEx>
        <w:trPr>
          <w:trHeight w:val="750" w:hRule="atLeast"/>
        </w:trPr>
        <w:tc>
          <w:tcPr>
            <w:tcW w:w="952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D250396">
            <w:pPr>
              <w:jc w:val="center"/>
              <w:rPr>
                <w:rFonts w:ascii="仿宋" w:hAnsi="仿宋" w:eastAsia="仿宋" w:cs="宋体"/>
                <w:b/>
                <w:bCs/>
                <w:color w:val="000000" w:themeColor="text1"/>
                <w:sz w:val="21"/>
                <w:szCs w:val="21"/>
                <w14:textFill>
                  <w14:solidFill>
                    <w14:schemeClr w14:val="tx1"/>
                  </w14:solidFill>
                </w14:textFill>
              </w:rPr>
            </w:pPr>
            <w:bookmarkStart w:id="110" w:name="RANGE!A1:N17"/>
            <w:r>
              <w:rPr>
                <w:rFonts w:hint="eastAsia" w:ascii="仿宋" w:hAnsi="仿宋" w:eastAsia="仿宋" w:cs="宋体"/>
                <w:b/>
                <w:bCs/>
                <w:color w:val="000000" w:themeColor="text1"/>
                <w:sz w:val="21"/>
                <w:szCs w:val="21"/>
                <w14:textFill>
                  <w14:solidFill>
                    <w14:schemeClr w14:val="tx1"/>
                  </w14:solidFill>
                </w14:textFill>
              </w:rPr>
              <w:t>电 商 物 流 KPI 考 核 表</w:t>
            </w:r>
            <w:bookmarkEnd w:id="110"/>
          </w:p>
        </w:tc>
      </w:tr>
      <w:tr w14:paraId="645095B2">
        <w:tblPrEx>
          <w:tblCellMar>
            <w:top w:w="0" w:type="dxa"/>
            <w:left w:w="108" w:type="dxa"/>
            <w:bottom w:w="0" w:type="dxa"/>
            <w:right w:w="108" w:type="dxa"/>
          </w:tblCellMar>
        </w:tblPrEx>
        <w:trPr>
          <w:trHeight w:val="499" w:hRule="atLeast"/>
        </w:trPr>
        <w:tc>
          <w:tcPr>
            <w:tcW w:w="15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50EF28">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物流公司</w:t>
            </w:r>
          </w:p>
        </w:tc>
        <w:tc>
          <w:tcPr>
            <w:tcW w:w="680" w:type="dxa"/>
            <w:tcBorders>
              <w:top w:val="nil"/>
              <w:left w:val="nil"/>
              <w:bottom w:val="single" w:color="auto" w:sz="4" w:space="0"/>
              <w:right w:val="single" w:color="auto" w:sz="4" w:space="0"/>
            </w:tcBorders>
            <w:shd w:val="clear" w:color="auto" w:fill="auto"/>
            <w:noWrap/>
            <w:vAlign w:val="center"/>
          </w:tcPr>
          <w:p w14:paraId="6DF3C7EA">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auto" w:fill="auto"/>
            <w:noWrap/>
            <w:vAlign w:val="center"/>
          </w:tcPr>
          <w:p w14:paraId="3C495BE9">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部门</w:t>
            </w:r>
          </w:p>
        </w:tc>
        <w:tc>
          <w:tcPr>
            <w:tcW w:w="2040" w:type="dxa"/>
            <w:tcBorders>
              <w:top w:val="single" w:color="auto" w:sz="4" w:space="0"/>
              <w:left w:val="nil"/>
              <w:bottom w:val="single" w:color="auto" w:sz="4" w:space="0"/>
              <w:right w:val="single" w:color="auto" w:sz="4" w:space="0"/>
            </w:tcBorders>
            <w:shd w:val="clear" w:color="auto" w:fill="auto"/>
            <w:noWrap/>
            <w:vAlign w:val="center"/>
          </w:tcPr>
          <w:p w14:paraId="6557D5E1">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仓储物流部---电商仓</w:t>
            </w:r>
          </w:p>
        </w:tc>
        <w:tc>
          <w:tcPr>
            <w:tcW w:w="979" w:type="dxa"/>
            <w:tcBorders>
              <w:top w:val="nil"/>
              <w:left w:val="nil"/>
              <w:bottom w:val="single" w:color="auto" w:sz="4" w:space="0"/>
              <w:right w:val="single" w:color="auto" w:sz="4" w:space="0"/>
            </w:tcBorders>
            <w:shd w:val="clear" w:color="auto" w:fill="auto"/>
            <w:noWrap/>
            <w:vAlign w:val="center"/>
          </w:tcPr>
          <w:p w14:paraId="75B50994">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考核周期</w:t>
            </w:r>
          </w:p>
        </w:tc>
        <w:tc>
          <w:tcPr>
            <w:tcW w:w="1277" w:type="dxa"/>
            <w:gridSpan w:val="2"/>
            <w:tcBorders>
              <w:top w:val="single" w:color="auto" w:sz="4" w:space="0"/>
              <w:left w:val="nil"/>
              <w:bottom w:val="single" w:color="auto" w:sz="4" w:space="0"/>
              <w:right w:val="single" w:color="auto" w:sz="4" w:space="0"/>
            </w:tcBorders>
            <w:shd w:val="clear" w:color="auto" w:fill="auto"/>
            <w:vAlign w:val="center"/>
          </w:tcPr>
          <w:p w14:paraId="3D3D61B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每月一次</w:t>
            </w:r>
          </w:p>
        </w:tc>
        <w:tc>
          <w:tcPr>
            <w:tcW w:w="1172" w:type="dxa"/>
            <w:tcBorders>
              <w:top w:val="single" w:color="auto" w:sz="4" w:space="0"/>
              <w:left w:val="nil"/>
              <w:bottom w:val="single" w:color="auto" w:sz="4" w:space="0"/>
              <w:right w:val="single" w:color="auto" w:sz="4" w:space="0"/>
            </w:tcBorders>
            <w:shd w:val="clear" w:color="auto" w:fill="auto"/>
            <w:vAlign w:val="center"/>
          </w:tcPr>
          <w:p w14:paraId="76DB4395">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考核时间</w:t>
            </w:r>
          </w:p>
        </w:tc>
        <w:tc>
          <w:tcPr>
            <w:tcW w:w="1184" w:type="dxa"/>
            <w:gridSpan w:val="2"/>
            <w:tcBorders>
              <w:top w:val="single" w:color="auto" w:sz="4" w:space="0"/>
              <w:left w:val="nil"/>
              <w:bottom w:val="single" w:color="auto" w:sz="4" w:space="0"/>
              <w:right w:val="single" w:color="auto" w:sz="4" w:space="0"/>
            </w:tcBorders>
            <w:shd w:val="clear" w:color="auto" w:fill="auto"/>
            <w:vAlign w:val="center"/>
          </w:tcPr>
          <w:p w14:paraId="54BCA69C">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　</w:t>
            </w:r>
          </w:p>
        </w:tc>
      </w:tr>
      <w:tr w14:paraId="33374224">
        <w:tblPrEx>
          <w:tblCellMar>
            <w:top w:w="0" w:type="dxa"/>
            <w:left w:w="108" w:type="dxa"/>
            <w:bottom w:w="0" w:type="dxa"/>
            <w:right w:w="108" w:type="dxa"/>
          </w:tblCellMar>
        </w:tblPrEx>
        <w:trPr>
          <w:trHeight w:val="600" w:hRule="atLeast"/>
        </w:trPr>
        <w:tc>
          <w:tcPr>
            <w:tcW w:w="830" w:type="dxa"/>
            <w:tcBorders>
              <w:top w:val="nil"/>
              <w:left w:val="single" w:color="auto" w:sz="4" w:space="0"/>
              <w:bottom w:val="single" w:color="auto" w:sz="4" w:space="0"/>
              <w:right w:val="single" w:color="auto" w:sz="4" w:space="0"/>
            </w:tcBorders>
            <w:shd w:val="clear" w:color="auto" w:fill="auto"/>
            <w:vAlign w:val="center"/>
          </w:tcPr>
          <w:p w14:paraId="028BC481">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考核维度</w:t>
            </w:r>
          </w:p>
        </w:tc>
        <w:tc>
          <w:tcPr>
            <w:tcW w:w="680" w:type="dxa"/>
            <w:tcBorders>
              <w:top w:val="nil"/>
              <w:left w:val="nil"/>
              <w:bottom w:val="single" w:color="auto" w:sz="4" w:space="0"/>
              <w:right w:val="single" w:color="auto" w:sz="4" w:space="0"/>
            </w:tcBorders>
            <w:shd w:val="clear" w:color="auto" w:fill="auto"/>
            <w:vAlign w:val="center"/>
          </w:tcPr>
          <w:p w14:paraId="46FE3F7C">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序号</w:t>
            </w:r>
          </w:p>
        </w:tc>
        <w:tc>
          <w:tcPr>
            <w:tcW w:w="680" w:type="dxa"/>
            <w:tcBorders>
              <w:top w:val="nil"/>
              <w:left w:val="nil"/>
              <w:bottom w:val="single" w:color="auto" w:sz="4" w:space="0"/>
              <w:right w:val="single" w:color="auto" w:sz="4" w:space="0"/>
            </w:tcBorders>
            <w:shd w:val="clear" w:color="auto" w:fill="auto"/>
            <w:vAlign w:val="center"/>
          </w:tcPr>
          <w:p w14:paraId="22D661DA">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考核项目</w:t>
            </w:r>
          </w:p>
        </w:tc>
        <w:tc>
          <w:tcPr>
            <w:tcW w:w="680" w:type="dxa"/>
            <w:tcBorders>
              <w:top w:val="nil"/>
              <w:left w:val="nil"/>
              <w:bottom w:val="single" w:color="auto" w:sz="4" w:space="0"/>
              <w:right w:val="single" w:color="auto" w:sz="4" w:space="0"/>
            </w:tcBorders>
            <w:shd w:val="clear" w:color="auto" w:fill="auto"/>
            <w:vAlign w:val="center"/>
          </w:tcPr>
          <w:p w14:paraId="15749E99">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 xml:space="preserve">权重     </w:t>
            </w:r>
          </w:p>
        </w:tc>
        <w:tc>
          <w:tcPr>
            <w:tcW w:w="2040" w:type="dxa"/>
            <w:tcBorders>
              <w:top w:val="single" w:color="auto" w:sz="4" w:space="0"/>
              <w:left w:val="nil"/>
              <w:bottom w:val="single" w:color="auto" w:sz="4" w:space="0"/>
              <w:right w:val="single" w:color="auto" w:sz="4" w:space="0"/>
            </w:tcBorders>
            <w:shd w:val="clear" w:color="auto" w:fill="auto"/>
            <w:vAlign w:val="center"/>
          </w:tcPr>
          <w:p w14:paraId="35F5021D">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指标要求                                 （时间、数量、质量、成本）</w:t>
            </w:r>
          </w:p>
        </w:tc>
        <w:tc>
          <w:tcPr>
            <w:tcW w:w="979" w:type="dxa"/>
            <w:tcBorders>
              <w:top w:val="nil"/>
              <w:left w:val="nil"/>
              <w:bottom w:val="single" w:color="auto" w:sz="4" w:space="0"/>
              <w:right w:val="single" w:color="auto" w:sz="4" w:space="0"/>
            </w:tcBorders>
            <w:shd w:val="clear" w:color="auto" w:fill="auto"/>
            <w:vAlign w:val="center"/>
          </w:tcPr>
          <w:p w14:paraId="135EE4A9">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目标值</w:t>
            </w:r>
          </w:p>
        </w:tc>
        <w:tc>
          <w:tcPr>
            <w:tcW w:w="680" w:type="dxa"/>
            <w:tcBorders>
              <w:top w:val="nil"/>
              <w:left w:val="nil"/>
              <w:bottom w:val="single" w:color="auto" w:sz="4" w:space="0"/>
              <w:right w:val="single" w:color="auto" w:sz="4" w:space="0"/>
            </w:tcBorders>
            <w:shd w:val="clear" w:color="auto" w:fill="auto"/>
            <w:vAlign w:val="center"/>
          </w:tcPr>
          <w:p w14:paraId="3A76DDDE">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 xml:space="preserve">实际完成值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7D2A6982">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评分等级</w:t>
            </w:r>
          </w:p>
        </w:tc>
        <w:tc>
          <w:tcPr>
            <w:tcW w:w="680" w:type="dxa"/>
            <w:tcBorders>
              <w:top w:val="nil"/>
              <w:left w:val="nil"/>
              <w:bottom w:val="single" w:color="auto" w:sz="4" w:space="0"/>
              <w:right w:val="single" w:color="auto" w:sz="4" w:space="0"/>
            </w:tcBorders>
            <w:shd w:val="clear" w:color="auto" w:fill="auto"/>
            <w:vAlign w:val="center"/>
          </w:tcPr>
          <w:p w14:paraId="5F1E9497">
            <w:pPr>
              <w:jc w:val="center"/>
              <w:rPr>
                <w:rFonts w:ascii="仿宋" w:hAnsi="仿宋" w:eastAsia="仿宋" w:cs="宋体"/>
                <w:b/>
                <w:bCs/>
                <w:color w:val="000000" w:themeColor="text1"/>
                <w:sz w:val="21"/>
                <w:szCs w:val="21"/>
                <w14:textFill>
                  <w14:solidFill>
                    <w14:schemeClr w14:val="tx1"/>
                  </w14:solidFill>
                </w14:textFill>
              </w:rPr>
            </w:pPr>
            <w:r>
              <w:rPr>
                <w:rFonts w:hint="eastAsia" w:ascii="仿宋" w:hAnsi="仿宋" w:eastAsia="仿宋" w:cs="宋体"/>
                <w:b/>
                <w:bCs/>
                <w:color w:val="000000" w:themeColor="text1"/>
                <w:sz w:val="21"/>
                <w:szCs w:val="21"/>
                <w14:textFill>
                  <w14:solidFill>
                    <w14:schemeClr w14:val="tx1"/>
                  </w14:solidFill>
                </w14:textFill>
              </w:rPr>
              <w:t>数据来源</w:t>
            </w:r>
          </w:p>
        </w:tc>
      </w:tr>
      <w:tr w14:paraId="51BBD612">
        <w:tblPrEx>
          <w:tblCellMar>
            <w:top w:w="0" w:type="dxa"/>
            <w:left w:w="108" w:type="dxa"/>
            <w:bottom w:w="0" w:type="dxa"/>
            <w:right w:w="108" w:type="dxa"/>
          </w:tblCellMar>
        </w:tblPrEx>
        <w:trPr>
          <w:trHeight w:val="945" w:hRule="atLeast"/>
        </w:trPr>
        <w:tc>
          <w:tcPr>
            <w:tcW w:w="830" w:type="dxa"/>
            <w:vMerge w:val="restart"/>
            <w:tcBorders>
              <w:top w:val="nil"/>
              <w:left w:val="single" w:color="auto" w:sz="4" w:space="0"/>
              <w:bottom w:val="single" w:color="auto" w:sz="4" w:space="0"/>
              <w:right w:val="single" w:color="auto" w:sz="4" w:space="0"/>
            </w:tcBorders>
            <w:shd w:val="clear" w:color="auto" w:fill="auto"/>
            <w:noWrap/>
            <w:vAlign w:val="center"/>
          </w:tcPr>
          <w:p w14:paraId="69F13E6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时效考核</w:t>
            </w:r>
          </w:p>
        </w:tc>
        <w:tc>
          <w:tcPr>
            <w:tcW w:w="680" w:type="dxa"/>
            <w:tcBorders>
              <w:top w:val="nil"/>
              <w:left w:val="nil"/>
              <w:bottom w:val="single" w:color="auto" w:sz="4" w:space="0"/>
              <w:right w:val="single" w:color="auto" w:sz="4" w:space="0"/>
            </w:tcBorders>
            <w:shd w:val="clear" w:color="auto" w:fill="auto"/>
            <w:vAlign w:val="center"/>
          </w:tcPr>
          <w:p w14:paraId="66F3379A">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w:t>
            </w:r>
          </w:p>
        </w:tc>
        <w:tc>
          <w:tcPr>
            <w:tcW w:w="680" w:type="dxa"/>
            <w:tcBorders>
              <w:top w:val="nil"/>
              <w:left w:val="nil"/>
              <w:bottom w:val="single" w:color="auto" w:sz="4" w:space="0"/>
              <w:right w:val="single" w:color="auto" w:sz="4" w:space="0"/>
            </w:tcBorders>
            <w:shd w:val="clear" w:color="auto" w:fill="auto"/>
            <w:vAlign w:val="center"/>
          </w:tcPr>
          <w:p w14:paraId="1BA8EE68">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揽收及时率</w:t>
            </w:r>
          </w:p>
        </w:tc>
        <w:tc>
          <w:tcPr>
            <w:tcW w:w="680" w:type="dxa"/>
            <w:tcBorders>
              <w:top w:val="nil"/>
              <w:left w:val="nil"/>
              <w:bottom w:val="single" w:color="auto" w:sz="4" w:space="0"/>
              <w:right w:val="single" w:color="auto" w:sz="4" w:space="0"/>
            </w:tcBorders>
            <w:shd w:val="clear" w:color="auto" w:fill="auto"/>
            <w:vAlign w:val="center"/>
          </w:tcPr>
          <w:p w14:paraId="3ACECEF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15%</w:t>
            </w:r>
          </w:p>
        </w:tc>
        <w:tc>
          <w:tcPr>
            <w:tcW w:w="2040" w:type="dxa"/>
            <w:tcBorders>
              <w:top w:val="single" w:color="auto" w:sz="4" w:space="0"/>
              <w:left w:val="nil"/>
              <w:bottom w:val="single" w:color="auto" w:sz="4" w:space="0"/>
              <w:right w:val="single" w:color="auto" w:sz="4" w:space="0"/>
            </w:tcBorders>
            <w:shd w:val="clear" w:color="auto" w:fill="auto"/>
            <w:vAlign w:val="bottom"/>
          </w:tcPr>
          <w:p w14:paraId="2AE7BD7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近30天(T-32～T-3)揽收时间早于或等于48小时（特殊情形下为特殊时间）的父订单量/应揽收父订单量</w:t>
            </w:r>
          </w:p>
        </w:tc>
        <w:tc>
          <w:tcPr>
            <w:tcW w:w="979" w:type="dxa"/>
            <w:tcBorders>
              <w:top w:val="nil"/>
              <w:left w:val="nil"/>
              <w:bottom w:val="single" w:color="auto" w:sz="4" w:space="0"/>
              <w:right w:val="single" w:color="auto" w:sz="4" w:space="0"/>
            </w:tcBorders>
            <w:shd w:val="clear" w:color="auto" w:fill="auto"/>
            <w:vAlign w:val="center"/>
          </w:tcPr>
          <w:p w14:paraId="175D4EB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24小时揽收及时率99.9%</w:t>
            </w:r>
          </w:p>
        </w:tc>
        <w:tc>
          <w:tcPr>
            <w:tcW w:w="680" w:type="dxa"/>
            <w:tcBorders>
              <w:top w:val="nil"/>
              <w:left w:val="nil"/>
              <w:bottom w:val="single" w:color="auto" w:sz="4" w:space="0"/>
              <w:right w:val="single" w:color="auto" w:sz="4" w:space="0"/>
            </w:tcBorders>
            <w:shd w:val="clear" w:color="auto" w:fill="auto"/>
            <w:vAlign w:val="center"/>
          </w:tcPr>
          <w:p w14:paraId="71A25278">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7B42AD1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1、揽收及时率≥99.9%，得15分          2、98%≤揽收及时率≤99.9%，得10分     3、揽收及时率&lt;98%，得5分</w:t>
            </w:r>
          </w:p>
        </w:tc>
        <w:tc>
          <w:tcPr>
            <w:tcW w:w="680" w:type="dxa"/>
            <w:tcBorders>
              <w:top w:val="nil"/>
              <w:left w:val="nil"/>
              <w:bottom w:val="single" w:color="auto" w:sz="4" w:space="0"/>
              <w:right w:val="single" w:color="auto" w:sz="4" w:space="0"/>
            </w:tcBorders>
            <w:shd w:val="clear" w:color="auto" w:fill="auto"/>
            <w:vAlign w:val="center"/>
          </w:tcPr>
          <w:p w14:paraId="47F65F89">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1771C9E8">
        <w:tblPrEx>
          <w:tblCellMar>
            <w:top w:w="0" w:type="dxa"/>
            <w:left w:w="108" w:type="dxa"/>
            <w:bottom w:w="0" w:type="dxa"/>
            <w:right w:w="108" w:type="dxa"/>
          </w:tblCellMar>
        </w:tblPrEx>
        <w:trPr>
          <w:trHeight w:val="1155" w:hRule="atLeast"/>
        </w:trPr>
        <w:tc>
          <w:tcPr>
            <w:tcW w:w="830" w:type="dxa"/>
            <w:vMerge w:val="continue"/>
            <w:tcBorders>
              <w:top w:val="nil"/>
              <w:left w:val="single" w:color="auto" w:sz="4" w:space="0"/>
              <w:bottom w:val="single" w:color="auto" w:sz="4" w:space="0"/>
              <w:right w:val="single" w:color="auto" w:sz="4" w:space="0"/>
            </w:tcBorders>
            <w:vAlign w:val="center"/>
          </w:tcPr>
          <w:p w14:paraId="2E105F6F">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4529F89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2</w:t>
            </w:r>
          </w:p>
        </w:tc>
        <w:tc>
          <w:tcPr>
            <w:tcW w:w="680" w:type="dxa"/>
            <w:tcBorders>
              <w:top w:val="nil"/>
              <w:left w:val="nil"/>
              <w:bottom w:val="single" w:color="auto" w:sz="4" w:space="0"/>
              <w:right w:val="single" w:color="auto" w:sz="4" w:space="0"/>
            </w:tcBorders>
            <w:shd w:val="clear" w:color="auto" w:fill="auto"/>
            <w:vAlign w:val="center"/>
          </w:tcPr>
          <w:p w14:paraId="7631CB4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揽收后24小时更新率</w:t>
            </w:r>
          </w:p>
        </w:tc>
        <w:tc>
          <w:tcPr>
            <w:tcW w:w="680" w:type="dxa"/>
            <w:tcBorders>
              <w:top w:val="nil"/>
              <w:left w:val="nil"/>
              <w:bottom w:val="single" w:color="auto" w:sz="4" w:space="0"/>
              <w:right w:val="single" w:color="auto" w:sz="4" w:space="0"/>
            </w:tcBorders>
            <w:shd w:val="clear" w:color="auto" w:fill="auto"/>
            <w:vAlign w:val="center"/>
          </w:tcPr>
          <w:p w14:paraId="6F518078">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7%</w:t>
            </w:r>
          </w:p>
        </w:tc>
        <w:tc>
          <w:tcPr>
            <w:tcW w:w="2040" w:type="dxa"/>
            <w:tcBorders>
              <w:top w:val="single" w:color="auto" w:sz="4" w:space="0"/>
              <w:left w:val="nil"/>
              <w:bottom w:val="single" w:color="auto" w:sz="4" w:space="0"/>
              <w:right w:val="single" w:color="auto" w:sz="4" w:space="0"/>
            </w:tcBorders>
            <w:shd w:val="clear" w:color="auto" w:fill="auto"/>
            <w:vAlign w:val="bottom"/>
          </w:tcPr>
          <w:p w14:paraId="24BA75A7">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近30天(T-33～T-4)揽收后24小时内有下一物流节点更新的父订单量/已揽收的父订单量</w:t>
            </w:r>
          </w:p>
        </w:tc>
        <w:tc>
          <w:tcPr>
            <w:tcW w:w="979" w:type="dxa"/>
            <w:tcBorders>
              <w:top w:val="nil"/>
              <w:left w:val="nil"/>
              <w:bottom w:val="single" w:color="auto" w:sz="4" w:space="0"/>
              <w:right w:val="single" w:color="auto" w:sz="4" w:space="0"/>
            </w:tcBorders>
            <w:shd w:val="clear" w:color="auto" w:fill="auto"/>
            <w:noWrap/>
            <w:vAlign w:val="center"/>
          </w:tcPr>
          <w:p w14:paraId="20405D77">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auto" w:fill="auto"/>
            <w:vAlign w:val="center"/>
          </w:tcPr>
          <w:p w14:paraId="604E50E1">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3781BFD9">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1、揽收后24小时更新率≥行业平均，得7分；                                  2、、揽收后24小时更新率&lt;行业平均，得5分</w:t>
            </w:r>
          </w:p>
        </w:tc>
        <w:tc>
          <w:tcPr>
            <w:tcW w:w="680" w:type="dxa"/>
            <w:tcBorders>
              <w:top w:val="nil"/>
              <w:left w:val="nil"/>
              <w:bottom w:val="single" w:color="auto" w:sz="4" w:space="0"/>
              <w:right w:val="single" w:color="auto" w:sz="4" w:space="0"/>
            </w:tcBorders>
            <w:shd w:val="clear" w:color="auto" w:fill="auto"/>
            <w:vAlign w:val="center"/>
          </w:tcPr>
          <w:p w14:paraId="07A9C83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4F5997FE">
        <w:tblPrEx>
          <w:tblCellMar>
            <w:top w:w="0" w:type="dxa"/>
            <w:left w:w="108" w:type="dxa"/>
            <w:bottom w:w="0" w:type="dxa"/>
            <w:right w:w="108" w:type="dxa"/>
          </w:tblCellMar>
        </w:tblPrEx>
        <w:trPr>
          <w:trHeight w:val="810" w:hRule="atLeast"/>
        </w:trPr>
        <w:tc>
          <w:tcPr>
            <w:tcW w:w="830" w:type="dxa"/>
            <w:vMerge w:val="continue"/>
            <w:tcBorders>
              <w:top w:val="nil"/>
              <w:left w:val="single" w:color="auto" w:sz="4" w:space="0"/>
              <w:bottom w:val="single" w:color="auto" w:sz="4" w:space="0"/>
              <w:right w:val="single" w:color="auto" w:sz="4" w:space="0"/>
            </w:tcBorders>
            <w:vAlign w:val="center"/>
          </w:tcPr>
          <w:p w14:paraId="035B956A">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6B7FA599">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w:t>
            </w:r>
          </w:p>
        </w:tc>
        <w:tc>
          <w:tcPr>
            <w:tcW w:w="680" w:type="dxa"/>
            <w:tcBorders>
              <w:top w:val="nil"/>
              <w:left w:val="nil"/>
              <w:bottom w:val="single" w:color="auto" w:sz="4" w:space="0"/>
              <w:right w:val="single" w:color="auto" w:sz="4" w:space="0"/>
            </w:tcBorders>
            <w:shd w:val="clear" w:color="auto" w:fill="auto"/>
            <w:vAlign w:val="center"/>
          </w:tcPr>
          <w:p w14:paraId="1B00D13A">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线路实效达成率</w:t>
            </w:r>
          </w:p>
        </w:tc>
        <w:tc>
          <w:tcPr>
            <w:tcW w:w="680" w:type="dxa"/>
            <w:tcBorders>
              <w:top w:val="nil"/>
              <w:left w:val="nil"/>
              <w:bottom w:val="single" w:color="auto" w:sz="4" w:space="0"/>
              <w:right w:val="single" w:color="auto" w:sz="4" w:space="0"/>
            </w:tcBorders>
            <w:shd w:val="clear" w:color="auto" w:fill="auto"/>
            <w:vAlign w:val="center"/>
          </w:tcPr>
          <w:p w14:paraId="09674E41">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bottom"/>
          </w:tcPr>
          <w:p w14:paraId="5B31BF38">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近30天(T-39～T-10)支付后（货到付款订单则为下单时间）在时效标准内签收的订单量/支付且已签收父订单量</w:t>
            </w:r>
          </w:p>
        </w:tc>
        <w:tc>
          <w:tcPr>
            <w:tcW w:w="979" w:type="dxa"/>
            <w:tcBorders>
              <w:top w:val="nil"/>
              <w:left w:val="nil"/>
              <w:bottom w:val="single" w:color="auto" w:sz="4" w:space="0"/>
              <w:right w:val="single" w:color="auto" w:sz="4" w:space="0"/>
            </w:tcBorders>
            <w:shd w:val="clear" w:color="auto" w:fill="auto"/>
            <w:noWrap/>
            <w:vAlign w:val="center"/>
          </w:tcPr>
          <w:p w14:paraId="1E81BC9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auto" w:fill="auto"/>
            <w:vAlign w:val="center"/>
          </w:tcPr>
          <w:p w14:paraId="722D6A69">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535831C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1、线路实效达成率≥行业平均，得5分    2、线路实效达成率&lt;行业平均，得2分</w:t>
            </w:r>
          </w:p>
        </w:tc>
        <w:tc>
          <w:tcPr>
            <w:tcW w:w="680" w:type="dxa"/>
            <w:tcBorders>
              <w:top w:val="nil"/>
              <w:left w:val="nil"/>
              <w:bottom w:val="single" w:color="auto" w:sz="4" w:space="0"/>
              <w:right w:val="single" w:color="auto" w:sz="4" w:space="0"/>
            </w:tcBorders>
            <w:shd w:val="clear" w:color="auto" w:fill="auto"/>
            <w:vAlign w:val="center"/>
          </w:tcPr>
          <w:p w14:paraId="7979C3CD">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2C73A081">
        <w:tblPrEx>
          <w:tblCellMar>
            <w:top w:w="0" w:type="dxa"/>
            <w:left w:w="108" w:type="dxa"/>
            <w:bottom w:w="0" w:type="dxa"/>
            <w:right w:w="108" w:type="dxa"/>
          </w:tblCellMar>
        </w:tblPrEx>
        <w:trPr>
          <w:trHeight w:val="1095" w:hRule="atLeast"/>
        </w:trPr>
        <w:tc>
          <w:tcPr>
            <w:tcW w:w="830" w:type="dxa"/>
            <w:vMerge w:val="continue"/>
            <w:tcBorders>
              <w:top w:val="nil"/>
              <w:left w:val="single" w:color="auto" w:sz="4" w:space="0"/>
              <w:bottom w:val="single" w:color="auto" w:sz="4" w:space="0"/>
              <w:right w:val="single" w:color="auto" w:sz="4" w:space="0"/>
            </w:tcBorders>
            <w:vAlign w:val="center"/>
          </w:tcPr>
          <w:p w14:paraId="3B28C351">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25D9BE5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4</w:t>
            </w:r>
          </w:p>
        </w:tc>
        <w:tc>
          <w:tcPr>
            <w:tcW w:w="680" w:type="dxa"/>
            <w:tcBorders>
              <w:top w:val="nil"/>
              <w:left w:val="nil"/>
              <w:bottom w:val="single" w:color="auto" w:sz="4" w:space="0"/>
              <w:right w:val="single" w:color="auto" w:sz="4" w:space="0"/>
            </w:tcBorders>
            <w:shd w:val="clear" w:color="auto" w:fill="auto"/>
            <w:vAlign w:val="center"/>
          </w:tcPr>
          <w:p w14:paraId="2D66CC45">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支付-揽收平均时长</w:t>
            </w:r>
          </w:p>
        </w:tc>
        <w:tc>
          <w:tcPr>
            <w:tcW w:w="680" w:type="dxa"/>
            <w:tcBorders>
              <w:top w:val="nil"/>
              <w:left w:val="nil"/>
              <w:bottom w:val="single" w:color="auto" w:sz="4" w:space="0"/>
              <w:right w:val="single" w:color="auto" w:sz="4" w:space="0"/>
            </w:tcBorders>
            <w:shd w:val="clear" w:color="auto" w:fill="auto"/>
            <w:vAlign w:val="center"/>
          </w:tcPr>
          <w:p w14:paraId="5BB7384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3%</w:t>
            </w:r>
          </w:p>
        </w:tc>
        <w:tc>
          <w:tcPr>
            <w:tcW w:w="2040" w:type="dxa"/>
            <w:tcBorders>
              <w:top w:val="single" w:color="auto" w:sz="4" w:space="0"/>
              <w:left w:val="nil"/>
              <w:bottom w:val="single" w:color="auto" w:sz="4" w:space="0"/>
              <w:right w:val="single" w:color="auto" w:sz="4" w:space="0"/>
            </w:tcBorders>
            <w:shd w:val="clear" w:color="auto" w:fill="auto"/>
            <w:vAlign w:val="bottom"/>
          </w:tcPr>
          <w:p w14:paraId="1EF7B585">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近30天(T-39～T-10)支付（货到付款订单则为下单时间）且签收成功的订单，支付到揽收总时长/ 支付且已签收父订单量</w:t>
            </w:r>
          </w:p>
        </w:tc>
        <w:tc>
          <w:tcPr>
            <w:tcW w:w="979" w:type="dxa"/>
            <w:tcBorders>
              <w:top w:val="nil"/>
              <w:left w:val="nil"/>
              <w:bottom w:val="single" w:color="auto" w:sz="4" w:space="0"/>
              <w:right w:val="single" w:color="auto" w:sz="4" w:space="0"/>
            </w:tcBorders>
            <w:shd w:val="clear" w:color="auto" w:fill="auto"/>
            <w:noWrap/>
            <w:vAlign w:val="center"/>
          </w:tcPr>
          <w:p w14:paraId="1FFB771A">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auto" w:fill="auto"/>
            <w:vAlign w:val="center"/>
          </w:tcPr>
          <w:p w14:paraId="0D14D46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732415A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1、支付-揽收平均时长≥行业平均，得3分；                                  2、支付-揽收平均时长&lt;行业平均，得1分；</w:t>
            </w:r>
          </w:p>
        </w:tc>
        <w:tc>
          <w:tcPr>
            <w:tcW w:w="680" w:type="dxa"/>
            <w:tcBorders>
              <w:top w:val="nil"/>
              <w:left w:val="nil"/>
              <w:bottom w:val="single" w:color="auto" w:sz="4" w:space="0"/>
              <w:right w:val="single" w:color="auto" w:sz="4" w:space="0"/>
            </w:tcBorders>
            <w:shd w:val="clear" w:color="auto" w:fill="auto"/>
            <w:vAlign w:val="center"/>
          </w:tcPr>
          <w:p w14:paraId="4A5EA884">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1DF83043">
        <w:tblPrEx>
          <w:tblCellMar>
            <w:top w:w="0" w:type="dxa"/>
            <w:left w:w="108" w:type="dxa"/>
            <w:bottom w:w="0" w:type="dxa"/>
            <w:right w:w="108" w:type="dxa"/>
          </w:tblCellMar>
        </w:tblPrEx>
        <w:trPr>
          <w:trHeight w:val="705" w:hRule="atLeast"/>
        </w:trPr>
        <w:tc>
          <w:tcPr>
            <w:tcW w:w="830" w:type="dxa"/>
            <w:vMerge w:val="restart"/>
            <w:tcBorders>
              <w:top w:val="nil"/>
              <w:left w:val="single" w:color="auto" w:sz="4" w:space="0"/>
              <w:bottom w:val="single" w:color="auto" w:sz="4" w:space="0"/>
              <w:right w:val="single" w:color="auto" w:sz="4" w:space="0"/>
            </w:tcBorders>
            <w:shd w:val="clear" w:color="auto" w:fill="auto"/>
            <w:vAlign w:val="center"/>
          </w:tcPr>
          <w:p w14:paraId="6AE13274">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客户体验</w:t>
            </w:r>
          </w:p>
        </w:tc>
        <w:tc>
          <w:tcPr>
            <w:tcW w:w="680" w:type="dxa"/>
            <w:tcBorders>
              <w:top w:val="nil"/>
              <w:left w:val="nil"/>
              <w:bottom w:val="single" w:color="auto" w:sz="4" w:space="0"/>
              <w:right w:val="single" w:color="auto" w:sz="4" w:space="0"/>
            </w:tcBorders>
            <w:shd w:val="clear" w:color="000000" w:fill="FFFFFF"/>
            <w:vAlign w:val="center"/>
          </w:tcPr>
          <w:p w14:paraId="5C5971D1">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680" w:type="dxa"/>
            <w:tcBorders>
              <w:top w:val="nil"/>
              <w:left w:val="nil"/>
              <w:bottom w:val="single" w:color="auto" w:sz="4" w:space="0"/>
              <w:right w:val="single" w:color="auto" w:sz="4" w:space="0"/>
            </w:tcBorders>
            <w:shd w:val="clear" w:color="auto" w:fill="auto"/>
            <w:vAlign w:val="center"/>
          </w:tcPr>
          <w:p w14:paraId="6E704B7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物流DSR</w:t>
            </w:r>
          </w:p>
        </w:tc>
        <w:tc>
          <w:tcPr>
            <w:tcW w:w="680" w:type="dxa"/>
            <w:tcBorders>
              <w:top w:val="nil"/>
              <w:left w:val="nil"/>
              <w:bottom w:val="single" w:color="auto" w:sz="4" w:space="0"/>
              <w:right w:val="single" w:color="auto" w:sz="4" w:space="0"/>
            </w:tcBorders>
            <w:shd w:val="clear" w:color="auto" w:fill="auto"/>
            <w:vAlign w:val="center"/>
          </w:tcPr>
          <w:p w14:paraId="650D288B">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w:t>
            </w:r>
          </w:p>
        </w:tc>
        <w:tc>
          <w:tcPr>
            <w:tcW w:w="2040" w:type="dxa"/>
            <w:tcBorders>
              <w:top w:val="single" w:color="auto" w:sz="4" w:space="0"/>
              <w:left w:val="nil"/>
              <w:bottom w:val="single" w:color="auto" w:sz="4" w:space="0"/>
              <w:right w:val="single" w:color="auto" w:sz="4" w:space="0"/>
            </w:tcBorders>
            <w:shd w:val="clear" w:color="auto" w:fill="auto"/>
            <w:vAlign w:val="center"/>
          </w:tcPr>
          <w:p w14:paraId="44D93B6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近30天(T-30～T-1)物流服务被评价的总星数/物流服务被评价次数</w:t>
            </w:r>
          </w:p>
        </w:tc>
        <w:tc>
          <w:tcPr>
            <w:tcW w:w="979" w:type="dxa"/>
            <w:tcBorders>
              <w:top w:val="nil"/>
              <w:left w:val="nil"/>
              <w:bottom w:val="single" w:color="auto" w:sz="4" w:space="0"/>
              <w:right w:val="single" w:color="auto" w:sz="4" w:space="0"/>
            </w:tcBorders>
            <w:shd w:val="clear" w:color="auto" w:fill="auto"/>
            <w:noWrap/>
            <w:vAlign w:val="center"/>
          </w:tcPr>
          <w:p w14:paraId="5CC9CA1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000000" w:fill="FFFFFF"/>
            <w:vAlign w:val="center"/>
          </w:tcPr>
          <w:p w14:paraId="445BD4F6">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000000" w:fill="FFFFFF"/>
            <w:vAlign w:val="center"/>
          </w:tcPr>
          <w:p w14:paraId="1205C91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1、物流DSR≥行业平均，得10分           2、物流DSR&lt;行业平均，得5分</w:t>
            </w:r>
          </w:p>
        </w:tc>
        <w:tc>
          <w:tcPr>
            <w:tcW w:w="680" w:type="dxa"/>
            <w:tcBorders>
              <w:top w:val="nil"/>
              <w:left w:val="nil"/>
              <w:bottom w:val="single" w:color="auto" w:sz="4" w:space="0"/>
              <w:right w:val="single" w:color="auto" w:sz="4" w:space="0"/>
            </w:tcBorders>
            <w:shd w:val="clear" w:color="auto" w:fill="auto"/>
            <w:vAlign w:val="center"/>
          </w:tcPr>
          <w:p w14:paraId="02FF7A0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31EF7251">
        <w:tblPrEx>
          <w:tblCellMar>
            <w:top w:w="0" w:type="dxa"/>
            <w:left w:w="108" w:type="dxa"/>
            <w:bottom w:w="0" w:type="dxa"/>
            <w:right w:w="108" w:type="dxa"/>
          </w:tblCellMar>
        </w:tblPrEx>
        <w:trPr>
          <w:trHeight w:val="1170" w:hRule="atLeast"/>
        </w:trPr>
        <w:tc>
          <w:tcPr>
            <w:tcW w:w="830" w:type="dxa"/>
            <w:vMerge w:val="continue"/>
            <w:tcBorders>
              <w:top w:val="nil"/>
              <w:left w:val="single" w:color="auto" w:sz="4" w:space="0"/>
              <w:bottom w:val="single" w:color="auto" w:sz="4" w:space="0"/>
              <w:right w:val="single" w:color="auto" w:sz="4" w:space="0"/>
            </w:tcBorders>
            <w:vAlign w:val="center"/>
          </w:tcPr>
          <w:p w14:paraId="55604126">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68B0323B">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6</w:t>
            </w:r>
          </w:p>
        </w:tc>
        <w:tc>
          <w:tcPr>
            <w:tcW w:w="680" w:type="dxa"/>
            <w:tcBorders>
              <w:top w:val="nil"/>
              <w:left w:val="nil"/>
              <w:bottom w:val="single" w:color="auto" w:sz="4" w:space="0"/>
              <w:right w:val="single" w:color="auto" w:sz="4" w:space="0"/>
            </w:tcBorders>
            <w:shd w:val="clear" w:color="auto" w:fill="auto"/>
            <w:vAlign w:val="center"/>
          </w:tcPr>
          <w:p w14:paraId="4A84030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物流差评率</w:t>
            </w:r>
          </w:p>
        </w:tc>
        <w:tc>
          <w:tcPr>
            <w:tcW w:w="680" w:type="dxa"/>
            <w:tcBorders>
              <w:top w:val="nil"/>
              <w:left w:val="nil"/>
              <w:bottom w:val="single" w:color="auto" w:sz="4" w:space="0"/>
              <w:right w:val="single" w:color="auto" w:sz="4" w:space="0"/>
            </w:tcBorders>
            <w:shd w:val="clear" w:color="auto" w:fill="auto"/>
            <w:vAlign w:val="center"/>
          </w:tcPr>
          <w:p w14:paraId="4576396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w:t>
            </w:r>
          </w:p>
        </w:tc>
        <w:tc>
          <w:tcPr>
            <w:tcW w:w="2040" w:type="dxa"/>
            <w:tcBorders>
              <w:top w:val="single" w:color="auto" w:sz="4" w:space="0"/>
              <w:left w:val="nil"/>
              <w:bottom w:val="single" w:color="auto" w:sz="4" w:space="0"/>
              <w:right w:val="single" w:color="auto" w:sz="4" w:space="0"/>
            </w:tcBorders>
            <w:shd w:val="clear" w:color="auto" w:fill="auto"/>
            <w:vAlign w:val="center"/>
          </w:tcPr>
          <w:p w14:paraId="638608C6">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近30天(T-30～T-1)物流文本差评的总数/物流文本相关评价总数</w:t>
            </w:r>
          </w:p>
        </w:tc>
        <w:tc>
          <w:tcPr>
            <w:tcW w:w="979" w:type="dxa"/>
            <w:tcBorders>
              <w:top w:val="nil"/>
              <w:left w:val="nil"/>
              <w:bottom w:val="single" w:color="auto" w:sz="4" w:space="0"/>
              <w:right w:val="single" w:color="auto" w:sz="4" w:space="0"/>
            </w:tcBorders>
            <w:shd w:val="clear" w:color="auto" w:fill="auto"/>
            <w:vAlign w:val="center"/>
          </w:tcPr>
          <w:p w14:paraId="280B8FA3">
            <w:pPr>
              <w:jc w:val="center"/>
              <w:rPr>
                <w:rFonts w:ascii="微软雅黑" w:hAnsi="微软雅黑" w:eastAsia="微软雅黑" w:cs="宋体"/>
                <w:color w:val="000000" w:themeColor="text1"/>
                <w:sz w:val="21"/>
                <w:szCs w:val="21"/>
                <w14:textFill>
                  <w14:solidFill>
                    <w14:schemeClr w14:val="tx1"/>
                  </w14:solidFill>
                </w14:textFill>
              </w:rPr>
            </w:pPr>
            <w:r>
              <w:rPr>
                <w:rFonts w:hint="eastAsia" w:ascii="微软雅黑" w:hAnsi="微软雅黑" w:eastAsia="微软雅黑" w:cs="宋体"/>
                <w:color w:val="000000" w:themeColor="text1"/>
                <w:sz w:val="21"/>
                <w:szCs w:val="21"/>
                <w14:textFill>
                  <w14:solidFill>
                    <w14:schemeClr w14:val="tx1"/>
                  </w14:solidFill>
                </w14:textFill>
              </w:rPr>
              <w:t>行业平均</w:t>
            </w:r>
          </w:p>
        </w:tc>
        <w:tc>
          <w:tcPr>
            <w:tcW w:w="680" w:type="dxa"/>
            <w:tcBorders>
              <w:top w:val="nil"/>
              <w:left w:val="nil"/>
              <w:bottom w:val="single" w:color="auto" w:sz="4" w:space="0"/>
              <w:right w:val="single" w:color="auto" w:sz="4" w:space="0"/>
            </w:tcBorders>
            <w:shd w:val="clear" w:color="auto" w:fill="auto"/>
            <w:vAlign w:val="center"/>
          </w:tcPr>
          <w:p w14:paraId="5E9235C8">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2A26242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1、物流差评率≥2.75%，得15分          2、5%≤物流差评率≤行业平均，得10分；                                  3、物流差评率&lt;5%，得0分</w:t>
            </w:r>
          </w:p>
        </w:tc>
        <w:tc>
          <w:tcPr>
            <w:tcW w:w="680" w:type="dxa"/>
            <w:tcBorders>
              <w:top w:val="nil"/>
              <w:left w:val="nil"/>
              <w:bottom w:val="single" w:color="auto" w:sz="4" w:space="0"/>
              <w:right w:val="single" w:color="auto" w:sz="4" w:space="0"/>
            </w:tcBorders>
            <w:shd w:val="clear" w:color="auto" w:fill="auto"/>
            <w:vAlign w:val="center"/>
          </w:tcPr>
          <w:p w14:paraId="1444E41A">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02CC0414">
        <w:tblPrEx>
          <w:tblCellMar>
            <w:top w:w="0" w:type="dxa"/>
            <w:left w:w="108" w:type="dxa"/>
            <w:bottom w:w="0" w:type="dxa"/>
            <w:right w:w="108" w:type="dxa"/>
          </w:tblCellMar>
        </w:tblPrEx>
        <w:trPr>
          <w:trHeight w:val="1200" w:hRule="atLeast"/>
        </w:trPr>
        <w:tc>
          <w:tcPr>
            <w:tcW w:w="830" w:type="dxa"/>
            <w:vMerge w:val="continue"/>
            <w:tcBorders>
              <w:top w:val="nil"/>
              <w:left w:val="single" w:color="auto" w:sz="4" w:space="0"/>
              <w:bottom w:val="single" w:color="auto" w:sz="4" w:space="0"/>
              <w:right w:val="single" w:color="auto" w:sz="4" w:space="0"/>
            </w:tcBorders>
            <w:vAlign w:val="center"/>
          </w:tcPr>
          <w:p w14:paraId="4A016218">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321D164D">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7</w:t>
            </w:r>
          </w:p>
        </w:tc>
        <w:tc>
          <w:tcPr>
            <w:tcW w:w="680" w:type="dxa"/>
            <w:tcBorders>
              <w:top w:val="nil"/>
              <w:left w:val="nil"/>
              <w:bottom w:val="single" w:color="auto" w:sz="4" w:space="0"/>
              <w:right w:val="single" w:color="auto" w:sz="4" w:space="0"/>
            </w:tcBorders>
            <w:shd w:val="clear" w:color="auto" w:fill="auto"/>
            <w:vAlign w:val="center"/>
          </w:tcPr>
          <w:p w14:paraId="20ED4AD0">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物流原因退货退款率</w:t>
            </w:r>
          </w:p>
        </w:tc>
        <w:tc>
          <w:tcPr>
            <w:tcW w:w="680" w:type="dxa"/>
            <w:tcBorders>
              <w:top w:val="nil"/>
              <w:left w:val="nil"/>
              <w:bottom w:val="single" w:color="auto" w:sz="4" w:space="0"/>
              <w:right w:val="single" w:color="auto" w:sz="4" w:space="0"/>
            </w:tcBorders>
            <w:shd w:val="clear" w:color="auto" w:fill="auto"/>
            <w:vAlign w:val="center"/>
          </w:tcPr>
          <w:p w14:paraId="4A5BC1F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center"/>
          </w:tcPr>
          <w:p w14:paraId="3D2BECC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近30天(T-30～T-1)物流原因退款量/物流发货父订单量</w:t>
            </w:r>
          </w:p>
        </w:tc>
        <w:tc>
          <w:tcPr>
            <w:tcW w:w="979" w:type="dxa"/>
            <w:tcBorders>
              <w:top w:val="nil"/>
              <w:left w:val="nil"/>
              <w:bottom w:val="single" w:color="auto" w:sz="4" w:space="0"/>
              <w:right w:val="single" w:color="auto" w:sz="4" w:space="0"/>
            </w:tcBorders>
            <w:shd w:val="clear" w:color="auto" w:fill="auto"/>
            <w:noWrap/>
            <w:vAlign w:val="center"/>
          </w:tcPr>
          <w:p w14:paraId="5926766A">
            <w:pPr>
              <w:jc w:val="center"/>
              <w:rPr>
                <w:rFonts w:ascii="微软雅黑" w:hAnsi="微软雅黑" w:eastAsia="微软雅黑" w:cs="宋体"/>
                <w:color w:val="000000" w:themeColor="text1"/>
                <w:sz w:val="21"/>
                <w:szCs w:val="21"/>
                <w14:textFill>
                  <w14:solidFill>
                    <w14:schemeClr w14:val="tx1"/>
                  </w14:solidFill>
                </w14:textFill>
              </w:rPr>
            </w:pPr>
            <w:r>
              <w:rPr>
                <w:rFonts w:hint="eastAsia" w:ascii="微软雅黑" w:hAnsi="微软雅黑" w:eastAsia="微软雅黑" w:cs="宋体"/>
                <w:color w:val="000000" w:themeColor="text1"/>
                <w:sz w:val="21"/>
                <w:szCs w:val="21"/>
                <w14:textFill>
                  <w14:solidFill>
                    <w14:schemeClr w14:val="tx1"/>
                  </w14:solidFill>
                </w14:textFill>
              </w:rPr>
              <w:t>&lt;0.01%</w:t>
            </w:r>
          </w:p>
        </w:tc>
        <w:tc>
          <w:tcPr>
            <w:tcW w:w="680" w:type="dxa"/>
            <w:tcBorders>
              <w:top w:val="nil"/>
              <w:left w:val="nil"/>
              <w:bottom w:val="single" w:color="auto" w:sz="4" w:space="0"/>
              <w:right w:val="single" w:color="auto" w:sz="4" w:space="0"/>
            </w:tcBorders>
            <w:shd w:val="clear" w:color="auto" w:fill="auto"/>
            <w:vAlign w:val="center"/>
          </w:tcPr>
          <w:p w14:paraId="3399933B">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25B2064B">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1、物流原因退款率≤0.01%，得5分       2、0.03%≤物流原因退款率≤0.01%，得3分；                                  3、物流原因退款率&gt;0.03%，得0分</w:t>
            </w:r>
          </w:p>
        </w:tc>
        <w:tc>
          <w:tcPr>
            <w:tcW w:w="680" w:type="dxa"/>
            <w:tcBorders>
              <w:top w:val="nil"/>
              <w:left w:val="nil"/>
              <w:bottom w:val="single" w:color="auto" w:sz="4" w:space="0"/>
              <w:right w:val="single" w:color="auto" w:sz="4" w:space="0"/>
            </w:tcBorders>
            <w:shd w:val="clear" w:color="auto" w:fill="auto"/>
            <w:vAlign w:val="center"/>
          </w:tcPr>
          <w:p w14:paraId="39A82624">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3B8A4AA7">
        <w:tblPrEx>
          <w:tblCellMar>
            <w:top w:w="0" w:type="dxa"/>
            <w:left w:w="108" w:type="dxa"/>
            <w:bottom w:w="0" w:type="dxa"/>
            <w:right w:w="108" w:type="dxa"/>
          </w:tblCellMar>
        </w:tblPrEx>
        <w:trPr>
          <w:trHeight w:val="915" w:hRule="atLeast"/>
        </w:trPr>
        <w:tc>
          <w:tcPr>
            <w:tcW w:w="830" w:type="dxa"/>
            <w:vMerge w:val="restart"/>
            <w:tcBorders>
              <w:top w:val="nil"/>
              <w:left w:val="single" w:color="auto" w:sz="4" w:space="0"/>
              <w:bottom w:val="single" w:color="auto" w:sz="4" w:space="0"/>
              <w:right w:val="single" w:color="auto" w:sz="4" w:space="0"/>
            </w:tcBorders>
            <w:shd w:val="clear" w:color="auto" w:fill="auto"/>
            <w:vAlign w:val="center"/>
          </w:tcPr>
          <w:p w14:paraId="67C5344D">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日常运营</w:t>
            </w:r>
          </w:p>
        </w:tc>
        <w:tc>
          <w:tcPr>
            <w:tcW w:w="680" w:type="dxa"/>
            <w:tcBorders>
              <w:top w:val="nil"/>
              <w:left w:val="nil"/>
              <w:bottom w:val="single" w:color="auto" w:sz="4" w:space="0"/>
              <w:right w:val="single" w:color="auto" w:sz="4" w:space="0"/>
            </w:tcBorders>
            <w:shd w:val="clear" w:color="auto" w:fill="auto"/>
            <w:vAlign w:val="center"/>
          </w:tcPr>
          <w:p w14:paraId="1374614B">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8</w:t>
            </w:r>
          </w:p>
        </w:tc>
        <w:tc>
          <w:tcPr>
            <w:tcW w:w="680" w:type="dxa"/>
            <w:tcBorders>
              <w:top w:val="nil"/>
              <w:left w:val="nil"/>
              <w:bottom w:val="single" w:color="auto" w:sz="4" w:space="0"/>
              <w:right w:val="single" w:color="auto" w:sz="4" w:space="0"/>
            </w:tcBorders>
            <w:shd w:val="clear" w:color="auto" w:fill="auto"/>
            <w:vAlign w:val="center"/>
          </w:tcPr>
          <w:p w14:paraId="72C53344">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入库</w:t>
            </w:r>
          </w:p>
        </w:tc>
        <w:tc>
          <w:tcPr>
            <w:tcW w:w="680" w:type="dxa"/>
            <w:tcBorders>
              <w:top w:val="nil"/>
              <w:left w:val="nil"/>
              <w:bottom w:val="single" w:color="auto" w:sz="4" w:space="0"/>
              <w:right w:val="single" w:color="auto" w:sz="4" w:space="0"/>
            </w:tcBorders>
            <w:shd w:val="clear" w:color="auto" w:fill="auto"/>
            <w:vAlign w:val="center"/>
          </w:tcPr>
          <w:p w14:paraId="124C9A5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center"/>
          </w:tcPr>
          <w:p w14:paraId="1FC8A40A">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收货入库完成天数</w:t>
            </w:r>
          </w:p>
        </w:tc>
        <w:tc>
          <w:tcPr>
            <w:tcW w:w="979" w:type="dxa"/>
            <w:tcBorders>
              <w:top w:val="nil"/>
              <w:left w:val="nil"/>
              <w:bottom w:val="single" w:color="auto" w:sz="4" w:space="0"/>
              <w:right w:val="single" w:color="auto" w:sz="4" w:space="0"/>
            </w:tcBorders>
            <w:shd w:val="clear" w:color="auto" w:fill="auto"/>
            <w:vAlign w:val="center"/>
          </w:tcPr>
          <w:p w14:paraId="6F49D737">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w:t>
            </w:r>
          </w:p>
        </w:tc>
        <w:tc>
          <w:tcPr>
            <w:tcW w:w="680" w:type="dxa"/>
            <w:tcBorders>
              <w:top w:val="nil"/>
              <w:left w:val="nil"/>
              <w:bottom w:val="single" w:color="auto" w:sz="4" w:space="0"/>
              <w:right w:val="single" w:color="auto" w:sz="4" w:space="0"/>
            </w:tcBorders>
            <w:shd w:val="clear" w:color="auto" w:fill="auto"/>
            <w:vAlign w:val="center"/>
          </w:tcPr>
          <w:p w14:paraId="7ED25309">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65C87C6C">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1、入库天数≤1，得5分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2、1&lt;入库天数&lt;2，得3分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3、入库天数≥2，得1分</w:t>
            </w:r>
          </w:p>
        </w:tc>
        <w:tc>
          <w:tcPr>
            <w:tcW w:w="680" w:type="dxa"/>
            <w:tcBorders>
              <w:top w:val="nil"/>
              <w:left w:val="nil"/>
              <w:bottom w:val="single" w:color="auto" w:sz="4" w:space="0"/>
              <w:right w:val="single" w:color="auto" w:sz="4" w:space="0"/>
            </w:tcBorders>
            <w:shd w:val="clear" w:color="auto" w:fill="auto"/>
            <w:vAlign w:val="center"/>
          </w:tcPr>
          <w:p w14:paraId="575A3AB0">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电商运营</w:t>
            </w:r>
          </w:p>
        </w:tc>
      </w:tr>
      <w:tr w14:paraId="75F43B9D">
        <w:tblPrEx>
          <w:tblCellMar>
            <w:top w:w="0" w:type="dxa"/>
            <w:left w:w="108" w:type="dxa"/>
            <w:bottom w:w="0" w:type="dxa"/>
            <w:right w:w="108" w:type="dxa"/>
          </w:tblCellMar>
        </w:tblPrEx>
        <w:trPr>
          <w:trHeight w:val="1155" w:hRule="atLeast"/>
        </w:trPr>
        <w:tc>
          <w:tcPr>
            <w:tcW w:w="830" w:type="dxa"/>
            <w:vMerge w:val="continue"/>
            <w:tcBorders>
              <w:top w:val="nil"/>
              <w:left w:val="single" w:color="auto" w:sz="4" w:space="0"/>
              <w:bottom w:val="single" w:color="auto" w:sz="4" w:space="0"/>
              <w:right w:val="single" w:color="auto" w:sz="4" w:space="0"/>
            </w:tcBorders>
            <w:vAlign w:val="center"/>
          </w:tcPr>
          <w:p w14:paraId="435EC4E8">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25B4C2C3">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9</w:t>
            </w:r>
          </w:p>
        </w:tc>
        <w:tc>
          <w:tcPr>
            <w:tcW w:w="680" w:type="dxa"/>
            <w:tcBorders>
              <w:top w:val="nil"/>
              <w:left w:val="nil"/>
              <w:bottom w:val="single" w:color="auto" w:sz="4" w:space="0"/>
              <w:right w:val="single" w:color="auto" w:sz="4" w:space="0"/>
            </w:tcBorders>
            <w:shd w:val="clear" w:color="auto" w:fill="auto"/>
            <w:vAlign w:val="center"/>
          </w:tcPr>
          <w:p w14:paraId="22A07B73">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退货处理</w:t>
            </w:r>
          </w:p>
        </w:tc>
        <w:tc>
          <w:tcPr>
            <w:tcW w:w="680" w:type="dxa"/>
            <w:tcBorders>
              <w:top w:val="nil"/>
              <w:left w:val="nil"/>
              <w:bottom w:val="single" w:color="auto" w:sz="4" w:space="0"/>
              <w:right w:val="single" w:color="auto" w:sz="4" w:space="0"/>
            </w:tcBorders>
            <w:shd w:val="clear" w:color="auto" w:fill="auto"/>
            <w:vAlign w:val="center"/>
          </w:tcPr>
          <w:p w14:paraId="01AC9EA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w:t>
            </w:r>
          </w:p>
        </w:tc>
        <w:tc>
          <w:tcPr>
            <w:tcW w:w="2040" w:type="dxa"/>
            <w:tcBorders>
              <w:top w:val="single" w:color="auto" w:sz="4" w:space="0"/>
              <w:left w:val="nil"/>
              <w:bottom w:val="single" w:color="auto" w:sz="4" w:space="0"/>
              <w:right w:val="single" w:color="auto" w:sz="4" w:space="0"/>
            </w:tcBorders>
            <w:shd w:val="clear" w:color="auto" w:fill="auto"/>
            <w:vAlign w:val="center"/>
          </w:tcPr>
          <w:p w14:paraId="564E54A3">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当日退货处理率=当日物流退货数量/当日已处理退货数量（订单数）。当月退货处理率取一个月每日退货处理率的平均值。（24小时内完成退货审核入库）</w:t>
            </w:r>
          </w:p>
        </w:tc>
        <w:tc>
          <w:tcPr>
            <w:tcW w:w="979" w:type="dxa"/>
            <w:tcBorders>
              <w:top w:val="nil"/>
              <w:left w:val="nil"/>
              <w:bottom w:val="single" w:color="auto" w:sz="4" w:space="0"/>
              <w:right w:val="single" w:color="auto" w:sz="4" w:space="0"/>
            </w:tcBorders>
            <w:shd w:val="clear" w:color="auto" w:fill="auto"/>
            <w:vAlign w:val="center"/>
          </w:tcPr>
          <w:p w14:paraId="1611DC5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680" w:type="dxa"/>
            <w:tcBorders>
              <w:top w:val="nil"/>
              <w:left w:val="nil"/>
              <w:bottom w:val="single" w:color="auto" w:sz="4" w:space="0"/>
              <w:right w:val="single" w:color="auto" w:sz="4" w:space="0"/>
            </w:tcBorders>
            <w:shd w:val="clear" w:color="auto" w:fill="auto"/>
            <w:vAlign w:val="center"/>
          </w:tcPr>
          <w:p w14:paraId="463FC2E3">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172455E9">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1、退货处理率=100%得10分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2、97%≤退货处理率&lt;100%得8分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3、90%≤退货处理率&lt;97%得6分</w:t>
            </w:r>
          </w:p>
        </w:tc>
        <w:tc>
          <w:tcPr>
            <w:tcW w:w="680" w:type="dxa"/>
            <w:tcBorders>
              <w:top w:val="nil"/>
              <w:left w:val="nil"/>
              <w:bottom w:val="single" w:color="auto" w:sz="4" w:space="0"/>
              <w:right w:val="single" w:color="auto" w:sz="4" w:space="0"/>
            </w:tcBorders>
            <w:shd w:val="clear" w:color="auto" w:fill="auto"/>
            <w:vAlign w:val="center"/>
          </w:tcPr>
          <w:p w14:paraId="68007E25">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电商客服</w:t>
            </w:r>
          </w:p>
        </w:tc>
      </w:tr>
      <w:tr w14:paraId="0F5B0E95">
        <w:tblPrEx>
          <w:tblCellMar>
            <w:top w:w="0" w:type="dxa"/>
            <w:left w:w="108" w:type="dxa"/>
            <w:bottom w:w="0" w:type="dxa"/>
            <w:right w:w="108" w:type="dxa"/>
          </w:tblCellMar>
        </w:tblPrEx>
        <w:trPr>
          <w:trHeight w:val="870" w:hRule="atLeast"/>
        </w:trPr>
        <w:tc>
          <w:tcPr>
            <w:tcW w:w="830" w:type="dxa"/>
            <w:vMerge w:val="continue"/>
            <w:tcBorders>
              <w:top w:val="nil"/>
              <w:left w:val="single" w:color="auto" w:sz="4" w:space="0"/>
              <w:bottom w:val="single" w:color="auto" w:sz="4" w:space="0"/>
              <w:right w:val="single" w:color="auto" w:sz="4" w:space="0"/>
            </w:tcBorders>
            <w:vAlign w:val="center"/>
          </w:tcPr>
          <w:p w14:paraId="359FDEA3">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512CDC9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w:t>
            </w:r>
          </w:p>
        </w:tc>
        <w:tc>
          <w:tcPr>
            <w:tcW w:w="680" w:type="dxa"/>
            <w:tcBorders>
              <w:top w:val="nil"/>
              <w:left w:val="nil"/>
              <w:bottom w:val="single" w:color="auto" w:sz="4" w:space="0"/>
              <w:right w:val="single" w:color="auto" w:sz="4" w:space="0"/>
            </w:tcBorders>
            <w:shd w:val="clear" w:color="auto" w:fill="auto"/>
            <w:vAlign w:val="center"/>
          </w:tcPr>
          <w:p w14:paraId="4116A036">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错发率</w:t>
            </w:r>
          </w:p>
        </w:tc>
        <w:tc>
          <w:tcPr>
            <w:tcW w:w="680" w:type="dxa"/>
            <w:tcBorders>
              <w:top w:val="nil"/>
              <w:left w:val="nil"/>
              <w:bottom w:val="single" w:color="auto" w:sz="4" w:space="0"/>
              <w:right w:val="single" w:color="auto" w:sz="4" w:space="0"/>
            </w:tcBorders>
            <w:shd w:val="clear" w:color="auto" w:fill="auto"/>
            <w:vAlign w:val="center"/>
          </w:tcPr>
          <w:p w14:paraId="1C0D02E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15%</w:t>
            </w:r>
          </w:p>
        </w:tc>
        <w:tc>
          <w:tcPr>
            <w:tcW w:w="2040" w:type="dxa"/>
            <w:tcBorders>
              <w:top w:val="single" w:color="auto" w:sz="4" w:space="0"/>
              <w:left w:val="nil"/>
              <w:bottom w:val="single" w:color="auto" w:sz="4" w:space="0"/>
              <w:right w:val="single" w:color="auto" w:sz="4" w:space="0"/>
            </w:tcBorders>
            <w:shd w:val="clear" w:color="auto" w:fill="auto"/>
            <w:vAlign w:val="center"/>
          </w:tcPr>
          <w:p w14:paraId="3A35E044">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电商发货错误率，一个月之内错发漏发单数/总单数*100%。</w:t>
            </w:r>
          </w:p>
        </w:tc>
        <w:tc>
          <w:tcPr>
            <w:tcW w:w="979" w:type="dxa"/>
            <w:tcBorders>
              <w:top w:val="nil"/>
              <w:left w:val="nil"/>
              <w:bottom w:val="single" w:color="auto" w:sz="4" w:space="0"/>
              <w:right w:val="single" w:color="auto" w:sz="4" w:space="0"/>
            </w:tcBorders>
            <w:shd w:val="clear" w:color="auto" w:fill="auto"/>
            <w:vAlign w:val="center"/>
          </w:tcPr>
          <w:p w14:paraId="3FE963F3">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&lt;=1‰</w:t>
            </w:r>
          </w:p>
        </w:tc>
        <w:tc>
          <w:tcPr>
            <w:tcW w:w="680" w:type="dxa"/>
            <w:tcBorders>
              <w:top w:val="nil"/>
              <w:left w:val="nil"/>
              <w:bottom w:val="single" w:color="auto" w:sz="4" w:space="0"/>
              <w:right w:val="single" w:color="auto" w:sz="4" w:space="0"/>
            </w:tcBorders>
            <w:shd w:val="clear" w:color="000000" w:fill="FFFFFF"/>
            <w:vAlign w:val="center"/>
          </w:tcPr>
          <w:p w14:paraId="77AC338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24426CA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1、错误率≤1‰,得15分；                                          2、1‰&lt;错误率≤5‰,得8分；                                                  3、错误率&gt;5‰,得0分；</w:t>
            </w:r>
          </w:p>
        </w:tc>
        <w:tc>
          <w:tcPr>
            <w:tcW w:w="680" w:type="dxa"/>
            <w:tcBorders>
              <w:top w:val="nil"/>
              <w:left w:val="nil"/>
              <w:bottom w:val="single" w:color="auto" w:sz="4" w:space="0"/>
              <w:right w:val="single" w:color="auto" w:sz="4" w:space="0"/>
            </w:tcBorders>
            <w:shd w:val="clear" w:color="auto" w:fill="auto"/>
            <w:vAlign w:val="center"/>
          </w:tcPr>
          <w:p w14:paraId="234E568C">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电商客服</w:t>
            </w:r>
          </w:p>
        </w:tc>
      </w:tr>
      <w:tr w14:paraId="3EFDBFEB">
        <w:tblPrEx>
          <w:tblCellMar>
            <w:top w:w="0" w:type="dxa"/>
            <w:left w:w="108" w:type="dxa"/>
            <w:bottom w:w="0" w:type="dxa"/>
            <w:right w:w="108" w:type="dxa"/>
          </w:tblCellMar>
        </w:tblPrEx>
        <w:trPr>
          <w:trHeight w:val="1170" w:hRule="atLeast"/>
        </w:trPr>
        <w:tc>
          <w:tcPr>
            <w:tcW w:w="830" w:type="dxa"/>
            <w:vMerge w:val="continue"/>
            <w:tcBorders>
              <w:top w:val="nil"/>
              <w:left w:val="single" w:color="auto" w:sz="4" w:space="0"/>
              <w:bottom w:val="single" w:color="auto" w:sz="4" w:space="0"/>
              <w:right w:val="single" w:color="auto" w:sz="4" w:space="0"/>
            </w:tcBorders>
            <w:vAlign w:val="center"/>
          </w:tcPr>
          <w:p w14:paraId="334B15D0">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000000" w:fill="FFFFFF"/>
            <w:vAlign w:val="center"/>
          </w:tcPr>
          <w:p w14:paraId="6290A26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000000" w:fill="FFFFFF"/>
            <w:vAlign w:val="center"/>
          </w:tcPr>
          <w:p w14:paraId="61B435F1">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盘点准确率</w:t>
            </w:r>
          </w:p>
        </w:tc>
        <w:tc>
          <w:tcPr>
            <w:tcW w:w="680" w:type="dxa"/>
            <w:tcBorders>
              <w:top w:val="nil"/>
              <w:left w:val="nil"/>
              <w:bottom w:val="single" w:color="auto" w:sz="4" w:space="0"/>
              <w:right w:val="single" w:color="auto" w:sz="4" w:space="0"/>
            </w:tcBorders>
            <w:shd w:val="clear" w:color="000000" w:fill="FFFFFF"/>
            <w:vAlign w:val="center"/>
          </w:tcPr>
          <w:p w14:paraId="5986528A">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000000" w:fill="FFFFFF"/>
            <w:vAlign w:val="center"/>
          </w:tcPr>
          <w:p w14:paraId="111958D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查出可匹配发货串号可抵消后的盘点盈亏绝对值数量相加后除以仓库库存</w:t>
            </w:r>
          </w:p>
        </w:tc>
        <w:tc>
          <w:tcPr>
            <w:tcW w:w="979" w:type="dxa"/>
            <w:tcBorders>
              <w:top w:val="nil"/>
              <w:left w:val="nil"/>
              <w:bottom w:val="single" w:color="auto" w:sz="4" w:space="0"/>
              <w:right w:val="single" w:color="auto" w:sz="4" w:space="0"/>
            </w:tcBorders>
            <w:shd w:val="clear" w:color="000000" w:fill="FFFFFF"/>
            <w:vAlign w:val="center"/>
          </w:tcPr>
          <w:p w14:paraId="1473033C">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680" w:type="dxa"/>
            <w:tcBorders>
              <w:top w:val="nil"/>
              <w:left w:val="nil"/>
              <w:bottom w:val="single" w:color="auto" w:sz="4" w:space="0"/>
              <w:right w:val="single" w:color="auto" w:sz="4" w:space="0"/>
            </w:tcBorders>
            <w:shd w:val="clear" w:color="000000" w:fill="FFFFFF"/>
            <w:vAlign w:val="center"/>
          </w:tcPr>
          <w:p w14:paraId="1B4FCC5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000000" w:fill="FFFFFF"/>
            <w:vAlign w:val="center"/>
          </w:tcPr>
          <w:p w14:paraId="5F5E301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1、准确率=100%，得5分                              2、99.5%&lt;准确率≤100%,得4分             3、98%&lt;准确率≤99.5%,得3分                    4、准确率&lt;98%,得0分</w:t>
            </w:r>
          </w:p>
        </w:tc>
        <w:tc>
          <w:tcPr>
            <w:tcW w:w="680" w:type="dxa"/>
            <w:tcBorders>
              <w:top w:val="nil"/>
              <w:left w:val="nil"/>
              <w:bottom w:val="single" w:color="auto" w:sz="4" w:space="0"/>
              <w:right w:val="single" w:color="auto" w:sz="4" w:space="0"/>
            </w:tcBorders>
            <w:shd w:val="clear" w:color="auto" w:fill="auto"/>
            <w:vAlign w:val="center"/>
          </w:tcPr>
          <w:p w14:paraId="3B68CFEE">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仓储物流部</w:t>
            </w:r>
          </w:p>
        </w:tc>
      </w:tr>
      <w:tr w14:paraId="154711F1">
        <w:tblPrEx>
          <w:tblCellMar>
            <w:top w:w="0" w:type="dxa"/>
            <w:left w:w="108" w:type="dxa"/>
            <w:bottom w:w="0" w:type="dxa"/>
            <w:right w:w="108" w:type="dxa"/>
          </w:tblCellMar>
        </w:tblPrEx>
        <w:trPr>
          <w:trHeight w:val="799" w:hRule="atLeast"/>
        </w:trPr>
        <w:tc>
          <w:tcPr>
            <w:tcW w:w="830" w:type="dxa"/>
            <w:vMerge w:val="continue"/>
            <w:tcBorders>
              <w:top w:val="nil"/>
              <w:left w:val="single" w:color="auto" w:sz="4" w:space="0"/>
              <w:bottom w:val="single" w:color="auto" w:sz="4" w:space="0"/>
              <w:right w:val="single" w:color="auto" w:sz="4" w:space="0"/>
            </w:tcBorders>
            <w:vAlign w:val="center"/>
          </w:tcPr>
          <w:p w14:paraId="27B867C6">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6871E2C1">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12</w:t>
            </w:r>
          </w:p>
        </w:tc>
        <w:tc>
          <w:tcPr>
            <w:tcW w:w="680" w:type="dxa"/>
            <w:tcBorders>
              <w:top w:val="nil"/>
              <w:left w:val="nil"/>
              <w:bottom w:val="single" w:color="auto" w:sz="4" w:space="0"/>
              <w:right w:val="single" w:color="auto" w:sz="4" w:space="0"/>
            </w:tcBorders>
            <w:shd w:val="clear" w:color="auto" w:fill="auto"/>
            <w:vAlign w:val="center"/>
          </w:tcPr>
          <w:p w14:paraId="7414FF6B">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5S管理</w:t>
            </w:r>
          </w:p>
        </w:tc>
        <w:tc>
          <w:tcPr>
            <w:tcW w:w="680" w:type="dxa"/>
            <w:tcBorders>
              <w:top w:val="nil"/>
              <w:left w:val="nil"/>
              <w:bottom w:val="single" w:color="auto" w:sz="4" w:space="0"/>
              <w:right w:val="single" w:color="auto" w:sz="4" w:space="0"/>
            </w:tcBorders>
            <w:shd w:val="clear" w:color="auto" w:fill="auto"/>
            <w:vAlign w:val="center"/>
          </w:tcPr>
          <w:p w14:paraId="6497AEFE">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center"/>
          </w:tcPr>
          <w:p w14:paraId="2A2141A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按照货物摆放规范执行，每天对仓库进行检查，发现一次按标准分，扣完即止。</w:t>
            </w:r>
          </w:p>
        </w:tc>
        <w:tc>
          <w:tcPr>
            <w:tcW w:w="979" w:type="dxa"/>
            <w:tcBorders>
              <w:top w:val="nil"/>
              <w:left w:val="nil"/>
              <w:bottom w:val="single" w:color="auto" w:sz="4" w:space="0"/>
              <w:right w:val="single" w:color="auto" w:sz="4" w:space="0"/>
            </w:tcBorders>
            <w:shd w:val="clear" w:color="auto" w:fill="auto"/>
            <w:vAlign w:val="center"/>
          </w:tcPr>
          <w:p w14:paraId="58E19045">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仓库货品堆放整齐及卫生整洁</w:t>
            </w:r>
          </w:p>
        </w:tc>
        <w:tc>
          <w:tcPr>
            <w:tcW w:w="680" w:type="dxa"/>
            <w:tcBorders>
              <w:top w:val="nil"/>
              <w:left w:val="nil"/>
              <w:bottom w:val="single" w:color="auto" w:sz="4" w:space="0"/>
              <w:right w:val="single" w:color="auto" w:sz="4" w:space="0"/>
            </w:tcBorders>
            <w:shd w:val="clear" w:color="auto" w:fill="auto"/>
            <w:vAlign w:val="center"/>
          </w:tcPr>
          <w:p w14:paraId="60687BA9">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235CDF0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1、发现一次仓库责任区内垃圾乱扔现象扣1分</w:t>
            </w:r>
            <w:r>
              <w:rPr>
                <w:rFonts w:hint="eastAsia" w:ascii="仿宋" w:hAnsi="仿宋" w:eastAsia="仿宋" w:cs="宋体"/>
                <w:color w:val="000000" w:themeColor="text1"/>
                <w:sz w:val="21"/>
                <w:szCs w:val="21"/>
                <w14:textFill>
                  <w14:solidFill>
                    <w14:schemeClr w14:val="tx1"/>
                  </w14:solidFill>
                </w14:textFill>
              </w:rPr>
              <w:br w:type="textWrapping"/>
            </w:r>
            <w:r>
              <w:rPr>
                <w:rFonts w:hint="eastAsia" w:ascii="仿宋" w:hAnsi="仿宋" w:eastAsia="仿宋" w:cs="宋体"/>
                <w:color w:val="000000" w:themeColor="text1"/>
                <w:sz w:val="21"/>
                <w:szCs w:val="21"/>
                <w14:textFill>
                  <w14:solidFill>
                    <w14:schemeClr w14:val="tx1"/>
                  </w14:solidFill>
                </w14:textFill>
              </w:rPr>
              <w:t>2、发现货架及地推产品、包材出现混堆等摆放不整齐现象扣1分                   3、发现仓库产品裸露散落在地面扣2分</w:t>
            </w:r>
          </w:p>
        </w:tc>
        <w:tc>
          <w:tcPr>
            <w:tcW w:w="680" w:type="dxa"/>
            <w:tcBorders>
              <w:top w:val="nil"/>
              <w:left w:val="nil"/>
              <w:bottom w:val="single" w:color="auto" w:sz="4" w:space="0"/>
              <w:right w:val="single" w:color="auto" w:sz="4" w:space="0"/>
            </w:tcBorders>
            <w:shd w:val="clear" w:color="auto" w:fill="auto"/>
            <w:vAlign w:val="center"/>
          </w:tcPr>
          <w:p w14:paraId="3CE416AF">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仓储物流部</w:t>
            </w:r>
          </w:p>
        </w:tc>
      </w:tr>
      <w:tr w14:paraId="3BA87C5B">
        <w:tblPrEx>
          <w:tblCellMar>
            <w:top w:w="0" w:type="dxa"/>
            <w:left w:w="108" w:type="dxa"/>
            <w:bottom w:w="0" w:type="dxa"/>
            <w:right w:w="108" w:type="dxa"/>
          </w:tblCellMar>
        </w:tblPrEx>
        <w:trPr>
          <w:trHeight w:val="600" w:hRule="atLeast"/>
        </w:trPr>
        <w:tc>
          <w:tcPr>
            <w:tcW w:w="830" w:type="dxa"/>
            <w:vMerge w:val="continue"/>
            <w:tcBorders>
              <w:top w:val="nil"/>
              <w:left w:val="single" w:color="auto" w:sz="4" w:space="0"/>
              <w:bottom w:val="single" w:color="auto" w:sz="4" w:space="0"/>
              <w:right w:val="single" w:color="auto" w:sz="4" w:space="0"/>
            </w:tcBorders>
            <w:vAlign w:val="center"/>
          </w:tcPr>
          <w:p w14:paraId="62880046">
            <w:pPr>
              <w:rPr>
                <w:rFonts w:ascii="仿宋" w:hAnsi="仿宋" w:eastAsia="仿宋" w:cs="宋体"/>
                <w:color w:val="000000" w:themeColor="text1"/>
                <w:sz w:val="21"/>
                <w:szCs w:val="21"/>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14:paraId="167F6057">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13</w:t>
            </w:r>
          </w:p>
        </w:tc>
        <w:tc>
          <w:tcPr>
            <w:tcW w:w="680" w:type="dxa"/>
            <w:tcBorders>
              <w:top w:val="nil"/>
              <w:left w:val="nil"/>
              <w:bottom w:val="single" w:color="auto" w:sz="4" w:space="0"/>
              <w:right w:val="single" w:color="auto" w:sz="4" w:space="0"/>
            </w:tcBorders>
            <w:shd w:val="clear" w:color="auto" w:fill="auto"/>
            <w:vAlign w:val="center"/>
          </w:tcPr>
          <w:p w14:paraId="2F9F9417">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违反厂纪厂规</w:t>
            </w:r>
          </w:p>
        </w:tc>
        <w:tc>
          <w:tcPr>
            <w:tcW w:w="680" w:type="dxa"/>
            <w:tcBorders>
              <w:top w:val="nil"/>
              <w:left w:val="nil"/>
              <w:bottom w:val="single" w:color="auto" w:sz="4" w:space="0"/>
              <w:right w:val="single" w:color="auto" w:sz="4" w:space="0"/>
            </w:tcBorders>
            <w:shd w:val="clear" w:color="auto" w:fill="auto"/>
            <w:vAlign w:val="center"/>
          </w:tcPr>
          <w:p w14:paraId="18010FD3">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5%</w:t>
            </w:r>
          </w:p>
        </w:tc>
        <w:tc>
          <w:tcPr>
            <w:tcW w:w="2040" w:type="dxa"/>
            <w:tcBorders>
              <w:top w:val="single" w:color="auto" w:sz="4" w:space="0"/>
              <w:left w:val="nil"/>
              <w:bottom w:val="single" w:color="auto" w:sz="4" w:space="0"/>
              <w:right w:val="single" w:color="auto" w:sz="4" w:space="0"/>
            </w:tcBorders>
            <w:shd w:val="clear" w:color="auto" w:fill="auto"/>
            <w:vAlign w:val="center"/>
          </w:tcPr>
          <w:p w14:paraId="7BC8C07B">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不违反东冠纸业厂区内的规章和制度要求</w:t>
            </w:r>
          </w:p>
        </w:tc>
        <w:tc>
          <w:tcPr>
            <w:tcW w:w="979" w:type="dxa"/>
            <w:tcBorders>
              <w:top w:val="nil"/>
              <w:left w:val="nil"/>
              <w:bottom w:val="single" w:color="auto" w:sz="4" w:space="0"/>
              <w:right w:val="single" w:color="auto" w:sz="4" w:space="0"/>
            </w:tcBorders>
            <w:shd w:val="clear" w:color="auto" w:fill="auto"/>
            <w:vAlign w:val="center"/>
          </w:tcPr>
          <w:p w14:paraId="5F8D1CAD">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无违纪行为</w:t>
            </w:r>
          </w:p>
        </w:tc>
        <w:tc>
          <w:tcPr>
            <w:tcW w:w="680" w:type="dxa"/>
            <w:tcBorders>
              <w:top w:val="nil"/>
              <w:left w:val="nil"/>
              <w:bottom w:val="single" w:color="auto" w:sz="4" w:space="0"/>
              <w:right w:val="single" w:color="auto" w:sz="4" w:space="0"/>
            </w:tcBorders>
            <w:shd w:val="clear" w:color="auto" w:fill="auto"/>
            <w:vAlign w:val="center"/>
          </w:tcPr>
          <w:p w14:paraId="43920B90">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54D270AC">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1、发现一次违纪行为扣5分</w:t>
            </w:r>
          </w:p>
        </w:tc>
        <w:tc>
          <w:tcPr>
            <w:tcW w:w="680" w:type="dxa"/>
            <w:tcBorders>
              <w:top w:val="nil"/>
              <w:left w:val="nil"/>
              <w:bottom w:val="single" w:color="auto" w:sz="4" w:space="0"/>
              <w:right w:val="single" w:color="auto" w:sz="4" w:space="0"/>
            </w:tcBorders>
            <w:shd w:val="clear" w:color="auto" w:fill="auto"/>
            <w:vAlign w:val="center"/>
          </w:tcPr>
          <w:p w14:paraId="28395CC3">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仓储物流部</w:t>
            </w:r>
          </w:p>
        </w:tc>
      </w:tr>
      <w:tr w14:paraId="34FA9CC5">
        <w:tblPrEx>
          <w:tblCellMar>
            <w:top w:w="0" w:type="dxa"/>
            <w:left w:w="108" w:type="dxa"/>
            <w:bottom w:w="0" w:type="dxa"/>
            <w:right w:w="108" w:type="dxa"/>
          </w:tblCellMar>
        </w:tblPrEx>
        <w:trPr>
          <w:trHeight w:val="77" w:hRule="atLeast"/>
        </w:trPr>
        <w:tc>
          <w:tcPr>
            <w:tcW w:w="15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B78EE4">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合计</w:t>
            </w:r>
          </w:p>
        </w:tc>
        <w:tc>
          <w:tcPr>
            <w:tcW w:w="680" w:type="dxa"/>
            <w:tcBorders>
              <w:top w:val="nil"/>
              <w:left w:val="nil"/>
              <w:bottom w:val="single" w:color="auto" w:sz="4" w:space="0"/>
              <w:right w:val="single" w:color="auto" w:sz="4" w:space="0"/>
            </w:tcBorders>
            <w:shd w:val="clear" w:color="auto" w:fill="auto"/>
            <w:vAlign w:val="center"/>
          </w:tcPr>
          <w:p w14:paraId="21F1A6E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auto" w:fill="auto"/>
            <w:vAlign w:val="center"/>
          </w:tcPr>
          <w:p w14:paraId="4E9BEEB6">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100%</w:t>
            </w:r>
          </w:p>
        </w:tc>
        <w:tc>
          <w:tcPr>
            <w:tcW w:w="2040" w:type="dxa"/>
            <w:tcBorders>
              <w:top w:val="single" w:color="auto" w:sz="4" w:space="0"/>
              <w:left w:val="nil"/>
              <w:bottom w:val="single" w:color="auto" w:sz="4" w:space="0"/>
              <w:right w:val="single" w:color="auto" w:sz="4" w:space="0"/>
            </w:tcBorders>
            <w:shd w:val="clear" w:color="auto" w:fill="auto"/>
            <w:vAlign w:val="center"/>
          </w:tcPr>
          <w:p w14:paraId="4F21A850">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xml:space="preserve"> </w:t>
            </w:r>
          </w:p>
        </w:tc>
        <w:tc>
          <w:tcPr>
            <w:tcW w:w="979" w:type="dxa"/>
            <w:tcBorders>
              <w:top w:val="nil"/>
              <w:left w:val="nil"/>
              <w:bottom w:val="single" w:color="auto" w:sz="4" w:space="0"/>
              <w:right w:val="single" w:color="auto" w:sz="4" w:space="0"/>
            </w:tcBorders>
            <w:shd w:val="clear" w:color="auto" w:fill="auto"/>
            <w:vAlign w:val="center"/>
          </w:tcPr>
          <w:p w14:paraId="5942E9FD">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auto" w:fill="auto"/>
            <w:vAlign w:val="center"/>
          </w:tcPr>
          <w:p w14:paraId="77178272">
            <w:pPr>
              <w:jc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2273" w:type="dxa"/>
            <w:gridSpan w:val="3"/>
            <w:tcBorders>
              <w:top w:val="single" w:color="auto" w:sz="4" w:space="0"/>
              <w:left w:val="nil"/>
              <w:bottom w:val="single" w:color="auto" w:sz="4" w:space="0"/>
              <w:right w:val="single" w:color="auto" w:sz="4" w:space="0"/>
            </w:tcBorders>
            <w:shd w:val="clear" w:color="auto" w:fill="auto"/>
            <w:vAlign w:val="center"/>
          </w:tcPr>
          <w:p w14:paraId="5BF45310">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c>
          <w:tcPr>
            <w:tcW w:w="680" w:type="dxa"/>
            <w:tcBorders>
              <w:top w:val="nil"/>
              <w:left w:val="nil"/>
              <w:bottom w:val="single" w:color="auto" w:sz="4" w:space="0"/>
              <w:right w:val="single" w:color="auto" w:sz="4" w:space="0"/>
            </w:tcBorders>
            <w:shd w:val="clear" w:color="auto" w:fill="auto"/>
            <w:vAlign w:val="center"/>
          </w:tcPr>
          <w:p w14:paraId="47236C32">
            <w:pP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　</w:t>
            </w:r>
          </w:p>
        </w:tc>
      </w:tr>
    </w:tbl>
    <w:p w14:paraId="0D5D0CE8">
      <w:pPr>
        <w:rPr>
          <w:color w:val="000000" w:themeColor="text1"/>
          <w14:textFill>
            <w14:solidFill>
              <w14:schemeClr w14:val="tx1"/>
            </w14:solidFill>
          </w14:textFill>
        </w:rPr>
      </w:pPr>
    </w:p>
    <w:tbl>
      <w:tblPr>
        <w:tblStyle w:val="18"/>
        <w:tblW w:w="9606" w:type="dxa"/>
        <w:tblInd w:w="0" w:type="dxa"/>
        <w:tblLayout w:type="autofit"/>
        <w:tblCellMar>
          <w:top w:w="0" w:type="dxa"/>
          <w:left w:w="108" w:type="dxa"/>
          <w:bottom w:w="0" w:type="dxa"/>
          <w:right w:w="108" w:type="dxa"/>
        </w:tblCellMar>
      </w:tblPr>
      <w:tblGrid>
        <w:gridCol w:w="1350"/>
        <w:gridCol w:w="690"/>
        <w:gridCol w:w="3337"/>
        <w:gridCol w:w="4229"/>
      </w:tblGrid>
      <w:tr w14:paraId="618D1E6A">
        <w:tblPrEx>
          <w:tblCellMar>
            <w:top w:w="0" w:type="dxa"/>
            <w:left w:w="108" w:type="dxa"/>
            <w:bottom w:w="0" w:type="dxa"/>
            <w:right w:w="108" w:type="dxa"/>
          </w:tblCellMar>
        </w:tblPrEx>
        <w:trPr>
          <w:trHeight w:val="600" w:hRule="atLeast"/>
        </w:trPr>
        <w:tc>
          <w:tcPr>
            <w:tcW w:w="1350" w:type="dxa"/>
            <w:tcBorders>
              <w:top w:val="single" w:color="auto" w:sz="8" w:space="0"/>
              <w:left w:val="single" w:color="auto" w:sz="8" w:space="0"/>
              <w:bottom w:val="single" w:color="auto" w:sz="4" w:space="0"/>
              <w:right w:val="single" w:color="auto" w:sz="4" w:space="0"/>
            </w:tcBorders>
            <w:shd w:val="clear" w:color="auto" w:fill="auto"/>
            <w:vAlign w:val="center"/>
          </w:tcPr>
          <w:p w14:paraId="45C4E3DE">
            <w:pPr>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评分</w:t>
            </w:r>
          </w:p>
        </w:tc>
        <w:tc>
          <w:tcPr>
            <w:tcW w:w="690" w:type="dxa"/>
            <w:tcBorders>
              <w:top w:val="single" w:color="auto" w:sz="8" w:space="0"/>
              <w:left w:val="nil"/>
              <w:bottom w:val="single" w:color="auto" w:sz="4" w:space="0"/>
              <w:right w:val="single" w:color="auto" w:sz="4" w:space="0"/>
            </w:tcBorders>
            <w:shd w:val="clear" w:color="auto" w:fill="auto"/>
            <w:vAlign w:val="center"/>
          </w:tcPr>
          <w:p w14:paraId="2D668F58">
            <w:pPr>
              <w:jc w:val="center"/>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等级</w:t>
            </w:r>
          </w:p>
        </w:tc>
        <w:tc>
          <w:tcPr>
            <w:tcW w:w="3337" w:type="dxa"/>
            <w:tcBorders>
              <w:top w:val="single" w:color="auto" w:sz="8" w:space="0"/>
              <w:left w:val="nil"/>
              <w:bottom w:val="single" w:color="auto" w:sz="4" w:space="0"/>
              <w:right w:val="single" w:color="auto" w:sz="4" w:space="0"/>
            </w:tcBorders>
            <w:shd w:val="clear" w:color="auto" w:fill="auto"/>
            <w:vAlign w:val="center"/>
          </w:tcPr>
          <w:p w14:paraId="5295F8B0">
            <w:pPr>
              <w:jc w:val="center"/>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奖罚标准（元）</w:t>
            </w:r>
          </w:p>
        </w:tc>
        <w:tc>
          <w:tcPr>
            <w:tcW w:w="4229" w:type="dxa"/>
            <w:tcBorders>
              <w:top w:val="single" w:color="auto" w:sz="8" w:space="0"/>
              <w:left w:val="single" w:color="auto" w:sz="4" w:space="0"/>
              <w:bottom w:val="single" w:color="auto" w:sz="4" w:space="0"/>
              <w:right w:val="single" w:color="auto" w:sz="8" w:space="0"/>
            </w:tcBorders>
            <w:shd w:val="clear" w:color="auto" w:fill="auto"/>
            <w:vAlign w:val="center"/>
          </w:tcPr>
          <w:p w14:paraId="5E7249FC">
            <w:pPr>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备注</w:t>
            </w:r>
          </w:p>
        </w:tc>
      </w:tr>
      <w:tr w14:paraId="5763A49D">
        <w:tblPrEx>
          <w:tblCellMar>
            <w:top w:w="0" w:type="dxa"/>
            <w:left w:w="108" w:type="dxa"/>
            <w:bottom w:w="0" w:type="dxa"/>
            <w:right w:w="108" w:type="dxa"/>
          </w:tblCellMar>
        </w:tblPrEx>
        <w:trPr>
          <w:trHeight w:val="540" w:hRule="atLeast"/>
        </w:trPr>
        <w:tc>
          <w:tcPr>
            <w:tcW w:w="1350" w:type="dxa"/>
            <w:tcBorders>
              <w:top w:val="nil"/>
              <w:left w:val="single" w:color="auto" w:sz="8" w:space="0"/>
              <w:bottom w:val="single" w:color="auto" w:sz="4" w:space="0"/>
              <w:right w:val="single" w:color="auto" w:sz="4" w:space="0"/>
            </w:tcBorders>
            <w:shd w:val="clear" w:color="auto" w:fill="auto"/>
            <w:noWrap/>
            <w:vAlign w:val="center"/>
          </w:tcPr>
          <w:p w14:paraId="7DD4A87D">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95分--100分</w:t>
            </w:r>
          </w:p>
        </w:tc>
        <w:tc>
          <w:tcPr>
            <w:tcW w:w="690" w:type="dxa"/>
            <w:tcBorders>
              <w:top w:val="nil"/>
              <w:left w:val="nil"/>
              <w:bottom w:val="single" w:color="auto" w:sz="4" w:space="0"/>
              <w:right w:val="single" w:color="auto" w:sz="4" w:space="0"/>
            </w:tcBorders>
            <w:shd w:val="clear" w:color="auto" w:fill="auto"/>
            <w:noWrap/>
            <w:vAlign w:val="center"/>
          </w:tcPr>
          <w:p w14:paraId="6250B766">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优秀</w:t>
            </w:r>
          </w:p>
        </w:tc>
        <w:tc>
          <w:tcPr>
            <w:tcW w:w="3337" w:type="dxa"/>
            <w:tcBorders>
              <w:top w:val="nil"/>
              <w:left w:val="nil"/>
              <w:bottom w:val="single" w:color="auto" w:sz="4" w:space="0"/>
              <w:right w:val="single" w:color="auto" w:sz="4" w:space="0"/>
            </w:tcBorders>
            <w:shd w:val="clear" w:color="auto" w:fill="auto"/>
            <w:noWrap/>
            <w:vAlign w:val="center"/>
          </w:tcPr>
          <w:p w14:paraId="4D98A4C9">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每月考核评分达到95分及以上，给予乙方奖励2000元/次</w:t>
            </w:r>
          </w:p>
        </w:tc>
        <w:tc>
          <w:tcPr>
            <w:tcW w:w="4229" w:type="dxa"/>
            <w:vMerge w:val="restart"/>
            <w:tcBorders>
              <w:top w:val="nil"/>
              <w:left w:val="single" w:color="auto" w:sz="4" w:space="0"/>
              <w:bottom w:val="single" w:color="000000" w:sz="8" w:space="0"/>
              <w:right w:val="single" w:color="auto" w:sz="8" w:space="0"/>
            </w:tcBorders>
            <w:shd w:val="clear" w:color="auto" w:fill="auto"/>
            <w:vAlign w:val="center"/>
          </w:tcPr>
          <w:p w14:paraId="73F69FF6">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连续三个月考核低于85分，则视为不合格供应商，甲方有权更换供应商</w:t>
            </w:r>
          </w:p>
        </w:tc>
      </w:tr>
      <w:tr w14:paraId="6FF1C87C">
        <w:tblPrEx>
          <w:tblCellMar>
            <w:top w:w="0" w:type="dxa"/>
            <w:left w:w="108" w:type="dxa"/>
            <w:bottom w:w="0" w:type="dxa"/>
            <w:right w:w="108" w:type="dxa"/>
          </w:tblCellMar>
        </w:tblPrEx>
        <w:trPr>
          <w:trHeight w:val="499" w:hRule="atLeast"/>
        </w:trPr>
        <w:tc>
          <w:tcPr>
            <w:tcW w:w="1350" w:type="dxa"/>
            <w:tcBorders>
              <w:top w:val="nil"/>
              <w:left w:val="single" w:color="auto" w:sz="8" w:space="0"/>
              <w:bottom w:val="single" w:color="auto" w:sz="4" w:space="0"/>
              <w:right w:val="single" w:color="auto" w:sz="4" w:space="0"/>
            </w:tcBorders>
            <w:shd w:val="clear" w:color="auto" w:fill="auto"/>
            <w:noWrap/>
            <w:vAlign w:val="center"/>
          </w:tcPr>
          <w:p w14:paraId="24AF0BCE">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90分--95分</w:t>
            </w:r>
          </w:p>
        </w:tc>
        <w:tc>
          <w:tcPr>
            <w:tcW w:w="690" w:type="dxa"/>
            <w:tcBorders>
              <w:top w:val="nil"/>
              <w:left w:val="nil"/>
              <w:bottom w:val="single" w:color="auto" w:sz="4" w:space="0"/>
              <w:right w:val="single" w:color="auto" w:sz="4" w:space="0"/>
            </w:tcBorders>
            <w:shd w:val="clear" w:color="auto" w:fill="auto"/>
            <w:noWrap/>
            <w:vAlign w:val="center"/>
          </w:tcPr>
          <w:p w14:paraId="6A649F79">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良好</w:t>
            </w:r>
          </w:p>
        </w:tc>
        <w:tc>
          <w:tcPr>
            <w:tcW w:w="3337" w:type="dxa"/>
            <w:tcBorders>
              <w:top w:val="single" w:color="auto" w:sz="4" w:space="0"/>
              <w:left w:val="nil"/>
              <w:bottom w:val="single" w:color="auto" w:sz="4" w:space="0"/>
              <w:right w:val="single" w:color="auto" w:sz="4" w:space="0"/>
            </w:tcBorders>
            <w:shd w:val="clear" w:color="auto" w:fill="auto"/>
            <w:noWrap/>
            <w:vAlign w:val="center"/>
          </w:tcPr>
          <w:p w14:paraId="3146C34B">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w:t>
            </w:r>
          </w:p>
        </w:tc>
        <w:tc>
          <w:tcPr>
            <w:tcW w:w="4229" w:type="dxa"/>
            <w:vMerge w:val="continue"/>
            <w:tcBorders>
              <w:top w:val="nil"/>
              <w:left w:val="single" w:color="auto" w:sz="4" w:space="0"/>
              <w:bottom w:val="single" w:color="000000" w:sz="8" w:space="0"/>
              <w:right w:val="single" w:color="auto" w:sz="8" w:space="0"/>
            </w:tcBorders>
            <w:vAlign w:val="center"/>
          </w:tcPr>
          <w:p w14:paraId="02BEE207">
            <w:pPr>
              <w:rPr>
                <w:rFonts w:ascii="宋体" w:hAnsi="宋体" w:cs="宋体"/>
                <w:color w:val="000000" w:themeColor="text1"/>
                <w:sz w:val="20"/>
                <w:szCs w:val="20"/>
                <w14:textFill>
                  <w14:solidFill>
                    <w14:schemeClr w14:val="tx1"/>
                  </w14:solidFill>
                </w14:textFill>
              </w:rPr>
            </w:pPr>
          </w:p>
        </w:tc>
      </w:tr>
      <w:tr w14:paraId="5B1BCDFA">
        <w:tblPrEx>
          <w:tblCellMar>
            <w:top w:w="0" w:type="dxa"/>
            <w:left w:w="108" w:type="dxa"/>
            <w:bottom w:w="0" w:type="dxa"/>
            <w:right w:w="108" w:type="dxa"/>
          </w:tblCellMar>
        </w:tblPrEx>
        <w:trPr>
          <w:trHeight w:val="499" w:hRule="atLeast"/>
        </w:trPr>
        <w:tc>
          <w:tcPr>
            <w:tcW w:w="1350" w:type="dxa"/>
            <w:tcBorders>
              <w:top w:val="nil"/>
              <w:left w:val="single" w:color="auto" w:sz="8" w:space="0"/>
              <w:bottom w:val="single" w:color="auto" w:sz="4" w:space="0"/>
              <w:right w:val="single" w:color="auto" w:sz="4" w:space="0"/>
            </w:tcBorders>
            <w:shd w:val="clear" w:color="auto" w:fill="auto"/>
            <w:noWrap/>
            <w:vAlign w:val="center"/>
          </w:tcPr>
          <w:p w14:paraId="29A521C1">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85分--90分</w:t>
            </w:r>
          </w:p>
        </w:tc>
        <w:tc>
          <w:tcPr>
            <w:tcW w:w="690" w:type="dxa"/>
            <w:tcBorders>
              <w:top w:val="nil"/>
              <w:left w:val="nil"/>
              <w:bottom w:val="single" w:color="auto" w:sz="4" w:space="0"/>
              <w:right w:val="single" w:color="auto" w:sz="4" w:space="0"/>
            </w:tcBorders>
            <w:shd w:val="clear" w:color="auto" w:fill="auto"/>
            <w:noWrap/>
            <w:vAlign w:val="center"/>
          </w:tcPr>
          <w:p w14:paraId="3F0CB876">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合格</w:t>
            </w:r>
          </w:p>
        </w:tc>
        <w:tc>
          <w:tcPr>
            <w:tcW w:w="3337" w:type="dxa"/>
            <w:tcBorders>
              <w:top w:val="single" w:color="auto" w:sz="4" w:space="0"/>
              <w:left w:val="nil"/>
              <w:bottom w:val="single" w:color="auto" w:sz="4" w:space="0"/>
              <w:right w:val="single" w:color="auto" w:sz="4" w:space="0"/>
            </w:tcBorders>
            <w:shd w:val="clear" w:color="auto" w:fill="auto"/>
            <w:noWrap/>
            <w:vAlign w:val="center"/>
          </w:tcPr>
          <w:p w14:paraId="660D6E6B">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w:t>
            </w:r>
          </w:p>
        </w:tc>
        <w:tc>
          <w:tcPr>
            <w:tcW w:w="4229" w:type="dxa"/>
            <w:vMerge w:val="continue"/>
            <w:tcBorders>
              <w:top w:val="nil"/>
              <w:left w:val="single" w:color="auto" w:sz="4" w:space="0"/>
              <w:bottom w:val="single" w:color="000000" w:sz="8" w:space="0"/>
              <w:right w:val="single" w:color="auto" w:sz="8" w:space="0"/>
            </w:tcBorders>
            <w:vAlign w:val="center"/>
          </w:tcPr>
          <w:p w14:paraId="2C51D9C3">
            <w:pPr>
              <w:rPr>
                <w:rFonts w:ascii="宋体" w:hAnsi="宋体" w:cs="宋体"/>
                <w:color w:val="000000" w:themeColor="text1"/>
                <w:sz w:val="20"/>
                <w:szCs w:val="20"/>
                <w14:textFill>
                  <w14:solidFill>
                    <w14:schemeClr w14:val="tx1"/>
                  </w14:solidFill>
                </w14:textFill>
              </w:rPr>
            </w:pPr>
          </w:p>
        </w:tc>
      </w:tr>
      <w:tr w14:paraId="5998740D">
        <w:tblPrEx>
          <w:tblCellMar>
            <w:top w:w="0" w:type="dxa"/>
            <w:left w:w="108" w:type="dxa"/>
            <w:bottom w:w="0" w:type="dxa"/>
            <w:right w:w="108" w:type="dxa"/>
          </w:tblCellMar>
        </w:tblPrEx>
        <w:trPr>
          <w:trHeight w:val="243" w:hRule="atLeast"/>
        </w:trPr>
        <w:tc>
          <w:tcPr>
            <w:tcW w:w="1350" w:type="dxa"/>
            <w:tcBorders>
              <w:top w:val="nil"/>
              <w:left w:val="single" w:color="auto" w:sz="8" w:space="0"/>
              <w:bottom w:val="single" w:color="auto" w:sz="8" w:space="0"/>
              <w:right w:val="single" w:color="auto" w:sz="4" w:space="0"/>
            </w:tcBorders>
            <w:shd w:val="clear" w:color="auto" w:fill="auto"/>
            <w:noWrap/>
            <w:vAlign w:val="center"/>
          </w:tcPr>
          <w:p w14:paraId="54B9DC3E">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&lt;85分</w:t>
            </w:r>
          </w:p>
        </w:tc>
        <w:tc>
          <w:tcPr>
            <w:tcW w:w="690" w:type="dxa"/>
            <w:tcBorders>
              <w:top w:val="nil"/>
              <w:left w:val="nil"/>
              <w:bottom w:val="single" w:color="auto" w:sz="8" w:space="0"/>
              <w:right w:val="single" w:color="auto" w:sz="4" w:space="0"/>
            </w:tcBorders>
            <w:shd w:val="clear" w:color="auto" w:fill="auto"/>
            <w:noWrap/>
            <w:vAlign w:val="center"/>
          </w:tcPr>
          <w:p w14:paraId="794309FE">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不合格</w:t>
            </w:r>
          </w:p>
        </w:tc>
        <w:tc>
          <w:tcPr>
            <w:tcW w:w="3337" w:type="dxa"/>
            <w:tcBorders>
              <w:top w:val="single" w:color="auto" w:sz="4" w:space="0"/>
              <w:left w:val="nil"/>
              <w:bottom w:val="single" w:color="auto" w:sz="8" w:space="0"/>
              <w:right w:val="single" w:color="auto" w:sz="4" w:space="0"/>
            </w:tcBorders>
            <w:shd w:val="clear" w:color="auto" w:fill="auto"/>
            <w:noWrap/>
            <w:vAlign w:val="center"/>
          </w:tcPr>
          <w:p w14:paraId="1BE33C74">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每月考核评分低于85分，给予乙方处罚</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000元/次</w:t>
            </w:r>
          </w:p>
        </w:tc>
        <w:tc>
          <w:tcPr>
            <w:tcW w:w="4229" w:type="dxa"/>
            <w:vMerge w:val="continue"/>
            <w:tcBorders>
              <w:top w:val="nil"/>
              <w:left w:val="single" w:color="auto" w:sz="4" w:space="0"/>
              <w:bottom w:val="single" w:color="000000" w:sz="8" w:space="0"/>
              <w:right w:val="single" w:color="auto" w:sz="8" w:space="0"/>
            </w:tcBorders>
            <w:vAlign w:val="center"/>
          </w:tcPr>
          <w:p w14:paraId="7792E642">
            <w:pPr>
              <w:rPr>
                <w:rFonts w:ascii="宋体" w:hAnsi="宋体" w:cs="宋体"/>
                <w:color w:val="000000" w:themeColor="text1"/>
                <w:sz w:val="20"/>
                <w:szCs w:val="20"/>
                <w14:textFill>
                  <w14:solidFill>
                    <w14:schemeClr w14:val="tx1"/>
                  </w14:solidFill>
                </w14:textFill>
              </w:rPr>
            </w:pPr>
          </w:p>
        </w:tc>
      </w:tr>
    </w:tbl>
    <w:p w14:paraId="48A8FD26"/>
    <w:p w14:paraId="16048043"/>
    <w:sectPr>
      <w:headerReference r:id="rId6" w:type="default"/>
      <w:footerReference r:id="rId7" w:type="default"/>
      <w:footerReference r:id="rId8"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F58C">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19</w:t>
    </w:r>
    <w:r>
      <w:rPr>
        <w:rStyle w:val="21"/>
      </w:rPr>
      <w:fldChar w:fldCharType="end"/>
    </w:r>
  </w:p>
  <w:p w14:paraId="4E59DCA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474D">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36B213D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A3CF">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14:paraId="411A1716">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0826">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5F468E0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51D6">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F540">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46BFB"/>
    <w:multiLevelType w:val="multilevel"/>
    <w:tmpl w:val="05646BF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6861C3"/>
    <w:multiLevelType w:val="multilevel"/>
    <w:tmpl w:val="066861C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6853FE5"/>
    <w:multiLevelType w:val="multilevel"/>
    <w:tmpl w:val="06853FE5"/>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A911F76"/>
    <w:multiLevelType w:val="multilevel"/>
    <w:tmpl w:val="0A911F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FA7AAC"/>
    <w:multiLevelType w:val="multilevel"/>
    <w:tmpl w:val="0CFA7A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50377A"/>
    <w:multiLevelType w:val="multilevel"/>
    <w:tmpl w:val="165037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9A2940"/>
    <w:multiLevelType w:val="multilevel"/>
    <w:tmpl w:val="1A9A29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111E8D"/>
    <w:multiLevelType w:val="multilevel"/>
    <w:tmpl w:val="1B111E8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117C9F"/>
    <w:multiLevelType w:val="multilevel"/>
    <w:tmpl w:val="1F117C9F"/>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4E781E"/>
    <w:multiLevelType w:val="multilevel"/>
    <w:tmpl w:val="204E781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8045D8"/>
    <w:multiLevelType w:val="multilevel"/>
    <w:tmpl w:val="228045D8"/>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5851097"/>
    <w:multiLevelType w:val="multilevel"/>
    <w:tmpl w:val="25851097"/>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5DC1FB3"/>
    <w:multiLevelType w:val="multilevel"/>
    <w:tmpl w:val="25DC1FB3"/>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A314ABF"/>
    <w:multiLevelType w:val="multilevel"/>
    <w:tmpl w:val="2A314ABF"/>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DB41C05"/>
    <w:multiLevelType w:val="multilevel"/>
    <w:tmpl w:val="2DB41C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3C6AB0"/>
    <w:multiLevelType w:val="multilevel"/>
    <w:tmpl w:val="323C6AB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37B3955"/>
    <w:multiLevelType w:val="multilevel"/>
    <w:tmpl w:val="337B3955"/>
    <w:lvl w:ilvl="0" w:tentative="0">
      <w:start w:val="1"/>
      <w:numFmt w:val="decimal"/>
      <w:lvlText w:val="(%1)"/>
      <w:lvlJc w:val="left"/>
      <w:pPr>
        <w:tabs>
          <w:tab w:val="left" w:pos="624"/>
        </w:tabs>
        <w:ind w:left="624" w:hanging="624"/>
      </w:pPr>
      <w:rPr>
        <w:rFonts w:hint="eastAsia"/>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20C0AFE"/>
    <w:multiLevelType w:val="multilevel"/>
    <w:tmpl w:val="420C0A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3531A3"/>
    <w:multiLevelType w:val="multilevel"/>
    <w:tmpl w:val="463531A3"/>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913868"/>
    <w:multiLevelType w:val="multilevel"/>
    <w:tmpl w:val="4B9138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B115EC1"/>
    <w:multiLevelType w:val="multilevel"/>
    <w:tmpl w:val="5B115E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4D5C59"/>
    <w:multiLevelType w:val="multilevel"/>
    <w:tmpl w:val="5B4D5C59"/>
    <w:lvl w:ilvl="0" w:tentative="0">
      <w:start w:val="1"/>
      <w:numFmt w:val="decimal"/>
      <w:lvlText w:val="%1."/>
      <w:lvlJc w:val="left"/>
      <w:pPr>
        <w:ind w:left="360" w:hanging="360"/>
      </w:pPr>
    </w:lvl>
    <w:lvl w:ilvl="1" w:tentative="0">
      <w:start w:val="2"/>
      <w:numFmt w:val="decimal"/>
      <w:isLgl/>
      <w:lvlText w:val="%1.%2"/>
      <w:lvlJc w:val="left"/>
      <w:pPr>
        <w:ind w:left="405" w:hanging="405"/>
      </w:pPr>
    </w:lvl>
    <w:lvl w:ilvl="2" w:tentative="0">
      <w:start w:val="1"/>
      <w:numFmt w:val="decimal"/>
      <w:isLgl/>
      <w:lvlText w:val="%1.%2.%3"/>
      <w:lvlJc w:val="left"/>
      <w:pPr>
        <w:ind w:left="720" w:hanging="720"/>
      </w:pPr>
    </w:lvl>
    <w:lvl w:ilvl="3" w:tentative="0">
      <w:start w:val="1"/>
      <w:numFmt w:val="decimal"/>
      <w:isLgl/>
      <w:lvlText w:val="%1.%2.%3.%4"/>
      <w:lvlJc w:val="left"/>
      <w:pPr>
        <w:ind w:left="720" w:hanging="720"/>
      </w:pPr>
    </w:lvl>
    <w:lvl w:ilvl="4" w:tentative="0">
      <w:start w:val="1"/>
      <w:numFmt w:val="decimal"/>
      <w:isLgl/>
      <w:lvlText w:val="%1.%2.%3.%4.%5"/>
      <w:lvlJc w:val="left"/>
      <w:pPr>
        <w:ind w:left="1080" w:hanging="1080"/>
      </w:pPr>
    </w:lvl>
    <w:lvl w:ilvl="5" w:tentative="0">
      <w:start w:val="1"/>
      <w:numFmt w:val="decimal"/>
      <w:isLgl/>
      <w:lvlText w:val="%1.%2.%3.%4.%5.%6"/>
      <w:lvlJc w:val="left"/>
      <w:pPr>
        <w:ind w:left="1080" w:hanging="1080"/>
      </w:pPr>
    </w:lvl>
    <w:lvl w:ilvl="6" w:tentative="0">
      <w:start w:val="1"/>
      <w:numFmt w:val="decimal"/>
      <w:isLgl/>
      <w:lvlText w:val="%1.%2.%3.%4.%5.%6.%7"/>
      <w:lvlJc w:val="left"/>
      <w:pPr>
        <w:ind w:left="1440" w:hanging="1440"/>
      </w:pPr>
    </w:lvl>
    <w:lvl w:ilvl="7" w:tentative="0">
      <w:start w:val="1"/>
      <w:numFmt w:val="decimal"/>
      <w:isLgl/>
      <w:lvlText w:val="%1.%2.%3.%4.%5.%6.%7.%8"/>
      <w:lvlJc w:val="left"/>
      <w:pPr>
        <w:ind w:left="1440" w:hanging="1440"/>
      </w:pPr>
    </w:lvl>
    <w:lvl w:ilvl="8" w:tentative="0">
      <w:start w:val="1"/>
      <w:numFmt w:val="decimal"/>
      <w:isLgl/>
      <w:lvlText w:val="%1.%2.%3.%4.%5.%6.%7.%8.%9"/>
      <w:lvlJc w:val="left"/>
      <w:pPr>
        <w:ind w:left="1800" w:hanging="1800"/>
      </w:pPr>
    </w:lvl>
  </w:abstractNum>
  <w:abstractNum w:abstractNumId="22">
    <w:nsid w:val="61497273"/>
    <w:multiLevelType w:val="multilevel"/>
    <w:tmpl w:val="614972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2860CA7"/>
    <w:multiLevelType w:val="multilevel"/>
    <w:tmpl w:val="62860CA7"/>
    <w:lvl w:ilvl="0" w:tentative="0">
      <w:start w:val="1"/>
      <w:numFmt w:val="ideographDigital"/>
      <w:lvlText w:val="第%1条"/>
      <w:lvlJc w:val="left"/>
      <w:pPr>
        <w:tabs>
          <w:tab w:val="left" w:pos="624"/>
        </w:tabs>
        <w:ind w:left="907" w:hanging="907"/>
      </w:pPr>
      <w:rPr>
        <w:rFonts w:hint="eastAsia"/>
      </w:rPr>
    </w:lvl>
    <w:lvl w:ilvl="1" w:tentative="0">
      <w:start w:val="1"/>
      <w:numFmt w:val="decimal"/>
      <w:lvlText w:val="%2."/>
      <w:lvlJc w:val="left"/>
      <w:pPr>
        <w:tabs>
          <w:tab w:val="left" w:pos="624"/>
        </w:tabs>
        <w:ind w:left="680" w:hanging="680"/>
      </w:pPr>
      <w:rPr>
        <w:rFonts w:hint="eastAsia"/>
        <w:b/>
        <w:color w:val="auto"/>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25">
    <w:nsid w:val="6B172BBE"/>
    <w:multiLevelType w:val="multilevel"/>
    <w:tmpl w:val="6B172BBE"/>
    <w:lvl w:ilvl="0" w:tentative="0">
      <w:start w:val="1"/>
      <w:numFmt w:val="decimal"/>
      <w:lvlText w:val="%1."/>
      <w:lvlJc w:val="left"/>
      <w:pPr>
        <w:ind w:left="425" w:hanging="425"/>
      </w:pPr>
    </w:lvl>
    <w:lvl w:ilvl="1" w:tentative="0">
      <w:start w:val="1"/>
      <w:numFmt w:val="lowerLetter"/>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6FF71904"/>
    <w:multiLevelType w:val="multilevel"/>
    <w:tmpl w:val="6FF7190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8">
    <w:nsid w:val="78B33B8B"/>
    <w:multiLevelType w:val="multilevel"/>
    <w:tmpl w:val="78B33B8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9021A4C"/>
    <w:multiLevelType w:val="multilevel"/>
    <w:tmpl w:val="79021A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30"/>
  </w:num>
  <w:num w:numId="2">
    <w:abstractNumId w:val="24"/>
  </w:num>
  <w:num w:numId="3">
    <w:abstractNumId w:val="27"/>
  </w:num>
  <w:num w:numId="4">
    <w:abstractNumId w:val="9"/>
  </w:num>
  <w:num w:numId="5">
    <w:abstractNumId w:val="4"/>
  </w:num>
  <w:num w:numId="6">
    <w:abstractNumId w:val="3"/>
  </w:num>
  <w:num w:numId="7">
    <w:abstractNumId w:val="12"/>
  </w:num>
  <w:num w:numId="8">
    <w:abstractNumId w:val="18"/>
  </w:num>
  <w:num w:numId="9">
    <w:abstractNumId w:val="7"/>
  </w:num>
  <w:num w:numId="10">
    <w:abstractNumId w:val="28"/>
  </w:num>
  <w:num w:numId="11">
    <w:abstractNumId w:val="8"/>
  </w:num>
  <w:num w:numId="12">
    <w:abstractNumId w:val="20"/>
  </w:num>
  <w:num w:numId="13">
    <w:abstractNumId w:val="19"/>
  </w:num>
  <w:num w:numId="14">
    <w:abstractNumId w:val="0"/>
  </w:num>
  <w:num w:numId="15">
    <w:abstractNumId w:val="14"/>
  </w:num>
  <w:num w:numId="16">
    <w:abstractNumId w:val="26"/>
  </w:num>
  <w:num w:numId="17">
    <w:abstractNumId w:val="6"/>
  </w:num>
  <w:num w:numId="1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
  </w:num>
  <w:num w:numId="25">
    <w:abstractNumId w:val="17"/>
  </w:num>
  <w:num w:numId="26">
    <w:abstractNumId w:val="23"/>
  </w:num>
  <w:num w:numId="27">
    <w:abstractNumId w:val="16"/>
  </w:num>
  <w:num w:numId="28">
    <w:abstractNumId w:val="11"/>
  </w:num>
  <w:num w:numId="29">
    <w:abstractNumId w:val="13"/>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62173"/>
    <w:rsid w:val="00062808"/>
    <w:rsid w:val="000629B3"/>
    <w:rsid w:val="00067ACD"/>
    <w:rsid w:val="00074EDB"/>
    <w:rsid w:val="000809F8"/>
    <w:rsid w:val="00080F34"/>
    <w:rsid w:val="0008208E"/>
    <w:rsid w:val="0008440A"/>
    <w:rsid w:val="00090291"/>
    <w:rsid w:val="000919E5"/>
    <w:rsid w:val="0009443E"/>
    <w:rsid w:val="000A1163"/>
    <w:rsid w:val="000A2D12"/>
    <w:rsid w:val="000B0769"/>
    <w:rsid w:val="000B210F"/>
    <w:rsid w:val="000B22CC"/>
    <w:rsid w:val="000B3CC1"/>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3CD7"/>
    <w:rsid w:val="000F4027"/>
    <w:rsid w:val="000F5FD6"/>
    <w:rsid w:val="000F6413"/>
    <w:rsid w:val="000F68A0"/>
    <w:rsid w:val="000F6EF9"/>
    <w:rsid w:val="000F7054"/>
    <w:rsid w:val="000F7E34"/>
    <w:rsid w:val="001006BE"/>
    <w:rsid w:val="001008B6"/>
    <w:rsid w:val="00101ACA"/>
    <w:rsid w:val="001058B7"/>
    <w:rsid w:val="001078C5"/>
    <w:rsid w:val="00113A2E"/>
    <w:rsid w:val="0011406D"/>
    <w:rsid w:val="001145DE"/>
    <w:rsid w:val="00121202"/>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1AB9"/>
    <w:rsid w:val="001F7460"/>
    <w:rsid w:val="00203B53"/>
    <w:rsid w:val="00204FEF"/>
    <w:rsid w:val="00210D88"/>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6CEA"/>
    <w:rsid w:val="002A762F"/>
    <w:rsid w:val="002A7688"/>
    <w:rsid w:val="002C0527"/>
    <w:rsid w:val="002C3EEA"/>
    <w:rsid w:val="002C3F54"/>
    <w:rsid w:val="002C7997"/>
    <w:rsid w:val="002D2CB9"/>
    <w:rsid w:val="002D3520"/>
    <w:rsid w:val="002D3D34"/>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4A96"/>
    <w:rsid w:val="00354B1C"/>
    <w:rsid w:val="003552CF"/>
    <w:rsid w:val="00355FD3"/>
    <w:rsid w:val="00356906"/>
    <w:rsid w:val="00356FB5"/>
    <w:rsid w:val="00363421"/>
    <w:rsid w:val="0036495B"/>
    <w:rsid w:val="003650AF"/>
    <w:rsid w:val="003652FB"/>
    <w:rsid w:val="00365CCB"/>
    <w:rsid w:val="0036721B"/>
    <w:rsid w:val="003675AA"/>
    <w:rsid w:val="00367FAD"/>
    <w:rsid w:val="00370E86"/>
    <w:rsid w:val="00371464"/>
    <w:rsid w:val="00381F9C"/>
    <w:rsid w:val="00382499"/>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62A3"/>
    <w:rsid w:val="003C727C"/>
    <w:rsid w:val="003D19F8"/>
    <w:rsid w:val="003D1A56"/>
    <w:rsid w:val="003D1C97"/>
    <w:rsid w:val="003D45C2"/>
    <w:rsid w:val="003D61B6"/>
    <w:rsid w:val="003E1DC4"/>
    <w:rsid w:val="003E2A92"/>
    <w:rsid w:val="003E49CA"/>
    <w:rsid w:val="003E5FD2"/>
    <w:rsid w:val="003E6E59"/>
    <w:rsid w:val="003E723B"/>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1347"/>
    <w:rsid w:val="0048372D"/>
    <w:rsid w:val="00484763"/>
    <w:rsid w:val="00484BC6"/>
    <w:rsid w:val="004861AF"/>
    <w:rsid w:val="0048680E"/>
    <w:rsid w:val="00486C44"/>
    <w:rsid w:val="004917C6"/>
    <w:rsid w:val="00496FD3"/>
    <w:rsid w:val="004A09A8"/>
    <w:rsid w:val="004A33CE"/>
    <w:rsid w:val="004A3421"/>
    <w:rsid w:val="004A434F"/>
    <w:rsid w:val="004A5B9F"/>
    <w:rsid w:val="004A687A"/>
    <w:rsid w:val="004A7E52"/>
    <w:rsid w:val="004B3960"/>
    <w:rsid w:val="004B6C89"/>
    <w:rsid w:val="004C10CF"/>
    <w:rsid w:val="004C1E64"/>
    <w:rsid w:val="004C54DD"/>
    <w:rsid w:val="004C5F7B"/>
    <w:rsid w:val="004D0DDA"/>
    <w:rsid w:val="004D1257"/>
    <w:rsid w:val="004D21DE"/>
    <w:rsid w:val="004D43C0"/>
    <w:rsid w:val="004D5A4C"/>
    <w:rsid w:val="004D5F21"/>
    <w:rsid w:val="004D5F55"/>
    <w:rsid w:val="004E1D53"/>
    <w:rsid w:val="004E5E96"/>
    <w:rsid w:val="004E77E4"/>
    <w:rsid w:val="004F1546"/>
    <w:rsid w:val="004F2193"/>
    <w:rsid w:val="004F32DE"/>
    <w:rsid w:val="004F4BDE"/>
    <w:rsid w:val="004F6826"/>
    <w:rsid w:val="005028C4"/>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7C8"/>
    <w:rsid w:val="00546A00"/>
    <w:rsid w:val="00547C29"/>
    <w:rsid w:val="00552083"/>
    <w:rsid w:val="00554513"/>
    <w:rsid w:val="0055799B"/>
    <w:rsid w:val="005645A3"/>
    <w:rsid w:val="00565F8E"/>
    <w:rsid w:val="005673E3"/>
    <w:rsid w:val="00570A9A"/>
    <w:rsid w:val="005711EB"/>
    <w:rsid w:val="00571617"/>
    <w:rsid w:val="00571D7E"/>
    <w:rsid w:val="00572F14"/>
    <w:rsid w:val="00574880"/>
    <w:rsid w:val="00582081"/>
    <w:rsid w:val="0059024E"/>
    <w:rsid w:val="00590DBA"/>
    <w:rsid w:val="00595E7D"/>
    <w:rsid w:val="00597212"/>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5629"/>
    <w:rsid w:val="006265D2"/>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0DF0"/>
    <w:rsid w:val="00673329"/>
    <w:rsid w:val="00673C02"/>
    <w:rsid w:val="00687019"/>
    <w:rsid w:val="00687A76"/>
    <w:rsid w:val="00692002"/>
    <w:rsid w:val="006922DF"/>
    <w:rsid w:val="006A2418"/>
    <w:rsid w:val="006A2558"/>
    <w:rsid w:val="006A3976"/>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0C7"/>
    <w:rsid w:val="006F3D90"/>
    <w:rsid w:val="006F47A6"/>
    <w:rsid w:val="006F58CE"/>
    <w:rsid w:val="00700D4B"/>
    <w:rsid w:val="00704A99"/>
    <w:rsid w:val="00710A1B"/>
    <w:rsid w:val="00711E42"/>
    <w:rsid w:val="0071473E"/>
    <w:rsid w:val="0071512E"/>
    <w:rsid w:val="007163FF"/>
    <w:rsid w:val="007204B8"/>
    <w:rsid w:val="007215BB"/>
    <w:rsid w:val="007229A9"/>
    <w:rsid w:val="007250E3"/>
    <w:rsid w:val="00725277"/>
    <w:rsid w:val="00725A19"/>
    <w:rsid w:val="00726459"/>
    <w:rsid w:val="00727D10"/>
    <w:rsid w:val="00730F32"/>
    <w:rsid w:val="0073287E"/>
    <w:rsid w:val="00732A1F"/>
    <w:rsid w:val="00740985"/>
    <w:rsid w:val="00741E86"/>
    <w:rsid w:val="00745653"/>
    <w:rsid w:val="00746955"/>
    <w:rsid w:val="007528CF"/>
    <w:rsid w:val="00753B63"/>
    <w:rsid w:val="00754BDC"/>
    <w:rsid w:val="007554FB"/>
    <w:rsid w:val="007572E0"/>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4921"/>
    <w:rsid w:val="007B75CD"/>
    <w:rsid w:val="007C1B92"/>
    <w:rsid w:val="007C36D3"/>
    <w:rsid w:val="007C3848"/>
    <w:rsid w:val="007C3D2C"/>
    <w:rsid w:val="007C7D3D"/>
    <w:rsid w:val="007D5BA4"/>
    <w:rsid w:val="007D6C71"/>
    <w:rsid w:val="007D7B85"/>
    <w:rsid w:val="007E0EF4"/>
    <w:rsid w:val="007E6350"/>
    <w:rsid w:val="007E7FC5"/>
    <w:rsid w:val="007F60BE"/>
    <w:rsid w:val="007F7450"/>
    <w:rsid w:val="008009F5"/>
    <w:rsid w:val="0080403B"/>
    <w:rsid w:val="008052FA"/>
    <w:rsid w:val="00806975"/>
    <w:rsid w:val="008078A0"/>
    <w:rsid w:val="00815129"/>
    <w:rsid w:val="0081558F"/>
    <w:rsid w:val="00817D1A"/>
    <w:rsid w:val="00821629"/>
    <w:rsid w:val="00822222"/>
    <w:rsid w:val="008256F3"/>
    <w:rsid w:val="00827A2B"/>
    <w:rsid w:val="00831451"/>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184"/>
    <w:rsid w:val="008852C0"/>
    <w:rsid w:val="0088607B"/>
    <w:rsid w:val="00887FAF"/>
    <w:rsid w:val="00892A7B"/>
    <w:rsid w:val="008941B7"/>
    <w:rsid w:val="00895D3C"/>
    <w:rsid w:val="008974D5"/>
    <w:rsid w:val="008A2F7B"/>
    <w:rsid w:val="008A68FC"/>
    <w:rsid w:val="008A6FCF"/>
    <w:rsid w:val="008A7B80"/>
    <w:rsid w:val="008B71A9"/>
    <w:rsid w:val="008C0343"/>
    <w:rsid w:val="008C0664"/>
    <w:rsid w:val="008C3312"/>
    <w:rsid w:val="008C6809"/>
    <w:rsid w:val="008C7F64"/>
    <w:rsid w:val="008D2FA2"/>
    <w:rsid w:val="008D7025"/>
    <w:rsid w:val="008E1A3F"/>
    <w:rsid w:val="008E33AC"/>
    <w:rsid w:val="008E3621"/>
    <w:rsid w:val="008E62F8"/>
    <w:rsid w:val="008E740E"/>
    <w:rsid w:val="008E78E0"/>
    <w:rsid w:val="008F339F"/>
    <w:rsid w:val="008F4059"/>
    <w:rsid w:val="008F5BD1"/>
    <w:rsid w:val="008F7049"/>
    <w:rsid w:val="009029D2"/>
    <w:rsid w:val="0090771C"/>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52A1"/>
    <w:rsid w:val="00956313"/>
    <w:rsid w:val="00956FC7"/>
    <w:rsid w:val="009602E3"/>
    <w:rsid w:val="00961EBE"/>
    <w:rsid w:val="00964495"/>
    <w:rsid w:val="00970A93"/>
    <w:rsid w:val="00971586"/>
    <w:rsid w:val="00972709"/>
    <w:rsid w:val="00975BF3"/>
    <w:rsid w:val="00977C73"/>
    <w:rsid w:val="0098079B"/>
    <w:rsid w:val="00980CEE"/>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3882"/>
    <w:rsid w:val="009F4003"/>
    <w:rsid w:val="009F4D40"/>
    <w:rsid w:val="009F7DBF"/>
    <w:rsid w:val="00A138AC"/>
    <w:rsid w:val="00A15C96"/>
    <w:rsid w:val="00A16568"/>
    <w:rsid w:val="00A16844"/>
    <w:rsid w:val="00A169FD"/>
    <w:rsid w:val="00A2266C"/>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A72"/>
    <w:rsid w:val="00A96BCB"/>
    <w:rsid w:val="00A97225"/>
    <w:rsid w:val="00AA1134"/>
    <w:rsid w:val="00AA1A3A"/>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59BE"/>
    <w:rsid w:val="00AE69A3"/>
    <w:rsid w:val="00AE76DC"/>
    <w:rsid w:val="00AE7DE0"/>
    <w:rsid w:val="00AF0DDA"/>
    <w:rsid w:val="00AF1D75"/>
    <w:rsid w:val="00AF2494"/>
    <w:rsid w:val="00AF6900"/>
    <w:rsid w:val="00AF6B17"/>
    <w:rsid w:val="00B00954"/>
    <w:rsid w:val="00B0193B"/>
    <w:rsid w:val="00B03F84"/>
    <w:rsid w:val="00B0701A"/>
    <w:rsid w:val="00B15C96"/>
    <w:rsid w:val="00B2088F"/>
    <w:rsid w:val="00B2116A"/>
    <w:rsid w:val="00B21752"/>
    <w:rsid w:val="00B25EE1"/>
    <w:rsid w:val="00B25F3A"/>
    <w:rsid w:val="00B319B3"/>
    <w:rsid w:val="00B341E3"/>
    <w:rsid w:val="00B355F9"/>
    <w:rsid w:val="00B35633"/>
    <w:rsid w:val="00B3576C"/>
    <w:rsid w:val="00B36BA8"/>
    <w:rsid w:val="00B40064"/>
    <w:rsid w:val="00B4027E"/>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60FA"/>
    <w:rsid w:val="00B86FF0"/>
    <w:rsid w:val="00B87519"/>
    <w:rsid w:val="00B9653E"/>
    <w:rsid w:val="00BA311F"/>
    <w:rsid w:val="00BB2DC7"/>
    <w:rsid w:val="00BB2DCC"/>
    <w:rsid w:val="00BB3EC0"/>
    <w:rsid w:val="00BC0093"/>
    <w:rsid w:val="00BC587D"/>
    <w:rsid w:val="00BC6478"/>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E676D"/>
    <w:rsid w:val="00BF1291"/>
    <w:rsid w:val="00BF2E22"/>
    <w:rsid w:val="00BF3576"/>
    <w:rsid w:val="00BF359C"/>
    <w:rsid w:val="00C02737"/>
    <w:rsid w:val="00C0392A"/>
    <w:rsid w:val="00C04476"/>
    <w:rsid w:val="00C12A6F"/>
    <w:rsid w:val="00C1723C"/>
    <w:rsid w:val="00C21467"/>
    <w:rsid w:val="00C22668"/>
    <w:rsid w:val="00C23381"/>
    <w:rsid w:val="00C253E0"/>
    <w:rsid w:val="00C26CFC"/>
    <w:rsid w:val="00C26E12"/>
    <w:rsid w:val="00C26EC3"/>
    <w:rsid w:val="00C26FE3"/>
    <w:rsid w:val="00C30C27"/>
    <w:rsid w:val="00C33583"/>
    <w:rsid w:val="00C407A0"/>
    <w:rsid w:val="00C41835"/>
    <w:rsid w:val="00C439FC"/>
    <w:rsid w:val="00C44FCC"/>
    <w:rsid w:val="00C46A59"/>
    <w:rsid w:val="00C47582"/>
    <w:rsid w:val="00C50AA7"/>
    <w:rsid w:val="00C53825"/>
    <w:rsid w:val="00C60BD3"/>
    <w:rsid w:val="00C60DA4"/>
    <w:rsid w:val="00C6123D"/>
    <w:rsid w:val="00C61328"/>
    <w:rsid w:val="00C6449E"/>
    <w:rsid w:val="00C653EE"/>
    <w:rsid w:val="00C65588"/>
    <w:rsid w:val="00C65762"/>
    <w:rsid w:val="00C66999"/>
    <w:rsid w:val="00C67DEE"/>
    <w:rsid w:val="00C70530"/>
    <w:rsid w:val="00C743BE"/>
    <w:rsid w:val="00C748F9"/>
    <w:rsid w:val="00C77E3A"/>
    <w:rsid w:val="00C81581"/>
    <w:rsid w:val="00C84119"/>
    <w:rsid w:val="00C85293"/>
    <w:rsid w:val="00C90279"/>
    <w:rsid w:val="00C902BC"/>
    <w:rsid w:val="00C90DCC"/>
    <w:rsid w:val="00C916E2"/>
    <w:rsid w:val="00C91DB4"/>
    <w:rsid w:val="00C92401"/>
    <w:rsid w:val="00C92525"/>
    <w:rsid w:val="00C93E15"/>
    <w:rsid w:val="00C94175"/>
    <w:rsid w:val="00C95832"/>
    <w:rsid w:val="00C9786E"/>
    <w:rsid w:val="00C97CA6"/>
    <w:rsid w:val="00CA1C10"/>
    <w:rsid w:val="00CA2862"/>
    <w:rsid w:val="00CA2B05"/>
    <w:rsid w:val="00CA4075"/>
    <w:rsid w:val="00CA7358"/>
    <w:rsid w:val="00CA763B"/>
    <w:rsid w:val="00CB05B5"/>
    <w:rsid w:val="00CB149B"/>
    <w:rsid w:val="00CB4ED9"/>
    <w:rsid w:val="00CB569B"/>
    <w:rsid w:val="00CC4CCF"/>
    <w:rsid w:val="00CC6E2E"/>
    <w:rsid w:val="00CC6EA8"/>
    <w:rsid w:val="00CD44C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1FB"/>
    <w:rsid w:val="00D32CCE"/>
    <w:rsid w:val="00D3633F"/>
    <w:rsid w:val="00D519E7"/>
    <w:rsid w:val="00D53AFC"/>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028D"/>
    <w:rsid w:val="00D96755"/>
    <w:rsid w:val="00D971EA"/>
    <w:rsid w:val="00D97559"/>
    <w:rsid w:val="00DA006D"/>
    <w:rsid w:val="00DA40B0"/>
    <w:rsid w:val="00DA4312"/>
    <w:rsid w:val="00DA6E9E"/>
    <w:rsid w:val="00DB08A9"/>
    <w:rsid w:val="00DB4FB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E73B3"/>
    <w:rsid w:val="00DF1550"/>
    <w:rsid w:val="00DF161A"/>
    <w:rsid w:val="00DF1C0A"/>
    <w:rsid w:val="00DF30A0"/>
    <w:rsid w:val="00DF3F23"/>
    <w:rsid w:val="00DF56EC"/>
    <w:rsid w:val="00DF5C9E"/>
    <w:rsid w:val="00DF6762"/>
    <w:rsid w:val="00DF7CA5"/>
    <w:rsid w:val="00E00919"/>
    <w:rsid w:val="00E0164A"/>
    <w:rsid w:val="00E02DBD"/>
    <w:rsid w:val="00E10D22"/>
    <w:rsid w:val="00E1361E"/>
    <w:rsid w:val="00E14F23"/>
    <w:rsid w:val="00E1624B"/>
    <w:rsid w:val="00E163E8"/>
    <w:rsid w:val="00E17F22"/>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10B7"/>
    <w:rsid w:val="00E62392"/>
    <w:rsid w:val="00E6484F"/>
    <w:rsid w:val="00E6659E"/>
    <w:rsid w:val="00E679B3"/>
    <w:rsid w:val="00E679DE"/>
    <w:rsid w:val="00E72432"/>
    <w:rsid w:val="00E731A6"/>
    <w:rsid w:val="00E745BE"/>
    <w:rsid w:val="00E749B0"/>
    <w:rsid w:val="00E75040"/>
    <w:rsid w:val="00E76424"/>
    <w:rsid w:val="00E76CE0"/>
    <w:rsid w:val="00E77DB4"/>
    <w:rsid w:val="00E80C30"/>
    <w:rsid w:val="00E81A7D"/>
    <w:rsid w:val="00E821F7"/>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EEF"/>
    <w:rsid w:val="00EC0EF5"/>
    <w:rsid w:val="00EC59F7"/>
    <w:rsid w:val="00EC631D"/>
    <w:rsid w:val="00EC6ECF"/>
    <w:rsid w:val="00EC74AA"/>
    <w:rsid w:val="00EC7E7F"/>
    <w:rsid w:val="00ED23DB"/>
    <w:rsid w:val="00ED377F"/>
    <w:rsid w:val="00ED4595"/>
    <w:rsid w:val="00EE5A51"/>
    <w:rsid w:val="00EE5A7E"/>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34F"/>
    <w:rsid w:val="00FA3B64"/>
    <w:rsid w:val="00FB337D"/>
    <w:rsid w:val="00FB40BE"/>
    <w:rsid w:val="00FB45AF"/>
    <w:rsid w:val="00FB4BAF"/>
    <w:rsid w:val="00FC17E6"/>
    <w:rsid w:val="00FC4BF8"/>
    <w:rsid w:val="00FD1D40"/>
    <w:rsid w:val="00FD1F65"/>
    <w:rsid w:val="00FD4C98"/>
    <w:rsid w:val="00FD4FEA"/>
    <w:rsid w:val="00FE0200"/>
    <w:rsid w:val="00FE024C"/>
    <w:rsid w:val="00FE35E3"/>
    <w:rsid w:val="00FE3EA2"/>
    <w:rsid w:val="00FE5DF7"/>
    <w:rsid w:val="00FE7F59"/>
    <w:rsid w:val="00FF0A0B"/>
    <w:rsid w:val="00FF47CF"/>
    <w:rsid w:val="00FF5ED6"/>
    <w:rsid w:val="00FF615E"/>
    <w:rsid w:val="00FF619C"/>
    <w:rsid w:val="02B70064"/>
    <w:rsid w:val="042A0CA0"/>
    <w:rsid w:val="07BA03C2"/>
    <w:rsid w:val="1A2B77F4"/>
    <w:rsid w:val="29934A6D"/>
    <w:rsid w:val="39247423"/>
    <w:rsid w:val="437E1E93"/>
    <w:rsid w:val="51881158"/>
    <w:rsid w:val="62693927"/>
    <w:rsid w:val="7B082439"/>
    <w:rsid w:val="7E4102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pPr>
      <w:tabs>
        <w:tab w:val="right" w:leader="dot" w:pos="9231"/>
      </w:tabs>
    </w:pPr>
    <w:rPr>
      <w:rFonts w:ascii="宋体" w:hAnsi="宋体"/>
      <w:b/>
      <w:sz w:val="28"/>
      <w:szCs w:val="28"/>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qFormat/>
    <w:uiPriority w:val="99"/>
    <w:pPr>
      <w:widowControl w:val="0"/>
      <w:tabs>
        <w:tab w:val="right" w:leader="dot" w:pos="9231"/>
      </w:tabs>
    </w:pPr>
    <w:rPr>
      <w:smallCaps/>
      <w:kern w:val="2"/>
      <w:sz w:val="21"/>
    </w:rPr>
  </w:style>
  <w:style w:type="paragraph" w:styleId="15">
    <w:name w:val="index 1"/>
    <w:basedOn w:val="1"/>
    <w:next w:val="1"/>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character" w:styleId="22">
    <w:name w:val="FollowedHyperlink"/>
    <w:basedOn w:val="20"/>
    <w:unhideWhenUsed/>
    <w:qFormat/>
    <w:uiPriority w:val="99"/>
    <w:rPr>
      <w:color w:val="800080"/>
      <w:u w:val="single"/>
    </w:rPr>
  </w:style>
  <w:style w:type="character" w:styleId="23">
    <w:name w:val="Hyperlink"/>
    <w:basedOn w:val="20"/>
    <w:qFormat/>
    <w:uiPriority w:val="99"/>
    <w:rPr>
      <w:rFonts w:cs="Times New Roman"/>
      <w:color w:val="0000FF"/>
      <w:u w:val="single"/>
    </w:rPr>
  </w:style>
  <w:style w:type="character" w:styleId="24">
    <w:name w:val="annotation reference"/>
    <w:basedOn w:val="20"/>
    <w:qFormat/>
    <w:uiPriority w:val="99"/>
    <w:rPr>
      <w:rFonts w:cs="Times New Roman"/>
      <w:sz w:val="21"/>
      <w:szCs w:val="21"/>
    </w:rPr>
  </w:style>
  <w:style w:type="character" w:customStyle="1" w:styleId="25">
    <w:name w:val="标题 1 字符"/>
    <w:basedOn w:val="20"/>
    <w:link w:val="2"/>
    <w:qFormat/>
    <w:locked/>
    <w:uiPriority w:val="99"/>
    <w:rPr>
      <w:rFonts w:cs="Times New Roman"/>
      <w:b/>
      <w:bCs/>
      <w:kern w:val="44"/>
      <w:sz w:val="44"/>
      <w:szCs w:val="44"/>
    </w:rPr>
  </w:style>
  <w:style w:type="character" w:customStyle="1" w:styleId="26">
    <w:name w:val="标题 2 字符"/>
    <w:basedOn w:val="20"/>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basedOn w:val="20"/>
    <w:link w:val="4"/>
    <w:qFormat/>
    <w:locked/>
    <w:uiPriority w:val="99"/>
    <w:rPr>
      <w:rFonts w:cs="Times New Roman"/>
      <w:kern w:val="0"/>
      <w:sz w:val="2"/>
    </w:rPr>
  </w:style>
  <w:style w:type="character" w:customStyle="1" w:styleId="29">
    <w:name w:val="页脚 字符"/>
    <w:basedOn w:val="20"/>
    <w:link w:val="10"/>
    <w:qFormat/>
    <w:locked/>
    <w:uiPriority w:val="99"/>
    <w:rPr>
      <w:rFonts w:cs="Times New Roman"/>
      <w:kern w:val="0"/>
      <w:sz w:val="18"/>
      <w:szCs w:val="18"/>
    </w:rPr>
  </w:style>
  <w:style w:type="character" w:customStyle="1" w:styleId="30">
    <w:name w:val="正文文本缩进 3 字符"/>
    <w:basedOn w:val="20"/>
    <w:link w:val="13"/>
    <w:qFormat/>
    <w:locked/>
    <w:uiPriority w:val="99"/>
    <w:rPr>
      <w:rFonts w:cs="Times New Roman"/>
      <w:kern w:val="0"/>
      <w:sz w:val="16"/>
      <w:szCs w:val="16"/>
    </w:rPr>
  </w:style>
  <w:style w:type="character" w:customStyle="1" w:styleId="31">
    <w:name w:val="页眉 字符"/>
    <w:basedOn w:val="20"/>
    <w:link w:val="11"/>
    <w:qFormat/>
    <w:locked/>
    <w:uiPriority w:val="99"/>
    <w:rPr>
      <w:rFonts w:cs="Times New Roman"/>
      <w:kern w:val="0"/>
      <w:sz w:val="18"/>
      <w:szCs w:val="18"/>
    </w:rPr>
  </w:style>
  <w:style w:type="character" w:customStyle="1" w:styleId="32">
    <w:name w:val="日期 字符"/>
    <w:basedOn w:val="20"/>
    <w:link w:val="8"/>
    <w:qFormat/>
    <w:locked/>
    <w:uiPriority w:val="99"/>
    <w:rPr>
      <w:rFonts w:cs="Times New Roman"/>
      <w:kern w:val="0"/>
      <w:sz w:val="24"/>
      <w:szCs w:val="24"/>
    </w:rPr>
  </w:style>
  <w:style w:type="paragraph" w:customStyle="1" w:styleId="33">
    <w:name w:val="z-窗体顶端1"/>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basedOn w:val="20"/>
    <w:link w:val="33"/>
    <w:qFormat/>
    <w:locked/>
    <w:uiPriority w:val="99"/>
    <w:rPr>
      <w:rFonts w:ascii="Arial" w:hAnsi="Arial" w:cs="Arial"/>
      <w:vanish/>
      <w:kern w:val="0"/>
      <w:sz w:val="16"/>
      <w:szCs w:val="16"/>
    </w:rPr>
  </w:style>
  <w:style w:type="paragraph" w:customStyle="1" w:styleId="35">
    <w:name w:val="z-窗体底端1"/>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basedOn w:val="20"/>
    <w:link w:val="35"/>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basedOn w:val="20"/>
    <w:link w:val="7"/>
    <w:qFormat/>
    <w:locked/>
    <w:uiPriority w:val="0"/>
    <w:rPr>
      <w:rFonts w:ascii="宋体" w:hAnsi="Courier New" w:cs="Courier New"/>
      <w:kern w:val="0"/>
      <w:sz w:val="21"/>
      <w:szCs w:val="21"/>
    </w:rPr>
  </w:style>
  <w:style w:type="character" w:customStyle="1" w:styleId="39">
    <w:name w:val="批注文字 字符"/>
    <w:basedOn w:val="20"/>
    <w:link w:val="5"/>
    <w:qFormat/>
    <w:locked/>
    <w:uiPriority w:val="99"/>
    <w:rPr>
      <w:rFonts w:cs="Times New Roman"/>
      <w:sz w:val="24"/>
      <w:szCs w:val="24"/>
    </w:rPr>
  </w:style>
  <w:style w:type="character" w:customStyle="1" w:styleId="40">
    <w:name w:val="批注主题 字符"/>
    <w:basedOn w:val="39"/>
    <w:link w:val="17"/>
    <w:qFormat/>
    <w:locked/>
    <w:uiPriority w:val="99"/>
    <w:rPr>
      <w:rFonts w:cs="Times New Roman"/>
      <w:b/>
      <w:bCs/>
      <w:sz w:val="24"/>
      <w:szCs w:val="24"/>
    </w:rPr>
  </w:style>
  <w:style w:type="character" w:customStyle="1" w:styleId="41">
    <w:name w:val="批注框文本 字符"/>
    <w:basedOn w:val="20"/>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basedOn w:val="20"/>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标题1"/>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basedOn w:val="20"/>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styleId="64">
    <w:name w:val="List Paragraph"/>
    <w:basedOn w:val="1"/>
    <w:qFormat/>
    <w:uiPriority w:val="34"/>
    <w:pPr>
      <w:ind w:firstLine="420"/>
      <w:jc w:val="both"/>
    </w:pPr>
    <w:rPr>
      <w:rFonts w:ascii="Calibri" w:hAnsi="Calibri"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26418-60FE-4C8A-B290-345E91760D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11763</Words>
  <Characters>12185</Characters>
  <Lines>167</Lines>
  <Paragraphs>47</Paragraphs>
  <TotalTime>0</TotalTime>
  <ScaleCrop>false</ScaleCrop>
  <LinksUpToDate>false</LinksUpToDate>
  <CharactersWithSpaces>12398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2023-07-24T08:48:00Z</dcterms:created>
  <dc:creator>xym</dc:creator>
  <cp:lastModifiedBy>半舒半卷·人依旧</cp:lastModifiedBy>
  <dcterms:modified xsi:type="dcterms:W3CDTF">2025-07-18T04:01:36Z</dcterms:modified>
  <dc:title>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72C1610756CA4559AEEFB137B904AEA0_12</vt:lpwstr>
  </property>
  <property fmtid="{D5CDD505-2E9C-101B-9397-08002B2CF9AE}" pid="4" name="KSOTemplateDocerSaveRecord">
    <vt:lpwstr>eyJoZGlkIjoiZDg5MmVjNTUzZWUwOTYxZDQ5YjkzYWQ2YTkxNGU5ODIiLCJ1c2VySWQiOiI0MjA1NDA5ODkifQ==</vt:lpwstr>
  </property>
</Properties>
</file>