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9378F">
      <w:pPr>
        <w:keepNext w:val="0"/>
        <w:keepLines w:val="0"/>
        <w:pageBreakBefore w:val="0"/>
        <w:widowControl w:val="0"/>
        <w:kinsoku/>
        <w:wordWrap/>
        <w:overflowPunct/>
        <w:topLinePunct w:val="0"/>
        <w:autoSpaceDE/>
        <w:autoSpaceDN/>
        <w:bidi w:val="0"/>
        <w:adjustRightInd/>
        <w:snapToGrid/>
        <w:spacing w:beforeAutospacing="0" w:afterAutospacing="0"/>
        <w:textAlignment w:val="auto"/>
        <w:outlineLvl w:val="9"/>
        <w:rPr>
          <w:rFonts w:hint="eastAsia" w:ascii="楷体" w:hAnsi="楷体" w:eastAsia="楷体" w:cs="楷体"/>
          <w:sz w:val="32"/>
          <w:szCs w:val="32"/>
          <w:lang w:val="en-US" w:eastAsia="zh-CN"/>
        </w:rPr>
      </w:pPr>
    </w:p>
    <w:p w14:paraId="4B1CDDE8">
      <w:pPr>
        <w:keepNext w:val="0"/>
        <w:keepLines w:val="0"/>
        <w:pageBreakBefore w:val="0"/>
        <w:widowControl w:val="0"/>
        <w:kinsoku/>
        <w:wordWrap/>
        <w:overflowPunct/>
        <w:topLinePunct w:val="0"/>
        <w:autoSpaceDE/>
        <w:autoSpaceDN/>
        <w:bidi w:val="0"/>
        <w:adjustRightInd/>
        <w:snapToGrid/>
        <w:spacing w:beforeAutospacing="0" w:afterAutospacing="0"/>
        <w:textAlignment w:val="auto"/>
        <w:outlineLvl w:val="9"/>
        <w:rPr>
          <w:rFonts w:hint="eastAsia"/>
          <w:lang w:val="en-US" w:eastAsia="zh-CN"/>
        </w:rPr>
      </w:pPr>
    </w:p>
    <w:p w14:paraId="28E6ED8F">
      <w:pPr>
        <w:keepNext w:val="0"/>
        <w:keepLines w:val="0"/>
        <w:pageBreakBefore w:val="0"/>
        <w:widowControl w:val="0"/>
        <w:kinsoku/>
        <w:wordWrap/>
        <w:overflowPunct/>
        <w:topLinePunct w:val="0"/>
        <w:autoSpaceDE/>
        <w:autoSpaceDN/>
        <w:bidi w:val="0"/>
        <w:adjustRightInd/>
        <w:snapToGrid/>
        <w:spacing w:beforeAutospacing="0" w:afterAutospacing="0"/>
        <w:jc w:val="center"/>
        <w:textAlignment w:val="auto"/>
        <w:outlineLvl w:val="9"/>
        <w:rPr>
          <w:rFonts w:hint="eastAsia" w:ascii="仿宋" w:hAnsi="仿宋" w:eastAsia="仿宋" w:cs="仿宋"/>
          <w:sz w:val="30"/>
          <w:szCs w:val="30"/>
        </w:rPr>
      </w:pPr>
      <w:r>
        <w:rPr>
          <w:rFonts w:hint="eastAsia" w:ascii="仿宋" w:hAnsi="仿宋" w:eastAsia="仿宋" w:cs="仿宋"/>
          <w:sz w:val="30"/>
          <w:szCs w:val="30"/>
          <w:u w:val="none"/>
          <w:lang w:val="en-US" w:eastAsia="zh-CN"/>
        </w:rPr>
        <w:t>上饶项目水泥运输公开</w:t>
      </w:r>
      <w:r>
        <w:rPr>
          <w:rFonts w:hint="eastAsia" w:ascii="仿宋" w:hAnsi="仿宋" w:eastAsia="仿宋" w:cs="仿宋"/>
          <w:sz w:val="30"/>
          <w:szCs w:val="30"/>
          <w:lang w:val="en-US" w:eastAsia="zh-CN"/>
        </w:rPr>
        <w:t>竞</w:t>
      </w:r>
      <w:r>
        <w:rPr>
          <w:rFonts w:hint="eastAsia" w:ascii="仿宋" w:hAnsi="仿宋" w:eastAsia="仿宋" w:cs="仿宋"/>
          <w:sz w:val="30"/>
          <w:szCs w:val="30"/>
        </w:rPr>
        <w:t>价采购公告</w:t>
      </w:r>
    </w:p>
    <w:p w14:paraId="65F33AC3">
      <w:pPr>
        <w:keepNext w:val="0"/>
        <w:keepLines w:val="0"/>
        <w:pageBreakBefore w:val="0"/>
        <w:widowControl w:val="0"/>
        <w:kinsoku/>
        <w:wordWrap/>
        <w:overflowPunct/>
        <w:topLinePunct w:val="0"/>
        <w:autoSpaceDE/>
        <w:autoSpaceDN/>
        <w:bidi w:val="0"/>
        <w:adjustRightInd/>
        <w:snapToGrid/>
        <w:spacing w:beforeAutospacing="0" w:afterAutospacing="0"/>
        <w:jc w:val="center"/>
        <w:textAlignment w:val="auto"/>
        <w:outlineLvl w:val="9"/>
        <w:rPr>
          <w:rFonts w:hint="eastAsia" w:ascii="仿宋" w:hAnsi="仿宋" w:eastAsia="仿宋" w:cs="仿宋"/>
          <w:sz w:val="32"/>
          <w:szCs w:val="32"/>
        </w:rPr>
      </w:pPr>
    </w:p>
    <w:p w14:paraId="42CBDF24">
      <w:pPr>
        <w:keepNext w:val="0"/>
        <w:keepLines w:val="0"/>
        <w:pageBreakBefore w:val="0"/>
        <w:widowControl w:val="0"/>
        <w:numPr>
          <w:ilvl w:val="0"/>
          <w:numId w:val="1"/>
        </w:numPr>
        <w:kinsoku/>
        <w:wordWrap/>
        <w:overflowPunct/>
        <w:topLinePunct w:val="0"/>
        <w:autoSpaceDE/>
        <w:autoSpaceDN/>
        <w:bidi w:val="0"/>
        <w:adjustRightInd/>
        <w:snapToGrid/>
        <w:textAlignment w:val="auto"/>
        <w:outlineLvl w:val="9"/>
        <w:rPr>
          <w:rFonts w:hint="eastAsia" w:ascii="仿宋" w:hAnsi="仿宋" w:eastAsia="仿宋" w:cs="仿宋"/>
          <w:sz w:val="32"/>
          <w:szCs w:val="32"/>
        </w:rPr>
      </w:pPr>
      <w:bookmarkStart w:id="0" w:name="_Toc22279_WPSOffice_Level1"/>
      <w:r>
        <w:rPr>
          <w:rFonts w:hint="eastAsia" w:ascii="仿宋" w:hAnsi="仿宋" w:eastAsia="仿宋" w:cs="仿宋"/>
          <w:sz w:val="32"/>
          <w:szCs w:val="32"/>
        </w:rPr>
        <w:t>项目基本情况</w:t>
      </w:r>
      <w:bookmarkEnd w:id="0"/>
    </w:p>
    <w:p w14:paraId="17F0E4A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中交物资雄安分公司 水泥 运输</w:t>
      </w:r>
      <w:r>
        <w:rPr>
          <w:rFonts w:hint="eastAsia" w:ascii="仿宋" w:hAnsi="仿宋" w:eastAsia="仿宋" w:cs="仿宋"/>
          <w:sz w:val="32"/>
          <w:szCs w:val="32"/>
        </w:rPr>
        <w:t>采购已具备招标</w:t>
      </w:r>
      <w:r>
        <w:rPr>
          <w:rFonts w:hint="eastAsia" w:ascii="仿宋" w:hAnsi="仿宋" w:eastAsia="仿宋" w:cs="仿宋"/>
          <w:sz w:val="32"/>
          <w:szCs w:val="32"/>
          <w:lang w:val="en-US" w:eastAsia="zh-CN"/>
        </w:rPr>
        <w:t>竞</w:t>
      </w:r>
      <w:r>
        <w:rPr>
          <w:rFonts w:hint="eastAsia" w:ascii="仿宋" w:hAnsi="仿宋" w:eastAsia="仿宋" w:cs="仿宋"/>
          <w:sz w:val="32"/>
          <w:szCs w:val="32"/>
        </w:rPr>
        <w:t>价条件，根据物资公司物资采购管理规定，决定对</w:t>
      </w:r>
      <w:r>
        <w:rPr>
          <w:rFonts w:hint="eastAsia" w:ascii="仿宋" w:hAnsi="仿宋" w:eastAsia="仿宋" w:cs="仿宋"/>
          <w:sz w:val="32"/>
          <w:szCs w:val="32"/>
          <w:lang w:val="en-US" w:eastAsia="zh-CN"/>
        </w:rPr>
        <w:t>水泥运输</w:t>
      </w:r>
      <w:r>
        <w:rPr>
          <w:rFonts w:hint="eastAsia" w:ascii="仿宋" w:hAnsi="仿宋" w:eastAsia="仿宋" w:cs="仿宋"/>
          <w:sz w:val="32"/>
          <w:szCs w:val="32"/>
        </w:rPr>
        <w:t>进行</w:t>
      </w:r>
      <w:r>
        <w:rPr>
          <w:rFonts w:hint="eastAsia" w:ascii="仿宋" w:hAnsi="仿宋" w:eastAsia="仿宋" w:cs="仿宋"/>
          <w:sz w:val="32"/>
          <w:szCs w:val="32"/>
          <w:lang w:val="en-US" w:eastAsia="zh-CN"/>
        </w:rPr>
        <w:t>公开竞</w:t>
      </w:r>
      <w:r>
        <w:rPr>
          <w:rFonts w:hint="eastAsia" w:ascii="仿宋" w:hAnsi="仿宋" w:eastAsia="仿宋" w:cs="仿宋"/>
          <w:sz w:val="32"/>
          <w:szCs w:val="32"/>
        </w:rPr>
        <w:t>价</w:t>
      </w:r>
      <w:r>
        <w:rPr>
          <w:rFonts w:hint="eastAsia" w:ascii="仿宋" w:hAnsi="仿宋" w:eastAsia="仿宋" w:cs="仿宋"/>
          <w:sz w:val="32"/>
          <w:szCs w:val="32"/>
          <w:lang w:eastAsia="zh-CN"/>
        </w:rPr>
        <w:t>。</w:t>
      </w:r>
    </w:p>
    <w:p w14:paraId="54FED376">
      <w:pPr>
        <w:keepNext w:val="0"/>
        <w:keepLines w:val="0"/>
        <w:pageBreakBefore w:val="0"/>
        <w:numPr>
          <w:ilvl w:val="0"/>
          <w:numId w:val="1"/>
        </w:numPr>
        <w:kinsoku/>
        <w:wordWrap/>
        <w:overflowPunct/>
        <w:topLinePunct w:val="0"/>
        <w:autoSpaceDE/>
        <w:autoSpaceDN/>
        <w:bidi w:val="0"/>
        <w:adjustRightInd/>
        <w:snapToGrid/>
        <w:outlineLvl w:val="9"/>
        <w:rPr>
          <w:rFonts w:hint="eastAsia" w:ascii="仿宋" w:hAnsi="仿宋" w:eastAsia="仿宋" w:cs="仿宋"/>
          <w:sz w:val="32"/>
          <w:szCs w:val="32"/>
        </w:rPr>
      </w:pPr>
      <w:bookmarkStart w:id="1" w:name="_Toc20639_WPSOffice_Level1"/>
      <w:r>
        <w:rPr>
          <w:rFonts w:hint="eastAsia" w:ascii="仿宋" w:hAnsi="仿宋" w:eastAsia="仿宋" w:cs="仿宋"/>
          <w:sz w:val="32"/>
          <w:szCs w:val="32"/>
        </w:rPr>
        <w:t>物资数量、交货周期及交货地点</w:t>
      </w:r>
      <w:bookmarkEnd w:id="1"/>
    </w:p>
    <w:tbl>
      <w:tblPr>
        <w:tblStyle w:val="5"/>
        <w:tblW w:w="875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06"/>
        <w:gridCol w:w="1587"/>
        <w:gridCol w:w="1058"/>
        <w:gridCol w:w="1080"/>
        <w:gridCol w:w="1080"/>
        <w:gridCol w:w="1080"/>
        <w:gridCol w:w="1080"/>
        <w:gridCol w:w="1080"/>
      </w:tblGrid>
      <w:tr w14:paraId="2988C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jc w:val="center"/>
        </w:trPr>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56D7E">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序号</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42420">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物资名称</w:t>
            </w:r>
          </w:p>
        </w:tc>
        <w:tc>
          <w:tcPr>
            <w:tcW w:w="10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08BEC">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规格型号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E545">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品牌</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71A08">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计量单位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4BF216">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暂估数量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B5E47">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交付方式</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59D7D">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备注</w:t>
            </w:r>
          </w:p>
        </w:tc>
      </w:tr>
      <w:tr w14:paraId="6A4E5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jc w:val="center"/>
        </w:trPr>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67EE4">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53359">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水泥</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A37F5">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散装42.5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3FD43">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1B2D6">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CDAC3">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cs="Calibri"/>
                <w:i w:val="0"/>
                <w:color w:val="000000"/>
                <w:sz w:val="21"/>
                <w:szCs w:val="21"/>
                <w:highlight w:val="none"/>
                <w:u w:val="none"/>
                <w:lang w:val="en-US" w:eastAsia="zh-CN"/>
              </w:rPr>
              <w:t>10480.76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7181">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default"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过磅</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59EC9">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水泥运输</w:t>
            </w:r>
          </w:p>
        </w:tc>
      </w:tr>
      <w:tr w14:paraId="001E6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EC23C">
            <w:pPr>
              <w:keepNext w:val="0"/>
              <w:keepLines w:val="0"/>
              <w:pageBreakBefore w:val="0"/>
              <w:kinsoku/>
              <w:wordWrap/>
              <w:overflowPunct/>
              <w:topLinePunct w:val="0"/>
              <w:autoSpaceDE/>
              <w:autoSpaceDN/>
              <w:bidi w:val="0"/>
              <w:adjustRightInd/>
              <w:snapToGrid/>
              <w:jc w:val="center"/>
              <w:outlineLvl w:val="9"/>
              <w:rPr>
                <w:rFonts w:hint="eastAsia" w:ascii="仿宋" w:hAnsi="仿宋" w:eastAsia="仿宋" w:cs="仿宋"/>
                <w:i w:val="0"/>
                <w:color w:val="000000"/>
                <w:sz w:val="20"/>
                <w:szCs w:val="20"/>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A66A4">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合计</w:t>
            </w:r>
          </w:p>
        </w:tc>
        <w:tc>
          <w:tcPr>
            <w:tcW w:w="10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793C">
            <w:pPr>
              <w:keepNext w:val="0"/>
              <w:keepLines w:val="0"/>
              <w:pageBreakBefore w:val="0"/>
              <w:kinsoku/>
              <w:wordWrap/>
              <w:overflowPunct/>
              <w:topLinePunct w:val="0"/>
              <w:autoSpaceDE/>
              <w:autoSpaceDN/>
              <w:bidi w:val="0"/>
              <w:adjustRightInd/>
              <w:snapToGrid/>
              <w:jc w:val="center"/>
              <w:outlineLvl w:val="9"/>
              <w:rPr>
                <w:rFonts w:hint="eastAsia" w:ascii="仿宋" w:hAnsi="仿宋" w:eastAsia="仿宋" w:cs="仿宋"/>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C5402">
            <w:pPr>
              <w:keepNext w:val="0"/>
              <w:keepLines w:val="0"/>
              <w:pageBreakBefore w:val="0"/>
              <w:kinsoku/>
              <w:wordWrap/>
              <w:overflowPunct/>
              <w:topLinePunct w:val="0"/>
              <w:autoSpaceDE/>
              <w:autoSpaceDN/>
              <w:bidi w:val="0"/>
              <w:adjustRightInd/>
              <w:snapToGrid/>
              <w:jc w:val="center"/>
              <w:outlineLvl w:val="9"/>
              <w:rPr>
                <w:rFonts w:hint="eastAsia" w:ascii="仿宋" w:hAnsi="仿宋" w:eastAsia="仿宋" w:cs="仿宋"/>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36DC2">
            <w:pPr>
              <w:keepNext w:val="0"/>
              <w:keepLines w:val="0"/>
              <w:pageBreakBefore w:val="0"/>
              <w:kinsoku/>
              <w:wordWrap/>
              <w:overflowPunct/>
              <w:topLinePunct w:val="0"/>
              <w:autoSpaceDE/>
              <w:autoSpaceDN/>
              <w:bidi w:val="0"/>
              <w:adjustRightInd/>
              <w:snapToGrid/>
              <w:jc w:val="center"/>
              <w:outlineLvl w:val="9"/>
              <w:rPr>
                <w:rFonts w:hint="eastAsia" w:ascii="仿宋" w:hAnsi="仿宋" w:eastAsia="仿宋" w:cs="仿宋"/>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90AF4">
            <w:pPr>
              <w:keepNext w:val="0"/>
              <w:keepLines w:val="0"/>
              <w:pageBreakBefore w:val="0"/>
              <w:kinsoku/>
              <w:wordWrap/>
              <w:overflowPunct/>
              <w:topLinePunct w:val="0"/>
              <w:autoSpaceDE/>
              <w:autoSpaceDN/>
              <w:bidi w:val="0"/>
              <w:adjustRightInd/>
              <w:snapToGrid/>
              <w:jc w:val="center"/>
              <w:outlineLvl w:val="9"/>
              <w:rPr>
                <w:rFonts w:hint="default" w:ascii="仿宋" w:hAnsi="仿宋" w:eastAsia="仿宋" w:cs="仿宋"/>
                <w:i w:val="0"/>
                <w:color w:val="000000"/>
                <w:sz w:val="20"/>
                <w:szCs w:val="20"/>
                <w:u w:val="none"/>
                <w:lang w:val="en-US" w:eastAsia="zh-CN"/>
              </w:rPr>
            </w:pPr>
            <w:r>
              <w:rPr>
                <w:rFonts w:hint="eastAsia" w:cs="Calibri"/>
                <w:i w:val="0"/>
                <w:color w:val="000000"/>
                <w:sz w:val="21"/>
                <w:szCs w:val="21"/>
                <w:highlight w:val="none"/>
                <w:u w:val="none"/>
                <w:lang w:val="en-US" w:eastAsia="zh-CN"/>
              </w:rPr>
              <w:t>10480.76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06965">
            <w:pPr>
              <w:keepNext w:val="0"/>
              <w:keepLines w:val="0"/>
              <w:pageBreakBefore w:val="0"/>
              <w:kinsoku/>
              <w:wordWrap/>
              <w:overflowPunct/>
              <w:topLinePunct w:val="0"/>
              <w:autoSpaceDE/>
              <w:autoSpaceDN/>
              <w:bidi w:val="0"/>
              <w:adjustRightInd/>
              <w:snapToGrid/>
              <w:jc w:val="both"/>
              <w:outlineLvl w:val="9"/>
              <w:rPr>
                <w:rFonts w:hint="eastAsia" w:ascii="仿宋" w:hAnsi="仿宋" w:eastAsia="仿宋" w:cs="仿宋"/>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B1B114">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i w:val="0"/>
                <w:color w:val="000000"/>
                <w:sz w:val="24"/>
                <w:szCs w:val="24"/>
                <w:u w:val="none"/>
              </w:rPr>
            </w:pPr>
          </w:p>
        </w:tc>
      </w:tr>
    </w:tbl>
    <w:p w14:paraId="1272A7DD">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val="en-US" w:eastAsia="zh-CN"/>
        </w:rPr>
        <w:t>水泥运输</w:t>
      </w:r>
      <w:r>
        <w:rPr>
          <w:rFonts w:hint="eastAsia" w:ascii="仿宋" w:hAnsi="仿宋" w:eastAsia="仿宋" w:cs="仿宋"/>
          <w:sz w:val="32"/>
          <w:szCs w:val="32"/>
        </w:rPr>
        <w:t>采购共计</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10480.76 </w:t>
      </w:r>
      <w:r>
        <w:rPr>
          <w:rFonts w:hint="eastAsia" w:ascii="仿宋" w:hAnsi="仿宋" w:eastAsia="仿宋" w:cs="仿宋"/>
          <w:sz w:val="32"/>
          <w:szCs w:val="32"/>
          <w:u w:val="single"/>
        </w:rPr>
        <w:t xml:space="preserve"> </w:t>
      </w:r>
      <w:r>
        <w:rPr>
          <w:rFonts w:hint="eastAsia" w:ascii="仿宋" w:hAnsi="仿宋" w:eastAsia="仿宋" w:cs="仿宋"/>
          <w:sz w:val="32"/>
          <w:szCs w:val="32"/>
        </w:rPr>
        <w:t>吨，具体数量中标后以实际</w:t>
      </w:r>
      <w:r>
        <w:rPr>
          <w:rFonts w:hint="eastAsia" w:ascii="仿宋" w:hAnsi="仿宋" w:eastAsia="仿宋" w:cs="仿宋"/>
          <w:sz w:val="32"/>
          <w:szCs w:val="32"/>
          <w:lang w:val="en-US" w:eastAsia="zh-CN"/>
        </w:rPr>
        <w:t>供应结算</w:t>
      </w:r>
      <w:r>
        <w:rPr>
          <w:rFonts w:hint="eastAsia" w:ascii="仿宋" w:hAnsi="仿宋" w:eastAsia="仿宋" w:cs="仿宋"/>
          <w:sz w:val="32"/>
          <w:szCs w:val="32"/>
        </w:rPr>
        <w:t>数量为准；</w:t>
      </w:r>
    </w:p>
    <w:p w14:paraId="7ABFBCA0">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（二）交货周期：</w:t>
      </w: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w:t>
      </w:r>
      <w:r>
        <w:rPr>
          <w:rFonts w:hint="eastAsia" w:ascii="仿宋" w:hAnsi="仿宋" w:eastAsia="仿宋" w:cs="仿宋"/>
          <w:sz w:val="32"/>
          <w:szCs w:val="32"/>
          <w:lang w:val="en-US" w:eastAsia="zh-CN"/>
        </w:rPr>
        <w:t>后</w:t>
      </w:r>
      <w:r>
        <w:rPr>
          <w:rFonts w:hint="eastAsia" w:ascii="仿宋" w:hAnsi="仿宋" w:eastAsia="仿宋" w:cs="仿宋"/>
          <w:sz w:val="32"/>
          <w:szCs w:val="32"/>
        </w:rPr>
        <w:t>陆续交付。</w:t>
      </w:r>
    </w:p>
    <w:p w14:paraId="422FB800">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（三）交付地点：</w:t>
      </w:r>
      <w:r>
        <w:rPr>
          <w:rFonts w:hint="eastAsia" w:ascii="仿宋" w:hAnsi="仿宋" w:eastAsia="仿宋" w:cs="宋体"/>
          <w:kern w:val="0"/>
          <w:sz w:val="32"/>
          <w:szCs w:val="32"/>
          <w:highlight w:val="none"/>
          <w:u w:val="single"/>
          <w:lang w:val="en-US" w:eastAsia="zh-CN"/>
        </w:rPr>
        <w:t>江西省上饶市广信区上铅快速路中交（上饶）汽车综合试验场</w:t>
      </w:r>
      <w:r>
        <w:rPr>
          <w:rFonts w:hint="eastAsia" w:ascii="仿宋" w:hAnsi="仿宋" w:eastAsia="仿宋" w:cs="仿宋"/>
          <w:sz w:val="32"/>
          <w:szCs w:val="32"/>
        </w:rPr>
        <w:t>；</w:t>
      </w:r>
    </w:p>
    <w:p w14:paraId="76609322">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bookmarkStart w:id="2" w:name="_Toc29016_WPSOffice_Level1"/>
      <w:r>
        <w:rPr>
          <w:rFonts w:hint="eastAsia" w:ascii="仿宋" w:hAnsi="仿宋" w:eastAsia="仿宋" w:cs="仿宋"/>
          <w:sz w:val="32"/>
          <w:szCs w:val="32"/>
        </w:rPr>
        <w:t>三、</w:t>
      </w:r>
      <w:r>
        <w:rPr>
          <w:rFonts w:hint="eastAsia" w:ascii="仿宋" w:hAnsi="仿宋" w:eastAsia="仿宋" w:cs="仿宋"/>
          <w:sz w:val="32"/>
          <w:szCs w:val="32"/>
          <w:lang w:val="en-US" w:eastAsia="zh-CN"/>
        </w:rPr>
        <w:t>竞</w:t>
      </w:r>
      <w:r>
        <w:rPr>
          <w:rFonts w:hint="eastAsia" w:ascii="仿宋" w:hAnsi="仿宋" w:eastAsia="仿宋" w:cs="仿宋"/>
          <w:sz w:val="32"/>
          <w:szCs w:val="32"/>
        </w:rPr>
        <w:t>价资格条件</w:t>
      </w:r>
      <w:bookmarkEnd w:id="2"/>
    </w:p>
    <w:p w14:paraId="2797C833">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bookmarkStart w:id="3" w:name="_Toc20639_WPSOffice_Level2"/>
      <w:r>
        <w:rPr>
          <w:rFonts w:hint="eastAsia" w:ascii="仿宋" w:hAnsi="仿宋" w:eastAsia="仿宋" w:cs="仿宋"/>
          <w:sz w:val="32"/>
          <w:szCs w:val="32"/>
        </w:rPr>
        <w:t>（一）营业范围要求</w:t>
      </w:r>
      <w:bookmarkEnd w:id="3"/>
    </w:p>
    <w:p w14:paraId="150EB84F">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rPr>
        <w:t>本次招标要求</w:t>
      </w:r>
      <w:r>
        <w:rPr>
          <w:rFonts w:hint="eastAsia" w:ascii="仿宋" w:hAnsi="仿宋" w:eastAsia="仿宋" w:cs="仿宋"/>
          <w:sz w:val="32"/>
          <w:szCs w:val="32"/>
          <w:lang w:val="en-US" w:eastAsia="zh-CN"/>
        </w:rPr>
        <w:t>竞</w:t>
      </w:r>
      <w:r>
        <w:rPr>
          <w:rFonts w:hint="eastAsia" w:ascii="仿宋" w:hAnsi="仿宋" w:eastAsia="仿宋" w:cs="仿宋"/>
          <w:sz w:val="32"/>
          <w:szCs w:val="32"/>
        </w:rPr>
        <w:t>价单位须具备</w:t>
      </w:r>
      <w:r>
        <w:rPr>
          <w:rFonts w:hint="eastAsia" w:ascii="仿宋" w:hAnsi="仿宋" w:eastAsia="仿宋" w:cs="仿宋"/>
          <w:sz w:val="32"/>
          <w:szCs w:val="32"/>
          <w:lang w:eastAsia="zh-CN"/>
        </w:rPr>
        <w:t>：</w:t>
      </w:r>
    </w:p>
    <w:p w14:paraId="2BB513D6">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（1）法人资格，能独立承担民事责任；</w:t>
      </w:r>
    </w:p>
    <w:p w14:paraId="69514095">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（2）具有良好的商业信誉和财务会计制度；</w:t>
      </w:r>
    </w:p>
    <w:p w14:paraId="0081F999">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（3）具有履行合同所必需的设备和专业技术能力；</w:t>
      </w:r>
    </w:p>
    <w:p w14:paraId="2F7A0103">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（4）环境管理、职业健康及安全管理实施情况及绩效说明；</w:t>
      </w:r>
    </w:p>
    <w:p w14:paraId="208CFC8A">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5）近三年发生如生产安全事故，环保事故、分包商员工职业健康问题等被有关部门进行行政处罚或有异常信用记录的，应提供书面分析改进报告。（未如实陈述者，我司有权取消中标资格及其他处罚措施。)资质，类似相关成功业绩，并具有与本招标项目相应的供货能力。</w:t>
      </w:r>
    </w:p>
    <w:p w14:paraId="0E536421">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近3年内有类似相关成功有效业绩1例以上；</w:t>
      </w:r>
    </w:p>
    <w:p w14:paraId="644C3842">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有效业绩的定义：</w:t>
      </w:r>
    </w:p>
    <w:p w14:paraId="2E6D5B27">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①合同为同类型相关项目；</w:t>
      </w:r>
    </w:p>
    <w:p w14:paraId="1D2E1E4D">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②须提供该业绩合同的复印件（包括但不限于合同首页、双方盖章页、总金额页）；</w:t>
      </w:r>
    </w:p>
    <w:p w14:paraId="0C047689">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③须提供该业绩合同的项目验收证明（如：业主证明或完工证明、验收报告等）或该业绩合同的所有收款凭证，以证明除验收、质保外其他阶段付款均已支付，（该业绩合同的项目验收证明或该业绩合同的所有收款凭证可二选一提供）；</w:t>
      </w:r>
    </w:p>
    <w:p w14:paraId="7C401091">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所有证明文件在必要时需提供纸质原件备查。</w:t>
      </w:r>
    </w:p>
    <w:p w14:paraId="583DEB70">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bookmarkStart w:id="4" w:name="_Toc29016_WPSOffice_Level2"/>
      <w:r>
        <w:rPr>
          <w:rFonts w:hint="eastAsia" w:ascii="仿宋" w:hAnsi="仿宋" w:eastAsia="仿宋" w:cs="仿宋"/>
          <w:sz w:val="32"/>
          <w:szCs w:val="32"/>
        </w:rPr>
        <w:t>（二）不得参加</w:t>
      </w:r>
      <w:r>
        <w:rPr>
          <w:rFonts w:hint="eastAsia" w:ascii="仿宋" w:hAnsi="仿宋" w:eastAsia="仿宋" w:cs="仿宋"/>
          <w:sz w:val="32"/>
          <w:szCs w:val="32"/>
          <w:lang w:val="en-US" w:eastAsia="zh-CN"/>
        </w:rPr>
        <w:t>竞</w:t>
      </w:r>
      <w:r>
        <w:rPr>
          <w:rFonts w:hint="eastAsia" w:ascii="仿宋" w:hAnsi="仿宋" w:eastAsia="仿宋" w:cs="仿宋"/>
          <w:sz w:val="32"/>
          <w:szCs w:val="32"/>
        </w:rPr>
        <w:t>价的情况</w:t>
      </w:r>
      <w:bookmarkEnd w:id="4"/>
    </w:p>
    <w:p w14:paraId="75876965">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未取得法律法规定经营许可，擅自从事经营范围以外业务的;使用失效、伪造、变造、被注销等无效的经营许可证件的;被中国交建所属各单位纳入黑名单的；过往三年内被国家相关机构（工商、税务）处罚的；企业或企业法人被列入失信执行人、违法案件当事人、违法失信行为记录名单的；以及其他无法满足合约条款的。</w:t>
      </w:r>
    </w:p>
    <w:p w14:paraId="164566C1">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r>
        <w:rPr>
          <w:rFonts w:hint="eastAsia" w:ascii="仿宋" w:hAnsi="仿宋" w:eastAsia="仿宋" w:cs="仿宋"/>
          <w:sz w:val="32"/>
          <w:szCs w:val="32"/>
          <w:lang w:val="en-US" w:eastAsia="zh-CN"/>
        </w:rPr>
        <w:t>四、竞价</w:t>
      </w:r>
      <w:r>
        <w:rPr>
          <w:rFonts w:hint="eastAsia" w:ascii="仿宋" w:hAnsi="仿宋" w:eastAsia="仿宋" w:cs="仿宋"/>
          <w:sz w:val="32"/>
          <w:szCs w:val="32"/>
        </w:rPr>
        <w:t>价时间及定价方式</w:t>
      </w:r>
    </w:p>
    <w:p w14:paraId="213218FF">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eastAsia" w:ascii="仿宋" w:hAnsi="仿宋" w:eastAsia="仿宋" w:cs="仿宋"/>
          <w:sz w:val="32"/>
          <w:szCs w:val="32"/>
        </w:rPr>
        <w:t>报名</w:t>
      </w:r>
      <w:r>
        <w:rPr>
          <w:rFonts w:hint="eastAsia" w:ascii="仿宋" w:hAnsi="仿宋" w:eastAsia="仿宋" w:cs="仿宋"/>
          <w:sz w:val="32"/>
          <w:szCs w:val="32"/>
          <w:lang w:val="en-US" w:eastAsia="zh-CN"/>
        </w:rPr>
        <w:t>时间</w:t>
      </w:r>
    </w:p>
    <w:p w14:paraId="0D6ACD10">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r>
        <w:rPr>
          <w:rFonts w:hint="eastAsia" w:ascii="仿宋" w:hAnsi="仿宋" w:eastAsia="仿宋" w:cs="仿宋"/>
          <w:sz w:val="32"/>
          <w:szCs w:val="32"/>
          <w:lang w:val="en-US" w:eastAsia="zh-CN"/>
        </w:rPr>
        <w:t>12</w:t>
      </w:r>
      <w:r>
        <w:rPr>
          <w:rFonts w:hint="eastAsia" w:ascii="仿宋" w:hAnsi="仿宋" w:eastAsia="仿宋" w:cs="仿宋"/>
          <w:sz w:val="32"/>
          <w:szCs w:val="32"/>
        </w:rPr>
        <w:t>时00分至</w:t>
      </w: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日</w:t>
      </w:r>
      <w:r>
        <w:rPr>
          <w:rFonts w:hint="eastAsia" w:ascii="仿宋" w:hAnsi="仿宋" w:eastAsia="仿宋" w:cs="仿宋"/>
          <w:sz w:val="32"/>
          <w:szCs w:val="32"/>
          <w:lang w:val="en-US" w:eastAsia="zh-CN"/>
        </w:rPr>
        <w:t>16</w:t>
      </w:r>
      <w:r>
        <w:rPr>
          <w:rFonts w:hint="eastAsia" w:ascii="仿宋" w:hAnsi="仿宋" w:eastAsia="仿宋" w:cs="仿宋"/>
          <w:sz w:val="32"/>
          <w:szCs w:val="32"/>
        </w:rPr>
        <w:t>时00分止；</w:t>
      </w:r>
    </w:p>
    <w:p w14:paraId="6BDB6D5A">
      <w:pPr>
        <w:keepNext w:val="0"/>
        <w:keepLines w:val="0"/>
        <w:pageBreakBefore w:val="0"/>
        <w:numPr>
          <w:ilvl w:val="0"/>
          <w:numId w:val="2"/>
        </w:numPr>
        <w:kinsoku/>
        <w:wordWrap/>
        <w:overflowPunct/>
        <w:topLinePunct w:val="0"/>
        <w:autoSpaceDE/>
        <w:autoSpaceDN/>
        <w:bidi w:val="0"/>
        <w:adjustRightInd/>
        <w:snapToGrid/>
        <w:ind w:left="0" w:leftChars="0" w:firstLine="0" w:firstLineChars="0"/>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竞价</w:t>
      </w:r>
      <w:r>
        <w:rPr>
          <w:rFonts w:hint="eastAsia" w:ascii="仿宋" w:hAnsi="仿宋" w:eastAsia="仿宋" w:cs="仿宋"/>
          <w:sz w:val="32"/>
          <w:szCs w:val="32"/>
        </w:rPr>
        <w:t>时间</w:t>
      </w:r>
    </w:p>
    <w:p w14:paraId="1576C8AC">
      <w:pPr>
        <w:keepNext w:val="0"/>
        <w:keepLines w:val="0"/>
        <w:pageBreakBefore w:val="0"/>
        <w:numPr>
          <w:ilvl w:val="0"/>
          <w:numId w:val="0"/>
        </w:numPr>
        <w:kinsoku/>
        <w:wordWrap/>
        <w:overflowPunct/>
        <w:topLinePunct w:val="0"/>
        <w:autoSpaceDE/>
        <w:autoSpaceDN/>
        <w:bidi w:val="0"/>
        <w:adjustRightInd/>
        <w:snapToGrid/>
        <w:ind w:leftChars="0" w:firstLine="640" w:firstLineChars="200"/>
        <w:outlineLvl w:val="9"/>
        <w:rPr>
          <w:rFonts w:hint="eastAsia" w:ascii="仿宋" w:hAnsi="仿宋" w:eastAsia="仿宋" w:cs="仿宋"/>
          <w:sz w:val="32"/>
          <w:szCs w:val="32"/>
        </w:rPr>
      </w:pP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日</w:t>
      </w:r>
      <w:r>
        <w:rPr>
          <w:rFonts w:hint="eastAsia" w:ascii="仿宋" w:hAnsi="仿宋" w:eastAsia="仿宋" w:cs="仿宋"/>
          <w:sz w:val="32"/>
          <w:szCs w:val="32"/>
          <w:lang w:val="en-US" w:eastAsia="zh-CN"/>
        </w:rPr>
        <w:t>16</w:t>
      </w:r>
      <w:r>
        <w:rPr>
          <w:rFonts w:hint="eastAsia" w:ascii="仿宋" w:hAnsi="仿宋" w:eastAsia="仿宋" w:cs="仿宋"/>
          <w:sz w:val="32"/>
          <w:szCs w:val="32"/>
        </w:rPr>
        <w:t>时</w:t>
      </w:r>
      <w:r>
        <w:rPr>
          <w:rFonts w:hint="eastAsia" w:ascii="仿宋" w:hAnsi="仿宋" w:eastAsia="仿宋" w:cs="仿宋"/>
          <w:sz w:val="32"/>
          <w:szCs w:val="32"/>
          <w:lang w:val="en-US" w:eastAsia="zh-CN"/>
        </w:rPr>
        <w:t>00</w:t>
      </w:r>
      <w:r>
        <w:rPr>
          <w:rFonts w:hint="eastAsia" w:ascii="仿宋" w:hAnsi="仿宋" w:eastAsia="仿宋" w:cs="仿宋"/>
          <w:sz w:val="32"/>
          <w:szCs w:val="32"/>
        </w:rPr>
        <w:t>分至</w:t>
      </w:r>
      <w:r>
        <w:rPr>
          <w:rFonts w:hint="eastAsia" w:ascii="仿宋" w:hAnsi="仿宋" w:eastAsia="仿宋" w:cs="仿宋"/>
          <w:sz w:val="32"/>
          <w:szCs w:val="32"/>
          <w:lang w:val="en-US" w:eastAsia="zh-CN"/>
        </w:rPr>
        <w:t>2025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28</w:t>
      </w:r>
      <w:r>
        <w:rPr>
          <w:rFonts w:hint="eastAsia" w:ascii="仿宋" w:hAnsi="仿宋" w:eastAsia="仿宋" w:cs="仿宋"/>
          <w:sz w:val="32"/>
          <w:szCs w:val="32"/>
        </w:rPr>
        <w:t>日</w:t>
      </w:r>
      <w:r>
        <w:rPr>
          <w:rFonts w:hint="eastAsia" w:ascii="仿宋" w:hAnsi="仿宋" w:eastAsia="仿宋" w:cs="仿宋"/>
          <w:sz w:val="32"/>
          <w:szCs w:val="32"/>
          <w:lang w:val="en-US" w:eastAsia="zh-CN"/>
        </w:rPr>
        <w:t>16</w:t>
      </w:r>
      <w:r>
        <w:rPr>
          <w:rFonts w:hint="eastAsia" w:ascii="仿宋" w:hAnsi="仿宋" w:eastAsia="仿宋" w:cs="仿宋"/>
          <w:sz w:val="32"/>
          <w:szCs w:val="32"/>
        </w:rPr>
        <w:t>时00分。</w:t>
      </w:r>
      <w:bookmarkStart w:id="5" w:name="_GoBack"/>
      <w:bookmarkEnd w:id="5"/>
    </w:p>
    <w:p w14:paraId="01DC3F04">
      <w:pPr>
        <w:keepNext w:val="0"/>
        <w:keepLines w:val="0"/>
        <w:pageBreakBefore w:val="0"/>
        <w:kinsoku/>
        <w:wordWrap/>
        <w:overflowPunct/>
        <w:topLinePunct w:val="0"/>
        <w:autoSpaceDE/>
        <w:autoSpaceDN/>
        <w:bidi w:val="0"/>
        <w:adjustRightInd/>
        <w:snapToGrid/>
        <w:jc w:val="left"/>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五、</w:t>
      </w:r>
      <w:r>
        <w:rPr>
          <w:rFonts w:hint="eastAsia" w:ascii="仿宋" w:hAnsi="仿宋" w:eastAsia="仿宋" w:cs="仿宋"/>
          <w:sz w:val="32"/>
          <w:szCs w:val="32"/>
        </w:rPr>
        <w:t>定价</w:t>
      </w:r>
      <w:r>
        <w:rPr>
          <w:rFonts w:hint="eastAsia" w:ascii="仿宋" w:hAnsi="仿宋" w:eastAsia="仿宋" w:cs="仿宋"/>
          <w:sz w:val="32"/>
          <w:szCs w:val="32"/>
          <w:lang w:val="en-US" w:eastAsia="zh-CN"/>
        </w:rPr>
        <w:t>及支付</w:t>
      </w:r>
    </w:p>
    <w:p w14:paraId="2C9D29FC">
      <w:pPr>
        <w:keepNext w:val="0"/>
        <w:keepLines w:val="0"/>
        <w:pageBreakBefore w:val="0"/>
        <w:kinsoku/>
        <w:wordWrap/>
        <w:overflowPunct/>
        <w:topLinePunct w:val="0"/>
        <w:autoSpaceDE/>
        <w:autoSpaceDN/>
        <w:bidi w:val="0"/>
        <w:adjustRightInd/>
        <w:snapToGrid/>
        <w:ind w:firstLine="640" w:firstLineChars="200"/>
        <w:outlineLvl w:val="9"/>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定价</w:t>
      </w:r>
    </w:p>
    <w:p w14:paraId="69FD90B1">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价格</w:t>
      </w:r>
      <w:r>
        <w:rPr>
          <w:rFonts w:hint="eastAsia" w:ascii="仿宋" w:hAnsi="仿宋" w:eastAsia="仿宋" w:cs="仿宋"/>
          <w:sz w:val="32"/>
          <w:szCs w:val="32"/>
          <w:lang w:val="en-US" w:eastAsia="zh-CN"/>
        </w:rPr>
        <w:t>=报价中标单价，</w:t>
      </w:r>
      <w:r>
        <w:rPr>
          <w:rFonts w:hint="eastAsia" w:ascii="仿宋" w:hAnsi="仿宋" w:eastAsia="仿宋" w:cs="仿宋"/>
          <w:sz w:val="32"/>
          <w:szCs w:val="32"/>
        </w:rPr>
        <w:t>供方提供</w:t>
      </w:r>
      <w:r>
        <w:rPr>
          <w:rFonts w:hint="eastAsia" w:ascii="仿宋" w:hAnsi="仿宋" w:eastAsia="仿宋" w:cs="仿宋"/>
          <w:sz w:val="32"/>
          <w:szCs w:val="32"/>
          <w:lang w:val="en-US" w:eastAsia="zh-CN"/>
        </w:rPr>
        <w:t>9</w:t>
      </w:r>
      <w:r>
        <w:rPr>
          <w:rFonts w:hint="eastAsia" w:ascii="仿宋" w:hAnsi="仿宋" w:eastAsia="仿宋" w:cs="仿宋"/>
          <w:sz w:val="32"/>
          <w:szCs w:val="32"/>
        </w:rPr>
        <w:t>%增值税专用发票。</w:t>
      </w:r>
    </w:p>
    <w:p w14:paraId="6A24A851">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结算：按</w:t>
      </w:r>
      <w:r>
        <w:rPr>
          <w:rFonts w:hint="eastAsia" w:ascii="仿宋" w:hAnsi="仿宋" w:eastAsia="仿宋" w:cs="仿宋"/>
          <w:sz w:val="32"/>
          <w:szCs w:val="32"/>
          <w:lang w:val="en-US" w:eastAsia="zh-CN"/>
        </w:rPr>
        <w:t>月</w:t>
      </w:r>
      <w:r>
        <w:rPr>
          <w:rFonts w:hint="eastAsia" w:ascii="仿宋" w:hAnsi="仿宋" w:eastAsia="仿宋" w:cs="仿宋"/>
          <w:sz w:val="32"/>
          <w:szCs w:val="32"/>
        </w:rPr>
        <w:t>办理结算手续，</w:t>
      </w:r>
      <w:r>
        <w:rPr>
          <w:rFonts w:hint="eastAsia" w:ascii="仿宋" w:hAnsi="仿宋" w:eastAsia="仿宋" w:cs="仿宋"/>
          <w:sz w:val="32"/>
          <w:szCs w:val="32"/>
          <w:lang w:val="en-US" w:eastAsia="zh-CN"/>
        </w:rPr>
        <w:t>本批次货物运输完毕后</w:t>
      </w:r>
      <w:r>
        <w:rPr>
          <w:rFonts w:hint="eastAsia" w:ascii="仿宋" w:hAnsi="仿宋" w:eastAsia="仿宋" w:cs="仿宋"/>
          <w:sz w:val="32"/>
          <w:szCs w:val="32"/>
        </w:rPr>
        <w:t>，</w:t>
      </w:r>
      <w:r>
        <w:rPr>
          <w:rFonts w:hint="eastAsia" w:ascii="仿宋" w:hAnsi="仿宋" w:eastAsia="仿宋" w:cs="仿宋"/>
          <w:sz w:val="32"/>
          <w:szCs w:val="32"/>
          <w:lang w:val="en-US" w:eastAsia="zh-CN"/>
        </w:rPr>
        <w:t>运输方</w:t>
      </w:r>
      <w:r>
        <w:rPr>
          <w:rFonts w:hint="eastAsia" w:ascii="仿宋" w:hAnsi="仿宋" w:eastAsia="仿宋" w:cs="仿宋"/>
          <w:sz w:val="32"/>
          <w:szCs w:val="32"/>
        </w:rPr>
        <w:t>应在每期结算后将本</w:t>
      </w:r>
      <w:r>
        <w:rPr>
          <w:rFonts w:hint="eastAsia" w:ascii="仿宋" w:hAnsi="仿宋" w:eastAsia="仿宋" w:cs="仿宋"/>
          <w:sz w:val="32"/>
          <w:szCs w:val="32"/>
          <w:lang w:val="en-US" w:eastAsia="zh-CN"/>
        </w:rPr>
        <w:t>月</w:t>
      </w:r>
      <w:r>
        <w:rPr>
          <w:rFonts w:hint="eastAsia" w:ascii="仿宋" w:hAnsi="仿宋" w:eastAsia="仿宋" w:cs="仿宋"/>
          <w:sz w:val="32"/>
          <w:szCs w:val="32"/>
        </w:rPr>
        <w:t>供货的交接签收单、发票等结算单据交于需方。</w:t>
      </w:r>
    </w:p>
    <w:p w14:paraId="2862F486">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支付办理完成结算手续并收到发票后</w:t>
      </w:r>
      <w:r>
        <w:rPr>
          <w:rFonts w:hint="eastAsia" w:ascii="仿宋" w:hAnsi="仿宋" w:eastAsia="仿宋" w:cs="仿宋"/>
          <w:sz w:val="32"/>
          <w:szCs w:val="32"/>
          <w:lang w:val="en-US" w:eastAsia="zh-CN"/>
        </w:rPr>
        <w:t>30</w:t>
      </w:r>
      <w:r>
        <w:rPr>
          <w:rFonts w:hint="eastAsia" w:ascii="仿宋" w:hAnsi="仿宋" w:eastAsia="仿宋" w:cs="仿宋"/>
          <w:sz w:val="32"/>
          <w:szCs w:val="32"/>
        </w:rPr>
        <w:t>日内支付当期结算货款的</w:t>
      </w:r>
      <w:r>
        <w:rPr>
          <w:rFonts w:hint="eastAsia" w:ascii="仿宋" w:hAnsi="仿宋" w:eastAsia="仿宋" w:cs="仿宋"/>
          <w:sz w:val="32"/>
          <w:szCs w:val="32"/>
          <w:lang w:val="en-US" w:eastAsia="zh-CN"/>
        </w:rPr>
        <w:t>100</w:t>
      </w:r>
      <w:r>
        <w:rPr>
          <w:rFonts w:hint="eastAsia" w:ascii="仿宋" w:hAnsi="仿宋" w:eastAsia="仿宋" w:cs="仿宋"/>
          <w:sz w:val="32"/>
          <w:szCs w:val="32"/>
        </w:rPr>
        <w:t>%，以银行转账方式支付。</w:t>
      </w:r>
    </w:p>
    <w:p w14:paraId="0AEBAFE7">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评标原则</w:t>
      </w:r>
    </w:p>
    <w:p w14:paraId="60F983C6">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评标小组对满足</w:t>
      </w:r>
      <w:r>
        <w:rPr>
          <w:rFonts w:hint="eastAsia" w:ascii="仿宋" w:hAnsi="仿宋" w:eastAsia="仿宋" w:cs="仿宋"/>
          <w:sz w:val="32"/>
          <w:szCs w:val="32"/>
          <w:lang w:val="en-US" w:eastAsia="zh-CN"/>
        </w:rPr>
        <w:t>竞</w:t>
      </w:r>
      <w:r>
        <w:rPr>
          <w:rFonts w:hint="eastAsia" w:ascii="仿宋" w:hAnsi="仿宋" w:eastAsia="仿宋" w:cs="仿宋"/>
          <w:sz w:val="32"/>
          <w:szCs w:val="32"/>
        </w:rPr>
        <w:t xml:space="preserve">价要求的报价，按照经评审的报价由低到高的顺序推荐 </w:t>
      </w:r>
      <w:r>
        <w:rPr>
          <w:rFonts w:hint="eastAsia" w:ascii="仿宋" w:hAnsi="仿宋" w:eastAsia="仿宋" w:cs="仿宋"/>
          <w:sz w:val="32"/>
          <w:szCs w:val="32"/>
          <w:u w:val="single"/>
          <w:lang w:val="en-US" w:eastAsia="zh-CN"/>
        </w:rPr>
        <w:t>一</w:t>
      </w:r>
      <w:r>
        <w:rPr>
          <w:rFonts w:hint="eastAsia" w:ascii="仿宋" w:hAnsi="仿宋" w:eastAsia="仿宋" w:cs="仿宋"/>
          <w:sz w:val="32"/>
          <w:szCs w:val="32"/>
        </w:rPr>
        <w:t>名中标候选人，但低于成本价的或超过招标人可以接受价格的除外。经评审的投标价相等时，最短交货期小的优先。中标单位如在后期因供货原因无法履约的，我公司将无条件与其解除合约关系，并将不履约单位名单公示，自公示期起24个月内不得参与物资公司组织的各种形式竞标。</w:t>
      </w:r>
    </w:p>
    <w:p w14:paraId="7E8A2359">
      <w:pPr>
        <w:keepNext w:val="0"/>
        <w:keepLines w:val="0"/>
        <w:pageBreakBefore w:val="0"/>
        <w:kinsoku/>
        <w:wordWrap/>
        <w:overflowPunct/>
        <w:topLinePunct w:val="0"/>
        <w:autoSpaceDE/>
        <w:autoSpaceDN/>
        <w:bidi w:val="0"/>
        <w:adjustRightInd/>
        <w:snapToGrid/>
        <w:ind w:firstLine="640" w:firstLineChars="200"/>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如系统当中总金额与报价单位上传按照需求明细报价总金额不一致的情况，评标以按照需求明细报价上传的总金额为准。</w:t>
      </w:r>
    </w:p>
    <w:p w14:paraId="431D86B5">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r>
        <w:rPr>
          <w:rFonts w:hint="eastAsia" w:ascii="仿宋" w:hAnsi="仿宋" w:eastAsia="仿宋" w:cs="仿宋"/>
          <w:sz w:val="32"/>
          <w:szCs w:val="32"/>
          <w:lang w:val="en-US" w:eastAsia="zh-CN"/>
        </w:rPr>
        <w:t>七、</w:t>
      </w:r>
      <w:r>
        <w:rPr>
          <w:rFonts w:hint="eastAsia" w:ascii="仿宋" w:hAnsi="仿宋" w:eastAsia="仿宋" w:cs="仿宋"/>
          <w:sz w:val="32"/>
          <w:szCs w:val="32"/>
        </w:rPr>
        <w:t>其他事项</w:t>
      </w:r>
    </w:p>
    <w:p w14:paraId="0843D630">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每批次采购计划，</w:t>
      </w:r>
      <w:r>
        <w:rPr>
          <w:rFonts w:hint="eastAsia" w:ascii="仿宋" w:hAnsi="仿宋" w:eastAsia="仿宋" w:cs="仿宋"/>
          <w:sz w:val="32"/>
          <w:szCs w:val="32"/>
          <w:lang w:val="en-US" w:eastAsia="zh-CN"/>
        </w:rPr>
        <w:t>我</w:t>
      </w:r>
      <w:r>
        <w:rPr>
          <w:rFonts w:hint="eastAsia" w:ascii="仿宋" w:hAnsi="仿宋" w:eastAsia="仿宋" w:cs="仿宋"/>
          <w:sz w:val="32"/>
          <w:szCs w:val="32"/>
        </w:rPr>
        <w:t>公司将提前3天下达，供货单位接到计划后按照到货要求时间将货物运至指定区域，货物装车完毕后要求随车携带装货单据和凭证等材料，并将货物安全送达指定卸货地，运输期间货物如发生丢失、破损、变形或是车辆在运输途中发生颠簸和碰撞所造成损失均由供货单位自行承担，货物运输途中承运司机如发生道路交通安全事故，无论同等责任、次要责任、无责任其赔偿责任均由承运司机的雇佣单位承担，即物流公司承担，我公司不承担运输过程中的任何人员安全责任。</w:t>
      </w:r>
    </w:p>
    <w:p w14:paraId="6EA1D2D2">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需方支付货款前，供方应向需方提供合法合规的</w:t>
      </w:r>
      <w:r>
        <w:rPr>
          <w:rFonts w:hint="eastAsia" w:ascii="仿宋" w:hAnsi="仿宋" w:eastAsia="仿宋" w:cs="仿宋"/>
          <w:sz w:val="32"/>
          <w:szCs w:val="32"/>
          <w:lang w:val="en-US" w:eastAsia="zh-CN"/>
        </w:rPr>
        <w:t>9</w:t>
      </w:r>
      <w:r>
        <w:rPr>
          <w:rFonts w:hint="eastAsia" w:ascii="仿宋" w:hAnsi="仿宋" w:eastAsia="仿宋" w:cs="仿宋"/>
          <w:sz w:val="32"/>
          <w:szCs w:val="32"/>
        </w:rPr>
        <w:t>%增值税专用发票，并按合同约定内容和本期实际供货结算情况，准确填写发票项目；若供方未向需方提供合法合规的增值税专用发票，需方有权拒绝支付结算货款。</w:t>
      </w:r>
    </w:p>
    <w:p w14:paraId="2C39E517">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rPr>
      </w:pPr>
      <w:r>
        <w:rPr>
          <w:rFonts w:hint="eastAsia" w:ascii="仿宋" w:hAnsi="仿宋" w:eastAsia="仿宋" w:cs="仿宋"/>
          <w:sz w:val="32"/>
          <w:szCs w:val="32"/>
        </w:rPr>
        <w:t>货物错运到达地或错交收货人，由供货单位无偿运抵原定地点并交给原定收货人，由此造成的一切损失由供货单位承担。</w:t>
      </w:r>
    </w:p>
    <w:p w14:paraId="6E357A2F">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rPr>
        <w:t>供货单位在道路安全事故给</w:t>
      </w:r>
      <w:r>
        <w:rPr>
          <w:rFonts w:hint="eastAsia" w:ascii="仿宋" w:hAnsi="仿宋" w:eastAsia="仿宋" w:cs="仿宋"/>
          <w:sz w:val="32"/>
          <w:szCs w:val="32"/>
          <w:lang w:val="en-US" w:eastAsia="zh-CN"/>
        </w:rPr>
        <w:t>我</w:t>
      </w:r>
      <w:r>
        <w:rPr>
          <w:rFonts w:hint="eastAsia" w:ascii="仿宋" w:hAnsi="仿宋" w:eastAsia="仿宋" w:cs="仿宋"/>
          <w:sz w:val="32"/>
          <w:szCs w:val="32"/>
        </w:rPr>
        <w:t>公司造成的损失，按原值赔偿；供货单位在交货前发生货物丢失，或与发货数量出现较大偏差的，按当期货物市场价格三倍赔偿</w:t>
      </w:r>
      <w:r>
        <w:rPr>
          <w:rFonts w:hint="eastAsia" w:ascii="仿宋" w:hAnsi="仿宋" w:eastAsia="仿宋" w:cs="仿宋"/>
          <w:sz w:val="32"/>
          <w:szCs w:val="32"/>
          <w:lang w:val="en-US" w:eastAsia="zh-CN"/>
        </w:rPr>
        <w:t>我</w:t>
      </w:r>
      <w:r>
        <w:rPr>
          <w:rFonts w:hint="eastAsia" w:ascii="仿宋" w:hAnsi="仿宋" w:eastAsia="仿宋" w:cs="仿宋"/>
          <w:sz w:val="32"/>
          <w:szCs w:val="32"/>
        </w:rPr>
        <w:t>公司。</w:t>
      </w:r>
    </w:p>
    <w:p w14:paraId="6F73B3F2">
      <w:pPr>
        <w:keepNext w:val="0"/>
        <w:keepLines w:val="0"/>
        <w:pageBreakBefore w:val="0"/>
        <w:kinsoku/>
        <w:wordWrap/>
        <w:overflowPunct/>
        <w:topLinePunct w:val="0"/>
        <w:autoSpaceDE/>
        <w:autoSpaceDN/>
        <w:bidi w:val="0"/>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sz w:val="32"/>
          <w:szCs w:val="32"/>
          <w:lang w:val="en-US" w:eastAsia="zh-CN"/>
        </w:rPr>
        <w:t>我</w:t>
      </w:r>
      <w:r>
        <w:rPr>
          <w:rFonts w:hint="eastAsia" w:ascii="仿宋" w:hAnsi="仿宋" w:eastAsia="仿宋" w:cs="仿宋"/>
          <w:sz w:val="32"/>
          <w:szCs w:val="32"/>
        </w:rPr>
        <w:t>公司非常欢迎各</w:t>
      </w:r>
      <w:r>
        <w:rPr>
          <w:rFonts w:hint="eastAsia" w:ascii="仿宋" w:hAnsi="仿宋" w:eastAsia="仿宋" w:cs="仿宋"/>
          <w:sz w:val="32"/>
          <w:szCs w:val="32"/>
          <w:lang w:val="en-US" w:eastAsia="zh-CN"/>
        </w:rPr>
        <w:t>运输</w:t>
      </w:r>
      <w:r>
        <w:rPr>
          <w:rFonts w:hint="eastAsia" w:ascii="仿宋" w:hAnsi="仿宋" w:eastAsia="仿宋" w:cs="仿宋"/>
          <w:sz w:val="32"/>
          <w:szCs w:val="32"/>
        </w:rPr>
        <w:t>单位积极踊跃参加</w:t>
      </w:r>
      <w:r>
        <w:rPr>
          <w:rFonts w:hint="eastAsia" w:ascii="仿宋" w:hAnsi="仿宋" w:eastAsia="仿宋" w:cs="仿宋"/>
          <w:sz w:val="32"/>
          <w:szCs w:val="32"/>
          <w:lang w:val="en-US" w:eastAsia="zh-CN"/>
        </w:rPr>
        <w:t>竞</w:t>
      </w:r>
      <w:r>
        <w:rPr>
          <w:rFonts w:hint="eastAsia" w:ascii="仿宋" w:hAnsi="仿宋" w:eastAsia="仿宋" w:cs="仿宋"/>
          <w:sz w:val="32"/>
          <w:szCs w:val="32"/>
        </w:rPr>
        <w:t>价并承揽更多的物贸业务。请各单位根据服务项目类型，结合本公司在物贸领域的综合保障能力，制定合理的有竞争优势的价格和资源保供方案参加</w:t>
      </w:r>
      <w:r>
        <w:rPr>
          <w:rFonts w:hint="eastAsia" w:ascii="仿宋" w:hAnsi="仿宋" w:eastAsia="仿宋" w:cs="仿宋"/>
          <w:sz w:val="32"/>
          <w:szCs w:val="32"/>
          <w:lang w:val="en-US" w:eastAsia="zh-CN"/>
        </w:rPr>
        <w:t>竞</w:t>
      </w:r>
      <w:r>
        <w:rPr>
          <w:rFonts w:hint="eastAsia" w:ascii="仿宋" w:hAnsi="仿宋" w:eastAsia="仿宋" w:cs="仿宋"/>
          <w:sz w:val="32"/>
          <w:szCs w:val="32"/>
        </w:rPr>
        <w:t>价，并承诺中标后严格按照合同履约，如出现中标未履约、服务品质不满足相关要求，公司将采取有力举措保护核心利益不受损失。同时，公司建立健全服务监督机制，畅通沟通交流渠道，公布公开24小时的监督服务电话，欢迎各单位反馈和提供建设性的意见和建议。</w:t>
      </w:r>
    </w:p>
    <w:p w14:paraId="7EAB0675">
      <w:pPr>
        <w:keepNext w:val="0"/>
        <w:keepLines w:val="0"/>
        <w:pageBreakBefore w:val="0"/>
        <w:kinsoku/>
        <w:wordWrap/>
        <w:overflowPunct/>
        <w:topLinePunct w:val="0"/>
        <w:autoSpaceDE/>
        <w:autoSpaceDN/>
        <w:bidi w:val="0"/>
        <w:adjustRightInd/>
        <w:snapToGrid/>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八、联系方式</w:t>
      </w:r>
    </w:p>
    <w:p w14:paraId="26C9AC4A">
      <w:p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rPr>
        <w:t>业务联系人及电话：</w:t>
      </w:r>
      <w:r>
        <w:rPr>
          <w:rFonts w:hint="eastAsia" w:ascii="仿宋" w:hAnsi="仿宋" w:eastAsia="仿宋" w:cs="仿宋"/>
          <w:sz w:val="32"/>
          <w:szCs w:val="32"/>
          <w:lang w:val="en-US" w:eastAsia="zh-CN"/>
        </w:rPr>
        <w:t>刘先生13911360120</w:t>
      </w:r>
    </w:p>
    <w:p w14:paraId="0FCA6D39">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公司总部监督服务电话：18611863359</w:t>
      </w:r>
    </w:p>
    <w:p w14:paraId="70FA2B81">
      <w:pPr>
        <w:keepNext w:val="0"/>
        <w:keepLines w:val="0"/>
        <w:pageBreakBefore w:val="0"/>
        <w:kinsoku/>
        <w:wordWrap/>
        <w:overflowPunct/>
        <w:topLinePunct w:val="0"/>
        <w:autoSpaceDE/>
        <w:autoSpaceDN/>
        <w:bidi w:val="0"/>
        <w:adjustRightInd/>
        <w:snapToGrid/>
        <w:ind w:left="3518" w:leftChars="304" w:hanging="2880" w:hangingChars="90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公司监督服务邮箱：jiandufuwu@ccccltd.com</w:t>
      </w:r>
      <w:r>
        <w:rPr>
          <w:rFonts w:hint="eastAsia"/>
          <w:lang w:val="en-US" w:eastAsia="zh-CN"/>
        </w:rPr>
        <w:t xml:space="preserve">                                  </w:t>
      </w:r>
      <w:r>
        <w:rPr>
          <w:rFonts w:hint="eastAsia" w:ascii="仿宋" w:hAnsi="仿宋" w:eastAsia="仿宋" w:cs="仿宋"/>
          <w:sz w:val="32"/>
          <w:szCs w:val="32"/>
          <w:lang w:val="en-US" w:eastAsia="zh-CN"/>
        </w:rPr>
        <w:t xml:space="preserve">         </w:t>
      </w:r>
    </w:p>
    <w:p w14:paraId="37AF659D">
      <w:pPr>
        <w:keepNext w:val="0"/>
        <w:keepLines w:val="0"/>
        <w:pageBreakBefore w:val="0"/>
        <w:kinsoku/>
        <w:wordWrap/>
        <w:overflowPunct/>
        <w:topLinePunct w:val="0"/>
        <w:autoSpaceDE/>
        <w:autoSpaceDN/>
        <w:bidi w:val="0"/>
        <w:adjustRightInd/>
        <w:snapToGrid/>
        <w:ind w:left="3518" w:leftChars="304" w:hanging="2880" w:hangingChars="900"/>
        <w:outlineLvl w:val="9"/>
        <w:rPr>
          <w:rFonts w:hint="eastAsia" w:ascii="仿宋" w:hAnsi="仿宋" w:eastAsia="仿宋" w:cs="仿宋"/>
          <w:sz w:val="32"/>
          <w:szCs w:val="32"/>
          <w:lang w:val="en-US" w:eastAsia="zh-CN"/>
        </w:rPr>
      </w:pPr>
    </w:p>
    <w:p w14:paraId="1E310A7D">
      <w:pPr>
        <w:keepNext w:val="0"/>
        <w:keepLines w:val="0"/>
        <w:pageBreakBefore w:val="0"/>
        <w:kinsoku/>
        <w:wordWrap/>
        <w:overflowPunct/>
        <w:topLinePunct w:val="0"/>
        <w:autoSpaceDE/>
        <w:autoSpaceDN/>
        <w:bidi w:val="0"/>
        <w:adjustRightInd/>
        <w:snapToGrid/>
        <w:ind w:left="4788" w:leftChars="2280" w:firstLine="3200" w:firstLineChars="1000"/>
        <w:outlineLvl w:val="9"/>
        <w:rPr>
          <w:rFonts w:hint="eastAsia" w:ascii="仿宋" w:hAnsi="仿宋" w:eastAsia="仿宋" w:cs="仿宋"/>
          <w:sz w:val="32"/>
          <w:szCs w:val="32"/>
          <w:lang w:val="en-US" w:eastAsia="zh-CN"/>
        </w:rPr>
      </w:pPr>
    </w:p>
    <w:p w14:paraId="36DC5F58">
      <w:pPr>
        <w:keepNext w:val="0"/>
        <w:keepLines w:val="0"/>
        <w:pageBreakBefore w:val="0"/>
        <w:kinsoku/>
        <w:wordWrap/>
        <w:overflowPunct/>
        <w:topLinePunct w:val="0"/>
        <w:autoSpaceDE/>
        <w:autoSpaceDN/>
        <w:bidi w:val="0"/>
        <w:adjustRightInd/>
        <w:snapToGrid/>
        <w:ind w:firstLine="4800" w:firstLineChars="1500"/>
        <w:outlineLvl w:val="9"/>
        <w:rPr>
          <w:rFonts w:hint="default" w:ascii="仿宋" w:hAnsi="仿宋" w:eastAsia="仿宋" w:cs="仿宋"/>
          <w:sz w:val="32"/>
          <w:szCs w:val="32"/>
          <w:lang w:val="en-US"/>
        </w:rPr>
      </w:pPr>
      <w:r>
        <w:rPr>
          <w:rFonts w:hint="eastAsia" w:ascii="仿宋" w:hAnsi="仿宋" w:eastAsia="仿宋" w:cs="仿宋"/>
          <w:sz w:val="32"/>
          <w:szCs w:val="32"/>
          <w:lang w:val="en-US" w:eastAsia="zh-CN"/>
        </w:rPr>
        <w:t>中交物资雄安分公司</w:t>
      </w:r>
    </w:p>
    <w:p w14:paraId="39C0BA2B">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2025</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B1C1B9"/>
    <w:multiLevelType w:val="singleLevel"/>
    <w:tmpl w:val="FBB1C1B9"/>
    <w:lvl w:ilvl="0" w:tentative="0">
      <w:start w:val="1"/>
      <w:numFmt w:val="chineseCounting"/>
      <w:suff w:val="nothing"/>
      <w:lvlText w:val="%1、"/>
      <w:lvlJc w:val="left"/>
      <w:rPr>
        <w:rFonts w:hint="eastAsia"/>
      </w:rPr>
    </w:lvl>
  </w:abstractNum>
  <w:abstractNum w:abstractNumId="1">
    <w:nsid w:val="3EDA0300"/>
    <w:multiLevelType w:val="singleLevel"/>
    <w:tmpl w:val="3EDA030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ZTQzMGNmZDMwNzg2OGQ2YjhjNDdiZjFhMDEzMzUifQ=="/>
  </w:docVars>
  <w:rsids>
    <w:rsidRoot w:val="5E090EB4"/>
    <w:rsid w:val="029C774C"/>
    <w:rsid w:val="0A011074"/>
    <w:rsid w:val="0AF311D2"/>
    <w:rsid w:val="0B3462E8"/>
    <w:rsid w:val="0C572C27"/>
    <w:rsid w:val="11893789"/>
    <w:rsid w:val="155B3BC0"/>
    <w:rsid w:val="1F204D21"/>
    <w:rsid w:val="23AF726F"/>
    <w:rsid w:val="267029A2"/>
    <w:rsid w:val="275F1181"/>
    <w:rsid w:val="29672521"/>
    <w:rsid w:val="349928FE"/>
    <w:rsid w:val="35C9187F"/>
    <w:rsid w:val="35EA167F"/>
    <w:rsid w:val="364F4009"/>
    <w:rsid w:val="3D654918"/>
    <w:rsid w:val="3EEC6CA2"/>
    <w:rsid w:val="43782C30"/>
    <w:rsid w:val="4C912C37"/>
    <w:rsid w:val="50B013BB"/>
    <w:rsid w:val="51B40AA7"/>
    <w:rsid w:val="560675B8"/>
    <w:rsid w:val="5979517E"/>
    <w:rsid w:val="5AE26D53"/>
    <w:rsid w:val="5E090EB4"/>
    <w:rsid w:val="76DC35F5"/>
    <w:rsid w:val="79156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after="120" w:afterLines="0" w:afterAutospacing="0"/>
      <w:ind w:left="420" w:leftChars="200"/>
    </w:pPr>
  </w:style>
  <w:style w:type="paragraph" w:styleId="3">
    <w:name w:val="Body Text Indent 2"/>
    <w:basedOn w:val="1"/>
    <w:qFormat/>
    <w:uiPriority w:val="99"/>
    <w:pPr>
      <w:spacing w:after="120" w:line="480" w:lineRule="auto"/>
      <w:ind w:left="420" w:leftChars="200"/>
    </w:pPr>
    <w:rPr>
      <w:kern w:val="0"/>
      <w:sz w:val="24"/>
    </w:rPr>
  </w:style>
  <w:style w:type="paragraph" w:styleId="4">
    <w:name w:val="Body Text First Indent 2"/>
    <w:basedOn w:val="2"/>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1949</Words>
  <Characters>2052</Characters>
  <Lines>0</Lines>
  <Paragraphs>0</Paragraphs>
  <TotalTime>47</TotalTime>
  <ScaleCrop>false</ScaleCrop>
  <LinksUpToDate>false</LinksUpToDate>
  <CharactersWithSpaces>2134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2024-03-06T00:56:00Z</dcterms:created>
  <dc:creator>`A    LN_</dc:creator>
  <cp:lastModifiedBy>秦小花♥</cp:lastModifiedBy>
  <dcterms:modified xsi:type="dcterms:W3CDTF">2025-07-23T03:30:07Z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B50218002588478AA5D24D993EAECB8D_11</vt:lpwstr>
  </property>
  <property fmtid="{D5CDD505-2E9C-101B-9397-08002B2CF9AE}" pid="4" name="KSOTemplateDocerSaveRecord">
    <vt:lpwstr>eyJoZGlkIjoiNjg5MmIxYzQ4NmZiMDZmOGI0Y2I0OGQwMzIyZGE4ZTEiLCJ1c2VySWQiOiI4ODAyNjM5MzkifQ==</vt:lpwstr>
  </property>
</Properties>
</file>