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7F94A2">
      <w:pPr>
        <w:pStyle w:val="2"/>
        <w:bidi w:val="0"/>
      </w:pPr>
      <w:bookmarkStart w:id="0" w:name="_GoBack"/>
      <w:r>
        <w:rPr>
          <w:rFonts w:hint="eastAsia"/>
          <w:lang w:val="en-US" w:eastAsia="zh-CN"/>
        </w:rPr>
        <w:t>项目编号：FWFA00000050666</w:t>
      </w:r>
    </w:p>
    <w:p w14:paraId="56C6B460">
      <w:pPr>
        <w:pStyle w:val="2"/>
        <w:bidi w:val="0"/>
      </w:pPr>
    </w:p>
    <w:p w14:paraId="2167A951">
      <w:pPr>
        <w:pStyle w:val="2"/>
        <w:bidi w:val="0"/>
        <w:rPr>
          <w:rFonts w:hint="eastAsia"/>
        </w:rPr>
      </w:pPr>
      <w:r>
        <w:rPr>
          <w:rFonts w:hint="eastAsia"/>
          <w:lang w:val="en-US" w:eastAsia="zh-CN"/>
        </w:rPr>
        <w:t>公告</w:t>
      </w:r>
    </w:p>
    <w:p w14:paraId="27B5A989">
      <w:pPr>
        <w:pStyle w:val="2"/>
        <w:bidi w:val="0"/>
        <w:rPr>
          <w:rFonts w:hint="eastAsia"/>
        </w:rPr>
      </w:pPr>
      <w:r>
        <w:rPr>
          <w:rFonts w:hint="eastAsia"/>
          <w:lang w:val="en-US" w:eastAsia="zh-CN"/>
        </w:rPr>
        <w:t>公告标题：</w:t>
      </w:r>
    </w:p>
    <w:p w14:paraId="385CF8F1">
      <w:pPr>
        <w:pStyle w:val="2"/>
        <w:bidi w:val="0"/>
        <w:rPr>
          <w:rFonts w:hint="eastAsia"/>
        </w:rPr>
      </w:pPr>
      <w:r>
        <w:rPr>
          <w:rFonts w:hint="eastAsia"/>
          <w:lang w:val="en-US" w:eastAsia="zh-CN"/>
        </w:rPr>
        <w:t>中交物资雄安分公司恩施绿色建材运输公开竞价采购公告</w:t>
      </w:r>
    </w:p>
    <w:p w14:paraId="2EE60810">
      <w:pPr>
        <w:pStyle w:val="2"/>
        <w:bidi w:val="0"/>
        <w:rPr>
          <w:rFonts w:hint="eastAsia"/>
        </w:rPr>
      </w:pPr>
      <w:r>
        <w:rPr>
          <w:rFonts w:hint="eastAsia"/>
          <w:lang w:val="en-US" w:eastAsia="zh-CN"/>
        </w:rPr>
        <w:t>公告内容：</w:t>
      </w:r>
    </w:p>
    <w:p w14:paraId="52126590">
      <w:pPr>
        <w:pStyle w:val="2"/>
        <w:bidi w:val="0"/>
      </w:pPr>
    </w:p>
    <w:p w14:paraId="3F424DE2">
      <w:pPr>
        <w:pStyle w:val="2"/>
        <w:bidi w:val="0"/>
      </w:pPr>
      <w:r>
        <w:rPr>
          <w:rFonts w:hint="eastAsia"/>
        </w:rPr>
        <w:t>雄安分公司恩施绿色建材运输公开竞价采购公告</w:t>
      </w:r>
    </w:p>
    <w:p w14:paraId="05730735">
      <w:pPr>
        <w:pStyle w:val="2"/>
        <w:bidi w:val="0"/>
      </w:pPr>
      <w:r>
        <w:rPr>
          <w:rFonts w:hint="eastAsia"/>
        </w:rPr>
        <w:t>一、项目基本情况</w:t>
      </w:r>
    </w:p>
    <w:p w14:paraId="21CDCB09">
      <w:pPr>
        <w:pStyle w:val="2"/>
        <w:bidi w:val="0"/>
      </w:pPr>
      <w:r>
        <w:rPr>
          <w:rFonts w:hint="eastAsia"/>
        </w:rPr>
        <w:t>中国交通物资有限公司（以下简称：中交物资）钢筋运输采购已具备招标竞价条件，根据物资公司物资采购管理规定，决定对钢筋运输进行公开竞价，采购组织方为：雄安分公司。</w:t>
      </w:r>
    </w:p>
    <w:p w14:paraId="58F77755">
      <w:pPr>
        <w:pStyle w:val="2"/>
        <w:bidi w:val="0"/>
      </w:pPr>
      <w:r>
        <w:rPr>
          <w:rFonts w:hint="eastAsia"/>
        </w:rPr>
        <w:t>二、物资数量、交货周期及交货地点</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80"/>
        <w:gridCol w:w="1320"/>
        <w:gridCol w:w="880"/>
        <w:gridCol w:w="900"/>
        <w:gridCol w:w="900"/>
        <w:gridCol w:w="900"/>
        <w:gridCol w:w="900"/>
        <w:gridCol w:w="900"/>
      </w:tblGrid>
      <w:tr w14:paraId="3E4EF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5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A33CEB">
            <w:pPr>
              <w:pStyle w:val="2"/>
              <w:bidi w:val="0"/>
            </w:pPr>
            <w:r>
              <w:t>序号</w:t>
            </w:r>
          </w:p>
        </w:tc>
        <w:tc>
          <w:tcPr>
            <w:tcW w:w="13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D91D24">
            <w:pPr>
              <w:pStyle w:val="2"/>
              <w:bidi w:val="0"/>
            </w:pPr>
            <w:r>
              <w:t>物资名称</w:t>
            </w:r>
          </w:p>
        </w:tc>
        <w:tc>
          <w:tcPr>
            <w:tcW w:w="8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780243">
            <w:pPr>
              <w:pStyle w:val="2"/>
              <w:bidi w:val="0"/>
            </w:pPr>
            <w:r>
              <w:t>规格型号</w:t>
            </w:r>
          </w:p>
        </w:tc>
        <w:tc>
          <w:tcPr>
            <w:tcW w:w="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6FEDE9">
            <w:pPr>
              <w:pStyle w:val="2"/>
              <w:bidi w:val="0"/>
            </w:pPr>
            <w:r>
              <w:t>品牌</w:t>
            </w:r>
          </w:p>
        </w:tc>
        <w:tc>
          <w:tcPr>
            <w:tcW w:w="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8E8AB2">
            <w:pPr>
              <w:pStyle w:val="2"/>
              <w:bidi w:val="0"/>
            </w:pPr>
            <w:r>
              <w:t>计量单位</w:t>
            </w:r>
          </w:p>
        </w:tc>
        <w:tc>
          <w:tcPr>
            <w:tcW w:w="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409A2F">
            <w:pPr>
              <w:pStyle w:val="2"/>
              <w:bidi w:val="0"/>
            </w:pPr>
            <w:r>
              <w:t>暂估数量</w:t>
            </w:r>
          </w:p>
        </w:tc>
        <w:tc>
          <w:tcPr>
            <w:tcW w:w="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4FA738">
            <w:pPr>
              <w:pStyle w:val="2"/>
              <w:bidi w:val="0"/>
            </w:pPr>
            <w:r>
              <w:t>交付方式</w:t>
            </w:r>
          </w:p>
        </w:tc>
        <w:tc>
          <w:tcPr>
            <w:tcW w:w="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5C0ADB">
            <w:pPr>
              <w:pStyle w:val="2"/>
              <w:bidi w:val="0"/>
            </w:pPr>
            <w:r>
              <w:t>备注</w:t>
            </w:r>
          </w:p>
        </w:tc>
      </w:tr>
      <w:tr w14:paraId="43BBA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5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DA3EEC">
            <w:pPr>
              <w:pStyle w:val="2"/>
              <w:bidi w:val="0"/>
            </w:pPr>
            <w:r>
              <w:t>1</w:t>
            </w:r>
          </w:p>
        </w:tc>
        <w:tc>
          <w:tcPr>
            <w:tcW w:w="13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61E761">
            <w:pPr>
              <w:pStyle w:val="2"/>
              <w:bidi w:val="0"/>
            </w:pPr>
            <w:r>
              <w:t>钢筋</w:t>
            </w:r>
          </w:p>
        </w:tc>
        <w:tc>
          <w:tcPr>
            <w:tcW w:w="8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030A87">
            <w:pPr>
              <w:pStyle w:val="2"/>
              <w:bidi w:val="0"/>
            </w:pPr>
            <w:r>
              <w:t>Φ6-32</w:t>
            </w:r>
          </w:p>
        </w:tc>
        <w:tc>
          <w:tcPr>
            <w:tcW w:w="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DE45D1">
            <w:pPr>
              <w:pStyle w:val="2"/>
              <w:bidi w:val="0"/>
            </w:pPr>
            <w:r>
              <w:t>/</w:t>
            </w:r>
          </w:p>
        </w:tc>
        <w:tc>
          <w:tcPr>
            <w:tcW w:w="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BE98AE">
            <w:pPr>
              <w:pStyle w:val="2"/>
              <w:bidi w:val="0"/>
            </w:pPr>
            <w:r>
              <w:t>吨</w:t>
            </w:r>
          </w:p>
        </w:tc>
        <w:tc>
          <w:tcPr>
            <w:tcW w:w="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4513FA">
            <w:pPr>
              <w:pStyle w:val="2"/>
              <w:bidi w:val="0"/>
            </w:pPr>
            <w:r>
              <w:t>6605</w:t>
            </w:r>
          </w:p>
        </w:tc>
        <w:tc>
          <w:tcPr>
            <w:tcW w:w="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813780">
            <w:pPr>
              <w:pStyle w:val="2"/>
              <w:bidi w:val="0"/>
            </w:pPr>
            <w:r>
              <w:t>过磅</w:t>
            </w:r>
          </w:p>
        </w:tc>
        <w:tc>
          <w:tcPr>
            <w:tcW w:w="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93B007">
            <w:pPr>
              <w:pStyle w:val="2"/>
              <w:bidi w:val="0"/>
            </w:pPr>
            <w:r>
              <w:t>钢筋运输</w:t>
            </w:r>
          </w:p>
        </w:tc>
      </w:tr>
      <w:tr w14:paraId="40518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5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F8CB6F">
            <w:pPr>
              <w:pStyle w:val="2"/>
              <w:bidi w:val="0"/>
              <w:rPr>
                <w:rFonts w:hint="eastAsia"/>
              </w:rPr>
            </w:pPr>
          </w:p>
        </w:tc>
        <w:tc>
          <w:tcPr>
            <w:tcW w:w="13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D78154">
            <w:pPr>
              <w:pStyle w:val="2"/>
              <w:bidi w:val="0"/>
            </w:pPr>
            <w:r>
              <w:t>合计</w:t>
            </w:r>
          </w:p>
        </w:tc>
        <w:tc>
          <w:tcPr>
            <w:tcW w:w="8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98B0FC">
            <w:pPr>
              <w:pStyle w:val="2"/>
              <w:bidi w:val="0"/>
              <w:rPr>
                <w:rFonts w:hint="eastAsia"/>
              </w:rPr>
            </w:pPr>
          </w:p>
        </w:tc>
        <w:tc>
          <w:tcPr>
            <w:tcW w:w="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B75B7A">
            <w:pPr>
              <w:pStyle w:val="2"/>
              <w:bidi w:val="0"/>
              <w:rPr>
                <w:rFonts w:hint="eastAsia"/>
              </w:rPr>
            </w:pPr>
          </w:p>
        </w:tc>
        <w:tc>
          <w:tcPr>
            <w:tcW w:w="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EE3072">
            <w:pPr>
              <w:pStyle w:val="2"/>
              <w:bidi w:val="0"/>
              <w:rPr>
                <w:rFonts w:hint="eastAsia"/>
              </w:rPr>
            </w:pPr>
          </w:p>
        </w:tc>
        <w:tc>
          <w:tcPr>
            <w:tcW w:w="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0265C3">
            <w:pPr>
              <w:pStyle w:val="2"/>
              <w:bidi w:val="0"/>
            </w:pPr>
            <w:r>
              <w:t>6605</w:t>
            </w:r>
          </w:p>
        </w:tc>
        <w:tc>
          <w:tcPr>
            <w:tcW w:w="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DB2A7E">
            <w:pPr>
              <w:pStyle w:val="2"/>
              <w:bidi w:val="0"/>
              <w:rPr>
                <w:rFonts w:hint="eastAsia"/>
              </w:rPr>
            </w:pPr>
          </w:p>
        </w:tc>
        <w:tc>
          <w:tcPr>
            <w:tcW w:w="9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8E6F5C">
            <w:pPr>
              <w:pStyle w:val="2"/>
              <w:bidi w:val="0"/>
              <w:rPr>
                <w:rFonts w:hint="eastAsia"/>
              </w:rPr>
            </w:pPr>
          </w:p>
        </w:tc>
      </w:tr>
    </w:tbl>
    <w:p w14:paraId="72F1C1EE">
      <w:pPr>
        <w:pStyle w:val="2"/>
        <w:bidi w:val="0"/>
      </w:pPr>
      <w:r>
        <w:rPr>
          <w:rFonts w:hint="eastAsia"/>
        </w:rPr>
        <w:t>（一）钢筋运输采购共计 6605 吨，具体数量中标后以实际供应结算数量为准；</w:t>
      </w:r>
    </w:p>
    <w:p w14:paraId="32C60010">
      <w:pPr>
        <w:pStyle w:val="2"/>
        <w:bidi w:val="0"/>
      </w:pPr>
      <w:r>
        <w:rPr>
          <w:rFonts w:hint="eastAsia"/>
        </w:rPr>
        <w:t>（二）交货周期：2025年8月1日后陆续交付。</w:t>
      </w:r>
    </w:p>
    <w:p w14:paraId="0BEB0C1B">
      <w:pPr>
        <w:pStyle w:val="2"/>
        <w:bidi w:val="0"/>
      </w:pPr>
      <w:r>
        <w:rPr>
          <w:rFonts w:hint="eastAsia"/>
        </w:rPr>
        <w:t>（三）交付地点：湖北省恩施州建始县煤炭沟村（道路比较窄，货车最长13米）；</w:t>
      </w:r>
    </w:p>
    <w:p w14:paraId="4A2A55BA">
      <w:pPr>
        <w:pStyle w:val="2"/>
        <w:bidi w:val="0"/>
      </w:pPr>
      <w:r>
        <w:rPr>
          <w:rFonts w:hint="eastAsia"/>
        </w:rPr>
        <w:t>三、竞价资格条件</w:t>
      </w:r>
    </w:p>
    <w:p w14:paraId="7039DD0B">
      <w:pPr>
        <w:pStyle w:val="2"/>
        <w:bidi w:val="0"/>
      </w:pPr>
      <w:r>
        <w:rPr>
          <w:rFonts w:hint="eastAsia"/>
        </w:rPr>
        <w:t>（一）营业范围要求</w:t>
      </w:r>
    </w:p>
    <w:p w14:paraId="0D911F68">
      <w:pPr>
        <w:pStyle w:val="2"/>
        <w:bidi w:val="0"/>
      </w:pPr>
      <w:r>
        <w:rPr>
          <w:rFonts w:hint="eastAsia"/>
        </w:rPr>
        <w:t>本次招标要求竞价单位须具备：</w:t>
      </w:r>
    </w:p>
    <w:p w14:paraId="56C165D1">
      <w:pPr>
        <w:pStyle w:val="2"/>
        <w:bidi w:val="0"/>
      </w:pPr>
      <w:r>
        <w:rPr>
          <w:rFonts w:hint="eastAsia"/>
        </w:rPr>
        <w:t>（1）法人资格，能独立承担民事责任；</w:t>
      </w:r>
    </w:p>
    <w:p w14:paraId="3BEF8413">
      <w:pPr>
        <w:pStyle w:val="2"/>
        <w:bidi w:val="0"/>
      </w:pPr>
      <w:r>
        <w:rPr>
          <w:rFonts w:hint="eastAsia"/>
        </w:rPr>
        <w:t>（2）具有良好的商业信誉和财务会计制度；</w:t>
      </w:r>
    </w:p>
    <w:p w14:paraId="23024732">
      <w:pPr>
        <w:pStyle w:val="2"/>
        <w:bidi w:val="0"/>
      </w:pPr>
      <w:r>
        <w:rPr>
          <w:rFonts w:hint="eastAsia"/>
        </w:rPr>
        <w:t>（3）具有履行合同所必需的设备和专业技术能力；</w:t>
      </w:r>
    </w:p>
    <w:p w14:paraId="38F4E3A7">
      <w:pPr>
        <w:pStyle w:val="2"/>
        <w:bidi w:val="0"/>
      </w:pPr>
      <w:r>
        <w:rPr>
          <w:rFonts w:hint="eastAsia"/>
        </w:rPr>
        <w:t>（4）环境管理、职业健康及安全管理实施情况及绩效说明；</w:t>
      </w:r>
    </w:p>
    <w:p w14:paraId="45D493B5">
      <w:pPr>
        <w:pStyle w:val="2"/>
        <w:bidi w:val="0"/>
      </w:pPr>
      <w:r>
        <w:rPr>
          <w:rFonts w:hint="eastAsia"/>
        </w:rPr>
        <w:t>（5）近三年发生如生产安全事故，环保事故、分包商员工职业健康问题等被有关部门进行行政处罚或有异常信用记录的，应提供书面分析改进报告。（未如实陈述者，我司有权取消中标资格及其他处罚措施。)资质，类似相关成功业绩，并具有与本招标项目相应的供货能力。</w:t>
      </w:r>
    </w:p>
    <w:p w14:paraId="0DDE2C0B">
      <w:pPr>
        <w:pStyle w:val="2"/>
        <w:bidi w:val="0"/>
      </w:pPr>
      <w:r>
        <w:rPr>
          <w:rFonts w:hint="eastAsia"/>
        </w:rPr>
        <w:t>（6）近3年内有类似相关成功有效业绩1例以上；</w:t>
      </w:r>
    </w:p>
    <w:p w14:paraId="48262878">
      <w:pPr>
        <w:pStyle w:val="2"/>
        <w:bidi w:val="0"/>
      </w:pPr>
      <w:r>
        <w:rPr>
          <w:rFonts w:hint="eastAsia"/>
        </w:rPr>
        <w:t>有效业绩的定义：</w:t>
      </w:r>
    </w:p>
    <w:p w14:paraId="492F8E2F">
      <w:pPr>
        <w:pStyle w:val="2"/>
        <w:bidi w:val="0"/>
      </w:pPr>
      <w:r>
        <w:rPr>
          <w:rFonts w:hint="eastAsia"/>
        </w:rPr>
        <w:t>①合同为同类型相关项目；</w:t>
      </w:r>
    </w:p>
    <w:p w14:paraId="219373DF">
      <w:pPr>
        <w:pStyle w:val="2"/>
        <w:bidi w:val="0"/>
      </w:pPr>
      <w:r>
        <w:rPr>
          <w:rFonts w:hint="eastAsia"/>
        </w:rPr>
        <w:t>②须提供该业绩合同的复印件（包括但不限于合同首页、双方盖章页、总金额页）；</w:t>
      </w:r>
    </w:p>
    <w:p w14:paraId="057195D3">
      <w:pPr>
        <w:pStyle w:val="2"/>
        <w:bidi w:val="0"/>
      </w:pPr>
      <w:r>
        <w:rPr>
          <w:rFonts w:hint="eastAsia"/>
        </w:rPr>
        <w:t>③须提供该业绩合同的项目验收证明（如：业主证明或完工证明、验收报告等）或该业绩合同的所有收款凭证，以证明除验收、质保外其他阶段付款均已支付，（该业绩合同的项目验收证明或该业绩合同的所有收款凭证可二选一提供）；</w:t>
      </w:r>
    </w:p>
    <w:p w14:paraId="5EC12705">
      <w:pPr>
        <w:pStyle w:val="2"/>
        <w:bidi w:val="0"/>
      </w:pPr>
      <w:r>
        <w:rPr>
          <w:rFonts w:hint="eastAsia"/>
        </w:rPr>
        <w:t>所有证明文件在必要时需提供纸质原件备查。</w:t>
      </w:r>
    </w:p>
    <w:p w14:paraId="230B8F8B">
      <w:pPr>
        <w:pStyle w:val="2"/>
        <w:bidi w:val="0"/>
      </w:pPr>
      <w:r>
        <w:rPr>
          <w:rFonts w:hint="eastAsia"/>
        </w:rPr>
        <w:t>（二）不得参加竞价的情况</w:t>
      </w:r>
    </w:p>
    <w:p w14:paraId="07ADD566">
      <w:pPr>
        <w:pStyle w:val="2"/>
        <w:bidi w:val="0"/>
      </w:pPr>
      <w:r>
        <w:rPr>
          <w:rFonts w:hint="eastAsia"/>
        </w:rPr>
        <w:t>未取得法律法规定经营许可，擅自从事经营范围以外业务的;使用失效、伪造、变造、被注销等无效的经营许可证件的;被中国交建所属各单位纳入黑名单的；过往三年内被国家相关机构（工商、税务）处罚的；企业或企业法人被列入失信执行人、违法案件当事人、违法失信行为记录名单的；以及其他无法满足合约条款的。</w:t>
      </w:r>
    </w:p>
    <w:p w14:paraId="4333DCA2">
      <w:pPr>
        <w:pStyle w:val="2"/>
        <w:bidi w:val="0"/>
      </w:pPr>
      <w:r>
        <w:rPr>
          <w:rFonts w:hint="eastAsia"/>
        </w:rPr>
        <w:t>四、竞价价时间及定价方式</w:t>
      </w:r>
    </w:p>
    <w:p w14:paraId="343CFC9B">
      <w:pPr>
        <w:pStyle w:val="2"/>
        <w:bidi w:val="0"/>
      </w:pPr>
      <w:r>
        <w:rPr>
          <w:rFonts w:hint="eastAsia"/>
        </w:rPr>
        <w:t>（一）报名时间</w:t>
      </w:r>
    </w:p>
    <w:p w14:paraId="15A7E42A">
      <w:pPr>
        <w:pStyle w:val="2"/>
        <w:bidi w:val="0"/>
      </w:pPr>
      <w:r>
        <w:rPr>
          <w:rFonts w:hint="eastAsia"/>
        </w:rPr>
        <w:t>2025年7月23日12时00分至2025年7月26日16时00分止；</w:t>
      </w:r>
    </w:p>
    <w:p w14:paraId="72694EDA">
      <w:pPr>
        <w:pStyle w:val="2"/>
        <w:bidi w:val="0"/>
      </w:pPr>
      <w:r>
        <w:rPr>
          <w:rFonts w:hint="eastAsia"/>
        </w:rPr>
        <w:t>（一）竞价时间</w:t>
      </w:r>
    </w:p>
    <w:p w14:paraId="489661EE">
      <w:pPr>
        <w:pStyle w:val="2"/>
        <w:bidi w:val="0"/>
      </w:pPr>
      <w:r>
        <w:rPr>
          <w:rFonts w:hint="eastAsia"/>
        </w:rPr>
        <w:t>2025年7月26日16时00分至2025年7月28日16时00分。</w:t>
      </w:r>
    </w:p>
    <w:p w14:paraId="47D2397F">
      <w:pPr>
        <w:pStyle w:val="2"/>
        <w:bidi w:val="0"/>
      </w:pPr>
      <w:r>
        <w:rPr>
          <w:rFonts w:hint="eastAsia"/>
        </w:rPr>
        <w:t>五、定价及支付</w:t>
      </w:r>
    </w:p>
    <w:p w14:paraId="68902543">
      <w:pPr>
        <w:pStyle w:val="2"/>
        <w:bidi w:val="0"/>
      </w:pPr>
      <w:r>
        <w:rPr>
          <w:rFonts w:hint="eastAsia"/>
        </w:rPr>
        <w:t>（一）定价</w:t>
      </w:r>
    </w:p>
    <w:p w14:paraId="4CB703C3">
      <w:pPr>
        <w:pStyle w:val="2"/>
        <w:bidi w:val="0"/>
      </w:pPr>
      <w:r>
        <w:rPr>
          <w:rFonts w:hint="eastAsia"/>
        </w:rPr>
        <w:t>价格=报价中标单价，供方提供9%增值税专用发票。</w:t>
      </w:r>
    </w:p>
    <w:p w14:paraId="77D00DAF">
      <w:pPr>
        <w:pStyle w:val="2"/>
        <w:bidi w:val="0"/>
      </w:pPr>
      <w:r>
        <w:rPr>
          <w:rFonts w:hint="eastAsia"/>
        </w:rPr>
        <w:t>（二）结算：按月办理结算手续，本批次货物运输完毕后，运输方应在每期结算后将本月供货的交接签收单、发票等结算单据交于需方。</w:t>
      </w:r>
    </w:p>
    <w:p w14:paraId="24C9A4B8">
      <w:pPr>
        <w:pStyle w:val="2"/>
        <w:bidi w:val="0"/>
      </w:pPr>
      <w:r>
        <w:rPr>
          <w:rFonts w:hint="eastAsia"/>
        </w:rPr>
        <w:t>（三）支付办理完成结算手续并收到发票后30日内支付当期结算货款的100%，以银行转账方式支付。</w:t>
      </w:r>
    </w:p>
    <w:p w14:paraId="1E8EC097">
      <w:pPr>
        <w:pStyle w:val="2"/>
        <w:bidi w:val="0"/>
      </w:pPr>
      <w:r>
        <w:rPr>
          <w:rFonts w:hint="eastAsia"/>
        </w:rPr>
        <w:t>六、评标原则</w:t>
      </w:r>
    </w:p>
    <w:p w14:paraId="409CAA0B">
      <w:pPr>
        <w:pStyle w:val="2"/>
        <w:bidi w:val="0"/>
      </w:pPr>
      <w:r>
        <w:rPr>
          <w:rFonts w:hint="eastAsia"/>
        </w:rPr>
        <w:t>评标小组对满足竞价要求的报价，按照经评审的报价由低到高的顺序推荐 一名中标候选人，但低于成本价的或超过招标人可以接受价格的除外。经评审的投标价相等时，最短交货期小的优先。中标单位如在后期因供货原因无法履约的，我公司将无条件与其解除合约关系，并将不履约单位名单公示，自公示期起24个月内不得参与物资公司组织的各种形式竞标。</w:t>
      </w:r>
    </w:p>
    <w:p w14:paraId="3DA5613B">
      <w:pPr>
        <w:pStyle w:val="2"/>
        <w:bidi w:val="0"/>
      </w:pPr>
      <w:r>
        <w:rPr>
          <w:rFonts w:hint="eastAsia"/>
        </w:rPr>
        <w:t>如采购子平台系统当中总金额与报价单位上传按照需求明细报价总金额不一致的情况，评标以按照需求明细报价上传的总金额为准。</w:t>
      </w:r>
    </w:p>
    <w:p w14:paraId="1FBAAE82">
      <w:pPr>
        <w:pStyle w:val="2"/>
        <w:bidi w:val="0"/>
      </w:pPr>
      <w:r>
        <w:rPr>
          <w:rFonts w:hint="eastAsia"/>
        </w:rPr>
        <w:t>七、其他事项</w:t>
      </w:r>
    </w:p>
    <w:p w14:paraId="17E0E6C8">
      <w:pPr>
        <w:pStyle w:val="2"/>
        <w:bidi w:val="0"/>
      </w:pPr>
      <w:r>
        <w:rPr>
          <w:rFonts w:hint="eastAsia"/>
        </w:rPr>
        <w:t>每批次采购计划，物资公司将提前3天下达，供货单位接到计划后按照到货要求时间将货物运至指定区域，货物到达后中转点后，换装的吊装由 运输单位 负责，卸货后的搬运装卸由 项目施工单位 负责。货物装车完毕后要求随车携带装货单据和凭证等材料，并将货物安全送达指定卸货地，运输期间货物如发生丢失、破损、变形或是车辆在运输途中发生颠簸和碰撞所造成损失均由供货单位自行承担，货物运输途中承运司机如发生道路交通安全事故，无论同等责任、次要责任、无责任其赔偿责任均由承运司机的雇佣单位承担，即物流公司承担，我公司不承担运输过程中的任何人员安全责任。</w:t>
      </w:r>
    </w:p>
    <w:p w14:paraId="11918014">
      <w:pPr>
        <w:pStyle w:val="2"/>
        <w:bidi w:val="0"/>
      </w:pPr>
      <w:r>
        <w:rPr>
          <w:rFonts w:hint="eastAsia"/>
        </w:rPr>
        <w:t>需方支付货款前，供方应向需方提供合法合规的9%增值税专用发票，并按合同约定内容和本期实际供货结算情况，准确填写发票项目；若供方未向需方提供合法合规的增值税专用发票，需方有权拒绝支付结算货款。</w:t>
      </w:r>
    </w:p>
    <w:p w14:paraId="17BBE365">
      <w:pPr>
        <w:pStyle w:val="2"/>
        <w:bidi w:val="0"/>
      </w:pPr>
      <w:r>
        <w:rPr>
          <w:rFonts w:hint="eastAsia"/>
        </w:rPr>
        <w:t>货物错运到达地或错交收货人，由供货单位无偿运抵原定地点并交给原定收货人，由此造成的一切损失由供货单位承担。</w:t>
      </w:r>
    </w:p>
    <w:p w14:paraId="0154B7F7">
      <w:pPr>
        <w:pStyle w:val="2"/>
        <w:bidi w:val="0"/>
      </w:pPr>
      <w:r>
        <w:rPr>
          <w:rFonts w:hint="eastAsia"/>
        </w:rPr>
        <w:t>供货单位在道路安全事故给物资公司造成的损失，按原值赔偿；供货单位在交货前发生货物丢失，或与发货数量出现较大偏差的，按当期货物市场价格三倍赔偿物资公司。</w:t>
      </w:r>
    </w:p>
    <w:p w14:paraId="51354477">
      <w:pPr>
        <w:pStyle w:val="2"/>
        <w:bidi w:val="0"/>
      </w:pPr>
      <w:r>
        <w:rPr>
          <w:rFonts w:hint="eastAsia"/>
        </w:rPr>
        <w:t>我公司非常欢迎各生产厂家和贸易单位积极踊跃参加竞价并承揽更多的物贸业务。请各单位根据服务项目类型，结合本公司在物贸领域的综合保障能力，制定合理的有竞争优势的价格和资源保供方案参加竞价，并承诺中标后严格按照合同履约，如出现中标未履约、服务品质不满足相关要求，公司将采取有力举措保护核心利益不受损失。同时，公司建立健全服务监督机制，畅通沟通交流渠道，公布公开24小时的监督服务电话，欢迎各单位反馈和提供建设性的意见和建议。</w:t>
      </w:r>
    </w:p>
    <w:p w14:paraId="12E2F47C">
      <w:pPr>
        <w:pStyle w:val="2"/>
        <w:bidi w:val="0"/>
      </w:pPr>
      <w:r>
        <w:rPr>
          <w:rFonts w:hint="eastAsia"/>
        </w:rPr>
        <w:t>八、联系方式</w:t>
      </w:r>
    </w:p>
    <w:p w14:paraId="00A841E9">
      <w:pPr>
        <w:pStyle w:val="2"/>
        <w:bidi w:val="0"/>
      </w:pPr>
      <w:r>
        <w:rPr>
          <w:rFonts w:hint="eastAsia"/>
        </w:rPr>
        <w:t>业务联系人及电话：刘先生13911360120</w:t>
      </w:r>
    </w:p>
    <w:p w14:paraId="490A4C0B">
      <w:pPr>
        <w:pStyle w:val="2"/>
        <w:bidi w:val="0"/>
      </w:pPr>
      <w:r>
        <w:rPr>
          <w:rFonts w:hint="eastAsia"/>
        </w:rPr>
        <w:t>公司总部监督服务电话：18611863359</w:t>
      </w:r>
    </w:p>
    <w:p w14:paraId="4B69A90A">
      <w:pPr>
        <w:pStyle w:val="2"/>
        <w:bidi w:val="0"/>
      </w:pPr>
      <w:r>
        <w:rPr>
          <w:rFonts w:hint="eastAsia"/>
        </w:rPr>
        <w:t>公司监督服务邮箱：jiandufuwu@ccccltd.com</w:t>
      </w:r>
    </w:p>
    <w:p w14:paraId="2080B01D">
      <w:pPr>
        <w:pStyle w:val="2"/>
        <w:bidi w:val="0"/>
      </w:pPr>
      <w:r>
        <w:rPr>
          <w:rFonts w:hint="eastAsia"/>
        </w:rPr>
        <w:t>中国交通物资有限公司</w:t>
      </w:r>
    </w:p>
    <w:p w14:paraId="4BD2DBE5">
      <w:pPr>
        <w:pStyle w:val="2"/>
        <w:bidi w:val="0"/>
      </w:pPr>
      <w:r>
        <w:rPr>
          <w:rFonts w:hint="eastAsia"/>
        </w:rPr>
        <w:t>2025年7月23日</w:t>
      </w:r>
    </w:p>
    <w:p w14:paraId="7F1DCB0B">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9C07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2025-07-23T05:38:36Z</dcterms:created>
  <dc:creator>28039</dc:creator>
  <cp:lastModifiedBy>璇儿</cp:lastModifiedBy>
  <dcterms:modified xsi:type="dcterms:W3CDTF">2025-07-23T05:38:45Z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30168FF0795045F1B91862FA7F40F0FC_12</vt:lpwstr>
  </property>
</Properties>
</file>