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eastAsia="zh-CN"/>
        </w:rPr>
      </w:pPr>
      <w:bookmarkStart w:id="0" w:name="OLE_LINK2"/>
      <w:r>
        <w:rPr>
          <w:rFonts w:hint="eastAsia"/>
          <w:b/>
          <w:sz w:val="36"/>
          <w:szCs w:val="36"/>
          <w:lang w:val="en-US" w:eastAsia="zh-CN"/>
        </w:rPr>
        <w:t>北方恒达物流有限公司铁制品包装材料运输</w:t>
      </w:r>
    </w:p>
    <w:p>
      <w:pPr>
        <w:ind w:firstLine="361" w:firstLineChars="100"/>
        <w:jc w:val="center"/>
        <w:rPr>
          <w:b/>
          <w:sz w:val="36"/>
          <w:szCs w:val="36"/>
        </w:rPr>
      </w:pPr>
      <w:r>
        <w:rPr>
          <w:rFonts w:hint="eastAsia"/>
          <w:b/>
          <w:sz w:val="36"/>
          <w:szCs w:val="36"/>
          <w:lang w:eastAsia="zh-CN"/>
        </w:rPr>
        <w:t>公开</w:t>
      </w:r>
      <w:r>
        <w:rPr>
          <w:rFonts w:hint="eastAsia"/>
          <w:b/>
          <w:sz w:val="36"/>
          <w:szCs w:val="36"/>
          <w:lang w:val="en-US" w:eastAsia="zh-CN"/>
        </w:rPr>
        <w:t>询比</w:t>
      </w:r>
      <w:r>
        <w:rPr>
          <w:rFonts w:hint="eastAsia"/>
          <w:b/>
          <w:sz w:val="36"/>
          <w:szCs w:val="36"/>
        </w:rPr>
        <w:t>采购方案</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一、项目基本情况介绍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项目名称：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北方恒达物流有限公司铁制品包装材料运输项目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项目</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简介：</w:t>
      </w:r>
      <w:r>
        <w:rPr>
          <w:rFonts w:hint="eastAsia" w:ascii="仿宋_GB2312" w:hAnsi="仿宋" w:eastAsia="仿宋_GB2312" w:cs="仿宋"/>
          <w:color w:val="000000"/>
          <w:sz w:val="32"/>
          <w:szCs w:val="32"/>
          <w:lang w:val="en-US" w:eastAsia="zh-CN"/>
        </w:rPr>
        <w:t>北方恒达物流有限公司为冷轧厂加工及运输铁制品包装材料，其中运输业务将采用汽车运输方式，将恒达公司产出的包装材料运送至冷轧厂。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3、合同类型：单价合同。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4</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服务期限：</w:t>
      </w:r>
      <w:r>
        <w:rPr>
          <w:rFonts w:hint="eastAsia" w:ascii="仿宋_GB2312" w:hAnsi="仿宋_GB2312" w:eastAsia="仿宋_GB2312" w:cs="仿宋_GB2312"/>
          <w:sz w:val="32"/>
          <w:szCs w:val="32"/>
          <w:shd w:val="clear"/>
          <w:lang w:val="en-US" w:eastAsia="zh-CN"/>
        </w:rPr>
        <w:t>2025年8月7</w:t>
      </w:r>
      <w:r>
        <w:rPr>
          <w:rFonts w:hint="eastAsia" w:ascii="仿宋_GB2312" w:hAnsi="仿宋_GB2312" w:eastAsia="仿宋_GB2312" w:cs="仿宋_GB2312"/>
          <w:sz w:val="32"/>
          <w:szCs w:val="32"/>
          <w:shd w:val="clear"/>
        </w:rPr>
        <w:t>日至202</w:t>
      </w:r>
      <w:r>
        <w:rPr>
          <w:rFonts w:hint="eastAsia" w:ascii="仿宋_GB2312" w:hAnsi="仿宋_GB2312" w:eastAsia="仿宋_GB2312" w:cs="仿宋_GB2312"/>
          <w:sz w:val="32"/>
          <w:szCs w:val="32"/>
          <w:shd w:val="clear"/>
          <w:lang w:val="en-US" w:eastAsia="zh-CN"/>
        </w:rPr>
        <w:t>6</w:t>
      </w:r>
      <w:r>
        <w:rPr>
          <w:rFonts w:hint="eastAsia" w:ascii="仿宋_GB2312" w:hAnsi="仿宋_GB2312" w:eastAsia="仿宋_GB2312" w:cs="仿宋_GB2312"/>
          <w:sz w:val="32"/>
          <w:szCs w:val="32"/>
          <w:shd w:val="clear"/>
        </w:rPr>
        <w:t>年</w:t>
      </w:r>
      <w:r>
        <w:rPr>
          <w:rFonts w:hint="eastAsia" w:ascii="仿宋_GB2312" w:hAnsi="仿宋_GB2312" w:eastAsia="仿宋_GB2312" w:cs="仿宋_GB2312"/>
          <w:sz w:val="32"/>
          <w:szCs w:val="32"/>
          <w:shd w:val="clear"/>
          <w:lang w:val="en-US" w:eastAsia="zh-CN"/>
        </w:rPr>
        <w:t>12</w:t>
      </w:r>
      <w:r>
        <w:rPr>
          <w:rFonts w:hint="eastAsia" w:ascii="仿宋_GB2312" w:hAnsi="仿宋_GB2312" w:eastAsia="仿宋_GB2312" w:cs="仿宋_GB2312"/>
          <w:sz w:val="32"/>
          <w:szCs w:val="32"/>
          <w:shd w:val="clear"/>
        </w:rPr>
        <w:t>月3</w:t>
      </w:r>
      <w:r>
        <w:rPr>
          <w:rFonts w:hint="eastAsia" w:ascii="仿宋_GB2312" w:hAnsi="仿宋_GB2312" w:eastAsia="仿宋_GB2312" w:cs="仿宋_GB2312"/>
          <w:sz w:val="32"/>
          <w:szCs w:val="32"/>
          <w:shd w:val="clear"/>
          <w:lang w:val="en-US" w:eastAsia="zh-CN"/>
        </w:rPr>
        <w:t>1</w:t>
      </w:r>
      <w:r>
        <w:rPr>
          <w:rFonts w:hint="eastAsia" w:ascii="仿宋_GB2312" w:hAnsi="仿宋_GB2312" w:eastAsia="仿宋_GB2312" w:cs="仿宋_GB2312"/>
          <w:sz w:val="32"/>
          <w:szCs w:val="32"/>
          <w:shd w:val="clear"/>
        </w:rPr>
        <w:t>日，</w:t>
      </w:r>
      <w:r>
        <w:rPr>
          <w:rFonts w:hint="eastAsia" w:ascii="仿宋_GB2312" w:hAnsi="仿宋_GB2312" w:eastAsia="仿宋_GB2312" w:cs="仿宋_GB2312"/>
          <w:sz w:val="32"/>
          <w:szCs w:val="32"/>
        </w:rPr>
        <w:t>如数量增减，单价保持不变，以实际发生数量结算。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5、服务地点：</w:t>
      </w:r>
      <w:r>
        <w:rPr>
          <w:rFonts w:hint="eastAsia" w:ascii="仿宋_GB2312" w:hAnsi="仿宋_GB2312" w:eastAsia="仿宋_GB2312" w:cs="仿宋_GB2312"/>
          <w:sz w:val="32"/>
          <w:szCs w:val="32"/>
          <w:lang w:val="en-US" w:eastAsia="zh-CN"/>
        </w:rPr>
        <w:t>北方恒达物流有限公司厂内—冷轧厂。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val="en-US" w:eastAsia="zh-CN"/>
        </w:rPr>
        <w:t>询比</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招标采购要求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、报价要求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报价方式采用</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含税报价方式进行报价，</w:t>
      </w:r>
      <w:r>
        <w:rPr>
          <w:rFonts w:hint="eastAsia" w:ascii="仿宋_GB2312" w:hAnsi="仿宋_GB2312" w:eastAsia="仿宋_GB2312" w:cs="仿宋_GB2312"/>
          <w:sz w:val="32"/>
          <w:szCs w:val="32"/>
          <w:lang w:val="en-US" w:eastAsia="zh-CN"/>
        </w:rPr>
        <w:t>单台车一个往返的价格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/往返车次</w:t>
      </w:r>
      <w:r>
        <w:rPr>
          <w:rFonts w:hint="eastAsia" w:ascii="仿宋_GB2312" w:hAnsi="仿宋_GB2312" w:eastAsia="仿宋_GB2312" w:cs="仿宋_GB2312"/>
          <w:sz w:val="32"/>
          <w:szCs w:val="32"/>
        </w:rPr>
        <w:t>）、单价清晰、准确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中标方需开具增值税专用发票，招标数量为预估数量，以实际发生数量进行结算。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商务要求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（1）以投标截止之日为限，须工商注册成立一年以上。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（2）不接受联合体投标。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（3）中标方严禁转包，一经发现，甲方将终止合同，由此产生的一切损失由中标方负责。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（4）禁止鞍钢集团公司及本项目采购组织的限期整改、灰名单、黑名单企业参与本次投标。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（5）投标人未按要求提供相关注册资金、资质、业绩等证明，或提供的相关注册资金、资质、业绩等证明不清晰无法证明有效性的，投标文件无效。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（6）投标人必须确保提供的所有证明（包括但不限于注册资金、资质、业绩等）合法、真实、有效，否则承担由此产生的法律责任。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标人须确保所指派车辆安全且没有任何债务和纠纷，指派车辆满足正常工作需求，承运车辆投保齐全且所有证书在相应的工作期限内齐全、有效，因上述问题对我司造成的一切风险、责任及损失由中标人承担，并将酌情对中标方进行停标处理或经济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（8）中标方提供的车辆未在合同约定期限内抵达指定装货地，我司有权终止当次运输合同，由此产生的损失按照合同约定由中标方承担。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标人提供的车辆在承运期间，应认真执行避险措施和制度，并且中标人有责任保证货物运输安全。在出现事故时有责任全力配合我司及我司委托的保险公司针对公路异议或事故进行的勘证、调查、索赔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（10）评标方法：经评审的最低投标价法。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3、资质及业绩要求：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提供投标方（公司）营业执照（非三证合一的，还需提供国税登记证、地税登记证、组织机构代码证）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供应商必须提供道路运输经营许可证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p>
    <w:p>
      <w:pPr>
        <w:pStyle w:val="2"/>
        <w:ind w:firstLine="320" w:firstLineChars="100"/>
        <w:rPr>
          <w:rFonts w:hint="default"/>
          <w:lang w:val="en-US" w:eastAsia="zh-CN"/>
        </w:rPr>
      </w:pPr>
      <w:r>
        <w:rPr>
          <w:rFonts w:hint="eastAsia" w:ascii="仿宋_GB2312" w:hAnsi="仿宋_GB2312" w:eastAsia="仿宋_GB2312" w:cs="仿宋_GB2312"/>
          <w:sz w:val="32"/>
          <w:szCs w:val="32"/>
          <w:lang w:val="en-US" w:eastAsia="zh-CN"/>
        </w:rPr>
        <w:t>③供应商必须提供2022年至今运输业绩1份（提供合同及部分对应发票）。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4.财务要求：投标人注册资金不低于30万元。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5.付款方式：</w:t>
      </w:r>
      <w:r>
        <w:rPr>
          <w:rFonts w:hint="eastAsia" w:ascii="仿宋_GB2312" w:hAnsi="仿宋_GB2312" w:eastAsia="仿宋_GB2312" w:cs="仿宋_GB2312"/>
          <w:sz w:val="32"/>
          <w:szCs w:val="32"/>
          <w:lang w:eastAsia="zh-CN"/>
        </w:rPr>
        <w:t>甲、乙双方按照实际发生数量计算运费。</w:t>
      </w:r>
      <w:r>
        <w:rPr>
          <w:rFonts w:hint="eastAsia" w:ascii="仿宋_GB2312" w:hAnsi="仿宋" w:eastAsia="仿宋_GB2312" w:cs="仿宋"/>
          <w:color w:val="000000"/>
          <w:sz w:val="32"/>
          <w:szCs w:val="32"/>
          <w:lang w:val="en-US" w:eastAsia="zh-CN"/>
        </w:rPr>
        <w:t>货物运抵终到地后，经对账无误，中标人于当月开具并提交税率9%的增值税发票。恒达公司收到发票后，经业务审核无误后挂账，25日前开具发票的，当月挂账，次月付款；25日至月末开具发票的，次月挂账，第三个月付款，</w:t>
      </w:r>
      <w:r>
        <w:rPr>
          <w:rFonts w:hint="eastAsia" w:ascii="仿宋_GB2312" w:hAnsi="仿宋_GB2312" w:eastAsia="仿宋_GB2312" w:cs="仿宋_GB2312"/>
          <w:sz w:val="32"/>
          <w:szCs w:val="32"/>
          <w:lang w:val="en-US" w:eastAsia="zh-CN"/>
        </w:rPr>
        <w:t>现汇支付。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6.技术要求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 w:eastAsia="仿宋_GB2312" w:cs="仿宋"/>
          <w:color w:val="0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 w:eastAsia="仿宋_GB2312" w:cs="仿宋"/>
          <w:color w:val="000000"/>
          <w:sz w:val="32"/>
          <w:szCs w:val="32"/>
          <w:lang w:val="en-US" w:eastAsia="zh-CN"/>
        </w:rPr>
        <w:t>运输方式：10吨及以上栏板式货车。内护圈采用铁笼装载运输（铁笼高2米，宽2.2米，长3米）。外护圈</w:t>
      </w:r>
      <w:r>
        <w:rPr>
          <w:rFonts w:hint="eastAsia" w:ascii="仿宋_GB2312" w:hAnsi="仿宋" w:eastAsia="仿宋_GB2312" w:cs="仿宋"/>
          <w:color w:val="000000"/>
          <w:sz w:val="32"/>
          <w:szCs w:val="32"/>
          <w:shd w:val="clear"/>
          <w:lang w:val="en-US" w:eastAsia="zh-CN"/>
        </w:rPr>
        <w:t>及其他材料</w:t>
      </w:r>
      <w:r>
        <w:rPr>
          <w:rFonts w:hint="eastAsia" w:ascii="仿宋_GB2312" w:hAnsi="仿宋" w:eastAsia="仿宋_GB2312" w:cs="仿宋"/>
          <w:color w:val="000000"/>
          <w:sz w:val="32"/>
          <w:szCs w:val="32"/>
          <w:lang w:val="en-US" w:eastAsia="zh-CN"/>
        </w:rPr>
        <w:t>并排摆放。</w:t>
      </w:r>
    </w:p>
    <w:p>
      <w:pPr>
        <w:pStyle w:val="2"/>
        <w:numPr>
          <w:ilvl w:val="0"/>
          <w:numId w:val="0"/>
        </w:numPr>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（2）产品规格：</w:t>
      </w:r>
    </w:p>
    <w:tbl>
      <w:tblPr>
        <w:tblStyle w:val="7"/>
        <w:tblW w:w="6393" w:type="dxa"/>
        <w:jc w:val="center"/>
        <w:tblInd w:w="295" w:type="dxa"/>
        <w:shd w:val="clear" w:color="auto" w:fill="auto"/>
        <w:tblLayout w:type="fixed"/>
        <w:tblCellMar>
          <w:top w:w="0" w:type="dxa"/>
          <w:left w:w="0" w:type="dxa"/>
          <w:bottom w:w="0" w:type="dxa"/>
          <w:right w:w="0" w:type="dxa"/>
        </w:tblCellMar>
      </w:tblPr>
      <w:tblGrid>
        <w:gridCol w:w="2460"/>
        <w:gridCol w:w="3933"/>
      </w:tblGrid>
      <w:tr>
        <w:tblPrEx>
          <w:shd w:val="clear" w:color="auto" w:fill="auto"/>
          <w:tblLayout w:type="fixed"/>
          <w:tblCellMar>
            <w:top w:w="0" w:type="dxa"/>
            <w:left w:w="0" w:type="dxa"/>
            <w:bottom w:w="0" w:type="dxa"/>
            <w:right w:w="0" w:type="dxa"/>
          </w:tblCellMar>
        </w:tblPrEx>
        <w:trPr>
          <w:trHeight w:val="270"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主要型号规格（单位：mm）</w:t>
            </w:r>
          </w:p>
        </w:tc>
      </w:tr>
      <w:tr>
        <w:tblPrEx>
          <w:shd w:val="clear" w:color="auto" w:fill="auto"/>
          <w:tblLayout w:type="fixed"/>
          <w:tblCellMar>
            <w:top w:w="0" w:type="dxa"/>
            <w:left w:w="0" w:type="dxa"/>
            <w:bottom w:w="0" w:type="dxa"/>
            <w:right w:w="0" w:type="dxa"/>
          </w:tblCellMar>
        </w:tblPrEx>
        <w:trPr>
          <w:trHeight w:val="1066"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外周钢护角圈</w:t>
            </w:r>
          </w:p>
        </w:tc>
        <w:tc>
          <w:tcPr>
            <w:tcW w:w="3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1.2×800×150；1.2×850×150；</w:t>
            </w:r>
          </w:p>
          <w:p>
            <w:pPr>
              <w:pStyle w:val="2"/>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1.2×1250×150；1.2×1300×150</w:t>
            </w:r>
          </w:p>
          <w:p>
            <w:pPr>
              <w:pStyle w:val="2"/>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1.2×1350×150；1.2×1400×150</w:t>
            </w:r>
          </w:p>
          <w:p>
            <w:pPr>
              <w:pStyle w:val="2"/>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1.2×900×150</w:t>
            </w:r>
          </w:p>
        </w:tc>
      </w:tr>
      <w:tr>
        <w:tblPrEx>
          <w:shd w:val="clear" w:color="auto" w:fill="auto"/>
          <w:tblLayout w:type="fixed"/>
          <w:tblCellMar>
            <w:top w:w="0" w:type="dxa"/>
            <w:left w:w="0" w:type="dxa"/>
            <w:bottom w:w="0" w:type="dxa"/>
            <w:right w:w="0" w:type="dxa"/>
          </w:tblCellMar>
        </w:tblPrEx>
        <w:trPr>
          <w:trHeight w:val="324" w:hRule="atLeast"/>
          <w:jc w:val="center"/>
        </w:trPr>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内周钢护角圈</w:t>
            </w:r>
          </w:p>
        </w:tc>
        <w:tc>
          <w:tcPr>
            <w:tcW w:w="3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2×590×150；1.5×590×150</w:t>
            </w:r>
          </w:p>
          <w:p>
            <w:pPr>
              <w:pStyle w:val="2"/>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1.5×490×150</w:t>
            </w:r>
          </w:p>
        </w:tc>
      </w:tr>
    </w:tbl>
    <w:p>
      <w:pPr>
        <w:pStyle w:val="3"/>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cs="仿宋"/>
          <w:color w:val="000000"/>
          <w:sz w:val="32"/>
          <w:szCs w:val="32"/>
          <w:lang w:val="en-US" w:eastAsia="zh-CN"/>
        </w:rPr>
        <w:t>（3）运输量：约</w:t>
      </w:r>
      <w:r>
        <w:rPr>
          <w:rFonts w:hint="eastAsia" w:ascii="仿宋_GB2312" w:hAnsi="仿宋" w:eastAsia="仿宋_GB2312" w:cs="仿宋"/>
          <w:color w:val="000000"/>
          <w:sz w:val="32"/>
          <w:szCs w:val="32"/>
          <w:shd w:val="clear"/>
          <w:lang w:val="en-US" w:eastAsia="zh-CN"/>
        </w:rPr>
        <w:t>80000个/月</w:t>
      </w:r>
      <w:r>
        <w:rPr>
          <w:rFonts w:hint="eastAsia" w:ascii="仿宋_GB2312" w:hAnsi="仿宋" w:eastAsia="仿宋_GB2312" w:cs="仿宋"/>
          <w:color w:val="000000"/>
          <w:sz w:val="32"/>
          <w:szCs w:val="32"/>
          <w:lang w:val="en-US" w:eastAsia="zh-CN"/>
        </w:rPr>
        <w:t>。具体以实际量为准。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（4）供应商所提供的运输车必须车况良好，机械优良，满足我公司需求（投标时无需提供，合同履行时由采购方确认）。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（5）作业人员要求身体健康，证件齐全，合规驾驶（投标时无需提供，合同履行时由采购方确认）。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（6）由于投标人产品质量问题给使用方乃至第三方造成损失与责任的，投标人需进行相应的赔偿与承担相关的责任。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（7）由于投标人维修与服务问题给使用方造成损失的，使用方有权向投标方索赔。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bookmarkStart w:id="1" w:name="OLE_LINK3"/>
      <w:r>
        <w:rPr>
          <w:rFonts w:hint="eastAsia" w:ascii="仿宋_GB2312" w:hAnsi="仿宋_GB2312" w:eastAsia="仿宋_GB2312" w:cs="仿宋_GB2312"/>
          <w:sz w:val="32"/>
          <w:szCs w:val="32"/>
          <w:lang w:val="en-US" w:eastAsia="zh-CN"/>
        </w:rPr>
        <w:t>（1）运输方式：专用车辆运输，物权完全转移前所发生的一切损失和事故均由运输方承担责任。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（2）对合同的响应、服务保障承诺等要求：投标方具有便捷的运输条件和能力，确保所提供的运输车安全可靠。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（3）违约责任：因所提供的运输车发生事故造成的一切损失由运输方承担。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（4）争议解决诉讼地：本合同在履行过程中发生的争议，由双方当事人协商解决；协商不成的，依法向本溪市平山区人民法院起诉。</w:t>
      </w:r>
      <w:bookmarkEnd w:id="1"/>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价格控制方式</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本次运输招标最高投标限价总价</w:t>
      </w:r>
      <w:r>
        <w:rPr>
          <w:rFonts w:hint="eastAsia" w:ascii="仿宋_GB2312" w:hAnsi="仿宋_GB2312" w:eastAsia="仿宋_GB2312" w:cs="仿宋_GB2312"/>
          <w:sz w:val="32"/>
          <w:szCs w:val="32"/>
          <w:shd w:val="clear"/>
          <w:lang w:val="en-US" w:eastAsia="zh-CN"/>
        </w:rPr>
        <w:t>467,250元</w:t>
      </w:r>
      <w:r>
        <w:rPr>
          <w:rFonts w:hint="eastAsia" w:ascii="仿宋_GB2312" w:hAnsi="仿宋_GB2312" w:eastAsia="仿宋_GB2312" w:cs="仿宋_GB2312"/>
          <w:sz w:val="32"/>
          <w:szCs w:val="32"/>
          <w:lang w:val="en-US" w:eastAsia="zh-CN"/>
        </w:rPr>
        <w:t>，以下价格均为不含税、含油价格。</w:t>
      </w:r>
    </w:p>
    <w:tbl>
      <w:tblPr>
        <w:tblStyle w:val="8"/>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452"/>
        <w:gridCol w:w="2033"/>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3" w:type="dxa"/>
            <w:vAlign w:val="center"/>
          </w:tcPr>
          <w:p>
            <w:pPr>
              <w:shd w:val="clea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eastAsia="zh-CN"/>
              </w:rPr>
              <w:t>起运地-止运地</w:t>
            </w:r>
          </w:p>
        </w:tc>
        <w:tc>
          <w:tcPr>
            <w:tcW w:w="2452" w:type="dxa"/>
            <w:vAlign w:val="center"/>
          </w:tcPr>
          <w:p>
            <w:pPr>
              <w:shd w:val="clea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最高投标限价单价（不含税、含油）</w:t>
            </w:r>
          </w:p>
        </w:tc>
        <w:tc>
          <w:tcPr>
            <w:tcW w:w="2033" w:type="dxa"/>
            <w:vAlign w:val="center"/>
          </w:tcPr>
          <w:p>
            <w:pPr>
              <w:shd w:val="clear"/>
              <w:jc w:val="center"/>
              <w:rPr>
                <w:rFonts w:hint="eastAsia" w:ascii="仿宋" w:hAnsi="仿宋" w:eastAsia="仿宋" w:cs="仿宋"/>
                <w:sz w:val="28"/>
                <w:szCs w:val="28"/>
                <w:lang w:val="en-US" w:eastAsia="zh-CN"/>
              </w:rPr>
            </w:pPr>
            <w:r>
              <w:rPr>
                <w:rFonts w:hint="eastAsia" w:ascii="仿宋" w:hAnsi="仿宋" w:eastAsia="仿宋" w:cs="仿宋"/>
                <w:sz w:val="28"/>
                <w:szCs w:val="28"/>
                <w:shd w:val="clear"/>
                <w:lang w:val="en-US" w:eastAsia="zh-CN"/>
              </w:rPr>
              <w:t>招标数量（往返车次）</w:t>
            </w:r>
          </w:p>
        </w:tc>
        <w:tc>
          <w:tcPr>
            <w:tcW w:w="2482" w:type="dxa"/>
            <w:vAlign w:val="center"/>
          </w:tcPr>
          <w:p>
            <w:pPr>
              <w:shd w:val="clea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最高投标限总价（元）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恒达公司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一、二冷轧</w:t>
            </w:r>
          </w:p>
        </w:tc>
        <w:tc>
          <w:tcPr>
            <w:tcW w:w="2452"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240元/往返车次</w:t>
            </w:r>
          </w:p>
        </w:tc>
        <w:tc>
          <w:tcPr>
            <w:tcW w:w="2033"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1050</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恒达公司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三冷轧</w:t>
            </w:r>
          </w:p>
        </w:tc>
        <w:tc>
          <w:tcPr>
            <w:tcW w:w="2452"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205元/往返车次</w:t>
            </w:r>
          </w:p>
        </w:tc>
        <w:tc>
          <w:tcPr>
            <w:tcW w:w="203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1050</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2452" w:type="dxa"/>
            <w:vAlign w:val="center"/>
          </w:tcPr>
          <w:p>
            <w:pPr>
              <w:jc w:val="center"/>
              <w:rPr>
                <w:rFonts w:hint="eastAsia" w:ascii="仿宋" w:hAnsi="仿宋" w:eastAsia="仿宋" w:cs="仿宋"/>
                <w:sz w:val="28"/>
                <w:szCs w:val="28"/>
                <w:lang w:val="en-US" w:eastAsia="zh-CN"/>
              </w:rPr>
            </w:pPr>
          </w:p>
        </w:tc>
        <w:tc>
          <w:tcPr>
            <w:tcW w:w="2033" w:type="dxa"/>
            <w:vAlign w:val="center"/>
          </w:tcPr>
          <w:p>
            <w:pPr>
              <w:jc w:val="center"/>
              <w:rPr>
                <w:rFonts w:hint="eastAsia" w:ascii="仿宋" w:hAnsi="仿宋" w:eastAsia="仿宋" w:cs="仿宋"/>
                <w:sz w:val="28"/>
                <w:szCs w:val="28"/>
                <w:lang w:val="en-US" w:eastAsia="zh-CN"/>
              </w:rPr>
            </w:pP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467,250</w:t>
            </w:r>
          </w:p>
        </w:tc>
      </w:tr>
    </w:tbl>
    <w:p>
      <w:pPr>
        <w:shd w:val="clear"/>
        <w:spacing w:line="56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五、评标标准和评标</w:t>
      </w:r>
      <w:r>
        <w:rPr>
          <w:rFonts w:hint="eastAsia" w:ascii="仿宋_GB2312" w:hAnsi="仿宋_GB2312" w:eastAsia="仿宋_GB2312" w:cs="仿宋_GB2312"/>
          <w:b/>
          <w:color w:val="auto"/>
          <w:sz w:val="32"/>
          <w:szCs w:val="32"/>
          <w:lang w:val="en-US" w:eastAsia="zh-CN"/>
        </w:rPr>
        <w:t>办</w:t>
      </w:r>
      <w:r>
        <w:rPr>
          <w:rFonts w:hint="eastAsia" w:ascii="仿宋_GB2312" w:hAnsi="仿宋_GB2312" w:eastAsia="仿宋_GB2312" w:cs="仿宋_GB2312"/>
          <w:b/>
          <w:color w:val="auto"/>
          <w:sz w:val="32"/>
          <w:szCs w:val="32"/>
        </w:rPr>
        <w:t>法</w:t>
      </w:r>
    </w:p>
    <w:p>
      <w:pPr>
        <w:ind w:firstLine="640" w:firstLineChars="200"/>
        <w:rPr>
          <w:rFonts w:hint="eastAsia" w:ascii="仿宋_GB2312" w:hAnsi="仿宋_GB2312" w:eastAsia="仿宋_GB2312" w:cs="仿宋_GB2312"/>
          <w:b w:val="0"/>
          <w:i w:val="0"/>
          <w:caps w:val="0"/>
          <w:color w:val="auto"/>
          <w:spacing w:val="0"/>
          <w:w w:val="100"/>
          <w:sz w:val="32"/>
          <w:szCs w:val="32"/>
          <w:highlight w:val="none"/>
          <w:lang w:val="zh-CN"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评标办法：经评审的</w:t>
      </w:r>
      <w:r>
        <w:rPr>
          <w:rFonts w:hint="eastAsia" w:ascii="仿宋_GB2312" w:hAnsi="仿宋_GB2312" w:eastAsia="仿宋_GB2312" w:cs="仿宋_GB2312"/>
          <w:b w:val="0"/>
          <w:i w:val="0"/>
          <w:caps w:val="0"/>
          <w:color w:val="auto"/>
          <w:spacing w:val="0"/>
          <w:w w:val="100"/>
          <w:sz w:val="32"/>
          <w:szCs w:val="32"/>
          <w:highlight w:val="none"/>
          <w:lang w:val="zh-CN" w:eastAsia="zh-CN"/>
        </w:rPr>
        <w:t>最低投标价法。</w:t>
      </w:r>
      <w:bookmarkStart w:id="2" w:name="_GoBack"/>
      <w:bookmarkEnd w:id="2"/>
    </w:p>
    <w:p>
      <w:pPr>
        <w:shd w:val="clear"/>
        <w:spacing w:line="560" w:lineRule="exact"/>
        <w:ind w:firstLine="643"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六、中标/成交原则</w:t>
      </w:r>
    </w:p>
    <w:p>
      <w:pPr>
        <w:ind w:firstLine="640" w:firstLineChars="200"/>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shd w:val="clear"/>
          <w:lang w:val="en-US" w:eastAsia="zh-CN"/>
        </w:rPr>
        <w:t>1.本次公开询比单项合理，总价最低推荐中标。</w:t>
      </w:r>
      <w:r>
        <w:rPr>
          <w:rFonts w:hint="eastAsia" w:ascii="仿宋_GB2312" w:hAnsi="仿宋_GB2312" w:eastAsia="仿宋_GB2312" w:cs="仿宋_GB2312"/>
          <w:b w:val="0"/>
          <w:i w:val="0"/>
          <w:caps w:val="0"/>
          <w:color w:val="auto"/>
          <w:spacing w:val="0"/>
          <w:w w:val="100"/>
          <w:sz w:val="32"/>
          <w:szCs w:val="32"/>
          <w:highlight w:val="none"/>
          <w:lang w:val="en-US" w:eastAsia="zh-CN"/>
        </w:rPr>
        <w:t>供应商投标报价相同时，按投标时间顺序先后进行排名。拟推荐中标单位为1家。</w:t>
      </w:r>
    </w:p>
    <w:p>
      <w:pPr>
        <w:ind w:firstLine="640" w:firstLineChars="200"/>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2.投标家数不足三家的，两家投标转为单轮谈判采购。一家投标转为直接采购。</w:t>
      </w:r>
    </w:p>
    <w:p>
      <w:pPr>
        <w:shd w:val="clear"/>
        <w:spacing w:line="560" w:lineRule="exact"/>
        <w:ind w:firstLine="643"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七、其它</w:t>
      </w:r>
    </w:p>
    <w:p>
      <w:pPr>
        <w:pStyle w:val="3"/>
        <w:ind w:left="0" w:leftChars="0" w:firstLine="640" w:firstLineChars="200"/>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t>投标方中标后与委托方签订合同时需同步签订《采购项目廉洁从业协议书》。</w:t>
      </w:r>
    </w:p>
    <w:p>
      <w:pPr>
        <w:spacing w:line="560" w:lineRule="exact"/>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p>
    <w:p>
      <w:pPr>
        <w:spacing w:line="560" w:lineRule="exact"/>
        <w:rPr>
          <w:rFonts w:hint="default"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t>需方联系人：张程             电话：18004243313</w:t>
      </w:r>
    </w:p>
    <w:p>
      <w:pPr>
        <w:spacing w:line="560" w:lineRule="exact"/>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p>
    <w:p>
      <w:pPr>
        <w:pStyle w:val="2"/>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p>
    <w:p>
      <w:pPr>
        <w:pStyle w:val="2"/>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p>
    <w:p>
      <w:pPr>
        <w:pStyle w:val="2"/>
        <w:ind w:firstLine="4480" w:firstLineChars="1400"/>
        <w:rPr>
          <w:rFonts w:hint="default"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t>北方恒达物流有限公司</w:t>
      </w:r>
    </w:p>
    <w:p>
      <w:pPr>
        <w:pStyle w:val="2"/>
        <w:ind w:firstLine="5440" w:firstLineChars="1700"/>
        <w:rPr>
          <w:rFonts w:hint="default"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t>2025年7月21日</w:t>
      </w:r>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751EF"/>
    <w:rsid w:val="00046AE0"/>
    <w:rsid w:val="00067CCE"/>
    <w:rsid w:val="00080E7B"/>
    <w:rsid w:val="000D56FE"/>
    <w:rsid w:val="00116C15"/>
    <w:rsid w:val="00184DE1"/>
    <w:rsid w:val="002A6701"/>
    <w:rsid w:val="002B05AC"/>
    <w:rsid w:val="00346265"/>
    <w:rsid w:val="003B39BE"/>
    <w:rsid w:val="003F5B64"/>
    <w:rsid w:val="00470911"/>
    <w:rsid w:val="004F1085"/>
    <w:rsid w:val="00541B7B"/>
    <w:rsid w:val="0057376F"/>
    <w:rsid w:val="00646CF2"/>
    <w:rsid w:val="00655BF8"/>
    <w:rsid w:val="006C43B2"/>
    <w:rsid w:val="00782386"/>
    <w:rsid w:val="007F1DE9"/>
    <w:rsid w:val="008906E3"/>
    <w:rsid w:val="008A2820"/>
    <w:rsid w:val="008B2EC8"/>
    <w:rsid w:val="008F40D1"/>
    <w:rsid w:val="00931A70"/>
    <w:rsid w:val="0095722C"/>
    <w:rsid w:val="009A6891"/>
    <w:rsid w:val="009A7C13"/>
    <w:rsid w:val="009B3BC7"/>
    <w:rsid w:val="00A1440C"/>
    <w:rsid w:val="00A14C24"/>
    <w:rsid w:val="00AC1A29"/>
    <w:rsid w:val="00B15E7E"/>
    <w:rsid w:val="00B9060C"/>
    <w:rsid w:val="00BE0222"/>
    <w:rsid w:val="00BF6D81"/>
    <w:rsid w:val="00C0643C"/>
    <w:rsid w:val="00C17321"/>
    <w:rsid w:val="00C24676"/>
    <w:rsid w:val="00C25D1F"/>
    <w:rsid w:val="00C4119A"/>
    <w:rsid w:val="00C7798B"/>
    <w:rsid w:val="00CC275E"/>
    <w:rsid w:val="00CE1A8C"/>
    <w:rsid w:val="00CE65D8"/>
    <w:rsid w:val="00E57A0E"/>
    <w:rsid w:val="00E61404"/>
    <w:rsid w:val="00EE1617"/>
    <w:rsid w:val="00F160B2"/>
    <w:rsid w:val="00F33410"/>
    <w:rsid w:val="00F6459C"/>
    <w:rsid w:val="00F73AEE"/>
    <w:rsid w:val="02860F9A"/>
    <w:rsid w:val="049A781C"/>
    <w:rsid w:val="04BD0F53"/>
    <w:rsid w:val="09565CF9"/>
    <w:rsid w:val="0B1525F0"/>
    <w:rsid w:val="0E63199B"/>
    <w:rsid w:val="0F965C10"/>
    <w:rsid w:val="10066F47"/>
    <w:rsid w:val="10BD3942"/>
    <w:rsid w:val="11155566"/>
    <w:rsid w:val="11831651"/>
    <w:rsid w:val="11DD4B73"/>
    <w:rsid w:val="123C27C3"/>
    <w:rsid w:val="13490159"/>
    <w:rsid w:val="143B021C"/>
    <w:rsid w:val="14A108BA"/>
    <w:rsid w:val="161E16E0"/>
    <w:rsid w:val="163452D5"/>
    <w:rsid w:val="164D23BE"/>
    <w:rsid w:val="16543654"/>
    <w:rsid w:val="16B34731"/>
    <w:rsid w:val="17451F7B"/>
    <w:rsid w:val="183D3865"/>
    <w:rsid w:val="1976691D"/>
    <w:rsid w:val="19D94231"/>
    <w:rsid w:val="19FC6295"/>
    <w:rsid w:val="1A13721C"/>
    <w:rsid w:val="1A461426"/>
    <w:rsid w:val="1A776331"/>
    <w:rsid w:val="1BA9678C"/>
    <w:rsid w:val="1D8221D0"/>
    <w:rsid w:val="1E607E72"/>
    <w:rsid w:val="1EA24152"/>
    <w:rsid w:val="1FDB7BF3"/>
    <w:rsid w:val="1FF01C5C"/>
    <w:rsid w:val="202674BE"/>
    <w:rsid w:val="205604BD"/>
    <w:rsid w:val="20A834C3"/>
    <w:rsid w:val="210835E3"/>
    <w:rsid w:val="22E536D2"/>
    <w:rsid w:val="233C77EF"/>
    <w:rsid w:val="23E10209"/>
    <w:rsid w:val="24B01B5C"/>
    <w:rsid w:val="25793614"/>
    <w:rsid w:val="25D92720"/>
    <w:rsid w:val="2731089F"/>
    <w:rsid w:val="27555CB9"/>
    <w:rsid w:val="27A26313"/>
    <w:rsid w:val="28494F2C"/>
    <w:rsid w:val="29296167"/>
    <w:rsid w:val="2B1962A2"/>
    <w:rsid w:val="2B833445"/>
    <w:rsid w:val="2BEA6149"/>
    <w:rsid w:val="2E9B27D5"/>
    <w:rsid w:val="2EB23FF5"/>
    <w:rsid w:val="2F150DD7"/>
    <w:rsid w:val="30392A93"/>
    <w:rsid w:val="30752E9B"/>
    <w:rsid w:val="30F10D76"/>
    <w:rsid w:val="31314E16"/>
    <w:rsid w:val="314C637C"/>
    <w:rsid w:val="33777974"/>
    <w:rsid w:val="34797888"/>
    <w:rsid w:val="350A5F93"/>
    <w:rsid w:val="38D376CF"/>
    <w:rsid w:val="391C5C19"/>
    <w:rsid w:val="39A37881"/>
    <w:rsid w:val="39AF6032"/>
    <w:rsid w:val="39D1163C"/>
    <w:rsid w:val="3BA05A2D"/>
    <w:rsid w:val="3BD6625F"/>
    <w:rsid w:val="3C646286"/>
    <w:rsid w:val="3C900603"/>
    <w:rsid w:val="3D4618E9"/>
    <w:rsid w:val="3D6B0C7A"/>
    <w:rsid w:val="3D7E763A"/>
    <w:rsid w:val="3DB638B2"/>
    <w:rsid w:val="3E3C246F"/>
    <w:rsid w:val="3EE26756"/>
    <w:rsid w:val="3F221631"/>
    <w:rsid w:val="3F4400E4"/>
    <w:rsid w:val="3FB75789"/>
    <w:rsid w:val="408C6372"/>
    <w:rsid w:val="427458F7"/>
    <w:rsid w:val="4278427B"/>
    <w:rsid w:val="428E217A"/>
    <w:rsid w:val="438557AD"/>
    <w:rsid w:val="44076C1F"/>
    <w:rsid w:val="44300EAA"/>
    <w:rsid w:val="44F13F61"/>
    <w:rsid w:val="452F16EC"/>
    <w:rsid w:val="46B811D2"/>
    <w:rsid w:val="48854BEF"/>
    <w:rsid w:val="48B17426"/>
    <w:rsid w:val="4A590DDC"/>
    <w:rsid w:val="4AC449F9"/>
    <w:rsid w:val="4ADE767A"/>
    <w:rsid w:val="4C297D25"/>
    <w:rsid w:val="4D0434EC"/>
    <w:rsid w:val="4D675360"/>
    <w:rsid w:val="4D8C254A"/>
    <w:rsid w:val="4DDF3A5F"/>
    <w:rsid w:val="4F250459"/>
    <w:rsid w:val="4FE93EF6"/>
    <w:rsid w:val="502903A6"/>
    <w:rsid w:val="50374269"/>
    <w:rsid w:val="50DD49F1"/>
    <w:rsid w:val="51596793"/>
    <w:rsid w:val="51F12B43"/>
    <w:rsid w:val="52851256"/>
    <w:rsid w:val="540E11C7"/>
    <w:rsid w:val="54F611DF"/>
    <w:rsid w:val="558A2A6E"/>
    <w:rsid w:val="58837EE2"/>
    <w:rsid w:val="5B7F41A7"/>
    <w:rsid w:val="5BF341AF"/>
    <w:rsid w:val="5C2B321C"/>
    <w:rsid w:val="5EE056B3"/>
    <w:rsid w:val="60B52E87"/>
    <w:rsid w:val="61073BEA"/>
    <w:rsid w:val="63166394"/>
    <w:rsid w:val="63CD640B"/>
    <w:rsid w:val="64AD2CE0"/>
    <w:rsid w:val="666D559B"/>
    <w:rsid w:val="667B18AB"/>
    <w:rsid w:val="66BE69AF"/>
    <w:rsid w:val="674C45F1"/>
    <w:rsid w:val="67CF250C"/>
    <w:rsid w:val="69CF5E60"/>
    <w:rsid w:val="6A9378D6"/>
    <w:rsid w:val="6AF029C9"/>
    <w:rsid w:val="6C235F0C"/>
    <w:rsid w:val="6C546D60"/>
    <w:rsid w:val="6E6F2FBD"/>
    <w:rsid w:val="7132399E"/>
    <w:rsid w:val="713B2AEC"/>
    <w:rsid w:val="71E260C1"/>
    <w:rsid w:val="727751EF"/>
    <w:rsid w:val="73EB3C06"/>
    <w:rsid w:val="759C402C"/>
    <w:rsid w:val="759D0519"/>
    <w:rsid w:val="76910AC1"/>
    <w:rsid w:val="79A40FFE"/>
    <w:rsid w:val="79BE52BB"/>
    <w:rsid w:val="7ADB22CC"/>
    <w:rsid w:val="7B7E0E3D"/>
    <w:rsid w:val="7CAF680D"/>
    <w:rsid w:val="7D152F35"/>
    <w:rsid w:val="7D6F3AD5"/>
    <w:rsid w:val="7D7D7427"/>
    <w:rsid w:val="7DD95799"/>
    <w:rsid w:val="7E093E2A"/>
    <w:rsid w:val="7F1A681E"/>
    <w:rsid w:val="7F320145"/>
    <w:rsid w:val="7FBE1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styleId="3">
    <w:name w:val="Normal Indent"/>
    <w:basedOn w:val="1"/>
    <w:qFormat/>
    <w:uiPriority w:val="0"/>
    <w:pPr>
      <w:autoSpaceDE w:val="0"/>
      <w:autoSpaceDN w:val="0"/>
      <w:adjustRightInd w:val="0"/>
      <w:spacing w:line="315" w:lineRule="atLeast"/>
      <w:ind w:firstLine="420"/>
    </w:pPr>
    <w:rPr>
      <w:rFonts w:ascii="楷体_GB2312" w:eastAsia="楷体_GB2312"/>
      <w:kern w:val="0"/>
      <w:sz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character" w:customStyle="1" w:styleId="11">
    <w:name w:val="font1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Pages>
  <Words>216</Words>
  <Characters>1235</Characters>
  <Lines>10</Lines>
  <Paragraphs>2</Paragraphs>
  <TotalTime>41</TotalTime>
  <ScaleCrop>false</ScaleCrop>
  <LinksUpToDate>false</LinksUpToDate>
  <CharactersWithSpaces>1449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2021-02-21T01:47:00Z</dcterms:created>
  <dc:creator>Administrator</dc:creator>
  <cp:lastModifiedBy>吴昊</cp:lastModifiedBy>
  <cp:lastPrinted>2025-07-21T01:43:00Z</cp:lastPrinted>
  <dcterms:modified xsi:type="dcterms:W3CDTF">2025-07-22T08:49:22Z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DB451DB33E264B04929ADAFE162A4090</vt:lpwstr>
  </property>
</Properties>
</file>