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B6019E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南京</w:t>
      </w:r>
      <w:r w:rsidR="00916F3B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市内</w:t>
      </w:r>
      <w:r w:rsidR="00B6019E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区域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E234E8" w:rsidRPr="00E234E8">
              <w:rPr>
                <w:rFonts w:ascii="宋体" w:hAnsi="宋体" w:cs="宋体" w:hint="eastAsia"/>
                <w:snapToGrid w:val="0"/>
                <w:color w:val="000000" w:themeColor="text1"/>
              </w:rPr>
              <w:t>南京</w:t>
            </w:r>
            <w:r w:rsidR="008056F2">
              <w:rPr>
                <w:rFonts w:ascii="宋体" w:hAnsi="宋体" w:cs="宋体" w:hint="eastAsia"/>
                <w:snapToGrid w:val="0"/>
                <w:color w:val="000000" w:themeColor="text1"/>
              </w:rPr>
              <w:t>市内</w:t>
            </w:r>
            <w:r w:rsidR="00E234E8" w:rsidRPr="00E234E8">
              <w:rPr>
                <w:rFonts w:ascii="宋体" w:hAnsi="宋体" w:cs="宋体" w:hint="eastAsia"/>
                <w:snapToGrid w:val="0"/>
                <w:color w:val="000000" w:themeColor="text1"/>
              </w:rPr>
              <w:t>区域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1155CC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B92DD6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D6796A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="00D6796A" w:rsidRPr="00D6796A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3</w:t>
            </w:r>
            <w:r w:rsidR="001A7F1D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5</w:t>
            </w:r>
            <w:r w:rsidR="00D6796A" w:rsidRPr="00D6796A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Pr="00D6796A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1A7F1D">
              <w:rPr>
                <w:rFonts w:ascii="宋体" w:hAnsi="宋体" w:hint="eastAsia"/>
                <w:sz w:val="22"/>
                <w:szCs w:val="22"/>
              </w:rPr>
              <w:t>蔡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6A0238" w:rsidRPr="006A0238">
              <w:rPr>
                <w:rFonts w:ascii="宋体" w:hAnsi="宋体"/>
                <w:sz w:val="22"/>
                <w:szCs w:val="22"/>
              </w:rPr>
              <w:t>18951633066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B517EB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B517EB">
              <w:rPr>
                <w:rFonts w:hint="eastAsia"/>
                <w:b/>
                <w:sz w:val="24"/>
              </w:rPr>
              <w:t>拾</w:t>
            </w:r>
            <w:r w:rsidR="004D506D" w:rsidRPr="00B517EB">
              <w:rPr>
                <w:rFonts w:hint="eastAsia"/>
                <w:b/>
                <w:sz w:val="24"/>
              </w:rPr>
              <w:t>万元</w:t>
            </w:r>
            <w:r w:rsidR="004D506D">
              <w:rPr>
                <w:rFonts w:hint="eastAsia"/>
                <w:sz w:val="24"/>
              </w:rPr>
              <w:t>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 w:rsidR="004D506D"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8A6B6D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8A6B6D" w:rsidRPr="008A6B6D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8A6B6D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BA0E6B" w:rsidRPr="00BA0E6B">
        <w:rPr>
          <w:rFonts w:hint="eastAsia"/>
          <w:b/>
          <w:sz w:val="24"/>
        </w:rPr>
        <w:t>拾万元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D152EF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</w:t>
      </w:r>
      <w:r w:rsidR="00D152EF">
        <w:rPr>
          <w:rFonts w:ascii="宋体" w:hAnsi="宋体" w:cs="宋体"/>
          <w:color w:val="000000"/>
          <w:u w:val="single"/>
          <w:shd w:val="clear" w:color="auto" w:fill="FFFFFF"/>
        </w:rPr>
        <w:t xml:space="preserve"> 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</w:t>
      </w:r>
      <w:r w:rsidR="00031F9A">
        <w:rPr>
          <w:rFonts w:hAnsi="宋体" w:cs="宋体"/>
          <w:snapToGrid w:val="0"/>
          <w:color w:val="FF0000"/>
        </w:rPr>
        <w:t>8</w:t>
      </w:r>
      <w:r>
        <w:rPr>
          <w:rFonts w:hAnsi="宋体" w:cs="宋体" w:hint="eastAsia"/>
          <w:snapToGrid w:val="0"/>
          <w:color w:val="FF0000"/>
        </w:rPr>
        <w:t xml:space="preserve"> 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031F9A">
        <w:rPr>
          <w:rFonts w:hAnsi="宋体" w:cs="宋体"/>
          <w:snapToGrid w:val="0"/>
          <w:color w:val="FF0000"/>
        </w:rPr>
        <w:t>1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031F9A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7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</w:t>
      </w:r>
      <w:r w:rsidR="00031F9A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28</w:t>
      </w:r>
      <w:bookmarkStart w:id="0" w:name="_GoBack"/>
      <w:bookmarkEnd w:id="0"/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F23F95" w:rsidRPr="00F23F95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南京</w:t>
      </w:r>
      <w:r w:rsidR="002D387D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市内</w:t>
      </w:r>
      <w:r w:rsidR="00F23F95" w:rsidRPr="00F23F95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区域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）低温城配物流运输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B608C1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B608C1" w:rsidRPr="00B608C1">
        <w:rPr>
          <w:rFonts w:ascii="宋体" w:hAnsi="宋体" w:hint="eastAsia"/>
          <w:sz w:val="21"/>
          <w:szCs w:val="21"/>
        </w:rPr>
        <w:t>南京市江宁区湖</w:t>
      </w:r>
      <w:proofErr w:type="gramStart"/>
      <w:r w:rsidR="00B608C1" w:rsidRPr="00B608C1">
        <w:rPr>
          <w:rFonts w:ascii="宋体" w:hAnsi="宋体" w:hint="eastAsia"/>
          <w:sz w:val="21"/>
          <w:szCs w:val="21"/>
        </w:rPr>
        <w:t>熟镇汤魏路</w:t>
      </w:r>
      <w:proofErr w:type="gramEnd"/>
      <w:r w:rsidR="00B608C1" w:rsidRPr="00B608C1">
        <w:rPr>
          <w:rFonts w:ascii="宋体" w:hAnsi="宋体" w:hint="eastAsia"/>
          <w:sz w:val="21"/>
          <w:szCs w:val="21"/>
        </w:rPr>
        <w:t>88号</w:t>
      </w:r>
      <w:r w:rsidR="00B608C1">
        <w:rPr>
          <w:rFonts w:ascii="宋体" w:hAnsi="宋体" w:hint="eastAsia"/>
          <w:sz w:val="21"/>
          <w:szCs w:val="21"/>
        </w:rPr>
        <w:t>（领鲜南京物流中心）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bookmarkStart w:id="1" w:name="_MON_1813124736"/>
      <w:bookmarkEnd w:id="1"/>
      <w:r w:rsidR="00933CCD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7" o:title=""/>
          </v:shape>
          <o:OLEObject Type="Embed" ProgID="Excel.Sheet.12" ShapeID="_x0000_i1025" DrawAspect="Icon" ObjectID="_1815202362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5D2B0E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南京区域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623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300"/>
        <w:gridCol w:w="623"/>
        <w:gridCol w:w="676"/>
        <w:gridCol w:w="968"/>
        <w:gridCol w:w="612"/>
        <w:gridCol w:w="877"/>
        <w:gridCol w:w="850"/>
        <w:gridCol w:w="2906"/>
      </w:tblGrid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线路名称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往返</w:t>
            </w:r>
          </w:p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里程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运营</w:t>
            </w:r>
          </w:p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形式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C01F7" w:rsidP="00C770A7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频次</w:t>
            </w:r>
            <w:r w:rsidR="00D07413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班次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冷藏车型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含税</w:t>
            </w:r>
          </w:p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运价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结算</w:t>
            </w:r>
          </w:p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7413" w:rsidRPr="00DD3B82" w:rsidRDefault="00D07413" w:rsidP="008F074D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康宁白班1线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康宁白班3线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康宁白班4线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2T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7B46D4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康宁白班5线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康宁白班6线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康宁白班7线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康宁白班8线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康宁白班9线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康宁白班10线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2T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1A35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市区禁区不避高峰通行证，</w:t>
            </w:r>
          </w:p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地下停车场限高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XNNJ</w:t>
            </w:r>
            <w:proofErr w:type="gramStart"/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南京瓶袋5线</w:t>
            </w:r>
            <w:proofErr w:type="gramEnd"/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外围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晚班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2T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市区禁区通行证，限高峰限黄牌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XNNJ</w:t>
            </w:r>
            <w:proofErr w:type="gramStart"/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南京瓶袋18线</w:t>
            </w:r>
            <w:proofErr w:type="gramEnd"/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外围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晚班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3T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9F176D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 w:rsidRPr="009F176D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南京瓶袋江浦</w:t>
            </w:r>
            <w:proofErr w:type="gramEnd"/>
            <w:r w:rsidRPr="009F176D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晚班线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46111F" w:rsidRDefault="00E81B30" w:rsidP="00E81B30">
            <w:pPr>
              <w:widowControl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46111F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外围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DC01F7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日配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晚班</w:t>
            </w:r>
            <w:proofErr w:type="gram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2T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元/车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市区禁区不避高峰通行证</w:t>
            </w:r>
          </w:p>
        </w:tc>
      </w:tr>
      <w:tr w:rsidR="009F176D" w:rsidRPr="00DD3B82" w:rsidTr="008677C2">
        <w:trPr>
          <w:trHeight w:val="45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ind w:left="278" w:hangingChars="139" w:hanging="278"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南京市内泰森</w:t>
            </w:r>
            <w:proofErr w:type="gramEnd"/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加车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市内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白班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Default="00E81B30" w:rsidP="00E81B30">
            <w:pPr>
              <w:jc w:val="center"/>
            </w:pPr>
            <w:r w:rsidRPr="00C538BE">
              <w:rPr>
                <w:rFonts w:ascii="新宋体" w:eastAsia="新宋体" w:hAnsi="新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E81B30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元/门店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1B30" w:rsidRPr="00DD3B82" w:rsidRDefault="004E72A8" w:rsidP="00E81B30">
            <w:pPr>
              <w:widowControl/>
              <w:jc w:val="center"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按订单，</w:t>
            </w:r>
            <w:r w:rsidR="00E81B30" w:rsidRPr="00DD3B8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  <w:lang w:bidi="ar"/>
              </w:rPr>
              <w:t>不执行油价联动</w:t>
            </w:r>
          </w:p>
        </w:tc>
      </w:tr>
      <w:tr w:rsidR="00B433A9" w:rsidRPr="00DD3B82" w:rsidTr="008677C2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A9" w:rsidRPr="00DD3B82" w:rsidRDefault="00B433A9" w:rsidP="00755578">
            <w:pPr>
              <w:widowControl/>
              <w:textAlignment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  <w:lang w:bidi="ar"/>
              </w:rPr>
              <w:t>备注：序号1-1</w:t>
            </w:r>
            <w:r w:rsidRPr="00DD3B82">
              <w:rPr>
                <w:rFonts w:ascii="新宋体" w:eastAsia="新宋体" w:hAnsi="新宋体" w:cs="宋体"/>
                <w:color w:val="000000"/>
                <w:sz w:val="20"/>
                <w:szCs w:val="20"/>
                <w:lang w:bidi="ar"/>
              </w:rPr>
              <w:t>2</w:t>
            </w: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  <w:lang w:bidi="ar"/>
              </w:rPr>
              <w:t>项线路执行油价联动，基准油价为</w:t>
            </w:r>
            <w:r w:rsidR="00214C8A">
              <w:rPr>
                <w:rFonts w:ascii="新宋体" w:eastAsia="新宋体" w:hAnsi="新宋体" w:cs="宋体"/>
                <w:color w:val="000000"/>
                <w:sz w:val="20"/>
                <w:szCs w:val="20"/>
                <w:lang w:bidi="ar"/>
              </w:rPr>
              <w:t>6</w:t>
            </w:r>
            <w:r w:rsidR="00214C8A">
              <w:rPr>
                <w:rFonts w:ascii="新宋体" w:eastAsia="新宋体" w:hAnsi="新宋体" w:cs="宋体" w:hint="eastAsia"/>
                <w:color w:val="000000"/>
                <w:sz w:val="20"/>
                <w:szCs w:val="20"/>
                <w:lang w:bidi="ar"/>
              </w:rPr>
              <w:t>.</w:t>
            </w:r>
            <w:r w:rsidR="00214C8A">
              <w:rPr>
                <w:rFonts w:ascii="新宋体" w:eastAsia="新宋体" w:hAnsi="新宋体" w:cs="宋体"/>
                <w:color w:val="000000"/>
                <w:sz w:val="20"/>
                <w:szCs w:val="20"/>
                <w:lang w:bidi="ar"/>
              </w:rPr>
              <w:t>99</w:t>
            </w:r>
            <w:r w:rsidRPr="00DD3B82">
              <w:rPr>
                <w:rFonts w:ascii="新宋体" w:eastAsia="新宋体" w:hAnsi="新宋体" w:cs="宋体" w:hint="eastAsia"/>
                <w:color w:val="000000"/>
                <w:sz w:val="20"/>
                <w:szCs w:val="20"/>
                <w:lang w:bidi="ar"/>
              </w:rPr>
              <w:t>元/升</w:t>
            </w:r>
            <w:r w:rsidR="00152636">
              <w:rPr>
                <w:rFonts w:ascii="新宋体" w:eastAsia="新宋体" w:hAnsi="新宋体" w:cs="宋体" w:hint="eastAsia"/>
                <w:color w:val="000000"/>
                <w:sz w:val="20"/>
                <w:szCs w:val="20"/>
                <w:lang w:bidi="ar"/>
              </w:rPr>
              <w:t>。</w:t>
            </w:r>
          </w:p>
        </w:tc>
      </w:tr>
    </w:tbl>
    <w:p w:rsidR="00C81F91" w:rsidRDefault="00C81F91" w:rsidP="00C81F91">
      <w:pPr>
        <w:numPr>
          <w:ilvl w:val="1"/>
          <w:numId w:val="5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C81F91" w:rsidRDefault="00C81F91" w:rsidP="00C81F91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C81F91" w:rsidRPr="00B6651C" w:rsidRDefault="00C81F91" w:rsidP="00C81F91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076FF4" w:rsidRPr="00527BA8" w:rsidRDefault="00C81F91" w:rsidP="00076FF4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 w:rsidRPr="00B66261">
        <w:rPr>
          <w:rFonts w:ascii="宋体" w:hAnsi="宋体" w:hint="eastAsia"/>
          <w:bCs/>
          <w:sz w:val="22"/>
          <w:szCs w:val="22"/>
        </w:rPr>
        <w:t>市内加车费用150元/车；外围线路加车费用为不超过该线路运价80%来结算。</w:t>
      </w:r>
    </w:p>
    <w:sectPr w:rsidR="00076FF4" w:rsidRPr="00527BA8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81" w:rsidRDefault="00014B81" w:rsidP="00F15A53">
      <w:r>
        <w:separator/>
      </w:r>
    </w:p>
  </w:endnote>
  <w:endnote w:type="continuationSeparator" w:id="0">
    <w:p w:rsidR="00014B81" w:rsidRDefault="00014B81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1F9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1F9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81" w:rsidRDefault="00014B81" w:rsidP="00F15A53">
      <w:r>
        <w:separator/>
      </w:r>
    </w:p>
  </w:footnote>
  <w:footnote w:type="continuationSeparator" w:id="0">
    <w:p w:rsidR="00014B81" w:rsidRDefault="00014B81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14B81"/>
    <w:rsid w:val="00031F9A"/>
    <w:rsid w:val="00076FF4"/>
    <w:rsid w:val="0008098A"/>
    <w:rsid w:val="00094C0C"/>
    <w:rsid w:val="000D33FF"/>
    <w:rsid w:val="001155CC"/>
    <w:rsid w:val="00127F06"/>
    <w:rsid w:val="00130D5D"/>
    <w:rsid w:val="00152636"/>
    <w:rsid w:val="00163542"/>
    <w:rsid w:val="001A2351"/>
    <w:rsid w:val="001A7F1D"/>
    <w:rsid w:val="001E1D76"/>
    <w:rsid w:val="001F5370"/>
    <w:rsid w:val="00214C8A"/>
    <w:rsid w:val="00223C78"/>
    <w:rsid w:val="002335E4"/>
    <w:rsid w:val="002343E8"/>
    <w:rsid w:val="00256BD2"/>
    <w:rsid w:val="00263744"/>
    <w:rsid w:val="00272211"/>
    <w:rsid w:val="00277694"/>
    <w:rsid w:val="002A4215"/>
    <w:rsid w:val="002B30C2"/>
    <w:rsid w:val="002D387D"/>
    <w:rsid w:val="002E5451"/>
    <w:rsid w:val="003208C2"/>
    <w:rsid w:val="00327FC4"/>
    <w:rsid w:val="00346F4C"/>
    <w:rsid w:val="00353B32"/>
    <w:rsid w:val="003B37B4"/>
    <w:rsid w:val="003D1BE7"/>
    <w:rsid w:val="003D64C9"/>
    <w:rsid w:val="003F4282"/>
    <w:rsid w:val="00407289"/>
    <w:rsid w:val="00415E77"/>
    <w:rsid w:val="00440771"/>
    <w:rsid w:val="0046111F"/>
    <w:rsid w:val="004949F0"/>
    <w:rsid w:val="004B261A"/>
    <w:rsid w:val="004B3EFD"/>
    <w:rsid w:val="004C1605"/>
    <w:rsid w:val="004D506D"/>
    <w:rsid w:val="004E72A8"/>
    <w:rsid w:val="004E7F04"/>
    <w:rsid w:val="00527BA8"/>
    <w:rsid w:val="005464DF"/>
    <w:rsid w:val="00547EAD"/>
    <w:rsid w:val="00590940"/>
    <w:rsid w:val="005969CC"/>
    <w:rsid w:val="005A1ED9"/>
    <w:rsid w:val="005A76AE"/>
    <w:rsid w:val="005D2B0E"/>
    <w:rsid w:val="005D584B"/>
    <w:rsid w:val="005E2D55"/>
    <w:rsid w:val="005F746D"/>
    <w:rsid w:val="00632A75"/>
    <w:rsid w:val="0064576F"/>
    <w:rsid w:val="00662970"/>
    <w:rsid w:val="006675FE"/>
    <w:rsid w:val="006733E0"/>
    <w:rsid w:val="00692008"/>
    <w:rsid w:val="00696B68"/>
    <w:rsid w:val="006A0238"/>
    <w:rsid w:val="006B7C3E"/>
    <w:rsid w:val="006D0125"/>
    <w:rsid w:val="006D19AC"/>
    <w:rsid w:val="00703A7A"/>
    <w:rsid w:val="007057F1"/>
    <w:rsid w:val="00720AB1"/>
    <w:rsid w:val="00755578"/>
    <w:rsid w:val="0076246F"/>
    <w:rsid w:val="00763511"/>
    <w:rsid w:val="00782EC7"/>
    <w:rsid w:val="007A1479"/>
    <w:rsid w:val="007B46D4"/>
    <w:rsid w:val="007B5DF7"/>
    <w:rsid w:val="008056F2"/>
    <w:rsid w:val="00834654"/>
    <w:rsid w:val="00852174"/>
    <w:rsid w:val="008677C2"/>
    <w:rsid w:val="008A6B6D"/>
    <w:rsid w:val="008D29CD"/>
    <w:rsid w:val="00907B05"/>
    <w:rsid w:val="00916F3B"/>
    <w:rsid w:val="00933CCD"/>
    <w:rsid w:val="009406C7"/>
    <w:rsid w:val="00955FF4"/>
    <w:rsid w:val="00960137"/>
    <w:rsid w:val="009943FC"/>
    <w:rsid w:val="009A7CA5"/>
    <w:rsid w:val="009B5E1C"/>
    <w:rsid w:val="009C5B70"/>
    <w:rsid w:val="009F154A"/>
    <w:rsid w:val="009F176D"/>
    <w:rsid w:val="00A41C0A"/>
    <w:rsid w:val="00A46BF0"/>
    <w:rsid w:val="00A73836"/>
    <w:rsid w:val="00A93D12"/>
    <w:rsid w:val="00B065D3"/>
    <w:rsid w:val="00B07259"/>
    <w:rsid w:val="00B26E9E"/>
    <w:rsid w:val="00B433A9"/>
    <w:rsid w:val="00B517EB"/>
    <w:rsid w:val="00B6019E"/>
    <w:rsid w:val="00B608C1"/>
    <w:rsid w:val="00B92DD6"/>
    <w:rsid w:val="00BA0E6B"/>
    <w:rsid w:val="00BA1133"/>
    <w:rsid w:val="00BD6C5A"/>
    <w:rsid w:val="00BF27A4"/>
    <w:rsid w:val="00BF49D6"/>
    <w:rsid w:val="00C107D9"/>
    <w:rsid w:val="00C43943"/>
    <w:rsid w:val="00C556DD"/>
    <w:rsid w:val="00C770A7"/>
    <w:rsid w:val="00C81F91"/>
    <w:rsid w:val="00CD69B7"/>
    <w:rsid w:val="00CE215E"/>
    <w:rsid w:val="00D07413"/>
    <w:rsid w:val="00D152EF"/>
    <w:rsid w:val="00D25D54"/>
    <w:rsid w:val="00D25EDB"/>
    <w:rsid w:val="00D264A6"/>
    <w:rsid w:val="00D37F04"/>
    <w:rsid w:val="00D61A35"/>
    <w:rsid w:val="00D6796A"/>
    <w:rsid w:val="00D7212C"/>
    <w:rsid w:val="00DA34AD"/>
    <w:rsid w:val="00DC01F7"/>
    <w:rsid w:val="00E1520E"/>
    <w:rsid w:val="00E234E8"/>
    <w:rsid w:val="00E342F6"/>
    <w:rsid w:val="00E535A6"/>
    <w:rsid w:val="00E57528"/>
    <w:rsid w:val="00E61DE4"/>
    <w:rsid w:val="00E81353"/>
    <w:rsid w:val="00E81B30"/>
    <w:rsid w:val="00E81F2C"/>
    <w:rsid w:val="00EC063B"/>
    <w:rsid w:val="00ED09F5"/>
    <w:rsid w:val="00F065DC"/>
    <w:rsid w:val="00F10D56"/>
    <w:rsid w:val="00F11A4A"/>
    <w:rsid w:val="00F13B4F"/>
    <w:rsid w:val="00F15A53"/>
    <w:rsid w:val="00F23F95"/>
    <w:rsid w:val="00F87805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7BAB1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567</Words>
  <Characters>3238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china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112</cp:revision>
  <dcterms:created xsi:type="dcterms:W3CDTF">2023-06-25T01:19:00Z</dcterms:created>
  <dcterms:modified xsi:type="dcterms:W3CDTF">2025-07-28T02:06:00Z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