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150" w:right="150" w:firstLine="0"/>
        <w:jc w:val="center"/>
        <w:rPr>
          <w:rFonts w:hint="eastAsia" w:ascii="宋体" w:hAnsi="宋体" w:eastAsia="宋体" w:cs="宋体"/>
          <w:b/>
          <w:i w:val="0"/>
          <w:caps w:val="0"/>
          <w:color w:val="000000"/>
          <w:spacing w:val="0"/>
          <w:sz w:val="30"/>
          <w:szCs w:val="30"/>
        </w:rPr>
      </w:pPr>
      <w:r>
        <w:rPr>
          <w:rFonts w:hint="eastAsia" w:ascii="宋体" w:hAnsi="宋体" w:eastAsia="宋体" w:cs="宋体"/>
          <w:b/>
          <w:i w:val="0"/>
          <w:caps w:val="0"/>
          <w:color w:val="000000"/>
          <w:spacing w:val="0"/>
          <w:sz w:val="30"/>
          <w:szCs w:val="30"/>
          <w:shd w:val="clear" w:fill="FFFFFF"/>
        </w:rPr>
        <w:t>招标投标活动异议提起须知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420" w:firstLineChars="20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为进一步畅通异议提起渠道，维护招标项目参与各方合法权益，提高异议处理效率，规范中国石油招标投标活动，推进建立公开透明、公平公正、竞争有序的市场秩序，根据国家有关法律法规和中国石油有关管理规定，现就招标投标活动中异议提起作出规定。参与中国石油招标项目的潜在投标人、投标人和其他利害关系人认为招标投标活动不符合国家相关法律法规规定的，应按照规定的流程、事项、时限、形式以及内容等要求提起异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一、异议提起流程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异议提起人(指提出异议的潜在投标人、投标人和其他利害关系人)对招标投标活动提出异议时，应在规定时限内首先向招标机构提出，招标机构应按照规定给予答复。异议提起人对答复有争议的，可向招标人的招标管理部门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二、异议事项及时限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(一)对资格预审公告或资格预审文件有异议的，应在提交资格预审申请文件截止时间2日前提出；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(二)对招标公告、投标邀请书或招标文件有异议的，应在投标截止时间10日前提出；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(三)对开标有异议的，应在开标现场提出；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(四)对评标结果有异议的应在中标候选人公示期间提出。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三、异议形式及内容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异议提起人应在规定时限内以书面形式提出异议，但异议仅涉及开标的除外。向招标人的招标管理部门提出异议时，应提供向招标机构提出异议时的异议函和招标机构答复材料。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投标人提出的异议应包括下列内容：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(一)基本情况，包括异议提起人名称、招标项目名称、招标项目编号、业主单位名称、招标人名称、招标机构名称、项目概算以及其它基础信息；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(二)异议内容，应明确资格预审文件、招标文件、开标、评标结果等具体异议事项；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(三)主要诉求，须明确诉求内容，逻辑清晰；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(四)附件材料，须包括相关证明材料和其它过程材料；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(五)异议提起人的法定代表人和授权代表人(若有)相关信息及证明材料。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异议函应由异议提起人的法定代表人或其授权代表人签字并盖末页章和骑缝章(由授权代表人签署的，应附法定代表人</w:t>
      </w:r>
      <w:bookmarkStart w:id="1" w:name="_GoBack"/>
      <w:bookmarkEnd w:id="1"/>
      <w:r>
        <w:rPr>
          <w:rFonts w:hint="eastAsia" w:ascii="宋体" w:hAnsi="宋体" w:eastAsia="宋体" w:cs="宋体"/>
          <w:i w:val="0"/>
          <w:caps w:val="0"/>
          <w:color w:val="000000"/>
          <w:spacing w:val="0"/>
          <w:sz w:val="21"/>
          <w:szCs w:val="21"/>
          <w:shd w:val="clear" w:fill="FFFFFF"/>
        </w:rPr>
        <w:t>签署的授权委托书原件)，具体异议函填报格式见附件1。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四、不予受理情形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异议存在下列情形之一的，招标机构或招标人的招标管理部门可不予受理：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(一)未按异议提交要求（包括流程、格式、内容等）提出的；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(二)提起人不是该招标项目潜在投标人、投标人或其他利害关系人的；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(三)未在规定时限内提出的；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(四)未按要求提供证明材料和补充材料的；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(五)同一异议无新事实证据重复提出的；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(六)无明确诉求和必要证明材料的；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(七)捏造事实、伪造材料或者以非法手段取得证明材料的；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(八)提起时间超过招标投标活动有效期的。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未经招标机构先行处理或未附招标机构答复意见的，招标人的招标管理部门可不予受理。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五、不当异议惩戒措施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shd w:val="clear" w:fill="FFFFFF"/>
        </w:rPr>
        <w:t>　　对于不符合上述规定，不遵守《投标人自律守则》(附件2)，反复提交无新增证据或诉求材料的异议，就同一内容向多部门同时提出异议，捏造事实、伪造材料或者以非法手段取得证明材料，以异议为名恶意排挤竞争对手的行为，将根据中国石油《投标人失信行为管理办法(试行)》，按照《投标人失信行为分类、等级划分与记分标准(不当异议)》(附件3)，分一般、较重、严重几个等级进行失信扣分处理，失信企业在中国石油所有招标项目中执行评标加价或扣分、暂停投标资格、直至取消投标资格。</w:t>
      </w:r>
    </w:p>
    <w:p/>
    <w:p/>
    <w:p/>
    <w:p/>
    <w:p/>
    <w:p/>
    <w:p/>
    <w:p/>
    <w:p/>
    <w:p/>
    <w:p/>
    <w:p/>
    <w:p/>
    <w:p/>
    <w:p>
      <w:pPr>
        <w:spacing w:line="560" w:lineRule="exact"/>
        <w:jc w:val="left"/>
        <w:rPr>
          <w:rFonts w:ascii="仿宋_GB2312" w:hAnsi="宋体" w:eastAsia="仿宋_GB2312"/>
          <w:color w:val="000000"/>
          <w:sz w:val="32"/>
          <w:szCs w:val="32"/>
        </w:rPr>
      </w:pPr>
      <w:r>
        <w:rPr>
          <w:rFonts w:hint="eastAsia" w:ascii="仿宋_GB2312" w:hAnsi="宋体" w:eastAsia="仿宋_GB2312"/>
          <w:color w:val="000000"/>
          <w:sz w:val="32"/>
          <w:szCs w:val="32"/>
        </w:rPr>
        <w:t>附件1</w:t>
      </w:r>
    </w:p>
    <w:p>
      <w:pPr>
        <w:spacing w:line="560" w:lineRule="exact"/>
        <w:ind w:firstLine="600" w:firstLineChars="200"/>
        <w:jc w:val="center"/>
        <w:rPr>
          <w:rFonts w:ascii="方正小标宋简体" w:eastAsia="方正小标宋简体"/>
          <w:color w:val="000000"/>
          <w:sz w:val="44"/>
          <w:szCs w:val="44"/>
        </w:rPr>
      </w:pPr>
      <w:r>
        <w:rPr>
          <w:rFonts w:hint="eastAsia" w:ascii="方正小标宋简体" w:eastAsia="方正小标宋简体"/>
          <w:color w:val="000000"/>
          <w:sz w:val="30"/>
          <w:szCs w:val="30"/>
        </w:rPr>
        <w:t>项目异议申请</w:t>
      </w:r>
    </w:p>
    <w:p>
      <w:pPr>
        <w:autoSpaceDE w:val="0"/>
        <w:autoSpaceDN w:val="0"/>
        <w:adjustRightInd w:val="0"/>
        <w:spacing w:after="120" w:afterLines="50" w:line="400" w:lineRule="exact"/>
        <w:jc w:val="left"/>
        <w:rPr>
          <w:rFonts w:hint="eastAsia" w:ascii="宋体" w:hAnsi="宋体" w:cs="宋体"/>
          <w:color w:val="000000"/>
          <w:szCs w:val="21"/>
          <w:highlight w:val="none"/>
        </w:rPr>
      </w:pPr>
      <w:r>
        <w:rPr>
          <w:rFonts w:hint="eastAsia" w:hAnsi="宋体" w:cs="宋体"/>
          <w:color w:val="000000"/>
          <w:szCs w:val="21"/>
          <w:highlight w:val="none"/>
        </w:rPr>
        <w:t>致：</w:t>
      </w:r>
      <w:r>
        <w:rPr>
          <w:rFonts w:hint="eastAsia" w:ascii="宋体" w:hAnsi="宋体" w:cs="宋体"/>
          <w:color w:val="000000"/>
          <w:szCs w:val="21"/>
          <w:highlight w:val="none"/>
          <w:u w:val="single"/>
        </w:rPr>
        <w:t xml:space="preserve">                            </w:t>
      </w:r>
      <w:r>
        <w:rPr>
          <w:rFonts w:hint="eastAsia" w:hAnsi="宋体" w:cs="宋体"/>
          <w:color w:val="000000"/>
          <w:szCs w:val="21"/>
          <w:highlight w:val="none"/>
        </w:rPr>
        <w:t>（受理</w:t>
      </w:r>
      <w:r>
        <w:rPr>
          <w:rFonts w:hint="eastAsia" w:hAnsi="宋体" w:cs="宋体"/>
          <w:color w:val="000000"/>
          <w:szCs w:val="21"/>
          <w:highlight w:val="none"/>
          <w:lang w:eastAsia="zh-CN"/>
        </w:rPr>
        <w:t>部门</w:t>
      </w:r>
      <w:r>
        <w:rPr>
          <w:rFonts w:hint="eastAsia" w:hAnsi="宋体" w:cs="宋体"/>
          <w:color w:val="000000"/>
          <w:szCs w:val="21"/>
          <w:highlight w:val="none"/>
        </w:rPr>
        <w:t>）</w:t>
      </w:r>
    </w:p>
    <w:p>
      <w:pPr>
        <w:autoSpaceDE w:val="0"/>
        <w:autoSpaceDN w:val="0"/>
        <w:adjustRightInd w:val="0"/>
        <w:spacing w:line="400" w:lineRule="exact"/>
        <w:ind w:firstLine="420" w:firstLineChars="200"/>
        <w:rPr>
          <w:rFonts w:hint="eastAsia" w:ascii="宋体" w:hAnsi="宋体" w:cs="宋体"/>
          <w:b/>
          <w:color w:val="000000"/>
          <w:szCs w:val="21"/>
          <w:highlight w:val="none"/>
        </w:rPr>
      </w:pPr>
      <w:r>
        <w:rPr>
          <w:rFonts w:hint="eastAsia" w:ascii="宋体" w:hAnsi="宋体" w:cs="宋体"/>
          <w:bCs/>
          <w:color w:val="000000"/>
          <w:szCs w:val="21"/>
          <w:highlight w:val="none"/>
        </w:rPr>
        <w:t>我公司已充分了解《招标投标活动异议提起须知》和惩戒措施，承诺诚实守信提出异议，提供材料真实合法。如有违反一切责任自负。</w:t>
      </w:r>
    </w:p>
    <w:p>
      <w:pPr>
        <w:autoSpaceDE w:val="0"/>
        <w:autoSpaceDN w:val="0"/>
        <w:adjustRightInd w:val="0"/>
        <w:spacing w:line="400" w:lineRule="exact"/>
        <w:ind w:firstLine="420" w:firstLineChars="200"/>
        <w:rPr>
          <w:rFonts w:hint="eastAsia" w:hAnsi="宋体" w:cs="宋体"/>
          <w:bCs/>
          <w:color w:val="000000"/>
          <w:szCs w:val="21"/>
          <w:highlight w:val="none"/>
        </w:rPr>
      </w:pPr>
      <w:r>
        <w:rPr>
          <w:rFonts w:hint="eastAsia" w:hAnsi="宋体" w:cs="宋体"/>
          <w:bCs/>
          <w:color w:val="000000"/>
          <w:szCs w:val="21"/>
          <w:highlight w:val="none"/>
        </w:rPr>
        <w:t>招标项目名称：</w:t>
      </w:r>
    </w:p>
    <w:p>
      <w:pPr>
        <w:autoSpaceDE w:val="0"/>
        <w:autoSpaceDN w:val="0"/>
        <w:adjustRightInd w:val="0"/>
        <w:spacing w:line="400" w:lineRule="exact"/>
        <w:ind w:firstLine="420" w:firstLineChars="200"/>
        <w:rPr>
          <w:rFonts w:hint="eastAsia" w:hAnsi="宋体" w:cs="宋体"/>
          <w:bCs/>
          <w:color w:val="000000"/>
          <w:szCs w:val="21"/>
          <w:highlight w:val="none"/>
        </w:rPr>
      </w:pPr>
      <w:r>
        <w:rPr>
          <w:rFonts w:hint="eastAsia" w:hAnsi="宋体" w:cs="宋体"/>
          <w:bCs/>
          <w:color w:val="000000"/>
          <w:szCs w:val="21"/>
          <w:highlight w:val="none"/>
        </w:rPr>
        <w:t>招标编号：</w:t>
      </w:r>
    </w:p>
    <w:p>
      <w:pPr>
        <w:autoSpaceDE w:val="0"/>
        <w:autoSpaceDN w:val="0"/>
        <w:adjustRightInd w:val="0"/>
        <w:spacing w:line="400" w:lineRule="exact"/>
        <w:ind w:firstLine="420" w:firstLineChars="200"/>
        <w:rPr>
          <w:rFonts w:hint="eastAsia" w:hAnsi="宋体" w:cs="宋体"/>
          <w:bCs/>
          <w:color w:val="000000"/>
          <w:szCs w:val="21"/>
          <w:highlight w:val="none"/>
        </w:rPr>
      </w:pPr>
      <w:r>
        <w:rPr>
          <w:rFonts w:hint="eastAsia" w:hAnsi="宋体" w:cs="宋体"/>
          <w:bCs/>
          <w:color w:val="000000"/>
          <w:szCs w:val="21"/>
          <w:highlight w:val="none"/>
        </w:rPr>
        <w:t>招标人：</w:t>
      </w:r>
    </w:p>
    <w:p>
      <w:pPr>
        <w:autoSpaceDE w:val="0"/>
        <w:autoSpaceDN w:val="0"/>
        <w:adjustRightInd w:val="0"/>
        <w:spacing w:line="400" w:lineRule="exact"/>
        <w:ind w:firstLine="420" w:firstLineChars="200"/>
        <w:rPr>
          <w:rFonts w:hint="eastAsia" w:ascii="宋体" w:hAnsi="宋体" w:cs="宋体"/>
          <w:b/>
          <w:color w:val="000000"/>
          <w:szCs w:val="21"/>
          <w:highlight w:val="none"/>
        </w:rPr>
      </w:pPr>
      <w:r>
        <w:rPr>
          <w:rFonts w:hint="eastAsia" w:hAnsi="宋体" w:cs="宋体"/>
          <w:bCs/>
          <w:color w:val="000000"/>
          <w:szCs w:val="21"/>
          <w:highlight w:val="none"/>
        </w:rPr>
        <w:t>招标代理机构：</w:t>
      </w:r>
    </w:p>
    <w:p>
      <w:pPr>
        <w:autoSpaceDE w:val="0"/>
        <w:autoSpaceDN w:val="0"/>
        <w:adjustRightInd w:val="0"/>
        <w:spacing w:line="400" w:lineRule="exact"/>
        <w:ind w:firstLine="420" w:firstLineChars="200"/>
        <w:jc w:val="left"/>
        <w:rPr>
          <w:rFonts w:hint="eastAsia" w:ascii="宋体" w:hAnsi="宋体" w:cs="宋体"/>
          <w:color w:val="000000"/>
          <w:szCs w:val="21"/>
          <w:highlight w:val="none"/>
        </w:rPr>
      </w:pPr>
      <w:r>
        <w:rPr>
          <w:rFonts w:hint="eastAsia" w:ascii="宋体" w:hAnsi="宋体" w:cs="宋体"/>
          <w:color w:val="000000"/>
          <w:szCs w:val="21"/>
          <w:highlight w:val="none"/>
        </w:rPr>
        <w:t xml:space="preserve">异议内容：1. </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w:t>
      </w:r>
    </w:p>
    <w:p>
      <w:pPr>
        <w:autoSpaceDE w:val="0"/>
        <w:autoSpaceDN w:val="0"/>
        <w:adjustRightInd w:val="0"/>
        <w:spacing w:line="400" w:lineRule="exact"/>
        <w:ind w:firstLine="1050" w:firstLineChars="500"/>
        <w:jc w:val="left"/>
        <w:rPr>
          <w:rFonts w:hint="eastAsia" w:ascii="宋体" w:hAnsi="宋体" w:cs="宋体"/>
          <w:color w:val="000000"/>
          <w:szCs w:val="21"/>
          <w:highlight w:val="none"/>
          <w:u w:val="single"/>
        </w:rPr>
      </w:pPr>
      <w:r>
        <w:rPr>
          <w:rFonts w:hint="eastAsia" w:ascii="宋体" w:hAnsi="宋体" w:cs="宋体"/>
          <w:color w:val="000000"/>
          <w:szCs w:val="21"/>
          <w:highlight w:val="none"/>
        </w:rPr>
        <w:t xml:space="preserve">2. </w:t>
      </w:r>
      <w:r>
        <w:rPr>
          <w:rFonts w:hint="eastAsia" w:ascii="宋体" w:hAnsi="宋体" w:cs="宋体"/>
          <w:color w:val="000000"/>
          <w:szCs w:val="21"/>
          <w:highlight w:val="none"/>
          <w:u w:val="single"/>
        </w:rPr>
        <w:t xml:space="preserve">                                        </w:t>
      </w:r>
    </w:p>
    <w:p>
      <w:pPr>
        <w:autoSpaceDE w:val="0"/>
        <w:autoSpaceDN w:val="0"/>
        <w:adjustRightInd w:val="0"/>
        <w:spacing w:line="400" w:lineRule="exact"/>
        <w:ind w:firstLine="1260" w:firstLineChars="600"/>
        <w:jc w:val="left"/>
        <w:rPr>
          <w:rFonts w:hint="eastAsia" w:ascii="宋体" w:hAnsi="宋体" w:cs="宋体"/>
          <w:i/>
          <w:color w:val="000000"/>
          <w:szCs w:val="21"/>
          <w:highlight w:val="none"/>
        </w:rPr>
      </w:pPr>
      <w:r>
        <w:rPr>
          <w:rFonts w:hint="eastAsia" w:ascii="宋体" w:hAnsi="宋体" w:cs="宋体"/>
          <w:i/>
          <w:color w:val="000000"/>
          <w:szCs w:val="21"/>
          <w:highlight w:val="none"/>
        </w:rPr>
        <w:t>(若需附件支持，请在相关内容后标明附件编号)</w:t>
      </w:r>
    </w:p>
    <w:p>
      <w:pPr>
        <w:autoSpaceDE w:val="0"/>
        <w:autoSpaceDN w:val="0"/>
        <w:adjustRightInd w:val="0"/>
        <w:spacing w:line="400" w:lineRule="exact"/>
        <w:ind w:firstLine="1050" w:firstLineChars="500"/>
        <w:jc w:val="left"/>
        <w:rPr>
          <w:rFonts w:hint="eastAsia" w:ascii="宋体" w:hAnsi="宋体" w:cs="宋体"/>
          <w:color w:val="000000"/>
          <w:szCs w:val="21"/>
          <w:highlight w:val="none"/>
        </w:rPr>
      </w:pPr>
    </w:p>
    <w:p>
      <w:pPr>
        <w:autoSpaceDE w:val="0"/>
        <w:autoSpaceDN w:val="0"/>
        <w:adjustRightInd w:val="0"/>
        <w:spacing w:line="400" w:lineRule="exact"/>
        <w:ind w:firstLine="420" w:firstLineChars="200"/>
        <w:jc w:val="left"/>
        <w:rPr>
          <w:rFonts w:hint="eastAsia" w:ascii="宋体" w:hAnsi="宋体" w:cs="宋体"/>
          <w:color w:val="000000"/>
          <w:szCs w:val="21"/>
          <w:highlight w:val="none"/>
        </w:rPr>
      </w:pPr>
      <w:r>
        <w:rPr>
          <w:rFonts w:hint="eastAsia" w:ascii="宋体" w:hAnsi="宋体" w:cs="宋体"/>
          <w:color w:val="000000"/>
          <w:szCs w:val="21"/>
          <w:highlight w:val="none"/>
        </w:rPr>
        <w:t xml:space="preserve">主要诉求：1. </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w:t>
      </w:r>
    </w:p>
    <w:p>
      <w:pPr>
        <w:autoSpaceDE w:val="0"/>
        <w:autoSpaceDN w:val="0"/>
        <w:adjustRightInd w:val="0"/>
        <w:spacing w:line="400" w:lineRule="exact"/>
        <w:ind w:firstLine="1050" w:firstLineChars="500"/>
        <w:jc w:val="left"/>
        <w:rPr>
          <w:rFonts w:hint="eastAsia" w:ascii="宋体" w:hAnsi="宋体" w:cs="宋体"/>
          <w:color w:val="000000"/>
          <w:szCs w:val="21"/>
          <w:highlight w:val="none"/>
          <w:u w:val="single"/>
        </w:rPr>
      </w:pPr>
      <w:r>
        <w:rPr>
          <w:rFonts w:hint="eastAsia" w:ascii="宋体" w:hAnsi="宋体" w:cs="宋体"/>
          <w:color w:val="000000"/>
          <w:szCs w:val="21"/>
          <w:highlight w:val="none"/>
        </w:rPr>
        <w:t xml:space="preserve">2. </w:t>
      </w:r>
      <w:r>
        <w:rPr>
          <w:rFonts w:hint="eastAsia" w:ascii="宋体" w:hAnsi="宋体" w:cs="宋体"/>
          <w:color w:val="000000"/>
          <w:szCs w:val="21"/>
          <w:highlight w:val="none"/>
          <w:u w:val="single"/>
        </w:rPr>
        <w:t xml:space="preserve">                                        </w:t>
      </w:r>
    </w:p>
    <w:p>
      <w:pPr>
        <w:autoSpaceDE w:val="0"/>
        <w:autoSpaceDN w:val="0"/>
        <w:adjustRightInd w:val="0"/>
        <w:spacing w:line="400" w:lineRule="exact"/>
        <w:ind w:firstLine="1260" w:firstLineChars="600"/>
        <w:jc w:val="left"/>
        <w:rPr>
          <w:rFonts w:hint="eastAsia" w:ascii="宋体" w:hAnsi="宋体" w:cs="宋体"/>
          <w:i/>
          <w:color w:val="000000"/>
          <w:szCs w:val="21"/>
          <w:highlight w:val="none"/>
        </w:rPr>
      </w:pPr>
      <w:r>
        <w:rPr>
          <w:rFonts w:hint="eastAsia" w:ascii="宋体" w:hAnsi="宋体" w:cs="宋体"/>
          <w:i/>
          <w:color w:val="000000"/>
          <w:szCs w:val="21"/>
          <w:highlight w:val="none"/>
        </w:rPr>
        <w:t>(若需附件支持，请在相关内容后标明附件编号)</w:t>
      </w:r>
    </w:p>
    <w:p>
      <w:pPr>
        <w:autoSpaceDE w:val="0"/>
        <w:autoSpaceDN w:val="0"/>
        <w:adjustRightInd w:val="0"/>
        <w:spacing w:line="400" w:lineRule="exact"/>
        <w:ind w:firstLine="420" w:firstLineChars="200"/>
        <w:jc w:val="left"/>
        <w:rPr>
          <w:rFonts w:hint="eastAsia" w:ascii="宋体" w:hAnsi="宋体" w:cs="宋体"/>
          <w:color w:val="000000"/>
          <w:szCs w:val="21"/>
          <w:highlight w:val="none"/>
        </w:rPr>
      </w:pPr>
    </w:p>
    <w:p>
      <w:pPr>
        <w:autoSpaceDE w:val="0"/>
        <w:autoSpaceDN w:val="0"/>
        <w:adjustRightInd w:val="0"/>
        <w:spacing w:line="400" w:lineRule="exact"/>
        <w:ind w:firstLine="420" w:firstLineChars="200"/>
        <w:jc w:val="left"/>
        <w:rPr>
          <w:rFonts w:hint="eastAsia" w:ascii="宋体" w:hAnsi="宋体" w:cs="宋体"/>
          <w:color w:val="000000"/>
          <w:szCs w:val="21"/>
          <w:highlight w:val="none"/>
        </w:rPr>
      </w:pPr>
      <w:r>
        <w:rPr>
          <w:rFonts w:hint="eastAsia" w:ascii="宋体" w:hAnsi="宋体" w:cs="宋体"/>
          <w:color w:val="000000"/>
          <w:szCs w:val="21"/>
          <w:highlight w:val="none"/>
        </w:rPr>
        <w:t>附件：1. 异议的相关证明材料</w:t>
      </w:r>
    </w:p>
    <w:p>
      <w:pPr>
        <w:autoSpaceDE w:val="0"/>
        <w:autoSpaceDN w:val="0"/>
        <w:adjustRightInd w:val="0"/>
        <w:spacing w:line="400" w:lineRule="exact"/>
        <w:ind w:firstLine="1050" w:firstLineChars="500"/>
        <w:jc w:val="left"/>
        <w:rPr>
          <w:rFonts w:hint="eastAsia" w:ascii="宋体" w:hAnsi="宋体" w:cs="宋体"/>
          <w:color w:val="000000"/>
          <w:szCs w:val="21"/>
          <w:highlight w:val="none"/>
        </w:rPr>
      </w:pPr>
      <w:r>
        <w:rPr>
          <w:rFonts w:hint="eastAsia" w:ascii="宋体" w:hAnsi="宋体" w:cs="宋体"/>
          <w:color w:val="000000"/>
          <w:szCs w:val="21"/>
          <w:highlight w:val="none"/>
        </w:rPr>
        <w:t>2. （向招标人的招标管理部门提出异议时，需附异议材料和招标机构的答复材料）</w:t>
      </w:r>
    </w:p>
    <w:p>
      <w:pPr>
        <w:autoSpaceDE w:val="0"/>
        <w:autoSpaceDN w:val="0"/>
        <w:adjustRightInd w:val="0"/>
        <w:spacing w:line="400" w:lineRule="exact"/>
        <w:jc w:val="left"/>
        <w:rPr>
          <w:rFonts w:hint="eastAsia" w:ascii="宋体" w:hAnsi="宋体" w:cs="宋体"/>
          <w:color w:val="000000"/>
          <w:szCs w:val="21"/>
          <w:highlight w:val="none"/>
        </w:rPr>
      </w:pPr>
      <w:r>
        <w:rPr>
          <w:rFonts w:hint="eastAsia" w:ascii="宋体" w:hAnsi="宋体" w:cs="宋体"/>
          <w:color w:val="000000"/>
          <w:szCs w:val="21"/>
          <w:highlight w:val="none"/>
        </w:rPr>
        <w:t>异议提起人：</w:t>
      </w:r>
      <w:r>
        <w:rPr>
          <w:rFonts w:hint="eastAsia" w:ascii="宋体" w:hAnsi="宋体" w:cs="宋体"/>
          <w:color w:val="000000"/>
          <w:szCs w:val="21"/>
          <w:highlight w:val="none"/>
          <w:u w:val="single"/>
        </w:rPr>
        <w:t xml:space="preserve">                     </w:t>
      </w:r>
    </w:p>
    <w:p>
      <w:pPr>
        <w:autoSpaceDE w:val="0"/>
        <w:autoSpaceDN w:val="0"/>
        <w:adjustRightInd w:val="0"/>
        <w:spacing w:line="400" w:lineRule="exact"/>
        <w:jc w:val="left"/>
        <w:rPr>
          <w:rFonts w:hint="eastAsia" w:ascii="宋体" w:hAnsi="宋体" w:cs="宋体"/>
          <w:color w:val="000000"/>
          <w:szCs w:val="21"/>
          <w:highlight w:val="none"/>
        </w:rPr>
      </w:pPr>
      <w:r>
        <w:rPr>
          <w:rFonts w:hint="eastAsia" w:ascii="宋体" w:hAnsi="宋体" w:cs="宋体"/>
          <w:color w:val="000000"/>
          <w:szCs w:val="21"/>
          <w:highlight w:val="none"/>
        </w:rPr>
        <w:t>地址：</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w:t>
      </w:r>
    </w:p>
    <w:p>
      <w:pPr>
        <w:autoSpaceDE w:val="0"/>
        <w:autoSpaceDN w:val="0"/>
        <w:adjustRightInd w:val="0"/>
        <w:spacing w:line="400" w:lineRule="exact"/>
        <w:jc w:val="left"/>
        <w:rPr>
          <w:rFonts w:hint="eastAsia" w:ascii="宋体" w:hAnsi="宋体" w:cs="宋体"/>
          <w:color w:val="000000"/>
          <w:szCs w:val="21"/>
          <w:highlight w:val="none"/>
        </w:rPr>
      </w:pPr>
      <w:r>
        <w:rPr>
          <w:rFonts w:hint="eastAsia" w:ascii="宋体" w:hAnsi="宋体" w:cs="宋体"/>
          <w:color w:val="000000"/>
          <w:szCs w:val="21"/>
          <w:highlight w:val="none"/>
        </w:rPr>
        <w:t>法定代表人：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联系电话：</w:t>
      </w:r>
      <w:r>
        <w:rPr>
          <w:rFonts w:hint="eastAsia" w:ascii="宋体" w:hAnsi="宋体" w:cs="宋体"/>
          <w:color w:val="000000"/>
          <w:szCs w:val="21"/>
          <w:highlight w:val="none"/>
          <w:u w:val="single"/>
        </w:rPr>
        <w:t xml:space="preserve">             </w:t>
      </w:r>
    </w:p>
    <w:p>
      <w:pPr>
        <w:autoSpaceDE w:val="0"/>
        <w:autoSpaceDN w:val="0"/>
        <w:adjustRightInd w:val="0"/>
        <w:spacing w:line="400" w:lineRule="exact"/>
        <w:jc w:val="left"/>
        <w:rPr>
          <w:rFonts w:hint="eastAsia" w:ascii="宋体" w:hAnsi="宋体" w:cs="宋体"/>
          <w:color w:val="000000"/>
          <w:szCs w:val="21"/>
          <w:highlight w:val="none"/>
        </w:rPr>
      </w:pPr>
      <w:r>
        <w:rPr>
          <w:rFonts w:hint="eastAsia" w:ascii="宋体" w:hAnsi="宋体" w:cs="宋体"/>
          <w:color w:val="000000"/>
          <w:szCs w:val="21"/>
          <w:highlight w:val="none"/>
        </w:rPr>
        <w:t>法定代表人的有效身份证明文件：</w:t>
      </w:r>
    </w:p>
    <w:p>
      <w:pPr>
        <w:autoSpaceDE w:val="0"/>
        <w:autoSpaceDN w:val="0"/>
        <w:adjustRightInd w:val="0"/>
        <w:spacing w:line="400" w:lineRule="exact"/>
        <w:jc w:val="left"/>
        <w:rPr>
          <w:rFonts w:hint="eastAsia" w:ascii="宋体" w:hAnsi="宋体" w:cs="宋体"/>
          <w:color w:val="000000"/>
          <w:szCs w:val="21"/>
          <w:highlight w:val="none"/>
        </w:rPr>
      </w:pPr>
    </w:p>
    <w:p>
      <w:pPr>
        <w:autoSpaceDE w:val="0"/>
        <w:autoSpaceDN w:val="0"/>
        <w:adjustRightInd w:val="0"/>
        <w:spacing w:line="400" w:lineRule="exact"/>
        <w:jc w:val="left"/>
        <w:rPr>
          <w:rFonts w:hint="eastAsia" w:ascii="宋体" w:hAnsi="宋体" w:cs="宋体"/>
          <w:color w:val="000000"/>
          <w:szCs w:val="21"/>
          <w:highlight w:val="none"/>
        </w:rPr>
      </w:pPr>
      <w:r>
        <w:rPr>
          <w:rFonts w:hint="eastAsia" w:ascii="宋体" w:hAnsi="宋体" w:cs="宋体"/>
          <w:color w:val="000000"/>
          <w:szCs w:val="21"/>
          <w:highlight w:val="none"/>
        </w:rPr>
        <w:t>异议提起授权代表人：</w:t>
      </w:r>
      <w:r>
        <w:rPr>
          <w:rFonts w:hint="eastAsia" w:ascii="宋体" w:hAnsi="宋体" w:cs="宋体"/>
          <w:color w:val="000000"/>
          <w:szCs w:val="21"/>
          <w:highlight w:val="none"/>
          <w:u w:val="single"/>
        </w:rPr>
        <w:t xml:space="preserve">        </w:t>
      </w:r>
    </w:p>
    <w:p>
      <w:pPr>
        <w:autoSpaceDE w:val="0"/>
        <w:autoSpaceDN w:val="0"/>
        <w:adjustRightInd w:val="0"/>
        <w:spacing w:line="400" w:lineRule="exact"/>
        <w:jc w:val="left"/>
        <w:rPr>
          <w:rFonts w:hint="eastAsia" w:ascii="宋体" w:hAnsi="宋体" w:cs="宋体"/>
          <w:color w:val="000000"/>
          <w:szCs w:val="21"/>
          <w:highlight w:val="none"/>
        </w:rPr>
      </w:pPr>
      <w:r>
        <w:rPr>
          <w:rFonts w:hint="eastAsia" w:ascii="宋体" w:hAnsi="宋体" w:cs="宋体"/>
          <w:color w:val="000000"/>
          <w:szCs w:val="21"/>
          <w:highlight w:val="none"/>
        </w:rPr>
        <w:t>联系电话：</w:t>
      </w:r>
      <w:r>
        <w:rPr>
          <w:rFonts w:hint="eastAsia" w:ascii="宋体" w:hAnsi="宋体" w:cs="宋体"/>
          <w:color w:val="000000"/>
          <w:szCs w:val="21"/>
          <w:highlight w:val="none"/>
          <w:u w:val="single"/>
        </w:rPr>
        <w:t xml:space="preserve">           </w:t>
      </w:r>
    </w:p>
    <w:p>
      <w:pPr>
        <w:autoSpaceDE w:val="0"/>
        <w:autoSpaceDN w:val="0"/>
        <w:adjustRightInd w:val="0"/>
        <w:spacing w:line="400" w:lineRule="exact"/>
        <w:jc w:val="left"/>
        <w:rPr>
          <w:rFonts w:hint="eastAsia" w:ascii="宋体" w:hAnsi="宋体" w:cs="宋体"/>
          <w:color w:val="000000"/>
          <w:szCs w:val="21"/>
          <w:highlight w:val="none"/>
        </w:rPr>
      </w:pPr>
      <w:r>
        <w:rPr>
          <w:rFonts w:hint="eastAsia" w:ascii="宋体" w:hAnsi="宋体" w:cs="宋体"/>
          <w:color w:val="000000"/>
          <w:szCs w:val="21"/>
          <w:highlight w:val="none"/>
        </w:rPr>
        <w:t>授权代表人的有效身份证明文件：</w:t>
      </w:r>
    </w:p>
    <w:p>
      <w:pPr>
        <w:autoSpaceDE w:val="0"/>
        <w:autoSpaceDN w:val="0"/>
        <w:adjustRightInd w:val="0"/>
        <w:spacing w:line="400" w:lineRule="exact"/>
        <w:jc w:val="left"/>
        <w:rPr>
          <w:rFonts w:hint="eastAsia" w:ascii="宋体" w:hAnsi="宋体" w:cs="宋体"/>
          <w:color w:val="000000"/>
          <w:szCs w:val="21"/>
          <w:highlight w:val="none"/>
        </w:rPr>
      </w:pPr>
    </w:p>
    <w:p>
      <w:pPr>
        <w:autoSpaceDE w:val="0"/>
        <w:autoSpaceDN w:val="0"/>
        <w:adjustRightInd w:val="0"/>
        <w:spacing w:line="400" w:lineRule="exact"/>
        <w:ind w:right="560" w:firstLine="3360" w:firstLineChars="1600"/>
        <w:rPr>
          <w:rFonts w:hint="eastAsia" w:ascii="宋体" w:hAnsi="宋体" w:cs="宋体"/>
          <w:color w:val="000000"/>
          <w:szCs w:val="21"/>
          <w:highlight w:val="none"/>
        </w:rPr>
      </w:pPr>
      <w:r>
        <w:rPr>
          <w:rFonts w:hint="eastAsia" w:ascii="宋体" w:hAnsi="宋体" w:cs="宋体"/>
          <w:color w:val="000000"/>
          <w:szCs w:val="21"/>
          <w:highlight w:val="none"/>
        </w:rPr>
        <w:t>异议提起人（公章）：</w:t>
      </w:r>
      <w:r>
        <w:rPr>
          <w:rFonts w:hint="eastAsia" w:ascii="宋体" w:hAnsi="宋体" w:cs="宋体"/>
          <w:color w:val="000000"/>
          <w:szCs w:val="21"/>
          <w:highlight w:val="none"/>
          <w:u w:val="single"/>
        </w:rPr>
        <w:t xml:space="preserve">           </w:t>
      </w:r>
      <w:r>
        <w:rPr>
          <w:rFonts w:hint="eastAsia" w:hAnsi="宋体" w:cs="宋体"/>
          <w:color w:val="000000"/>
          <w:szCs w:val="21"/>
          <w:highlight w:val="none"/>
          <w:u w:val="single"/>
          <w:lang w:val="en-US" w:eastAsia="zh-CN"/>
        </w:rPr>
        <w:t xml:space="preserve">         </w:t>
      </w:r>
      <w:r>
        <w:rPr>
          <w:rFonts w:hint="eastAsia" w:ascii="宋体" w:hAnsi="宋体" w:cs="宋体"/>
          <w:color w:val="000000"/>
          <w:szCs w:val="21"/>
          <w:highlight w:val="none"/>
          <w:u w:val="single"/>
        </w:rPr>
        <w:t xml:space="preserve">        </w:t>
      </w:r>
    </w:p>
    <w:p>
      <w:pPr>
        <w:autoSpaceDE w:val="0"/>
        <w:autoSpaceDN w:val="0"/>
        <w:adjustRightInd w:val="0"/>
        <w:spacing w:line="400" w:lineRule="exact"/>
        <w:ind w:right="560" w:firstLine="3360" w:firstLineChars="1600"/>
        <w:rPr>
          <w:rFonts w:hint="eastAsia" w:ascii="宋体" w:hAnsi="宋体" w:cs="宋体"/>
          <w:color w:val="000000"/>
          <w:szCs w:val="21"/>
          <w:highlight w:val="none"/>
          <w:u w:val="single"/>
        </w:rPr>
      </w:pPr>
      <w:r>
        <w:rPr>
          <w:rFonts w:hint="eastAsia" w:ascii="宋体" w:hAnsi="宋体" w:cs="宋体"/>
          <w:color w:val="000000"/>
          <w:szCs w:val="21"/>
          <w:highlight w:val="none"/>
        </w:rPr>
        <w:t>法定代表人或授权代表人（签字）：</w:t>
      </w:r>
      <w:r>
        <w:rPr>
          <w:rFonts w:hint="eastAsia" w:ascii="宋体" w:hAnsi="宋体" w:cs="宋体"/>
          <w:color w:val="000000"/>
          <w:szCs w:val="21"/>
          <w:highlight w:val="none"/>
          <w:u w:val="single"/>
        </w:rPr>
        <w:t xml:space="preserve">                </w:t>
      </w:r>
    </w:p>
    <w:p>
      <w:pPr>
        <w:autoSpaceDE w:val="0"/>
        <w:autoSpaceDN w:val="0"/>
        <w:adjustRightInd w:val="0"/>
        <w:spacing w:line="400" w:lineRule="exact"/>
        <w:ind w:firstLine="420" w:firstLineChars="200"/>
        <w:jc w:val="right"/>
        <w:rPr>
          <w:rFonts w:hint="eastAsia" w:ascii="宋体" w:hAnsi="宋体" w:cs="宋体"/>
          <w:color w:val="000000"/>
          <w:szCs w:val="21"/>
          <w:highlight w:val="none"/>
        </w:rPr>
      </w:pPr>
    </w:p>
    <w:p>
      <w:pPr>
        <w:spacing w:line="560" w:lineRule="exact"/>
        <w:jc w:val="right"/>
        <w:rPr>
          <w:rFonts w:ascii="方正仿宋简体" w:eastAsia="方正仿宋简体"/>
          <w:color w:val="000000"/>
          <w:sz w:val="32"/>
          <w:szCs w:val="32"/>
        </w:rPr>
      </w:pPr>
      <w:r>
        <w:rPr>
          <w:rFonts w:hint="eastAsia" w:ascii="宋体" w:hAnsi="宋体" w:cs="宋体"/>
          <w:color w:val="000000"/>
          <w:szCs w:val="21"/>
          <w:highlight w:val="none"/>
        </w:rPr>
        <w:t>年  月  日</w:t>
      </w:r>
    </w:p>
    <w:p/>
    <w:p>
      <w:pPr>
        <w:spacing w:line="560" w:lineRule="exact"/>
        <w:jc w:val="left"/>
        <w:rPr>
          <w:rFonts w:ascii="仿宋_GB2312" w:hAnsi="宋体" w:eastAsia="仿宋_GB2312"/>
          <w:color w:val="000000"/>
          <w:sz w:val="32"/>
          <w:szCs w:val="32"/>
        </w:rPr>
      </w:pPr>
      <w:r>
        <w:rPr>
          <w:rFonts w:hint="eastAsia" w:ascii="仿宋_GB2312" w:hAnsi="宋体" w:eastAsia="仿宋_GB2312"/>
          <w:color w:val="000000"/>
          <w:sz w:val="32"/>
          <w:szCs w:val="32"/>
        </w:rPr>
        <w:t>附件2</w:t>
      </w:r>
    </w:p>
    <w:p>
      <w:pPr>
        <w:spacing w:line="560" w:lineRule="exact"/>
        <w:ind w:firstLine="880" w:firstLineChars="200"/>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投标人自律守则</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一、严格遵守《中华人民共和国招标投标法》等国家有关法律法规和集团公司相关规章制度，依法从事投标和其它交易活动，诚实守信，自觉接受国家、社会和集团公司监督。</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二、自觉维护市场秩序，不得出借或借用、买卖、伪造企业和从业人员的资质证书、营业执照、资产业绩等相关资信证明文件和印章，严禁以其它企业或个人名义投标。</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三、严格遵守法律、法规和招标文件规定的投标程序。参与项目投标应当具有国家和招标文件规定的资质、业绩或许可条件，不得隐瞒真实情况，弄虚作假，骗取投标和中标资格。</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四、坚决抵制和杜绝串标、围标、贿赂等违法投标和不正当竞争行为。不得相互串通投标或者与招标人串通投标；不得向招标人或者评标委员会成员行贿谋取中标；不得以他人名义投标或者以其它方式弄虚作假骗取中标；不得以任何方式干扰、影响评标工作；不得违背国家有关价格规定或低于成本价竞争。</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五、严格遵守招标投标程序，按照要求缴纳投标保证金、中标服务费、履约保证金等；严格按中标条件签订和履行合同，不得将项目违法转包、违规分包。</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六、依法经营，公平竞争，不得采取虚假、诽谤、恶意投诉等违法或不正当手段损害、侵犯其它企业的正当权益。</w:t>
      </w:r>
    </w:p>
    <w:p>
      <w:pPr>
        <w:widowControl/>
        <w:shd w:val="clear" w:color="auto" w:fill="FFFFFF"/>
        <w:spacing w:line="540" w:lineRule="exact"/>
        <w:ind w:firstLine="640" w:firstLineChars="200"/>
        <w:rPr>
          <w:rFonts w:ascii="方正仿宋简体" w:hAnsi="宋体" w:eastAsia="方正仿宋简体"/>
          <w:color w:val="000000"/>
          <w:sz w:val="32"/>
          <w:szCs w:val="32"/>
        </w:rPr>
      </w:pPr>
      <w:r>
        <w:rPr>
          <w:rFonts w:hint="eastAsia" w:ascii="方正仿宋简体" w:hAnsi="宋体" w:eastAsia="方正仿宋简体" w:cs="宋体"/>
          <w:color w:val="000000"/>
          <w:kern w:val="0"/>
          <w:sz w:val="32"/>
          <w:szCs w:val="32"/>
        </w:rPr>
        <w:t>七、对违法和不公正行为投诉时，应当保证投诉内容及相应证明材料的真实合法。</w:t>
      </w:r>
    </w:p>
    <w:p>
      <w:pPr>
        <w:autoSpaceDE w:val="0"/>
        <w:autoSpaceDN w:val="0"/>
        <w:adjustRightInd w:val="0"/>
        <w:spacing w:line="360" w:lineRule="auto"/>
        <w:ind w:firstLine="422" w:firstLineChars="200"/>
        <w:jc w:val="left"/>
        <w:rPr>
          <w:rFonts w:hint="eastAsia" w:ascii="宋体" w:hAnsi="宋体" w:cs="TimesNewRomanPSMT"/>
          <w:b/>
          <w:kern w:val="0"/>
          <w:szCs w:val="21"/>
          <w:highlight w:val="none"/>
        </w:rPr>
      </w:pPr>
      <w:bookmarkStart w:id="0" w:name="_Toc8621"/>
      <w:r>
        <w:rPr>
          <w:rFonts w:hint="eastAsia" w:ascii="宋体" w:hAnsi="宋体" w:cs="TimesNewRomanPSMT"/>
          <w:b/>
          <w:kern w:val="0"/>
          <w:szCs w:val="21"/>
          <w:highlight w:val="none"/>
        </w:rPr>
        <w:t>附件2：《投标人失信行为管理办法(试行)》节选</w:t>
      </w:r>
      <w:bookmarkEnd w:id="0"/>
    </w:p>
    <w:tbl>
      <w:tblPr>
        <w:tblStyle w:val="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6875"/>
        <w:gridCol w:w="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475" w:type="pct"/>
            <w:vMerge w:val="restart"/>
            <w:noWrap w:val="0"/>
            <w:vAlign w:val="center"/>
          </w:tcPr>
          <w:p>
            <w:pPr>
              <w:keepNext w:val="0"/>
              <w:keepLines w:val="0"/>
              <w:pageBreakBefore w:val="0"/>
              <w:widowControl/>
              <w:kinsoku/>
              <w:wordWrap/>
              <w:overflowPunct/>
              <w:topLinePunct w:val="0"/>
              <w:autoSpaceDE w:val="0"/>
              <w:autoSpaceDN w:val="0"/>
              <w:bidi w:val="0"/>
              <w:adjustRightInd w:val="0"/>
              <w:snapToGrid w:val="0"/>
              <w:spacing w:line="300" w:lineRule="exact"/>
              <w:ind w:firstLine="0" w:firstLineChars="0"/>
              <w:jc w:val="center"/>
              <w:textAlignment w:val="auto"/>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类别</w:t>
            </w:r>
          </w:p>
        </w:tc>
        <w:tc>
          <w:tcPr>
            <w:tcW w:w="4035" w:type="pct"/>
            <w:vMerge w:val="restart"/>
            <w:noWrap w:val="0"/>
            <w:vAlign w:val="center"/>
          </w:tcPr>
          <w:p>
            <w:pPr>
              <w:keepNext w:val="0"/>
              <w:keepLines w:val="0"/>
              <w:pageBreakBefore w:val="0"/>
              <w:widowControl/>
              <w:kinsoku/>
              <w:wordWrap/>
              <w:overflowPunct/>
              <w:topLinePunct w:val="0"/>
              <w:autoSpaceDE w:val="0"/>
              <w:autoSpaceDN w:val="0"/>
              <w:bidi w:val="0"/>
              <w:adjustRightInd w:val="0"/>
              <w:snapToGrid w:val="0"/>
              <w:spacing w:line="300" w:lineRule="exact"/>
              <w:ind w:firstLine="0" w:firstLineChars="0"/>
              <w:jc w:val="center"/>
              <w:textAlignment w:val="auto"/>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失信行为描述</w:t>
            </w:r>
          </w:p>
        </w:tc>
        <w:tc>
          <w:tcPr>
            <w:tcW w:w="489" w:type="pct"/>
            <w:vMerge w:val="restart"/>
            <w:noWrap w:val="0"/>
            <w:vAlign w:val="center"/>
          </w:tcPr>
          <w:p>
            <w:pPr>
              <w:keepNext w:val="0"/>
              <w:keepLines w:val="0"/>
              <w:pageBreakBefore w:val="0"/>
              <w:widowControl/>
              <w:kinsoku/>
              <w:wordWrap/>
              <w:overflowPunct/>
              <w:topLinePunct w:val="0"/>
              <w:autoSpaceDE w:val="0"/>
              <w:autoSpaceDN w:val="0"/>
              <w:bidi w:val="0"/>
              <w:adjustRightInd w:val="0"/>
              <w:snapToGrid w:val="0"/>
              <w:spacing w:line="300" w:lineRule="exact"/>
              <w:ind w:firstLine="0" w:firstLineChars="0"/>
              <w:jc w:val="center"/>
              <w:textAlignment w:val="auto"/>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89"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75" w:type="pct"/>
            <w:vMerge w:val="restart"/>
            <w:noWrap w:val="0"/>
            <w:vAlign w:val="center"/>
          </w:tcPr>
          <w:p>
            <w:pPr>
              <w:widowControl/>
              <w:adjustRightInd w:val="0"/>
              <w:spacing w:line="300" w:lineRule="exact"/>
              <w:ind w:firstLine="0" w:firstLineChars="0"/>
              <w:jc w:val="center"/>
              <w:rPr>
                <w:rFonts w:ascii="宋体" w:cs="宋体"/>
                <w:b/>
                <w:bCs/>
                <w:color w:val="000000"/>
                <w:spacing w:val="-6"/>
                <w:kern w:val="0"/>
                <w:sz w:val="21"/>
                <w:szCs w:val="21"/>
                <w:highlight w:val="none"/>
              </w:rPr>
            </w:pPr>
            <w:r>
              <w:rPr>
                <w:rFonts w:hint="eastAsia" w:ascii="宋体" w:hAnsi="宋体" w:cs="宋体"/>
                <w:b/>
                <w:bCs/>
                <w:color w:val="000000"/>
                <w:spacing w:val="-6"/>
                <w:kern w:val="0"/>
                <w:sz w:val="21"/>
                <w:szCs w:val="21"/>
                <w:highlight w:val="none"/>
              </w:rPr>
              <w:t>弄虚</w:t>
            </w:r>
          </w:p>
          <w:p>
            <w:pPr>
              <w:widowControl/>
              <w:adjustRightInd w:val="0"/>
              <w:spacing w:line="300" w:lineRule="exact"/>
              <w:ind w:firstLine="0" w:firstLineChars="0"/>
              <w:jc w:val="center"/>
              <w:rPr>
                <w:rFonts w:ascii="宋体" w:cs="宋体"/>
                <w:b/>
                <w:bCs/>
                <w:color w:val="000000"/>
                <w:spacing w:val="-6"/>
                <w:kern w:val="0"/>
                <w:sz w:val="21"/>
                <w:szCs w:val="21"/>
                <w:highlight w:val="none"/>
              </w:rPr>
            </w:pPr>
            <w:r>
              <w:rPr>
                <w:rFonts w:hint="eastAsia" w:ascii="宋体" w:hAnsi="宋体" w:cs="宋体"/>
                <w:b/>
                <w:bCs/>
                <w:color w:val="000000"/>
                <w:spacing w:val="-6"/>
                <w:kern w:val="0"/>
                <w:sz w:val="21"/>
                <w:szCs w:val="21"/>
                <w:highlight w:val="none"/>
              </w:rPr>
              <w:t>作假</w:t>
            </w: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投标人通过受让或者租借等方式获取的资格、资质证书，以他人名义投标。</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投标人将资格、资质证书等出借、出租、转让他人或为其他单位提供图章、图签。</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投标人使用伪造、变造的资格、资质证书或者许可证件等。</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投标人提供虚假的财务状况、信用状况、票据或业绩等。</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投标人提供虚假的项目负责人、主要技术人员简历、资格证书、劳动关系证明、社保证明等。</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投标人配合招标人或招标代理机构实施虚假招标。</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投标人在有关部门处理异议（投诉）、查办案件调查有关情况时，提供虚假情况或者作伪证。</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投标人存在出资不实（未如数如期缴纳出资设立公司）或抽逃出资（验资后未经法定程序抽回出资）的情形。</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restart"/>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串通</w:t>
            </w:r>
          </w:p>
          <w:p>
            <w:pPr>
              <w:widowControl/>
              <w:adjustRightInd w:val="0"/>
              <w:spacing w:line="300" w:lineRule="exact"/>
              <w:ind w:firstLine="0" w:firstLineChars="0"/>
              <w:jc w:val="center"/>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投标</w:t>
            </w: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投标人之间协商投标报价等投标文件的实质性内容。</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投标人之间约定部分投标人放弃投标或约定中标人。</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属于同一集团、协会、商会等组织成员的投标人按照该组织要求协同投标。</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不同投标人的投标文件由同一单位或者个人编制。</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不同投标人委托同一单位或者个人办理投标事宜。</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不同投标人的投标文件载明的项目管理成员为同一人。</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不同投标人的投标文件异常一致或者投标报价呈规律性差异。</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不同投标人的投标文件相互混装。</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不同投标人的投标保证金从同一单位或者个人的账户转出。</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开</w:t>
            </w:r>
            <w:r>
              <w:rPr>
                <w:rFonts w:hint="eastAsia" w:ascii="宋体" w:hAnsi="宋体" w:cs="宋体"/>
                <w:color w:val="000000"/>
                <w:spacing w:val="-4"/>
                <w:kern w:val="0"/>
                <w:sz w:val="21"/>
                <w:szCs w:val="21"/>
                <w:highlight w:val="none"/>
              </w:rPr>
              <w:t>标前，投标人从招标人处获取其他投标人及投标文件有关信息。</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投标人直接或者间接获得标底、评标委员会成员等信息。</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投标人按招标人明示或者暗示要求压低或者抬高投标报价。</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投标人按招标人授意撤换、修改投标文件。</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w:t>
            </w:r>
            <w:r>
              <w:rPr>
                <w:rFonts w:hint="eastAsia" w:ascii="宋体" w:hAnsi="宋体" w:cs="宋体"/>
                <w:color w:val="000000"/>
                <w:spacing w:val="-4"/>
                <w:kern w:val="0"/>
                <w:sz w:val="21"/>
                <w:szCs w:val="21"/>
                <w:highlight w:val="none"/>
              </w:rPr>
              <w:t>标人按招标人明示或者暗示要求为特定投标人中标提供方便。</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475" w:type="pct"/>
            <w:vMerge w:val="restart"/>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串通</w:t>
            </w:r>
          </w:p>
          <w:p>
            <w:pPr>
              <w:widowControl/>
              <w:adjustRightInd w:val="0"/>
              <w:spacing w:line="300" w:lineRule="exact"/>
              <w:ind w:firstLine="0" w:firstLineChars="0"/>
              <w:jc w:val="center"/>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投标</w:t>
            </w: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单位负责人为同一人或者存在控股、管理关系的不同单位，参加同一标段投标或者未划分标段的同一招标项目投标，开标后不告知招标人，影响公平竞争的。</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经信息化数据分析判定投标人之间存在计价锁号相同或</w:t>
            </w:r>
            <w:r>
              <w:rPr>
                <w:rFonts w:ascii="宋体" w:hAnsi="宋体" w:cs="宋体"/>
                <w:color w:val="000000"/>
                <w:kern w:val="0"/>
                <w:sz w:val="21"/>
                <w:szCs w:val="21"/>
                <w:highlight w:val="none"/>
              </w:rPr>
              <w:t>MAC</w:t>
            </w:r>
            <w:r>
              <w:rPr>
                <w:rFonts w:hint="eastAsia" w:ascii="宋体" w:hAnsi="宋体" w:cs="宋体"/>
                <w:color w:val="000000"/>
                <w:kern w:val="0"/>
                <w:sz w:val="21"/>
                <w:szCs w:val="21"/>
                <w:highlight w:val="none"/>
              </w:rPr>
              <w:t>地址相同。</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投标人与招标人之间、投标人与投标人之间为谋求中标排斥其他投标人或者损害招标人利益而采取的其他串通行为。</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75" w:type="pct"/>
            <w:vMerge w:val="restart"/>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中标</w:t>
            </w:r>
          </w:p>
          <w:p>
            <w:pPr>
              <w:widowControl/>
              <w:adjustRightInd w:val="0"/>
              <w:spacing w:line="300" w:lineRule="exact"/>
              <w:ind w:firstLine="0" w:firstLineChars="0"/>
              <w:jc w:val="center"/>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违约</w:t>
            </w: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中标人的经营、财务状况发生较大变化或者存在违法行为，影响其履约能力而不告知招标人。</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中标人放弃中标；无正当理由不与招标人签订合同；不按照招标文件和中标人的投标文件订立合同；订立背离合同实质性内容的其他协议；向招标人提出附加条件；不按招标文件要求提交履约保证金。</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中</w:t>
            </w:r>
            <w:r>
              <w:rPr>
                <w:rFonts w:hint="eastAsia" w:ascii="宋体" w:hAnsi="宋体" w:cs="宋体"/>
                <w:color w:val="000000"/>
                <w:spacing w:val="-4"/>
                <w:kern w:val="0"/>
                <w:sz w:val="21"/>
                <w:szCs w:val="21"/>
                <w:highlight w:val="none"/>
              </w:rPr>
              <w:t>标人将中标项目转让给他人，或将中标项目肢解后分别转让给他人；中标人将中标项目的部分主体、关键性工作分包给他人。</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中标人不按招标文件规定对非主体、非关键性工作进行分包的；分包人再次分包的；分包给不具备相应资格条件的分包人；不具备资格条件而接受分包的承包人。</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restart"/>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干扰</w:t>
            </w:r>
          </w:p>
          <w:p>
            <w:pPr>
              <w:widowControl/>
              <w:adjustRightInd w:val="0"/>
              <w:spacing w:line="300" w:lineRule="exact"/>
              <w:ind w:firstLine="0" w:firstLineChars="0"/>
              <w:jc w:val="center"/>
              <w:rPr>
                <w:rFonts w:hint="eastAsia" w:ascii="宋体" w:hAnsi="宋体" w:cs="宋体"/>
                <w:b/>
                <w:bCs/>
                <w:color w:val="000000"/>
                <w:kern w:val="0"/>
                <w:sz w:val="21"/>
                <w:szCs w:val="21"/>
                <w:highlight w:val="none"/>
              </w:rPr>
            </w:pPr>
            <w:r>
              <w:rPr>
                <w:rFonts w:hint="eastAsia" w:ascii="宋体" w:hAnsi="宋体" w:cs="宋体"/>
                <w:b/>
                <w:bCs/>
                <w:color w:val="000000"/>
                <w:kern w:val="0"/>
                <w:sz w:val="21"/>
                <w:szCs w:val="21"/>
                <w:highlight w:val="none"/>
              </w:rPr>
              <w:t>招标</w:t>
            </w:r>
          </w:p>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投标人打听应保密的招标相关信息。</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投标人私自向第三方泄露招标文件中涉及招标人秘密信息。</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投标截止后，投标人无正当理由撤销投标文件。</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投标人明显不符合招标公告中公开的资格条件却参加投标，否决其投标后致有效投标不足三家。</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投标人以低于成本的报价竞标的。</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投标人发生合并、分立等重大变化，不再具备资格预审文件、招标文件规定的资格条件或者其投标影响招标公正性不及时告知招标人。</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投标人处于被责令停业，投标资格被暂停或取消，财产被接管、冻结或破产等状态不及时告知招标人。</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投标人干扰开标、评标工作正常秩序。</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投标人用威胁、恐吓或其他非法手段诋毁、阻止或排挤其他投标人公平竞争。</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投标人用威胁、恐吓或其他非法手段诋毁招标人或者评标委员会成员。</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投标人以行贿或提供其他不正当利益等手段谋取中标。</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投标人通过行政审批部门以任何形式指定或变相指定其提供中介服务的情形。</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投标人存在公职人员在其机构持股分红、占有财物、违规兼职取酬、报销费用，或勾结中介服务机构套取国家资金等情形。</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75" w:type="pct"/>
            <w:vMerge w:val="restart"/>
            <w:noWrap w:val="0"/>
            <w:vAlign w:val="center"/>
          </w:tcPr>
          <w:p>
            <w:pPr>
              <w:widowControl/>
              <w:adjustRightInd w:val="0"/>
              <w:spacing w:line="300" w:lineRule="exact"/>
              <w:ind w:left="-105" w:leftChars="-50" w:right="-105" w:rightChars="-50" w:firstLine="0" w:firstLineChars="0"/>
              <w:jc w:val="center"/>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不当</w:t>
            </w:r>
          </w:p>
          <w:p>
            <w:pPr>
              <w:widowControl/>
              <w:adjustRightInd w:val="0"/>
              <w:spacing w:line="300" w:lineRule="exact"/>
              <w:ind w:left="-105" w:leftChars="-50" w:right="-105" w:rightChars="-50" w:firstLine="0" w:firstLineChars="0"/>
              <w:jc w:val="center"/>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异议</w:t>
            </w:r>
          </w:p>
          <w:p>
            <w:pPr>
              <w:widowControl/>
              <w:adjustRightInd w:val="0"/>
              <w:spacing w:line="300" w:lineRule="exact"/>
              <w:ind w:left="-105" w:leftChars="-50" w:right="-105" w:rightChars="-50" w:firstLine="0" w:firstLineChars="0"/>
              <w:jc w:val="center"/>
              <w:rPr>
                <w:rFonts w:ascii="宋体" w:cs="宋体"/>
                <w:b/>
                <w:bCs/>
                <w:color w:val="000000"/>
                <w:kern w:val="0"/>
                <w:sz w:val="21"/>
                <w:szCs w:val="21"/>
                <w:highlight w:val="none"/>
              </w:rPr>
            </w:pPr>
            <w:r>
              <w:rPr>
                <w:rFonts w:hint="eastAsia" w:ascii="宋体" w:hAnsi="宋体" w:cs="宋体"/>
                <w:b/>
                <w:bCs/>
                <w:color w:val="000000"/>
                <w:kern w:val="0"/>
                <w:sz w:val="21"/>
                <w:szCs w:val="21"/>
                <w:highlight w:val="none"/>
              </w:rPr>
              <w:t>（投诉）</w:t>
            </w: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异议人（投诉人）在没有证据的情况下，仅凭主观臆断提出异议（投诉）。</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投标人对同一招标人或招标专业机构，</w:t>
            </w:r>
            <w:r>
              <w:rPr>
                <w:rFonts w:ascii="宋体" w:hAnsi="宋体" w:cs="宋体"/>
                <w:color w:val="000000"/>
                <w:kern w:val="0"/>
                <w:sz w:val="21"/>
                <w:szCs w:val="21"/>
                <w:highlight w:val="none"/>
              </w:rPr>
              <w:t>6</w:t>
            </w:r>
            <w:r>
              <w:rPr>
                <w:rFonts w:hint="eastAsia" w:ascii="宋体" w:hAnsi="宋体" w:cs="宋体"/>
                <w:color w:val="000000"/>
                <w:kern w:val="0"/>
                <w:sz w:val="21"/>
                <w:szCs w:val="21"/>
                <w:highlight w:val="none"/>
              </w:rPr>
              <w:t>个月内达到</w:t>
            </w:r>
            <w:r>
              <w:rPr>
                <w:rFonts w:ascii="宋体" w:hAnsi="宋体" w:cs="宋体"/>
                <w:color w:val="000000"/>
                <w:kern w:val="0"/>
                <w:sz w:val="21"/>
                <w:szCs w:val="21"/>
                <w:highlight w:val="none"/>
              </w:rPr>
              <w:t>2</w:t>
            </w:r>
            <w:r>
              <w:rPr>
                <w:rFonts w:hint="eastAsia" w:ascii="宋体" w:hAnsi="宋体" w:cs="宋体"/>
                <w:color w:val="000000"/>
                <w:kern w:val="0"/>
                <w:sz w:val="21"/>
                <w:szCs w:val="21"/>
                <w:highlight w:val="none"/>
              </w:rPr>
              <w:t>次及以上，或一年累计</w:t>
            </w:r>
            <w:r>
              <w:rPr>
                <w:rFonts w:ascii="宋体" w:hAnsi="宋体" w:cs="宋体"/>
                <w:color w:val="000000"/>
                <w:kern w:val="0"/>
                <w:sz w:val="21"/>
                <w:szCs w:val="21"/>
                <w:highlight w:val="none"/>
              </w:rPr>
              <w:t>3</w:t>
            </w:r>
            <w:r>
              <w:rPr>
                <w:rFonts w:hint="eastAsia" w:ascii="宋体" w:hAnsi="宋体" w:cs="宋体"/>
                <w:color w:val="000000"/>
                <w:kern w:val="0"/>
                <w:sz w:val="21"/>
                <w:szCs w:val="21"/>
                <w:highlight w:val="none"/>
              </w:rPr>
              <w:t>次及以上无效异议（投诉）的，包括对投标人失信行为信息的异议（投诉）。</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投标人不按法律法规、招标文件（资格预审文件）规定的时间、程序或其它要求提出异议（投诉），受理调查后，异议（投诉）不成立。</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异议（投诉）处理部门在调查有关情况时，投标人不配合调查处理。</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投标人对已查明的事实不接受，反复异议（投诉）。</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75" w:type="pct"/>
            <w:vMerge w:val="continue"/>
            <w:noWrap w:val="0"/>
            <w:vAlign w:val="center"/>
          </w:tcPr>
          <w:p>
            <w:pPr>
              <w:widowControl/>
              <w:adjustRightInd w:val="0"/>
              <w:spacing w:line="300" w:lineRule="exact"/>
              <w:ind w:firstLine="0" w:firstLineChars="0"/>
              <w:jc w:val="center"/>
              <w:rPr>
                <w:rFonts w:ascii="宋体" w:cs="宋体"/>
                <w:b/>
                <w:bCs/>
                <w:color w:val="000000"/>
                <w:kern w:val="0"/>
                <w:sz w:val="21"/>
                <w:szCs w:val="21"/>
                <w:highlight w:val="none"/>
              </w:rPr>
            </w:pPr>
          </w:p>
        </w:tc>
        <w:tc>
          <w:tcPr>
            <w:tcW w:w="4035" w:type="pct"/>
            <w:noWrap w:val="0"/>
            <w:vAlign w:val="center"/>
          </w:tcPr>
          <w:p>
            <w:pPr>
              <w:widowControl/>
              <w:adjustRightInd w:val="0"/>
              <w:spacing w:line="300" w:lineRule="exact"/>
              <w:ind w:firstLine="0" w:firstLineChars="0"/>
              <w:rPr>
                <w:rFonts w:ascii="宋体" w:cs="宋体"/>
                <w:color w:val="000000"/>
                <w:kern w:val="0"/>
                <w:sz w:val="21"/>
                <w:szCs w:val="21"/>
                <w:highlight w:val="none"/>
              </w:rPr>
            </w:pPr>
            <w:r>
              <w:rPr>
                <w:rFonts w:hint="eastAsia" w:ascii="宋体" w:hAnsi="宋体" w:cs="宋体"/>
                <w:color w:val="000000"/>
                <w:kern w:val="0"/>
                <w:sz w:val="21"/>
                <w:szCs w:val="21"/>
                <w:highlight w:val="none"/>
              </w:rPr>
              <w:t>投标人捏造事实、伪造材料或者以非法手段取得证明材料进行异议（投诉）；投标人假冒他人名义提出异议（投诉）。</w:t>
            </w:r>
          </w:p>
        </w:tc>
        <w:tc>
          <w:tcPr>
            <w:tcW w:w="489" w:type="pct"/>
            <w:noWrap w:val="0"/>
            <w:vAlign w:val="center"/>
          </w:tcPr>
          <w:p>
            <w:pPr>
              <w:widowControl/>
              <w:adjustRightInd w:val="0"/>
              <w:spacing w:line="300" w:lineRule="exact"/>
              <w:ind w:firstLine="0" w:firstLineChars="0"/>
              <w:jc w:val="center"/>
              <w:rPr>
                <w:rFonts w:ascii="宋体" w:cs="宋体"/>
                <w:color w:val="000000"/>
                <w:kern w:val="0"/>
                <w:sz w:val="21"/>
                <w:szCs w:val="21"/>
                <w:highlight w:val="none"/>
              </w:rPr>
            </w:pPr>
            <w:r>
              <w:rPr>
                <w:rFonts w:hint="eastAsia" w:ascii="宋体" w:hAnsi="宋体" w:cs="宋体"/>
                <w:color w:val="000000"/>
                <w:kern w:val="0"/>
                <w:sz w:val="21"/>
                <w:szCs w:val="21"/>
                <w:highlight w:val="none"/>
              </w:rPr>
              <w:t>严重</w:t>
            </w:r>
          </w:p>
        </w:tc>
      </w:tr>
    </w:tbl>
    <w:p>
      <w:pPr>
        <w:autoSpaceDE w:val="0"/>
        <w:autoSpaceDN w:val="0"/>
        <w:adjustRightInd w:val="0"/>
        <w:spacing w:line="360" w:lineRule="auto"/>
        <w:ind w:firstLine="422" w:firstLineChars="200"/>
        <w:jc w:val="left"/>
        <w:rPr>
          <w:rFonts w:hint="eastAsia" w:ascii="宋体" w:hAnsi="宋体" w:cs="TimesNewRomanPSMT"/>
          <w:b/>
          <w:kern w:val="0"/>
          <w:szCs w:val="21"/>
          <w:highlight w:val="none"/>
        </w:rPr>
      </w:pPr>
    </w:p>
    <w:p/>
    <w:p>
      <w:pPr>
        <w:sectPr>
          <w:pgSz w:w="11906" w:h="16838"/>
          <w:pgMar w:top="1440" w:right="1800" w:bottom="1440" w:left="1800" w:header="851" w:footer="992" w:gutter="0"/>
          <w:cols w:space="425" w:num="1"/>
          <w:docGrid w:type="lines" w:linePitch="312" w:charSpace="0"/>
        </w:sectPr>
      </w:pPr>
    </w:p>
    <w:p>
      <w:pPr>
        <w:spacing w:line="560" w:lineRule="exact"/>
        <w:jc w:val="left"/>
        <w:rPr>
          <w:rFonts w:ascii="仿宋_GB2312" w:hAnsi="宋体" w:eastAsia="仿宋_GB2312"/>
          <w:color w:val="000000"/>
          <w:sz w:val="32"/>
          <w:szCs w:val="32"/>
        </w:rPr>
      </w:pPr>
      <w:r>
        <w:rPr>
          <w:rFonts w:hint="eastAsia" w:ascii="仿宋_GB2312" w:hAnsi="宋体" w:eastAsia="仿宋_GB2312"/>
          <w:color w:val="000000"/>
          <w:sz w:val="32"/>
          <w:szCs w:val="32"/>
        </w:rPr>
        <w:t>附件3</w:t>
      </w:r>
    </w:p>
    <w:p>
      <w:pPr>
        <w:spacing w:line="560" w:lineRule="exact"/>
        <w:ind w:firstLine="880" w:firstLineChars="200"/>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投标人失信行为分类、等级划分与记分标准（不当异议）</w:t>
      </w:r>
    </w:p>
    <w:tbl>
      <w:tblPr>
        <w:tblStyle w:val="4"/>
        <w:tblW w:w="135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62"/>
        <w:gridCol w:w="1818"/>
        <w:gridCol w:w="62"/>
        <w:gridCol w:w="6945"/>
        <w:gridCol w:w="10"/>
        <w:gridCol w:w="1408"/>
        <w:gridCol w:w="8"/>
        <w:gridCol w:w="984"/>
        <w:gridCol w:w="30"/>
        <w:gridCol w:w="1057"/>
        <w:gridCol w:w="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31" w:type="dxa"/>
          <w:trHeight w:val="269" w:hRule="atLeast"/>
          <w:tblHeader/>
          <w:jc w:val="center"/>
        </w:trPr>
        <w:tc>
          <w:tcPr>
            <w:tcW w:w="1158" w:type="dxa"/>
            <w:gridSpan w:val="2"/>
            <w:vMerge w:val="restart"/>
            <w:tcBorders>
              <w:top w:val="single" w:color="auto" w:sz="8" w:space="0"/>
            </w:tcBorders>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类别</w:t>
            </w:r>
          </w:p>
        </w:tc>
        <w:tc>
          <w:tcPr>
            <w:tcW w:w="1818" w:type="dxa"/>
            <w:vMerge w:val="restart"/>
            <w:tcBorders>
              <w:top w:val="single" w:color="auto" w:sz="8" w:space="0"/>
            </w:tcBorders>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失信行为代码</w:t>
            </w:r>
          </w:p>
        </w:tc>
        <w:tc>
          <w:tcPr>
            <w:tcW w:w="7017" w:type="dxa"/>
            <w:gridSpan w:val="3"/>
            <w:vMerge w:val="restart"/>
            <w:tcBorders>
              <w:top w:val="single" w:color="auto" w:sz="8" w:space="0"/>
            </w:tcBorders>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失信行为描述</w:t>
            </w:r>
          </w:p>
        </w:tc>
        <w:tc>
          <w:tcPr>
            <w:tcW w:w="1416" w:type="dxa"/>
            <w:gridSpan w:val="2"/>
            <w:vMerge w:val="restart"/>
            <w:tcBorders>
              <w:top w:val="single" w:color="auto" w:sz="8" w:space="0"/>
            </w:tcBorders>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等级</w:t>
            </w:r>
          </w:p>
        </w:tc>
        <w:tc>
          <w:tcPr>
            <w:tcW w:w="2071" w:type="dxa"/>
            <w:gridSpan w:val="3"/>
            <w:tcBorders>
              <w:top w:val="single" w:color="auto" w:sz="8" w:space="0"/>
            </w:tcBorders>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失信记分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31" w:type="dxa"/>
          <w:trHeight w:val="283" w:hRule="atLeast"/>
          <w:tblHeader/>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4"/>
              </w:rPr>
            </w:pPr>
          </w:p>
        </w:tc>
        <w:tc>
          <w:tcPr>
            <w:tcW w:w="1818" w:type="dxa"/>
            <w:vMerge w:val="continue"/>
            <w:vAlign w:val="center"/>
          </w:tcPr>
          <w:p>
            <w:pPr>
              <w:widowControl/>
              <w:spacing w:line="240" w:lineRule="exact"/>
              <w:jc w:val="left"/>
              <w:rPr>
                <w:rFonts w:ascii="方正仿宋简体" w:eastAsia="方正仿宋简体" w:cs="宋体"/>
                <w:b/>
                <w:bCs/>
                <w:color w:val="000000"/>
                <w:kern w:val="0"/>
                <w:sz w:val="24"/>
              </w:rPr>
            </w:pPr>
          </w:p>
        </w:tc>
        <w:tc>
          <w:tcPr>
            <w:tcW w:w="7017" w:type="dxa"/>
            <w:gridSpan w:val="3"/>
            <w:vMerge w:val="continue"/>
            <w:vAlign w:val="center"/>
          </w:tcPr>
          <w:p>
            <w:pPr>
              <w:widowControl/>
              <w:spacing w:line="240" w:lineRule="exact"/>
              <w:jc w:val="left"/>
              <w:rPr>
                <w:rFonts w:ascii="方正仿宋简体" w:eastAsia="方正仿宋简体" w:cs="宋体"/>
                <w:b/>
                <w:bCs/>
                <w:color w:val="000000"/>
                <w:kern w:val="0"/>
                <w:sz w:val="24"/>
              </w:rPr>
            </w:pPr>
          </w:p>
        </w:tc>
        <w:tc>
          <w:tcPr>
            <w:tcW w:w="1416" w:type="dxa"/>
            <w:gridSpan w:val="2"/>
            <w:vMerge w:val="continue"/>
            <w:vAlign w:val="center"/>
          </w:tcPr>
          <w:p>
            <w:pPr>
              <w:widowControl/>
              <w:spacing w:line="240" w:lineRule="exact"/>
              <w:jc w:val="left"/>
              <w:rPr>
                <w:rFonts w:ascii="方正仿宋简体" w:eastAsia="方正仿宋简体" w:cs="宋体"/>
                <w:b/>
                <w:bCs/>
                <w:color w:val="000000"/>
                <w:kern w:val="0"/>
                <w:sz w:val="24"/>
              </w:rPr>
            </w:pPr>
          </w:p>
        </w:tc>
        <w:tc>
          <w:tcPr>
            <w:tcW w:w="1014" w:type="dxa"/>
            <w:gridSpan w:val="2"/>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基础分</w:t>
            </w:r>
          </w:p>
        </w:tc>
        <w:tc>
          <w:tcPr>
            <w:tcW w:w="1057" w:type="dxa"/>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加重分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31" w:type="dxa"/>
          <w:trHeight w:val="510" w:hRule="atLeast"/>
          <w:jc w:val="center"/>
        </w:trPr>
        <w:tc>
          <w:tcPr>
            <w:tcW w:w="1158" w:type="dxa"/>
            <w:gridSpan w:val="2"/>
            <w:vMerge w:val="restart"/>
            <w:vAlign w:val="center"/>
          </w:tcPr>
          <w:p>
            <w:pPr>
              <w:widowControl/>
              <w:spacing w:line="240" w:lineRule="exact"/>
              <w:jc w:val="center"/>
              <w:rPr>
                <w:rFonts w:ascii="方正仿宋简体" w:eastAsia="方正仿宋简体" w:cs="宋体"/>
                <w:b/>
                <w:bCs/>
                <w:color w:val="000000"/>
                <w:kern w:val="0"/>
                <w:sz w:val="22"/>
                <w:szCs w:val="22"/>
              </w:rPr>
            </w:pPr>
            <w:r>
              <w:rPr>
                <w:rFonts w:hint="eastAsia" w:ascii="方正仿宋简体" w:hAnsi="宋体" w:eastAsia="方正仿宋简体" w:cs="宋体"/>
                <w:b/>
                <w:bCs/>
                <w:color w:val="000000"/>
                <w:kern w:val="0"/>
                <w:sz w:val="22"/>
                <w:szCs w:val="22"/>
              </w:rPr>
              <w:t>不当异议</w:t>
            </w:r>
            <w:r>
              <w:rPr>
                <w:rFonts w:ascii="方正仿宋简体" w:hAnsi="宋体" w:eastAsia="方正仿宋简体" w:cs="宋体"/>
                <w:b/>
                <w:bCs/>
                <w:color w:val="000000"/>
                <w:kern w:val="0"/>
                <w:sz w:val="22"/>
                <w:szCs w:val="22"/>
              </w:rPr>
              <w:t>(</w:t>
            </w:r>
            <w:r>
              <w:rPr>
                <w:rFonts w:hint="eastAsia" w:ascii="方正仿宋简体" w:hAnsi="宋体" w:eastAsia="方正仿宋简体" w:cs="宋体"/>
                <w:b/>
                <w:bCs/>
                <w:color w:val="000000"/>
                <w:kern w:val="0"/>
                <w:sz w:val="22"/>
                <w:szCs w:val="22"/>
              </w:rPr>
              <w:t>投诉</w:t>
            </w:r>
            <w:r>
              <w:rPr>
                <w:rFonts w:ascii="方正仿宋简体" w:hAnsi="宋体" w:eastAsia="方正仿宋简体" w:cs="宋体"/>
                <w:b/>
                <w:bCs/>
                <w:color w:val="000000"/>
                <w:kern w:val="0"/>
                <w:sz w:val="22"/>
                <w:szCs w:val="22"/>
              </w:rPr>
              <w:t>)</w:t>
            </w: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SX-T-YT-01-D</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异议人（投诉人）在没有证据的情况下，仅凭主观臆断提出异议（投诉）。</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一般</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2</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SX-T-YT-02-C</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投标人对同一招标人或招标专业机构，</w:t>
            </w:r>
            <w:r>
              <w:rPr>
                <w:rFonts w:ascii="方正仿宋简体" w:hAnsi="宋体" w:eastAsia="方正仿宋简体" w:cs="宋体"/>
                <w:color w:val="000000"/>
                <w:kern w:val="0"/>
                <w:sz w:val="22"/>
                <w:szCs w:val="22"/>
              </w:rPr>
              <w:t>6</w:t>
            </w:r>
            <w:r>
              <w:rPr>
                <w:rFonts w:hint="eastAsia" w:ascii="方正仿宋简体" w:hAnsi="宋体" w:eastAsia="方正仿宋简体" w:cs="宋体"/>
                <w:color w:val="000000"/>
                <w:kern w:val="0"/>
                <w:sz w:val="22"/>
                <w:szCs w:val="22"/>
              </w:rPr>
              <w:t>个月内达到</w:t>
            </w:r>
            <w:r>
              <w:rPr>
                <w:rFonts w:ascii="方正仿宋简体" w:hAnsi="宋体" w:eastAsia="方正仿宋简体" w:cs="宋体"/>
                <w:color w:val="000000"/>
                <w:kern w:val="0"/>
                <w:sz w:val="22"/>
                <w:szCs w:val="22"/>
              </w:rPr>
              <w:t>2</w:t>
            </w:r>
            <w:r>
              <w:rPr>
                <w:rFonts w:hint="eastAsia" w:ascii="方正仿宋简体" w:hAnsi="宋体" w:eastAsia="方正仿宋简体" w:cs="宋体"/>
                <w:color w:val="000000"/>
                <w:kern w:val="0"/>
                <w:sz w:val="22"/>
                <w:szCs w:val="22"/>
              </w:rPr>
              <w:t>次及以上，或一年累计</w:t>
            </w:r>
            <w:r>
              <w:rPr>
                <w:rFonts w:ascii="方正仿宋简体" w:hAnsi="宋体" w:eastAsia="方正仿宋简体" w:cs="宋体"/>
                <w:color w:val="000000"/>
                <w:kern w:val="0"/>
                <w:sz w:val="22"/>
                <w:szCs w:val="22"/>
              </w:rPr>
              <w:t>3</w:t>
            </w:r>
            <w:r>
              <w:rPr>
                <w:rFonts w:hint="eastAsia" w:ascii="方正仿宋简体" w:hAnsi="宋体" w:eastAsia="方正仿宋简体" w:cs="宋体"/>
                <w:color w:val="000000"/>
                <w:kern w:val="0"/>
                <w:sz w:val="22"/>
                <w:szCs w:val="22"/>
              </w:rPr>
              <w:t>次及以上无效异议（投诉）的，包括对投标人失信行为信息的异议（投诉）。</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较重</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4</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SX-T-YT-03-C</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投标人不按法律法规、招标文件（资格预审文件）规定的时间、程序或其它要求提出异议（投诉），受理调查后，异议（投诉）不成立。</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较重</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4</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eastAsia="方正仿宋简体" w:cs="宋体"/>
                <w:color w:val="000000"/>
                <w:kern w:val="0"/>
                <w:sz w:val="22"/>
                <w:szCs w:val="22"/>
              </w:rPr>
              <w:t>0</w:t>
            </w:r>
            <w:r>
              <w:rPr>
                <w:rFonts w:hint="eastAsia" w:ascii="方正仿宋简体" w:hAnsi="宋体" w:eastAsia="方正仿宋简体" w:cs="宋体"/>
                <w:color w:val="000000"/>
                <w:kern w:val="0"/>
                <w:sz w:val="22"/>
                <w:szCs w:val="22"/>
              </w:rPr>
              <w:t>～</w:t>
            </w:r>
            <w:r>
              <w:rPr>
                <w:rFonts w:ascii="方正仿宋简体" w:hAnsi="宋体" w:eastAsia="方正仿宋简体" w:cs="宋体"/>
                <w:color w:val="000000"/>
                <w:kern w:val="0"/>
                <w:sz w:val="22"/>
                <w:szCs w:val="22"/>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SX-T-YT-04-C</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异议（投诉）处理部门在调查有关情况时，投标人不配合调查处理。</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较重</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4</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eastAsia="方正仿宋简体" w:cs="宋体"/>
                <w:color w:val="000000"/>
                <w:kern w:val="0"/>
                <w:sz w:val="22"/>
                <w:szCs w:val="22"/>
              </w:rPr>
              <w:t>0</w:t>
            </w:r>
            <w:r>
              <w:rPr>
                <w:rFonts w:hint="eastAsia" w:ascii="方正仿宋简体" w:hAnsi="宋体" w:eastAsia="方正仿宋简体" w:cs="宋体"/>
                <w:color w:val="000000"/>
                <w:kern w:val="0"/>
                <w:sz w:val="22"/>
                <w:szCs w:val="22"/>
              </w:rPr>
              <w:t>～</w:t>
            </w:r>
            <w:r>
              <w:rPr>
                <w:rFonts w:ascii="方正仿宋简体" w:hAnsi="宋体" w:eastAsia="方正仿宋简体" w:cs="宋体"/>
                <w:color w:val="000000"/>
                <w:kern w:val="0"/>
                <w:sz w:val="22"/>
                <w:szCs w:val="22"/>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SX-T-YT-05-C</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投标人对已查明的事实不接受，反复异议（投诉）。</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较重</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4</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eastAsia="方正仿宋简体" w:cs="宋体"/>
                <w:color w:val="000000"/>
                <w:kern w:val="0"/>
                <w:sz w:val="22"/>
                <w:szCs w:val="22"/>
              </w:rPr>
              <w:t>0</w:t>
            </w:r>
            <w:r>
              <w:rPr>
                <w:rFonts w:hint="eastAsia" w:ascii="方正仿宋简体" w:hAnsi="宋体" w:eastAsia="方正仿宋简体" w:cs="宋体"/>
                <w:color w:val="000000"/>
                <w:kern w:val="0"/>
                <w:sz w:val="22"/>
                <w:szCs w:val="22"/>
              </w:rPr>
              <w:t>～</w:t>
            </w:r>
            <w:r>
              <w:rPr>
                <w:rFonts w:ascii="方正仿宋简体" w:hAnsi="宋体" w:eastAsia="方正仿宋简体" w:cs="宋体"/>
                <w:color w:val="000000"/>
                <w:kern w:val="0"/>
                <w:sz w:val="22"/>
                <w:szCs w:val="22"/>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SX-T-YT-06-B</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投标人捏造事实、伪造材料或者以非法手段取得证明材料进行异议（投诉）；投标人假冒他人名义提出异议（投诉）。</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严重</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8</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eastAsia="方正仿宋简体" w:cs="宋体"/>
                <w:color w:val="000000"/>
                <w:kern w:val="0"/>
                <w:sz w:val="22"/>
                <w:szCs w:val="22"/>
              </w:rPr>
              <w:t>0</w:t>
            </w:r>
            <w:r>
              <w:rPr>
                <w:rFonts w:hint="eastAsia" w:ascii="方正仿宋简体" w:hAnsi="宋体" w:eastAsia="方正仿宋简体" w:cs="宋体"/>
                <w:color w:val="000000"/>
                <w:kern w:val="0"/>
                <w:sz w:val="22"/>
                <w:szCs w:val="22"/>
              </w:rPr>
              <w:t>～</w:t>
            </w:r>
            <w:r>
              <w:rPr>
                <w:rFonts w:ascii="方正仿宋简体" w:hAnsi="宋体" w:eastAsia="方正仿宋简体" w:cs="宋体"/>
                <w:color w:val="000000"/>
                <w:kern w:val="0"/>
                <w:sz w:val="22"/>
                <w:szCs w:val="22"/>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SX-T-YT-XX-X</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投标人发生的其它恶意异议（投诉）行为。</w:t>
            </w:r>
          </w:p>
        </w:tc>
        <w:tc>
          <w:tcPr>
            <w:tcW w:w="2430" w:type="dxa"/>
            <w:gridSpan w:val="4"/>
            <w:vAlign w:val="center"/>
          </w:tcPr>
          <w:p>
            <w:pPr>
              <w:widowControl/>
              <w:spacing w:line="240" w:lineRule="exact"/>
              <w:rPr>
                <w:rFonts w:ascii="方正仿宋简体" w:hAnsi="宋体" w:eastAsia="方正仿宋简体" w:cs="宋体"/>
                <w:color w:val="000000"/>
                <w:spacing w:val="-4"/>
                <w:kern w:val="0"/>
                <w:sz w:val="22"/>
                <w:szCs w:val="22"/>
              </w:rPr>
            </w:pPr>
            <w:r>
              <w:rPr>
                <w:rFonts w:hint="eastAsia" w:ascii="方正仿宋简体" w:hAnsi="宋体" w:eastAsia="方正仿宋简体" w:cs="宋体"/>
                <w:color w:val="000000"/>
                <w:spacing w:val="-4"/>
                <w:kern w:val="0"/>
                <w:sz w:val="22"/>
                <w:szCs w:val="22"/>
              </w:rPr>
              <w:t>根据具体性质和情节轻重确定等级并记基础分</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eastAsia="方正仿宋简体" w:cs="宋体"/>
                <w:color w:val="000000"/>
                <w:kern w:val="0"/>
                <w:sz w:val="22"/>
                <w:szCs w:val="22"/>
              </w:rPr>
              <w:t>0</w:t>
            </w:r>
            <w:r>
              <w:rPr>
                <w:rFonts w:hint="eastAsia" w:ascii="方正仿宋简体" w:hAnsi="宋体" w:eastAsia="方正仿宋简体" w:cs="宋体"/>
                <w:color w:val="000000"/>
                <w:kern w:val="0"/>
                <w:sz w:val="22"/>
                <w:szCs w:val="22"/>
              </w:rPr>
              <w:t>～</w:t>
            </w:r>
            <w:r>
              <w:rPr>
                <w:rFonts w:ascii="方正仿宋简体" w:hAnsi="宋体" w:eastAsia="方正仿宋简体" w:cs="宋体"/>
                <w:color w:val="000000"/>
                <w:kern w:val="0"/>
                <w:sz w:val="22"/>
                <w:szCs w:val="22"/>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511" w:type="dxa"/>
            <w:gridSpan w:val="12"/>
            <w:vAlign w:val="center"/>
          </w:tcPr>
          <w:p>
            <w:pPr>
              <w:widowControl/>
              <w:spacing w:line="240" w:lineRule="exact"/>
              <w:jc w:val="center"/>
              <w:rPr>
                <w:rFonts w:ascii="方正仿宋简体" w:eastAsia="方正仿宋简体" w:cs="宋体"/>
                <w:b/>
                <w:bCs/>
                <w:color w:val="000000"/>
                <w:kern w:val="0"/>
                <w:sz w:val="22"/>
                <w:szCs w:val="22"/>
              </w:rPr>
            </w:pPr>
            <w:r>
              <w:rPr>
                <w:rFonts w:hint="eastAsia" w:ascii="方正仿宋简体" w:hAnsi="宋体" w:eastAsia="方正仿宋简体" w:cs="宋体"/>
                <w:b/>
                <w:bCs/>
                <w:color w:val="000000"/>
                <w:kern w:val="0"/>
                <w:sz w:val="22"/>
                <w:szCs w:val="22"/>
              </w:rPr>
              <w:t>以上失信行为造成以下结果的，直接认定为特别严重失信行为，失信行为代码最后一位为</w:t>
            </w:r>
            <w:r>
              <w:rPr>
                <w:rFonts w:ascii="方正仿宋简体" w:hAnsi="宋体" w:eastAsia="方正仿宋简体" w:cs="宋体"/>
                <w:b/>
                <w:bCs/>
                <w:color w:val="000000"/>
                <w:kern w:val="0"/>
                <w:sz w:val="22"/>
                <w:szCs w:val="22"/>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vMerge w:val="restart"/>
            <w:vAlign w:val="center"/>
          </w:tcPr>
          <w:p>
            <w:pPr>
              <w:widowControl/>
              <w:spacing w:line="240" w:lineRule="exact"/>
              <w:jc w:val="center"/>
              <w:rPr>
                <w:rFonts w:ascii="方正仿宋简体" w:eastAsia="方正仿宋简体" w:cs="宋体"/>
                <w:b/>
                <w:bCs/>
                <w:color w:val="000000"/>
                <w:kern w:val="0"/>
                <w:sz w:val="24"/>
              </w:rPr>
            </w:pPr>
            <w:r>
              <w:rPr>
                <w:rFonts w:ascii="方正仿宋简体" w:hAnsi="宋体" w:eastAsia="方正仿宋简体" w:cs="宋体"/>
                <w:b/>
                <w:bCs/>
                <w:color w:val="000000"/>
                <w:kern w:val="0"/>
                <w:sz w:val="24"/>
              </w:rPr>
              <w:t>/</w:t>
            </w:r>
          </w:p>
        </w:tc>
        <w:tc>
          <w:tcPr>
            <w:tcW w:w="1942"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SX-T-TB-01-A</w:t>
            </w:r>
          </w:p>
        </w:tc>
        <w:tc>
          <w:tcPr>
            <w:tcW w:w="6945" w:type="dxa"/>
            <w:vAlign w:val="center"/>
          </w:tcPr>
          <w:p>
            <w:pPr>
              <w:widowControl/>
              <w:spacing w:line="240" w:lineRule="exact"/>
              <w:jc w:val="lef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给招标人造成</w:t>
            </w:r>
            <w:r>
              <w:rPr>
                <w:rFonts w:ascii="方正仿宋简体" w:hAnsi="宋体" w:eastAsia="方正仿宋简体" w:cs="宋体"/>
                <w:color w:val="000000"/>
                <w:kern w:val="0"/>
                <w:sz w:val="22"/>
                <w:szCs w:val="22"/>
              </w:rPr>
              <w:t>100</w:t>
            </w:r>
            <w:r>
              <w:rPr>
                <w:rFonts w:hint="eastAsia" w:ascii="方正仿宋简体" w:hAnsi="宋体" w:eastAsia="方正仿宋简体" w:cs="宋体"/>
                <w:color w:val="000000"/>
                <w:kern w:val="0"/>
                <w:sz w:val="22"/>
                <w:szCs w:val="22"/>
              </w:rPr>
              <w:t>万元及以上经济损失的。</w:t>
            </w:r>
          </w:p>
        </w:tc>
        <w:tc>
          <w:tcPr>
            <w:tcW w:w="1418"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特别严重</w:t>
            </w:r>
          </w:p>
        </w:tc>
        <w:tc>
          <w:tcPr>
            <w:tcW w:w="992"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10</w:t>
            </w:r>
          </w:p>
        </w:tc>
        <w:tc>
          <w:tcPr>
            <w:tcW w:w="1118"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vMerge w:val="continue"/>
            <w:vAlign w:val="center"/>
          </w:tcPr>
          <w:p>
            <w:pPr>
              <w:widowControl/>
              <w:spacing w:line="240" w:lineRule="exact"/>
              <w:jc w:val="left"/>
              <w:rPr>
                <w:rFonts w:ascii="方正仿宋简体" w:eastAsia="方正仿宋简体" w:cs="宋体"/>
                <w:b/>
                <w:bCs/>
                <w:color w:val="000000"/>
                <w:kern w:val="0"/>
                <w:sz w:val="24"/>
              </w:rPr>
            </w:pPr>
          </w:p>
        </w:tc>
        <w:tc>
          <w:tcPr>
            <w:tcW w:w="1942"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SX-T-TB-02-A</w:t>
            </w:r>
          </w:p>
        </w:tc>
        <w:tc>
          <w:tcPr>
            <w:tcW w:w="6945" w:type="dxa"/>
            <w:vAlign w:val="center"/>
          </w:tcPr>
          <w:p>
            <w:pPr>
              <w:widowControl/>
              <w:spacing w:line="240" w:lineRule="exact"/>
              <w:jc w:val="lef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导致招标项目延期，严重影响项目实施的。</w:t>
            </w:r>
          </w:p>
        </w:tc>
        <w:tc>
          <w:tcPr>
            <w:tcW w:w="1418"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特别严重</w:t>
            </w:r>
          </w:p>
        </w:tc>
        <w:tc>
          <w:tcPr>
            <w:tcW w:w="992"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10</w:t>
            </w:r>
          </w:p>
        </w:tc>
        <w:tc>
          <w:tcPr>
            <w:tcW w:w="1118"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vMerge w:val="continue"/>
            <w:vAlign w:val="center"/>
          </w:tcPr>
          <w:p>
            <w:pPr>
              <w:widowControl/>
              <w:spacing w:line="240" w:lineRule="exact"/>
              <w:jc w:val="left"/>
              <w:rPr>
                <w:rFonts w:ascii="方正仿宋简体" w:eastAsia="方正仿宋简体" w:cs="宋体"/>
                <w:b/>
                <w:bCs/>
                <w:color w:val="000000"/>
                <w:kern w:val="0"/>
                <w:sz w:val="24"/>
              </w:rPr>
            </w:pPr>
          </w:p>
        </w:tc>
        <w:tc>
          <w:tcPr>
            <w:tcW w:w="1942"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SX-T-TB-03-A</w:t>
            </w:r>
          </w:p>
        </w:tc>
        <w:tc>
          <w:tcPr>
            <w:tcW w:w="6945" w:type="dxa"/>
            <w:vAlign w:val="center"/>
          </w:tcPr>
          <w:p>
            <w:pPr>
              <w:widowControl/>
              <w:spacing w:line="240" w:lineRule="exact"/>
              <w:jc w:val="lef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给招标人信誉、形象等造成重大负面影响的。</w:t>
            </w:r>
          </w:p>
        </w:tc>
        <w:tc>
          <w:tcPr>
            <w:tcW w:w="1418"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特别严重</w:t>
            </w:r>
          </w:p>
        </w:tc>
        <w:tc>
          <w:tcPr>
            <w:tcW w:w="992"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10</w:t>
            </w:r>
          </w:p>
        </w:tc>
        <w:tc>
          <w:tcPr>
            <w:tcW w:w="1118"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vMerge w:val="continue"/>
            <w:tcBorders>
              <w:bottom w:val="single" w:color="auto" w:sz="8" w:space="0"/>
            </w:tcBorders>
            <w:vAlign w:val="center"/>
          </w:tcPr>
          <w:p>
            <w:pPr>
              <w:widowControl/>
              <w:spacing w:line="240" w:lineRule="exact"/>
              <w:jc w:val="left"/>
              <w:rPr>
                <w:rFonts w:ascii="方正仿宋简体" w:eastAsia="方正仿宋简体" w:cs="宋体"/>
                <w:b/>
                <w:bCs/>
                <w:color w:val="000000"/>
                <w:kern w:val="0"/>
                <w:sz w:val="24"/>
              </w:rPr>
            </w:pPr>
          </w:p>
        </w:tc>
        <w:tc>
          <w:tcPr>
            <w:tcW w:w="1942" w:type="dxa"/>
            <w:gridSpan w:val="3"/>
            <w:tcBorders>
              <w:bottom w:val="single" w:color="auto" w:sz="8" w:space="0"/>
            </w:tcBorders>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SX-T-TB-XX-A</w:t>
            </w:r>
          </w:p>
        </w:tc>
        <w:tc>
          <w:tcPr>
            <w:tcW w:w="6945" w:type="dxa"/>
            <w:tcBorders>
              <w:bottom w:val="single" w:color="auto" w:sz="8" w:space="0"/>
            </w:tcBorders>
            <w:vAlign w:val="center"/>
          </w:tcPr>
          <w:p>
            <w:pPr>
              <w:widowControl/>
              <w:spacing w:line="240" w:lineRule="exact"/>
              <w:jc w:val="lef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造成其它特别严重后果的。</w:t>
            </w:r>
          </w:p>
        </w:tc>
        <w:tc>
          <w:tcPr>
            <w:tcW w:w="1418" w:type="dxa"/>
            <w:gridSpan w:val="2"/>
            <w:tcBorders>
              <w:bottom w:val="single" w:color="auto" w:sz="8" w:space="0"/>
            </w:tcBorders>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特别严重</w:t>
            </w:r>
          </w:p>
        </w:tc>
        <w:tc>
          <w:tcPr>
            <w:tcW w:w="992" w:type="dxa"/>
            <w:gridSpan w:val="2"/>
            <w:tcBorders>
              <w:bottom w:val="single" w:color="auto" w:sz="8" w:space="0"/>
            </w:tcBorders>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10</w:t>
            </w:r>
          </w:p>
        </w:tc>
        <w:tc>
          <w:tcPr>
            <w:tcW w:w="1118" w:type="dxa"/>
            <w:gridSpan w:val="3"/>
            <w:tcBorders>
              <w:bottom w:val="single" w:color="auto" w:sz="8" w:space="0"/>
            </w:tcBorders>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bl>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注：</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1、投标人失信行为单次量化记分包括基础分和加重分两部分。基础分为失信行为等级对应的固定分值，从轻到重分别为2分、4分、8分、10分；加重分是在基础分上视失信行为造成后果的严重程度增加的分值，分值区间0～2分（以0.5的倍数记分）。基础分和加重分之和为该次失信行为的失信记分，有效期三年。</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2、同一投标人记分有效期内的所有失信记分累加，为该投标人的失信分。同一次失信行为涉及多个投标人的，应对涉及的多个投标人分别记分。同一投标人在同一项目招投标过程中，发生的不同失信行为分别记分，不同标段（包）的失信行为分别记分。同一投标人在失信行为记分有效期内再次出现同一种失信行为，基础分应双倍记分。</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3、失信分达到</w:t>
      </w:r>
      <w:r>
        <w:rPr>
          <w:rFonts w:ascii="方正仿宋简体" w:eastAsia="方正仿宋简体"/>
          <w:color w:val="000000"/>
          <w:sz w:val="32"/>
          <w:szCs w:val="32"/>
        </w:rPr>
        <w:t>8</w:t>
      </w:r>
      <w:r>
        <w:rPr>
          <w:rFonts w:hint="eastAsia" w:ascii="方正仿宋简体" w:eastAsia="方正仿宋简体"/>
          <w:color w:val="000000"/>
          <w:sz w:val="32"/>
          <w:szCs w:val="32"/>
        </w:rPr>
        <w:t>分时，暂停投标人的投标资格半年；失信分达到</w:t>
      </w:r>
      <w:r>
        <w:rPr>
          <w:rFonts w:ascii="方正仿宋简体" w:eastAsia="方正仿宋简体"/>
          <w:color w:val="000000"/>
          <w:sz w:val="32"/>
          <w:szCs w:val="32"/>
        </w:rPr>
        <w:t>9</w:t>
      </w:r>
      <w:r>
        <w:rPr>
          <w:rFonts w:hint="eastAsia" w:ascii="方正仿宋简体" w:eastAsia="方正仿宋简体"/>
          <w:color w:val="000000"/>
          <w:sz w:val="32"/>
          <w:szCs w:val="32"/>
        </w:rPr>
        <w:t>分时，暂停投标人的投标资格一年；失信分达到</w:t>
      </w:r>
      <w:r>
        <w:rPr>
          <w:rFonts w:ascii="方正仿宋简体" w:eastAsia="方正仿宋简体"/>
          <w:color w:val="000000"/>
          <w:sz w:val="32"/>
          <w:szCs w:val="32"/>
        </w:rPr>
        <w:t>10</w:t>
      </w:r>
      <w:r>
        <w:rPr>
          <w:rFonts w:hint="eastAsia" w:ascii="方正仿宋简体" w:eastAsia="方正仿宋简体"/>
          <w:color w:val="000000"/>
          <w:sz w:val="32"/>
          <w:szCs w:val="32"/>
        </w:rPr>
        <w:t>分暂停投标人的投标资格两年。暂停期满后恢复投标资格，有效期内的失信分继续加价或扣分。</w:t>
      </w:r>
    </w:p>
    <w:p>
      <w:pPr>
        <w:spacing w:line="560" w:lineRule="exact"/>
        <w:jc w:val="left"/>
      </w:pPr>
      <w:r>
        <w:rPr>
          <w:rFonts w:hint="eastAsia" w:ascii="方正仿宋简体" w:eastAsia="方正仿宋简体"/>
          <w:color w:val="000000"/>
          <w:sz w:val="32"/>
          <w:szCs w:val="32"/>
        </w:rPr>
        <w:t>4、失信分</w:t>
      </w:r>
      <w:r>
        <w:rPr>
          <w:rFonts w:ascii="方正仿宋简体" w:eastAsia="方正仿宋简体"/>
          <w:color w:val="000000"/>
          <w:sz w:val="32"/>
          <w:szCs w:val="32"/>
        </w:rPr>
        <w:t>10.5</w:t>
      </w:r>
      <w:r>
        <w:rPr>
          <w:rFonts w:hint="eastAsia" w:ascii="方正仿宋简体" w:eastAsia="方正仿宋简体"/>
          <w:color w:val="000000"/>
          <w:sz w:val="32"/>
          <w:szCs w:val="32"/>
        </w:rPr>
        <w:t>分及以上，或在暂停期间再次发生失信行为的，取消股份公司范围内的投标资格三年。期满重新获得投标人资格的，失信分不清零，有效期顺延三年。</w:t>
      </w: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00000000000000000"/>
    <w:charset w:val="86"/>
    <w:family w:val="auto"/>
    <w:pitch w:val="default"/>
    <w:sig w:usb0="A00002BF" w:usb1="184F6CFA" w:usb2="00000012"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TimesNewRomanPSMT">
    <w:altName w:val="宋体"/>
    <w:panose1 w:val="00000000000000000000"/>
    <w:charset w:val="00"/>
    <w:family w:val="roman"/>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EA16C5"/>
    <w:rsid w:val="15EE3421"/>
    <w:rsid w:val="2E4E6736"/>
    <w:rsid w:val="4DEA16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5</TotalTime>
  <ScaleCrop>false</ScaleCrop>
  <LinksUpToDate>false</LinksUpToDate>
  <CharactersWithSpaces>0</CharactersWithSpaces>
  <Application>WPS Office_11.8.2.12287_F1E327BC-269C-435d-A152-05C5408002CA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2021-09-09T07:22:00Z</dcterms:created>
  <dc:creator>Administrator</dc:creator>
  <cp:lastModifiedBy>lyl</cp:lastModifiedBy>
  <dcterms:modified xsi:type="dcterms:W3CDTF">2025-04-29T00:58:15Z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2052-11.8.2.12287</vt:lpwstr>
  </property>
  <property fmtid="{D5CDD505-2E9C-101B-9397-08002B2CF9AE}" pid="3" name="ICV">
    <vt:lpwstr>F10929B0310A458D8A89D50BAEBE3C9C</vt:lpwstr>
  </property>
</Properties>
</file>