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环境配置（建议win7及以上系统）</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IE设置：</w:t>
      </w:r>
      <w:r>
        <w:rPr>
          <w:rFonts w:hint="eastAsia" w:asciiTheme="minorEastAsia" w:hAnsiTheme="minorEastAsia"/>
          <w:sz w:val="24"/>
          <w:szCs w:val="24"/>
        </w:rPr>
        <w:t>为确保系统操作及显示的稳定性，请投标人务必应用IE浏览器，推荐使用IE10标准模式。</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IE添加可信任站点：</w:t>
      </w:r>
      <w:r>
        <w:rPr>
          <w:rFonts w:hint="eastAsia" w:cs="Times New Roman" w:asciiTheme="minorEastAsia" w:hAnsiTheme="minorEastAsia"/>
          <w:sz w:val="24"/>
          <w:szCs w:val="24"/>
        </w:rPr>
        <w:t>在IE属性【安全】页，选择可信站点，点击【站点】，取消勾选【对该区域中的所有站点要求服务器验证(https:)】,添加：</w:t>
      </w:r>
      <w:r>
        <w:fldChar w:fldCharType="begin"/>
      </w:r>
      <w:r>
        <w:instrText xml:space="preserve"> HYPERLINK "http://bidmanage.cnpcbidding.cnpc" </w:instrText>
      </w:r>
      <w:r>
        <w:fldChar w:fldCharType="separate"/>
      </w:r>
      <w:r>
        <w:rPr>
          <w:rStyle w:val="11"/>
          <w:rFonts w:cs="Times New Roman" w:asciiTheme="minorEastAsia" w:hAnsiTheme="minorEastAsia"/>
          <w:sz w:val="24"/>
          <w:szCs w:val="24"/>
        </w:rPr>
        <w:t>http://bidmanage.cnpcbidding.cnpc</w:t>
      </w:r>
      <w:r>
        <w:rPr>
          <w:rStyle w:val="11"/>
          <w:rFonts w:cs="Times New Roman" w:asciiTheme="minorEastAsia" w:hAnsiTheme="minorEastAsia"/>
          <w:sz w:val="24"/>
          <w:szCs w:val="24"/>
        </w:rPr>
        <w:fldChar w:fldCharType="end"/>
      </w:r>
      <w:r>
        <w:rPr>
          <w:rFonts w:hint="eastAsia" w:cs="Times New Roman" w:asciiTheme="minorEastAsia" w:hAnsiTheme="minorEastAsia"/>
          <w:sz w:val="24"/>
          <w:szCs w:val="24"/>
        </w:rPr>
        <w:t xml:space="preserve">; </w:t>
      </w:r>
    </w:p>
    <w:p>
      <w:pPr>
        <w:pStyle w:val="19"/>
        <w:spacing w:line="360" w:lineRule="auto"/>
        <w:ind w:left="895" w:firstLine="0" w:firstLineChars="0"/>
        <w:jc w:val="left"/>
        <w:rPr>
          <w:rFonts w:cs="Times New Roman" w:asciiTheme="minorEastAsia" w:hAnsiTheme="minorEastAsia"/>
          <w:sz w:val="24"/>
          <w:szCs w:val="24"/>
        </w:rPr>
      </w:pPr>
      <w:r>
        <w:rPr>
          <w:rFonts w:cs="Times New Roman" w:asciiTheme="minorEastAsia" w:hAnsiTheme="minorEastAsia"/>
          <w:sz w:val="24"/>
          <w:szCs w:val="24"/>
        </w:rPr>
        <w:t>http://ebidmanage.cnpcbidding.com</w:t>
      </w:r>
      <w:r>
        <w:rPr>
          <w:rFonts w:hint="eastAsia" w:cs="Times New Roman" w:asciiTheme="minorEastAsia" w:hAnsiTheme="minorEastAsia"/>
          <w:sz w:val="24"/>
          <w:szCs w:val="24"/>
        </w:rPr>
        <w:t>为可信任站点。</w:t>
      </w:r>
    </w:p>
    <w:p>
      <w:pPr>
        <w:pStyle w:val="19"/>
        <w:numPr>
          <w:ilvl w:val="0"/>
          <w:numId w:val="1"/>
        </w:numPr>
        <w:spacing w:line="360" w:lineRule="auto"/>
        <w:ind w:firstLineChars="0"/>
        <w:jc w:val="left"/>
        <w:rPr>
          <w:rFonts w:cs="Times New Roman" w:asciiTheme="minorEastAsia" w:hAnsiTheme="minorEastAsia"/>
          <w:sz w:val="24"/>
          <w:szCs w:val="24"/>
        </w:rPr>
      </w:pPr>
      <w:r>
        <w:rPr>
          <w:rFonts w:cs="Times New Roman" w:asciiTheme="minorEastAsia" w:hAnsiTheme="minorEastAsia"/>
          <w:b/>
          <w:sz w:val="24"/>
          <w:szCs w:val="24"/>
        </w:rPr>
        <w:t>I</w:t>
      </w:r>
      <w:r>
        <w:rPr>
          <w:rFonts w:hint="eastAsia" w:cs="Times New Roman" w:asciiTheme="minorEastAsia" w:hAnsiTheme="minorEastAsia"/>
          <w:b/>
          <w:sz w:val="24"/>
          <w:szCs w:val="24"/>
        </w:rPr>
        <w:t>E安全设置：</w:t>
      </w:r>
      <w:r>
        <w:rPr>
          <w:rFonts w:hint="eastAsia" w:cs="Times New Roman" w:asciiTheme="minorEastAsia" w:hAnsiTheme="minorEastAsia"/>
          <w:sz w:val="24"/>
          <w:szCs w:val="24"/>
        </w:rPr>
        <w:t>在IE属性【安全】页，选择Internet，点击【自定义级别】按钮，在对标记为可安全执行脚本的ActiveX控件执行脚本，选择启用。</w:t>
      </w:r>
    </w:p>
    <w:p>
      <w:pPr>
        <w:pStyle w:val="19"/>
        <w:numPr>
          <w:ilvl w:val="0"/>
          <w:numId w:val="1"/>
        </w:numPr>
        <w:spacing w:line="360" w:lineRule="auto"/>
        <w:ind w:firstLineChars="0"/>
        <w:jc w:val="left"/>
        <w:rPr>
          <w:rFonts w:cs="Times New Roman" w:asciiTheme="minorEastAsia" w:hAnsiTheme="minorEastAsia"/>
          <w:sz w:val="24"/>
          <w:szCs w:val="24"/>
        </w:rPr>
      </w:pPr>
      <w:r>
        <w:rPr>
          <w:rFonts w:cs="Times New Roman" w:asciiTheme="minorEastAsia" w:hAnsiTheme="minorEastAsia"/>
          <w:b/>
          <w:sz w:val="24"/>
          <w:szCs w:val="24"/>
        </w:rPr>
        <w:t>I</w:t>
      </w:r>
      <w:r>
        <w:rPr>
          <w:rFonts w:hint="eastAsia" w:cs="Times New Roman" w:asciiTheme="minorEastAsia" w:hAnsiTheme="minorEastAsia"/>
          <w:b/>
          <w:sz w:val="24"/>
          <w:szCs w:val="24"/>
        </w:rPr>
        <w:t>E弹窗设置：</w:t>
      </w:r>
      <w:r>
        <w:rPr>
          <w:rFonts w:hint="eastAsia" w:cs="Times New Roman" w:asciiTheme="minorEastAsia" w:hAnsiTheme="minorEastAsia"/>
          <w:sz w:val="24"/>
          <w:szCs w:val="24"/>
        </w:rPr>
        <w:t>在IE选项属性【隐私】页，</w:t>
      </w:r>
      <w:r>
        <w:rPr>
          <w:rFonts w:hint="eastAsia" w:cs="Times New Roman" w:asciiTheme="minorEastAsia" w:hAnsiTheme="minorEastAsia"/>
          <w:color w:val="FF0000"/>
          <w:sz w:val="24"/>
          <w:szCs w:val="24"/>
        </w:rPr>
        <w:t>取消勾选</w:t>
      </w:r>
      <w:r>
        <w:rPr>
          <w:rFonts w:hint="eastAsia" w:cs="Times New Roman" w:asciiTheme="minorEastAsia" w:hAnsiTheme="minorEastAsia"/>
          <w:sz w:val="24"/>
          <w:szCs w:val="24"/>
        </w:rPr>
        <w:t>【启用弹出窗口阻止程序】</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所需安装工具及控件：</w:t>
      </w:r>
      <w:r>
        <w:rPr>
          <w:rFonts w:hint="eastAsia" w:cs="Times New Roman" w:asciiTheme="minorEastAsia" w:hAnsiTheme="minorEastAsia"/>
          <w:sz w:val="24"/>
          <w:szCs w:val="24"/>
        </w:rPr>
        <w:t>PDF电子签章控件、加解密及签名控件、投标客户端配置驱动、昆仑银行控件。可在平台首页【工具中心】中进行下载。</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投标人用户手册：</w:t>
      </w:r>
      <w:r>
        <w:rPr>
          <w:rFonts w:hint="eastAsia" w:cs="Times New Roman" w:asciiTheme="minorEastAsia" w:hAnsiTheme="minorEastAsia"/>
          <w:sz w:val="24"/>
          <w:szCs w:val="24"/>
        </w:rPr>
        <w:t>可在平台首页【工具中心】中进行下载。</w:t>
      </w:r>
    </w:p>
    <w:p>
      <w:pPr>
        <w:pStyle w:val="3"/>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投标报名</w:t>
      </w:r>
    </w:p>
    <w:p>
      <w:pPr>
        <w:spacing w:before="120" w:after="120"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在投标人主页的可报名项目中，搜索项目的关键字，并且可以点击报名，进入项目报名的详情。</w:t>
      </w:r>
    </w:p>
    <w:p>
      <w:pPr>
        <w:spacing w:before="120" w:after="120" w:line="360" w:lineRule="auto"/>
        <w:ind w:firstLine="199" w:firstLineChars="83"/>
        <w:jc w:val="center"/>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486400" cy="2778760"/>
            <wp:effectExtent l="0" t="0" r="0" b="254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
                    <a:stretch>
                      <a:fillRect/>
                    </a:stretch>
                  </pic:blipFill>
                  <pic:spPr>
                    <a:xfrm>
                      <a:off x="0" y="0"/>
                      <a:ext cx="5486400" cy="2778760"/>
                    </a:xfrm>
                    <a:prstGeom prst="rect">
                      <a:avLst/>
                    </a:prstGeom>
                  </pic:spPr>
                </pic:pic>
              </a:graphicData>
            </a:graphic>
          </wp:inline>
        </w:drawing>
      </w:r>
    </w:p>
    <w:p>
      <w:pPr>
        <w:spacing w:before="120" w:after="120" w:line="360" w:lineRule="auto"/>
        <w:ind w:firstLine="199" w:firstLineChars="83"/>
        <w:jc w:val="center"/>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74310" cy="2812415"/>
            <wp:effectExtent l="0" t="0" r="2540" b="698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5"/>
                    <a:stretch>
                      <a:fillRect/>
                    </a:stretch>
                  </pic:blipFill>
                  <pic:spPr>
                    <a:xfrm>
                      <a:off x="0" y="0"/>
                      <a:ext cx="5274310" cy="2812415"/>
                    </a:xfrm>
                    <a:prstGeom prst="rect">
                      <a:avLst/>
                    </a:prstGeom>
                  </pic:spPr>
                </pic:pic>
              </a:graphicData>
            </a:graphic>
          </wp:inline>
        </w:drawing>
      </w:r>
    </w:p>
    <w:p>
      <w:pPr>
        <w:spacing w:before="120" w:after="120" w:line="360" w:lineRule="auto"/>
        <w:ind w:firstLine="480" w:firstLineChars="200"/>
        <w:jc w:val="left"/>
        <w:rPr>
          <w:rFonts w:asciiTheme="minorEastAsia" w:hAnsiTheme="minorEastAsia" w:eastAsiaTheme="minorEastAsia"/>
          <w:color w:val="FF0000"/>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若拟投项目有多个标段/包，请确保您所投的标段/包状态均为“已报名”。</w:t>
      </w:r>
    </w:p>
    <w:p>
      <w:pPr>
        <w:pStyle w:val="2"/>
        <w:spacing w:line="360" w:lineRule="auto"/>
        <w:rPr>
          <w:rFonts w:asciiTheme="minorEastAsia" w:hAnsiTheme="minorEastAsia" w:eastAsiaTheme="minorEastAsia"/>
          <w:sz w:val="24"/>
        </w:rPr>
      </w:pPr>
      <w:r>
        <w:rPr>
          <w:rFonts w:hint="eastAsia" w:asciiTheme="minorEastAsia" w:hAnsiTheme="minorEastAsia" w:eastAsiaTheme="minorEastAsia"/>
          <w:sz w:val="24"/>
        </w:rPr>
        <w:t>购买招标文件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招标文件的发售只接受系统付款，不接受系统外付款。系统支付前请先</w:t>
      </w:r>
      <w:r>
        <w:rPr>
          <w:rFonts w:hint="eastAsia" w:asciiTheme="minorEastAsia" w:hAnsiTheme="minorEastAsia" w:eastAsiaTheme="minorEastAsia"/>
          <w:color w:val="FF0000"/>
          <w:sz w:val="24"/>
        </w:rPr>
        <w:t>配置电脑环境</w:t>
      </w:r>
      <w:r>
        <w:rPr>
          <w:rFonts w:hint="eastAsia" w:asciiTheme="minorEastAsia" w:hAnsiTheme="minorEastAsia" w:eastAsiaTheme="minorEastAsia"/>
          <w:sz w:val="24"/>
        </w:rPr>
        <w:t>。请在右上角工具中心下载昆仑银行支付控件并安装。建议使用个人网银支付，企业账户付款由于银行结算制度问题可能导致无法及时刷新订单状态而影响购买招标文件。如浏览器没有弹出支付的页面请先检查支付控件是否已正常安装，安装后可重启浏览器再次尝试，若仍无法支付可更换浏览器，如更换浏览器也无法支付，请更换电脑再试一次，如有支付问题请联系技术服务:4008800114（语音提示转接 - 电子招标投标平台）</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请务必在招标文件发售截止时间前确认支付状态。</w:t>
      </w:r>
      <w:r>
        <w:rPr>
          <w:rFonts w:hint="eastAsia" w:asciiTheme="minorEastAsia" w:hAnsiTheme="minorEastAsia" w:eastAsiaTheme="minorEastAsia"/>
          <w:sz w:val="24"/>
        </w:rPr>
        <w:t>若付款后刷新状态后仍显示未支付，请点击获取订单状态按钮并等待片刻后刷新。</w:t>
      </w:r>
    </w:p>
    <w:p>
      <w:pPr>
        <w:spacing w:line="360" w:lineRule="auto"/>
        <w:ind w:firstLine="420" w:firstLineChars="200"/>
        <w:rPr>
          <w:rFonts w:asciiTheme="minorEastAsia" w:hAnsiTheme="minorEastAsia" w:eastAsiaTheme="minorEastAsia"/>
          <w:sz w:val="24"/>
        </w:rPr>
      </w:pPr>
      <w:r>
        <w:drawing>
          <wp:inline distT="0" distB="0" distL="0" distR="0">
            <wp:extent cx="5274310" cy="2036445"/>
            <wp:effectExtent l="0" t="0" r="254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
                    <a:stretch>
                      <a:fillRect/>
                    </a:stretch>
                  </pic:blipFill>
                  <pic:spPr>
                    <a:xfrm>
                      <a:off x="0" y="0"/>
                      <a:ext cx="5274310" cy="2036445"/>
                    </a:xfrm>
                    <a:prstGeom prst="rect">
                      <a:avLst/>
                    </a:prstGeom>
                  </pic:spPr>
                </pic:pic>
              </a:graphicData>
            </a:graphic>
          </wp:inline>
        </w:drawing>
      </w:r>
    </w:p>
    <w:p>
      <w:pPr>
        <w:spacing w:line="360" w:lineRule="auto"/>
        <w:ind w:firstLine="480" w:firstLineChars="200"/>
        <w:rPr>
          <w:rFonts w:asciiTheme="minorEastAsia" w:hAnsiTheme="minorEastAsia" w:eastAsiaTheme="minorEastAsia"/>
          <w:color w:val="FF0000"/>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如付款后支付状态为未支付，请在购买标书页面多次点击支付状态刷新和获取订单状态两个按钮，并等待一段时间，确保银行信息能传递至电子招投标交易系统。</w:t>
      </w:r>
    </w:p>
    <w:p>
      <w:pPr>
        <w:spacing w:line="360" w:lineRule="auto"/>
        <w:ind w:firstLine="480" w:firstLineChars="200"/>
        <w:rPr>
          <w:rFonts w:asciiTheme="minorEastAsia" w:hAnsiTheme="minorEastAsia" w:eastAsiaTheme="minorEastAsia"/>
          <w:color w:val="FF0000"/>
          <w:sz w:val="24"/>
        </w:rPr>
      </w:pPr>
      <w:r>
        <w:rPr>
          <w:rFonts w:hint="eastAsia" w:asciiTheme="minorEastAsia" w:hAnsiTheme="minorEastAsia" w:eastAsiaTheme="minorEastAsia"/>
          <w:color w:val="FF0000"/>
          <w:sz w:val="24"/>
        </w:rPr>
        <w:t>如已付款，则不要点击撤销订单按钮，否则会导致购买标书失败，需要重新支付。</w:t>
      </w:r>
    </w:p>
    <w:p>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若状态依然未改变，为确保项目购买成功，</w:t>
      </w:r>
      <w:r>
        <w:rPr>
          <w:rFonts w:hint="eastAsia" w:asciiTheme="minorEastAsia" w:hAnsiTheme="minorEastAsia" w:eastAsiaTheme="minorEastAsia"/>
          <w:color w:val="FF0000"/>
          <w:sz w:val="24"/>
        </w:rPr>
        <w:t>请您再次购买，直至状态更改为已付款</w:t>
      </w:r>
      <w:r>
        <w:rPr>
          <w:rFonts w:hint="eastAsia" w:asciiTheme="minorEastAsia" w:hAnsiTheme="minorEastAsia" w:eastAsiaTheme="minorEastAsia"/>
          <w:sz w:val="24"/>
        </w:rPr>
        <w:t>。售卖期结束后状态为未支付的，视为未购买对应的标段/包。</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lang w:eastAsia="zh-CN"/>
        </w:rPr>
        <w:t>如重复汇款，</w:t>
      </w:r>
      <w:r>
        <w:rPr>
          <w:rFonts w:hint="eastAsia" w:asciiTheme="minorEastAsia" w:hAnsiTheme="minorEastAsia" w:eastAsiaTheme="minorEastAsia"/>
          <w:sz w:val="24"/>
        </w:rPr>
        <w:t>多付款项请</w:t>
      </w:r>
      <w:r>
        <w:rPr>
          <w:rFonts w:asciiTheme="minorEastAsia" w:hAnsiTheme="minorEastAsia" w:eastAsiaTheme="minorEastAsia"/>
          <w:sz w:val="24"/>
        </w:rPr>
        <w:t>在</w:t>
      </w:r>
      <w:r>
        <w:rPr>
          <w:rFonts w:hint="eastAsia" w:asciiTheme="minorEastAsia" w:hAnsiTheme="minorEastAsia" w:eastAsiaTheme="minorEastAsia"/>
          <w:sz w:val="24"/>
        </w:rPr>
        <w:t>开标后主动</w:t>
      </w:r>
      <w:r>
        <w:rPr>
          <w:rFonts w:asciiTheme="minorEastAsia" w:hAnsiTheme="minorEastAsia" w:eastAsiaTheme="minorEastAsia"/>
          <w:sz w:val="24"/>
        </w:rPr>
        <w:t>联系</w:t>
      </w:r>
      <w:r>
        <w:rPr>
          <w:rFonts w:hint="eastAsia" w:asciiTheme="minorEastAsia" w:hAnsiTheme="minorEastAsia" w:eastAsiaTheme="minorEastAsia"/>
          <w:sz w:val="24"/>
        </w:rPr>
        <w:t>招标中心，招标中心会在开标后核实并退回至您的系统。联系人电话：</w:t>
      </w:r>
      <w:r>
        <w:rPr>
          <w:rFonts w:hint="eastAsia" w:asciiTheme="minorEastAsia" w:hAnsiTheme="minorEastAsia" w:eastAsiaTheme="minorEastAsia"/>
          <w:sz w:val="24"/>
          <w:lang w:val="en-US" w:eastAsia="zh-CN"/>
        </w:rPr>
        <w:t>0316-2175714</w:t>
      </w:r>
      <w:r>
        <w:rPr>
          <w:rFonts w:hint="eastAsia" w:asciiTheme="minorEastAsia" w:hAnsiTheme="minorEastAsia" w:eastAsiaTheme="minorEastAsia"/>
          <w:sz w:val="24"/>
        </w:rPr>
        <w:t>。</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操作角色：投标人</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操作路径：首页-&gt;已报名项目-&gt;主控台-&gt;发标-&gt;购买招标文件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说明：投标人先完成招标项目的报名，才可进行招标文件的购买。</w:t>
      </w:r>
    </w:p>
    <w:p>
      <w:pPr>
        <w:pStyle w:val="19"/>
        <w:numPr>
          <w:ilvl w:val="0"/>
          <w:numId w:val="2"/>
        </w:numPr>
        <w:spacing w:line="360" w:lineRule="auto"/>
        <w:ind w:firstLineChars="0"/>
        <w:rPr>
          <w:rFonts w:asciiTheme="minorEastAsia" w:hAnsiTheme="minorEastAsia"/>
          <w:sz w:val="24"/>
        </w:rPr>
      </w:pPr>
      <w:r>
        <w:rPr>
          <w:rFonts w:hint="eastAsia" w:asciiTheme="minorEastAsia" w:hAnsiTheme="minorEastAsia"/>
          <w:sz w:val="24"/>
        </w:rPr>
        <w:t>点击已报名项目左侧的主控台：</w:t>
      </w:r>
    </w:p>
    <w:p>
      <w:pPr>
        <w:spacing w:line="360" w:lineRule="auto"/>
        <w:rPr>
          <w:rFonts w:asciiTheme="minorEastAsia" w:hAnsiTheme="minorEastAsia" w:eastAsiaTheme="minorEastAsia"/>
          <w:sz w:val="24"/>
        </w:rPr>
      </w:pPr>
      <w:r>
        <w:rPr>
          <w:rFonts w:asciiTheme="minorEastAsia" w:hAnsiTheme="minorEastAsia" w:eastAsiaTheme="minorEastAsia"/>
          <w:b/>
          <w:sz w:val="24"/>
        </w:rPr>
        <w:drawing>
          <wp:inline distT="0" distB="0" distL="0" distR="0">
            <wp:extent cx="5267325" cy="647700"/>
            <wp:effectExtent l="0" t="0" r="9525" b="0"/>
            <wp:docPr id="14" name="图片 1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png"/>
                    <pic:cNvPicPr>
                      <a:picLocks noChangeAspect="1"/>
                    </pic:cNvPicPr>
                  </pic:nvPicPr>
                  <pic:blipFill>
                    <a:blip r:embed="rId7"/>
                    <a:stretch>
                      <a:fillRect/>
                    </a:stretch>
                  </pic:blipFill>
                  <pic:spPr>
                    <a:xfrm>
                      <a:off x="0" y="0"/>
                      <a:ext cx="5267325" cy="647700"/>
                    </a:xfrm>
                    <a:prstGeom prst="rect">
                      <a:avLst/>
                    </a:prstGeom>
                  </pic:spPr>
                </pic:pic>
              </a:graphicData>
            </a:graphic>
          </wp:inline>
        </w:drawing>
      </w:r>
    </w:p>
    <w:p>
      <w:pPr>
        <w:pStyle w:val="19"/>
        <w:numPr>
          <w:ilvl w:val="0"/>
          <w:numId w:val="2"/>
        </w:numPr>
        <w:spacing w:line="360" w:lineRule="auto"/>
        <w:ind w:firstLineChars="0"/>
        <w:rPr>
          <w:rFonts w:asciiTheme="minorEastAsia" w:hAnsiTheme="minorEastAsia"/>
          <w:sz w:val="24"/>
        </w:rPr>
      </w:pPr>
      <w:r>
        <w:rPr>
          <w:rFonts w:hint="eastAsia" w:asciiTheme="minorEastAsia" w:hAnsiTheme="minorEastAsia"/>
          <w:sz w:val="24"/>
        </w:rPr>
        <w:t>点击进入“购买招标文件”：</w:t>
      </w:r>
    </w:p>
    <w:p>
      <w:pPr>
        <w:spacing w:line="360" w:lineRule="auto"/>
        <w:rPr>
          <w:rFonts w:asciiTheme="minorEastAsia" w:hAnsiTheme="minorEastAsia" w:eastAsiaTheme="minorEastAsia"/>
          <w:sz w:val="24"/>
        </w:rPr>
      </w:pPr>
      <w:r>
        <w:rPr>
          <w:rFonts w:asciiTheme="minorEastAsia" w:hAnsiTheme="minorEastAsia" w:eastAsiaTheme="minorEastAsia"/>
          <w:sz w:val="24"/>
        </w:rPr>
        <w:pict>
          <v:rect id="矩形 4" o:spid="_x0000_s1026" o:spt="1" style="position:absolute;left:0pt;margin-left:95.25pt;margin-top:66pt;height:12.75pt;width:42.75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">
            <v:path/>
            <v:fill opacity="0f" focussize="0,0"/>
            <v:stroke weight="3pt" color="#C00000"/>
            <v:imagedata o:title=""/>
            <o:lock v:ext="edit"/>
          </v:rect>
        </w:pict>
      </w:r>
      <w:r>
        <w:rPr>
          <w:rFonts w:asciiTheme="minorEastAsia" w:hAnsiTheme="minorEastAsia" w:eastAsiaTheme="minorEastAsia"/>
          <w:sz w:val="24"/>
        </w:rPr>
        <w:drawing>
          <wp:inline distT="0" distB="0" distL="0" distR="0">
            <wp:extent cx="5486400" cy="16668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486400" cy="1666875"/>
                    </a:xfrm>
                    <a:prstGeom prst="rect">
                      <a:avLst/>
                    </a:prstGeom>
                    <a:noFill/>
                    <a:ln>
                      <a:noFill/>
                    </a:ln>
                  </pic:spPr>
                </pic:pic>
              </a:graphicData>
            </a:graphic>
          </wp:inline>
        </w:drawing>
      </w:r>
    </w:p>
    <w:p>
      <w:pPr>
        <w:pStyle w:val="19"/>
        <w:numPr>
          <w:ilvl w:val="0"/>
          <w:numId w:val="2"/>
        </w:numPr>
        <w:spacing w:line="360" w:lineRule="auto"/>
        <w:ind w:firstLineChars="0"/>
        <w:rPr>
          <w:rFonts w:asciiTheme="minorEastAsia" w:hAnsiTheme="minorEastAsia"/>
          <w:sz w:val="24"/>
        </w:rPr>
      </w:pPr>
      <w:r>
        <w:rPr>
          <w:rFonts w:hint="eastAsia" w:asciiTheme="minorEastAsia" w:hAnsiTheme="minorEastAsia"/>
          <w:sz w:val="24"/>
        </w:rPr>
        <w:t>勾选对应的标段，点击</w:t>
      </w:r>
      <w:r>
        <w:drawing>
          <wp:inline distT="0" distB="0" distL="0" distR="0">
            <wp:extent cx="552450" cy="247650"/>
            <wp:effectExtent l="0" t="0" r="0" b="0"/>
            <wp:docPr id="18" name="图片 1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png"/>
                    <pic:cNvPicPr>
                      <a:picLocks noChangeAspect="1"/>
                    </pic:cNvPicPr>
                  </pic:nvPicPr>
                  <pic:blipFill>
                    <a:blip r:embed="rId9"/>
                    <a:stretch>
                      <a:fillRect/>
                    </a:stretch>
                  </pic:blipFill>
                  <pic:spPr>
                    <a:xfrm>
                      <a:off x="0" y="0"/>
                      <a:ext cx="552450" cy="247650"/>
                    </a:xfrm>
                    <a:prstGeom prst="rect">
                      <a:avLst/>
                    </a:prstGeom>
                  </pic:spPr>
                </pic:pic>
              </a:graphicData>
            </a:graphic>
          </wp:inline>
        </w:drawing>
      </w:r>
      <w:r>
        <w:rPr>
          <w:rFonts w:hint="eastAsia" w:asciiTheme="minorEastAsia" w:hAnsiTheme="minorEastAsia"/>
          <w:sz w:val="24"/>
        </w:rPr>
        <w:t>：</w:t>
      </w: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15430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267325" cy="1543050"/>
                    </a:xfrm>
                    <a:prstGeom prst="rect">
                      <a:avLst/>
                    </a:prstGeom>
                    <a:noFill/>
                    <a:ln w="9525">
                      <a:noFill/>
                    </a:ln>
                  </pic:spPr>
                </pic:pic>
              </a:graphicData>
            </a:graphic>
          </wp:inline>
        </w:drawing>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网上支付方式为</w:t>
      </w:r>
      <w:r>
        <w:rPr>
          <w:rFonts w:asciiTheme="minorEastAsia" w:hAnsiTheme="minorEastAsia" w:eastAsiaTheme="minorEastAsia"/>
          <w:sz w:val="24"/>
        </w:rPr>
        <w:t>网银支付。</w:t>
      </w:r>
      <w:r>
        <w:rPr>
          <w:rFonts w:hint="eastAsia" w:asciiTheme="minorEastAsia" w:hAnsiTheme="minorEastAsia" w:eastAsiaTheme="minorEastAsia"/>
          <w:sz w:val="24"/>
        </w:rPr>
        <w:t>（暂不支持微信支付）</w:t>
      </w:r>
    </w:p>
    <w:p>
      <w:pPr>
        <w:spacing w:before="120" w:after="120" w:line="360" w:lineRule="auto"/>
        <w:ind w:firstLine="480" w:firstLineChars="200"/>
        <w:jc w:val="left"/>
        <w:rPr>
          <w:rFonts w:asciiTheme="minorEastAsia" w:hAnsiTheme="minorEastAsia" w:eastAsiaTheme="minorEastAsia"/>
          <w:color w:val="FF0000"/>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若拟投项目招标文件按标段（标包）发售，请确保勾选您所投的对应标段/包，每个标段/包都需单独支付一次费用；若拟投项目招标文件按项目发售，无论是否有多个标段/包，只需支付一次费用。</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如果您尚未支付，但是关闭了银行支付页面，再次支付会提示您订单重复交易，此时请您确保您未支付成功，然后撤销订单（见下图）重新支付即可。</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74310" cy="173545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5274310" cy="1735517"/>
                    </a:xfrm>
                    <a:prstGeom prst="rect">
                      <a:avLst/>
                    </a:prstGeom>
                  </pic:spPr>
                </pic:pic>
              </a:graphicData>
            </a:graphic>
          </wp:inline>
        </w:drawing>
      </w:r>
    </w:p>
    <w:p>
      <w:pPr>
        <w:pStyle w:val="18"/>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点击支付后网页</w:t>
      </w:r>
      <w:r>
        <w:rPr>
          <w:rFonts w:asciiTheme="minorEastAsia" w:hAnsiTheme="minorEastAsia" w:eastAsiaTheme="minorEastAsia"/>
          <w:sz w:val="24"/>
          <w:szCs w:val="24"/>
        </w:rPr>
        <w:t>会跳转到昆仑银行的</w:t>
      </w:r>
      <w:r>
        <w:rPr>
          <w:rFonts w:hint="eastAsia" w:asciiTheme="minorEastAsia" w:hAnsiTheme="minorEastAsia" w:eastAsiaTheme="minorEastAsia"/>
          <w:sz w:val="24"/>
          <w:szCs w:val="24"/>
        </w:rPr>
        <w:t>支付</w:t>
      </w:r>
      <w:r>
        <w:rPr>
          <w:rFonts w:asciiTheme="minorEastAsia" w:hAnsiTheme="minorEastAsia" w:eastAsiaTheme="minorEastAsia"/>
          <w:sz w:val="24"/>
          <w:szCs w:val="24"/>
        </w:rPr>
        <w:t>页面</w:t>
      </w:r>
      <w:r>
        <w:rPr>
          <w:rFonts w:hint="eastAsia" w:asciiTheme="minorEastAsia" w:hAnsiTheme="minorEastAsia" w:eastAsiaTheme="minorEastAsia"/>
          <w:sz w:val="24"/>
          <w:szCs w:val="24"/>
        </w:rPr>
        <w:t>，</w:t>
      </w:r>
      <w:r>
        <w:rPr>
          <w:rFonts w:asciiTheme="minorEastAsia" w:hAnsiTheme="minorEastAsia" w:eastAsiaTheme="minorEastAsia"/>
          <w:sz w:val="24"/>
          <w:szCs w:val="24"/>
        </w:rPr>
        <w:t>支持</w:t>
      </w:r>
      <w:r>
        <w:rPr>
          <w:rFonts w:hint="eastAsia" w:asciiTheme="minorEastAsia" w:hAnsiTheme="minorEastAsia" w:eastAsiaTheme="minorEastAsia"/>
          <w:sz w:val="24"/>
          <w:szCs w:val="24"/>
        </w:rPr>
        <w:t>昆仑银行</w:t>
      </w:r>
      <w:r>
        <w:rPr>
          <w:rFonts w:asciiTheme="minorEastAsia" w:hAnsiTheme="minorEastAsia" w:eastAsiaTheme="minorEastAsia"/>
          <w:sz w:val="24"/>
          <w:szCs w:val="24"/>
        </w:rPr>
        <w:t>支付</w:t>
      </w:r>
      <w:r>
        <w:rPr>
          <w:rFonts w:hint="eastAsia" w:asciiTheme="minorEastAsia" w:hAnsiTheme="minorEastAsia" w:eastAsiaTheme="minorEastAsia"/>
          <w:sz w:val="24"/>
          <w:szCs w:val="24"/>
        </w:rPr>
        <w:t>、非</w:t>
      </w:r>
      <w:r>
        <w:rPr>
          <w:rFonts w:asciiTheme="minorEastAsia" w:hAnsiTheme="minorEastAsia" w:eastAsiaTheme="minorEastAsia"/>
          <w:sz w:val="24"/>
          <w:szCs w:val="24"/>
        </w:rPr>
        <w:t>昆仑银行支付</w:t>
      </w:r>
      <w:r>
        <w:rPr>
          <w:rFonts w:hint="eastAsia" w:asciiTheme="minorEastAsia" w:hAnsiTheme="minorEastAsia" w:eastAsiaTheme="minorEastAsia"/>
          <w:sz w:val="24"/>
          <w:szCs w:val="24"/>
        </w:rPr>
        <w:t>和</w:t>
      </w:r>
      <w:r>
        <w:rPr>
          <w:rFonts w:asciiTheme="minorEastAsia" w:hAnsiTheme="minorEastAsia" w:eastAsiaTheme="minorEastAsia"/>
          <w:sz w:val="24"/>
          <w:szCs w:val="24"/>
        </w:rPr>
        <w:t>非昆仑银行个人支付</w:t>
      </w:r>
      <w:r>
        <w:rPr>
          <w:rFonts w:hint="eastAsia" w:asciiTheme="minorEastAsia" w:hAnsiTheme="minorEastAsia" w:eastAsiaTheme="minorEastAsia"/>
          <w:sz w:val="24"/>
          <w:szCs w:val="24"/>
        </w:rPr>
        <w:t>。</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如确定已支付，请刷新您的状态查看是否已更改为已付款，此时不要撤销订单，否则可能导致您的付款记录丢失，导致购买失败。</w:t>
      </w:r>
    </w:p>
    <w:p>
      <w:pPr>
        <w:spacing w:line="360" w:lineRule="auto"/>
        <w:ind w:firstLine="480" w:firstLineChars="200"/>
        <w:rPr>
          <w:rFonts w:asciiTheme="minorEastAsia" w:hAnsiTheme="minorEastAsia" w:eastAsiaTheme="minorEastAsia"/>
          <w:sz w:val="24"/>
        </w:rPr>
      </w:pP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76850" cy="2962275"/>
            <wp:effectExtent l="0" t="0" r="0"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2"/>
                    <a:stretch>
                      <a:fillRect/>
                    </a:stretch>
                  </pic:blipFill>
                  <pic:spPr>
                    <a:xfrm>
                      <a:off x="0" y="0"/>
                      <a:ext cx="5276850" cy="2962275"/>
                    </a:xfrm>
                    <a:prstGeom prst="rect">
                      <a:avLst/>
                    </a:prstGeom>
                  </pic:spPr>
                </pic:pic>
              </a:graphicData>
            </a:graphic>
          </wp:inline>
        </w:drawing>
      </w:r>
    </w:p>
    <w:p>
      <w:pPr>
        <w:pStyle w:val="2"/>
        <w:spacing w:line="360" w:lineRule="auto"/>
        <w:rPr>
          <w:rFonts w:asciiTheme="minorEastAsia" w:hAnsiTheme="minorEastAsia" w:eastAsiaTheme="minorEastAsia"/>
          <w:sz w:val="24"/>
        </w:rPr>
      </w:pPr>
      <w:bookmarkStart w:id="0" w:name="_Toc453694099"/>
      <w:r>
        <w:rPr>
          <w:rFonts w:hint="eastAsia" w:asciiTheme="minorEastAsia" w:hAnsiTheme="minorEastAsia" w:eastAsiaTheme="minorEastAsia"/>
          <w:sz w:val="24"/>
        </w:rPr>
        <w:t>下载招标文件</w:t>
      </w:r>
      <w:bookmarkEnd w:id="0"/>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操作角色：投标人</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操作路径：首页-&gt;已报名项目-&gt;主控台-&gt;发标-&gt;招标文件下载</w:t>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投标人找到要下载的招标项目，点击进入该项目的主控台</w:t>
      </w: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800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267325" cy="800100"/>
                    </a:xfrm>
                    <a:prstGeom prst="rect">
                      <a:avLst/>
                    </a:prstGeom>
                    <a:noFill/>
                    <a:ln w="9525">
                      <a:noFill/>
                    </a:ln>
                  </pic:spPr>
                </pic:pic>
              </a:graphicData>
            </a:graphic>
          </wp:inline>
        </w:drawing>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点击“招标文件下载”</w:t>
      </w:r>
    </w:p>
    <w:p>
      <w:pPr>
        <w:spacing w:line="360" w:lineRule="auto"/>
        <w:rPr>
          <w:rFonts w:asciiTheme="minorEastAsia" w:hAnsiTheme="minorEastAsia" w:eastAsiaTheme="minorEastAsia"/>
          <w:sz w:val="24"/>
        </w:rPr>
      </w:pPr>
      <w:r>
        <w:rPr>
          <w:rFonts w:asciiTheme="minorEastAsia" w:hAnsiTheme="minorEastAsia" w:eastAsiaTheme="minorEastAsia"/>
          <w:sz w:val="24"/>
        </w:rPr>
        <w:pict>
          <v:rect id="_x0000_s1027" o:spid="_x0000_s1027" o:spt="1" style="position:absolute;left:0pt;margin-left:135pt;margin-top:13pt;height:12.75pt;width:42.75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">
            <v:path/>
            <v:fill opacity="0f" focussize="0,0"/>
            <v:stroke weight="3pt" color="#C00000"/>
            <v:imagedata o:title=""/>
            <o:lock v:ext="edit"/>
          </v:rect>
        </w:pict>
      </w:r>
      <w:r>
        <w:rPr>
          <w:rFonts w:asciiTheme="minorEastAsia" w:hAnsiTheme="minorEastAsia" w:eastAsiaTheme="minorEastAsia"/>
          <w:sz w:val="24"/>
        </w:rPr>
        <w:drawing>
          <wp:inline distT="0" distB="0" distL="0" distR="0">
            <wp:extent cx="5486400" cy="9810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486400" cy="981075"/>
                    </a:xfrm>
                    <a:prstGeom prst="rect">
                      <a:avLst/>
                    </a:prstGeom>
                    <a:noFill/>
                    <a:ln>
                      <a:noFill/>
                    </a:ln>
                  </pic:spPr>
                </pic:pic>
              </a:graphicData>
            </a:graphic>
          </wp:inline>
        </w:drawing>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点击“下载”按钮，在弹出的对话框中下载招标文件：</w:t>
      </w: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495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5267325" cy="495300"/>
                    </a:xfrm>
                    <a:prstGeom prst="rect">
                      <a:avLst/>
                    </a:prstGeom>
                    <a:noFill/>
                    <a:ln w="9525">
                      <a:noFill/>
                    </a:ln>
                  </pic:spPr>
                </pic:pic>
              </a:graphicData>
            </a:graphic>
          </wp:inline>
        </w:drawing>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鼠标指向要下载的文件，右键“目标另存为”，即可下载：</w:t>
      </w:r>
    </w:p>
    <w:p>
      <w:pPr>
        <w:spacing w:line="360" w:lineRule="auto"/>
        <w:ind w:firstLine="480" w:firstLineChars="200"/>
        <w:jc w:val="center"/>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2962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6"/>
                    <a:stretch>
                      <a:fillRect/>
                    </a:stretch>
                  </pic:blipFill>
                  <pic:spPr>
                    <a:xfrm>
                      <a:off x="0" y="0"/>
                      <a:ext cx="5267325" cy="2962275"/>
                    </a:xfrm>
                    <a:prstGeom prst="rect">
                      <a:avLst/>
                    </a:prstGeom>
                    <a:noFill/>
                    <a:ln w="9525">
                      <a:noFill/>
                    </a:ln>
                  </pic:spPr>
                </pic:pic>
              </a:graphicData>
            </a:graphic>
          </wp:inline>
        </w:drawing>
      </w:r>
    </w:p>
    <w:p>
      <w:pPr>
        <w:spacing w:line="360" w:lineRule="auto"/>
        <w:ind w:firstLine="470" w:firstLineChars="196"/>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请您在购买结束后查看是否能够下载招标文件，能够下载则报名购买成功；如不能下载招标文件，说明您的报名购买未成功，您的投标会被拒绝，请您一定要查找相关原因确保能够成功参加本项目。相关问题请咨询电子招标投标交易平台运营运维单位：</w:t>
      </w:r>
      <w:bookmarkStart w:id="1" w:name="_GoBack"/>
      <w:bookmarkEnd w:id="1"/>
      <w:r>
        <w:rPr>
          <w:rFonts w:asciiTheme="minorEastAsia" w:hAnsiTheme="minorEastAsia" w:eastAsiaTheme="minorEastAsia"/>
          <w:color w:val="FF0000"/>
          <w:sz w:val="24"/>
        </w:rPr>
        <w:t>中油物采信息技术有限公司</w:t>
      </w:r>
      <w:r>
        <w:rPr>
          <w:rFonts w:hint="eastAsia" w:asciiTheme="minorEastAsia" w:hAnsiTheme="minorEastAsia" w:eastAsiaTheme="minorEastAsia"/>
          <w:color w:val="FF0000"/>
          <w:sz w:val="24"/>
        </w:rPr>
        <w:t>，</w:t>
      </w:r>
      <w:r>
        <w:rPr>
          <w:rFonts w:asciiTheme="minorEastAsia" w:hAnsiTheme="minorEastAsia" w:eastAsiaTheme="minorEastAsia"/>
          <w:color w:val="FF0000"/>
          <w:sz w:val="24"/>
        </w:rPr>
        <w:t>联系电话：4008800114 语音导航转 电子招标平台</w:t>
      </w:r>
      <w:r>
        <w:rPr>
          <w:rFonts w:hint="eastAsia" w:asciiTheme="minorEastAsia" w:hAnsiTheme="minorEastAsia" w:eastAsiaTheme="minorEastAsia"/>
          <w:color w:val="FF0000"/>
          <w:sz w:val="24"/>
        </w:rPr>
        <w:t>。</w:t>
      </w:r>
    </w:p>
    <w:p>
      <w:pPr>
        <w:spacing w:line="360" w:lineRule="auto"/>
        <w:ind w:firstLine="470" w:firstLineChars="196"/>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投标报名截止时间后，购买招标文件不足三家，系统将自动提醒已购买招标文件的潜在投标人。各潜在投标人应确认在交易平台预留的联系方式真实有效，以便接收项目情况的各项通知。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473C2"/>
    <w:multiLevelType w:val="multilevel"/>
    <w:tmpl w:val="357473C2"/>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E6A08D1"/>
    <w:multiLevelType w:val="multilevel"/>
    <w:tmpl w:val="4E6A08D1"/>
    <w:lvl w:ilvl="0" w:tentative="0">
      <w:start w:val="1"/>
      <w:numFmt w:val="decimal"/>
      <w:lvlText w:val="%1."/>
      <w:lvlJc w:val="left"/>
      <w:pPr>
        <w:ind w:left="895" w:hanging="420"/>
      </w:pPr>
    </w:lvl>
    <w:lvl w:ilvl="1" w:tentative="0">
      <w:start w:val="1"/>
      <w:numFmt w:val="lowerLetter"/>
      <w:lvlText w:val="%2)"/>
      <w:lvlJc w:val="left"/>
      <w:pPr>
        <w:ind w:left="1315" w:hanging="420"/>
      </w:pPr>
    </w:lvl>
    <w:lvl w:ilvl="2" w:tentative="0">
      <w:start w:val="1"/>
      <w:numFmt w:val="lowerRoman"/>
      <w:lvlText w:val="%3."/>
      <w:lvlJc w:val="right"/>
      <w:pPr>
        <w:ind w:left="1735" w:hanging="420"/>
      </w:pPr>
    </w:lvl>
    <w:lvl w:ilvl="3" w:tentative="0">
      <w:start w:val="1"/>
      <w:numFmt w:val="decimal"/>
      <w:lvlText w:val="%4."/>
      <w:lvlJc w:val="left"/>
      <w:pPr>
        <w:ind w:left="2155" w:hanging="420"/>
      </w:pPr>
    </w:lvl>
    <w:lvl w:ilvl="4" w:tentative="0">
      <w:start w:val="1"/>
      <w:numFmt w:val="lowerLetter"/>
      <w:lvlText w:val="%5)"/>
      <w:lvlJc w:val="left"/>
      <w:pPr>
        <w:ind w:left="2575" w:hanging="420"/>
      </w:pPr>
    </w:lvl>
    <w:lvl w:ilvl="5" w:tentative="0">
      <w:start w:val="1"/>
      <w:numFmt w:val="lowerRoman"/>
      <w:lvlText w:val="%6."/>
      <w:lvlJc w:val="right"/>
      <w:pPr>
        <w:ind w:left="2995" w:hanging="420"/>
      </w:pPr>
    </w:lvl>
    <w:lvl w:ilvl="6" w:tentative="0">
      <w:start w:val="1"/>
      <w:numFmt w:val="decimal"/>
      <w:lvlText w:val="%7."/>
      <w:lvlJc w:val="left"/>
      <w:pPr>
        <w:ind w:left="3415" w:hanging="420"/>
      </w:pPr>
    </w:lvl>
    <w:lvl w:ilvl="7" w:tentative="0">
      <w:start w:val="1"/>
      <w:numFmt w:val="lowerLetter"/>
      <w:lvlText w:val="%8)"/>
      <w:lvlJc w:val="left"/>
      <w:pPr>
        <w:ind w:left="3835" w:hanging="420"/>
      </w:pPr>
    </w:lvl>
    <w:lvl w:ilvl="8" w:tentative="0">
      <w:start w:val="1"/>
      <w:numFmt w:val="lowerRoman"/>
      <w:lvlText w:val="%9."/>
      <w:lvlJc w:val="right"/>
      <w:pPr>
        <w:ind w:left="4255" w:hanging="420"/>
      </w:pPr>
    </w:lvl>
  </w:abstractNum>
  <w:abstractNum w:abstractNumId="2">
    <w:nsid w:val="76C11FDE"/>
    <w:multiLevelType w:val="multilevel"/>
    <w:tmpl w:val="76C11FDE"/>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36CD0"/>
    <w:rsid w:val="00012CC2"/>
    <w:rsid w:val="00023914"/>
    <w:rsid w:val="00023C3D"/>
    <w:rsid w:val="000F5A18"/>
    <w:rsid w:val="001158F7"/>
    <w:rsid w:val="001576E6"/>
    <w:rsid w:val="00160B52"/>
    <w:rsid w:val="001D0C89"/>
    <w:rsid w:val="001F119F"/>
    <w:rsid w:val="002315B8"/>
    <w:rsid w:val="002524BB"/>
    <w:rsid w:val="00265E02"/>
    <w:rsid w:val="00266DE1"/>
    <w:rsid w:val="002A75A5"/>
    <w:rsid w:val="002C49B7"/>
    <w:rsid w:val="002E099D"/>
    <w:rsid w:val="002F1ECD"/>
    <w:rsid w:val="00317810"/>
    <w:rsid w:val="003B122A"/>
    <w:rsid w:val="003E17D2"/>
    <w:rsid w:val="003E25C4"/>
    <w:rsid w:val="003E5E6C"/>
    <w:rsid w:val="004215DA"/>
    <w:rsid w:val="004267A6"/>
    <w:rsid w:val="00456E6F"/>
    <w:rsid w:val="00457EC3"/>
    <w:rsid w:val="004805A2"/>
    <w:rsid w:val="004B55A2"/>
    <w:rsid w:val="004C13C7"/>
    <w:rsid w:val="004C5CD1"/>
    <w:rsid w:val="004C7B4E"/>
    <w:rsid w:val="004F3D54"/>
    <w:rsid w:val="00536A11"/>
    <w:rsid w:val="00541B8C"/>
    <w:rsid w:val="00543FA5"/>
    <w:rsid w:val="00550287"/>
    <w:rsid w:val="00570BB2"/>
    <w:rsid w:val="005A44CA"/>
    <w:rsid w:val="005D13D0"/>
    <w:rsid w:val="00622704"/>
    <w:rsid w:val="00646ED8"/>
    <w:rsid w:val="006606E0"/>
    <w:rsid w:val="006A6D37"/>
    <w:rsid w:val="006C6FF3"/>
    <w:rsid w:val="006D7B2C"/>
    <w:rsid w:val="0072607D"/>
    <w:rsid w:val="00726933"/>
    <w:rsid w:val="00752D3A"/>
    <w:rsid w:val="00775BC2"/>
    <w:rsid w:val="00782A0A"/>
    <w:rsid w:val="00796D1D"/>
    <w:rsid w:val="00823714"/>
    <w:rsid w:val="0086411A"/>
    <w:rsid w:val="008825F4"/>
    <w:rsid w:val="00896A65"/>
    <w:rsid w:val="008F72E4"/>
    <w:rsid w:val="0097573A"/>
    <w:rsid w:val="009856B8"/>
    <w:rsid w:val="009A5592"/>
    <w:rsid w:val="009E0EB7"/>
    <w:rsid w:val="009E1B5D"/>
    <w:rsid w:val="009F6D59"/>
    <w:rsid w:val="00A443BE"/>
    <w:rsid w:val="00A54F89"/>
    <w:rsid w:val="00B012B9"/>
    <w:rsid w:val="00B074AC"/>
    <w:rsid w:val="00B11202"/>
    <w:rsid w:val="00B515F8"/>
    <w:rsid w:val="00B67770"/>
    <w:rsid w:val="00B70F0D"/>
    <w:rsid w:val="00BA54A9"/>
    <w:rsid w:val="00C10B46"/>
    <w:rsid w:val="00C30639"/>
    <w:rsid w:val="00CE58DD"/>
    <w:rsid w:val="00DC3F6D"/>
    <w:rsid w:val="00DC57F4"/>
    <w:rsid w:val="00E17DAD"/>
    <w:rsid w:val="00E20F1D"/>
    <w:rsid w:val="00EB38D5"/>
    <w:rsid w:val="00EE7C65"/>
    <w:rsid w:val="00F36CD0"/>
    <w:rsid w:val="00F4384F"/>
    <w:rsid w:val="00F522A8"/>
    <w:rsid w:val="00F81C11"/>
    <w:rsid w:val="00FA325B"/>
    <w:rsid w:val="00FC2219"/>
    <w:rsid w:val="00FD2F11"/>
    <w:rsid w:val="00FE370A"/>
    <w:rsid w:val="00FF2EED"/>
    <w:rsid w:val="055F62F1"/>
    <w:rsid w:val="1516731F"/>
    <w:rsid w:val="1C0437B7"/>
    <w:rsid w:val="453677FF"/>
    <w:rsid w:val="541C69CB"/>
    <w:rsid w:val="60002C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semiHidden/>
    <w:unhideWhenUsed/>
    <w:qFormat/>
    <w:uiPriority w:val="99"/>
    <w:pPr>
      <w:jc w:val="left"/>
    </w:pPr>
  </w:style>
  <w:style w:type="paragraph" w:styleId="5">
    <w:name w:val="Balloon Text"/>
    <w:basedOn w:val="1"/>
    <w:link w:val="16"/>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4"/>
    <w:next w:val="4"/>
    <w:link w:val="21"/>
    <w:semiHidden/>
    <w:unhideWhenUsed/>
    <w:qFormat/>
    <w:uiPriority w:val="99"/>
    <w:rPr>
      <w:b/>
      <w:bCs/>
    </w:rPr>
  </w:style>
  <w:style w:type="character" w:styleId="11">
    <w:name w:val="Hyperlink"/>
    <w:basedOn w:val="10"/>
    <w:unhideWhenUsed/>
    <w:qFormat/>
    <w:uiPriority w:val="99"/>
    <w:rPr>
      <w:color w:val="0000FF"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7"/>
    <w:qFormat/>
    <w:uiPriority w:val="99"/>
    <w:rPr>
      <w:sz w:val="18"/>
      <w:szCs w:val="18"/>
    </w:rPr>
  </w:style>
  <w:style w:type="character" w:customStyle="1" w:styleId="14">
    <w:name w:val="页脚 Char"/>
    <w:basedOn w:val="10"/>
    <w:link w:val="6"/>
    <w:uiPriority w:val="99"/>
    <w:rPr>
      <w:sz w:val="18"/>
      <w:szCs w:val="18"/>
    </w:rPr>
  </w:style>
  <w:style w:type="character" w:customStyle="1" w:styleId="15">
    <w:name w:val="标题 2 Char"/>
    <w:basedOn w:val="10"/>
    <w:link w:val="2"/>
    <w:uiPriority w:val="0"/>
    <w:rPr>
      <w:rFonts w:ascii="Arial" w:hAnsi="Arial" w:eastAsia="黑体" w:cs="Times New Roman"/>
      <w:b/>
      <w:sz w:val="32"/>
      <w:szCs w:val="24"/>
    </w:rPr>
  </w:style>
  <w:style w:type="character" w:customStyle="1" w:styleId="16">
    <w:name w:val="批注框文本 Char"/>
    <w:basedOn w:val="10"/>
    <w:link w:val="5"/>
    <w:semiHidden/>
    <w:uiPriority w:val="99"/>
    <w:rPr>
      <w:rFonts w:ascii="Calibri" w:hAnsi="Calibri" w:eastAsia="宋体" w:cs="Times New Roman"/>
      <w:sz w:val="18"/>
      <w:szCs w:val="18"/>
    </w:rPr>
  </w:style>
  <w:style w:type="character" w:customStyle="1" w:styleId="17">
    <w:name w:val="标题 3 Char"/>
    <w:basedOn w:val="10"/>
    <w:link w:val="3"/>
    <w:semiHidden/>
    <w:uiPriority w:val="9"/>
    <w:rPr>
      <w:rFonts w:ascii="Calibri" w:hAnsi="Calibri" w:eastAsia="宋体" w:cs="Times New Roman"/>
      <w:b/>
      <w:bCs/>
      <w:sz w:val="32"/>
      <w:szCs w:val="32"/>
    </w:rPr>
  </w:style>
  <w:style w:type="paragraph" w:customStyle="1" w:styleId="18">
    <w:name w:val="p0"/>
    <w:basedOn w:val="1"/>
    <w:uiPriority w:val="0"/>
    <w:pPr>
      <w:widowControl/>
    </w:pPr>
    <w:rPr>
      <w:rFonts w:cs="宋体"/>
      <w:kern w:val="0"/>
      <w:szCs w:val="21"/>
    </w:rPr>
  </w:style>
  <w:style w:type="paragraph" w:styleId="19">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0">
    <w:name w:val="批注文字 Char"/>
    <w:basedOn w:val="10"/>
    <w:link w:val="4"/>
    <w:semiHidden/>
    <w:uiPriority w:val="99"/>
    <w:rPr>
      <w:rFonts w:ascii="Calibri" w:hAnsi="Calibri" w:eastAsia="宋体" w:cs="Times New Roman"/>
      <w:szCs w:val="24"/>
    </w:rPr>
  </w:style>
  <w:style w:type="character" w:customStyle="1" w:styleId="21">
    <w:name w:val="批注主题 Char"/>
    <w:basedOn w:val="20"/>
    <w:link w:val="8"/>
    <w:semiHidden/>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285</Words>
  <Characters>1628</Characters>
  <Lines>13</Lines>
  <Paragraphs>3</Paragraphs>
  <TotalTime>3</TotalTime>
  <ScaleCrop>false</ScaleCrop>
  <LinksUpToDate>false</LinksUpToDate>
  <CharactersWithSpaces>1910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2017-05-23T11:17:00Z</dcterms:created>
  <dc:creator>刘新新</dc:creator>
  <cp:lastModifiedBy>lyl</cp:lastModifiedBy>
  <dcterms:modified xsi:type="dcterms:W3CDTF">2022-11-02T05:09:45Z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