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rPr>
          <w:b/>
          <w:bCs/>
        </w:rPr>
      </w:pPr>
    </w:p>
    <w:p>
      <w:pPr>
        <w:snapToGrid w:val="0"/>
        <w:spacing w:line="360" w:lineRule="auto"/>
        <w:jc w:val="center"/>
        <w:rPr>
          <w:b/>
          <w:bCs/>
        </w:rPr>
      </w:pPr>
      <w:r>
        <w:rPr>
          <w:rFonts w:ascii="宋体" w:hAnsi="宋体"/>
          <w:b/>
          <w:sz w:val="20"/>
          <w:szCs w:val="20"/>
        </w:rPr>
        <w:drawing>
          <wp:inline distT="0" distB="0" distL="114300" distR="114300">
            <wp:extent cx="5305425" cy="803910"/>
            <wp:effectExtent l="0" t="0" r="952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305425" cy="803910"/>
                    </a:xfrm>
                    <a:prstGeom prst="rect">
                      <a:avLst/>
                    </a:prstGeom>
                    <a:noFill/>
                    <a:ln>
                      <a:noFill/>
                    </a:ln>
                  </pic:spPr>
                </pic:pic>
              </a:graphicData>
            </a:graphic>
          </wp:inline>
        </w:drawing>
      </w:r>
    </w:p>
    <w:p>
      <w:pPr>
        <w:snapToGrid w:val="0"/>
        <w:spacing w:line="360" w:lineRule="auto"/>
        <w:jc w:val="center"/>
        <w:rPr>
          <w:b/>
          <w:bCs/>
        </w:rPr>
      </w:pPr>
    </w:p>
    <w:p>
      <w:pPr>
        <w:snapToGrid w:val="0"/>
        <w:spacing w:line="360" w:lineRule="auto"/>
        <w:rPr>
          <w:b/>
          <w:bCs/>
        </w:rPr>
      </w:pPr>
    </w:p>
    <w:p>
      <w:pPr>
        <w:spacing w:line="600" w:lineRule="exact"/>
        <w:jc w:val="center"/>
        <w:rPr>
          <w:rFonts w:hint="eastAsia" w:ascii="方正小标宋简体" w:hAnsi="方正小标宋简体" w:eastAsia="方正小标宋简体" w:cs="方正小标宋简体"/>
          <w:b/>
          <w:sz w:val="44"/>
          <w:szCs w:val="44"/>
        </w:rPr>
      </w:pPr>
      <w:r>
        <w:rPr>
          <w:rFonts w:hint="eastAsia" w:ascii="方正小标宋简体" w:hAnsi="方正小标宋简体" w:eastAsia="方正小标宋简体" w:cs="方正小标宋简体"/>
          <w:b/>
          <w:sz w:val="44"/>
          <w:szCs w:val="44"/>
        </w:rPr>
        <w:t>中海壳牌惠州聚碳酸酯项目</w:t>
      </w:r>
    </w:p>
    <w:p>
      <w:pPr>
        <w:spacing w:line="600" w:lineRule="exact"/>
        <w:jc w:val="center"/>
      </w:pPr>
      <w:r>
        <w:rPr>
          <w:rFonts w:hint="eastAsia" w:ascii="方正小标宋简体" w:hAnsi="方正小标宋简体" w:eastAsia="方正小标宋简体" w:cs="方正小标宋简体"/>
          <w:b/>
          <w:sz w:val="44"/>
          <w:szCs w:val="44"/>
        </w:rPr>
        <w:t>国际远洋物流、疏港运输代理服务</w:t>
      </w:r>
      <w:r>
        <w:rPr>
          <w:rFonts w:hint="eastAsia" w:ascii="方正小标宋简体" w:hAnsi="方正小标宋简体" w:eastAsia="方正小标宋简体" w:cs="方正小标宋简体"/>
          <w:b/>
          <w:sz w:val="44"/>
          <w:szCs w:val="44"/>
          <w:lang w:val="en-US" w:eastAsia="zh-CN"/>
        </w:rPr>
        <w:t>技术文件</w:t>
      </w:r>
    </w:p>
    <w:p>
      <w:pPr>
        <w:pStyle w:val="2"/>
      </w:pPr>
    </w:p>
    <w:p>
      <w:pPr>
        <w:pStyle w:val="2"/>
      </w:pPr>
    </w:p>
    <w:p>
      <w:pPr>
        <w:pStyle w:val="2"/>
      </w:pPr>
    </w:p>
    <w:p>
      <w:pPr>
        <w:pStyle w:val="2"/>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bidi w:val="0"/>
        <w:jc w:val="center"/>
        <w:rPr>
          <w:rFonts w:hint="default" w:ascii="Times New Roman" w:hAnsi="Times New Roman" w:cs="Times New Roman"/>
          <w:sz w:val="36"/>
          <w:szCs w:val="44"/>
          <w:highlight w:val="none"/>
          <w:lang w:val="en-US" w:eastAsia="zh-CN"/>
        </w:rPr>
      </w:pPr>
      <w:r>
        <w:rPr>
          <w:rFonts w:hint="eastAsia" w:cs="Times New Roman"/>
          <w:sz w:val="36"/>
          <w:szCs w:val="44"/>
          <w:highlight w:val="none"/>
          <w:lang w:val="en-US" w:eastAsia="zh-CN"/>
        </w:rPr>
        <w:t>2025</w:t>
      </w:r>
      <w:r>
        <w:rPr>
          <w:rFonts w:hint="default" w:ascii="Times New Roman" w:hAnsi="Times New Roman" w:cs="Times New Roman"/>
          <w:sz w:val="36"/>
          <w:szCs w:val="44"/>
          <w:highlight w:val="none"/>
          <w:lang w:val="en-US" w:eastAsia="zh-CN"/>
        </w:rPr>
        <w:t>年   月</w:t>
      </w: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p>
      <w:pPr>
        <w:pStyle w:val="2"/>
        <w:rPr>
          <w:highlight w:val="none"/>
        </w:rPr>
      </w:pPr>
    </w:p>
    <w:sdt>
      <w:sdtPr>
        <w:rPr>
          <w:rFonts w:ascii="宋体" w:hAnsi="宋体" w:eastAsia="宋体" w:cs="Times New Roman"/>
          <w:kern w:val="2"/>
          <w:sz w:val="21"/>
          <w:szCs w:val="24"/>
          <w:highlight w:val="none"/>
          <w:lang w:val="en-US" w:eastAsia="zh-CN" w:bidi="ar-SA"/>
        </w:rPr>
        <w:id w:val="147472998"/>
        <w15:color w:val="DBDBDB"/>
        <w:docPartObj>
          <w:docPartGallery w:val="Table of Contents"/>
          <w:docPartUnique/>
        </w:docPartObj>
      </w:sdtPr>
      <w:sdtEndPr>
        <w:rPr>
          <w:rFonts w:ascii="宋体" w:hAnsi="宋体" w:eastAsia="宋体" w:cs="Times New Roman"/>
          <w:b/>
          <w:kern w:val="2"/>
          <w:sz w:val="21"/>
          <w:szCs w:val="24"/>
          <w:highlight w:val="none"/>
          <w:lang w:val="en-US" w:eastAsia="zh-CN" w:bidi="ar-SA"/>
        </w:rPr>
      </w:sdtEndPr>
      <w:sdtContent>
        <w:p>
          <w:pPr>
            <w:spacing w:before="0" w:beforeLines="0" w:after="0" w:afterLines="0" w:line="240" w:lineRule="auto"/>
            <w:ind w:left="0" w:leftChars="0" w:right="0" w:rightChars="0" w:firstLine="0" w:firstLineChars="0"/>
            <w:jc w:val="center"/>
            <w:rPr>
              <w:highlight w:val="none"/>
            </w:rPr>
          </w:pPr>
          <w:r>
            <w:rPr>
              <w:rFonts w:ascii="宋体" w:hAnsi="宋体" w:eastAsia="宋体"/>
              <w:sz w:val="21"/>
              <w:highlight w:val="none"/>
            </w:rPr>
            <w:t>目录</w:t>
          </w:r>
        </w:p>
        <w:p>
          <w:pPr>
            <w:pStyle w:val="10"/>
            <w:tabs>
              <w:tab w:val="right" w:leader="dot" w:pos="8306"/>
            </w:tabs>
          </w:pPr>
          <w:r>
            <w:rPr>
              <w:highlight w:val="none"/>
            </w:rPr>
            <w:fldChar w:fldCharType="begin"/>
          </w:r>
          <w:r>
            <w:rPr>
              <w:highlight w:val="none"/>
            </w:rPr>
            <w:instrText xml:space="preserve">TOC \o "1-2" \h \u </w:instrText>
          </w:r>
          <w:r>
            <w:rPr>
              <w:highlight w:val="none"/>
            </w:rPr>
            <w:fldChar w:fldCharType="separate"/>
          </w:r>
          <w:r>
            <w:rPr>
              <w:highlight w:val="none"/>
            </w:rPr>
            <w:fldChar w:fldCharType="begin"/>
          </w:r>
          <w:r>
            <w:rPr>
              <w:highlight w:val="none"/>
            </w:rPr>
            <w:instrText xml:space="preserve"> HYPERLINK \l _Toc17226 </w:instrText>
          </w:r>
          <w:r>
            <w:rPr>
              <w:highlight w:val="none"/>
            </w:rPr>
            <w:fldChar w:fldCharType="separate"/>
          </w:r>
          <w:r>
            <w:rPr>
              <w:rFonts w:hint="eastAsia" w:ascii="黑体" w:hAnsi="黑体" w:eastAsia="黑体" w:cs="黑体"/>
              <w:bCs/>
              <w:szCs w:val="24"/>
              <w:lang w:val="en-US" w:eastAsia="zh-CN" w:bidi="ar-SA"/>
            </w:rPr>
            <w:t xml:space="preserve">一、 </w:t>
          </w:r>
          <w:r>
            <w:rPr>
              <w:rFonts w:hint="eastAsia" w:ascii="黑体" w:hAnsi="黑体" w:eastAsia="黑体" w:cs="黑体"/>
              <w:bCs/>
              <w:szCs w:val="24"/>
              <w:highlight w:val="none"/>
              <w:lang w:val="en-US" w:eastAsia="zh-CN" w:bidi="ar-SA"/>
            </w:rPr>
            <w:t>项目概况</w:t>
          </w:r>
          <w:r>
            <w:tab/>
          </w:r>
          <w:r>
            <w:fldChar w:fldCharType="begin"/>
          </w:r>
          <w:r>
            <w:instrText xml:space="preserve"> PAGEREF _Toc17226 \h </w:instrText>
          </w:r>
          <w:r>
            <w:fldChar w:fldCharType="separate"/>
          </w:r>
          <w:r>
            <w:t>3</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_Toc2243 </w:instrText>
          </w:r>
          <w:r>
            <w:rPr>
              <w:highlight w:val="none"/>
            </w:rPr>
            <w:fldChar w:fldCharType="separate"/>
          </w:r>
          <w:r>
            <w:rPr>
              <w:rFonts w:hint="eastAsia" w:ascii="黑体" w:hAnsi="黑体" w:eastAsia="黑体" w:cs="黑体"/>
              <w:bCs/>
              <w:szCs w:val="24"/>
              <w:lang w:val="en-US" w:eastAsia="zh-CN" w:bidi="ar-SA"/>
            </w:rPr>
            <w:t xml:space="preserve">二、 </w:t>
          </w:r>
          <w:r>
            <w:rPr>
              <w:rFonts w:hint="eastAsia" w:ascii="黑体" w:hAnsi="黑体" w:eastAsia="黑体" w:cs="黑体"/>
              <w:bCs/>
              <w:szCs w:val="24"/>
              <w:highlight w:val="none"/>
              <w:lang w:val="en-US" w:eastAsia="zh-CN" w:bidi="ar-SA"/>
            </w:rPr>
            <w:t>进口物资概况</w:t>
          </w:r>
          <w:r>
            <w:tab/>
          </w:r>
          <w:r>
            <w:fldChar w:fldCharType="begin"/>
          </w:r>
          <w:r>
            <w:instrText xml:space="preserve"> PAGEREF _Toc2243 \h </w:instrText>
          </w:r>
          <w:r>
            <w:fldChar w:fldCharType="separate"/>
          </w:r>
          <w:r>
            <w:t>3</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_Toc18616 </w:instrText>
          </w:r>
          <w:r>
            <w:rPr>
              <w:highlight w:val="none"/>
            </w:rPr>
            <w:fldChar w:fldCharType="separate"/>
          </w:r>
          <w:r>
            <w:rPr>
              <w:rFonts w:hint="eastAsia" w:ascii="黑体" w:hAnsi="黑体" w:eastAsia="黑体" w:cs="黑体"/>
              <w:bCs/>
              <w:szCs w:val="24"/>
              <w:lang w:val="en-US" w:eastAsia="zh-CN" w:bidi="ar-SA"/>
            </w:rPr>
            <w:t xml:space="preserve">三、 </w:t>
          </w:r>
          <w:r>
            <w:rPr>
              <w:rFonts w:hint="eastAsia" w:ascii="黑体" w:hAnsi="黑体" w:eastAsia="黑体" w:cs="黑体"/>
              <w:bCs/>
              <w:szCs w:val="24"/>
              <w:highlight w:val="none"/>
              <w:lang w:val="en-US" w:eastAsia="zh-CN" w:bidi="ar-SA"/>
            </w:rPr>
            <w:t>工作范围</w:t>
          </w:r>
          <w:r>
            <w:tab/>
          </w:r>
          <w:r>
            <w:fldChar w:fldCharType="begin"/>
          </w:r>
          <w:r>
            <w:instrText xml:space="preserve"> PAGEREF _Toc18616 \h </w:instrText>
          </w:r>
          <w:r>
            <w:fldChar w:fldCharType="separate"/>
          </w:r>
          <w:r>
            <w:t>3</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_Toc21101 </w:instrText>
          </w:r>
          <w:r>
            <w:rPr>
              <w:highlight w:val="none"/>
            </w:rPr>
            <w:fldChar w:fldCharType="separate"/>
          </w:r>
          <w:r>
            <w:rPr>
              <w:rFonts w:hint="eastAsia" w:ascii="楷体" w:hAnsi="楷体" w:eastAsia="楷体" w:cs="楷体"/>
              <w:szCs w:val="32"/>
              <w:lang w:val="en-US" w:eastAsia="zh-CN"/>
            </w:rPr>
            <w:t xml:space="preserve">（一） </w:t>
          </w:r>
          <w:r>
            <w:rPr>
              <w:rFonts w:hint="eastAsia" w:ascii="楷体" w:hAnsi="楷体" w:eastAsia="楷体" w:cs="楷体"/>
              <w:szCs w:val="32"/>
              <w:highlight w:val="none"/>
              <w:lang w:val="en-US" w:eastAsia="zh-CN"/>
            </w:rPr>
            <w:t>国际海运</w:t>
          </w:r>
          <w:r>
            <w:tab/>
          </w:r>
          <w:r>
            <w:fldChar w:fldCharType="begin"/>
          </w:r>
          <w:r>
            <w:instrText xml:space="preserve"> PAGEREF _Toc21101 \h </w:instrText>
          </w:r>
          <w:r>
            <w:fldChar w:fldCharType="separate"/>
          </w:r>
          <w:r>
            <w:t>4</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_Toc10370 </w:instrText>
          </w:r>
          <w:r>
            <w:rPr>
              <w:highlight w:val="none"/>
            </w:rPr>
            <w:fldChar w:fldCharType="separate"/>
          </w:r>
          <w:r>
            <w:rPr>
              <w:rFonts w:hint="eastAsia" w:ascii="楷体" w:hAnsi="楷体" w:eastAsia="楷体" w:cs="楷体"/>
              <w:szCs w:val="32"/>
              <w:lang w:val="en-US" w:eastAsia="zh-CN"/>
            </w:rPr>
            <w:t xml:space="preserve">（二） </w:t>
          </w:r>
          <w:r>
            <w:rPr>
              <w:rFonts w:hint="eastAsia" w:ascii="楷体" w:hAnsi="楷体" w:eastAsia="楷体" w:cs="楷体"/>
              <w:szCs w:val="32"/>
              <w:highlight w:val="none"/>
              <w:lang w:val="en-US" w:eastAsia="zh-CN"/>
            </w:rPr>
            <w:t>疏港提运</w:t>
          </w:r>
          <w:r>
            <w:tab/>
          </w:r>
          <w:r>
            <w:fldChar w:fldCharType="begin"/>
          </w:r>
          <w:r>
            <w:instrText xml:space="preserve"> PAGEREF _Toc10370 \h </w:instrText>
          </w:r>
          <w:r>
            <w:fldChar w:fldCharType="separate"/>
          </w:r>
          <w:r>
            <w:t>5</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_Toc7377 </w:instrText>
          </w:r>
          <w:r>
            <w:rPr>
              <w:highlight w:val="none"/>
            </w:rPr>
            <w:fldChar w:fldCharType="separate"/>
          </w:r>
          <w:r>
            <w:rPr>
              <w:rFonts w:hint="eastAsia" w:ascii="楷体" w:hAnsi="楷体" w:eastAsia="楷体" w:cs="楷体"/>
              <w:szCs w:val="32"/>
              <w:lang w:val="en-US" w:eastAsia="zh-CN"/>
            </w:rPr>
            <w:t xml:space="preserve">（三） </w:t>
          </w:r>
          <w:r>
            <w:rPr>
              <w:rFonts w:hint="eastAsia" w:ascii="楷体" w:hAnsi="楷体" w:eastAsia="楷体" w:cs="楷体"/>
              <w:szCs w:val="32"/>
              <w:highlight w:val="none"/>
              <w:lang w:val="en-US" w:eastAsia="zh-CN"/>
            </w:rPr>
            <w:t>第三方费用</w:t>
          </w:r>
          <w:r>
            <w:tab/>
          </w:r>
          <w:r>
            <w:fldChar w:fldCharType="begin"/>
          </w:r>
          <w:r>
            <w:instrText xml:space="preserve"> PAGEREF _Toc7377 \h </w:instrText>
          </w:r>
          <w:r>
            <w:fldChar w:fldCharType="separate"/>
          </w:r>
          <w:r>
            <w:t>6</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_Toc11181 </w:instrText>
          </w:r>
          <w:r>
            <w:rPr>
              <w:highlight w:val="none"/>
            </w:rPr>
            <w:fldChar w:fldCharType="separate"/>
          </w:r>
          <w:r>
            <w:rPr>
              <w:rFonts w:hint="eastAsia" w:ascii="黑体" w:hAnsi="黑体" w:eastAsia="黑体" w:cs="黑体"/>
              <w:bCs/>
              <w:szCs w:val="24"/>
              <w:lang w:val="en-US" w:eastAsia="zh-CN" w:bidi="ar-SA"/>
            </w:rPr>
            <w:t xml:space="preserve">四、 </w:t>
          </w:r>
          <w:r>
            <w:rPr>
              <w:rFonts w:hint="eastAsia" w:ascii="黑体" w:hAnsi="黑体" w:eastAsia="黑体" w:cs="黑体"/>
              <w:bCs/>
              <w:szCs w:val="24"/>
              <w:highlight w:val="none"/>
              <w:lang w:val="en-US" w:eastAsia="zh-CN" w:bidi="ar-SA"/>
            </w:rPr>
            <w:t>工作界面</w:t>
          </w:r>
          <w:r>
            <w:tab/>
          </w:r>
          <w:r>
            <w:fldChar w:fldCharType="begin"/>
          </w:r>
          <w:r>
            <w:instrText xml:space="preserve"> PAGEREF _Toc11181 \h </w:instrText>
          </w:r>
          <w:r>
            <w:fldChar w:fldCharType="separate"/>
          </w:r>
          <w:r>
            <w:t>7</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_Toc3441 </w:instrText>
          </w:r>
          <w:r>
            <w:rPr>
              <w:highlight w:val="none"/>
            </w:rPr>
            <w:fldChar w:fldCharType="separate"/>
          </w:r>
          <w:r>
            <w:rPr>
              <w:rFonts w:hint="eastAsia" w:ascii="楷体" w:hAnsi="楷体" w:eastAsia="楷体" w:cs="楷体"/>
              <w:szCs w:val="32"/>
              <w:highlight w:val="none"/>
              <w:lang w:val="en-US" w:eastAsia="zh-CN"/>
            </w:rPr>
            <w:t>（一）国际海运</w:t>
          </w:r>
          <w:r>
            <w:tab/>
          </w:r>
          <w:r>
            <w:fldChar w:fldCharType="begin"/>
          </w:r>
          <w:r>
            <w:instrText xml:space="preserve"> PAGEREF _Toc3441 \h </w:instrText>
          </w:r>
          <w:r>
            <w:fldChar w:fldCharType="separate"/>
          </w:r>
          <w:r>
            <w:t>7</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_Toc2066 </w:instrText>
          </w:r>
          <w:r>
            <w:rPr>
              <w:highlight w:val="none"/>
            </w:rPr>
            <w:fldChar w:fldCharType="separate"/>
          </w:r>
          <w:r>
            <w:rPr>
              <w:rFonts w:hint="eastAsia"/>
              <w:highlight w:val="none"/>
              <w:lang w:val="en-US" w:eastAsia="zh-CN"/>
            </w:rPr>
            <w:t>（二）</w:t>
          </w:r>
          <w:r>
            <w:rPr>
              <w:rFonts w:hint="eastAsia" w:ascii="楷体" w:hAnsi="楷体" w:eastAsia="楷体" w:cs="楷体"/>
              <w:szCs w:val="32"/>
              <w:highlight w:val="none"/>
              <w:lang w:val="en-US" w:eastAsia="zh-CN"/>
            </w:rPr>
            <w:t>疏港提运</w:t>
          </w:r>
          <w:r>
            <w:tab/>
          </w:r>
          <w:r>
            <w:fldChar w:fldCharType="begin"/>
          </w:r>
          <w:r>
            <w:instrText xml:space="preserve"> PAGEREF _Toc2066 \h </w:instrText>
          </w:r>
          <w:r>
            <w:fldChar w:fldCharType="separate"/>
          </w:r>
          <w:r>
            <w:t>8</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_Toc6036 </w:instrText>
          </w:r>
          <w:r>
            <w:rPr>
              <w:highlight w:val="none"/>
            </w:rPr>
            <w:fldChar w:fldCharType="separate"/>
          </w:r>
          <w:r>
            <w:rPr>
              <w:rFonts w:hint="eastAsia"/>
              <w:highlight w:val="none"/>
              <w:lang w:val="en-US" w:eastAsia="zh-CN"/>
            </w:rPr>
            <w:t>（三）</w:t>
          </w:r>
          <w:r>
            <w:rPr>
              <w:rFonts w:hint="eastAsia" w:ascii="楷体" w:hAnsi="楷体" w:eastAsia="楷体" w:cs="楷体"/>
              <w:szCs w:val="32"/>
              <w:highlight w:val="none"/>
              <w:lang w:val="en-US" w:eastAsia="zh-CN"/>
            </w:rPr>
            <w:t>运输进度计划控制表</w:t>
          </w:r>
          <w:r>
            <w:tab/>
          </w:r>
          <w:r>
            <w:fldChar w:fldCharType="begin"/>
          </w:r>
          <w:r>
            <w:instrText xml:space="preserve"> PAGEREF _Toc6036 \h </w:instrText>
          </w:r>
          <w:r>
            <w:fldChar w:fldCharType="separate"/>
          </w:r>
          <w:r>
            <w:t>9</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_Toc3406 </w:instrText>
          </w:r>
          <w:r>
            <w:rPr>
              <w:highlight w:val="none"/>
            </w:rPr>
            <w:fldChar w:fldCharType="separate"/>
          </w:r>
          <w:r>
            <w:rPr>
              <w:rFonts w:hint="eastAsia" w:ascii="黑体" w:hAnsi="黑体" w:eastAsia="黑体" w:cs="黑体"/>
              <w:bCs/>
              <w:szCs w:val="24"/>
              <w:lang w:val="en-US" w:eastAsia="zh-CN" w:bidi="ar-SA"/>
            </w:rPr>
            <w:t xml:space="preserve">五、 </w:t>
          </w:r>
          <w:r>
            <w:rPr>
              <w:rFonts w:hint="eastAsia" w:ascii="黑体" w:hAnsi="黑体" w:eastAsia="黑体" w:cs="黑体"/>
              <w:bCs/>
              <w:szCs w:val="24"/>
              <w:highlight w:val="none"/>
              <w:lang w:val="en-US" w:eastAsia="zh-CN" w:bidi="ar-SA"/>
            </w:rPr>
            <w:t>技术要求</w:t>
          </w:r>
          <w:r>
            <w:tab/>
          </w:r>
          <w:r>
            <w:fldChar w:fldCharType="begin"/>
          </w:r>
          <w:r>
            <w:instrText xml:space="preserve"> PAGEREF _Toc3406 \h </w:instrText>
          </w:r>
          <w:r>
            <w:fldChar w:fldCharType="separate"/>
          </w:r>
          <w:r>
            <w:t>10</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_Toc6163 </w:instrText>
          </w:r>
          <w:r>
            <w:rPr>
              <w:highlight w:val="none"/>
            </w:rPr>
            <w:fldChar w:fldCharType="separate"/>
          </w:r>
          <w:r>
            <w:rPr>
              <w:rFonts w:hint="eastAsia"/>
              <w:highlight w:val="none"/>
              <w:lang w:val="en-US" w:eastAsia="zh-CN"/>
            </w:rPr>
            <w:t>（一）</w:t>
          </w:r>
          <w:r>
            <w:rPr>
              <w:rFonts w:hint="eastAsia" w:ascii="楷体" w:hAnsi="楷体" w:eastAsia="楷体" w:cs="楷体"/>
              <w:szCs w:val="32"/>
              <w:highlight w:val="none"/>
              <w:lang w:val="en-US" w:eastAsia="zh-CN"/>
            </w:rPr>
            <w:t>国际海运</w:t>
          </w:r>
          <w:r>
            <w:tab/>
          </w:r>
          <w:r>
            <w:fldChar w:fldCharType="begin"/>
          </w:r>
          <w:r>
            <w:instrText xml:space="preserve"> PAGEREF _Toc6163 \h </w:instrText>
          </w:r>
          <w:r>
            <w:fldChar w:fldCharType="separate"/>
          </w:r>
          <w:r>
            <w:t>10</w:t>
          </w:r>
          <w:r>
            <w:fldChar w:fldCharType="end"/>
          </w:r>
          <w:r>
            <w:rPr>
              <w:highlight w:val="none"/>
            </w:rPr>
            <w:fldChar w:fldCharType="end"/>
          </w:r>
        </w:p>
        <w:p>
          <w:pPr>
            <w:pStyle w:val="4"/>
            <w:tabs>
              <w:tab w:val="right" w:leader="dot" w:pos="8306"/>
            </w:tabs>
          </w:pPr>
          <w:r>
            <w:rPr>
              <w:highlight w:val="none"/>
            </w:rPr>
            <w:fldChar w:fldCharType="begin"/>
          </w:r>
          <w:r>
            <w:rPr>
              <w:highlight w:val="none"/>
            </w:rPr>
            <w:instrText xml:space="preserve"> HYPERLINK \l _Toc27094 </w:instrText>
          </w:r>
          <w:r>
            <w:rPr>
              <w:highlight w:val="none"/>
            </w:rPr>
            <w:fldChar w:fldCharType="separate"/>
          </w:r>
          <w:r>
            <w:rPr>
              <w:rFonts w:hint="eastAsia"/>
              <w:highlight w:val="none"/>
              <w:lang w:val="en-US" w:eastAsia="zh-CN"/>
            </w:rPr>
            <w:t>（二）</w:t>
          </w:r>
          <w:r>
            <w:rPr>
              <w:rFonts w:hint="eastAsia" w:ascii="楷体" w:hAnsi="楷体" w:eastAsia="楷体" w:cs="楷体"/>
              <w:szCs w:val="32"/>
              <w:highlight w:val="none"/>
              <w:lang w:val="en-US" w:eastAsia="zh-CN"/>
            </w:rPr>
            <w:t>疏港提运</w:t>
          </w:r>
          <w:r>
            <w:tab/>
          </w:r>
          <w:r>
            <w:fldChar w:fldCharType="begin"/>
          </w:r>
          <w:r>
            <w:instrText xml:space="preserve"> PAGEREF _Toc27094 \h </w:instrText>
          </w:r>
          <w:r>
            <w:fldChar w:fldCharType="separate"/>
          </w:r>
          <w:r>
            <w:t>13</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_Toc15495 </w:instrText>
          </w:r>
          <w:r>
            <w:rPr>
              <w:highlight w:val="none"/>
            </w:rPr>
            <w:fldChar w:fldCharType="separate"/>
          </w:r>
          <w:r>
            <w:rPr>
              <w:rFonts w:hint="eastAsia" w:ascii="黑体" w:hAnsi="黑体" w:eastAsia="黑体" w:cs="黑体"/>
              <w:bCs/>
              <w:kern w:val="44"/>
              <w:szCs w:val="24"/>
              <w:highlight w:val="none"/>
              <w:lang w:val="en-US" w:eastAsia="zh-CN" w:bidi="ar-SA"/>
            </w:rPr>
            <w:t>★六、业绩及技术资格要求</w:t>
          </w:r>
          <w:r>
            <w:tab/>
          </w:r>
          <w:r>
            <w:fldChar w:fldCharType="begin"/>
          </w:r>
          <w:r>
            <w:instrText xml:space="preserve"> PAGEREF _Toc15495 \h </w:instrText>
          </w:r>
          <w:r>
            <w:fldChar w:fldCharType="separate"/>
          </w:r>
          <w:r>
            <w:t>15</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_Toc20980 </w:instrText>
          </w:r>
          <w:r>
            <w:rPr>
              <w:highlight w:val="none"/>
            </w:rPr>
            <w:fldChar w:fldCharType="separate"/>
          </w:r>
          <w:r>
            <w:rPr>
              <w:rFonts w:hint="eastAsia" w:ascii="黑体" w:hAnsi="黑体" w:eastAsia="黑体" w:cs="黑体"/>
              <w:bCs/>
              <w:szCs w:val="24"/>
              <w:highlight w:val="none"/>
              <w:lang w:val="en-US" w:eastAsia="zh-CN" w:bidi="ar-SA"/>
            </w:rPr>
            <w:t>七、监督管理及考核</w:t>
          </w:r>
          <w:r>
            <w:tab/>
          </w:r>
          <w:r>
            <w:fldChar w:fldCharType="begin"/>
          </w:r>
          <w:r>
            <w:instrText xml:space="preserve"> PAGEREF _Toc20980 \h </w:instrText>
          </w:r>
          <w:r>
            <w:fldChar w:fldCharType="separate"/>
          </w:r>
          <w:r>
            <w:t>16</w:t>
          </w:r>
          <w:r>
            <w:fldChar w:fldCharType="end"/>
          </w:r>
          <w:r>
            <w:rPr>
              <w:highlight w:val="none"/>
            </w:rPr>
            <w:fldChar w:fldCharType="end"/>
          </w:r>
        </w:p>
        <w:p>
          <w:pPr>
            <w:pStyle w:val="10"/>
            <w:tabs>
              <w:tab w:val="right" w:leader="dot" w:pos="8306"/>
            </w:tabs>
          </w:pPr>
          <w:r>
            <w:rPr>
              <w:highlight w:val="none"/>
            </w:rPr>
            <w:fldChar w:fldCharType="begin"/>
          </w:r>
          <w:r>
            <w:rPr>
              <w:highlight w:val="none"/>
            </w:rPr>
            <w:instrText xml:space="preserve"> HYPERLINK \l _Toc30941 </w:instrText>
          </w:r>
          <w:r>
            <w:rPr>
              <w:highlight w:val="none"/>
            </w:rPr>
            <w:fldChar w:fldCharType="separate"/>
          </w:r>
          <w:r>
            <w:rPr>
              <w:rFonts w:hint="eastAsia" w:ascii="黑体" w:hAnsi="黑体" w:eastAsia="黑体" w:cs="黑体"/>
              <w:bCs/>
              <w:szCs w:val="24"/>
              <w:highlight w:val="none"/>
              <w:lang w:val="en-US" w:eastAsia="zh-CN" w:bidi="ar-SA"/>
            </w:rPr>
            <w:t>八、附录</w:t>
          </w:r>
          <w:r>
            <w:tab/>
          </w:r>
          <w:r>
            <w:fldChar w:fldCharType="begin"/>
          </w:r>
          <w:r>
            <w:instrText xml:space="preserve"> PAGEREF _Toc30941 \h </w:instrText>
          </w:r>
          <w:r>
            <w:fldChar w:fldCharType="separate"/>
          </w:r>
          <w:r>
            <w:t>17</w:t>
          </w:r>
          <w:r>
            <w:fldChar w:fldCharType="end"/>
          </w:r>
          <w:r>
            <w:rPr>
              <w:highlight w:val="none"/>
            </w:rPr>
            <w:fldChar w:fldCharType="end"/>
          </w:r>
        </w:p>
        <w:p>
          <w:pPr>
            <w:rPr>
              <w:highlight w:val="none"/>
            </w:rPr>
          </w:pPr>
          <w:r>
            <w:rPr>
              <w:highlight w:val="none"/>
            </w:rPr>
            <w:fldChar w:fldCharType="end"/>
          </w:r>
        </w:p>
      </w:sdtContent>
    </w:sdt>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5"/>
        <w:pageBreakBefore w:val="0"/>
        <w:widowControl w:val="0"/>
        <w:numPr>
          <w:ilvl w:val="0"/>
          <w:numId w:val="1"/>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0" w:name="_Toc10755"/>
      <w:bookmarkStart w:id="1" w:name="_Toc16811"/>
      <w:bookmarkStart w:id="2" w:name="_Toc31274"/>
      <w:bookmarkStart w:id="3" w:name="_Toc17226"/>
      <w:r>
        <w:rPr>
          <w:rFonts w:hint="eastAsia" w:ascii="黑体" w:hAnsi="黑体" w:eastAsia="黑体" w:cs="黑体"/>
          <w:b w:val="0"/>
          <w:bCs/>
          <w:sz w:val="32"/>
          <w:szCs w:val="24"/>
          <w:highlight w:val="none"/>
          <w:lang w:val="en-US" w:eastAsia="zh-CN" w:bidi="ar-SA"/>
        </w:rPr>
        <w:t>项目概况</w:t>
      </w:r>
      <w:bookmarkEnd w:id="0"/>
      <w:bookmarkEnd w:id="1"/>
      <w:bookmarkEnd w:id="2"/>
      <w:bookmarkEnd w:id="3"/>
    </w:p>
    <w:p>
      <w:pPr>
        <w:pageBreakBefore w:val="0"/>
        <w:kinsoku/>
        <w:wordWrap/>
        <w:overflowPunct/>
        <w:topLinePunct w:val="0"/>
        <w:autoSpaceDE/>
        <w:autoSpaceDN/>
        <w:bidi w:val="0"/>
        <w:adjustRightInd/>
        <w:spacing w:line="560" w:lineRule="exact"/>
        <w:ind w:firstLine="640" w:firstLineChars="200"/>
        <w:jc w:val="left"/>
        <w:rPr>
          <w:rFonts w:hint="eastAsia" w:ascii="仿宋" w:hAnsi="仿宋" w:eastAsia="仿宋" w:cs="仿宋"/>
          <w:kern w:val="0"/>
          <w:sz w:val="32"/>
          <w:szCs w:val="32"/>
          <w:highlight w:val="none"/>
          <w:lang w:val="en-US" w:eastAsia="zh-CN" w:bidi="ar-SA"/>
        </w:rPr>
      </w:pPr>
      <w:bookmarkStart w:id="4" w:name="_Toc30473"/>
      <w:bookmarkStart w:id="5" w:name="_Toc17747"/>
      <w:bookmarkStart w:id="6" w:name="_Toc9371"/>
      <w:r>
        <w:rPr>
          <w:rFonts w:hint="eastAsia" w:ascii="仿宋" w:hAnsi="仿宋" w:eastAsia="仿宋" w:cs="仿宋"/>
          <w:kern w:val="0"/>
          <w:sz w:val="32"/>
          <w:szCs w:val="32"/>
          <w:highlight w:val="none"/>
          <w:lang w:val="en-US" w:eastAsia="zh-CN" w:bidi="ar-SA"/>
        </w:rPr>
        <w:t>中海壳牌聚碳</w:t>
      </w:r>
      <w:r>
        <w:rPr>
          <w:rFonts w:hint="eastAsia" w:ascii="仿宋" w:hAnsi="仿宋" w:eastAsia="仿宋" w:cs="仿宋"/>
          <w:kern w:val="0"/>
          <w:sz w:val="32"/>
          <w:szCs w:val="32"/>
          <w:highlight w:val="none"/>
          <w:lang w:val="en-US" w:eastAsia="zh-CN"/>
        </w:rPr>
        <w:t>酸酯</w:t>
      </w:r>
      <w:r>
        <w:rPr>
          <w:rFonts w:hint="eastAsia" w:ascii="仿宋" w:hAnsi="仿宋" w:eastAsia="仿宋" w:cs="仿宋"/>
          <w:kern w:val="0"/>
          <w:sz w:val="32"/>
          <w:szCs w:val="32"/>
          <w:highlight w:val="none"/>
          <w:lang w:val="en-US" w:eastAsia="zh-CN" w:bidi="ar-SA"/>
        </w:rPr>
        <w:t>项目位于广东省惠州市大亚湾石化园区内，聚碳</w:t>
      </w:r>
      <w:r>
        <w:rPr>
          <w:rFonts w:hint="eastAsia" w:ascii="仿宋" w:hAnsi="仿宋" w:eastAsia="仿宋" w:cs="仿宋"/>
          <w:kern w:val="0"/>
          <w:sz w:val="32"/>
          <w:szCs w:val="32"/>
          <w:highlight w:val="none"/>
          <w:lang w:val="en-US" w:eastAsia="zh-CN"/>
        </w:rPr>
        <w:t>酸酯</w:t>
      </w:r>
      <w:r>
        <w:rPr>
          <w:rFonts w:hint="eastAsia" w:ascii="仿宋" w:hAnsi="仿宋" w:eastAsia="仿宋" w:cs="仿宋"/>
          <w:kern w:val="0"/>
          <w:sz w:val="32"/>
          <w:szCs w:val="32"/>
          <w:highlight w:val="none"/>
          <w:lang w:val="en-US" w:eastAsia="zh-CN" w:bidi="ar-SA"/>
        </w:rPr>
        <w:t>项目用地位于中海壳牌一期，总用地面积约29公顷，建设内容包括3 套生产装置，包括 24万吨/年双酚 A 装置（包括双酚 A 中间罐区）、22 万吨/年碳酸二苯酯装置（包括 DPC 中间罐区）、26 万吨/年聚碳酸酯装置（包括 PC 产品包装及仓库），并配套公用工程和辅助设施，包括新建循环水场、高盐废水处理设施、储运设施、联合控制室等。</w:t>
      </w:r>
    </w:p>
    <w:p>
      <w:pPr>
        <w:pStyle w:val="5"/>
        <w:pageBreakBefore w:val="0"/>
        <w:widowControl w:val="0"/>
        <w:numPr>
          <w:ilvl w:val="0"/>
          <w:numId w:val="1"/>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7" w:name="_Toc2243"/>
      <w:r>
        <w:rPr>
          <w:rFonts w:hint="eastAsia" w:ascii="黑体" w:hAnsi="黑体" w:eastAsia="黑体" w:cs="黑体"/>
          <w:b w:val="0"/>
          <w:bCs/>
          <w:sz w:val="32"/>
          <w:szCs w:val="24"/>
          <w:highlight w:val="none"/>
          <w:lang w:val="en-US" w:eastAsia="zh-CN" w:bidi="ar-SA"/>
        </w:rPr>
        <w:t>进口物资概况</w:t>
      </w:r>
      <w:bookmarkEnd w:id="4"/>
      <w:bookmarkEnd w:id="5"/>
      <w:bookmarkEnd w:id="6"/>
      <w:bookmarkEnd w:id="7"/>
    </w:p>
    <w:p>
      <w:pPr>
        <w:pageBreakBefore w:val="0"/>
        <w:kinsoku/>
        <w:wordWrap/>
        <w:overflowPunct/>
        <w:topLinePunct w:val="0"/>
        <w:autoSpaceDE/>
        <w:autoSpaceDN/>
        <w:bidi w:val="0"/>
        <w:adjustRightInd/>
        <w:spacing w:before="156" w:beforeLines="50" w:after="156" w:afterLines="50" w:line="560" w:lineRule="exact"/>
        <w:ind w:left="0" w:firstLine="640" w:firstLineChars="200"/>
        <w:rPr>
          <w:rFonts w:hint="eastAsia"/>
          <w:highlight w:val="none"/>
        </w:rPr>
      </w:pPr>
      <w:r>
        <w:rPr>
          <w:rFonts w:hint="eastAsia" w:ascii="仿宋" w:hAnsi="仿宋" w:eastAsia="仿宋" w:cs="仿宋"/>
          <w:kern w:val="0"/>
          <w:sz w:val="32"/>
          <w:szCs w:val="32"/>
          <w:highlight w:val="none"/>
          <w:lang w:val="en-US" w:eastAsia="zh-CN" w:bidi="ar-SA"/>
        </w:rPr>
        <w:t>中海壳牌惠州聚碳酸酯项目预计共签署70个进口采办合同，进口货值约13亿人民币</w:t>
      </w:r>
      <w:r>
        <w:rPr>
          <w:rFonts w:hint="eastAsia" w:ascii="仿宋" w:hAnsi="仿宋" w:eastAsia="仿宋" w:cs="仿宋"/>
          <w:kern w:val="0"/>
          <w:sz w:val="32"/>
          <w:szCs w:val="32"/>
          <w:highlight w:val="none"/>
        </w:rPr>
        <w:t>。其中部分进口物资选择FOB成交方式，海运的集装箱以深圳盐田港</w:t>
      </w:r>
      <w:r>
        <w:rPr>
          <w:rFonts w:hint="eastAsia" w:ascii="仿宋" w:hAnsi="仿宋" w:eastAsia="仿宋" w:cs="仿宋"/>
          <w:kern w:val="0"/>
          <w:sz w:val="32"/>
          <w:szCs w:val="32"/>
          <w:highlight w:val="none"/>
          <w:lang w:val="en-US" w:eastAsia="zh-CN"/>
        </w:rPr>
        <w:t>为主要</w:t>
      </w:r>
      <w:r>
        <w:rPr>
          <w:rFonts w:hint="eastAsia" w:ascii="仿宋" w:hAnsi="仿宋" w:eastAsia="仿宋" w:cs="仿宋"/>
          <w:kern w:val="0"/>
          <w:sz w:val="32"/>
          <w:szCs w:val="32"/>
          <w:highlight w:val="none"/>
        </w:rPr>
        <w:t>进口口岸</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lang w:val="en-US" w:eastAsia="zh-CN"/>
        </w:rPr>
        <w:t>散杂货</w:t>
      </w:r>
      <w:r>
        <w:rPr>
          <w:rFonts w:hint="eastAsia" w:ascii="仿宋" w:hAnsi="仿宋" w:eastAsia="仿宋" w:cs="仿宋"/>
          <w:kern w:val="0"/>
          <w:sz w:val="32"/>
          <w:szCs w:val="32"/>
          <w:highlight w:val="none"/>
        </w:rPr>
        <w:t>以深圳</w:t>
      </w:r>
      <w:r>
        <w:rPr>
          <w:rFonts w:hint="eastAsia" w:ascii="仿宋" w:hAnsi="仿宋" w:eastAsia="仿宋" w:cs="仿宋"/>
          <w:kern w:val="0"/>
          <w:sz w:val="32"/>
          <w:szCs w:val="32"/>
          <w:highlight w:val="none"/>
          <w:lang w:val="en-US" w:eastAsia="zh-CN"/>
        </w:rPr>
        <w:t>蛇口</w:t>
      </w:r>
      <w:r>
        <w:rPr>
          <w:rFonts w:hint="eastAsia" w:ascii="仿宋" w:hAnsi="仿宋" w:eastAsia="仿宋" w:cs="仿宋"/>
          <w:kern w:val="0"/>
          <w:sz w:val="32"/>
          <w:szCs w:val="32"/>
          <w:highlight w:val="none"/>
        </w:rPr>
        <w:t>港</w:t>
      </w:r>
      <w:r>
        <w:rPr>
          <w:rFonts w:hint="eastAsia" w:ascii="仿宋" w:hAnsi="仿宋" w:eastAsia="仿宋" w:cs="仿宋"/>
          <w:kern w:val="0"/>
          <w:sz w:val="32"/>
          <w:szCs w:val="32"/>
          <w:highlight w:val="none"/>
          <w:lang w:val="en-US" w:eastAsia="zh-CN"/>
        </w:rPr>
        <w:t>为主要</w:t>
      </w:r>
      <w:r>
        <w:rPr>
          <w:rFonts w:hint="eastAsia" w:ascii="仿宋" w:hAnsi="仿宋" w:eastAsia="仿宋" w:cs="仿宋"/>
          <w:kern w:val="0"/>
          <w:sz w:val="32"/>
          <w:szCs w:val="32"/>
          <w:highlight w:val="none"/>
        </w:rPr>
        <w:t>进口口岸</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rPr>
        <w:t>进口物资种类主要包含(最终以实际采购合同数量为准)：</w:t>
      </w:r>
      <w:r>
        <w:rPr>
          <w:rFonts w:hint="eastAsia" w:ascii="仿宋" w:hAnsi="仿宋" w:eastAsia="仿宋" w:cs="仿宋"/>
          <w:kern w:val="0"/>
          <w:sz w:val="32"/>
          <w:szCs w:val="32"/>
          <w:highlight w:val="none"/>
          <w:lang w:val="en-US" w:eastAsia="zh-CN"/>
        </w:rPr>
        <w:t>进口物资主要包括各装置静设备、机械设备、工业炉、自控仪表、热工、工艺管道及催化剂及化学药剂等。</w:t>
      </w:r>
    </w:p>
    <w:p>
      <w:pPr>
        <w:pStyle w:val="14"/>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国际物流服务的实施时间约为2026年1月至2027年7月，具体以甲方实际工期为准。</w:t>
      </w:r>
    </w:p>
    <w:p>
      <w:pPr>
        <w:pStyle w:val="5"/>
        <w:pageBreakBefore w:val="0"/>
        <w:widowControl w:val="0"/>
        <w:numPr>
          <w:ilvl w:val="0"/>
          <w:numId w:val="1"/>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8" w:name="_Toc208"/>
      <w:bookmarkStart w:id="9" w:name="_Toc3785"/>
      <w:bookmarkStart w:id="10" w:name="_Toc18616"/>
      <w:bookmarkStart w:id="11" w:name="_Toc734727000"/>
      <w:bookmarkStart w:id="12" w:name="_Toc29864"/>
      <w:r>
        <w:rPr>
          <w:rFonts w:hint="eastAsia" w:ascii="黑体" w:hAnsi="黑体" w:eastAsia="黑体" w:cs="黑体"/>
          <w:b w:val="0"/>
          <w:bCs/>
          <w:sz w:val="32"/>
          <w:szCs w:val="24"/>
          <w:highlight w:val="none"/>
          <w:lang w:val="en-US" w:eastAsia="zh-CN" w:bidi="ar-SA"/>
        </w:rPr>
        <w:t>工作范围</w:t>
      </w:r>
      <w:bookmarkEnd w:id="8"/>
      <w:bookmarkEnd w:id="9"/>
      <w:bookmarkEnd w:id="10"/>
      <w:bookmarkEnd w:id="11"/>
      <w:bookmarkEnd w:id="12"/>
    </w:p>
    <w:p>
      <w:pPr>
        <w:keepNext w:val="0"/>
        <w:keepLines w:val="0"/>
        <w:pageBreakBefore w:val="0"/>
        <w:widowControl w:val="0"/>
        <w:kinsoku/>
        <w:wordWrap/>
        <w:overflowPunct/>
        <w:topLinePunct w:val="0"/>
        <w:autoSpaceDE/>
        <w:autoSpaceDN/>
        <w:bidi w:val="0"/>
        <w:adjustRightInd/>
        <w:snapToGrid/>
        <w:spacing w:before="156" w:beforeLines="50" w:after="156" w:afterLines="5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中海壳牌聚碳酸酯项目国际远洋物流、疏港运输代理服务范围包括：</w:t>
      </w:r>
    </w:p>
    <w:p>
      <w:pPr>
        <w:pStyle w:val="6"/>
        <w:pageBreakBefore w:val="0"/>
        <w:numPr>
          <w:ilvl w:val="0"/>
          <w:numId w:val="2"/>
        </w:numPr>
        <w:kinsoku/>
        <w:wordWrap/>
        <w:overflowPunct/>
        <w:topLinePunct w:val="0"/>
        <w:autoSpaceDE/>
        <w:autoSpaceDN/>
        <w:bidi w:val="0"/>
        <w:adjustRightInd/>
        <w:spacing w:line="560" w:lineRule="exact"/>
        <w:ind w:firstLine="643" w:firstLineChars="200"/>
        <w:rPr>
          <w:rFonts w:hint="eastAsia" w:ascii="楷体" w:hAnsi="楷体" w:eastAsia="楷体" w:cs="楷体"/>
          <w:b/>
          <w:sz w:val="32"/>
          <w:szCs w:val="32"/>
          <w:highlight w:val="none"/>
          <w:lang w:val="en-US" w:eastAsia="zh-CN"/>
        </w:rPr>
      </w:pPr>
      <w:bookmarkStart w:id="13" w:name="_Toc25386"/>
      <w:bookmarkStart w:id="14" w:name="_Toc7179"/>
      <w:bookmarkStart w:id="15" w:name="_Toc21101"/>
      <w:bookmarkStart w:id="16" w:name="_Toc368012487"/>
      <w:bookmarkStart w:id="17" w:name="_Toc21910"/>
      <w:r>
        <w:rPr>
          <w:rFonts w:hint="eastAsia" w:ascii="楷体" w:hAnsi="楷体" w:eastAsia="楷体" w:cs="楷体"/>
          <w:b/>
          <w:sz w:val="32"/>
          <w:szCs w:val="32"/>
          <w:highlight w:val="none"/>
          <w:lang w:val="en-US" w:eastAsia="zh-CN"/>
        </w:rPr>
        <w:t>国际海运</w:t>
      </w:r>
      <w:bookmarkEnd w:id="13"/>
      <w:bookmarkEnd w:id="14"/>
      <w:bookmarkEnd w:id="15"/>
      <w:bookmarkEnd w:id="16"/>
      <w:bookmarkEnd w:id="17"/>
    </w:p>
    <w:p>
      <w:pPr>
        <w:pageBreakBefore w:val="0"/>
        <w:widowControl/>
        <w:numPr>
          <w:ilvl w:val="0"/>
          <w:numId w:val="3"/>
        </w:numPr>
        <w:kinsoku/>
        <w:wordWrap/>
        <w:overflowPunct/>
        <w:topLinePunct w:val="0"/>
        <w:autoSpaceDE/>
        <w:autoSpaceDN/>
        <w:bidi w:val="0"/>
        <w:adjustRightInd/>
        <w:snapToGrid w:val="0"/>
        <w:spacing w:before="156" w:beforeLines="50" w:line="560" w:lineRule="exact"/>
        <w:ind w:left="410" w:firstLine="640" w:firstLineChars="200"/>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bidi="ar-SA"/>
        </w:rPr>
        <w:t>负责完成1个FOB进口物资合</w:t>
      </w:r>
      <w:r>
        <w:rPr>
          <w:rFonts w:hint="eastAsia" w:ascii="仿宋" w:hAnsi="仿宋" w:eastAsia="仿宋" w:cs="仿宋"/>
          <w:color w:val="auto"/>
          <w:kern w:val="0"/>
          <w:sz w:val="32"/>
          <w:szCs w:val="32"/>
          <w:highlight w:val="none"/>
          <w:lang w:val="en-US" w:eastAsia="zh-CN" w:bidi="ar-SA"/>
        </w:rPr>
        <w:t>同、3台套</w:t>
      </w:r>
      <w:r>
        <w:rPr>
          <w:rFonts w:hint="eastAsia" w:ascii="仿宋" w:hAnsi="仿宋" w:eastAsia="仿宋" w:cs="仿宋"/>
          <w:kern w:val="0"/>
          <w:sz w:val="32"/>
          <w:szCs w:val="32"/>
          <w:highlight w:val="none"/>
          <w:lang w:val="en-US" w:eastAsia="zh-CN" w:bidi="ar-SA"/>
        </w:rPr>
        <w:t>设备从国外起运港至中国目的港的海运货物代理服务，包括但不限于租船订舱、提供集装箱、集装箱/散杂货物的交接、配载、装船、缮制相关单证、运输、装卸、绑扎、解绑以及支付第三方费用等相关物流工作。乙方需选择最优运输路线，减少业主运营成本，节省时间，按期完成交运。具体设备清单请见附件一。</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负责服务范围内设备运输方案的编制，按照甲方要求办理重大作业审批相关手续（如需要）；</w:t>
      </w:r>
    </w:p>
    <w:p>
      <w:pPr>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rPr>
          <w:rFonts w:hint="eastAsia" w:ascii="仿宋" w:hAnsi="仿宋" w:eastAsia="仿宋" w:cs="仿宋"/>
          <w:kern w:val="0"/>
          <w:sz w:val="32"/>
          <w:szCs w:val="32"/>
          <w:highlight w:val="none"/>
        </w:rPr>
      </w:pPr>
      <w:r>
        <w:rPr>
          <w:rFonts w:hint="eastAsia" w:ascii="仿宋" w:hAnsi="仿宋" w:eastAsia="仿宋" w:cs="仿宋"/>
          <w:kern w:val="0"/>
          <w:sz w:val="32"/>
          <w:szCs w:val="32"/>
          <w:highlight w:val="none"/>
          <w:lang w:val="en-US" w:eastAsia="zh-CN" w:bidi="ar-SA"/>
        </w:rPr>
        <w:t>租船订舱：根据合同交货期提前与制造商沟通具体交货时间，提前7个工作日提供租船订舱信息给制造商，制造商根据订舱信息负责货物的集港。普通集装箱（GP/HC）应提供不少于14天的免箱期，特种柜集装箱（FR）应提供不少于3天的免箱期。</w:t>
      </w:r>
    </w:p>
    <w:p>
      <w:pPr>
        <w:pageBreakBefore w:val="0"/>
        <w:numPr>
          <w:ilvl w:val="0"/>
          <w:numId w:val="3"/>
        </w:numPr>
        <w:kinsoku/>
        <w:wordWrap/>
        <w:overflowPunct/>
        <w:topLinePunct w:val="0"/>
        <w:autoSpaceDE/>
        <w:autoSpaceDN/>
        <w:bidi w:val="0"/>
        <w:adjustRightInd/>
        <w:snapToGrid w:val="0"/>
        <w:spacing w:before="156" w:beforeLines="50" w:line="560" w:lineRule="exact"/>
        <w:ind w:left="410" w:firstLine="640" w:firstLineChars="200"/>
        <w:rPr>
          <w:rFonts w:hint="eastAsia" w:ascii="仿宋" w:hAnsi="仿宋" w:eastAsia="仿宋" w:cs="仿宋"/>
          <w:kern w:val="0"/>
          <w:sz w:val="32"/>
          <w:szCs w:val="32"/>
          <w:highlight w:val="none"/>
        </w:rPr>
      </w:pPr>
      <w:r>
        <w:rPr>
          <w:rFonts w:hint="eastAsia" w:ascii="仿宋" w:hAnsi="仿宋" w:eastAsia="仿宋" w:cs="仿宋"/>
          <w:kern w:val="0"/>
          <w:sz w:val="32"/>
          <w:szCs w:val="32"/>
          <w:highlight w:val="none"/>
        </w:rPr>
        <w:t>乙方代表甲方直接与供应商、船公司、本地货代等相关方跟踪</w:t>
      </w:r>
      <w:r>
        <w:rPr>
          <w:rFonts w:hint="eastAsia" w:ascii="仿宋" w:hAnsi="仿宋" w:eastAsia="仿宋" w:cs="仿宋"/>
          <w:kern w:val="0"/>
          <w:sz w:val="32"/>
          <w:szCs w:val="32"/>
          <w:highlight w:val="none"/>
          <w:lang w:val="en-US" w:eastAsia="zh-CN"/>
        </w:rPr>
        <w:t>设备备货出厂进度、</w:t>
      </w:r>
      <w:r>
        <w:rPr>
          <w:rFonts w:hint="eastAsia" w:ascii="仿宋" w:hAnsi="仿宋" w:eastAsia="仿宋" w:cs="仿宋"/>
          <w:kern w:val="0"/>
          <w:sz w:val="32"/>
          <w:szCs w:val="32"/>
          <w:highlight w:val="none"/>
        </w:rPr>
        <w:t>运输</w:t>
      </w:r>
      <w:r>
        <w:rPr>
          <w:rFonts w:hint="eastAsia" w:ascii="仿宋" w:hAnsi="仿宋" w:eastAsia="仿宋" w:cs="仿宋"/>
          <w:kern w:val="0"/>
          <w:sz w:val="32"/>
          <w:szCs w:val="32"/>
          <w:highlight w:val="none"/>
          <w:lang w:val="en-US" w:eastAsia="zh-CN"/>
        </w:rPr>
        <w:t>状态</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lang w:val="en-US" w:eastAsia="zh-CN"/>
        </w:rPr>
        <w:t>运输单据制作等</w:t>
      </w:r>
      <w:r>
        <w:rPr>
          <w:rFonts w:hint="eastAsia" w:ascii="仿宋" w:hAnsi="仿宋" w:eastAsia="仿宋" w:cs="仿宋"/>
          <w:kern w:val="0"/>
          <w:sz w:val="32"/>
          <w:szCs w:val="32"/>
          <w:highlight w:val="none"/>
        </w:rPr>
        <w:t>，及时协调解决运输过程中出现的各种问题；</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rPr>
        <w:t>船务文件</w:t>
      </w:r>
      <w:r>
        <w:rPr>
          <w:rFonts w:hint="eastAsia" w:ascii="仿宋" w:hAnsi="仿宋" w:eastAsia="仿宋" w:cs="仿宋"/>
          <w:kern w:val="0"/>
          <w:sz w:val="32"/>
          <w:szCs w:val="32"/>
          <w:highlight w:val="none"/>
          <w:lang w:val="en-US" w:eastAsia="zh-CN"/>
        </w:rPr>
        <w:t>管理</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rPr>
        <w:t>乙方应充分发挥协调、咨询作用，以保证供应商、业主方或其他第三方及时有效完成</w:t>
      </w:r>
      <w:r>
        <w:rPr>
          <w:rFonts w:hint="eastAsia" w:ascii="仿宋" w:hAnsi="仿宋" w:eastAsia="仿宋" w:cs="仿宋"/>
          <w:kern w:val="0"/>
          <w:sz w:val="32"/>
          <w:szCs w:val="32"/>
          <w:highlight w:val="none"/>
          <w:lang w:val="en-US" w:eastAsia="zh-CN"/>
        </w:rPr>
        <w:t>相关单证</w:t>
      </w:r>
      <w:r>
        <w:rPr>
          <w:rFonts w:hint="eastAsia" w:ascii="仿宋" w:hAnsi="仿宋" w:eastAsia="仿宋" w:cs="仿宋"/>
          <w:kern w:val="0"/>
          <w:sz w:val="32"/>
          <w:szCs w:val="32"/>
          <w:highlight w:val="none"/>
        </w:rPr>
        <w:t>，包括但不限于发票、箱单、提单等的缮制，交接及传递；起运后乙方</w:t>
      </w:r>
      <w:r>
        <w:rPr>
          <w:rFonts w:hint="eastAsia" w:ascii="仿宋" w:hAnsi="仿宋" w:eastAsia="仿宋" w:cs="仿宋"/>
          <w:kern w:val="0"/>
          <w:sz w:val="32"/>
          <w:szCs w:val="32"/>
          <w:highlight w:val="none"/>
          <w:lang w:val="en-US" w:eastAsia="zh-CN"/>
        </w:rPr>
        <w:t>应</w:t>
      </w:r>
      <w:r>
        <w:rPr>
          <w:rFonts w:hint="eastAsia" w:ascii="仿宋" w:hAnsi="仿宋" w:eastAsia="仿宋" w:cs="仿宋"/>
          <w:kern w:val="0"/>
          <w:sz w:val="32"/>
          <w:szCs w:val="32"/>
          <w:highlight w:val="none"/>
        </w:rPr>
        <w:t>及时</w:t>
      </w:r>
      <w:r>
        <w:rPr>
          <w:rFonts w:hint="eastAsia" w:ascii="仿宋" w:hAnsi="仿宋" w:eastAsia="仿宋" w:cs="仿宋"/>
          <w:kern w:val="0"/>
          <w:sz w:val="32"/>
          <w:szCs w:val="32"/>
          <w:highlight w:val="none"/>
          <w:lang w:val="en-US" w:eastAsia="zh-CN"/>
        </w:rPr>
        <w:t>出具</w:t>
      </w:r>
      <w:r>
        <w:rPr>
          <w:rFonts w:hint="eastAsia" w:ascii="仿宋" w:hAnsi="仿宋" w:eastAsia="仿宋" w:cs="仿宋"/>
          <w:kern w:val="0"/>
          <w:sz w:val="32"/>
          <w:szCs w:val="32"/>
          <w:highlight w:val="none"/>
        </w:rPr>
        <w:t>正确完整的</w:t>
      </w:r>
      <w:r>
        <w:rPr>
          <w:rFonts w:hint="eastAsia" w:ascii="仿宋" w:hAnsi="仿宋" w:eastAsia="仿宋" w:cs="仿宋"/>
          <w:kern w:val="0"/>
          <w:sz w:val="32"/>
          <w:szCs w:val="32"/>
          <w:highlight w:val="none"/>
          <w:lang w:val="en-US" w:eastAsia="zh-CN"/>
        </w:rPr>
        <w:t>全套清洁</w:t>
      </w:r>
      <w:r>
        <w:rPr>
          <w:rFonts w:hint="eastAsia" w:ascii="仿宋" w:hAnsi="仿宋" w:eastAsia="仿宋" w:cs="仿宋"/>
          <w:kern w:val="0"/>
          <w:sz w:val="32"/>
          <w:szCs w:val="32"/>
          <w:highlight w:val="none"/>
        </w:rPr>
        <w:t>提单</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lang w:val="en-US" w:eastAsia="zh-CN"/>
        </w:rPr>
        <w:t>或根据甲方需要办理电放提单</w:t>
      </w:r>
      <w:r>
        <w:rPr>
          <w:rFonts w:hint="eastAsia" w:ascii="仿宋" w:hAnsi="仿宋" w:eastAsia="仿宋" w:cs="仿宋"/>
          <w:kern w:val="0"/>
          <w:sz w:val="32"/>
          <w:szCs w:val="32"/>
          <w:highlight w:val="none"/>
        </w:rPr>
        <w:t>；妥善保存每票单证，包括但不限于提单、发票、箱单等相关资料及单证。</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负责服务范围内工作涉及的行政许可类文件及各种批准文件的办理，以及与相关部门的沟通协调工作和安全管理工作，应遵守国家相关法律法规以及海事等主管部门的要求，办理相关的运输手续，按照指定的时间、路线、速度行驶，并及时反馈运输状态和动态。</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在运输过程中，应根据设备运输的技术要求对其采取相应的防潮、防雨、防锈、防腐、防震等保护措施，以保证其安全无损地抵达项目现场。</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负责目的港的卸货、转栈、堆存等工作。</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对招标范围内所涉及的设备运输工作组织、安全、质量、进度、资源、操作实施文件等内容进行全面管理。</w:t>
      </w:r>
    </w:p>
    <w:p>
      <w:pPr>
        <w:keepNext w:val="0"/>
        <w:keepLines w:val="0"/>
        <w:pageBreakBefore w:val="0"/>
        <w:widowControl/>
        <w:numPr>
          <w:ilvl w:val="0"/>
          <w:numId w:val="3"/>
        </w:numPr>
        <w:kinsoku/>
        <w:wordWrap/>
        <w:overflowPunct/>
        <w:topLinePunct w:val="0"/>
        <w:autoSpaceDE/>
        <w:autoSpaceDN/>
        <w:bidi w:val="0"/>
        <w:adjustRightInd/>
        <w:snapToGrid w:val="0"/>
        <w:spacing w:before="156" w:beforeLines="50" w:after="0" w:afterLines="-2147483648" w:line="560" w:lineRule="exact"/>
        <w:ind w:left="410"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rPr>
        <w:t>乙方负责购买货物运输</w:t>
      </w:r>
      <w:r>
        <w:rPr>
          <w:rFonts w:hint="eastAsia" w:ascii="仿宋" w:hAnsi="仿宋" w:eastAsia="仿宋" w:cs="仿宋"/>
          <w:kern w:val="0"/>
          <w:sz w:val="32"/>
          <w:szCs w:val="32"/>
          <w:highlight w:val="none"/>
          <w:lang w:val="en-US" w:eastAsia="zh-CN" w:bidi="ar-SA"/>
        </w:rPr>
        <w:t>一切险</w:t>
      </w:r>
      <w:r>
        <w:rPr>
          <w:rFonts w:hint="eastAsia" w:ascii="仿宋" w:hAnsi="仿宋" w:eastAsia="仿宋" w:cs="仿宋"/>
          <w:kern w:val="0"/>
          <w:sz w:val="32"/>
          <w:szCs w:val="32"/>
          <w:highlight w:val="none"/>
          <w:lang w:val="en-US" w:eastAsia="zh-CN"/>
        </w:rPr>
        <w:t>，</w:t>
      </w:r>
      <w:r>
        <w:rPr>
          <w:rFonts w:hint="eastAsia" w:ascii="仿宋" w:hAnsi="仿宋" w:eastAsia="仿宋" w:cs="仿宋"/>
          <w:kern w:val="0"/>
          <w:sz w:val="32"/>
          <w:szCs w:val="32"/>
          <w:highlight w:val="none"/>
        </w:rPr>
        <w:t>投保金额不低于货值的1.1倍，中海壳牌石油化工有限公司应被作为共同被保险人，购买完毕后请提供保险单复印件给</w:t>
      </w:r>
      <w:r>
        <w:rPr>
          <w:rFonts w:hint="eastAsia" w:ascii="仿宋" w:hAnsi="仿宋" w:eastAsia="仿宋" w:cs="仿宋"/>
          <w:kern w:val="0"/>
          <w:sz w:val="32"/>
          <w:szCs w:val="32"/>
          <w:highlight w:val="none"/>
          <w:lang w:val="en-US" w:eastAsia="zh-CN"/>
        </w:rPr>
        <w:t>甲方。</w:t>
      </w:r>
    </w:p>
    <w:p>
      <w:pPr>
        <w:pStyle w:val="6"/>
        <w:pageBreakBefore w:val="0"/>
        <w:numPr>
          <w:ilvl w:val="0"/>
          <w:numId w:val="2"/>
        </w:numPr>
        <w:kinsoku/>
        <w:wordWrap/>
        <w:overflowPunct/>
        <w:topLinePunct w:val="0"/>
        <w:autoSpaceDE/>
        <w:autoSpaceDN/>
        <w:bidi w:val="0"/>
        <w:adjustRightInd/>
        <w:spacing w:line="560" w:lineRule="exact"/>
        <w:ind w:firstLine="643" w:firstLineChars="200"/>
        <w:rPr>
          <w:rFonts w:hint="eastAsia" w:ascii="楷体" w:hAnsi="楷体" w:eastAsia="楷体" w:cs="楷体"/>
          <w:b/>
          <w:sz w:val="32"/>
          <w:szCs w:val="32"/>
          <w:highlight w:val="none"/>
          <w:lang w:val="en-US" w:eastAsia="zh-CN"/>
        </w:rPr>
      </w:pPr>
      <w:bookmarkStart w:id="18" w:name="_Toc10370"/>
      <w:bookmarkStart w:id="19" w:name="_Toc3664"/>
      <w:bookmarkStart w:id="20" w:name="_Toc29123"/>
      <w:bookmarkStart w:id="21" w:name="_Toc306343336"/>
      <w:bookmarkStart w:id="22" w:name="_Toc2795"/>
      <w:r>
        <w:rPr>
          <w:rFonts w:hint="eastAsia" w:ascii="楷体" w:hAnsi="楷体" w:eastAsia="楷体" w:cs="楷体"/>
          <w:b/>
          <w:sz w:val="32"/>
          <w:szCs w:val="32"/>
          <w:highlight w:val="none"/>
          <w:lang w:val="en-US" w:eastAsia="zh-CN"/>
        </w:rPr>
        <w:t>疏港提运</w:t>
      </w:r>
      <w:bookmarkEnd w:id="18"/>
      <w:bookmarkEnd w:id="19"/>
      <w:bookmarkEnd w:id="20"/>
      <w:bookmarkEnd w:id="21"/>
      <w:bookmarkEnd w:id="22"/>
    </w:p>
    <w:p>
      <w:pPr>
        <w:keepNext w:val="0"/>
        <w:keepLines w:val="0"/>
        <w:pageBreakBefore w:val="0"/>
        <w:widowControl/>
        <w:numPr>
          <w:ilvl w:val="0"/>
          <w:numId w:val="4"/>
        </w:numPr>
        <w:kinsoku/>
        <w:wordWrap/>
        <w:overflowPunct/>
        <w:topLinePunct w:val="0"/>
        <w:autoSpaceDE/>
        <w:autoSpaceDN/>
        <w:bidi w:val="0"/>
        <w:adjustRightInd/>
        <w:snapToGrid w:val="0"/>
        <w:spacing w:before="156" w:beforeLines="50" w:after="0" w:afterLines="-2147483648" w:line="560" w:lineRule="exact"/>
        <w:ind w:firstLine="640" w:firstLineChars="200"/>
        <w:textAlignment w:val="auto"/>
        <w:rPr>
          <w:rFonts w:hint="default"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乙方负责所有进口物资的疏港提运工作，包括FOB、CIF、CPT等所有交货条款，按照</w:t>
      </w:r>
      <w:r>
        <w:rPr>
          <w:rFonts w:hint="eastAsia" w:ascii="仿宋" w:hAnsi="仿宋" w:eastAsia="仿宋" w:cs="仿宋"/>
          <w:kern w:val="0"/>
          <w:sz w:val="32"/>
          <w:szCs w:val="32"/>
          <w:highlight w:val="none"/>
        </w:rPr>
        <w:t>甲方及甲方指定的代管方委托完成</w:t>
      </w:r>
      <w:r>
        <w:rPr>
          <w:rFonts w:hint="eastAsia" w:ascii="仿宋" w:hAnsi="仿宋" w:eastAsia="仿宋" w:cs="仿宋"/>
          <w:kern w:val="0"/>
          <w:sz w:val="32"/>
          <w:szCs w:val="32"/>
          <w:highlight w:val="none"/>
          <w:lang w:val="en-US" w:eastAsia="zh-CN" w:bidi="ar-SA"/>
        </w:rPr>
        <w:t>从深圳盐田港/蛇口港/机场至大亚湾指定项目现场</w:t>
      </w:r>
      <w:r>
        <w:rPr>
          <w:rFonts w:hint="eastAsia" w:ascii="仿宋" w:hAnsi="仿宋" w:eastAsia="仿宋" w:cs="仿宋"/>
          <w:kern w:val="0"/>
          <w:sz w:val="32"/>
          <w:szCs w:val="32"/>
          <w:highlight w:val="none"/>
        </w:rPr>
        <w:t>的国内运输</w:t>
      </w:r>
      <w:r>
        <w:rPr>
          <w:rFonts w:hint="eastAsia" w:ascii="仿宋" w:hAnsi="仿宋" w:eastAsia="仿宋" w:cs="仿宋"/>
          <w:kern w:val="0"/>
          <w:sz w:val="32"/>
          <w:szCs w:val="32"/>
          <w:highlight w:val="none"/>
          <w:lang w:val="en-US" w:eastAsia="zh-CN"/>
        </w:rPr>
        <w:t>及</w:t>
      </w:r>
      <w:r>
        <w:rPr>
          <w:rFonts w:hint="eastAsia" w:ascii="仿宋" w:hAnsi="仿宋" w:eastAsia="仿宋" w:cs="仿宋"/>
          <w:kern w:val="0"/>
          <w:sz w:val="32"/>
          <w:szCs w:val="32"/>
          <w:highlight w:val="none"/>
        </w:rPr>
        <w:t>相关物流服务</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rPr>
        <w:t>包括但不限于</w:t>
      </w:r>
      <w:r>
        <w:rPr>
          <w:rFonts w:hint="eastAsia" w:ascii="仿宋" w:hAnsi="仿宋" w:eastAsia="仿宋" w:cs="仿宋"/>
          <w:kern w:val="0"/>
          <w:sz w:val="32"/>
          <w:szCs w:val="32"/>
          <w:highlight w:val="none"/>
          <w:lang w:val="en-US" w:eastAsia="zh-CN"/>
        </w:rPr>
        <w:t>运输车辆、船舶、运输</w:t>
      </w:r>
      <w:r>
        <w:rPr>
          <w:rFonts w:hint="eastAsia" w:ascii="仿宋" w:hAnsi="仿宋" w:eastAsia="仿宋" w:cs="仿宋"/>
          <w:kern w:val="0"/>
          <w:sz w:val="32"/>
          <w:szCs w:val="32"/>
          <w:highlight w:val="none"/>
        </w:rPr>
        <w:t>工具</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lang w:val="en-US" w:eastAsia="zh-CN"/>
        </w:rPr>
        <w:t>防护加固材料、</w:t>
      </w:r>
      <w:r>
        <w:rPr>
          <w:rFonts w:hint="eastAsia" w:ascii="仿宋" w:hAnsi="仿宋" w:eastAsia="仿宋" w:cs="仿宋"/>
          <w:kern w:val="0"/>
          <w:sz w:val="32"/>
          <w:szCs w:val="32"/>
          <w:highlight w:val="none"/>
        </w:rPr>
        <w:t>车辆配载、绑扎加固、码头办单以及</w:t>
      </w:r>
      <w:r>
        <w:rPr>
          <w:rFonts w:hint="eastAsia" w:ascii="仿宋" w:hAnsi="仿宋" w:eastAsia="仿宋" w:cs="仿宋"/>
          <w:kern w:val="0"/>
          <w:sz w:val="32"/>
          <w:szCs w:val="32"/>
          <w:highlight w:val="none"/>
          <w:lang w:val="en-US" w:eastAsia="zh-CN"/>
        </w:rPr>
        <w:t>缴纳</w:t>
      </w:r>
      <w:r>
        <w:rPr>
          <w:rFonts w:hint="eastAsia" w:ascii="仿宋" w:hAnsi="仿宋" w:eastAsia="仿宋" w:cs="仿宋"/>
          <w:kern w:val="0"/>
          <w:sz w:val="32"/>
          <w:szCs w:val="32"/>
          <w:highlight w:val="none"/>
        </w:rPr>
        <w:t>第三方费用</w:t>
      </w:r>
      <w:r>
        <w:rPr>
          <w:rFonts w:hint="eastAsia" w:ascii="仿宋" w:hAnsi="仿宋" w:eastAsia="仿宋" w:cs="仿宋"/>
          <w:kern w:val="0"/>
          <w:sz w:val="32"/>
          <w:szCs w:val="32"/>
          <w:highlight w:val="none"/>
          <w:lang w:val="en-US" w:eastAsia="zh-CN"/>
        </w:rPr>
        <w:t>等</w:t>
      </w:r>
      <w:r>
        <w:rPr>
          <w:rFonts w:hint="eastAsia" w:ascii="仿宋" w:hAnsi="仿宋" w:eastAsia="仿宋" w:cs="仿宋"/>
          <w:kern w:val="0"/>
          <w:sz w:val="32"/>
          <w:szCs w:val="32"/>
          <w:highlight w:val="none"/>
        </w:rPr>
        <w:t>，并以其专业知识及资源，提供全面的物流管理服务。</w:t>
      </w:r>
      <w:r>
        <w:rPr>
          <w:rFonts w:hint="eastAsia" w:ascii="仿宋" w:hAnsi="仿宋" w:eastAsia="仿宋" w:cs="仿宋"/>
          <w:kern w:val="0"/>
          <w:sz w:val="32"/>
          <w:szCs w:val="32"/>
          <w:highlight w:val="none"/>
          <w:lang w:val="en-US" w:eastAsia="zh-CN" w:bidi="ar-SA"/>
        </w:rPr>
        <w:t>用车计划请见附件二，具体以甲方实际需要为准。</w:t>
      </w:r>
    </w:p>
    <w:p>
      <w:pPr>
        <w:keepNext w:val="0"/>
        <w:keepLines w:val="0"/>
        <w:pageBreakBefore w:val="0"/>
        <w:widowControl/>
        <w:numPr>
          <w:ilvl w:val="0"/>
          <w:numId w:val="4"/>
        </w:numPr>
        <w:kinsoku/>
        <w:wordWrap/>
        <w:overflowPunct/>
        <w:topLinePunct w:val="0"/>
        <w:autoSpaceDE/>
        <w:autoSpaceDN/>
        <w:bidi w:val="0"/>
        <w:adjustRightInd/>
        <w:snapToGrid w:val="0"/>
        <w:spacing w:before="156" w:beforeLines="50" w:after="0" w:afterLines="-2147483648"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超限设备因陆运限制无法直达目的地交货，需通过水路转运的，由乙方负责提供适运船舶将超限设备提运至大亚湾大件码头（LNG重件码头或美孚重件码头），甲方的卸船倒运方负责码头吊卸、装车运输至项目现场。</w:t>
      </w:r>
    </w:p>
    <w:p>
      <w:pPr>
        <w:keepNext w:val="0"/>
        <w:keepLines w:val="0"/>
        <w:pageBreakBefore w:val="0"/>
        <w:widowControl/>
        <w:numPr>
          <w:ilvl w:val="0"/>
          <w:numId w:val="4"/>
        </w:numPr>
        <w:kinsoku/>
        <w:wordWrap/>
        <w:overflowPunct/>
        <w:topLinePunct w:val="0"/>
        <w:autoSpaceDE/>
        <w:autoSpaceDN/>
        <w:bidi w:val="0"/>
        <w:adjustRightInd/>
        <w:snapToGrid w:val="0"/>
        <w:spacing w:before="156" w:beforeLines="50" w:after="0" w:afterLines="-2147483648"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在现场掏箱完成后，应该第一时间安排返箱还箱。</w:t>
      </w:r>
    </w:p>
    <w:p>
      <w:pPr>
        <w:keepNext w:val="0"/>
        <w:keepLines w:val="0"/>
        <w:pageBreakBefore w:val="0"/>
        <w:widowControl/>
        <w:numPr>
          <w:ilvl w:val="0"/>
          <w:numId w:val="4"/>
        </w:numPr>
        <w:kinsoku/>
        <w:wordWrap/>
        <w:overflowPunct/>
        <w:topLinePunct w:val="0"/>
        <w:autoSpaceDE/>
        <w:autoSpaceDN/>
        <w:bidi w:val="0"/>
        <w:adjustRightInd/>
        <w:snapToGrid w:val="0"/>
        <w:spacing w:before="156" w:beforeLines="50" w:after="0" w:afterLines="-2147483648"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乙方需负责在工作日16：00前到货，如超时到货导致现场无法按时卸货产生的</w:t>
      </w:r>
      <w:r>
        <w:rPr>
          <w:rFonts w:hint="eastAsia" w:ascii="仿宋" w:hAnsi="仿宋" w:eastAsia="仿宋" w:cs="仿宋"/>
          <w:b w:val="0"/>
          <w:bCs w:val="0"/>
          <w:color w:val="auto"/>
          <w:kern w:val="0"/>
          <w:sz w:val="32"/>
          <w:szCs w:val="32"/>
          <w:highlight w:val="none"/>
          <w:lang w:val="en-US" w:eastAsia="zh-CN"/>
        </w:rPr>
        <w:t>车辆</w:t>
      </w:r>
      <w:r>
        <w:rPr>
          <w:rFonts w:hint="eastAsia" w:ascii="仿宋" w:hAnsi="仿宋" w:eastAsia="仿宋" w:cs="仿宋"/>
          <w:b w:val="0"/>
          <w:bCs w:val="0"/>
          <w:color w:val="auto"/>
          <w:kern w:val="0"/>
          <w:sz w:val="32"/>
          <w:szCs w:val="32"/>
          <w:highlight w:val="none"/>
        </w:rPr>
        <w:t>压车/压夜费</w:t>
      </w:r>
      <w:r>
        <w:rPr>
          <w:rFonts w:hint="eastAsia" w:ascii="仿宋" w:hAnsi="仿宋" w:eastAsia="仿宋" w:cs="仿宋"/>
          <w:b w:val="0"/>
          <w:bCs w:val="0"/>
          <w:color w:val="auto"/>
          <w:kern w:val="0"/>
          <w:sz w:val="32"/>
          <w:szCs w:val="32"/>
          <w:highlight w:val="none"/>
          <w:lang w:eastAsia="zh-CN"/>
        </w:rPr>
        <w:t>、</w:t>
      </w:r>
      <w:r>
        <w:rPr>
          <w:rFonts w:hint="eastAsia" w:ascii="仿宋" w:hAnsi="仿宋" w:eastAsia="仿宋" w:cs="仿宋"/>
          <w:b w:val="0"/>
          <w:bCs w:val="0"/>
          <w:color w:val="auto"/>
          <w:kern w:val="0"/>
          <w:sz w:val="32"/>
          <w:szCs w:val="32"/>
          <w:highlight w:val="none"/>
        </w:rPr>
        <w:t>返空费</w:t>
      </w:r>
      <w:r>
        <w:rPr>
          <w:rFonts w:hint="eastAsia" w:ascii="仿宋" w:hAnsi="仿宋" w:eastAsia="仿宋" w:cs="仿宋"/>
          <w:b w:val="0"/>
          <w:bCs w:val="0"/>
          <w:color w:val="auto"/>
          <w:kern w:val="0"/>
          <w:sz w:val="32"/>
          <w:szCs w:val="32"/>
          <w:highlight w:val="none"/>
          <w:lang w:val="en-US" w:eastAsia="zh-CN"/>
        </w:rPr>
        <w:t>由</w:t>
      </w:r>
      <w:r>
        <w:rPr>
          <w:rFonts w:hint="eastAsia" w:ascii="仿宋" w:hAnsi="仿宋" w:eastAsia="仿宋" w:cs="仿宋"/>
          <w:kern w:val="0"/>
          <w:sz w:val="32"/>
          <w:szCs w:val="32"/>
          <w:highlight w:val="none"/>
          <w:lang w:val="en-US" w:eastAsia="zh-CN" w:bidi="ar-SA"/>
        </w:rPr>
        <w:t>乙方负责。</w:t>
      </w:r>
    </w:p>
    <w:p>
      <w:pPr>
        <w:keepNext w:val="0"/>
        <w:keepLines w:val="0"/>
        <w:pageBreakBefore w:val="0"/>
        <w:widowControl/>
        <w:numPr>
          <w:ilvl w:val="0"/>
          <w:numId w:val="4"/>
        </w:numPr>
        <w:kinsoku/>
        <w:wordWrap/>
        <w:overflowPunct/>
        <w:topLinePunct w:val="0"/>
        <w:autoSpaceDE/>
        <w:autoSpaceDN/>
        <w:bidi w:val="0"/>
        <w:adjustRightInd/>
        <w:snapToGrid w:val="0"/>
        <w:spacing w:before="156" w:beforeLines="50" w:after="0" w:afterLines="-2147483648" w:afterAutospacing="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rPr>
        <w:t>乙方负责购买货物运输保险，</w:t>
      </w:r>
      <w:r>
        <w:rPr>
          <w:rFonts w:hint="eastAsia" w:ascii="仿宋" w:hAnsi="仿宋" w:eastAsia="仿宋" w:cs="仿宋"/>
          <w:kern w:val="0"/>
          <w:sz w:val="32"/>
          <w:szCs w:val="32"/>
          <w:highlight w:val="none"/>
        </w:rPr>
        <w:t>投保金额不低于货值的1.1倍，中海壳牌石油化工有限公司应被作为共同被保险人，购买完毕后请提供保险单复印件给</w:t>
      </w:r>
      <w:r>
        <w:rPr>
          <w:rFonts w:hint="eastAsia" w:ascii="仿宋" w:hAnsi="仿宋" w:eastAsia="仿宋" w:cs="仿宋"/>
          <w:kern w:val="0"/>
          <w:sz w:val="32"/>
          <w:szCs w:val="32"/>
          <w:highlight w:val="none"/>
          <w:lang w:val="en-US" w:eastAsia="zh-CN"/>
        </w:rPr>
        <w:t>甲方。</w:t>
      </w:r>
    </w:p>
    <w:p>
      <w:pPr>
        <w:pStyle w:val="6"/>
        <w:pageBreakBefore w:val="0"/>
        <w:numPr>
          <w:ilvl w:val="0"/>
          <w:numId w:val="2"/>
        </w:numPr>
        <w:kinsoku/>
        <w:wordWrap/>
        <w:overflowPunct/>
        <w:topLinePunct w:val="0"/>
        <w:autoSpaceDE/>
        <w:autoSpaceDN/>
        <w:bidi w:val="0"/>
        <w:adjustRightInd/>
        <w:spacing w:line="560" w:lineRule="exact"/>
        <w:ind w:firstLine="643" w:firstLineChars="200"/>
        <w:rPr>
          <w:rFonts w:hint="default" w:ascii="楷体" w:hAnsi="楷体" w:eastAsia="楷体" w:cs="楷体"/>
          <w:b/>
          <w:sz w:val="32"/>
          <w:szCs w:val="32"/>
          <w:highlight w:val="none"/>
          <w:lang w:val="en-US" w:eastAsia="zh-CN"/>
        </w:rPr>
      </w:pPr>
      <w:bookmarkStart w:id="23" w:name="_Toc7377"/>
      <w:r>
        <w:rPr>
          <w:rFonts w:hint="eastAsia" w:ascii="楷体" w:hAnsi="楷体" w:eastAsia="楷体" w:cs="楷体"/>
          <w:b/>
          <w:sz w:val="32"/>
          <w:szCs w:val="32"/>
          <w:highlight w:val="none"/>
          <w:lang w:val="en-US" w:eastAsia="zh-CN"/>
        </w:rPr>
        <w:t>第三方费用</w:t>
      </w:r>
      <w:bookmarkEnd w:id="23"/>
    </w:p>
    <w:p>
      <w:pPr>
        <w:pageBreakBefore w:val="0"/>
        <w:widowControl/>
        <w:numPr>
          <w:ilvl w:val="-1"/>
          <w:numId w:val="0"/>
        </w:numPr>
        <w:kinsoku/>
        <w:wordWrap/>
        <w:overflowPunct/>
        <w:topLinePunct w:val="0"/>
        <w:autoSpaceDE/>
        <w:autoSpaceDN/>
        <w:bidi w:val="0"/>
        <w:adjustRightInd/>
        <w:snapToGrid w:val="0"/>
        <w:spacing w:before="156" w:beforeLines="50" w:after="100" w:afterAutospacing="1" w:line="560" w:lineRule="exact"/>
        <w:ind w:left="0" w:leftChars="0" w:firstLine="640" w:firstLineChars="200"/>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rPr>
        <w:t>乙方代理甲方审查并</w:t>
      </w:r>
      <w:r>
        <w:rPr>
          <w:rFonts w:hint="eastAsia" w:ascii="仿宋" w:hAnsi="仿宋" w:eastAsia="仿宋" w:cs="仿宋"/>
          <w:kern w:val="0"/>
          <w:sz w:val="32"/>
          <w:szCs w:val="32"/>
          <w:highlight w:val="none"/>
          <w:lang w:val="en-US" w:eastAsia="zh-CN"/>
        </w:rPr>
        <w:t>支付</w:t>
      </w:r>
      <w:r>
        <w:rPr>
          <w:rFonts w:hint="eastAsia" w:ascii="仿宋" w:hAnsi="仿宋" w:eastAsia="仿宋" w:cs="仿宋"/>
          <w:kern w:val="0"/>
          <w:sz w:val="32"/>
          <w:szCs w:val="32"/>
          <w:highlight w:val="none"/>
        </w:rPr>
        <w:t>码头、机场、船公司及其他各项费用</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lang w:val="en-US" w:eastAsia="zh-CN"/>
        </w:rPr>
        <w:t>预计费用明细及暂估量如下，以实际发生为准：</w:t>
      </w:r>
    </w:p>
    <w:tbl>
      <w:tblPr>
        <w:tblStyle w:val="11"/>
        <w:tblW w:w="8059"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537"/>
        <w:gridCol w:w="3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numPr>
                <w:ilvl w:val="-1"/>
                <w:numId w:val="0"/>
              </w:numPr>
              <w:suppressLineNumbers w:val="0"/>
              <w:kinsoku/>
              <w:wordWrap/>
              <w:overflowPunct/>
              <w:topLinePunct w:val="0"/>
              <w:autoSpaceDE/>
              <w:autoSpaceDN/>
              <w:bidi w:val="0"/>
              <w:adjustRightInd/>
              <w:snapToGrid w:val="0"/>
              <w:spacing w:before="156" w:beforeLines="50" w:after="100" w:afterAutospacing="1" w:line="560" w:lineRule="exact"/>
              <w:ind w:firstLine="480" w:firstLineChars="200"/>
              <w:jc w:val="center"/>
              <w:textAlignment w:val="auto"/>
              <w:rPr>
                <w:rFonts w:hint="eastAsia" w:ascii="仿宋" w:hAnsi="仿宋" w:eastAsia="仿宋" w:cs="仿宋"/>
                <w:i w:val="0"/>
                <w:iCs w:val="0"/>
                <w:color w:val="auto"/>
                <w:kern w:val="0"/>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类别</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numPr>
                <w:ilvl w:val="-1"/>
                <w:numId w:val="0"/>
              </w:numPr>
              <w:suppressLineNumbers w:val="0"/>
              <w:kinsoku/>
              <w:wordWrap/>
              <w:overflowPunct/>
              <w:topLinePunct w:val="0"/>
              <w:autoSpaceDE/>
              <w:autoSpaceDN/>
              <w:bidi w:val="0"/>
              <w:adjustRightInd/>
              <w:snapToGrid w:val="0"/>
              <w:spacing w:before="156" w:beforeLines="50" w:after="100" w:afterAutospacing="1" w:line="560" w:lineRule="exact"/>
              <w:ind w:firstLine="480" w:firstLineChars="200"/>
              <w:jc w:val="center"/>
              <w:textAlignment w:val="auto"/>
              <w:rPr>
                <w:rFonts w:hint="eastAsia" w:ascii="仿宋" w:hAnsi="仿宋" w:eastAsia="仿宋" w:cs="仿宋"/>
                <w:i w:val="0"/>
                <w:iCs w:val="0"/>
                <w:color w:val="auto"/>
                <w:kern w:val="0"/>
                <w:sz w:val="24"/>
                <w:szCs w:val="24"/>
                <w:highlight w:val="none"/>
                <w:u w:val="none"/>
              </w:rPr>
            </w:pPr>
            <w:r>
              <w:rPr>
                <w:rFonts w:hint="eastAsia" w:ascii="仿宋" w:hAnsi="仿宋" w:eastAsia="仿宋" w:cs="仿宋"/>
                <w:i w:val="0"/>
                <w:iCs w:val="0"/>
                <w:kern w:val="0"/>
                <w:sz w:val="24"/>
                <w:szCs w:val="24"/>
                <w:highlight w:val="none"/>
                <w:u w:val="none"/>
                <w:lang w:val="en-US" w:eastAsia="zh-CN" w:bidi="ar"/>
              </w:rPr>
              <w:t>暂</w:t>
            </w:r>
            <w:r>
              <w:rPr>
                <w:rFonts w:hint="eastAsia" w:ascii="仿宋" w:hAnsi="仿宋" w:eastAsia="仿宋" w:cs="仿宋"/>
                <w:i w:val="0"/>
                <w:iCs w:val="0"/>
                <w:color w:val="auto"/>
                <w:kern w:val="0"/>
                <w:sz w:val="24"/>
                <w:szCs w:val="24"/>
                <w:highlight w:val="none"/>
                <w:u w:val="none"/>
                <w:lang w:val="en-US" w:eastAsia="zh-CN" w:bidi="ar"/>
              </w:rPr>
              <w:t>估量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港口安保费（20尺普柜）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港口安保费（40尺普柜）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150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超期堆存费（20尺普柜）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超期堆存费（40尺普柜）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超期堆存费（特种柜）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超期用箱费（普柜）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仿宋" w:hAnsi="仿宋" w:eastAsia="仿宋" w:cs="仿宋"/>
                <w:i w:val="0"/>
                <w:iCs w:val="0"/>
                <w:color w:val="auto"/>
                <w:kern w:val="0"/>
                <w:sz w:val="24"/>
                <w:szCs w:val="24"/>
                <w:highlight w:val="none"/>
                <w:u w:val="none"/>
                <w:lang w:val="en-US"/>
              </w:rPr>
            </w:pPr>
            <w:r>
              <w:rPr>
                <w:rFonts w:hint="eastAsia" w:ascii="宋体" w:hAnsi="宋体" w:eastAsia="宋体" w:cs="宋体"/>
                <w:i w:val="0"/>
                <w:iCs w:val="0"/>
                <w:color w:val="000000"/>
                <w:kern w:val="0"/>
                <w:sz w:val="22"/>
                <w:szCs w:val="22"/>
                <w:u w:val="none"/>
                <w:lang w:val="en-US" w:eastAsia="zh-CN" w:bidi="ar"/>
              </w:rPr>
              <w:t>30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超期用箱费（特种柜）</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仿宋" w:hAnsi="仿宋" w:eastAsia="仿宋" w:cs="仿宋"/>
                <w:i w:val="0"/>
                <w:iCs w:val="0"/>
                <w:color w:val="auto"/>
                <w:kern w:val="0"/>
                <w:sz w:val="24"/>
                <w:szCs w:val="24"/>
                <w:highlight w:val="none"/>
                <w:u w:val="none"/>
                <w:lang w:val="en-US"/>
              </w:rPr>
            </w:pPr>
            <w:r>
              <w:rPr>
                <w:rFonts w:hint="eastAsia" w:ascii="宋体" w:hAnsi="宋体" w:eastAsia="宋体" w:cs="宋体"/>
                <w:i w:val="0"/>
                <w:iCs w:val="0"/>
                <w:color w:val="000000"/>
                <w:kern w:val="0"/>
                <w:sz w:val="22"/>
                <w:szCs w:val="22"/>
                <w:u w:val="none"/>
                <w:lang w:val="en-US" w:eastAsia="zh-CN" w:bidi="ar"/>
              </w:rPr>
              <w:t>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修洗箱费</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30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打单费</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rPr>
            </w:pPr>
            <w:r>
              <w:rPr>
                <w:rFonts w:hint="eastAsia" w:ascii="宋体" w:hAnsi="宋体" w:eastAsia="宋体" w:cs="宋体"/>
                <w:i w:val="0"/>
                <w:iCs w:val="0"/>
                <w:color w:val="000000"/>
                <w:kern w:val="0"/>
                <w:sz w:val="22"/>
                <w:szCs w:val="22"/>
                <w:u w:val="none"/>
                <w:lang w:val="en-US" w:eastAsia="zh-CN" w:bidi="ar"/>
              </w:rPr>
              <w:t>180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SA"/>
              </w:rPr>
            </w:pPr>
            <w:bookmarkStart w:id="24" w:name="_Toc16235"/>
            <w:bookmarkStart w:id="25" w:name="_Toc2481"/>
            <w:bookmarkStart w:id="26" w:name="_Toc933629571"/>
            <w:bookmarkStart w:id="27" w:name="_Toc25254"/>
            <w:r>
              <w:rPr>
                <w:rFonts w:hint="eastAsia" w:ascii="宋体" w:hAnsi="宋体" w:eastAsia="宋体" w:cs="宋体"/>
                <w:i w:val="0"/>
                <w:iCs w:val="0"/>
                <w:color w:val="000000"/>
                <w:kern w:val="0"/>
                <w:sz w:val="22"/>
                <w:szCs w:val="22"/>
                <w:u w:val="none"/>
                <w:lang w:val="en-US" w:eastAsia="zh-CN" w:bidi="ar"/>
              </w:rPr>
              <w:t>机场仓储费</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SA"/>
              </w:rPr>
            </w:pPr>
            <w:r>
              <w:rPr>
                <w:rFonts w:hint="eastAsia" w:ascii="宋体" w:hAnsi="宋体" w:eastAsia="宋体" w:cs="宋体"/>
                <w:i w:val="0"/>
                <w:iCs w:val="0"/>
                <w:color w:val="000000"/>
                <w:kern w:val="0"/>
                <w:sz w:val="22"/>
                <w:szCs w:val="22"/>
                <w:u w:val="none"/>
                <w:lang w:val="en-US" w:eastAsia="zh-CN" w:bidi="ar"/>
              </w:rPr>
              <w:t>24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4" w:hRule="atLeast"/>
        </w:trPr>
        <w:tc>
          <w:tcPr>
            <w:tcW w:w="45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SA"/>
              </w:rPr>
            </w:pPr>
            <w:r>
              <w:rPr>
                <w:rFonts w:hint="eastAsia" w:ascii="宋体" w:hAnsi="宋体" w:eastAsia="宋体" w:cs="宋体"/>
                <w:i w:val="0"/>
                <w:iCs w:val="0"/>
                <w:color w:val="000000"/>
                <w:kern w:val="0"/>
                <w:sz w:val="22"/>
                <w:szCs w:val="22"/>
                <w:u w:val="none"/>
                <w:lang w:val="en-US" w:eastAsia="zh-CN" w:bidi="ar"/>
              </w:rPr>
              <w:t>其他费用（如新增加）</w:t>
            </w:r>
          </w:p>
        </w:tc>
        <w:tc>
          <w:tcPr>
            <w:tcW w:w="35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SA"/>
              </w:rPr>
            </w:pPr>
            <w:r>
              <w:rPr>
                <w:rFonts w:hint="eastAsia" w:ascii="宋体" w:hAnsi="宋体" w:eastAsia="宋体" w:cs="宋体"/>
                <w:i w:val="0"/>
                <w:iCs w:val="0"/>
                <w:color w:val="000000"/>
                <w:kern w:val="0"/>
                <w:sz w:val="22"/>
                <w:szCs w:val="22"/>
                <w:u w:val="none"/>
                <w:lang w:val="en-US" w:eastAsia="zh-CN" w:bidi="ar"/>
              </w:rPr>
              <w:t>90</w:t>
            </w:r>
          </w:p>
        </w:tc>
      </w:tr>
    </w:tbl>
    <w:p>
      <w:pPr>
        <w:pageBreakBefore w:val="0"/>
        <w:widowControl/>
        <w:numPr>
          <w:ilvl w:val="-1"/>
          <w:numId w:val="0"/>
        </w:numPr>
        <w:kinsoku/>
        <w:wordWrap/>
        <w:overflowPunct/>
        <w:topLinePunct w:val="0"/>
        <w:autoSpaceDE/>
        <w:autoSpaceDN/>
        <w:bidi w:val="0"/>
        <w:adjustRightInd/>
        <w:snapToGrid w:val="0"/>
        <w:spacing w:before="156" w:beforeLines="50" w:after="100" w:afterAutospacing="1" w:line="560" w:lineRule="exact"/>
        <w:ind w:left="0" w:leftChars="0" w:firstLine="640" w:firstLineChars="200"/>
        <w:rPr>
          <w:rFonts w:hint="default"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注：如非甲方原因导致的集装箱超期堆存费、超期用箱费由乙方承担。</w:t>
      </w:r>
    </w:p>
    <w:p>
      <w:pPr>
        <w:pStyle w:val="5"/>
        <w:pageBreakBefore w:val="0"/>
        <w:widowControl w:val="0"/>
        <w:numPr>
          <w:ilvl w:val="0"/>
          <w:numId w:val="1"/>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28" w:name="_Toc11181"/>
      <w:r>
        <w:rPr>
          <w:rFonts w:hint="eastAsia" w:ascii="黑体" w:hAnsi="黑体" w:eastAsia="黑体" w:cs="黑体"/>
          <w:b w:val="0"/>
          <w:bCs/>
          <w:sz w:val="32"/>
          <w:szCs w:val="24"/>
          <w:highlight w:val="none"/>
          <w:lang w:val="en-US" w:eastAsia="zh-CN" w:bidi="ar-SA"/>
        </w:rPr>
        <w:t>工作界面</w:t>
      </w:r>
      <w:bookmarkEnd w:id="24"/>
      <w:bookmarkEnd w:id="25"/>
      <w:bookmarkEnd w:id="26"/>
      <w:bookmarkEnd w:id="27"/>
      <w:bookmarkEnd w:id="28"/>
    </w:p>
    <w:p>
      <w:pPr>
        <w:pStyle w:val="6"/>
        <w:pageBreakBefore w:val="0"/>
        <w:numPr>
          <w:ilvl w:val="0"/>
          <w:numId w:val="0"/>
        </w:numPr>
        <w:kinsoku/>
        <w:wordWrap/>
        <w:overflowPunct/>
        <w:topLinePunct w:val="0"/>
        <w:autoSpaceDE/>
        <w:autoSpaceDN/>
        <w:bidi w:val="0"/>
        <w:adjustRightInd/>
        <w:spacing w:line="560" w:lineRule="exact"/>
        <w:ind w:firstLine="321" w:firstLineChars="100"/>
        <w:rPr>
          <w:rFonts w:hint="eastAsia" w:ascii="楷体" w:hAnsi="楷体" w:eastAsia="楷体" w:cs="楷体"/>
          <w:b/>
          <w:sz w:val="32"/>
          <w:szCs w:val="32"/>
          <w:highlight w:val="none"/>
          <w:lang w:val="en-US" w:eastAsia="zh-CN"/>
        </w:rPr>
      </w:pPr>
      <w:bookmarkStart w:id="29" w:name="_Toc30436"/>
      <w:bookmarkStart w:id="30" w:name="_Toc3441"/>
      <w:bookmarkStart w:id="31" w:name="_Toc2471"/>
      <w:bookmarkStart w:id="32" w:name="_Toc10213"/>
      <w:bookmarkStart w:id="33" w:name="_Toc552730616"/>
      <w:r>
        <w:rPr>
          <w:rFonts w:hint="eastAsia" w:ascii="楷体" w:hAnsi="楷体" w:eastAsia="楷体" w:cs="楷体"/>
          <w:b/>
          <w:sz w:val="32"/>
          <w:szCs w:val="32"/>
          <w:highlight w:val="none"/>
          <w:lang w:val="en-US" w:eastAsia="zh-CN"/>
        </w:rPr>
        <w:t>（一）国际海运</w:t>
      </w:r>
      <w:bookmarkEnd w:id="29"/>
      <w:bookmarkEnd w:id="30"/>
      <w:bookmarkEnd w:id="31"/>
      <w:bookmarkEnd w:id="32"/>
      <w:bookmarkEnd w:id="33"/>
    </w:p>
    <w:tbl>
      <w:tblPr>
        <w:tblStyle w:val="11"/>
        <w:tblW w:w="937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80"/>
        <w:gridCol w:w="3255"/>
        <w:gridCol w:w="1950"/>
        <w:gridCol w:w="1635"/>
        <w:gridCol w:w="14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jc w:val="center"/>
        </w:trPr>
        <w:tc>
          <w:tcPr>
            <w:tcW w:w="9375" w:type="dxa"/>
            <w:gridSpan w:val="5"/>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2" w:firstLineChars="200"/>
              <w:jc w:val="center"/>
              <w:textAlignment w:val="center"/>
              <w:rPr>
                <w:rFonts w:hint="eastAsia" w:ascii="仿宋" w:hAnsi="仿宋" w:eastAsia="仿宋" w:cs="仿宋"/>
                <w:i w:val="0"/>
                <w:iCs w:val="0"/>
                <w:color w:val="000000"/>
                <w:sz w:val="28"/>
                <w:szCs w:val="28"/>
                <w:highlight w:val="none"/>
                <w:u w:val="none"/>
                <w:lang w:val="en-US"/>
              </w:rPr>
            </w:pPr>
            <w:r>
              <w:rPr>
                <w:rFonts w:hint="eastAsia" w:ascii="仿宋" w:hAnsi="仿宋" w:eastAsia="仿宋" w:cs="仿宋"/>
                <w:b/>
                <w:bCs/>
                <w:i w:val="0"/>
                <w:iCs w:val="0"/>
                <w:color w:val="000000"/>
                <w:kern w:val="0"/>
                <w:sz w:val="28"/>
                <w:szCs w:val="28"/>
                <w:highlight w:val="none"/>
                <w:u w:val="none"/>
                <w:lang w:val="en-US" w:eastAsia="zh-CN" w:bidi="ar"/>
              </w:rPr>
              <w:t>国际海运(FOB)工作界面矩阵分析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8" w:hRule="atLeast"/>
          <w:jc w:val="center"/>
        </w:trPr>
        <w:tc>
          <w:tcPr>
            <w:tcW w:w="1080" w:type="dxa"/>
            <w:tcBorders>
              <w:top w:val="single" w:color="auto" w:sz="4" w:space="0"/>
              <w:left w:val="single" w:color="auto" w:sz="4"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序号</w:t>
            </w:r>
          </w:p>
        </w:tc>
        <w:tc>
          <w:tcPr>
            <w:tcW w:w="3255" w:type="dxa"/>
            <w:tcBorders>
              <w:top w:val="single" w:color="auto" w:sz="4" w:space="0"/>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主要工作界面描述</w:t>
            </w:r>
          </w:p>
        </w:tc>
        <w:tc>
          <w:tcPr>
            <w:tcW w:w="1950" w:type="dxa"/>
            <w:tcBorders>
              <w:top w:val="single" w:color="auto" w:sz="4" w:space="0"/>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国外供应商</w:t>
            </w:r>
          </w:p>
        </w:tc>
        <w:tc>
          <w:tcPr>
            <w:tcW w:w="1635" w:type="dxa"/>
            <w:tcBorders>
              <w:top w:val="single" w:color="auto" w:sz="4" w:space="0"/>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业主方</w:t>
            </w:r>
          </w:p>
        </w:tc>
        <w:tc>
          <w:tcPr>
            <w:tcW w:w="1455" w:type="dxa"/>
            <w:tcBorders>
              <w:top w:val="single" w:color="auto" w:sz="4" w:space="0"/>
              <w:left w:val="single" w:color="000000" w:sz="8"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服务商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080" w:type="dxa"/>
            <w:tcBorders>
              <w:top w:val="single" w:color="auto" w:sz="4"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1</w:t>
            </w:r>
          </w:p>
        </w:tc>
        <w:tc>
          <w:tcPr>
            <w:tcW w:w="3255" w:type="dxa"/>
            <w:tcBorders>
              <w:top w:val="single" w:color="auto" w:sz="4"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rPr>
            </w:pPr>
            <w:r>
              <w:rPr>
                <w:rFonts w:hint="eastAsia" w:ascii="仿宋" w:hAnsi="仿宋" w:eastAsia="仿宋" w:cs="仿宋"/>
                <w:i w:val="0"/>
                <w:iCs w:val="0"/>
                <w:color w:val="000000"/>
                <w:kern w:val="0"/>
                <w:sz w:val="28"/>
                <w:szCs w:val="28"/>
                <w:highlight w:val="none"/>
                <w:u w:val="none"/>
                <w:lang w:val="en-US" w:eastAsia="zh-CN" w:bidi="ar"/>
              </w:rPr>
              <w:t>货物备妥通知</w:t>
            </w:r>
          </w:p>
        </w:tc>
        <w:tc>
          <w:tcPr>
            <w:tcW w:w="1950" w:type="dxa"/>
            <w:tcBorders>
              <w:top w:val="single" w:color="auto" w:sz="4"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c>
          <w:tcPr>
            <w:tcW w:w="1635" w:type="dxa"/>
            <w:tcBorders>
              <w:top w:val="single" w:color="auto" w:sz="4"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协调</w:t>
            </w:r>
          </w:p>
        </w:tc>
        <w:tc>
          <w:tcPr>
            <w:tcW w:w="1455" w:type="dxa"/>
            <w:tcBorders>
              <w:top w:val="single" w:color="auto" w:sz="4"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1080"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2</w:t>
            </w:r>
          </w:p>
        </w:tc>
        <w:tc>
          <w:tcPr>
            <w:tcW w:w="325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准备箱单等货运单证</w:t>
            </w:r>
          </w:p>
        </w:tc>
        <w:tc>
          <w:tcPr>
            <w:tcW w:w="195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c>
          <w:tcPr>
            <w:tcW w:w="1635"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协调</w:t>
            </w:r>
          </w:p>
        </w:tc>
        <w:tc>
          <w:tcPr>
            <w:tcW w:w="145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080"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3</w:t>
            </w:r>
          </w:p>
        </w:tc>
        <w:tc>
          <w:tcPr>
            <w:tcW w:w="325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确认船期</w:t>
            </w:r>
          </w:p>
        </w:tc>
        <w:tc>
          <w:tcPr>
            <w:tcW w:w="195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default"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635"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协调</w:t>
            </w:r>
          </w:p>
        </w:tc>
        <w:tc>
          <w:tcPr>
            <w:tcW w:w="145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08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4</w:t>
            </w:r>
          </w:p>
        </w:tc>
        <w:tc>
          <w:tcPr>
            <w:tcW w:w="32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出口手续</w:t>
            </w:r>
          </w:p>
        </w:tc>
        <w:tc>
          <w:tcPr>
            <w:tcW w:w="195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c>
          <w:tcPr>
            <w:tcW w:w="163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4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08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5</w:t>
            </w:r>
          </w:p>
        </w:tc>
        <w:tc>
          <w:tcPr>
            <w:tcW w:w="32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船舶到港通知</w:t>
            </w:r>
          </w:p>
        </w:tc>
        <w:tc>
          <w:tcPr>
            <w:tcW w:w="195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63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4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108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6</w:t>
            </w:r>
          </w:p>
        </w:tc>
        <w:tc>
          <w:tcPr>
            <w:tcW w:w="32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码头集港</w:t>
            </w:r>
          </w:p>
        </w:tc>
        <w:tc>
          <w:tcPr>
            <w:tcW w:w="195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c>
          <w:tcPr>
            <w:tcW w:w="163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4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108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7</w:t>
            </w:r>
          </w:p>
        </w:tc>
        <w:tc>
          <w:tcPr>
            <w:tcW w:w="32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装船运输</w:t>
            </w:r>
          </w:p>
        </w:tc>
        <w:tc>
          <w:tcPr>
            <w:tcW w:w="195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63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4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108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8</w:t>
            </w:r>
          </w:p>
        </w:tc>
        <w:tc>
          <w:tcPr>
            <w:tcW w:w="325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签发提单</w:t>
            </w:r>
          </w:p>
        </w:tc>
        <w:tc>
          <w:tcPr>
            <w:tcW w:w="195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63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4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080"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default"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9</w:t>
            </w:r>
          </w:p>
        </w:tc>
        <w:tc>
          <w:tcPr>
            <w:tcW w:w="325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default"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货运险投保</w:t>
            </w:r>
          </w:p>
        </w:tc>
        <w:tc>
          <w:tcPr>
            <w:tcW w:w="195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63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default"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455"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default"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bl>
    <w:p>
      <w:pPr>
        <w:pStyle w:val="6"/>
        <w:pageBreakBefore w:val="0"/>
        <w:numPr>
          <w:ilvl w:val="0"/>
          <w:numId w:val="0"/>
        </w:numPr>
        <w:kinsoku/>
        <w:wordWrap/>
        <w:overflowPunct/>
        <w:topLinePunct w:val="0"/>
        <w:autoSpaceDE/>
        <w:autoSpaceDN/>
        <w:bidi w:val="0"/>
        <w:adjustRightInd/>
        <w:spacing w:line="560" w:lineRule="exact"/>
        <w:ind w:firstLine="602" w:firstLineChars="200"/>
        <w:rPr>
          <w:rFonts w:hint="eastAsia"/>
          <w:b/>
          <w:highlight w:val="none"/>
          <w:lang w:val="en-US" w:eastAsia="zh-CN"/>
        </w:rPr>
      </w:pPr>
      <w:bookmarkStart w:id="34" w:name="_Toc1086268716"/>
      <w:bookmarkStart w:id="35" w:name="_Toc2066"/>
      <w:bookmarkStart w:id="36" w:name="_Toc3671"/>
      <w:bookmarkStart w:id="37" w:name="_Toc20328"/>
      <w:bookmarkStart w:id="38" w:name="_Toc27131"/>
      <w:r>
        <w:rPr>
          <w:rFonts w:hint="eastAsia"/>
          <w:b/>
          <w:highlight w:val="none"/>
          <w:lang w:val="en-US" w:eastAsia="zh-CN"/>
        </w:rPr>
        <w:t>（二）</w:t>
      </w:r>
      <w:r>
        <w:rPr>
          <w:rFonts w:hint="eastAsia" w:ascii="楷体" w:hAnsi="楷体" w:eastAsia="楷体" w:cs="楷体"/>
          <w:b/>
          <w:sz w:val="32"/>
          <w:szCs w:val="32"/>
          <w:highlight w:val="none"/>
          <w:lang w:val="en-US" w:eastAsia="zh-CN"/>
        </w:rPr>
        <w:t>疏港提运</w:t>
      </w:r>
      <w:bookmarkEnd w:id="34"/>
      <w:bookmarkEnd w:id="35"/>
      <w:bookmarkEnd w:id="36"/>
      <w:bookmarkEnd w:id="37"/>
      <w:bookmarkEnd w:id="38"/>
    </w:p>
    <w:tbl>
      <w:tblPr>
        <w:tblStyle w:val="11"/>
        <w:tblW w:w="939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47"/>
        <w:gridCol w:w="3196"/>
        <w:gridCol w:w="1689"/>
        <w:gridCol w:w="1534"/>
        <w:gridCol w:w="15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7" w:hRule="atLeast"/>
          <w:jc w:val="center"/>
        </w:trPr>
        <w:tc>
          <w:tcPr>
            <w:tcW w:w="9390" w:type="dxa"/>
            <w:gridSpan w:val="5"/>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2"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b/>
                <w:bCs/>
                <w:i w:val="0"/>
                <w:iCs w:val="0"/>
                <w:color w:val="000000"/>
                <w:kern w:val="0"/>
                <w:sz w:val="28"/>
                <w:szCs w:val="28"/>
                <w:highlight w:val="none"/>
                <w:u w:val="none"/>
                <w:lang w:val="en-US" w:eastAsia="zh-CN" w:bidi="ar"/>
              </w:rPr>
              <w:t>疏港提运工作界面矩阵分析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52" w:hRule="atLeast"/>
          <w:jc w:val="center"/>
        </w:trPr>
        <w:tc>
          <w:tcPr>
            <w:tcW w:w="1447" w:type="dxa"/>
            <w:tcBorders>
              <w:top w:val="single" w:color="auto" w:sz="4" w:space="0"/>
              <w:left w:val="single" w:color="auto" w:sz="4"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序号</w:t>
            </w:r>
          </w:p>
        </w:tc>
        <w:tc>
          <w:tcPr>
            <w:tcW w:w="3196" w:type="dxa"/>
            <w:tcBorders>
              <w:top w:val="single" w:color="auto" w:sz="4" w:space="0"/>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主要工作界面描述</w:t>
            </w:r>
          </w:p>
        </w:tc>
        <w:tc>
          <w:tcPr>
            <w:tcW w:w="1689" w:type="dxa"/>
            <w:tcBorders>
              <w:top w:val="single" w:color="auto" w:sz="4" w:space="0"/>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jc w:val="both"/>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报关服务商</w:t>
            </w:r>
          </w:p>
        </w:tc>
        <w:tc>
          <w:tcPr>
            <w:tcW w:w="1534" w:type="dxa"/>
            <w:tcBorders>
              <w:top w:val="single" w:color="auto" w:sz="4" w:space="0"/>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业主方</w:t>
            </w:r>
          </w:p>
        </w:tc>
        <w:tc>
          <w:tcPr>
            <w:tcW w:w="1524" w:type="dxa"/>
            <w:tcBorders>
              <w:top w:val="single" w:color="auto" w:sz="4" w:space="0"/>
              <w:left w:val="single" w:color="000000" w:sz="8"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rPr>
            </w:pPr>
            <w:r>
              <w:rPr>
                <w:rFonts w:hint="eastAsia" w:ascii="仿宋" w:hAnsi="仿宋" w:eastAsia="仿宋" w:cs="仿宋"/>
                <w:i w:val="0"/>
                <w:iCs w:val="0"/>
                <w:color w:val="000000"/>
                <w:kern w:val="0"/>
                <w:sz w:val="28"/>
                <w:szCs w:val="28"/>
                <w:highlight w:val="none"/>
                <w:u w:val="none"/>
                <w:lang w:val="en-US" w:eastAsia="zh-CN" w:bidi="ar"/>
              </w:rPr>
              <w:t>物流服务商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1" w:hRule="atLeast"/>
          <w:jc w:val="center"/>
        </w:trPr>
        <w:tc>
          <w:tcPr>
            <w:tcW w:w="1447" w:type="dxa"/>
            <w:tcBorders>
              <w:top w:val="single" w:color="auto" w:sz="4"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1</w:t>
            </w:r>
          </w:p>
        </w:tc>
        <w:tc>
          <w:tcPr>
            <w:tcW w:w="3196" w:type="dxa"/>
            <w:tcBorders>
              <w:top w:val="single" w:color="auto" w:sz="4"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rPr>
            </w:pPr>
            <w:r>
              <w:rPr>
                <w:rFonts w:hint="eastAsia" w:ascii="仿宋" w:hAnsi="仿宋" w:eastAsia="仿宋" w:cs="仿宋"/>
                <w:i w:val="0"/>
                <w:iCs w:val="0"/>
                <w:color w:val="000000"/>
                <w:kern w:val="0"/>
                <w:sz w:val="28"/>
                <w:szCs w:val="28"/>
                <w:highlight w:val="none"/>
                <w:u w:val="none"/>
                <w:lang w:val="en-US" w:eastAsia="zh-CN" w:bidi="ar"/>
              </w:rPr>
              <w:t>获得货物准许提离通知书</w:t>
            </w:r>
          </w:p>
        </w:tc>
        <w:tc>
          <w:tcPr>
            <w:tcW w:w="1689" w:type="dxa"/>
            <w:tcBorders>
              <w:top w:val="single" w:color="auto" w:sz="4"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c>
          <w:tcPr>
            <w:tcW w:w="1534" w:type="dxa"/>
            <w:tcBorders>
              <w:top w:val="single" w:color="auto" w:sz="4"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24" w:type="dxa"/>
            <w:tcBorders>
              <w:top w:val="single" w:color="auto" w:sz="4"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协调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2" w:hRule="atLeast"/>
          <w:jc w:val="center"/>
        </w:trPr>
        <w:tc>
          <w:tcPr>
            <w:tcW w:w="1447"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2</w:t>
            </w:r>
          </w:p>
        </w:tc>
        <w:tc>
          <w:tcPr>
            <w:tcW w:w="3196"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至船公司（或船代）缴纳柜租等费用</w:t>
            </w:r>
          </w:p>
        </w:tc>
        <w:tc>
          <w:tcPr>
            <w:tcW w:w="1689"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24"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1" w:hRule="atLeast"/>
          <w:jc w:val="center"/>
        </w:trPr>
        <w:tc>
          <w:tcPr>
            <w:tcW w:w="1447"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3</w:t>
            </w:r>
          </w:p>
        </w:tc>
        <w:tc>
          <w:tcPr>
            <w:tcW w:w="3196"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打印提柜纸</w:t>
            </w:r>
          </w:p>
        </w:tc>
        <w:tc>
          <w:tcPr>
            <w:tcW w:w="1689"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nil"/>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24"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78" w:hRule="atLeast"/>
          <w:jc w:val="center"/>
        </w:trPr>
        <w:tc>
          <w:tcPr>
            <w:tcW w:w="1447"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4</w:t>
            </w:r>
          </w:p>
        </w:tc>
        <w:tc>
          <w:tcPr>
            <w:tcW w:w="3196"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至码头缴纳仓租等费用</w:t>
            </w:r>
          </w:p>
        </w:tc>
        <w:tc>
          <w:tcPr>
            <w:tcW w:w="1689"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2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1" w:hRule="atLeast"/>
          <w:jc w:val="center"/>
        </w:trPr>
        <w:tc>
          <w:tcPr>
            <w:tcW w:w="1447"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5</w:t>
            </w:r>
          </w:p>
        </w:tc>
        <w:tc>
          <w:tcPr>
            <w:tcW w:w="3196"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码头提货</w:t>
            </w:r>
          </w:p>
        </w:tc>
        <w:tc>
          <w:tcPr>
            <w:tcW w:w="1689"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2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13" w:hRule="atLeast"/>
          <w:jc w:val="center"/>
        </w:trPr>
        <w:tc>
          <w:tcPr>
            <w:tcW w:w="1447"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6</w:t>
            </w:r>
          </w:p>
        </w:tc>
        <w:tc>
          <w:tcPr>
            <w:tcW w:w="3196"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检查货物或集装箱箱体（七点检查法）</w:t>
            </w:r>
            <w:r>
              <w:rPr>
                <w:rFonts w:hint="eastAsia" w:ascii="仿宋" w:hAnsi="仿宋" w:eastAsia="仿宋" w:cs="仿宋"/>
                <w:i w:val="0"/>
                <w:iCs w:val="0"/>
                <w:color w:val="000000"/>
                <w:sz w:val="28"/>
                <w:szCs w:val="28"/>
                <w:highlight w:val="none"/>
                <w:u w:val="none"/>
                <w:lang w:val="en-US" w:eastAsia="zh-CN"/>
              </w:rPr>
              <w:object>
                <v:shape id="_x0000_i1025" o:spt="75" type="#_x0000_t75" style="height:65.4pt;width:72.6pt;" o:ole="t" filled="f" o:preferrelative="t" stroked="f" coordsize="21600,21600">
                  <v:path/>
                  <v:fill on="f" focussize="0,0"/>
                  <v:stroke on="f"/>
                  <v:imagedata r:id="rId6" o:title=""/>
                  <o:lock v:ext="edit" aspectratio="t"/>
                  <w10:wrap type="none"/>
                  <w10:anchorlock/>
                </v:shape>
                <o:OLEObject Type="Embed" ProgID="AcroExch.Document" ShapeID="_x0000_i1025" DrawAspect="Icon" ObjectID="_1468075725" r:id="rId5">
                  <o:LockedField>false</o:LockedField>
                </o:OLEObject>
              </w:object>
            </w:r>
          </w:p>
        </w:tc>
        <w:tc>
          <w:tcPr>
            <w:tcW w:w="1689"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52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2" w:hRule="atLeast"/>
          <w:jc w:val="center"/>
        </w:trPr>
        <w:tc>
          <w:tcPr>
            <w:tcW w:w="1447"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7</w:t>
            </w:r>
          </w:p>
        </w:tc>
        <w:tc>
          <w:tcPr>
            <w:tcW w:w="3196"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按时将货物送达指定卸货场地</w:t>
            </w:r>
          </w:p>
        </w:tc>
        <w:tc>
          <w:tcPr>
            <w:tcW w:w="1689"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52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1" w:hRule="atLeast"/>
          <w:jc w:val="center"/>
        </w:trPr>
        <w:tc>
          <w:tcPr>
            <w:tcW w:w="1447"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8</w:t>
            </w:r>
          </w:p>
        </w:tc>
        <w:tc>
          <w:tcPr>
            <w:tcW w:w="319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kern w:val="0"/>
                <w:sz w:val="28"/>
                <w:szCs w:val="28"/>
                <w:highlight w:val="none"/>
                <w:u w:val="none"/>
                <w:lang w:val="en-US" w:eastAsia="zh-CN" w:bidi="ar"/>
              </w:rPr>
            </w:pPr>
            <w:r>
              <w:rPr>
                <w:rFonts w:hint="eastAsia" w:ascii="仿宋" w:hAnsi="仿宋" w:eastAsia="仿宋" w:cs="仿宋"/>
                <w:i w:val="0"/>
                <w:iCs w:val="0"/>
                <w:color w:val="000000"/>
                <w:kern w:val="0"/>
                <w:sz w:val="28"/>
                <w:szCs w:val="28"/>
                <w:highlight w:val="none"/>
                <w:u w:val="none"/>
                <w:lang w:val="en-US" w:eastAsia="zh-CN" w:bidi="ar"/>
              </w:rPr>
              <w:t>签核收货证明</w:t>
            </w:r>
          </w:p>
        </w:tc>
        <w:tc>
          <w:tcPr>
            <w:tcW w:w="1689"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line="560" w:lineRule="exact"/>
              <w:ind w:firstLine="560" w:firstLineChars="200"/>
              <w:jc w:val="center"/>
              <w:textAlignment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w:t>
            </w:r>
          </w:p>
        </w:tc>
        <w:tc>
          <w:tcPr>
            <w:tcW w:w="153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配合</w:t>
            </w:r>
          </w:p>
        </w:tc>
        <w:tc>
          <w:tcPr>
            <w:tcW w:w="1524" w:type="dxa"/>
            <w:tcBorders>
              <w:top w:val="single" w:color="000000" w:sz="8" w:space="0"/>
              <w:left w:val="single" w:color="000000" w:sz="8" w:space="0"/>
              <w:bottom w:val="single" w:color="000000" w:sz="8" w:space="0"/>
              <w:right w:val="single" w:color="000000" w:sz="8" w:space="0"/>
            </w:tcBorders>
            <w:shd w:val="clear" w:color="auto" w:fill="auto"/>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i w:val="0"/>
                <w:iCs w:val="0"/>
                <w:color w:val="000000"/>
                <w:sz w:val="28"/>
                <w:szCs w:val="28"/>
                <w:highlight w:val="none"/>
                <w:u w:val="none"/>
                <w:lang w:val="en-US" w:eastAsia="zh-CN"/>
              </w:rPr>
            </w:pPr>
            <w:r>
              <w:rPr>
                <w:rFonts w:hint="eastAsia" w:ascii="仿宋" w:hAnsi="仿宋" w:eastAsia="仿宋" w:cs="仿宋"/>
                <w:i w:val="0"/>
                <w:iCs w:val="0"/>
                <w:color w:val="000000"/>
                <w:sz w:val="28"/>
                <w:szCs w:val="28"/>
                <w:highlight w:val="none"/>
                <w:u w:val="none"/>
                <w:lang w:val="en-US" w:eastAsia="zh-CN"/>
              </w:rPr>
              <w:t>实施</w:t>
            </w:r>
          </w:p>
        </w:tc>
      </w:tr>
    </w:tbl>
    <w:p>
      <w:pPr>
        <w:pStyle w:val="6"/>
        <w:pageBreakBefore w:val="0"/>
        <w:numPr>
          <w:ilvl w:val="0"/>
          <w:numId w:val="0"/>
        </w:numPr>
        <w:kinsoku/>
        <w:wordWrap/>
        <w:overflowPunct/>
        <w:topLinePunct w:val="0"/>
        <w:autoSpaceDE/>
        <w:autoSpaceDN/>
        <w:bidi w:val="0"/>
        <w:adjustRightInd/>
        <w:spacing w:line="560" w:lineRule="exact"/>
        <w:ind w:firstLine="602" w:firstLineChars="200"/>
        <w:rPr>
          <w:rFonts w:hint="eastAsia"/>
          <w:highlight w:val="none"/>
          <w:lang w:val="en-US" w:eastAsia="zh-CN"/>
        </w:rPr>
      </w:pPr>
      <w:bookmarkStart w:id="39" w:name="_Toc5084"/>
      <w:bookmarkStart w:id="40" w:name="_Toc31142"/>
      <w:bookmarkStart w:id="41" w:name="_Toc29608"/>
      <w:bookmarkStart w:id="42" w:name="_Toc6036"/>
      <w:r>
        <w:rPr>
          <w:rFonts w:hint="eastAsia"/>
          <w:b/>
          <w:highlight w:val="none"/>
          <w:lang w:val="en-US" w:eastAsia="zh-CN"/>
        </w:rPr>
        <w:t>（三）</w:t>
      </w:r>
      <w:r>
        <w:rPr>
          <w:rFonts w:hint="eastAsia" w:ascii="楷体" w:hAnsi="楷体" w:eastAsia="楷体" w:cs="楷体"/>
          <w:b/>
          <w:sz w:val="32"/>
          <w:szCs w:val="32"/>
          <w:highlight w:val="none"/>
          <w:lang w:val="en-US" w:eastAsia="zh-CN"/>
        </w:rPr>
        <w:t>运输进度计划控制表</w:t>
      </w:r>
      <w:bookmarkEnd w:id="39"/>
      <w:bookmarkEnd w:id="40"/>
      <w:bookmarkEnd w:id="41"/>
      <w:bookmarkEnd w:id="42"/>
    </w:p>
    <w:tbl>
      <w:tblPr>
        <w:tblStyle w:val="11"/>
        <w:tblW w:w="97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38"/>
        <w:gridCol w:w="2631"/>
        <w:gridCol w:w="36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3438" w:type="dxa"/>
            <w:shd w:val="clear" w:color="auto" w:fill="99CCFF"/>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工作内容</w:t>
            </w:r>
          </w:p>
        </w:tc>
        <w:tc>
          <w:tcPr>
            <w:tcW w:w="2631" w:type="dxa"/>
            <w:shd w:val="clear" w:color="auto" w:fill="99CCFF"/>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所需时间</w:t>
            </w:r>
          </w:p>
        </w:tc>
        <w:tc>
          <w:tcPr>
            <w:tcW w:w="3658" w:type="dxa"/>
            <w:shd w:val="clear" w:color="auto" w:fill="99CCFF"/>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进度控制要求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7"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rPr>
                <w:rFonts w:hint="eastAsia" w:ascii="仿宋" w:hAnsi="仿宋" w:eastAsia="仿宋" w:cs="仿宋"/>
                <w:sz w:val="28"/>
                <w:szCs w:val="28"/>
                <w:highlight w:val="none"/>
              </w:rPr>
            </w:pPr>
            <w:r>
              <w:rPr>
                <w:rFonts w:hint="eastAsia" w:ascii="仿宋" w:hAnsi="仿宋" w:eastAsia="仿宋" w:cs="仿宋"/>
                <w:sz w:val="28"/>
                <w:szCs w:val="28"/>
                <w:highlight w:val="none"/>
              </w:rPr>
              <w:t>船舶预订舱</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1-2周</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集装箱：船到</w:t>
            </w:r>
            <w:r>
              <w:rPr>
                <w:rFonts w:hint="eastAsia" w:ascii="仿宋" w:hAnsi="仿宋" w:eastAsia="仿宋" w:cs="仿宋"/>
                <w:sz w:val="28"/>
                <w:szCs w:val="28"/>
                <w:highlight w:val="none"/>
                <w:lang w:val="en-US" w:eastAsia="zh-CN"/>
              </w:rPr>
              <w:t>始发</w:t>
            </w:r>
            <w:r>
              <w:rPr>
                <w:rFonts w:hint="eastAsia" w:ascii="仿宋" w:hAnsi="仿宋" w:eastAsia="仿宋" w:cs="仿宋"/>
                <w:sz w:val="28"/>
                <w:szCs w:val="28"/>
                <w:highlight w:val="none"/>
              </w:rPr>
              <w:t>港前50天内完成</w:t>
            </w:r>
          </w:p>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件杂货：船到</w:t>
            </w:r>
            <w:r>
              <w:rPr>
                <w:rFonts w:hint="eastAsia" w:ascii="仿宋" w:hAnsi="仿宋" w:eastAsia="仿宋" w:cs="仿宋"/>
                <w:sz w:val="28"/>
                <w:szCs w:val="28"/>
                <w:highlight w:val="none"/>
                <w:lang w:val="en-US" w:eastAsia="zh-CN"/>
              </w:rPr>
              <w:t>始发</w:t>
            </w:r>
            <w:r>
              <w:rPr>
                <w:rFonts w:hint="eastAsia" w:ascii="仿宋" w:hAnsi="仿宋" w:eastAsia="仿宋" w:cs="仿宋"/>
                <w:sz w:val="28"/>
                <w:szCs w:val="28"/>
                <w:highlight w:val="none"/>
              </w:rPr>
              <w:t>港前30天内完成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7"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订舱</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3-5天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集装箱：船到</w:t>
            </w:r>
            <w:r>
              <w:rPr>
                <w:rFonts w:hint="eastAsia" w:ascii="仿宋" w:hAnsi="仿宋" w:eastAsia="仿宋" w:cs="仿宋"/>
                <w:sz w:val="28"/>
                <w:szCs w:val="28"/>
                <w:highlight w:val="none"/>
                <w:lang w:val="en-US" w:eastAsia="zh-CN"/>
              </w:rPr>
              <w:t>始发</w:t>
            </w:r>
            <w:r>
              <w:rPr>
                <w:rFonts w:hint="eastAsia" w:ascii="仿宋" w:hAnsi="仿宋" w:eastAsia="仿宋" w:cs="仿宋"/>
                <w:sz w:val="28"/>
                <w:szCs w:val="28"/>
                <w:highlight w:val="none"/>
              </w:rPr>
              <w:t>港前25天内完成</w:t>
            </w:r>
          </w:p>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件杂货：船到</w:t>
            </w:r>
            <w:r>
              <w:rPr>
                <w:rFonts w:hint="eastAsia" w:ascii="仿宋" w:hAnsi="仿宋" w:eastAsia="仿宋" w:cs="仿宋"/>
                <w:sz w:val="28"/>
                <w:szCs w:val="28"/>
                <w:highlight w:val="none"/>
                <w:lang w:val="en-US" w:eastAsia="zh-CN"/>
              </w:rPr>
              <w:t>始发</w:t>
            </w:r>
            <w:r>
              <w:rPr>
                <w:rFonts w:hint="eastAsia" w:ascii="仿宋" w:hAnsi="仿宋" w:eastAsia="仿宋" w:cs="仿宋"/>
                <w:sz w:val="28"/>
                <w:szCs w:val="28"/>
                <w:highlight w:val="none"/>
              </w:rPr>
              <w:t>港前15天内完成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4"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报关单据的确认和制作</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2天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船到</w:t>
            </w:r>
            <w:r>
              <w:rPr>
                <w:rFonts w:hint="eastAsia" w:ascii="仿宋" w:hAnsi="仿宋" w:eastAsia="仿宋" w:cs="仿宋"/>
                <w:sz w:val="28"/>
                <w:szCs w:val="28"/>
                <w:highlight w:val="none"/>
                <w:lang w:val="en-US" w:eastAsia="zh-CN"/>
              </w:rPr>
              <w:t>目的</w:t>
            </w:r>
            <w:r>
              <w:rPr>
                <w:rFonts w:hint="eastAsia" w:ascii="仿宋" w:hAnsi="仿宋" w:eastAsia="仿宋" w:cs="仿宋"/>
                <w:sz w:val="28"/>
                <w:szCs w:val="28"/>
                <w:highlight w:val="none"/>
              </w:rPr>
              <w:t>港前7天完成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提单主要内容的确认</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2天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视船公司截单日调整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4"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正本海运提单的签发</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3-5天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船舶驶离装港后5个工作日内完成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4"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海洋运输</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45-75天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left"/>
              <w:rPr>
                <w:rFonts w:hint="eastAsia" w:ascii="仿宋" w:hAnsi="仿宋" w:eastAsia="仿宋" w:cs="仿宋"/>
                <w:sz w:val="28"/>
                <w:szCs w:val="28"/>
                <w:highlight w:val="none"/>
              </w:rPr>
            </w:pPr>
            <w:r>
              <w:rPr>
                <w:rFonts w:hint="eastAsia" w:ascii="仿宋" w:hAnsi="仿宋" w:eastAsia="仿宋" w:cs="仿宋"/>
                <w:sz w:val="28"/>
                <w:szCs w:val="28"/>
                <w:highlight w:val="none"/>
              </w:rPr>
              <w:t>集装箱： 45-55天运抵卸货港口</w:t>
            </w:r>
          </w:p>
          <w:p>
            <w:pPr>
              <w:pageBreakBefore w:val="0"/>
              <w:kinsoku/>
              <w:wordWrap/>
              <w:overflowPunct/>
              <w:topLinePunct w:val="0"/>
              <w:autoSpaceDE/>
              <w:autoSpaceDN/>
              <w:bidi w:val="0"/>
              <w:adjustRightInd/>
              <w:spacing w:line="560" w:lineRule="exact"/>
              <w:ind w:firstLine="560" w:firstLineChars="200"/>
              <w:jc w:val="left"/>
              <w:rPr>
                <w:rFonts w:hint="eastAsia" w:ascii="仿宋" w:hAnsi="仿宋" w:eastAsia="仿宋" w:cs="仿宋"/>
                <w:sz w:val="28"/>
                <w:szCs w:val="28"/>
                <w:highlight w:val="none"/>
              </w:rPr>
            </w:pPr>
            <w:r>
              <w:rPr>
                <w:rFonts w:hint="eastAsia" w:ascii="仿宋" w:hAnsi="仿宋" w:eastAsia="仿宋" w:cs="仿宋"/>
                <w:sz w:val="28"/>
                <w:szCs w:val="28"/>
                <w:highlight w:val="none"/>
              </w:rPr>
              <w:t>件杂货： 经红海45-55天运抵卸货港口；经好望角60-75天运抵卸货港。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卸船作业</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1-2天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 xml:space="preserve">1-2天（压港除外）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1"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进口清关</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2-3天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一般3个工作日内（取决于收货人提供齐全、正确的清关资料及付税）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4" w:hRule="atLeast"/>
          <w:jc w:val="center"/>
        </w:trPr>
        <w:tc>
          <w:tcPr>
            <w:tcW w:w="343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陆路运输</w:t>
            </w:r>
          </w:p>
        </w:tc>
        <w:tc>
          <w:tcPr>
            <w:tcW w:w="2631"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2-3天</w:t>
            </w:r>
          </w:p>
        </w:tc>
        <w:tc>
          <w:tcPr>
            <w:tcW w:w="3658" w:type="dxa"/>
            <w:vAlign w:val="center"/>
          </w:tcPr>
          <w:p>
            <w:pPr>
              <w:pageBreakBefore w:val="0"/>
              <w:kinsoku/>
              <w:wordWrap/>
              <w:overflowPunct/>
              <w:topLinePunct w:val="0"/>
              <w:autoSpaceDE/>
              <w:autoSpaceDN/>
              <w:bidi w:val="0"/>
              <w:adjustRightInd/>
              <w:spacing w:line="560" w:lineRule="exact"/>
              <w:ind w:firstLine="560" w:firstLineChars="200"/>
              <w:jc w:val="center"/>
              <w:rPr>
                <w:rFonts w:hint="eastAsia" w:ascii="仿宋" w:hAnsi="仿宋" w:eastAsia="仿宋" w:cs="仿宋"/>
                <w:sz w:val="28"/>
                <w:szCs w:val="28"/>
                <w:highlight w:val="none"/>
              </w:rPr>
            </w:pPr>
            <w:r>
              <w:rPr>
                <w:rFonts w:hint="eastAsia" w:ascii="仿宋" w:hAnsi="仿宋" w:eastAsia="仿宋" w:cs="仿宋"/>
                <w:sz w:val="28"/>
                <w:szCs w:val="28"/>
                <w:highlight w:val="none"/>
              </w:rPr>
              <w:t>运输2-3天（分批次）完成</w:t>
            </w:r>
          </w:p>
        </w:tc>
      </w:tr>
    </w:tbl>
    <w:p>
      <w:pPr>
        <w:pStyle w:val="5"/>
        <w:pageBreakBefore w:val="0"/>
        <w:widowControl w:val="0"/>
        <w:numPr>
          <w:ilvl w:val="0"/>
          <w:numId w:val="1"/>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43" w:name="_Toc518706425"/>
      <w:bookmarkStart w:id="44" w:name="_Toc3406"/>
      <w:bookmarkStart w:id="45" w:name="_Toc28003"/>
      <w:bookmarkStart w:id="46" w:name="_Toc2084"/>
      <w:bookmarkStart w:id="47" w:name="_Toc24184"/>
      <w:r>
        <w:rPr>
          <w:rFonts w:hint="eastAsia" w:ascii="黑体" w:hAnsi="黑体" w:eastAsia="黑体" w:cs="黑体"/>
          <w:b w:val="0"/>
          <w:bCs/>
          <w:sz w:val="32"/>
          <w:szCs w:val="24"/>
          <w:highlight w:val="none"/>
          <w:lang w:val="en-US" w:eastAsia="zh-CN" w:bidi="ar-SA"/>
        </w:rPr>
        <w:t>技术要求</w:t>
      </w:r>
      <w:bookmarkEnd w:id="43"/>
      <w:bookmarkEnd w:id="44"/>
      <w:bookmarkEnd w:id="45"/>
      <w:bookmarkEnd w:id="46"/>
      <w:bookmarkEnd w:id="47"/>
    </w:p>
    <w:p>
      <w:pPr>
        <w:pStyle w:val="6"/>
        <w:pageBreakBefore w:val="0"/>
        <w:numPr>
          <w:ilvl w:val="0"/>
          <w:numId w:val="0"/>
        </w:numPr>
        <w:kinsoku/>
        <w:wordWrap/>
        <w:overflowPunct/>
        <w:topLinePunct w:val="0"/>
        <w:autoSpaceDE/>
        <w:autoSpaceDN/>
        <w:bidi w:val="0"/>
        <w:adjustRightInd/>
        <w:spacing w:line="560" w:lineRule="exact"/>
        <w:ind w:firstLine="602" w:firstLineChars="200"/>
        <w:rPr>
          <w:rFonts w:hint="eastAsia"/>
          <w:b/>
          <w:highlight w:val="none"/>
          <w:lang w:val="en-US" w:eastAsia="zh-CN"/>
        </w:rPr>
      </w:pPr>
      <w:bookmarkStart w:id="48" w:name="_Toc7148"/>
      <w:bookmarkStart w:id="49" w:name="_Toc6163"/>
      <w:bookmarkStart w:id="50" w:name="_Toc26389"/>
      <w:bookmarkStart w:id="51" w:name="_Toc19423"/>
      <w:bookmarkStart w:id="52" w:name="_Toc1814786065"/>
      <w:r>
        <w:rPr>
          <w:rFonts w:hint="eastAsia"/>
          <w:b/>
          <w:highlight w:val="none"/>
          <w:lang w:val="en-US" w:eastAsia="zh-CN"/>
        </w:rPr>
        <w:t>（一）</w:t>
      </w:r>
      <w:r>
        <w:rPr>
          <w:rFonts w:hint="eastAsia" w:ascii="楷体" w:hAnsi="楷体" w:eastAsia="楷体" w:cs="楷体"/>
          <w:b/>
          <w:sz w:val="32"/>
          <w:szCs w:val="32"/>
          <w:highlight w:val="none"/>
          <w:lang w:val="en-US" w:eastAsia="zh-CN"/>
        </w:rPr>
        <w:t>国际海运</w:t>
      </w:r>
      <w:bookmarkEnd w:id="48"/>
      <w:bookmarkEnd w:id="49"/>
      <w:bookmarkEnd w:id="50"/>
      <w:bookmarkEnd w:id="51"/>
      <w:bookmarkEnd w:id="52"/>
    </w:p>
    <w:p>
      <w:pPr>
        <w:keepNext w:val="0"/>
        <w:keepLines w:val="0"/>
        <w:pageBreakBefore w:val="0"/>
        <w:widowControl/>
        <w:numPr>
          <w:ilvl w:val="0"/>
          <w:numId w:val="5"/>
        </w:numPr>
        <w:kinsoku/>
        <w:wordWrap/>
        <w:overflowPunct/>
        <w:topLinePunct w:val="0"/>
        <w:autoSpaceDE/>
        <w:autoSpaceDN/>
        <w:bidi w:val="0"/>
        <w:adjustRightInd/>
        <w:snapToGrid w:val="0"/>
        <w:spacing w:before="156" w:beforeLines="50" w:after="0" w:afterLines="-2147483648" w:line="560" w:lineRule="exact"/>
        <w:ind w:left="0" w:leftChars="0" w:firstLine="560" w:firstLineChars="200"/>
        <w:textAlignment w:val="auto"/>
        <w:rPr>
          <w:rFonts w:hint="eastAsia" w:ascii="仿宋" w:hAnsi="仿宋" w:eastAsia="仿宋" w:cs="仿宋"/>
          <w:kern w:val="0"/>
          <w:sz w:val="28"/>
          <w:szCs w:val="28"/>
          <w:highlight w:val="none"/>
          <w:lang w:val="en-US" w:eastAsia="zh-CN"/>
        </w:rPr>
      </w:pPr>
      <w:r>
        <w:rPr>
          <w:rFonts w:hint="eastAsia" w:ascii="仿宋" w:hAnsi="仿宋" w:eastAsia="仿宋" w:cs="仿宋"/>
          <w:kern w:val="0"/>
          <w:sz w:val="28"/>
          <w:szCs w:val="28"/>
          <w:highlight w:val="none"/>
          <w:lang w:val="en-US" w:eastAsia="zh-CN"/>
        </w:rPr>
        <w:t>按照国家有关法律法规规定，办理相关的运输许可及其它相关手续，接受海关、海事等相关主管部门对于运输作业安全的管理。</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甲方应将本合同项下的设备供应方的联系方式通知乙方。乙方应与设备供应方建立日常沟通，并密切跟踪设备交付进展，乙方代表甲方向供应商收集、确认箱单、货物图片等货运资料并完成租船、订舱手续。沟通内容包含所发运货物的货物清单（箱单）、装货港、发货时间（货物备妥时间）、发货人信息和联系方式、货物运输要求，对于超限货物的还需要提供设备的包装运输规范、设备包装图（包含外形尺寸、重量、重心等信息）。</w:t>
      </w:r>
    </w:p>
    <w:p>
      <w:pPr>
        <w:keepNext w:val="0"/>
        <w:keepLines w:val="0"/>
        <w:pageBreakBefore w:val="0"/>
        <w:widowControl/>
        <w:numPr>
          <w:ilvl w:val="0"/>
          <w:numId w:val="5"/>
        </w:numPr>
        <w:kinsoku/>
        <w:wordWrap/>
        <w:overflowPunct/>
        <w:topLinePunct w:val="0"/>
        <w:autoSpaceDE/>
        <w:autoSpaceDN/>
        <w:bidi w:val="0"/>
        <w:adjustRightInd/>
        <w:snapToGrid w:val="0"/>
        <w:spacing w:before="156" w:beforeLines="50" w:after="100" w:afterLines="-2147483648" w:afterAutospacing="1" w:line="560" w:lineRule="exact"/>
        <w:ind w:left="0" w:leftChars="0" w:firstLine="560" w:firstLineChars="200"/>
        <w:textAlignment w:val="auto"/>
        <w:rPr>
          <w:rFonts w:hint="eastAsia" w:ascii="仿宋" w:hAnsi="仿宋" w:eastAsia="仿宋" w:cs="仿宋"/>
          <w:kern w:val="0"/>
          <w:sz w:val="28"/>
          <w:szCs w:val="28"/>
          <w:highlight w:val="none"/>
        </w:rPr>
      </w:pPr>
      <w:r>
        <w:rPr>
          <w:rFonts w:hint="eastAsia" w:ascii="仿宋" w:hAnsi="仿宋" w:eastAsia="仿宋" w:cs="仿宋"/>
          <w:kern w:val="0"/>
          <w:sz w:val="28"/>
          <w:szCs w:val="28"/>
          <w:highlight w:val="none"/>
        </w:rPr>
        <w:t>乙方</w:t>
      </w:r>
      <w:r>
        <w:rPr>
          <w:rFonts w:hint="eastAsia" w:ascii="仿宋" w:hAnsi="仿宋" w:eastAsia="仿宋" w:cs="仿宋"/>
          <w:kern w:val="0"/>
          <w:sz w:val="28"/>
          <w:szCs w:val="28"/>
          <w:highlight w:val="none"/>
          <w:lang w:val="en-US" w:eastAsia="zh-CN" w:bidi="ar-SA"/>
        </w:rPr>
        <w:t>在最终确定的发货日期前30日（自然日）与甲方进行确认发货，</w:t>
      </w:r>
      <w:r>
        <w:rPr>
          <w:rFonts w:hint="eastAsia" w:ascii="仿宋" w:hAnsi="仿宋" w:eastAsia="仿宋" w:cs="仿宋"/>
          <w:kern w:val="0"/>
          <w:sz w:val="28"/>
          <w:szCs w:val="28"/>
          <w:highlight w:val="none"/>
        </w:rPr>
        <w:t>按要求向选定的船公司确认订舱，</w:t>
      </w:r>
      <w:r>
        <w:rPr>
          <w:rFonts w:hint="eastAsia" w:ascii="仿宋" w:hAnsi="仿宋" w:eastAsia="仿宋" w:cs="仿宋"/>
          <w:kern w:val="0"/>
          <w:sz w:val="28"/>
          <w:szCs w:val="28"/>
          <w:highlight w:val="none"/>
          <w:lang w:val="en-US" w:eastAsia="zh-CN" w:bidi="ar-SA"/>
        </w:rPr>
        <w:t>提前一周将承运船名、航次通知甲方及国外供应商，</w:t>
      </w:r>
      <w:r>
        <w:rPr>
          <w:rFonts w:hint="eastAsia" w:ascii="仿宋" w:hAnsi="仿宋" w:eastAsia="仿宋" w:cs="仿宋"/>
          <w:kern w:val="0"/>
          <w:sz w:val="28"/>
          <w:szCs w:val="28"/>
          <w:highlight w:val="none"/>
        </w:rPr>
        <w:t>并提供订舱单。</w:t>
      </w:r>
    </w:p>
    <w:p>
      <w:pPr>
        <w:keepNext w:val="0"/>
        <w:keepLines w:val="0"/>
        <w:pageBreakBefore w:val="0"/>
        <w:widowControl/>
        <w:numPr>
          <w:ilvl w:val="0"/>
          <w:numId w:val="5"/>
        </w:numPr>
        <w:kinsoku/>
        <w:wordWrap/>
        <w:overflowPunct/>
        <w:topLinePunct w:val="0"/>
        <w:autoSpaceDE/>
        <w:autoSpaceDN/>
        <w:bidi w:val="0"/>
        <w:adjustRightInd/>
        <w:snapToGrid w:val="0"/>
        <w:spacing w:before="156" w:beforeLines="50" w:after="100" w:afterLines="-2147483648" w:afterAutospacing="1"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乙方负责派船到甲方指定的海运基本港口FOB接货，包括集装箱货物和散杂件货物。根据船期/航期、积载图等资料，完成货物的装运工作，合理安排装卸时间，避免滞期、超期堆存等费用的产生。</w:t>
      </w:r>
    </w:p>
    <w:p>
      <w:pPr>
        <w:keepNext w:val="0"/>
        <w:keepLines w:val="0"/>
        <w:pageBreakBefore w:val="0"/>
        <w:widowControl/>
        <w:numPr>
          <w:ilvl w:val="0"/>
          <w:numId w:val="5"/>
        </w:numPr>
        <w:kinsoku/>
        <w:wordWrap/>
        <w:overflowPunct/>
        <w:topLinePunct w:val="0"/>
        <w:autoSpaceDE/>
        <w:autoSpaceDN/>
        <w:bidi w:val="0"/>
        <w:adjustRightInd/>
        <w:snapToGrid w:val="0"/>
        <w:spacing w:before="156" w:beforeLines="50" w:after="100" w:afterLines="-2147483648" w:afterAutospacing="1"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乙方根据货物情况选择船舶，散货船在国际远洋运输途中不允许转运，集装箱不得拼箱。</w:t>
      </w:r>
    </w:p>
    <w:p>
      <w:pPr>
        <w:keepNext w:val="0"/>
        <w:keepLines w:val="0"/>
        <w:pageBreakBefore w:val="0"/>
        <w:widowControl/>
        <w:numPr>
          <w:ilvl w:val="0"/>
          <w:numId w:val="5"/>
        </w:numPr>
        <w:kinsoku/>
        <w:wordWrap/>
        <w:overflowPunct/>
        <w:topLinePunct w:val="0"/>
        <w:autoSpaceDE/>
        <w:autoSpaceDN/>
        <w:bidi w:val="0"/>
        <w:adjustRightInd/>
        <w:snapToGrid w:val="0"/>
        <w:spacing w:before="156" w:beforeLines="50" w:after="100" w:afterLines="-2147483648" w:afterAutospacing="1" w:line="560" w:lineRule="exact"/>
        <w:ind w:left="0" w:leftChars="0" w:firstLine="560" w:firstLineChars="200"/>
        <w:textAlignment w:val="auto"/>
        <w:rPr>
          <w:rFonts w:hint="eastAsia" w:ascii="仿宋" w:hAnsi="仿宋" w:eastAsia="仿宋" w:cs="仿宋"/>
          <w:color w:val="000000" w:themeColor="text1"/>
          <w:kern w:val="0"/>
          <w:sz w:val="28"/>
          <w:szCs w:val="28"/>
          <w:highlight w:val="none"/>
          <w:lang w:val="en-US" w:eastAsia="zh-CN" w:bidi="ar-SA"/>
          <w14:textFill>
            <w14:solidFill>
              <w14:schemeClr w14:val="tx1"/>
            </w14:solidFill>
          </w14:textFill>
        </w:rPr>
      </w:pPr>
      <w:r>
        <w:rPr>
          <w:rFonts w:hint="eastAsia" w:ascii="仿宋" w:hAnsi="仿宋" w:eastAsia="仿宋" w:cs="仿宋"/>
          <w:color w:val="000000" w:themeColor="text1"/>
          <w:kern w:val="0"/>
          <w:sz w:val="28"/>
          <w:szCs w:val="28"/>
          <w:highlight w:val="none"/>
          <w:lang w:val="en-US" w:eastAsia="zh-CN" w:bidi="ar-SA"/>
          <w14:textFill>
            <w14:solidFill>
              <w14:schemeClr w14:val="tx1"/>
            </w14:solidFill>
          </w14:textFill>
        </w:rPr>
        <w:t>直航船舶运达时间原则上不超过所有运营航运公司同类航线平均时间，集装箱45-55天运抵卸货港口，件杂货经红海45-55天运抵卸货港口，经好望角60-75天运抵卸货港。</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乙方代表甲方向发货人收集设备包装图片、装箱相关记录进行适运性检查，对于货物包装不满足运输要求的乙方应拒绝接货，由发货人进行包装的改进工作。</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在货物装船后，乙方应及时签发运输单证并提供给发货人。</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乙方应在装货后向甲方提供船舶动态信息，船舶抵达卸货港7日前通知甲方有关船代公司的名称、地址、电话等信息。</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b w:val="0"/>
          <w:bCs w:val="0"/>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如果设备或包装发生残损，乙方需及时通知甲方查验，若确认已经发生货物残损，应取得理货残损证明，并报保险公司理赔。</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要承担服务范围内的运输、装卸过程中发生的各种税费、罚款以及人身、财产损害赔偿，并为运输工具及人员购买保险。承担设备运输期间发生的一切毁损、短缺等责任和风险（不可抗力事件导致除外），并负责出险后的索赔事务。</w:t>
      </w:r>
    </w:p>
    <w:p>
      <w:pPr>
        <w:pageBreakBefore w:val="0"/>
        <w:numPr>
          <w:ilvl w:val="0"/>
          <w:numId w:val="5"/>
        </w:numPr>
        <w:kinsoku/>
        <w:wordWrap/>
        <w:overflowPunct/>
        <w:topLinePunct w:val="0"/>
        <w:autoSpaceDE/>
        <w:autoSpaceDN/>
        <w:bidi w:val="0"/>
        <w:adjustRightInd/>
        <w:spacing w:line="560" w:lineRule="exact"/>
        <w:ind w:left="0" w:leftChars="0" w:firstLine="560" w:firstLineChars="200"/>
        <w:textAlignment w:val="auto"/>
        <w:rPr>
          <w:rFonts w:hint="eastAsia" w:ascii="仿宋" w:hAnsi="仿宋" w:eastAsia="仿宋" w:cs="仿宋"/>
          <w:sz w:val="28"/>
          <w:szCs w:val="28"/>
          <w:highlight w:val="none"/>
          <w:lang w:val="en-US" w:eastAsia="zh-CN"/>
        </w:rPr>
      </w:pPr>
      <w:r>
        <w:rPr>
          <w:rFonts w:hint="eastAsia" w:ascii="仿宋" w:hAnsi="仿宋" w:eastAsia="仿宋" w:cs="仿宋"/>
          <w:kern w:val="0"/>
          <w:sz w:val="28"/>
          <w:szCs w:val="28"/>
          <w:highlight w:val="none"/>
          <w:lang w:val="en-US" w:eastAsia="zh-CN" w:bidi="ar-SA"/>
        </w:rPr>
        <w:t>设备运至工地现场指定地点后，由甲方相关部门组织乙方、现场接货方对设备进行外观完好性检查，并在设备交接清单上签字交接。</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乙方须承担由于乙方原因造成的滞报费、滞箱费、超期堆存费等相关费用。</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妥善保存与运输相关的各种单证及资料，作为业主日后理赔、索赔，保护自己合法权益的依据。如果在运输中货物发生灭失或损坏，乙方应在事故发生后及时通知甲方，做出详细的情况说明并提供现场记录资料和照片，同时做好理赔工作。</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乙方应按照甲方要求按时提供相关运输文件，配合项目免税工作，如发生因文件延迟造成的无法申报免税，则损失由乙方承担。</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乙方须建立相关信息通报机制，负责定期向甲方提报本合同项下工作进度报告及报表。</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甲方有权对乙方的物流服务进行监督，有权要求乙方对于工作进展情况及时报告。</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由于甲方工程施工进度的要求导致的应急物流，乙方应积极办理，尽最大努力满足甲方的要求。</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乙方负责对本合同所涉及的服务组织、安全、质量、环保、进度、资源、文件等进行全面管理。</w:t>
      </w:r>
    </w:p>
    <w:p>
      <w:pPr>
        <w:keepNext w:val="0"/>
        <w:keepLines w:val="0"/>
        <w:pageBreakBefore w:val="0"/>
        <w:widowControl w:val="0"/>
        <w:numPr>
          <w:ilvl w:val="0"/>
          <w:numId w:val="5"/>
        </w:numPr>
        <w:kinsoku/>
        <w:wordWrap/>
        <w:overflowPunct/>
        <w:topLinePunct w:val="0"/>
        <w:autoSpaceDE/>
        <w:autoSpaceDN/>
        <w:bidi w:val="0"/>
        <w:adjustRightInd/>
        <w:snapToGrid/>
        <w:spacing w:before="156" w:beforeLines="50" w:after="156" w:afterLines="50" w:line="560" w:lineRule="exact"/>
        <w:ind w:left="0" w:leftChars="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乙方应编制运输方案，包限但不限于运输项目部组织机构、主要设施、人力资源计划、项目实施计划、文明安全作业措施、应急预案等。</w:t>
      </w:r>
    </w:p>
    <w:p>
      <w:pPr>
        <w:pStyle w:val="6"/>
        <w:pageBreakBefore w:val="0"/>
        <w:numPr>
          <w:ilvl w:val="0"/>
          <w:numId w:val="0"/>
        </w:numPr>
        <w:kinsoku/>
        <w:wordWrap/>
        <w:overflowPunct/>
        <w:topLinePunct w:val="0"/>
        <w:autoSpaceDE/>
        <w:autoSpaceDN/>
        <w:bidi w:val="0"/>
        <w:adjustRightInd/>
        <w:spacing w:line="560" w:lineRule="exact"/>
        <w:rPr>
          <w:rFonts w:hint="eastAsia"/>
          <w:b/>
          <w:highlight w:val="none"/>
          <w:lang w:val="en-US" w:eastAsia="zh-CN"/>
        </w:rPr>
      </w:pPr>
      <w:bookmarkStart w:id="53" w:name="_Toc1288"/>
      <w:r>
        <w:rPr>
          <w:rFonts w:hint="eastAsia"/>
          <w:b/>
          <w:highlight w:val="none"/>
          <w:lang w:val="en-US" w:eastAsia="zh-CN"/>
        </w:rPr>
        <w:t>（二）疏港提运</w:t>
      </w:r>
      <w:bookmarkEnd w:id="53"/>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（1）乙方应保证所有承运车辆或船舶的资质符合相关运输要求，实际承运人需有道路运输经营许可证。</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（2）乙方收到甲方报关服务公司的到货通知单后，制定运输计划，确定运输车辆、运输线路、运输时间、出车司机等信息，跟踪并及时反馈运输动态，车辆及司机应接受甲方或其代管方的检查。</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3）乙方接到甲方报关服务公司的海关准许提离通知书后，及时安排车辆提货、装车，避免产生超期费用，协助支付货物在港口提货、装车时产生的第三方费用，按时、安全、可靠、无损地运到甲方指定的现场地点，从设备接货后至设备到达指定地点办理完交接手续前，对设备的安全、保护全权负责。</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（4）乙方负责港口提运及第三方协调，包括但不限于与目的港口/机场/铁路、公安、交警、路政等与物流运输相关的协调工作，确保货物安全、快捷运输。</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5）装车时要查验设备的规格、重量、件数，做到大不压小、重不压轻、坚不压脆的配装原则，合理配载，确保货物不受损坏。做到捆绑紧固，隔垫到位，避免设备在运输过程中发生位移和磨损，保证货物安全无损地到达甲方指定地点。</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（6）安排专车运输，不得中途配货或将货物转给其他车辆运输。提前一天通知货到现场的时间，严格控制运输时间。道路的排障及运输报备手续由乙方负责。</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（7）乙方应以书面形式（包括邮件或传真等）向甲方通报港口货物的办理情况。货物起运后，必须以书面形式向甲方通报当天在途货物的运输进度信息。</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（8）货物到达指定地点三天内将已签收后的启运到达签收通知单发给物流工程师。</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（9）承运车辆必须符合大亚湾石化区综合执法中队管理规定，货物在抵达大亚湾石化区前必须获得大亚湾化工园区入园许可。</w:t>
      </w:r>
    </w:p>
    <w:p>
      <w:pPr>
        <w:keepNext w:val="0"/>
        <w:keepLines w:val="0"/>
        <w:pageBreakBefore w:val="0"/>
        <w:widowControl w:val="0"/>
        <w:numPr>
          <w:ilvl w:val="0"/>
          <w:numId w:val="0"/>
        </w:numPr>
        <w:kinsoku/>
        <w:wordWrap/>
        <w:overflowPunct/>
        <w:topLinePunct w:val="0"/>
        <w:autoSpaceDE/>
        <w:autoSpaceDN/>
        <w:bidi w:val="0"/>
        <w:adjustRightInd/>
        <w:snapToGrid/>
        <w:spacing w:before="156" w:beforeLines="50" w:after="156" w:afterLines="50" w:line="560" w:lineRule="exact"/>
        <w:ind w:leftChars="200" w:firstLine="560" w:firstLineChars="200"/>
        <w:textAlignment w:val="auto"/>
        <w:rPr>
          <w:rFonts w:hint="eastAsia" w:ascii="仿宋" w:hAnsi="仿宋" w:eastAsia="仿宋" w:cs="仿宋"/>
          <w:kern w:val="0"/>
          <w:sz w:val="28"/>
          <w:szCs w:val="28"/>
          <w:highlight w:val="none"/>
          <w:lang w:val="en-US" w:eastAsia="zh-CN" w:bidi="ar-SA"/>
        </w:rPr>
      </w:pPr>
      <w:r>
        <w:rPr>
          <w:rFonts w:hint="eastAsia" w:ascii="仿宋" w:hAnsi="仿宋" w:eastAsia="仿宋" w:cs="仿宋"/>
          <w:kern w:val="0"/>
          <w:sz w:val="28"/>
          <w:szCs w:val="28"/>
          <w:highlight w:val="none"/>
          <w:lang w:val="en-US" w:eastAsia="zh-CN" w:bidi="ar-SA"/>
        </w:rPr>
        <w:t>（10）乙方应制定详细的安全措施和运输安全应急预案，对于危险品和超限货物的运输，乙方应制定单独的运输方案和应急预案，以保证承运货物在运输途中的安全。若货物发生损坏或损失，应及时通知甲方和保险公司，收集相关证据（材料）及时办理运输保险索赔。</w:t>
      </w:r>
    </w:p>
    <w:p>
      <w:pPr>
        <w:pStyle w:val="5"/>
        <w:pageBreakBefore w:val="0"/>
        <w:widowControl w:val="0"/>
        <w:numPr>
          <w:ilvl w:val="-1"/>
          <w:numId w:val="0"/>
        </w:numPr>
        <w:kinsoku/>
        <w:wordWrap/>
        <w:overflowPunct/>
        <w:topLinePunct w:val="0"/>
        <w:autoSpaceDE/>
        <w:autoSpaceDN/>
        <w:bidi w:val="0"/>
        <w:adjustRightInd/>
        <w:spacing w:beforeLines="0" w:afterLines="0" w:line="560" w:lineRule="exact"/>
        <w:ind w:firstLine="640" w:firstLineChars="200"/>
        <w:rPr>
          <w:rFonts w:hint="eastAsia" w:ascii="黑体" w:hAnsi="黑体" w:eastAsia="黑体" w:cs="黑体"/>
          <w:b w:val="0"/>
          <w:bCs/>
          <w:kern w:val="44"/>
          <w:sz w:val="32"/>
          <w:szCs w:val="24"/>
          <w:highlight w:val="none"/>
          <w:lang w:val="en-US" w:eastAsia="zh-CN" w:bidi="ar-SA"/>
        </w:rPr>
      </w:pPr>
      <w:bookmarkStart w:id="54" w:name="_Toc108"/>
      <w:bookmarkStart w:id="55" w:name="_Toc8381"/>
      <w:r>
        <w:rPr>
          <w:rFonts w:hint="eastAsia" w:ascii="黑体" w:hAnsi="黑体" w:eastAsia="黑体" w:cs="黑体"/>
          <w:b w:val="0"/>
          <w:bCs/>
          <w:kern w:val="44"/>
          <w:sz w:val="32"/>
          <w:szCs w:val="24"/>
          <w:highlight w:val="none"/>
          <w:lang w:val="en-US" w:eastAsia="zh-CN" w:bidi="ar-SA"/>
        </w:rPr>
        <w:t xml:space="preserve"> </w:t>
      </w:r>
      <w:bookmarkStart w:id="56" w:name="_Toc29467"/>
      <w:bookmarkStart w:id="57" w:name="_Toc15495"/>
      <w:r>
        <w:rPr>
          <w:rFonts w:hint="eastAsia" w:ascii="黑体" w:hAnsi="黑体" w:eastAsia="黑体" w:cs="黑体"/>
          <w:b w:val="0"/>
          <w:bCs/>
          <w:color w:val="auto"/>
          <w:kern w:val="44"/>
          <w:sz w:val="32"/>
          <w:szCs w:val="24"/>
          <w:highlight w:val="none"/>
          <w:lang w:val="en-US" w:eastAsia="zh-CN" w:bidi="ar-SA"/>
        </w:rPr>
        <w:t>★六、</w:t>
      </w:r>
      <w:r>
        <w:rPr>
          <w:rFonts w:hint="eastAsia" w:ascii="黑体" w:hAnsi="黑体" w:eastAsia="黑体" w:cs="黑体"/>
          <w:b w:val="0"/>
          <w:bCs/>
          <w:kern w:val="44"/>
          <w:sz w:val="32"/>
          <w:szCs w:val="24"/>
          <w:highlight w:val="none"/>
          <w:lang w:val="en-US" w:eastAsia="zh-CN" w:bidi="ar-SA"/>
        </w:rPr>
        <w:t>业绩及技术资格要求</w:t>
      </w:r>
      <w:bookmarkEnd w:id="54"/>
      <w:bookmarkEnd w:id="55"/>
      <w:bookmarkEnd w:id="56"/>
      <w:bookmarkEnd w:id="57"/>
    </w:p>
    <w:p>
      <w:pPr>
        <w:keepNext w:val="0"/>
        <w:keepLines w:val="0"/>
        <w:pageBreakBefore w:val="0"/>
        <w:widowControl w:val="0"/>
        <w:numPr>
          <w:ilvl w:val="0"/>
          <w:numId w:val="6"/>
        </w:numPr>
        <w:kinsoku/>
        <w:wordWrap/>
        <w:overflowPunct/>
        <w:topLinePunct w:val="0"/>
        <w:autoSpaceDE/>
        <w:autoSpaceDN/>
        <w:bidi w:val="0"/>
        <w:adjustRightInd/>
        <w:snapToGrid/>
        <w:spacing w:before="156" w:beforeLines="50" w:after="156" w:afterLines="50" w:line="560" w:lineRule="exact"/>
        <w:ind w:left="0" w:leftChars="0" w:firstLine="640" w:firstLineChars="200"/>
        <w:textAlignment w:val="auto"/>
        <w:rPr>
          <w:rFonts w:hint="eastAsia" w:ascii="仿宋" w:hAnsi="仿宋" w:eastAsia="仿宋" w:cs="仿宋"/>
          <w:kern w:val="0"/>
          <w:sz w:val="32"/>
          <w:szCs w:val="32"/>
          <w:highlight w:val="none"/>
          <w:lang w:eastAsia="zh-CN"/>
        </w:rPr>
      </w:pPr>
      <w:r>
        <w:rPr>
          <w:rFonts w:hint="eastAsia" w:ascii="仿宋" w:hAnsi="仿宋" w:eastAsia="仿宋" w:cs="仿宋"/>
          <w:kern w:val="0"/>
          <w:sz w:val="32"/>
          <w:szCs w:val="32"/>
          <w:highlight w:val="none"/>
          <w:lang w:eastAsia="zh-CN"/>
        </w:rPr>
        <w:t>资质要求：投标人必须具有国际货运代理资质和无船承运人资质。</w:t>
      </w:r>
    </w:p>
    <w:p>
      <w:pPr>
        <w:keepNext w:val="0"/>
        <w:keepLines w:val="0"/>
        <w:pageBreakBefore w:val="0"/>
        <w:widowControl w:val="0"/>
        <w:numPr>
          <w:ilvl w:val="0"/>
          <w:numId w:val="6"/>
        </w:numPr>
        <w:kinsoku/>
        <w:wordWrap/>
        <w:overflowPunct/>
        <w:topLinePunct w:val="0"/>
        <w:autoSpaceDE/>
        <w:autoSpaceDN/>
        <w:bidi w:val="0"/>
        <w:adjustRightInd/>
        <w:snapToGrid/>
        <w:spacing w:before="156" w:beforeLines="50" w:after="156" w:afterLines="50" w:line="560" w:lineRule="exact"/>
        <w:ind w:left="0" w:leftChars="0" w:firstLine="640" w:firstLineChars="200"/>
        <w:textAlignment w:val="auto"/>
        <w:rPr>
          <w:rFonts w:hint="eastAsia" w:ascii="仿宋" w:hAnsi="仿宋" w:eastAsia="仿宋" w:cs="仿宋"/>
          <w:kern w:val="0"/>
          <w:sz w:val="32"/>
          <w:szCs w:val="32"/>
          <w:highlight w:val="none"/>
          <w:lang w:eastAsia="zh-CN"/>
        </w:rPr>
      </w:pPr>
      <w:r>
        <w:rPr>
          <w:rFonts w:hint="eastAsia" w:ascii="仿宋" w:hAnsi="仿宋" w:eastAsia="仿宋" w:cs="仿宋"/>
          <w:kern w:val="0"/>
          <w:sz w:val="32"/>
          <w:szCs w:val="32"/>
          <w:highlight w:val="none"/>
          <w:lang w:eastAsia="zh-CN"/>
        </w:rPr>
        <w:t>业绩</w:t>
      </w:r>
      <w:r>
        <w:rPr>
          <w:rFonts w:hint="eastAsia" w:ascii="仿宋" w:hAnsi="仿宋" w:eastAsia="仿宋" w:cs="仿宋"/>
          <w:kern w:val="0"/>
          <w:sz w:val="32"/>
          <w:szCs w:val="32"/>
          <w:highlight w:val="none"/>
          <w:lang w:val="en-US" w:eastAsia="zh-CN"/>
        </w:rPr>
        <w:t>要求</w:t>
      </w:r>
      <w:r>
        <w:rPr>
          <w:rFonts w:hint="eastAsia" w:ascii="仿宋" w:hAnsi="仿宋" w:eastAsia="仿宋" w:cs="仿宋"/>
          <w:kern w:val="0"/>
          <w:sz w:val="32"/>
          <w:szCs w:val="32"/>
          <w:highlight w:val="none"/>
          <w:lang w:eastAsia="zh-CN"/>
        </w:rPr>
        <w:t>：</w:t>
      </w:r>
      <w:r>
        <w:rPr>
          <w:rFonts w:hint="eastAsia" w:ascii="仿宋" w:hAnsi="仿宋" w:eastAsia="仿宋" w:cs="仿宋"/>
          <w:kern w:val="0"/>
          <w:sz w:val="32"/>
          <w:szCs w:val="32"/>
          <w:highlight w:val="none"/>
          <w:lang w:val="en-US" w:eastAsia="zh-CN"/>
        </w:rPr>
        <w:t>从</w:t>
      </w:r>
      <w:r>
        <w:rPr>
          <w:rFonts w:hint="eastAsia" w:ascii="仿宋" w:hAnsi="仿宋" w:eastAsia="仿宋" w:cs="仿宋"/>
          <w:kern w:val="0"/>
          <w:sz w:val="32"/>
          <w:szCs w:val="32"/>
          <w:highlight w:val="none"/>
          <w:lang w:eastAsia="zh-CN"/>
        </w:rPr>
        <w:t>20</w:t>
      </w:r>
      <w:r>
        <w:rPr>
          <w:rFonts w:hint="eastAsia" w:ascii="仿宋" w:hAnsi="仿宋" w:eastAsia="仿宋" w:cs="仿宋"/>
          <w:kern w:val="0"/>
          <w:sz w:val="32"/>
          <w:szCs w:val="32"/>
          <w:highlight w:val="none"/>
          <w:lang w:val="en-US" w:eastAsia="zh-CN"/>
        </w:rPr>
        <w:t>20</w:t>
      </w:r>
      <w:r>
        <w:rPr>
          <w:rFonts w:hint="eastAsia" w:ascii="仿宋" w:hAnsi="仿宋" w:eastAsia="仿宋" w:cs="仿宋"/>
          <w:kern w:val="0"/>
          <w:sz w:val="32"/>
          <w:szCs w:val="32"/>
          <w:highlight w:val="none"/>
          <w:lang w:eastAsia="zh-CN"/>
        </w:rPr>
        <w:t>年1月1日至</w:t>
      </w:r>
      <w:r>
        <w:rPr>
          <w:rFonts w:hint="eastAsia" w:ascii="仿宋" w:hAnsi="仿宋" w:eastAsia="仿宋" w:cs="仿宋"/>
          <w:kern w:val="0"/>
          <w:sz w:val="32"/>
          <w:szCs w:val="32"/>
          <w:highlight w:val="none"/>
          <w:lang w:val="en-US" w:eastAsia="zh-CN"/>
        </w:rPr>
        <w:t>投标截止日，投标人应至少</w:t>
      </w:r>
      <w:r>
        <w:rPr>
          <w:rFonts w:hint="eastAsia" w:ascii="仿宋" w:hAnsi="仿宋" w:eastAsia="仿宋" w:cs="仿宋"/>
          <w:kern w:val="0"/>
          <w:sz w:val="32"/>
          <w:szCs w:val="32"/>
          <w:highlight w:val="none"/>
          <w:lang w:eastAsia="zh-CN"/>
        </w:rPr>
        <w:t>具有</w:t>
      </w:r>
      <w:r>
        <w:rPr>
          <w:rFonts w:hint="eastAsia" w:ascii="仿宋" w:hAnsi="仿宋" w:eastAsia="仿宋" w:cs="仿宋"/>
          <w:kern w:val="0"/>
          <w:sz w:val="32"/>
          <w:szCs w:val="32"/>
          <w:highlight w:val="none"/>
          <w:lang w:val="en-US" w:eastAsia="zh-CN"/>
        </w:rPr>
        <w:t>两个</w:t>
      </w:r>
      <w:r>
        <w:rPr>
          <w:rFonts w:hint="eastAsia" w:ascii="仿宋" w:hAnsi="仿宋" w:eastAsia="仿宋" w:cs="仿宋"/>
          <w:kern w:val="0"/>
          <w:sz w:val="32"/>
          <w:szCs w:val="32"/>
          <w:highlight w:val="none"/>
          <w:lang w:eastAsia="zh-CN"/>
        </w:rPr>
        <w:t>国际远洋</w:t>
      </w:r>
      <w:r>
        <w:rPr>
          <w:rFonts w:hint="eastAsia" w:ascii="仿宋" w:hAnsi="仿宋" w:eastAsia="仿宋" w:cs="仿宋"/>
          <w:kern w:val="0"/>
          <w:sz w:val="32"/>
          <w:szCs w:val="32"/>
          <w:highlight w:val="none"/>
          <w:lang w:val="en-US" w:eastAsia="zh-CN"/>
        </w:rPr>
        <w:t>运输</w:t>
      </w:r>
      <w:r>
        <w:rPr>
          <w:rFonts w:hint="eastAsia" w:ascii="仿宋" w:hAnsi="仿宋" w:eastAsia="仿宋" w:cs="仿宋"/>
          <w:kern w:val="0"/>
          <w:sz w:val="32"/>
          <w:szCs w:val="32"/>
          <w:highlight w:val="none"/>
          <w:lang w:eastAsia="zh-CN"/>
        </w:rPr>
        <w:t>服务</w:t>
      </w:r>
      <w:r>
        <w:rPr>
          <w:rFonts w:hint="eastAsia" w:ascii="仿宋" w:hAnsi="仿宋" w:eastAsia="仿宋" w:cs="仿宋"/>
          <w:kern w:val="0"/>
          <w:sz w:val="32"/>
          <w:szCs w:val="32"/>
          <w:highlight w:val="none"/>
          <w:lang w:val="en-US" w:eastAsia="zh-CN"/>
        </w:rPr>
        <w:t>合同或代理合同，包含但不限于合同页、合同签字页、服务确认单、工作范围等。</w:t>
      </w:r>
    </w:p>
    <w:p>
      <w:pPr>
        <w:keepNext w:val="0"/>
        <w:keepLines w:val="0"/>
        <w:pageBreakBefore w:val="0"/>
        <w:widowControl w:val="0"/>
        <w:numPr>
          <w:ilvl w:val="0"/>
          <w:numId w:val="6"/>
        </w:numPr>
        <w:kinsoku/>
        <w:wordWrap/>
        <w:overflowPunct/>
        <w:topLinePunct w:val="0"/>
        <w:autoSpaceDE/>
        <w:autoSpaceDN/>
        <w:bidi w:val="0"/>
        <w:adjustRightInd/>
        <w:snapToGrid/>
        <w:spacing w:before="156" w:beforeLines="50" w:after="156" w:afterLines="50" w:line="560" w:lineRule="exact"/>
        <w:ind w:left="0" w:leftChars="0" w:firstLine="640" w:firstLineChars="200"/>
        <w:textAlignment w:val="auto"/>
        <w:rPr>
          <w:rFonts w:hint="eastAsia" w:ascii="仿宋" w:hAnsi="仿宋" w:eastAsia="仿宋" w:cs="仿宋"/>
          <w:kern w:val="0"/>
          <w:sz w:val="32"/>
          <w:szCs w:val="32"/>
          <w:highlight w:val="none"/>
          <w:lang w:eastAsia="zh-CN"/>
        </w:rPr>
      </w:pPr>
      <w:r>
        <w:rPr>
          <w:rFonts w:hint="eastAsia" w:ascii="仿宋" w:hAnsi="仿宋" w:eastAsia="仿宋" w:cs="仿宋"/>
          <w:kern w:val="0"/>
          <w:sz w:val="32"/>
          <w:szCs w:val="32"/>
          <w:highlight w:val="none"/>
          <w:lang w:val="en-US" w:eastAsia="zh-CN"/>
        </w:rPr>
        <w:t>项目经理业绩要求：具有</w:t>
      </w:r>
      <w:r>
        <w:rPr>
          <w:rFonts w:hint="eastAsia" w:ascii="仿宋" w:hAnsi="仿宋" w:eastAsia="仿宋" w:cs="仿宋"/>
          <w:kern w:val="0"/>
          <w:sz w:val="32"/>
          <w:szCs w:val="32"/>
          <w:highlight w:val="none"/>
          <w:lang w:eastAsia="zh-CN"/>
        </w:rPr>
        <w:t>5年及以上物流行业从业经验，</w:t>
      </w:r>
      <w:r>
        <w:rPr>
          <w:rFonts w:hint="eastAsia" w:ascii="仿宋" w:hAnsi="仿宋" w:eastAsia="仿宋" w:cs="仿宋"/>
          <w:kern w:val="0"/>
          <w:sz w:val="32"/>
          <w:szCs w:val="32"/>
          <w:highlight w:val="none"/>
          <w:lang w:val="en-US" w:eastAsia="zh-CN"/>
        </w:rPr>
        <w:t>并</w:t>
      </w:r>
      <w:r>
        <w:rPr>
          <w:rFonts w:hint="eastAsia" w:ascii="仿宋" w:hAnsi="仿宋" w:eastAsia="仿宋" w:cs="仿宋"/>
          <w:kern w:val="0"/>
          <w:sz w:val="32"/>
          <w:szCs w:val="32"/>
          <w:highlight w:val="none"/>
          <w:lang w:eastAsia="zh-CN"/>
        </w:rPr>
        <w:t>具有</w:t>
      </w:r>
      <w:r>
        <w:rPr>
          <w:rFonts w:hint="eastAsia" w:ascii="仿宋" w:hAnsi="仿宋" w:eastAsia="仿宋" w:cs="仿宋"/>
          <w:kern w:val="0"/>
          <w:sz w:val="32"/>
          <w:szCs w:val="32"/>
          <w:highlight w:val="none"/>
          <w:lang w:val="en-US" w:eastAsia="zh-CN"/>
        </w:rPr>
        <w:t>2</w:t>
      </w:r>
      <w:r>
        <w:rPr>
          <w:rFonts w:hint="eastAsia" w:ascii="仿宋" w:hAnsi="仿宋" w:eastAsia="仿宋" w:cs="仿宋"/>
          <w:kern w:val="0"/>
          <w:sz w:val="32"/>
          <w:szCs w:val="32"/>
          <w:highlight w:val="none"/>
          <w:lang w:eastAsia="zh-CN"/>
        </w:rPr>
        <w:t>项及以上</w:t>
      </w:r>
      <w:r>
        <w:rPr>
          <w:rFonts w:hint="eastAsia" w:ascii="仿宋" w:hAnsi="仿宋" w:eastAsia="仿宋" w:cs="仿宋"/>
          <w:kern w:val="0"/>
          <w:sz w:val="32"/>
          <w:szCs w:val="32"/>
          <w:highlight w:val="none"/>
          <w:lang w:val="en-US" w:eastAsia="zh-CN"/>
        </w:rPr>
        <w:t>国际物流</w:t>
      </w:r>
      <w:r>
        <w:rPr>
          <w:rFonts w:hint="eastAsia" w:ascii="仿宋" w:hAnsi="仿宋" w:eastAsia="仿宋" w:cs="仿宋"/>
          <w:kern w:val="0"/>
          <w:sz w:val="32"/>
          <w:szCs w:val="32"/>
          <w:highlight w:val="none"/>
          <w:lang w:eastAsia="zh-CN"/>
        </w:rPr>
        <w:t>项目经理工作经</w:t>
      </w:r>
      <w:r>
        <w:rPr>
          <w:rFonts w:hint="eastAsia" w:ascii="仿宋" w:hAnsi="仿宋" w:eastAsia="仿宋" w:cs="仿宋"/>
          <w:kern w:val="0"/>
          <w:sz w:val="32"/>
          <w:szCs w:val="32"/>
          <w:highlight w:val="none"/>
          <w:lang w:val="en-US" w:eastAsia="zh-CN"/>
        </w:rPr>
        <w:t>验</w:t>
      </w:r>
      <w:r>
        <w:rPr>
          <w:rFonts w:hint="eastAsia" w:ascii="仿宋" w:hAnsi="仿宋" w:eastAsia="仿宋" w:cs="仿宋"/>
          <w:kern w:val="0"/>
          <w:sz w:val="32"/>
          <w:szCs w:val="32"/>
          <w:highlight w:val="none"/>
          <w:lang w:eastAsia="zh-CN"/>
        </w:rPr>
        <w:t>。</w:t>
      </w:r>
      <w:bookmarkStart w:id="58" w:name="_Toc4764"/>
      <w:bookmarkStart w:id="59" w:name="_Toc14507"/>
      <w:bookmarkStart w:id="60" w:name="_Toc27425"/>
    </w:p>
    <w:p>
      <w:pPr>
        <w:pStyle w:val="5"/>
        <w:pageBreakBefore w:val="0"/>
        <w:widowControl w:val="0"/>
        <w:numPr>
          <w:ilvl w:val="-1"/>
          <w:numId w:val="0"/>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61" w:name="_Toc20980"/>
      <w:r>
        <w:rPr>
          <w:rFonts w:hint="eastAsia" w:ascii="黑体" w:hAnsi="黑体" w:eastAsia="黑体" w:cs="黑体"/>
          <w:b w:val="0"/>
          <w:bCs/>
          <w:sz w:val="32"/>
          <w:szCs w:val="24"/>
          <w:highlight w:val="none"/>
          <w:lang w:val="en-US" w:eastAsia="zh-CN" w:bidi="ar-SA"/>
        </w:rPr>
        <w:t>七、监督管理及考核</w:t>
      </w:r>
      <w:bookmarkEnd w:id="58"/>
      <w:bookmarkEnd w:id="59"/>
      <w:bookmarkEnd w:id="60"/>
      <w:bookmarkEnd w:id="61"/>
    </w:p>
    <w:p>
      <w:pPr>
        <w:pageBreakBefore w:val="0"/>
        <w:widowControl/>
        <w:kinsoku/>
        <w:wordWrap/>
        <w:overflowPunct/>
        <w:topLinePunct w:val="0"/>
        <w:autoSpaceDE/>
        <w:autoSpaceDN/>
        <w:bidi w:val="0"/>
        <w:adjustRightInd/>
        <w:snapToGrid/>
        <w:spacing w:line="560" w:lineRule="exact"/>
        <w:ind w:firstLine="640" w:firstLineChars="200"/>
        <w:jc w:val="left"/>
        <w:rPr>
          <w:rFonts w:hint="eastAsia" w:ascii="仿宋" w:hAnsi="仿宋" w:eastAsia="仿宋" w:cs="仿宋"/>
          <w:color w:val="0000FF"/>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甲方有权对乙方工作内容进行监督管理及考核，每三个</w:t>
      </w:r>
      <w:r>
        <w:rPr>
          <w:rFonts w:hint="eastAsia" w:ascii="仿宋" w:hAnsi="仿宋" w:eastAsia="仿宋" w:cs="仿宋"/>
          <w:color w:val="auto"/>
          <w:kern w:val="0"/>
          <w:sz w:val="32"/>
          <w:szCs w:val="32"/>
          <w:highlight w:val="none"/>
          <w:lang w:val="en-US" w:eastAsia="zh-CN" w:bidi="ar-SA"/>
        </w:rPr>
        <w:t>月考核一次。如考核得分大于等于90分，给予表扬，</w:t>
      </w:r>
      <w:r>
        <w:rPr>
          <w:rFonts w:hint="eastAsia" w:ascii="仿宋" w:hAnsi="仿宋" w:eastAsia="仿宋" w:cs="仿宋"/>
          <w:bCs w:val="0"/>
          <w:color w:val="auto"/>
          <w:kern w:val="0"/>
          <w:sz w:val="32"/>
          <w:szCs w:val="32"/>
          <w:highlight w:val="none"/>
        </w:rPr>
        <w:t>如考核低于80分，</w:t>
      </w:r>
      <w:r>
        <w:rPr>
          <w:rFonts w:hint="eastAsia" w:ascii="仿宋" w:hAnsi="仿宋" w:eastAsia="仿宋" w:cs="仿宋"/>
          <w:bCs w:val="0"/>
          <w:color w:val="auto"/>
          <w:kern w:val="0"/>
          <w:sz w:val="32"/>
          <w:szCs w:val="32"/>
          <w:highlight w:val="none"/>
          <w:lang w:val="en-US" w:eastAsia="zh-CN"/>
        </w:rPr>
        <w:t>甲方根据情况综合评估进行10000元~50000元处罚</w:t>
      </w:r>
      <w:r>
        <w:rPr>
          <w:rFonts w:hint="eastAsia" w:ascii="仿宋" w:hAnsi="仿宋" w:eastAsia="仿宋" w:cs="仿宋"/>
          <w:bCs w:val="0"/>
          <w:color w:val="auto"/>
          <w:kern w:val="0"/>
          <w:sz w:val="32"/>
          <w:szCs w:val="32"/>
          <w:highlight w:val="none"/>
        </w:rPr>
        <w:t>。考核标准如下：</w:t>
      </w:r>
    </w:p>
    <w:p>
      <w:pPr>
        <w:keepNext w:val="0"/>
        <w:keepLines w:val="0"/>
        <w:pageBreakBefore w:val="0"/>
        <w:widowControl w:val="0"/>
        <w:kinsoku/>
        <w:wordWrap/>
        <w:overflowPunct/>
        <w:topLinePunct w:val="0"/>
        <w:autoSpaceDE/>
        <w:autoSpaceDN/>
        <w:bidi w:val="0"/>
        <w:adjustRightInd/>
        <w:snapToGrid/>
        <w:spacing w:before="156" w:beforeLines="50" w:after="156" w:afterLines="5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（1）工作进度（20分）：准时租船、订舱安排接货，货物放行后第一时间安排疏港提运，每延迟一次扣1分（特殊情况除外）。</w:t>
      </w:r>
    </w:p>
    <w:p>
      <w:pPr>
        <w:keepNext w:val="0"/>
        <w:keepLines w:val="0"/>
        <w:pageBreakBefore w:val="0"/>
        <w:widowControl w:val="0"/>
        <w:kinsoku/>
        <w:wordWrap/>
        <w:overflowPunct/>
        <w:topLinePunct w:val="0"/>
        <w:autoSpaceDE/>
        <w:autoSpaceDN/>
        <w:bidi w:val="0"/>
        <w:adjustRightInd/>
        <w:snapToGrid/>
        <w:spacing w:before="156" w:beforeLines="50" w:after="156" w:afterLines="5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（2）安全管理（20分）：未执行惠州聚碳酸酯项目组安全管理规定操作，每发现一次扣5分。</w:t>
      </w:r>
    </w:p>
    <w:p>
      <w:pPr>
        <w:keepNext w:val="0"/>
        <w:keepLines w:val="0"/>
        <w:pageBreakBefore w:val="0"/>
        <w:widowControl w:val="0"/>
        <w:kinsoku/>
        <w:wordWrap/>
        <w:overflowPunct/>
        <w:topLinePunct w:val="0"/>
        <w:autoSpaceDE/>
        <w:autoSpaceDN/>
        <w:bidi w:val="0"/>
        <w:adjustRightInd/>
        <w:snapToGrid/>
        <w:spacing w:before="156" w:beforeLines="50" w:after="156" w:afterLines="5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（3）资质管理（20分）：用于作业的车辆、机械设备、吊具、特种作业人员等应符合作业资质要求，并在有效期内，每发现一次不合格情况扣5分。</w:t>
      </w:r>
    </w:p>
    <w:p>
      <w:pPr>
        <w:keepNext w:val="0"/>
        <w:keepLines w:val="0"/>
        <w:pageBreakBefore w:val="0"/>
        <w:widowControl w:val="0"/>
        <w:kinsoku/>
        <w:wordWrap/>
        <w:overflowPunct/>
        <w:topLinePunct w:val="0"/>
        <w:autoSpaceDE/>
        <w:autoSpaceDN/>
        <w:bidi w:val="0"/>
        <w:adjustRightInd/>
        <w:snapToGrid/>
        <w:spacing w:before="156" w:beforeLines="50" w:after="156" w:afterLines="5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（4）操作规范（20分）：运输过程中因操作不当产生设备损失、损坏的情况，每发生一次扣10分。</w:t>
      </w:r>
    </w:p>
    <w:p>
      <w:pPr>
        <w:keepNext w:val="0"/>
        <w:keepLines w:val="0"/>
        <w:pageBreakBefore w:val="0"/>
        <w:widowControl w:val="0"/>
        <w:kinsoku/>
        <w:wordWrap/>
        <w:overflowPunct/>
        <w:topLinePunct w:val="0"/>
        <w:autoSpaceDE/>
        <w:autoSpaceDN/>
        <w:bidi w:val="0"/>
        <w:adjustRightInd/>
        <w:snapToGrid/>
        <w:spacing w:before="156" w:beforeLines="50" w:after="156" w:afterLines="50" w:line="560" w:lineRule="exact"/>
        <w:ind w:firstLine="640" w:firstLineChars="200"/>
        <w:textAlignment w:val="auto"/>
        <w:rPr>
          <w:rFonts w:hint="eastAsia" w:ascii="仿宋" w:hAnsi="仿宋" w:eastAsia="仿宋" w:cs="仿宋"/>
          <w:kern w:val="0"/>
          <w:sz w:val="32"/>
          <w:szCs w:val="32"/>
          <w:highlight w:val="none"/>
          <w:lang w:val="en-US" w:eastAsia="zh-CN" w:bidi="ar-SA"/>
        </w:rPr>
      </w:pPr>
      <w:r>
        <w:rPr>
          <w:rFonts w:hint="eastAsia" w:ascii="仿宋" w:hAnsi="仿宋" w:eastAsia="仿宋" w:cs="仿宋"/>
          <w:kern w:val="0"/>
          <w:sz w:val="32"/>
          <w:szCs w:val="32"/>
          <w:highlight w:val="none"/>
          <w:lang w:val="en-US" w:eastAsia="zh-CN" w:bidi="ar-SA"/>
        </w:rPr>
        <w:t>（5）沟通协调（20分）：无不合理理由，拒不配合甲方工作要求的，与甲方相关部门或施工单位产生矛盾冲突的，每发生一次扣5分。</w:t>
      </w:r>
      <w:bookmarkStart w:id="63" w:name="_GoBack"/>
      <w:bookmarkEnd w:id="63"/>
    </w:p>
    <w:p>
      <w:pPr>
        <w:rPr>
          <w:rFonts w:hint="default"/>
          <w:lang w:val="en-US" w:eastAsia="zh-CN"/>
        </w:rPr>
      </w:pPr>
    </w:p>
    <w:p>
      <w:pPr>
        <w:rPr>
          <w:rFonts w:hint="default"/>
          <w:lang w:val="en-US" w:eastAsia="zh-CN"/>
        </w:rPr>
      </w:pPr>
    </w:p>
    <w:p>
      <w:pPr>
        <w:pStyle w:val="5"/>
        <w:pageBreakBefore w:val="0"/>
        <w:widowControl w:val="0"/>
        <w:numPr>
          <w:ilvl w:val="-1"/>
          <w:numId w:val="0"/>
        </w:numPr>
        <w:kinsoku/>
        <w:wordWrap/>
        <w:overflowPunct/>
        <w:topLinePunct w:val="0"/>
        <w:autoSpaceDE/>
        <w:autoSpaceDN/>
        <w:bidi w:val="0"/>
        <w:adjustRightInd/>
        <w:spacing w:beforeLines="0" w:beforeAutospacing="0" w:afterLines="0" w:afterAutospacing="0" w:line="560" w:lineRule="exact"/>
        <w:ind w:firstLine="640" w:firstLineChars="200"/>
        <w:jc w:val="both"/>
        <w:rPr>
          <w:rFonts w:hint="eastAsia" w:ascii="黑体" w:hAnsi="黑体" w:eastAsia="黑体" w:cs="黑体"/>
          <w:b w:val="0"/>
          <w:bCs/>
          <w:sz w:val="32"/>
          <w:szCs w:val="24"/>
          <w:highlight w:val="none"/>
          <w:lang w:val="en-US" w:eastAsia="zh-CN" w:bidi="ar-SA"/>
        </w:rPr>
      </w:pPr>
      <w:bookmarkStart w:id="62" w:name="_Toc30941"/>
      <w:r>
        <w:rPr>
          <w:rFonts w:hint="eastAsia" w:ascii="黑体" w:hAnsi="黑体" w:eastAsia="黑体" w:cs="黑体"/>
          <w:b w:val="0"/>
          <w:bCs/>
          <w:sz w:val="32"/>
          <w:szCs w:val="24"/>
          <w:highlight w:val="none"/>
          <w:lang w:val="en-US" w:eastAsia="zh-CN" w:bidi="ar-SA"/>
        </w:rPr>
        <w:t>八、附录</w:t>
      </w:r>
      <w:bookmarkEnd w:id="62"/>
    </w:p>
    <w:p>
      <w:pPr>
        <w:rPr>
          <w:rFonts w:hint="eastAsia" w:ascii="黑体" w:hAnsi="黑体" w:eastAsia="黑体" w:cs="黑体"/>
          <w:b w:val="0"/>
          <w:bCs/>
          <w:sz w:val="32"/>
          <w:szCs w:val="24"/>
          <w:highlight w:val="none"/>
          <w:lang w:val="en-US" w:eastAsia="zh-CN" w:bidi="ar-SA"/>
        </w:rPr>
      </w:pPr>
      <w:r>
        <w:rPr>
          <w:rFonts w:hint="eastAsia" w:ascii="黑体" w:hAnsi="黑体" w:eastAsia="黑体" w:cs="黑体"/>
          <w:b w:val="0"/>
          <w:bCs/>
          <w:sz w:val="32"/>
          <w:szCs w:val="24"/>
          <w:highlight w:val="none"/>
          <w:lang w:val="en-US" w:eastAsia="zh-CN" w:bidi="ar-SA"/>
        </w:rPr>
        <w:t>附件一：</w:t>
      </w:r>
    </w:p>
    <w:tbl>
      <w:tblPr>
        <w:tblW w:w="882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108" w:type="dxa"/>
          <w:bottom w:w="0" w:type="dxa"/>
          <w:right w:w="108" w:type="dxa"/>
        </w:tblCellMar>
      </w:tblPr>
      <w:tblGrid>
        <w:gridCol w:w="501"/>
        <w:gridCol w:w="1645"/>
        <w:gridCol w:w="629"/>
        <w:gridCol w:w="629"/>
        <w:gridCol w:w="2040"/>
        <w:gridCol w:w="1100"/>
        <w:gridCol w:w="1494"/>
        <w:gridCol w:w="78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63" w:hRule="atLeast"/>
        </w:trPr>
        <w:tc>
          <w:tcPr>
            <w:tcW w:w="8820" w:type="dxa"/>
            <w:gridSpan w:val="8"/>
            <w:tcBorders>
              <w:top w:val="nil"/>
              <w:left w:val="nil"/>
              <w:bottom w:val="nil"/>
              <w:right w:val="nil"/>
            </w:tcBorders>
            <w:shd w:val="clear"/>
            <w:noWrap/>
            <w:vAlign w:val="center"/>
          </w:tcPr>
          <w:p>
            <w:pPr>
              <w:keepNext w:val="0"/>
              <w:keepLines w:val="0"/>
              <w:widowControl/>
              <w:suppressLineNumbers w:val="0"/>
              <w:jc w:val="center"/>
              <w:textAlignment w:val="center"/>
              <w:rPr>
                <w:rFonts w:ascii="仿宋" w:hAnsi="仿宋" w:eastAsia="仿宋" w:cs="仿宋"/>
                <w:b/>
                <w:bCs/>
                <w:i w:val="0"/>
                <w:iCs w:val="0"/>
                <w:color w:val="000000"/>
                <w:sz w:val="32"/>
                <w:szCs w:val="32"/>
                <w:u w:val="none"/>
              </w:rPr>
            </w:pPr>
            <w:r>
              <w:rPr>
                <w:rFonts w:hint="eastAsia" w:ascii="仿宋" w:hAnsi="仿宋" w:eastAsia="仿宋" w:cs="仿宋"/>
                <w:b/>
                <w:bCs/>
                <w:i w:val="0"/>
                <w:iCs w:val="0"/>
                <w:color w:val="000000"/>
                <w:kern w:val="0"/>
                <w:sz w:val="32"/>
                <w:szCs w:val="32"/>
                <w:u w:val="none"/>
                <w:bdr w:val="none" w:color="auto" w:sz="0" w:space="0"/>
                <w:lang w:val="en-US" w:eastAsia="zh-CN" w:bidi="ar"/>
              </w:rPr>
              <w:t>设备清单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355" w:hRule="atLeast"/>
        </w:trPr>
        <w:tc>
          <w:tcPr>
            <w:tcW w:w="501"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序号</w:t>
            </w:r>
          </w:p>
        </w:tc>
        <w:tc>
          <w:tcPr>
            <w:tcW w:w="1645"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设备名称</w:t>
            </w:r>
          </w:p>
        </w:tc>
        <w:tc>
          <w:tcPr>
            <w:tcW w:w="629"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台套数</w:t>
            </w:r>
          </w:p>
        </w:tc>
        <w:tc>
          <w:tcPr>
            <w:tcW w:w="629"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发货批次</w:t>
            </w:r>
          </w:p>
        </w:tc>
        <w:tc>
          <w:tcPr>
            <w:tcW w:w="2040"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单台预估尺寸（mm）</w:t>
            </w:r>
          </w:p>
        </w:tc>
        <w:tc>
          <w:tcPr>
            <w:tcW w:w="1100"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单台预估重量（吨）</w:t>
            </w:r>
          </w:p>
        </w:tc>
        <w:tc>
          <w:tcPr>
            <w:tcW w:w="1494"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预计发货时间</w:t>
            </w:r>
          </w:p>
        </w:tc>
        <w:tc>
          <w:tcPr>
            <w:tcW w:w="782" w:type="dxa"/>
            <w:vMerge w:val="restart"/>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原产地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16" w:hRule="atLeast"/>
        </w:trPr>
        <w:tc>
          <w:tcPr>
            <w:tcW w:w="501"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1645"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629"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629"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2040"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1100"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1494"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782" w:type="dxa"/>
            <w:vMerge w:val="continue"/>
            <w:tcBorders>
              <w:top w:val="single" w:color="000000" w:sz="8" w:space="0"/>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338" w:hRule="atLeast"/>
        </w:trPr>
        <w:tc>
          <w:tcPr>
            <w:tcW w:w="0" w:type="auto"/>
            <w:tcBorders>
              <w:top w:val="single" w:color="000000" w:sz="8" w:space="0"/>
              <w:left w:val="single" w:color="000000" w:sz="8" w:space="0"/>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c>
          <w:tcPr>
            <w:tcW w:w="1645"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中海壳牌惠州聚碳项目PC装置终聚一级刮板冷凝器</w:t>
            </w:r>
          </w:p>
        </w:tc>
        <w:tc>
          <w:tcPr>
            <w:tcW w:w="629"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w:t>
            </w:r>
          </w:p>
        </w:tc>
        <w:tc>
          <w:tcPr>
            <w:tcW w:w="629"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c>
          <w:tcPr>
            <w:tcW w:w="2040"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approx. 4000 x 2700 x 8000 mm (WxHxL)</w:t>
            </w:r>
          </w:p>
        </w:tc>
        <w:tc>
          <w:tcPr>
            <w:tcW w:w="1100"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8吨</w:t>
            </w:r>
          </w:p>
        </w:tc>
        <w:tc>
          <w:tcPr>
            <w:tcW w:w="1494"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2026/2/28</w:t>
            </w:r>
          </w:p>
        </w:tc>
        <w:tc>
          <w:tcPr>
            <w:tcW w:w="782"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奥地利</w:t>
            </w:r>
          </w:p>
        </w:tc>
      </w:tr>
    </w:tbl>
    <w:p>
      <w:pPr>
        <w:pStyle w:val="2"/>
        <w:rPr>
          <w:rFonts w:hint="default"/>
          <w:lang w:val="en-US" w:eastAsia="zh-CN"/>
        </w:rPr>
      </w:pPr>
    </w:p>
    <w:p>
      <w:pPr>
        <w:rPr>
          <w:rFonts w:hint="eastAsia" w:ascii="黑体" w:hAnsi="黑体" w:eastAsia="黑体" w:cs="黑体"/>
          <w:b w:val="0"/>
          <w:bCs/>
          <w:sz w:val="32"/>
          <w:szCs w:val="24"/>
          <w:highlight w:val="none"/>
          <w:lang w:val="en-US" w:eastAsia="zh-CN" w:bidi="ar-SA"/>
        </w:rPr>
      </w:pPr>
      <w:r>
        <w:rPr>
          <w:rFonts w:hint="eastAsia" w:ascii="黑体" w:hAnsi="黑体" w:eastAsia="黑体" w:cs="黑体"/>
          <w:b w:val="0"/>
          <w:bCs/>
          <w:sz w:val="32"/>
          <w:szCs w:val="24"/>
          <w:highlight w:val="none"/>
          <w:lang w:val="en-US" w:eastAsia="zh-CN" w:bidi="ar-SA"/>
        </w:rPr>
        <w:t>附件二：</w:t>
      </w:r>
    </w:p>
    <w:tbl>
      <w:tblPr>
        <w:tblW w:w="858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108" w:type="dxa"/>
          <w:bottom w:w="0" w:type="dxa"/>
          <w:right w:w="108" w:type="dxa"/>
        </w:tblCellMar>
      </w:tblPr>
      <w:tblGrid>
        <w:gridCol w:w="1237"/>
        <w:gridCol w:w="1886"/>
        <w:gridCol w:w="2552"/>
        <w:gridCol w:w="1500"/>
        <w:gridCol w:w="140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08" w:hRule="atLeast"/>
        </w:trPr>
        <w:tc>
          <w:tcPr>
            <w:tcW w:w="8580" w:type="dxa"/>
            <w:gridSpan w:val="5"/>
            <w:tcBorders>
              <w:top w:val="single" w:color="000000" w:sz="8" w:space="0"/>
              <w:left w:val="single" w:color="000000" w:sz="8" w:space="0"/>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8"/>
                <w:szCs w:val="28"/>
                <w:u w:val="none"/>
              </w:rPr>
            </w:pPr>
            <w:r>
              <w:rPr>
                <w:rFonts w:hint="eastAsia" w:ascii="宋体" w:hAnsi="宋体" w:eastAsia="宋体" w:cs="宋体"/>
                <w:b/>
                <w:bCs/>
                <w:i w:val="0"/>
                <w:iCs w:val="0"/>
                <w:color w:val="000000"/>
                <w:kern w:val="0"/>
                <w:sz w:val="28"/>
                <w:szCs w:val="28"/>
                <w:u w:val="none"/>
                <w:bdr w:val="none" w:color="auto" w:sz="0" w:space="0"/>
                <w:lang w:val="en-US" w:eastAsia="zh-CN" w:bidi="ar"/>
              </w:rPr>
              <w:t>疏港提运暂估量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375" w:hRule="atLeast"/>
        </w:trPr>
        <w:tc>
          <w:tcPr>
            <w:tcW w:w="1237" w:type="dxa"/>
            <w:vMerge w:val="restart"/>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序号</w:t>
            </w:r>
          </w:p>
        </w:tc>
        <w:tc>
          <w:tcPr>
            <w:tcW w:w="1886" w:type="dxa"/>
            <w:vMerge w:val="restart"/>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起运港</w:t>
            </w:r>
          </w:p>
        </w:tc>
        <w:tc>
          <w:tcPr>
            <w:tcW w:w="2552" w:type="dxa"/>
            <w:vMerge w:val="restart"/>
            <w:tcBorders>
              <w:top w:val="single" w:color="000000" w:sz="8" w:space="0"/>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车型</w:t>
            </w:r>
          </w:p>
        </w:tc>
        <w:tc>
          <w:tcPr>
            <w:tcW w:w="0" w:type="auto"/>
            <w:tcBorders>
              <w:top w:val="single" w:color="000000" w:sz="8" w:space="0"/>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运输</w:t>
            </w:r>
          </w:p>
        </w:tc>
        <w:tc>
          <w:tcPr>
            <w:tcW w:w="0" w:type="auto"/>
            <w:tcBorders>
              <w:top w:val="single" w:color="000000" w:sz="8" w:space="0"/>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押车/返空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08" w:hRule="atLeast"/>
        </w:trPr>
        <w:tc>
          <w:tcPr>
            <w:tcW w:w="1237" w:type="dxa"/>
            <w:vMerge w:val="continue"/>
            <w:tcBorders>
              <w:top w:val="nil"/>
              <w:left w:val="single" w:color="000000" w:sz="8" w:space="0"/>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1886" w:type="dxa"/>
            <w:vMerge w:val="continue"/>
            <w:tcBorders>
              <w:top w:val="nil"/>
              <w:left w:val="nil"/>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2552" w:type="dxa"/>
            <w:vMerge w:val="continue"/>
            <w:tcBorders>
              <w:top w:val="single" w:color="000000" w:sz="8" w:space="0"/>
              <w:left w:val="nil"/>
              <w:bottom w:val="single" w:color="000000" w:sz="8" w:space="0"/>
              <w:right w:val="single" w:color="000000" w:sz="8" w:space="0"/>
            </w:tcBorders>
            <w:shd w:val="clear"/>
            <w:vAlign w:val="center"/>
          </w:tcPr>
          <w:p>
            <w:pPr>
              <w:jc w:val="center"/>
              <w:rPr>
                <w:rFonts w:hint="eastAsia" w:ascii="宋体" w:hAnsi="宋体" w:eastAsia="宋体" w:cs="宋体"/>
                <w:i w:val="0"/>
                <w:iCs w:val="0"/>
                <w:color w:val="000000"/>
                <w:sz w:val="20"/>
                <w:szCs w:val="20"/>
                <w:u w:val="none"/>
              </w:rPr>
            </w:pPr>
          </w:p>
        </w:tc>
        <w:tc>
          <w:tcPr>
            <w:tcW w:w="1500"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预估车次</w:t>
            </w:r>
          </w:p>
        </w:tc>
        <w:tc>
          <w:tcPr>
            <w:tcW w:w="1405"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押车/返空工作量（车次）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盐田-大亚湾壳牌三期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GP/OT/HQ（常规集卡）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135</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2</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蛇口-大亚湾壳牌三期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GP/OT/HQ（常规集卡）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30</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惠州港-大亚湾壳牌三期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GP/OT/HQ（常规集卡）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6</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4</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盐田-大亚湾壳牌三期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FR（常规集卡）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9</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5</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蛇口-大亚湾壳牌三期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FR（常规集卡）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6</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惠州港-大亚湾壳牌三期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FR（常规集卡）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7</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盐田-大亚湾壳牌三期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危险品柜（常规集卡）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14</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41"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8</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蛇口-大亚湾壳牌三期</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危险品柜（常规集卡）</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2</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08" w:hRule="atLeast"/>
        </w:trPr>
        <w:tc>
          <w:tcPr>
            <w:tcW w:w="1237" w:type="dxa"/>
            <w:tcBorders>
              <w:top w:val="nil"/>
              <w:left w:val="single" w:color="000000" w:sz="8" w:space="0"/>
              <w:bottom w:val="nil"/>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9</w:t>
            </w:r>
          </w:p>
        </w:tc>
        <w:tc>
          <w:tcPr>
            <w:tcW w:w="1886" w:type="dxa"/>
            <w:tcBorders>
              <w:top w:val="nil"/>
              <w:left w:val="nil"/>
              <w:bottom w:val="nil"/>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深圳机场—大亚湾壳牌三期</w:t>
            </w:r>
          </w:p>
        </w:tc>
        <w:tc>
          <w:tcPr>
            <w:tcW w:w="2552" w:type="dxa"/>
            <w:tcBorders>
              <w:top w:val="nil"/>
              <w:left w:val="nil"/>
              <w:bottom w:val="nil"/>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3T厢式车</w:t>
            </w:r>
          </w:p>
        </w:tc>
        <w:tc>
          <w:tcPr>
            <w:tcW w:w="0" w:type="auto"/>
            <w:tcBorders>
              <w:top w:val="nil"/>
              <w:left w:val="nil"/>
              <w:bottom w:val="nil"/>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15</w:t>
            </w:r>
          </w:p>
        </w:tc>
        <w:tc>
          <w:tcPr>
            <w:tcW w:w="0" w:type="auto"/>
            <w:tcBorders>
              <w:top w:val="nil"/>
              <w:left w:val="nil"/>
              <w:bottom w:val="nil"/>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08" w:hRule="atLeast"/>
        </w:trPr>
        <w:tc>
          <w:tcPr>
            <w:tcW w:w="1237" w:type="dxa"/>
            <w:tcBorders>
              <w:top w:val="single" w:color="000000" w:sz="8" w:space="0"/>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10</w:t>
            </w:r>
          </w:p>
        </w:tc>
        <w:tc>
          <w:tcPr>
            <w:tcW w:w="1886" w:type="dxa"/>
            <w:tcBorders>
              <w:top w:val="single" w:color="000000" w:sz="8" w:space="0"/>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深圳机场—大亚湾壳牌三期</w:t>
            </w:r>
          </w:p>
        </w:tc>
        <w:tc>
          <w:tcPr>
            <w:tcW w:w="2552" w:type="dxa"/>
            <w:tcBorders>
              <w:top w:val="single" w:color="000000" w:sz="8" w:space="0"/>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5T厢式车</w:t>
            </w:r>
          </w:p>
        </w:tc>
        <w:tc>
          <w:tcPr>
            <w:tcW w:w="0" w:type="auto"/>
            <w:tcBorders>
              <w:top w:val="single" w:color="000000" w:sz="8" w:space="0"/>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6</w:t>
            </w:r>
          </w:p>
        </w:tc>
        <w:tc>
          <w:tcPr>
            <w:tcW w:w="0" w:type="auto"/>
            <w:tcBorders>
              <w:top w:val="single" w:color="000000" w:sz="8" w:space="0"/>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49" w:hRule="atLeast"/>
        </w:trPr>
        <w:tc>
          <w:tcPr>
            <w:tcW w:w="1237" w:type="dxa"/>
            <w:tcBorders>
              <w:top w:val="nil"/>
              <w:left w:val="single" w:color="000000" w:sz="8" w:space="0"/>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11</w:t>
            </w:r>
          </w:p>
        </w:tc>
        <w:tc>
          <w:tcPr>
            <w:tcW w:w="1886"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深圳机场—大亚湾壳牌三期</w:t>
            </w:r>
          </w:p>
        </w:tc>
        <w:tc>
          <w:tcPr>
            <w:tcW w:w="2552" w:type="dxa"/>
            <w:tcBorders>
              <w:top w:val="nil"/>
              <w:left w:val="nil"/>
              <w:bottom w:val="single" w:color="000000" w:sz="8" w:space="0"/>
              <w:right w:val="single" w:color="000000" w:sz="8"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10T厢式车</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3</w:t>
            </w:r>
          </w:p>
        </w:tc>
        <w:tc>
          <w:tcPr>
            <w:tcW w:w="0" w:type="auto"/>
            <w:tcBorders>
              <w:top w:val="nil"/>
              <w:left w:val="nil"/>
              <w:bottom w:val="single" w:color="000000" w:sz="8" w:space="0"/>
              <w:right w:val="single" w:color="000000" w:sz="8" w:space="0"/>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r>
    </w:tbl>
    <w:p>
      <w:pPr>
        <w:pStyle w:val="2"/>
        <w:ind w:left="0" w:firstLine="0" w:firstLineChars="0"/>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rPr>
          <w:rFonts w:hint="eastAsia" w:ascii="黑体" w:hAnsi="黑体" w:eastAsia="黑体" w:cs="黑体"/>
          <w:b w:val="0"/>
          <w:bCs/>
          <w:sz w:val="32"/>
          <w:szCs w:val="24"/>
          <w:highlight w:val="none"/>
          <w:lang w:val="en-US" w:eastAsia="zh-CN" w:bidi="ar-SA"/>
        </w:rPr>
      </w:pPr>
    </w:p>
    <w:p>
      <w:pPr>
        <w:pStyle w:val="2"/>
        <w:ind w:left="0" w:firstLine="0" w:firstLineChars="0"/>
        <w:rPr>
          <w:rFonts w:hint="eastAsia" w:ascii="黑体" w:hAnsi="黑体" w:eastAsia="黑体" w:cs="黑体"/>
          <w:b w:val="0"/>
          <w:bCs/>
          <w:sz w:val="32"/>
          <w:szCs w:val="24"/>
          <w:highlight w:val="none"/>
          <w:lang w:val="en-US" w:eastAsia="zh-CN" w:bidi="ar-SA"/>
        </w:rPr>
      </w:pPr>
    </w:p>
    <w:p>
      <w:pPr>
        <w:pStyle w:val="2"/>
        <w:rPr>
          <w:rFonts w:hint="default" w:ascii="黑体" w:hAnsi="黑体" w:eastAsia="黑体" w:cs="黑体"/>
          <w:b w:val="0"/>
          <w:bCs/>
          <w:sz w:val="32"/>
          <w:szCs w:val="24"/>
          <w:highlight w:val="none"/>
          <w:lang w:val="en-US" w:eastAsia="zh-CN" w:bidi="ar-SA"/>
        </w:rPr>
      </w:pPr>
    </w:p>
    <w:tbl>
      <w:tblPr>
        <w:tblStyle w:val="11"/>
        <w:tblW w:w="8899" w:type="dxa"/>
        <w:tblInd w:w="0" w:type="dxa"/>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Layout w:type="autofit"/>
        <w:tblCellMar>
          <w:top w:w="0" w:type="dxa"/>
          <w:left w:w="108" w:type="dxa"/>
          <w:bottom w:w="0" w:type="dxa"/>
          <w:right w:w="108" w:type="dxa"/>
        </w:tblCellMar>
      </w:tblPr>
      <w:tblGrid>
        <w:gridCol w:w="4317"/>
        <w:gridCol w:w="4582"/>
      </w:tblGrid>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1275" w:hRule="atLeast"/>
        </w:trPr>
        <w:tc>
          <w:tcPr>
            <w:tcW w:w="4317" w:type="dxa"/>
            <w:tcBorders>
              <w:top w:val="nil"/>
              <w:left w:val="nil"/>
              <w:bottom w:val="nil"/>
              <w:right w:val="nil"/>
            </w:tcBorders>
            <w:shd w:val="clear" w:color="auto" w:fill="auto"/>
            <w:noWrap w:val="0"/>
            <w:vAlign w:val="top"/>
          </w:tcPr>
          <w:p>
            <w:pPr>
              <w:autoSpaceDE w:val="0"/>
              <w:autoSpaceDN w:val="0"/>
              <w:adjustRightInd w:val="0"/>
              <w:spacing w:line="360" w:lineRule="auto"/>
              <w:rPr>
                <w:rFonts w:hint="eastAsia" w:ascii="宋体" w:hAnsi="宋体" w:cs="宋体"/>
                <w:sz w:val="28"/>
                <w:szCs w:val="28"/>
              </w:rPr>
            </w:pPr>
            <w:r>
              <w:rPr>
                <w:rFonts w:hint="eastAsia" w:ascii="宋体" w:hAnsi="宋体" w:cs="宋体"/>
                <w:sz w:val="28"/>
                <w:szCs w:val="28"/>
                <w:lang w:val="zh-CN"/>
              </w:rPr>
              <w:t>甲方</w:t>
            </w:r>
            <w:r>
              <w:rPr>
                <w:rFonts w:hint="eastAsia" w:ascii="宋体" w:hAnsi="宋体" w:cs="宋体"/>
                <w:sz w:val="28"/>
                <w:szCs w:val="28"/>
              </w:rPr>
              <w:t>:</w:t>
            </w:r>
          </w:p>
          <w:p>
            <w:pPr>
              <w:autoSpaceDE w:val="0"/>
              <w:autoSpaceDN w:val="0"/>
              <w:adjustRightInd w:val="0"/>
              <w:spacing w:line="360" w:lineRule="auto"/>
              <w:rPr>
                <w:rFonts w:ascii="宋体" w:hAnsi="宋体" w:cs="宋体"/>
                <w:sz w:val="28"/>
                <w:szCs w:val="28"/>
              </w:rPr>
            </w:pPr>
            <w:r>
              <w:rPr>
                <w:rFonts w:hint="eastAsia" w:ascii="宋体" w:hAnsi="宋体" w:cs="宋体"/>
                <w:sz w:val="28"/>
                <w:szCs w:val="28"/>
              </w:rPr>
              <w:t>中海壳牌石油化工有限公司</w:t>
            </w:r>
          </w:p>
        </w:tc>
        <w:tc>
          <w:tcPr>
            <w:tcW w:w="4582" w:type="dxa"/>
            <w:tcBorders>
              <w:top w:val="nil"/>
              <w:left w:val="nil"/>
              <w:bottom w:val="nil"/>
              <w:right w:val="nil"/>
            </w:tcBorders>
            <w:shd w:val="clear" w:color="auto" w:fill="auto"/>
            <w:noWrap w:val="0"/>
            <w:vAlign w:val="top"/>
          </w:tcPr>
          <w:p>
            <w:pPr>
              <w:autoSpaceDE w:val="0"/>
              <w:autoSpaceDN w:val="0"/>
              <w:adjustRightInd w:val="0"/>
              <w:spacing w:line="360" w:lineRule="auto"/>
              <w:rPr>
                <w:rFonts w:hint="eastAsia" w:ascii="宋体" w:hAnsi="宋体" w:cs="宋体"/>
                <w:sz w:val="28"/>
                <w:szCs w:val="28"/>
              </w:rPr>
            </w:pPr>
            <w:r>
              <w:rPr>
                <w:rFonts w:hint="eastAsia" w:ascii="宋体" w:hAnsi="宋体" w:cs="宋体"/>
                <w:sz w:val="28"/>
                <w:szCs w:val="28"/>
                <w:lang w:val="zh-CN"/>
              </w:rPr>
              <w:t>乙方</w:t>
            </w:r>
            <w:r>
              <w:rPr>
                <w:rFonts w:hint="eastAsia" w:ascii="宋体" w:hAnsi="宋体" w:cs="宋体"/>
                <w:sz w:val="28"/>
                <w:szCs w:val="28"/>
              </w:rPr>
              <w:t>:</w:t>
            </w:r>
          </w:p>
          <w:p>
            <w:pPr>
              <w:autoSpaceDE w:val="0"/>
              <w:autoSpaceDN w:val="0"/>
              <w:adjustRightInd w:val="0"/>
              <w:spacing w:line="360" w:lineRule="auto"/>
              <w:rPr>
                <w:rFonts w:hint="eastAsia" w:ascii="宋体" w:hAnsi="宋体" w:cs="宋体"/>
                <w:sz w:val="28"/>
                <w:szCs w:val="28"/>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2439" w:hRule="atLeast"/>
        </w:trPr>
        <w:tc>
          <w:tcPr>
            <w:tcW w:w="4317" w:type="dxa"/>
            <w:tcBorders>
              <w:top w:val="nil"/>
              <w:left w:val="nil"/>
              <w:bottom w:val="nil"/>
              <w:right w:val="nil"/>
            </w:tcBorders>
            <w:shd w:val="clear" w:color="auto" w:fill="auto"/>
            <w:noWrap w:val="0"/>
            <w:vAlign w:val="top"/>
          </w:tcPr>
          <w:p>
            <w:pPr>
              <w:autoSpaceDE w:val="0"/>
              <w:autoSpaceDN w:val="0"/>
              <w:adjustRightInd w:val="0"/>
              <w:spacing w:line="360" w:lineRule="auto"/>
              <w:rPr>
                <w:rFonts w:hint="eastAsia" w:ascii="宋体" w:hAnsi="宋体" w:cs="宋体"/>
                <w:sz w:val="28"/>
                <w:szCs w:val="28"/>
                <w:lang w:val="zh-CN"/>
              </w:rPr>
            </w:pPr>
            <w:r>
              <w:rPr>
                <w:rFonts w:hint="eastAsia" w:ascii="宋体" w:hAnsi="宋体" w:cs="宋体"/>
                <w:sz w:val="28"/>
                <w:szCs w:val="28"/>
                <w:lang w:val="zh-CN"/>
              </w:rPr>
              <w:t>技术负责人:</w:t>
            </w:r>
          </w:p>
          <w:p>
            <w:pPr>
              <w:autoSpaceDE w:val="0"/>
              <w:autoSpaceDN w:val="0"/>
              <w:adjustRightInd w:val="0"/>
              <w:spacing w:line="360" w:lineRule="auto"/>
              <w:rPr>
                <w:rFonts w:hint="eastAsia" w:ascii="宋体" w:hAnsi="宋体" w:cs="宋体"/>
                <w:sz w:val="28"/>
                <w:szCs w:val="28"/>
                <w:lang w:val="zh-CN"/>
              </w:rPr>
            </w:pPr>
          </w:p>
          <w:p>
            <w:pPr>
              <w:autoSpaceDE w:val="0"/>
              <w:autoSpaceDN w:val="0"/>
              <w:adjustRightInd w:val="0"/>
              <w:spacing w:line="360" w:lineRule="auto"/>
              <w:rPr>
                <w:rFonts w:hint="eastAsia" w:ascii="宋体" w:hAnsi="宋体" w:cs="宋体"/>
                <w:sz w:val="28"/>
                <w:szCs w:val="28"/>
                <w:lang w:val="zh-CN"/>
              </w:rPr>
            </w:pPr>
            <w:r>
              <w:rPr>
                <w:rFonts w:hint="eastAsia" w:ascii="宋体" w:hAnsi="宋体" w:cs="宋体"/>
                <w:sz w:val="28"/>
                <w:szCs w:val="28"/>
                <w:lang w:val="zh-CN"/>
              </w:rPr>
              <w:t xml:space="preserve">签署日期: </w:t>
            </w:r>
          </w:p>
        </w:tc>
        <w:tc>
          <w:tcPr>
            <w:tcW w:w="4582" w:type="dxa"/>
            <w:tcBorders>
              <w:top w:val="nil"/>
              <w:left w:val="nil"/>
              <w:bottom w:val="nil"/>
              <w:right w:val="nil"/>
            </w:tcBorders>
            <w:shd w:val="clear" w:color="auto" w:fill="auto"/>
            <w:noWrap w:val="0"/>
            <w:vAlign w:val="top"/>
          </w:tcPr>
          <w:p>
            <w:pPr>
              <w:autoSpaceDE w:val="0"/>
              <w:autoSpaceDN w:val="0"/>
              <w:adjustRightInd w:val="0"/>
              <w:spacing w:line="360" w:lineRule="auto"/>
              <w:rPr>
                <w:rFonts w:hint="eastAsia" w:ascii="宋体" w:hAnsi="宋体" w:cs="宋体"/>
                <w:sz w:val="28"/>
                <w:szCs w:val="28"/>
                <w:lang w:val="zh-CN"/>
              </w:rPr>
            </w:pPr>
            <w:r>
              <w:rPr>
                <w:rFonts w:hint="eastAsia" w:ascii="宋体" w:hAnsi="宋体" w:cs="宋体"/>
                <w:sz w:val="28"/>
                <w:szCs w:val="28"/>
                <w:lang w:val="zh-CN"/>
              </w:rPr>
              <w:t>技术负责人:</w:t>
            </w:r>
          </w:p>
          <w:p>
            <w:pPr>
              <w:autoSpaceDE w:val="0"/>
              <w:autoSpaceDN w:val="0"/>
              <w:adjustRightInd w:val="0"/>
              <w:spacing w:line="360" w:lineRule="auto"/>
              <w:rPr>
                <w:rFonts w:hint="eastAsia" w:ascii="宋体" w:hAnsi="宋体" w:cs="宋体"/>
                <w:sz w:val="28"/>
                <w:szCs w:val="28"/>
                <w:lang w:val="zh-CN"/>
              </w:rPr>
            </w:pPr>
          </w:p>
          <w:p>
            <w:pPr>
              <w:autoSpaceDE w:val="0"/>
              <w:autoSpaceDN w:val="0"/>
              <w:adjustRightInd w:val="0"/>
              <w:spacing w:line="360" w:lineRule="auto"/>
              <w:rPr>
                <w:rFonts w:hint="eastAsia" w:ascii="宋体" w:hAnsi="宋体" w:cs="宋体"/>
                <w:sz w:val="28"/>
                <w:szCs w:val="28"/>
                <w:lang w:val="zh-CN"/>
              </w:rPr>
            </w:pPr>
            <w:r>
              <w:rPr>
                <w:rFonts w:hint="eastAsia" w:ascii="宋体" w:hAnsi="宋体" w:cs="宋体"/>
                <w:sz w:val="28"/>
                <w:szCs w:val="28"/>
                <w:lang w:val="zh-CN"/>
              </w:rPr>
              <w:t xml:space="preserve">签署日期: </w:t>
            </w:r>
          </w:p>
        </w:tc>
      </w:tr>
    </w:tbl>
    <w:p>
      <w:pPr>
        <w:pStyle w:val="2"/>
        <w:ind w:left="0" w:leftChars="0" w:firstLine="0" w:firstLineChars="0"/>
        <w:rPr>
          <w:sz w:val="24"/>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2000000000000000000"/>
    <w:charset w:val="86"/>
    <w:family w:val="auto"/>
    <w:pitch w:val="default"/>
    <w:sig w:usb0="A00002BF" w:usb1="184F6CFA" w:usb2="00000012" w:usb3="00000000" w:csb0="00040001"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1294A24"/>
    <w:multiLevelType w:val="singleLevel"/>
    <w:tmpl w:val="A1294A24"/>
    <w:lvl w:ilvl="0" w:tentative="0">
      <w:start w:val="1"/>
      <w:numFmt w:val="decimal"/>
      <w:suff w:val="nothing"/>
      <w:lvlText w:val="（%1）"/>
      <w:lvlJc w:val="left"/>
      <w:pPr>
        <w:ind w:left="410"/>
      </w:pPr>
    </w:lvl>
  </w:abstractNum>
  <w:abstractNum w:abstractNumId="1">
    <w:nsid w:val="C1E640D7"/>
    <w:multiLevelType w:val="singleLevel"/>
    <w:tmpl w:val="C1E640D7"/>
    <w:lvl w:ilvl="0" w:tentative="0">
      <w:start w:val="1"/>
      <w:numFmt w:val="decimal"/>
      <w:lvlText w:val="(%1)"/>
      <w:lvlJc w:val="left"/>
      <w:pPr>
        <w:ind w:left="425" w:hanging="425"/>
      </w:pPr>
      <w:rPr>
        <w:rFonts w:hint="default"/>
      </w:rPr>
    </w:lvl>
  </w:abstractNum>
  <w:abstractNum w:abstractNumId="2">
    <w:nsid w:val="CFE3FDC2"/>
    <w:multiLevelType w:val="singleLevel"/>
    <w:tmpl w:val="CFE3FDC2"/>
    <w:lvl w:ilvl="0" w:tentative="0">
      <w:start w:val="1"/>
      <w:numFmt w:val="decimal"/>
      <w:lvlText w:val="(%1)"/>
      <w:lvlJc w:val="left"/>
      <w:pPr>
        <w:ind w:left="425" w:hanging="425"/>
      </w:pPr>
      <w:rPr>
        <w:rFonts w:hint="default"/>
      </w:rPr>
    </w:lvl>
  </w:abstractNum>
  <w:abstractNum w:abstractNumId="3">
    <w:nsid w:val="D8287BA3"/>
    <w:multiLevelType w:val="singleLevel"/>
    <w:tmpl w:val="D8287BA3"/>
    <w:lvl w:ilvl="0" w:tentative="0">
      <w:start w:val="1"/>
      <w:numFmt w:val="decimal"/>
      <w:suff w:val="nothing"/>
      <w:lvlText w:val="（%1）"/>
      <w:lvlJc w:val="left"/>
    </w:lvl>
  </w:abstractNum>
  <w:abstractNum w:abstractNumId="4">
    <w:nsid w:val="EF6C3032"/>
    <w:multiLevelType w:val="singleLevel"/>
    <w:tmpl w:val="EF6C3032"/>
    <w:lvl w:ilvl="0" w:tentative="0">
      <w:start w:val="1"/>
      <w:numFmt w:val="chineseCounting"/>
      <w:suff w:val="nothing"/>
      <w:lvlText w:val="%1、"/>
      <w:lvlJc w:val="left"/>
      <w:rPr>
        <w:rFonts w:hint="eastAsia"/>
      </w:rPr>
    </w:lvl>
  </w:abstractNum>
  <w:abstractNum w:abstractNumId="5">
    <w:nsid w:val="FCDEB6E5"/>
    <w:multiLevelType w:val="singleLevel"/>
    <w:tmpl w:val="FCDEB6E5"/>
    <w:lvl w:ilvl="0" w:tentative="0">
      <w:start w:val="1"/>
      <w:numFmt w:val="chineseCounting"/>
      <w:suff w:val="nothing"/>
      <w:lvlText w:val="（%1）"/>
      <w:lvlJc w:val="left"/>
      <w:rPr>
        <w:rFonts w:hint="eastAsia"/>
      </w:rPr>
    </w:lvl>
  </w:abstractNum>
  <w:num w:numId="1">
    <w:abstractNumId w:val="4"/>
  </w:num>
  <w:num w:numId="2">
    <w:abstractNumId w:val="5"/>
  </w:num>
  <w:num w:numId="3">
    <w:abstractNumId w:val="0"/>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7"/>
  <w:embedSystem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256765"/>
    <w:rsid w:val="02E95624"/>
    <w:rsid w:val="03E94AE7"/>
    <w:rsid w:val="079D22EE"/>
    <w:rsid w:val="0842330E"/>
    <w:rsid w:val="091D6C04"/>
    <w:rsid w:val="0BE12557"/>
    <w:rsid w:val="0EC84D1E"/>
    <w:rsid w:val="12B75243"/>
    <w:rsid w:val="133B1DD3"/>
    <w:rsid w:val="17025D0E"/>
    <w:rsid w:val="19345AE7"/>
    <w:rsid w:val="1978645B"/>
    <w:rsid w:val="1ACF77D1"/>
    <w:rsid w:val="1C186806"/>
    <w:rsid w:val="1E9C64BE"/>
    <w:rsid w:val="1FEA6CF3"/>
    <w:rsid w:val="21C47BF4"/>
    <w:rsid w:val="230561D9"/>
    <w:rsid w:val="25267754"/>
    <w:rsid w:val="25552DD3"/>
    <w:rsid w:val="25AE2295"/>
    <w:rsid w:val="265610B9"/>
    <w:rsid w:val="26A0469B"/>
    <w:rsid w:val="28577BEF"/>
    <w:rsid w:val="2A8E2F2E"/>
    <w:rsid w:val="2A9C781E"/>
    <w:rsid w:val="2B002626"/>
    <w:rsid w:val="2DFF5D44"/>
    <w:rsid w:val="2E0D44F2"/>
    <w:rsid w:val="2E29012C"/>
    <w:rsid w:val="2E4D1311"/>
    <w:rsid w:val="2ED32322"/>
    <w:rsid w:val="2FDB378B"/>
    <w:rsid w:val="30055B59"/>
    <w:rsid w:val="32E726CC"/>
    <w:rsid w:val="33130879"/>
    <w:rsid w:val="339F5856"/>
    <w:rsid w:val="369C2320"/>
    <w:rsid w:val="36B559F4"/>
    <w:rsid w:val="37A068D2"/>
    <w:rsid w:val="37B22055"/>
    <w:rsid w:val="385B5477"/>
    <w:rsid w:val="38C57279"/>
    <w:rsid w:val="3A0E4C4C"/>
    <w:rsid w:val="3CB16688"/>
    <w:rsid w:val="3CF8215E"/>
    <w:rsid w:val="3D730F3C"/>
    <w:rsid w:val="3D7916C3"/>
    <w:rsid w:val="3F2D1CB6"/>
    <w:rsid w:val="416253F8"/>
    <w:rsid w:val="42001367"/>
    <w:rsid w:val="422427F1"/>
    <w:rsid w:val="42BD775C"/>
    <w:rsid w:val="48640F11"/>
    <w:rsid w:val="48F8764B"/>
    <w:rsid w:val="49F14FEA"/>
    <w:rsid w:val="4AAD72E2"/>
    <w:rsid w:val="4B4A2B23"/>
    <w:rsid w:val="4BBD6979"/>
    <w:rsid w:val="4FD7513C"/>
    <w:rsid w:val="504E129C"/>
    <w:rsid w:val="53670093"/>
    <w:rsid w:val="547E1802"/>
    <w:rsid w:val="55F62B29"/>
    <w:rsid w:val="56F04F0B"/>
    <w:rsid w:val="57DA26DF"/>
    <w:rsid w:val="5E3F6F93"/>
    <w:rsid w:val="60B976BA"/>
    <w:rsid w:val="615E0926"/>
    <w:rsid w:val="67D0731B"/>
    <w:rsid w:val="692C4624"/>
    <w:rsid w:val="6CB82F83"/>
    <w:rsid w:val="6F0048BD"/>
    <w:rsid w:val="704F6784"/>
    <w:rsid w:val="71833B61"/>
    <w:rsid w:val="737A7A3F"/>
    <w:rsid w:val="73EF59EA"/>
    <w:rsid w:val="741734BD"/>
    <w:rsid w:val="743B4F2F"/>
    <w:rsid w:val="75CD4DEC"/>
    <w:rsid w:val="76446C05"/>
    <w:rsid w:val="764A459F"/>
    <w:rsid w:val="77446411"/>
    <w:rsid w:val="7862432E"/>
    <w:rsid w:val="7A1A4A37"/>
    <w:rsid w:val="7A435AFD"/>
    <w:rsid w:val="7A8637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5">
    <w:name w:val="heading 1"/>
    <w:basedOn w:val="1"/>
    <w:next w:val="1"/>
    <w:link w:val="13"/>
    <w:qFormat/>
    <w:uiPriority w:val="0"/>
    <w:pPr>
      <w:keepNext/>
      <w:keepLines/>
      <w:widowControl/>
      <w:spacing w:before="340" w:after="330" w:line="578" w:lineRule="auto"/>
      <w:jc w:val="left"/>
      <w:outlineLvl w:val="0"/>
    </w:pPr>
    <w:rPr>
      <w:rFonts w:ascii="Calibri" w:hAnsi="Calibri"/>
      <w:b/>
      <w:bCs/>
      <w:kern w:val="44"/>
      <w:sz w:val="44"/>
      <w:szCs w:val="44"/>
      <w:lang w:eastAsia="en-US" w:bidi="en-US"/>
    </w:rPr>
  </w:style>
  <w:style w:type="paragraph" w:styleId="6">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0"/>
    </w:rPr>
  </w:style>
  <w:style w:type="paragraph" w:styleId="7">
    <w:name w:val="heading 3"/>
    <w:basedOn w:val="1"/>
    <w:next w:val="1"/>
    <w:qFormat/>
    <w:uiPriority w:val="0"/>
    <w:pPr>
      <w:keepNext/>
      <w:keepLines/>
      <w:widowControl/>
      <w:spacing w:before="260" w:after="260" w:line="416" w:lineRule="auto"/>
      <w:jc w:val="left"/>
      <w:outlineLvl w:val="2"/>
    </w:pPr>
    <w:rPr>
      <w:rFonts w:ascii="Calibri" w:hAnsi="Calibri"/>
      <w:b/>
      <w:bCs/>
      <w:kern w:val="0"/>
      <w:sz w:val="32"/>
      <w:szCs w:val="32"/>
      <w:lang w:eastAsia="en-US" w:bidi="en-US"/>
    </w:rPr>
  </w:style>
  <w:style w:type="character" w:default="1" w:styleId="12">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Body Text First Indent"/>
    <w:basedOn w:val="3"/>
    <w:qFormat/>
    <w:uiPriority w:val="99"/>
    <w:pPr>
      <w:ind w:firstLine="420" w:firstLineChars="100"/>
    </w:pPr>
  </w:style>
  <w:style w:type="paragraph" w:styleId="3">
    <w:name w:val="Body Text"/>
    <w:basedOn w:val="1"/>
    <w:next w:val="4"/>
    <w:qFormat/>
    <w:uiPriority w:val="0"/>
    <w:pPr>
      <w:widowControl/>
      <w:autoSpaceDE w:val="0"/>
      <w:autoSpaceDN w:val="0"/>
      <w:adjustRightInd w:val="0"/>
      <w:spacing w:before="120"/>
      <w:ind w:left="794"/>
    </w:pPr>
    <w:rPr>
      <w:rFonts w:ascii="Arial" w:hAnsi="Arial"/>
      <w:kern w:val="0"/>
      <w:sz w:val="22"/>
      <w:szCs w:val="22"/>
      <w:lang w:val="en-AU" w:eastAsia="en-US"/>
    </w:rPr>
  </w:style>
  <w:style w:type="paragraph" w:styleId="4">
    <w:name w:val="toc 2"/>
    <w:basedOn w:val="1"/>
    <w:next w:val="1"/>
    <w:qFormat/>
    <w:uiPriority w:val="39"/>
    <w:pPr>
      <w:ind w:left="420" w:leftChars="200"/>
    </w:pPr>
  </w:style>
  <w:style w:type="paragraph" w:styleId="8">
    <w:name w:val="annotation text"/>
    <w:basedOn w:val="1"/>
    <w:qFormat/>
    <w:uiPriority w:val="0"/>
    <w:pPr>
      <w:jc w:val="left"/>
    </w:pPr>
  </w:style>
  <w:style w:type="paragraph" w:styleId="9">
    <w:name w:val="footer"/>
    <w:basedOn w:val="1"/>
    <w:qFormat/>
    <w:uiPriority w:val="0"/>
    <w:pPr>
      <w:tabs>
        <w:tab w:val="center" w:pos="4153"/>
        <w:tab w:val="right" w:pos="8306"/>
      </w:tabs>
      <w:snapToGrid w:val="0"/>
      <w:jc w:val="left"/>
    </w:pPr>
    <w:rPr>
      <w:sz w:val="18"/>
    </w:rPr>
  </w:style>
  <w:style w:type="paragraph" w:styleId="10">
    <w:name w:val="toc 1"/>
    <w:basedOn w:val="1"/>
    <w:next w:val="1"/>
    <w:qFormat/>
    <w:uiPriority w:val="0"/>
  </w:style>
  <w:style w:type="character" w:customStyle="1" w:styleId="13">
    <w:name w:val="标题 1 字符"/>
    <w:link w:val="5"/>
    <w:qFormat/>
    <w:uiPriority w:val="0"/>
    <w:rPr>
      <w:rFonts w:ascii="Calibri" w:hAnsi="Calibri"/>
      <w:b/>
      <w:bCs/>
      <w:kern w:val="44"/>
      <w:sz w:val="44"/>
      <w:szCs w:val="44"/>
      <w:lang w:eastAsia="en-US" w:bidi="en-US"/>
    </w:rPr>
  </w:style>
  <w:style w:type="paragraph" w:customStyle="1" w:styleId="14">
    <w:name w:val="_Style 5"/>
    <w:qFormat/>
    <w:uiPriority w:val="0"/>
    <w:pPr>
      <w:widowControl w:val="0"/>
      <w:ind w:firstLine="200" w:firstLineChars="200"/>
      <w:jc w:val="both"/>
    </w:pPr>
    <w:rPr>
      <w:rFonts w:ascii="Times New Roman" w:hAnsi="Times New Roman" w:eastAsia="宋体" w:cs="Times New Roman"/>
      <w:kern w:val="2"/>
      <w:sz w:val="24"/>
      <w:lang w:val="en-US" w:eastAsia="zh-CN" w:bidi="ar-SA"/>
    </w:rPr>
  </w:style>
  <w:style w:type="paragraph" w:customStyle="1" w:styleId="15">
    <w:name w:val="WPSOffice手动目录 1"/>
    <w:qFormat/>
    <w:uiPriority w:val="0"/>
    <w:pPr>
      <w:ind w:leftChars="0"/>
    </w:pPr>
    <w:rPr>
      <w:rFonts w:asciiTheme="minorHAnsi" w:hAnsiTheme="minorHAnsi" w:eastAsiaTheme="minorEastAsia" w:cstheme="minorBidi"/>
      <w:sz w:val="20"/>
      <w:szCs w:val="20"/>
    </w:rPr>
  </w:style>
  <w:style w:type="paragraph" w:customStyle="1" w:styleId="16">
    <w:name w:val="WPSOffice手动目录 2"/>
    <w:qFormat/>
    <w:uiPriority w:val="0"/>
    <w:pPr>
      <w:ind w:leftChars="200"/>
    </w:pPr>
    <w:rPr>
      <w:rFonts w:asciiTheme="minorHAnsi" w:hAnsiTheme="minorHAnsi" w:eastAsiaTheme="minorEastAsia" w:cstheme="minorBidi"/>
      <w:sz w:val="20"/>
      <w:szCs w:val="20"/>
    </w:rPr>
  </w:style>
  <w:style w:type="paragraph" w:styleId="17">
    <w:name w:val="List Paragraph"/>
    <w:basedOn w:val="1"/>
    <w:qFormat/>
    <w:uiPriority w:val="34"/>
    <w:pPr>
      <w:spacing w:line="360" w:lineRule="auto"/>
      <w:ind w:firstLine="420" w:firstLineChars="200"/>
      <w:jc w:val="left"/>
    </w:pPr>
    <w:rPr>
      <w:sz w:val="24"/>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oleObject" Target="embeddings/oleObject1.bin"/><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25</Pages>
  <Words>0</Words>
  <Characters>0</Characters>
  <Lines>0</Lines>
  <Paragraphs>0</Paragraphs>
  <TotalTime>2</TotalTime>
  <ScaleCrop>false</ScaleCrop>
  <LinksUpToDate>false</LinksUpToDate>
  <CharactersWithSpaces>0</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2024-12-03T02:48:00Z</dcterms:created>
  <dc:creator>huangmh6</dc:creator>
  <cp:lastModifiedBy>黄满红</cp:lastModifiedBy>
  <dcterms:modified xsi:type="dcterms:W3CDTF">2025-07-31T01:48:16Z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B378CDC3669448B3BA49F5F6954EA878</vt:lpwstr>
  </property>
</Properties>
</file>