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A3CDF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150" w:firstLine="0" w:firstLineChars="0"/>
        <w:textAlignment w:val="auto"/>
        <w:rPr>
          <w:rFonts w:hint="eastAsia" w:ascii="微软雅黑" w:hAnsi="微软雅黑" w:eastAsia="微软雅黑" w:cs="微软雅黑"/>
          <w:color w:val="383838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color w:val="383838"/>
          <w:sz w:val="24"/>
          <w:szCs w:val="24"/>
          <w:shd w:val="clear" w:fill="FFFFFF"/>
          <w:lang w:val="en-US" w:eastAsia="zh-CN"/>
        </w:rPr>
        <w:t>附件：</w:t>
      </w:r>
    </w:p>
    <w:p w14:paraId="3222B41A">
      <w:pPr>
        <w:pStyle w:val="4"/>
        <w:autoSpaceDE w:val="0"/>
        <w:autoSpaceDN w:val="0"/>
        <w:adjustRightInd w:val="0"/>
        <w:spacing w:line="460" w:lineRule="exact"/>
        <w:jc w:val="center"/>
        <w:rPr>
          <w:rFonts w:hint="eastAsia" w:ascii="微软雅黑" w:hAnsi="微软雅黑" w:eastAsia="微软雅黑" w:cs="微软雅黑"/>
          <w:color w:val="38383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  <w:lang w:eastAsia="zh-CN"/>
        </w:rPr>
        <w:t>嵊州市嵊发供应链服务有限公司道路运输服务项目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-询价单</w:t>
      </w:r>
    </w:p>
    <w:p w14:paraId="18C9748C">
      <w:pPr>
        <w:pStyle w:val="27"/>
        <w:numPr>
          <w:ilvl w:val="0"/>
          <w:numId w:val="1"/>
        </w:numPr>
        <w:spacing w:before="156" w:beforeLines="50"/>
        <w:ind w:left="601" w:hanging="601" w:firstLineChars="0"/>
        <w:rPr>
          <w:rFonts w:ascii="仿宋" w:hAnsi="仿宋" w:eastAsia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 w:val="0"/>
          <w:bCs/>
          <w:color w:val="auto"/>
          <w:sz w:val="28"/>
          <w:szCs w:val="28"/>
        </w:rPr>
        <w:t>类型和报价</w:t>
      </w:r>
    </w:p>
    <w:tbl>
      <w:tblPr>
        <w:tblStyle w:val="29"/>
        <w:tblpPr w:leftFromText="180" w:rightFromText="180" w:vertAnchor="text" w:horzAnchor="page" w:tblpX="1184" w:tblpY="117"/>
        <w:tblOverlap w:val="never"/>
        <w:tblW w:w="940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7"/>
        <w:gridCol w:w="1601"/>
        <w:gridCol w:w="2023"/>
        <w:gridCol w:w="3155"/>
        <w:gridCol w:w="1961"/>
      </w:tblGrid>
      <w:tr w14:paraId="098DEE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67" w:type="dxa"/>
            <w:noWrap w:val="0"/>
            <w:vAlign w:val="center"/>
          </w:tcPr>
          <w:p w14:paraId="38229600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120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601" w:type="dxa"/>
            <w:shd w:val="clear" w:color="auto" w:fill="auto"/>
            <w:noWrap w:val="0"/>
            <w:vAlign w:val="center"/>
          </w:tcPr>
          <w:p w14:paraId="17CB7DDF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服务项目</w:t>
            </w:r>
          </w:p>
        </w:tc>
        <w:tc>
          <w:tcPr>
            <w:tcW w:w="2023" w:type="dxa"/>
            <w:noWrap w:val="0"/>
            <w:vAlign w:val="center"/>
          </w:tcPr>
          <w:p w14:paraId="7CFDC31F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设备名称</w:t>
            </w:r>
          </w:p>
        </w:tc>
        <w:tc>
          <w:tcPr>
            <w:tcW w:w="3155" w:type="dxa"/>
            <w:noWrap w:val="0"/>
            <w:vAlign w:val="center"/>
          </w:tcPr>
          <w:p w14:paraId="1911A712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载货距离段</w:t>
            </w:r>
          </w:p>
        </w:tc>
        <w:tc>
          <w:tcPr>
            <w:tcW w:w="1961" w:type="dxa"/>
            <w:noWrap w:val="0"/>
            <w:vAlign w:val="center"/>
          </w:tcPr>
          <w:p w14:paraId="6461DA46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投标报价</w:t>
            </w:r>
          </w:p>
        </w:tc>
      </w:tr>
      <w:tr w14:paraId="0111CA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67" w:type="dxa"/>
            <w:vMerge w:val="restart"/>
            <w:noWrap w:val="0"/>
            <w:vAlign w:val="center"/>
          </w:tcPr>
          <w:p w14:paraId="77009BC7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601" w:type="dxa"/>
            <w:vMerge w:val="restart"/>
            <w:shd w:val="clear" w:color="auto" w:fill="auto"/>
            <w:noWrap w:val="0"/>
            <w:vAlign w:val="center"/>
          </w:tcPr>
          <w:p w14:paraId="0E590FC1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  <w:t>散货运输</w:t>
            </w:r>
          </w:p>
          <w:p w14:paraId="4448E880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  <w:t>（煤炭、黄沙、石子等）</w:t>
            </w:r>
          </w:p>
        </w:tc>
        <w:tc>
          <w:tcPr>
            <w:tcW w:w="2023" w:type="dxa"/>
            <w:vMerge w:val="restart"/>
            <w:noWrap w:val="0"/>
            <w:vAlign w:val="center"/>
          </w:tcPr>
          <w:p w14:paraId="29E34510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重型自卸货车或重型平板半挂车（自卸）</w:t>
            </w:r>
          </w:p>
        </w:tc>
        <w:tc>
          <w:tcPr>
            <w:tcW w:w="3155" w:type="dxa"/>
            <w:shd w:val="clear" w:color="auto" w:fill="auto"/>
            <w:noWrap w:val="0"/>
            <w:vAlign w:val="center"/>
          </w:tcPr>
          <w:p w14:paraId="6748B395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10公里内（含10公里）起步价</w:t>
            </w:r>
          </w:p>
        </w:tc>
        <w:tc>
          <w:tcPr>
            <w:tcW w:w="1961" w:type="dxa"/>
            <w:noWrap w:val="0"/>
            <w:vAlign w:val="center"/>
          </w:tcPr>
          <w:p w14:paraId="1EF87FE1">
            <w:pPr>
              <w:spacing w:line="400" w:lineRule="exact"/>
              <w:jc w:val="righ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元/吨.公里</w:t>
            </w:r>
          </w:p>
        </w:tc>
      </w:tr>
      <w:tr w14:paraId="5447DF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67" w:type="dxa"/>
            <w:vMerge w:val="continue"/>
            <w:noWrap w:val="0"/>
            <w:vAlign w:val="center"/>
          </w:tcPr>
          <w:p w14:paraId="5E6C206C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1" w:type="dxa"/>
            <w:vMerge w:val="continue"/>
            <w:shd w:val="clear" w:color="auto" w:fill="auto"/>
            <w:noWrap w:val="0"/>
            <w:vAlign w:val="center"/>
          </w:tcPr>
          <w:p w14:paraId="404FE154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3" w:type="dxa"/>
            <w:vMerge w:val="continue"/>
            <w:noWrap w:val="0"/>
            <w:vAlign w:val="center"/>
          </w:tcPr>
          <w:p w14:paraId="11D1A715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55" w:type="dxa"/>
            <w:shd w:val="clear" w:color="auto" w:fill="auto"/>
            <w:noWrap w:val="0"/>
            <w:vAlign w:val="center"/>
          </w:tcPr>
          <w:p w14:paraId="0905F6EF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超出10公里后，每增加1公里</w:t>
            </w:r>
          </w:p>
        </w:tc>
        <w:tc>
          <w:tcPr>
            <w:tcW w:w="1961" w:type="dxa"/>
            <w:noWrap w:val="0"/>
            <w:vAlign w:val="center"/>
          </w:tcPr>
          <w:p w14:paraId="08B25DC4">
            <w:pPr>
              <w:spacing w:line="400" w:lineRule="exact"/>
              <w:jc w:val="righ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 元/吨.公里</w:t>
            </w:r>
          </w:p>
        </w:tc>
      </w:tr>
      <w:tr w14:paraId="182D2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67" w:type="dxa"/>
            <w:vMerge w:val="continue"/>
            <w:noWrap w:val="0"/>
            <w:vAlign w:val="center"/>
          </w:tcPr>
          <w:p w14:paraId="5A35FAFA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1" w:type="dxa"/>
            <w:vMerge w:val="continue"/>
            <w:shd w:val="clear" w:color="auto" w:fill="auto"/>
            <w:noWrap w:val="0"/>
            <w:vAlign w:val="center"/>
          </w:tcPr>
          <w:p w14:paraId="3186CD12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32" w:rightChars="0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3" w:type="dxa"/>
            <w:vMerge w:val="continue"/>
            <w:noWrap w:val="0"/>
            <w:vAlign w:val="center"/>
          </w:tcPr>
          <w:p w14:paraId="0013D2DF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55" w:type="dxa"/>
            <w:shd w:val="clear" w:color="auto" w:fill="auto"/>
            <w:noWrap w:val="0"/>
            <w:vAlign w:val="center"/>
          </w:tcPr>
          <w:p w14:paraId="5BFB87E9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超出50公里后，每增加1公里</w:t>
            </w:r>
          </w:p>
        </w:tc>
        <w:tc>
          <w:tcPr>
            <w:tcW w:w="1961" w:type="dxa"/>
            <w:noWrap w:val="0"/>
            <w:vAlign w:val="center"/>
          </w:tcPr>
          <w:p w14:paraId="2911AC6E">
            <w:pPr>
              <w:spacing w:line="400" w:lineRule="exact"/>
              <w:jc w:val="righ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 元/吨.公里</w:t>
            </w:r>
          </w:p>
        </w:tc>
      </w:tr>
      <w:tr w14:paraId="75198E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67" w:type="dxa"/>
            <w:vMerge w:val="restart"/>
            <w:shd w:val="clear" w:color="auto" w:fill="auto"/>
            <w:noWrap w:val="0"/>
            <w:vAlign w:val="center"/>
          </w:tcPr>
          <w:p w14:paraId="1532C880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601" w:type="dxa"/>
            <w:vMerge w:val="continue"/>
            <w:shd w:val="clear" w:color="auto" w:fill="auto"/>
            <w:noWrap w:val="0"/>
            <w:vAlign w:val="center"/>
          </w:tcPr>
          <w:p w14:paraId="12997775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3" w:type="dxa"/>
            <w:vMerge w:val="restart"/>
            <w:shd w:val="clear" w:color="auto" w:fill="auto"/>
            <w:noWrap w:val="0"/>
            <w:vAlign w:val="center"/>
          </w:tcPr>
          <w:p w14:paraId="7443622E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 w:rightChars="0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集装箱运输</w:t>
            </w:r>
          </w:p>
          <w:p w14:paraId="5E62AAE8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 w:rightChars="0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（20GP自卸）</w:t>
            </w:r>
          </w:p>
          <w:p w14:paraId="6D42EF01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 w:rightChars="0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（返程不计价）</w:t>
            </w:r>
          </w:p>
        </w:tc>
        <w:tc>
          <w:tcPr>
            <w:tcW w:w="3155" w:type="dxa"/>
            <w:shd w:val="clear" w:color="auto" w:fill="auto"/>
            <w:noWrap w:val="0"/>
            <w:vAlign w:val="center"/>
          </w:tcPr>
          <w:p w14:paraId="3DE04BB8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10公里内（含10公里）起步价</w:t>
            </w:r>
          </w:p>
        </w:tc>
        <w:tc>
          <w:tcPr>
            <w:tcW w:w="1961" w:type="dxa"/>
            <w:shd w:val="clear" w:color="auto" w:fill="auto"/>
            <w:noWrap w:val="0"/>
            <w:vAlign w:val="center"/>
          </w:tcPr>
          <w:p w14:paraId="006344CF">
            <w:pPr>
              <w:spacing w:line="400" w:lineRule="exact"/>
              <w:jc w:val="righ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元/吨.趟</w:t>
            </w:r>
          </w:p>
        </w:tc>
      </w:tr>
      <w:tr w14:paraId="3D2570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67" w:type="dxa"/>
            <w:vMerge w:val="continue"/>
            <w:shd w:val="clear" w:color="auto" w:fill="auto"/>
            <w:noWrap w:val="0"/>
            <w:vAlign w:val="center"/>
          </w:tcPr>
          <w:p w14:paraId="75137463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1" w:type="dxa"/>
            <w:vMerge w:val="continue"/>
            <w:shd w:val="clear" w:color="auto" w:fill="auto"/>
            <w:noWrap w:val="0"/>
            <w:vAlign w:val="center"/>
          </w:tcPr>
          <w:p w14:paraId="491ACD55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3" w:type="dxa"/>
            <w:vMerge w:val="continue"/>
            <w:shd w:val="clear" w:color="auto" w:fill="auto"/>
            <w:noWrap w:val="0"/>
            <w:vAlign w:val="center"/>
          </w:tcPr>
          <w:p w14:paraId="240D086A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 w:rightChars="0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55" w:type="dxa"/>
            <w:shd w:val="clear" w:color="auto" w:fill="auto"/>
            <w:noWrap w:val="0"/>
            <w:vAlign w:val="center"/>
          </w:tcPr>
          <w:p w14:paraId="6822E74E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超出10公里后，每增加1公里</w:t>
            </w:r>
          </w:p>
        </w:tc>
        <w:tc>
          <w:tcPr>
            <w:tcW w:w="1961" w:type="dxa"/>
            <w:shd w:val="clear" w:color="auto" w:fill="auto"/>
            <w:noWrap w:val="0"/>
            <w:vAlign w:val="center"/>
          </w:tcPr>
          <w:p w14:paraId="7963098E">
            <w:pPr>
              <w:spacing w:line="400" w:lineRule="exact"/>
              <w:jc w:val="righ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元/吨.趟</w:t>
            </w:r>
          </w:p>
        </w:tc>
      </w:tr>
      <w:tr w14:paraId="443E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67" w:type="dxa"/>
            <w:vMerge w:val="continue"/>
            <w:shd w:val="clear" w:color="auto" w:fill="auto"/>
            <w:noWrap w:val="0"/>
            <w:vAlign w:val="center"/>
          </w:tcPr>
          <w:p w14:paraId="5270170E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1" w:type="dxa"/>
            <w:vMerge w:val="continue"/>
            <w:shd w:val="clear" w:color="auto" w:fill="auto"/>
            <w:noWrap w:val="0"/>
            <w:vAlign w:val="center"/>
          </w:tcPr>
          <w:p w14:paraId="3BEB73E1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3" w:type="dxa"/>
            <w:vMerge w:val="continue"/>
            <w:shd w:val="clear" w:color="auto" w:fill="auto"/>
            <w:noWrap w:val="0"/>
            <w:vAlign w:val="center"/>
          </w:tcPr>
          <w:p w14:paraId="585D19D1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 w:rightChars="0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55" w:type="dxa"/>
            <w:shd w:val="clear" w:color="auto" w:fill="auto"/>
            <w:noWrap w:val="0"/>
            <w:vAlign w:val="center"/>
          </w:tcPr>
          <w:p w14:paraId="7713646F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超出50公里后，每增加1公里</w:t>
            </w:r>
          </w:p>
        </w:tc>
        <w:tc>
          <w:tcPr>
            <w:tcW w:w="1961" w:type="dxa"/>
            <w:shd w:val="clear" w:color="auto" w:fill="auto"/>
            <w:noWrap w:val="0"/>
            <w:vAlign w:val="center"/>
          </w:tcPr>
          <w:p w14:paraId="1889FB1C">
            <w:pPr>
              <w:spacing w:line="400" w:lineRule="exact"/>
              <w:jc w:val="righ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元/吨.趟</w:t>
            </w:r>
          </w:p>
        </w:tc>
      </w:tr>
    </w:tbl>
    <w:p w14:paraId="2A9911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  <w:szCs w:val="24"/>
          <w:lang w:val="en-US" w:eastAsia="zh-CN"/>
        </w:rPr>
      </w:pPr>
    </w:p>
    <w:tbl>
      <w:tblPr>
        <w:tblStyle w:val="29"/>
        <w:tblpPr w:leftFromText="180" w:rightFromText="180" w:vertAnchor="text" w:horzAnchor="page" w:tblpX="1184" w:tblpY="117"/>
        <w:tblOverlap w:val="never"/>
        <w:tblW w:w="940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7"/>
        <w:gridCol w:w="1601"/>
        <w:gridCol w:w="2023"/>
        <w:gridCol w:w="3155"/>
        <w:gridCol w:w="1961"/>
      </w:tblGrid>
      <w:tr w14:paraId="29B45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67" w:type="dxa"/>
            <w:noWrap w:val="0"/>
            <w:vAlign w:val="center"/>
          </w:tcPr>
          <w:p w14:paraId="3BF55EA7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120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601" w:type="dxa"/>
            <w:shd w:val="clear" w:color="auto" w:fill="auto"/>
            <w:noWrap w:val="0"/>
            <w:vAlign w:val="center"/>
          </w:tcPr>
          <w:p w14:paraId="48041C6F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服务项目</w:t>
            </w:r>
          </w:p>
        </w:tc>
        <w:tc>
          <w:tcPr>
            <w:tcW w:w="2023" w:type="dxa"/>
            <w:noWrap w:val="0"/>
            <w:vAlign w:val="center"/>
          </w:tcPr>
          <w:p w14:paraId="5B34CA46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设备名称</w:t>
            </w:r>
          </w:p>
        </w:tc>
        <w:tc>
          <w:tcPr>
            <w:tcW w:w="3155" w:type="dxa"/>
            <w:noWrap w:val="0"/>
            <w:vAlign w:val="center"/>
          </w:tcPr>
          <w:p w14:paraId="15B5FDD4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载货距离段</w:t>
            </w:r>
          </w:p>
        </w:tc>
        <w:tc>
          <w:tcPr>
            <w:tcW w:w="1961" w:type="dxa"/>
            <w:noWrap w:val="0"/>
            <w:vAlign w:val="center"/>
          </w:tcPr>
          <w:p w14:paraId="00143D4E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投标报价</w:t>
            </w:r>
          </w:p>
        </w:tc>
      </w:tr>
      <w:tr w14:paraId="13FC3E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67" w:type="dxa"/>
            <w:vMerge w:val="restart"/>
            <w:noWrap w:val="0"/>
            <w:vAlign w:val="center"/>
          </w:tcPr>
          <w:p w14:paraId="0A4BB2DF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601" w:type="dxa"/>
            <w:vMerge w:val="restart"/>
            <w:shd w:val="clear" w:color="auto" w:fill="auto"/>
            <w:noWrap w:val="0"/>
            <w:vAlign w:val="center"/>
          </w:tcPr>
          <w:p w14:paraId="3F0D60FF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  <w:t>件杂货运输</w:t>
            </w:r>
          </w:p>
          <w:p w14:paraId="00008A8D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  <w:t>（钢材、吨袋包装等）</w:t>
            </w:r>
          </w:p>
        </w:tc>
        <w:tc>
          <w:tcPr>
            <w:tcW w:w="2023" w:type="dxa"/>
            <w:vMerge w:val="restart"/>
            <w:noWrap w:val="0"/>
            <w:vAlign w:val="center"/>
          </w:tcPr>
          <w:p w14:paraId="0DA2588F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重型平板半挂车</w:t>
            </w:r>
          </w:p>
        </w:tc>
        <w:tc>
          <w:tcPr>
            <w:tcW w:w="3155" w:type="dxa"/>
            <w:shd w:val="clear" w:color="auto" w:fill="auto"/>
            <w:noWrap w:val="0"/>
            <w:vAlign w:val="center"/>
          </w:tcPr>
          <w:p w14:paraId="0D715CDB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10公里内（含10公里）起步价</w:t>
            </w:r>
          </w:p>
        </w:tc>
        <w:tc>
          <w:tcPr>
            <w:tcW w:w="1961" w:type="dxa"/>
            <w:noWrap w:val="0"/>
            <w:vAlign w:val="center"/>
          </w:tcPr>
          <w:p w14:paraId="5B1D6E65">
            <w:pPr>
              <w:spacing w:line="400" w:lineRule="exact"/>
              <w:jc w:val="righ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元/吨.公里</w:t>
            </w:r>
          </w:p>
        </w:tc>
      </w:tr>
      <w:tr w14:paraId="025687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67" w:type="dxa"/>
            <w:vMerge w:val="continue"/>
            <w:noWrap w:val="0"/>
            <w:vAlign w:val="center"/>
          </w:tcPr>
          <w:p w14:paraId="4BAD6EF0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1" w:type="dxa"/>
            <w:vMerge w:val="continue"/>
            <w:shd w:val="clear" w:color="auto" w:fill="auto"/>
            <w:noWrap w:val="0"/>
            <w:vAlign w:val="center"/>
          </w:tcPr>
          <w:p w14:paraId="07D86A4D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3" w:type="dxa"/>
            <w:vMerge w:val="continue"/>
            <w:noWrap w:val="0"/>
            <w:vAlign w:val="center"/>
          </w:tcPr>
          <w:p w14:paraId="14F97BD3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55" w:type="dxa"/>
            <w:shd w:val="clear" w:color="auto" w:fill="auto"/>
            <w:noWrap w:val="0"/>
            <w:vAlign w:val="center"/>
          </w:tcPr>
          <w:p w14:paraId="57F58A19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超出10公里后，每增加1公里</w:t>
            </w:r>
          </w:p>
        </w:tc>
        <w:tc>
          <w:tcPr>
            <w:tcW w:w="1961" w:type="dxa"/>
            <w:noWrap w:val="0"/>
            <w:vAlign w:val="center"/>
          </w:tcPr>
          <w:p w14:paraId="0D2932AA">
            <w:pPr>
              <w:spacing w:line="400" w:lineRule="exact"/>
              <w:jc w:val="righ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 元/吨.公里</w:t>
            </w:r>
          </w:p>
        </w:tc>
      </w:tr>
      <w:tr w14:paraId="6C285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67" w:type="dxa"/>
            <w:vMerge w:val="continue"/>
            <w:noWrap w:val="0"/>
            <w:vAlign w:val="center"/>
          </w:tcPr>
          <w:p w14:paraId="4D6D538F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1" w:type="dxa"/>
            <w:vMerge w:val="continue"/>
            <w:shd w:val="clear" w:color="auto" w:fill="auto"/>
            <w:noWrap w:val="0"/>
            <w:vAlign w:val="center"/>
          </w:tcPr>
          <w:p w14:paraId="3F4ECE3D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32" w:rightChars="0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3" w:type="dxa"/>
            <w:vMerge w:val="continue"/>
            <w:noWrap w:val="0"/>
            <w:vAlign w:val="center"/>
          </w:tcPr>
          <w:p w14:paraId="2938F5EF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55" w:type="dxa"/>
            <w:shd w:val="clear" w:color="auto" w:fill="auto"/>
            <w:noWrap w:val="0"/>
            <w:vAlign w:val="center"/>
          </w:tcPr>
          <w:p w14:paraId="6105D772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超出50公里后，每增加1公里</w:t>
            </w:r>
          </w:p>
        </w:tc>
        <w:tc>
          <w:tcPr>
            <w:tcW w:w="1961" w:type="dxa"/>
            <w:noWrap w:val="0"/>
            <w:vAlign w:val="center"/>
          </w:tcPr>
          <w:p w14:paraId="187979CC">
            <w:pPr>
              <w:spacing w:line="400" w:lineRule="exact"/>
              <w:jc w:val="righ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 元/吨.公里</w:t>
            </w:r>
          </w:p>
        </w:tc>
      </w:tr>
      <w:tr w14:paraId="73AE5C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67" w:type="dxa"/>
            <w:vMerge w:val="restart"/>
            <w:shd w:val="clear" w:color="auto" w:fill="auto"/>
            <w:noWrap w:val="0"/>
            <w:vAlign w:val="center"/>
          </w:tcPr>
          <w:p w14:paraId="1F2B4B8C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601" w:type="dxa"/>
            <w:vMerge w:val="continue"/>
            <w:shd w:val="clear" w:color="auto" w:fill="auto"/>
            <w:noWrap w:val="0"/>
            <w:vAlign w:val="center"/>
          </w:tcPr>
          <w:p w14:paraId="4B6B39F2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3" w:type="dxa"/>
            <w:vMerge w:val="restart"/>
            <w:shd w:val="clear" w:color="auto" w:fill="auto"/>
            <w:noWrap w:val="0"/>
            <w:vAlign w:val="center"/>
          </w:tcPr>
          <w:p w14:paraId="7B2FBC7C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 w:rightChars="0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集装箱运输</w:t>
            </w:r>
          </w:p>
          <w:p w14:paraId="2AA0DFA8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 w:rightChars="0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（返程不计价）</w:t>
            </w:r>
          </w:p>
        </w:tc>
        <w:tc>
          <w:tcPr>
            <w:tcW w:w="3155" w:type="dxa"/>
            <w:shd w:val="clear" w:color="auto" w:fill="auto"/>
            <w:noWrap w:val="0"/>
            <w:vAlign w:val="center"/>
          </w:tcPr>
          <w:p w14:paraId="11BAABB6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10公里内（含10公里）起步价</w:t>
            </w:r>
          </w:p>
        </w:tc>
        <w:tc>
          <w:tcPr>
            <w:tcW w:w="1961" w:type="dxa"/>
            <w:shd w:val="clear" w:color="auto" w:fill="auto"/>
            <w:noWrap w:val="0"/>
            <w:vAlign w:val="center"/>
          </w:tcPr>
          <w:p w14:paraId="0BA5A569">
            <w:pPr>
              <w:spacing w:line="400" w:lineRule="exact"/>
              <w:jc w:val="righ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元/吨.趟</w:t>
            </w:r>
          </w:p>
        </w:tc>
      </w:tr>
      <w:tr w14:paraId="58E7B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67" w:type="dxa"/>
            <w:vMerge w:val="continue"/>
            <w:shd w:val="clear" w:color="auto" w:fill="auto"/>
            <w:noWrap w:val="0"/>
            <w:vAlign w:val="center"/>
          </w:tcPr>
          <w:p w14:paraId="15246DF4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1" w:type="dxa"/>
            <w:vMerge w:val="continue"/>
            <w:shd w:val="clear" w:color="auto" w:fill="auto"/>
            <w:noWrap w:val="0"/>
            <w:vAlign w:val="center"/>
          </w:tcPr>
          <w:p w14:paraId="40EB3AB8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3" w:type="dxa"/>
            <w:vMerge w:val="continue"/>
            <w:shd w:val="clear" w:color="auto" w:fill="auto"/>
            <w:noWrap w:val="0"/>
            <w:vAlign w:val="center"/>
          </w:tcPr>
          <w:p w14:paraId="57C06768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 w:rightChars="0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55" w:type="dxa"/>
            <w:shd w:val="clear" w:color="auto" w:fill="auto"/>
            <w:noWrap w:val="0"/>
            <w:vAlign w:val="center"/>
          </w:tcPr>
          <w:p w14:paraId="67552E08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超出10公里后，每增加1公里</w:t>
            </w:r>
          </w:p>
        </w:tc>
        <w:tc>
          <w:tcPr>
            <w:tcW w:w="1961" w:type="dxa"/>
            <w:shd w:val="clear" w:color="auto" w:fill="auto"/>
            <w:noWrap w:val="0"/>
            <w:vAlign w:val="center"/>
          </w:tcPr>
          <w:p w14:paraId="37029AA7">
            <w:pPr>
              <w:spacing w:line="400" w:lineRule="exact"/>
              <w:jc w:val="righ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元/吨.趟</w:t>
            </w:r>
          </w:p>
        </w:tc>
      </w:tr>
      <w:tr w14:paraId="38BCE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667" w:type="dxa"/>
            <w:vMerge w:val="continue"/>
            <w:shd w:val="clear" w:color="auto" w:fill="auto"/>
            <w:noWrap w:val="0"/>
            <w:vAlign w:val="center"/>
          </w:tcPr>
          <w:p w14:paraId="0358D858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01" w:type="dxa"/>
            <w:vMerge w:val="continue"/>
            <w:shd w:val="clear" w:color="auto" w:fill="auto"/>
            <w:noWrap w:val="0"/>
            <w:vAlign w:val="center"/>
          </w:tcPr>
          <w:p w14:paraId="4A2E4E32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3" w:type="dxa"/>
            <w:vMerge w:val="continue"/>
            <w:shd w:val="clear" w:color="auto" w:fill="auto"/>
            <w:noWrap w:val="0"/>
            <w:vAlign w:val="center"/>
          </w:tcPr>
          <w:p w14:paraId="2F14C68B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right="104" w:rightChars="0"/>
              <w:jc w:val="center"/>
              <w:textAlignment w:val="baseline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155" w:type="dxa"/>
            <w:shd w:val="clear" w:color="auto" w:fill="auto"/>
            <w:noWrap w:val="0"/>
            <w:vAlign w:val="center"/>
          </w:tcPr>
          <w:p w14:paraId="06DE7078">
            <w:pPr>
              <w:pStyle w:val="2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left"/>
              <w:textAlignment w:val="baseline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超出50公里后，每增加1公里</w:t>
            </w:r>
          </w:p>
        </w:tc>
        <w:tc>
          <w:tcPr>
            <w:tcW w:w="1961" w:type="dxa"/>
            <w:shd w:val="clear" w:color="auto" w:fill="auto"/>
            <w:noWrap w:val="0"/>
            <w:vAlign w:val="center"/>
          </w:tcPr>
          <w:p w14:paraId="0D878903">
            <w:pPr>
              <w:spacing w:line="400" w:lineRule="exact"/>
              <w:jc w:val="righ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元/吨.趟</w:t>
            </w:r>
          </w:p>
        </w:tc>
      </w:tr>
    </w:tbl>
    <w:p w14:paraId="5FC374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24"/>
          <w:szCs w:val="24"/>
          <w:lang w:val="en-US" w:eastAsia="zh-CN"/>
        </w:rPr>
        <w:t>备注：</w:t>
      </w:r>
      <w:bookmarkStart w:id="0" w:name="_GoBack"/>
      <w:bookmarkEnd w:id="0"/>
    </w:p>
    <w:p w14:paraId="48BF65F9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kern w:val="0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24"/>
          <w:szCs w:val="24"/>
          <w:lang w:val="en-US" w:eastAsia="zh-CN"/>
        </w:rPr>
        <w:t>本采购项目属交钥匙工程项目，本项目的投标报价应包括提供道路运输服务所需的一切人员工资、奖金、各种加班费、房租、劳保福利、社保、意外保险、税金、利润、工伤费、教育培训费、居住费及处理一切伤亡事故等费用、车辆等设备费用、设备设施维修保养费、车辆保险费、车辆油品费、安全文明生产装备费等完成招标内容的一切费用。</w:t>
      </w:r>
    </w:p>
    <w:p w14:paraId="35087CFE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default" w:ascii="方正仿宋_GB2312" w:hAnsi="方正仿宋_GB2312" w:eastAsia="方正仿宋_GB2312" w:cs="方正仿宋_GB2312"/>
          <w:kern w:val="0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24"/>
          <w:szCs w:val="24"/>
          <w:lang w:val="en-US" w:eastAsia="zh-CN"/>
        </w:rPr>
        <w:t>暂估煤炭50万吨，水泥50万吨，卷钢50万吨，采购人不保证具体业务量，请投标单位自行考虑相关费用成本等风险因素</w:t>
      </w:r>
      <w:r>
        <w:rPr>
          <w:rFonts w:hint="default" w:ascii="方正仿宋_GB2312" w:hAnsi="方正仿宋_GB2312" w:eastAsia="方正仿宋_GB2312" w:cs="方正仿宋_GB2312"/>
          <w:kern w:val="0"/>
          <w:sz w:val="24"/>
          <w:szCs w:val="24"/>
          <w:lang w:val="en-US" w:eastAsia="zh-CN"/>
        </w:rPr>
        <w:t>。</w:t>
      </w:r>
    </w:p>
    <w:p w14:paraId="3077E92F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default" w:ascii="方正仿宋_GB2312" w:hAnsi="方正仿宋_GB2312" w:eastAsia="方正仿宋_GB2312" w:cs="方正仿宋_GB2312"/>
          <w:kern w:val="0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24"/>
          <w:szCs w:val="24"/>
          <w:lang w:val="en-US" w:eastAsia="zh-CN"/>
        </w:rPr>
        <w:t>投标人在此基础上可对本项目的需求进行优化，优化方案附后。</w:t>
      </w:r>
    </w:p>
    <w:sectPr>
      <w:headerReference r:id="rId3" w:type="default"/>
      <w:footerReference r:id="rId4" w:type="default"/>
      <w:pgSz w:w="11906" w:h="16838"/>
      <w:pgMar w:top="1440" w:right="1486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98B88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F3123">
    <w:pPr>
      <w:pStyle w:val="8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1852E5"/>
    <w:multiLevelType w:val="singleLevel"/>
    <w:tmpl w:val="961852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9803115"/>
    <w:multiLevelType w:val="multilevel"/>
    <w:tmpl w:val="69803115"/>
    <w:lvl w:ilvl="0" w:tentative="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81D52"/>
    <w:rsid w:val="0B6B7483"/>
    <w:rsid w:val="137B255A"/>
    <w:rsid w:val="24104128"/>
    <w:rsid w:val="2AAD2243"/>
    <w:rsid w:val="2AF97B0C"/>
    <w:rsid w:val="2AFF3429"/>
    <w:rsid w:val="2ED643C8"/>
    <w:rsid w:val="331C0118"/>
    <w:rsid w:val="38DB1585"/>
    <w:rsid w:val="3AD92777"/>
    <w:rsid w:val="3C823ED2"/>
    <w:rsid w:val="3EF04F5D"/>
    <w:rsid w:val="473E3532"/>
    <w:rsid w:val="48A24A10"/>
    <w:rsid w:val="56894C59"/>
    <w:rsid w:val="6CFE2D5E"/>
    <w:rsid w:val="73C81E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autoSpaceDE w:val="0"/>
      <w:autoSpaceDN w:val="0"/>
      <w:spacing w:line="360" w:lineRule="auto"/>
    </w:pPr>
    <w:rPr>
      <w:rFonts w:ascii="宋体" w:hAnsi="Arial" w:cs="Arial"/>
      <w:snapToGrid w:val="0"/>
      <w:sz w:val="24"/>
      <w:szCs w:val="21"/>
      <w:lang w:val="zh-CN"/>
    </w:rPr>
  </w:style>
  <w:style w:type="paragraph" w:styleId="5">
    <w:name w:val="Body Text First Indent"/>
    <w:basedOn w:val="4"/>
    <w:next w:val="1"/>
    <w:qFormat/>
    <w:uiPriority w:val="0"/>
    <w:pPr>
      <w:ind w:firstLine="420"/>
    </w:pPr>
    <w:rPr>
      <w:rFonts w:hAnsi="Calibri" w:cs="Times New Roman"/>
      <w:snapToGrid/>
      <w:szCs w:val="20"/>
    </w:rPr>
  </w:style>
  <w:style w:type="paragraph" w:styleId="6">
    <w:name w:val="Plain Text"/>
    <w:basedOn w:val="1"/>
    <w:next w:val="1"/>
    <w:unhideWhenUsed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FollowedHyperlink"/>
    <w:basedOn w:val="12"/>
    <w:qFormat/>
    <w:uiPriority w:val="0"/>
    <w:rPr>
      <w:rFonts w:hint="eastAsia" w:ascii="微软雅黑" w:hAnsi="微软雅黑" w:eastAsia="微软雅黑" w:cs="微软雅黑"/>
      <w:color w:val="02396F"/>
      <w:u w:val="single"/>
    </w:rPr>
  </w:style>
  <w:style w:type="character" w:styleId="15">
    <w:name w:val="Hyperlink"/>
    <w:basedOn w:val="12"/>
    <w:qFormat/>
    <w:uiPriority w:val="0"/>
    <w:rPr>
      <w:rFonts w:hint="eastAsia" w:ascii="微软雅黑" w:hAnsi="微软雅黑" w:eastAsia="微软雅黑" w:cs="微软雅黑"/>
      <w:color w:val="02396F"/>
      <w:u w:val="single"/>
    </w:rPr>
  </w:style>
  <w:style w:type="character" w:customStyle="1" w:styleId="16">
    <w:name w:val="displayarti"/>
    <w:basedOn w:val="12"/>
    <w:qFormat/>
    <w:uiPriority w:val="0"/>
    <w:rPr>
      <w:color w:val="FFFFFF"/>
      <w:shd w:val="clear" w:fill="A00000"/>
    </w:rPr>
  </w:style>
  <w:style w:type="paragraph" w:customStyle="1" w:styleId="17">
    <w:name w:val="tc"/>
    <w:basedOn w:val="1"/>
    <w:qFormat/>
    <w:uiPriority w:val="0"/>
    <w:pPr>
      <w:jc w:val="center"/>
    </w:pPr>
    <w:rPr>
      <w:kern w:val="0"/>
      <w:lang w:val="en-US" w:eastAsia="zh-CN" w:bidi="ar"/>
    </w:rPr>
  </w:style>
  <w:style w:type="character" w:customStyle="1" w:styleId="18">
    <w:name w:val="redfilefwwh"/>
    <w:basedOn w:val="12"/>
    <w:qFormat/>
    <w:uiPriority w:val="0"/>
    <w:rPr>
      <w:color w:val="BA2636"/>
      <w:sz w:val="12"/>
      <w:szCs w:val="12"/>
    </w:rPr>
  </w:style>
  <w:style w:type="character" w:customStyle="1" w:styleId="19">
    <w:name w:val="redfilenumber"/>
    <w:basedOn w:val="12"/>
    <w:qFormat/>
    <w:uiPriority w:val="0"/>
    <w:rPr>
      <w:color w:val="BA2636"/>
      <w:sz w:val="12"/>
      <w:szCs w:val="12"/>
    </w:rPr>
  </w:style>
  <w:style w:type="character" w:customStyle="1" w:styleId="20">
    <w:name w:val="gjfg"/>
    <w:basedOn w:val="12"/>
    <w:qFormat/>
    <w:uiPriority w:val="0"/>
  </w:style>
  <w:style w:type="character" w:customStyle="1" w:styleId="21">
    <w:name w:val="cfdate"/>
    <w:basedOn w:val="12"/>
    <w:qFormat/>
    <w:uiPriority w:val="0"/>
    <w:rPr>
      <w:color w:val="333333"/>
      <w:sz w:val="12"/>
      <w:szCs w:val="12"/>
    </w:rPr>
  </w:style>
  <w:style w:type="character" w:customStyle="1" w:styleId="22">
    <w:name w:val="qxdate"/>
    <w:basedOn w:val="12"/>
    <w:qFormat/>
    <w:uiPriority w:val="0"/>
    <w:rPr>
      <w:color w:val="333333"/>
      <w:sz w:val="12"/>
      <w:szCs w:val="12"/>
    </w:rPr>
  </w:style>
  <w:style w:type="character" w:customStyle="1" w:styleId="23">
    <w:name w:val="next"/>
    <w:basedOn w:val="12"/>
    <w:qFormat/>
    <w:uiPriority w:val="0"/>
    <w:rPr>
      <w:rFonts w:ascii="微软雅黑" w:hAnsi="微软雅黑" w:eastAsia="微软雅黑" w:cs="微软雅黑"/>
      <w:sz w:val="14"/>
      <w:szCs w:val="14"/>
    </w:rPr>
  </w:style>
  <w:style w:type="character" w:customStyle="1" w:styleId="24">
    <w:name w:val="next1"/>
    <w:basedOn w:val="12"/>
    <w:qFormat/>
    <w:uiPriority w:val="0"/>
    <w:rPr>
      <w:color w:val="888888"/>
    </w:rPr>
  </w:style>
  <w:style w:type="character" w:customStyle="1" w:styleId="25">
    <w:name w:val="prev"/>
    <w:basedOn w:val="12"/>
    <w:qFormat/>
    <w:uiPriority w:val="0"/>
    <w:rPr>
      <w:rFonts w:hint="eastAsia" w:ascii="微软雅黑" w:hAnsi="微软雅黑" w:eastAsia="微软雅黑" w:cs="微软雅黑"/>
      <w:sz w:val="14"/>
      <w:szCs w:val="14"/>
    </w:rPr>
  </w:style>
  <w:style w:type="character" w:customStyle="1" w:styleId="26">
    <w:name w:val="prev1"/>
    <w:basedOn w:val="12"/>
    <w:qFormat/>
    <w:uiPriority w:val="0"/>
    <w:rPr>
      <w:color w:val="888888"/>
    </w:rPr>
  </w:style>
  <w:style w:type="paragraph" w:styleId="27">
    <w:name w:val="List Paragraph"/>
    <w:basedOn w:val="1"/>
    <w:qFormat/>
    <w:uiPriority w:val="34"/>
    <w:pPr>
      <w:ind w:firstLine="420" w:firstLineChars="200"/>
    </w:p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2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617</Words>
  <Characters>636</Characters>
  <Lines>0</Lines>
  <Paragraphs>0</Paragraphs>
  <TotalTime>23</TotalTime>
  <ScaleCrop>false</ScaleCrop>
  <LinksUpToDate>false</LinksUpToDate>
  <CharactersWithSpaces>640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2021-02-23T08:07:00Z</dcterms:created>
  <dc:creator>lenovo</dc:creator>
  <cp:lastModifiedBy>Mei &amp; G</cp:lastModifiedBy>
  <cp:lastPrinted>2025-07-11T02:30:00Z</cp:lastPrinted>
  <dcterms:modified xsi:type="dcterms:W3CDTF">2025-07-25T23:04:57Z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eyJoZGlkIjoiNWFjZTk1ODdlYzAzN2I4YmM3MjkwYmM1YTc1MmU1YTQiLCJ1c2VySWQiOiI0Mjk3ODIwODYifQ==</vt:lpwstr>
  </property>
  <property fmtid="{D5CDD505-2E9C-101B-9397-08002B2CF9AE}" pid="4" name="ICV">
    <vt:lpwstr>8C9E0BDCC5414003A831D49602C8A2A7_13</vt:lpwstr>
  </property>
</Properties>
</file>