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D4886">
      <w:pPr>
        <w:pStyle w:val="2"/>
        <w:bidi w:val="0"/>
      </w:pPr>
      <w:bookmarkStart w:id="0" w:name="_GoBack"/>
      <w:r>
        <w:rPr>
          <w:rFonts w:hint="eastAsia"/>
        </w:rPr>
        <w:t>一、项目条件。本采购项目已经批准，具备采购条件，现对该项目进行网上公开询比价。</w:t>
      </w:r>
    </w:p>
    <w:p w14:paraId="473BBAED">
      <w:pPr>
        <w:pStyle w:val="2"/>
        <w:bidi w:val="0"/>
        <w:rPr>
          <w:rFonts w:hint="eastAsia"/>
        </w:rPr>
      </w:pPr>
      <w:r>
        <w:rPr>
          <w:rFonts w:hint="eastAsia"/>
        </w:rPr>
        <w:t>二、项目内容及要求</w:t>
      </w:r>
    </w:p>
    <w:p w14:paraId="560E3D1B">
      <w:pPr>
        <w:pStyle w:val="2"/>
        <w:bidi w:val="0"/>
        <w:rPr>
          <w:rFonts w:hint="eastAsia"/>
        </w:rPr>
      </w:pPr>
      <w:r>
        <w:rPr>
          <w:rFonts w:hint="eastAsia"/>
        </w:rPr>
        <w:t>1、项目名称。中国平煤神马控股集团有限公司铁路运输处2025年8月5日采购项目 （采购编号：FCXJ2025071610）。</w:t>
      </w:r>
    </w:p>
    <w:p w14:paraId="3EAFBE53">
      <w:pPr>
        <w:pStyle w:val="2"/>
        <w:bidi w:val="0"/>
        <w:rPr>
          <w:rFonts w:hint="eastAsia"/>
        </w:rPr>
      </w:pPr>
      <w:r>
        <w:rPr>
          <w:rFonts w:hint="eastAsia"/>
        </w:rPr>
        <w:t>2、供应商资格要求。本项目要求制造商,经销商,准入制造商,准入经销商参与比价，若新注册的供应商中选后需要在供应商管理科办理准入评审手续。若公告要求制造商的必须具有本项目产品的生产能力。</w:t>
      </w:r>
    </w:p>
    <w:p w14:paraId="2F4C8AE1">
      <w:pPr>
        <w:pStyle w:val="2"/>
        <w:bidi w:val="0"/>
        <w:rPr>
          <w:rFonts w:hint="eastAsia"/>
        </w:rPr>
      </w:pPr>
      <w:r>
        <w:rPr>
          <w:rFonts w:hint="eastAsia"/>
        </w:rPr>
        <w:t>3、采购数量（金额）。“行项目信息”中的数量仅作为参考，实际采购数量（金额）以月度订单需求为准。</w:t>
      </w:r>
    </w:p>
    <w:p w14:paraId="6D6CB01B">
      <w:pPr>
        <w:pStyle w:val="2"/>
        <w:bidi w:val="0"/>
        <w:rPr>
          <w:rFonts w:hint="eastAsia"/>
        </w:rPr>
      </w:pPr>
      <w:r>
        <w:rPr>
          <w:rFonts w:hint="eastAsia"/>
        </w:rPr>
        <w:t>4、主要技术参数。具体参数详见“行项目信息”要求, 物资均为车辆专用配件，供应商须按询比文件备注指定的使用单位实地沟通，查看样品并确保产品质量符合要求。若产品存在质量不达标、无法正常使用、产品不符合单位使用要求等情况，将不予验收，且退货处理。</w:t>
      </w:r>
    </w:p>
    <w:p w14:paraId="489D1DCE">
      <w:pPr>
        <w:pStyle w:val="2"/>
        <w:bidi w:val="0"/>
        <w:rPr>
          <w:rFonts w:hint="eastAsia"/>
        </w:rPr>
      </w:pPr>
      <w:r>
        <w:rPr>
          <w:rFonts w:hint="eastAsia"/>
        </w:rPr>
        <w:t>5、产品使用寿命。报价产品必须在满足正常性能情况下，使用寿命期为12月；若中选送货后在规定的使用寿命期限内，出现质量问题供货方负责调换。</w:t>
      </w:r>
    </w:p>
    <w:p w14:paraId="3F25067F">
      <w:pPr>
        <w:pStyle w:val="2"/>
        <w:bidi w:val="0"/>
        <w:rPr>
          <w:rFonts w:hint="eastAsia"/>
        </w:rPr>
      </w:pPr>
      <w:r>
        <w:rPr>
          <w:rFonts w:hint="eastAsia"/>
        </w:rPr>
        <w:t>6、报价要求。报价涵盖率要求达到100%。</w:t>
      </w:r>
      <w:r>
        <w:rPr>
          <w:rFonts w:hint="eastAsia"/>
        </w:rPr>
        <w:br w:type="textWrapping"/>
      </w:r>
      <w:r>
        <w:rPr>
          <w:rFonts w:hint="eastAsia"/>
        </w:rPr>
        <w:t>        主报价：剔税单价(元)Z：货到发票入账后第4个月付30%，第11个月付60%，第13个月付10%。执行集团代储代销的相关要求。</w:t>
      </w:r>
    </w:p>
    <w:p w14:paraId="5E6FE9C4">
      <w:pPr>
        <w:pStyle w:val="2"/>
        <w:bidi w:val="0"/>
        <w:rPr>
          <w:rFonts w:hint="eastAsia"/>
        </w:rPr>
      </w:pPr>
      <w:r>
        <w:rPr>
          <w:rFonts w:hint="eastAsia"/>
        </w:rPr>
        <w:t>7、供货周期要求。7天。</w:t>
      </w:r>
    </w:p>
    <w:p w14:paraId="34E13843">
      <w:pPr>
        <w:pStyle w:val="2"/>
        <w:bidi w:val="0"/>
        <w:rPr>
          <w:rFonts w:hint="eastAsia"/>
        </w:rPr>
      </w:pPr>
      <w:r>
        <w:rPr>
          <w:rFonts w:hint="eastAsia"/>
        </w:rPr>
        <w:t>三、中选原则。整包报价总金额最低供应商中选，单项品种价格不超控制价格。</w:t>
      </w:r>
    </w:p>
    <w:p w14:paraId="702B4A4D">
      <w:pPr>
        <w:pStyle w:val="2"/>
        <w:bidi w:val="0"/>
        <w:rPr>
          <w:rFonts w:hint="eastAsia"/>
        </w:rPr>
      </w:pPr>
      <w:r>
        <w:rPr>
          <w:rFonts w:hint="eastAsia"/>
        </w:rPr>
        <w:t>四、供应商要求。请供应商认真阅读供应商要求，参与报价的供应商，均视为已阅读同意以下内容要求，同意执行相关管理措施且无任何异议。</w:t>
      </w:r>
    </w:p>
    <w:p w14:paraId="67B21828">
      <w:pPr>
        <w:pStyle w:val="2"/>
        <w:bidi w:val="0"/>
        <w:rPr>
          <w:rFonts w:hint="eastAsia"/>
        </w:rPr>
      </w:pPr>
      <w:r>
        <w:rPr>
          <w:rFonts w:hint="eastAsia"/>
        </w:rPr>
        <w:t>履约保证金管理相关要求：</w:t>
      </w:r>
    </w:p>
    <w:p w14:paraId="13E7598C">
      <w:pPr>
        <w:pStyle w:val="2"/>
        <w:bidi w:val="0"/>
        <w:rPr>
          <w:rFonts w:hint="eastAsia"/>
        </w:rPr>
      </w:pPr>
      <w:r>
        <w:rPr>
          <w:rFonts w:hint="eastAsia"/>
        </w:rPr>
        <w:t>（一）保证金定义及适用范围</w:t>
      </w:r>
    </w:p>
    <w:p w14:paraId="2E128EDA">
      <w:pPr>
        <w:pStyle w:val="2"/>
        <w:bidi w:val="0"/>
        <w:rPr>
          <w:rFonts w:hint="eastAsia"/>
        </w:rPr>
      </w:pPr>
      <w:r>
        <w:rPr>
          <w:rFonts w:hint="eastAsia"/>
        </w:rPr>
        <w:t>1.履约保证金（以下简称“保证金”），是指招标采购中心（以下简称“中心”）在招标、询比价等采购及履约过程中，为防止中选供应商因违法违规、失信违约、降低产品质量、影响供应及时性等不当履约行为，损害采购人及使用单位合法权益而设置的预防性合同责任担保。</w:t>
      </w:r>
    </w:p>
    <w:p w14:paraId="04769227">
      <w:pPr>
        <w:pStyle w:val="2"/>
        <w:bidi w:val="0"/>
        <w:rPr>
          <w:rFonts w:hint="eastAsia"/>
        </w:rPr>
      </w:pPr>
      <w:r>
        <w:rPr>
          <w:rFonts w:hint="eastAsia"/>
        </w:rPr>
        <w:t>2.履约保证金管理相关要求适用于与中国平煤神马控股集团有限公司（以下简称“集团公司”）发生采购业务的供应商。履约保证金管理相关要求作为招标、询比价等采购文件发布的组成部分，是供应商与集团公司发生采购业务的前置承诺事项。履约保证金管理相关要求或集团公司另有规定的除外。</w:t>
      </w:r>
    </w:p>
    <w:p w14:paraId="4F6A53F9">
      <w:pPr>
        <w:pStyle w:val="2"/>
        <w:bidi w:val="0"/>
        <w:rPr>
          <w:rFonts w:hint="eastAsia"/>
        </w:rPr>
      </w:pPr>
      <w:r>
        <w:rPr>
          <w:rFonts w:hint="eastAsia"/>
        </w:rPr>
        <w:t>3.对于行业特殊企业的特殊采购业务，需减免收取的，由中心采购部门出具情况说明并进行审批备案。</w:t>
      </w:r>
    </w:p>
    <w:p w14:paraId="10A6F9D1">
      <w:pPr>
        <w:pStyle w:val="2"/>
        <w:bidi w:val="0"/>
        <w:rPr>
          <w:rFonts w:hint="eastAsia"/>
        </w:rPr>
      </w:pPr>
      <w:r>
        <w:rPr>
          <w:rFonts w:hint="eastAsia"/>
        </w:rPr>
        <w:t>（二）保证金管理及用途</w:t>
      </w:r>
    </w:p>
    <w:p w14:paraId="4D4A5D29">
      <w:pPr>
        <w:pStyle w:val="2"/>
        <w:bidi w:val="0"/>
        <w:rPr>
          <w:rFonts w:hint="eastAsia"/>
        </w:rPr>
      </w:pPr>
      <w:r>
        <w:rPr>
          <w:rFonts w:hint="eastAsia"/>
        </w:rPr>
        <w:t>1.中心对保证金的管理遵循“集中管理、专户专用、规范管理”原则，由中心财务部门分别设立履约招标保证金专户和履约询比价保证金专户，专户只接受供应商基本账户转入的保证金，不接受以个人名义交纳的保证金。中心财务部门对专户进行日常核算和监督管理。</w:t>
      </w:r>
    </w:p>
    <w:p w14:paraId="22CBC203">
      <w:pPr>
        <w:pStyle w:val="2"/>
        <w:bidi w:val="0"/>
        <w:rPr>
          <w:rFonts w:hint="eastAsia"/>
        </w:rPr>
      </w:pPr>
      <w:r>
        <w:rPr>
          <w:rFonts w:hint="eastAsia"/>
        </w:rPr>
        <w:t>2.当因供应商原因，出现中标、中选后不按约定签订合同的；无正当理由供应不及时的；弄虚作假、伪造资质证件及资料，虚假投标的；未执行集团采购流程，私自与基层厂矿联系送货、参与串换货物变通等各类失信违约情形时，中心通过扣收保证金并不予退还等措施追究违约责任，以保障供应商守法诚信全面履约，维护公平有序的供需营商环境。</w:t>
      </w:r>
    </w:p>
    <w:p w14:paraId="5113FE9E">
      <w:pPr>
        <w:pStyle w:val="2"/>
        <w:bidi w:val="0"/>
        <w:rPr>
          <w:rFonts w:hint="eastAsia"/>
        </w:rPr>
      </w:pPr>
      <w:r>
        <w:rPr>
          <w:rFonts w:hint="eastAsia"/>
        </w:rPr>
        <w:t>（三）保证金收取来源标准和方式</w:t>
      </w:r>
    </w:p>
    <w:p w14:paraId="3473AF75">
      <w:pPr>
        <w:pStyle w:val="2"/>
        <w:bidi w:val="0"/>
        <w:rPr>
          <w:rFonts w:hint="eastAsia"/>
        </w:rPr>
      </w:pPr>
      <w:r>
        <w:rPr>
          <w:rFonts w:hint="eastAsia"/>
        </w:rPr>
        <w:t>保证金收取比例标准根据采购物资的性质、规模、标的额度和风险程度进行评估制定。若发生较大变化时，中心可根据风险评估结果，对保证金收取比例标准进行调整。</w:t>
      </w:r>
    </w:p>
    <w:p w14:paraId="513FCBC1">
      <w:pPr>
        <w:pStyle w:val="2"/>
        <w:bidi w:val="0"/>
        <w:rPr>
          <w:rFonts w:hint="eastAsia"/>
        </w:rPr>
      </w:pPr>
      <w:r>
        <w:rPr>
          <w:rFonts w:hint="eastAsia"/>
        </w:rPr>
        <w:t>1.参与线上询比价成交的供应商，保证金原则上按每户5万元收取。</w:t>
      </w:r>
    </w:p>
    <w:p w14:paraId="19C9142C">
      <w:pPr>
        <w:pStyle w:val="2"/>
        <w:bidi w:val="0"/>
        <w:rPr>
          <w:rFonts w:hint="eastAsia"/>
        </w:rPr>
      </w:pPr>
      <w:r>
        <w:rPr>
          <w:rFonts w:hint="eastAsia"/>
        </w:rPr>
        <w:t>2.供应商应在合同签订前，按成交通知书的要求，向中心财务部门履约询比价保证金专户交纳保证金（无息）。逾期交纳或未足额交纳的，视为放弃成交资格，不得签订合同。</w:t>
      </w:r>
    </w:p>
    <w:p w14:paraId="1785B945">
      <w:pPr>
        <w:pStyle w:val="2"/>
        <w:bidi w:val="0"/>
        <w:rPr>
          <w:rFonts w:hint="eastAsia"/>
        </w:rPr>
      </w:pPr>
      <w:r>
        <w:rPr>
          <w:rFonts w:hint="eastAsia"/>
        </w:rPr>
        <w:t>3.供应商守法诚信全面履行合同，未出现失信违约行为且愿意继续开展业务的供应商，保证金可继续留存专户，不再重复交纳；供应商不再参加询比价采购业务的，可向采购部门提出保证金（无息）退还申请。</w:t>
      </w:r>
    </w:p>
    <w:p w14:paraId="441ACB9E">
      <w:pPr>
        <w:pStyle w:val="2"/>
        <w:bidi w:val="0"/>
        <w:rPr>
          <w:rFonts w:hint="eastAsia"/>
        </w:rPr>
      </w:pPr>
      <w:r>
        <w:rPr>
          <w:rFonts w:hint="eastAsia"/>
        </w:rPr>
        <w:t>（四）保证金违约扣收与补交</w:t>
      </w:r>
    </w:p>
    <w:p w14:paraId="0CC547D6">
      <w:pPr>
        <w:pStyle w:val="2"/>
        <w:bidi w:val="0"/>
        <w:rPr>
          <w:rFonts w:hint="eastAsia"/>
        </w:rPr>
      </w:pPr>
      <w:r>
        <w:rPr>
          <w:rFonts w:hint="eastAsia"/>
        </w:rPr>
        <w:t>1.保证金违约扣收流程</w:t>
      </w:r>
    </w:p>
    <w:p w14:paraId="599523A0">
      <w:pPr>
        <w:pStyle w:val="2"/>
        <w:bidi w:val="0"/>
        <w:rPr>
          <w:rFonts w:hint="eastAsia"/>
        </w:rPr>
      </w:pPr>
      <w:r>
        <w:rPr>
          <w:rFonts w:hint="eastAsia"/>
        </w:rPr>
        <w:t>供应商发生失信违约行为时，由采购部门向供应商管理部门提交供应商失信违约责任追究申请，供应商管理部门依据申请进行核查，根据核查结果向财务部门提交结果，财务部门予以扣收保证金。</w:t>
      </w:r>
    </w:p>
    <w:p w14:paraId="0A0DFF61">
      <w:pPr>
        <w:pStyle w:val="2"/>
        <w:bidi w:val="0"/>
        <w:rPr>
          <w:rFonts w:hint="eastAsia"/>
        </w:rPr>
      </w:pPr>
      <w:r>
        <w:rPr>
          <w:rFonts w:hint="eastAsia"/>
        </w:rPr>
        <w:t>2.在询比价采购过程中，当供应商因失信违约行为被扣收保证金，导致保证金额度不足时，需及时向中心财务部门履约询比价保证金专户补足差额。补足后方可继续参与询比价业务。</w:t>
      </w:r>
    </w:p>
    <w:p w14:paraId="1D13E652">
      <w:pPr>
        <w:pStyle w:val="2"/>
        <w:bidi w:val="0"/>
        <w:rPr>
          <w:rFonts w:hint="eastAsia"/>
        </w:rPr>
      </w:pPr>
      <w:r>
        <w:rPr>
          <w:rFonts w:hint="eastAsia"/>
        </w:rPr>
        <w:t>（五）保证金退还流程</w:t>
      </w:r>
    </w:p>
    <w:p w14:paraId="400CE3C3">
      <w:pPr>
        <w:pStyle w:val="2"/>
        <w:bidi w:val="0"/>
        <w:rPr>
          <w:rFonts w:hint="eastAsia"/>
        </w:rPr>
      </w:pPr>
      <w:r>
        <w:rPr>
          <w:rFonts w:hint="eastAsia"/>
        </w:rPr>
        <w:t>1.符合退还保证金条件的供应商，可以向采购部门提出退还保证金申请。经采购部门、财务部门审核确认后，从保证金专户中予以无息退还。</w:t>
      </w:r>
    </w:p>
    <w:p w14:paraId="6C909898">
      <w:pPr>
        <w:pStyle w:val="2"/>
        <w:bidi w:val="0"/>
        <w:rPr>
          <w:rFonts w:hint="eastAsia"/>
        </w:rPr>
      </w:pPr>
      <w:r>
        <w:rPr>
          <w:rFonts w:hint="eastAsia"/>
        </w:rPr>
        <w:t>2.退还保证金申请应包含供应商名称、供应物资品种、交纳保证金额度等信息。</w:t>
      </w:r>
    </w:p>
    <w:p w14:paraId="1A9A2021">
      <w:pPr>
        <w:pStyle w:val="2"/>
        <w:bidi w:val="0"/>
        <w:rPr>
          <w:rFonts w:hint="eastAsia"/>
        </w:rPr>
      </w:pPr>
      <w:r>
        <w:rPr>
          <w:rFonts w:hint="eastAsia"/>
        </w:rPr>
        <w:t>失信违约行为的管理措施 ：</w:t>
      </w:r>
    </w:p>
    <w:p w14:paraId="7F27F226">
      <w:pPr>
        <w:pStyle w:val="2"/>
        <w:bidi w:val="0"/>
        <w:rPr>
          <w:rFonts w:hint="eastAsia"/>
        </w:rPr>
      </w:pPr>
      <w:r>
        <w:rPr>
          <w:rFonts w:hint="eastAsia"/>
        </w:rPr>
        <w:t>集团统一在智采平台对失信违约供应商进行管理。</w:t>
      </w:r>
    </w:p>
    <w:p w14:paraId="5097247A">
      <w:pPr>
        <w:pStyle w:val="2"/>
        <w:bidi w:val="0"/>
        <w:rPr>
          <w:rFonts w:hint="eastAsia"/>
        </w:rPr>
      </w:pPr>
      <w:r>
        <w:rPr>
          <w:rFonts w:hint="eastAsia"/>
        </w:rPr>
        <w:t>失信违约行为可采用警告、扣收履约保证金、灰名单管理（暂停一个价格授标有效期供应资格、暂停两年供应资格）、黑名单管理（永久市场禁入）等措施，同时列入失信违约供应商名单。实施灰名单管理和黑名单管理期间不得参加招标采购中心任何采购项目。</w:t>
      </w:r>
    </w:p>
    <w:p w14:paraId="6877A144">
      <w:pPr>
        <w:pStyle w:val="2"/>
        <w:bidi w:val="0"/>
        <w:rPr>
          <w:rFonts w:hint="eastAsia"/>
        </w:rPr>
      </w:pPr>
      <w:r>
        <w:rPr>
          <w:rFonts w:hint="eastAsia"/>
        </w:rPr>
        <w:t>对供应商失信行为的管理措施不代替合同约定中对供应商的责任追究。</w:t>
      </w:r>
    </w:p>
    <w:p w14:paraId="55F261C4">
      <w:pPr>
        <w:pStyle w:val="2"/>
        <w:bidi w:val="0"/>
        <w:rPr>
          <w:rFonts w:hint="eastAsia"/>
        </w:rPr>
      </w:pPr>
      <w:r>
        <w:rPr>
          <w:rFonts w:hint="eastAsia"/>
        </w:rPr>
        <w:t>（一）供应商存在下列情况之一的，给予警告。</w:t>
      </w:r>
    </w:p>
    <w:p w14:paraId="2EF41883">
      <w:pPr>
        <w:pStyle w:val="2"/>
        <w:bidi w:val="0"/>
        <w:rPr>
          <w:rFonts w:hint="eastAsia"/>
        </w:rPr>
      </w:pPr>
      <w:r>
        <w:rPr>
          <w:rFonts w:hint="eastAsia"/>
        </w:rPr>
        <w:t>1.遴选供应商接到业务科室邀请通知后，未响应中选范围询比价报价的；</w:t>
      </w:r>
    </w:p>
    <w:p w14:paraId="7D5DE1B1">
      <w:pPr>
        <w:pStyle w:val="2"/>
        <w:bidi w:val="0"/>
        <w:rPr>
          <w:rFonts w:hint="eastAsia"/>
        </w:rPr>
      </w:pPr>
      <w:r>
        <w:rPr>
          <w:rFonts w:hint="eastAsia"/>
        </w:rPr>
        <w:t>2.产品验收过程中，发现存在质量缺陷（表面锈蚀、变形、缺损等）、标识不全、数量不足的；</w:t>
      </w:r>
    </w:p>
    <w:p w14:paraId="772BE6E6">
      <w:pPr>
        <w:pStyle w:val="2"/>
        <w:bidi w:val="0"/>
        <w:rPr>
          <w:rFonts w:hint="eastAsia"/>
        </w:rPr>
      </w:pPr>
      <w:r>
        <w:rPr>
          <w:rFonts w:hint="eastAsia"/>
        </w:rPr>
        <w:t>3.服务体系不完善，年度内两次服务不及时或因其他原因被使用单位投诉的。</w:t>
      </w:r>
    </w:p>
    <w:p w14:paraId="7B287E40">
      <w:pPr>
        <w:pStyle w:val="2"/>
        <w:bidi w:val="0"/>
        <w:rPr>
          <w:rFonts w:hint="eastAsia"/>
        </w:rPr>
      </w:pPr>
      <w:r>
        <w:rPr>
          <w:rFonts w:hint="eastAsia"/>
        </w:rPr>
        <w:t>（二）供应商存在下列情况之一的，给予扣收履约保证金、灰名单管理（暂停一个价格授标有效期供应资格）。</w:t>
      </w:r>
    </w:p>
    <w:p w14:paraId="3D5693FC">
      <w:pPr>
        <w:pStyle w:val="2"/>
        <w:bidi w:val="0"/>
        <w:rPr>
          <w:rFonts w:hint="eastAsia"/>
        </w:rPr>
      </w:pPr>
      <w:r>
        <w:rPr>
          <w:rFonts w:hint="eastAsia"/>
        </w:rPr>
        <w:t>1.超出生产经营许可范围进行供货的；</w:t>
      </w:r>
    </w:p>
    <w:p w14:paraId="6696C42E">
      <w:pPr>
        <w:pStyle w:val="2"/>
        <w:bidi w:val="0"/>
        <w:rPr>
          <w:rFonts w:hint="eastAsia"/>
        </w:rPr>
      </w:pPr>
      <w:r>
        <w:rPr>
          <w:rFonts w:hint="eastAsia"/>
        </w:rPr>
        <w:t>2.擅自用其他厂家产品替代中选原厂家产品的；</w:t>
      </w:r>
    </w:p>
    <w:p w14:paraId="1E7B749A">
      <w:pPr>
        <w:pStyle w:val="2"/>
        <w:bidi w:val="0"/>
        <w:rPr>
          <w:rFonts w:hint="eastAsia"/>
        </w:rPr>
      </w:pPr>
      <w:r>
        <w:rPr>
          <w:rFonts w:hint="eastAsia"/>
        </w:rPr>
        <w:t>3.物资到货配置与采购要求不符，影响生产使用的；</w:t>
      </w:r>
    </w:p>
    <w:p w14:paraId="349A4F50">
      <w:pPr>
        <w:pStyle w:val="2"/>
        <w:bidi w:val="0"/>
        <w:rPr>
          <w:rFonts w:hint="eastAsia"/>
        </w:rPr>
      </w:pPr>
      <w:r>
        <w:rPr>
          <w:rFonts w:hint="eastAsia"/>
        </w:rPr>
        <w:t>4.中标、中选后不按约定签订合同的；</w:t>
      </w:r>
    </w:p>
    <w:p w14:paraId="0A474764">
      <w:pPr>
        <w:pStyle w:val="2"/>
        <w:bidi w:val="0"/>
        <w:rPr>
          <w:rFonts w:hint="eastAsia"/>
        </w:rPr>
      </w:pPr>
      <w:r>
        <w:rPr>
          <w:rFonts w:hint="eastAsia"/>
        </w:rPr>
        <w:t>5.无正当理由供应不及时，超期时间超过30天的；</w:t>
      </w:r>
    </w:p>
    <w:p w14:paraId="7B57C0C5">
      <w:pPr>
        <w:pStyle w:val="2"/>
        <w:bidi w:val="0"/>
        <w:rPr>
          <w:rFonts w:hint="eastAsia"/>
        </w:rPr>
      </w:pPr>
      <w:r>
        <w:rPr>
          <w:rFonts w:hint="eastAsia"/>
        </w:rPr>
        <w:t>6.询比价采购过程中，报价错误的；</w:t>
      </w:r>
    </w:p>
    <w:p w14:paraId="100E93C7">
      <w:pPr>
        <w:pStyle w:val="2"/>
        <w:bidi w:val="0"/>
        <w:rPr>
          <w:rFonts w:hint="eastAsia"/>
        </w:rPr>
      </w:pPr>
      <w:r>
        <w:rPr>
          <w:rFonts w:hint="eastAsia"/>
        </w:rPr>
        <w:t>7.因恶意竞争降低价格，导致产品质量不能满足要求的；</w:t>
      </w:r>
    </w:p>
    <w:p w14:paraId="351F4A29">
      <w:pPr>
        <w:pStyle w:val="2"/>
        <w:bidi w:val="0"/>
        <w:rPr>
          <w:rFonts w:hint="eastAsia"/>
        </w:rPr>
      </w:pPr>
      <w:r>
        <w:rPr>
          <w:rFonts w:hint="eastAsia"/>
        </w:rPr>
        <w:t>8.年度内受到3次警告的。</w:t>
      </w:r>
    </w:p>
    <w:p w14:paraId="5E89C8B6">
      <w:pPr>
        <w:pStyle w:val="2"/>
        <w:bidi w:val="0"/>
        <w:rPr>
          <w:rFonts w:hint="eastAsia"/>
        </w:rPr>
      </w:pPr>
      <w:r>
        <w:rPr>
          <w:rFonts w:hint="eastAsia"/>
        </w:rPr>
        <w:t>（三）供应商存在下列情况之一的，给予扣收履约保证金、灰名单管理（暂停两年供应资格）。</w:t>
      </w:r>
    </w:p>
    <w:p w14:paraId="0D3B76B7">
      <w:pPr>
        <w:pStyle w:val="2"/>
        <w:bidi w:val="0"/>
        <w:rPr>
          <w:rFonts w:hint="eastAsia"/>
        </w:rPr>
      </w:pPr>
      <w:r>
        <w:rPr>
          <w:rFonts w:hint="eastAsia"/>
        </w:rPr>
        <w:t>1.关联关系供应商报价的；</w:t>
      </w:r>
    </w:p>
    <w:p w14:paraId="7524D9E3">
      <w:pPr>
        <w:pStyle w:val="2"/>
        <w:bidi w:val="0"/>
        <w:rPr>
          <w:rFonts w:hint="eastAsia"/>
        </w:rPr>
      </w:pPr>
      <w:r>
        <w:rPr>
          <w:rFonts w:hint="eastAsia"/>
        </w:rPr>
        <w:t>2.故意放弃中标、中选资格的、将中标项目转包或分包的；</w:t>
      </w:r>
    </w:p>
    <w:p w14:paraId="229D0218">
      <w:pPr>
        <w:pStyle w:val="2"/>
        <w:bidi w:val="0"/>
        <w:rPr>
          <w:rFonts w:hint="eastAsia"/>
        </w:rPr>
      </w:pPr>
      <w:r>
        <w:rPr>
          <w:rFonts w:hint="eastAsia"/>
        </w:rPr>
        <w:t>3.中标、中选后无正当理由拒绝签订合同，影响生产的；</w:t>
      </w:r>
    </w:p>
    <w:p w14:paraId="6B912273">
      <w:pPr>
        <w:pStyle w:val="2"/>
        <w:bidi w:val="0"/>
        <w:rPr>
          <w:rFonts w:hint="eastAsia"/>
        </w:rPr>
      </w:pPr>
      <w:r>
        <w:rPr>
          <w:rFonts w:hint="eastAsia"/>
        </w:rPr>
        <w:t>4.无正当理由供应不及时，超期时间超过60天的；</w:t>
      </w:r>
    </w:p>
    <w:p w14:paraId="3CE94FE0">
      <w:pPr>
        <w:pStyle w:val="2"/>
        <w:bidi w:val="0"/>
        <w:rPr>
          <w:rFonts w:hint="eastAsia"/>
        </w:rPr>
      </w:pPr>
      <w:r>
        <w:rPr>
          <w:rFonts w:hint="eastAsia"/>
        </w:rPr>
        <w:t>5.因质量问题，造成安全生产和产品质量隐患的；</w:t>
      </w:r>
    </w:p>
    <w:p w14:paraId="42810CA0">
      <w:pPr>
        <w:pStyle w:val="2"/>
        <w:bidi w:val="0"/>
        <w:rPr>
          <w:rFonts w:hint="eastAsia"/>
        </w:rPr>
      </w:pPr>
      <w:r>
        <w:rPr>
          <w:rFonts w:hint="eastAsia"/>
        </w:rPr>
        <w:t>6.在供应商实地评审中，发现供应商实际生产经营能力、规模等情况与投标文件或有关资质严重不符的；</w:t>
      </w:r>
    </w:p>
    <w:p w14:paraId="115E6B8F">
      <w:pPr>
        <w:pStyle w:val="2"/>
        <w:bidi w:val="0"/>
        <w:rPr>
          <w:rFonts w:hint="eastAsia"/>
        </w:rPr>
      </w:pPr>
      <w:r>
        <w:rPr>
          <w:rFonts w:hint="eastAsia"/>
        </w:rPr>
        <w:t>7.年度内出现两次及以上第（二）项失信违约行为之一的。</w:t>
      </w:r>
    </w:p>
    <w:p w14:paraId="0A7F3E49">
      <w:pPr>
        <w:pStyle w:val="2"/>
        <w:bidi w:val="0"/>
        <w:rPr>
          <w:rFonts w:hint="eastAsia"/>
        </w:rPr>
      </w:pPr>
      <w:r>
        <w:rPr>
          <w:rFonts w:hint="eastAsia"/>
        </w:rPr>
        <w:t>（四）供应商存在下列情况之一的，发现随即终止采购业务，给予扣收履约保证金、黑名单管理（永久市场禁入）。</w:t>
      </w:r>
    </w:p>
    <w:p w14:paraId="6695B2A5">
      <w:pPr>
        <w:pStyle w:val="2"/>
        <w:bidi w:val="0"/>
        <w:rPr>
          <w:rFonts w:hint="eastAsia"/>
        </w:rPr>
      </w:pPr>
      <w:r>
        <w:rPr>
          <w:rFonts w:hint="eastAsia"/>
        </w:rPr>
        <w:t>1.产品因质量或缺陷问题，严重影响安全生产、给集团公司造成重大损失、导致重伤及以上人身事故、重大非人身事故的；</w:t>
      </w:r>
    </w:p>
    <w:p w14:paraId="4341CED4">
      <w:pPr>
        <w:pStyle w:val="2"/>
        <w:bidi w:val="0"/>
        <w:rPr>
          <w:rFonts w:hint="eastAsia"/>
        </w:rPr>
      </w:pPr>
      <w:r>
        <w:rPr>
          <w:rFonts w:hint="eastAsia"/>
        </w:rPr>
        <w:t>2.供应不及时，影响集团安全生产的；</w:t>
      </w:r>
    </w:p>
    <w:p w14:paraId="11EF31DC">
      <w:pPr>
        <w:pStyle w:val="2"/>
        <w:bidi w:val="0"/>
        <w:rPr>
          <w:rFonts w:hint="eastAsia"/>
        </w:rPr>
      </w:pPr>
      <w:r>
        <w:rPr>
          <w:rFonts w:hint="eastAsia"/>
        </w:rPr>
        <w:t>3.弄虚作假、伪造资质证件及资料，虚假投标的；</w:t>
      </w:r>
    </w:p>
    <w:p w14:paraId="3CDA2EC2">
      <w:pPr>
        <w:pStyle w:val="2"/>
        <w:bidi w:val="0"/>
        <w:rPr>
          <w:rFonts w:hint="eastAsia"/>
        </w:rPr>
      </w:pPr>
      <w:r>
        <w:rPr>
          <w:rFonts w:hint="eastAsia"/>
        </w:rPr>
        <w:t>4.在招标、比价采购过程中，相互勾结、串通投标（报价）、哄抬价格、存在其它不正当利益的；</w:t>
      </w:r>
    </w:p>
    <w:p w14:paraId="340F840C">
      <w:pPr>
        <w:pStyle w:val="2"/>
        <w:bidi w:val="0"/>
        <w:rPr>
          <w:rFonts w:hint="eastAsia"/>
        </w:rPr>
      </w:pPr>
      <w:r>
        <w:rPr>
          <w:rFonts w:hint="eastAsia"/>
        </w:rPr>
        <w:t>5.在招标、比价采购过程中，恶意低价竞标，中标（成交）后拒不执行的；</w:t>
      </w:r>
    </w:p>
    <w:p w14:paraId="63C16840">
      <w:pPr>
        <w:pStyle w:val="2"/>
        <w:bidi w:val="0"/>
        <w:rPr>
          <w:rFonts w:hint="eastAsia"/>
        </w:rPr>
      </w:pPr>
      <w:r>
        <w:rPr>
          <w:rFonts w:hint="eastAsia"/>
        </w:rPr>
        <w:t>6.私自与基层矿厂联系送货，扰乱正常采购秩序、参与串换变通，经核查属实的；</w:t>
      </w:r>
    </w:p>
    <w:p w14:paraId="6E42AE60">
      <w:pPr>
        <w:pStyle w:val="2"/>
        <w:bidi w:val="0"/>
        <w:rPr>
          <w:rFonts w:hint="eastAsia"/>
        </w:rPr>
      </w:pPr>
      <w:r>
        <w:rPr>
          <w:rFonts w:hint="eastAsia"/>
        </w:rPr>
        <w:t>7.被国家行政机关依法吊销营业执照、责令关闭或撤销的；因故意犯罪被国家司法机关依法追究刑事责任的；</w:t>
      </w:r>
    </w:p>
    <w:p w14:paraId="6391CF88">
      <w:pPr>
        <w:pStyle w:val="2"/>
        <w:bidi w:val="0"/>
        <w:rPr>
          <w:rFonts w:hint="eastAsia"/>
        </w:rPr>
      </w:pPr>
      <w:r>
        <w:rPr>
          <w:rFonts w:hint="eastAsia"/>
        </w:rPr>
        <w:t>8.违反合同约定的争议解决条款恶意提起诉讼的，对该供应商及其实际控制的其他关联企业均列入黑名单；</w:t>
      </w:r>
    </w:p>
    <w:p w14:paraId="47946DEC">
      <w:pPr>
        <w:pStyle w:val="2"/>
        <w:bidi w:val="0"/>
        <w:rPr>
          <w:rFonts w:hint="eastAsia"/>
        </w:rPr>
      </w:pPr>
      <w:r>
        <w:rPr>
          <w:rFonts w:hint="eastAsia"/>
        </w:rPr>
        <w:t>9.其他重大失信违约行为，应列入黑名单的。</w:t>
      </w:r>
    </w:p>
    <w:p w14:paraId="3E07651E">
      <w:pPr>
        <w:pStyle w:val="2"/>
        <w:bidi w:val="0"/>
        <w:rPr>
          <w:rFonts w:hint="eastAsia"/>
        </w:rPr>
      </w:pPr>
      <w:r>
        <w:rPr>
          <w:rFonts w:hint="eastAsia"/>
        </w:rPr>
        <w:t>五、时间要求。报名截止时间和开标时间参照项目基本信息，供应商登录智采平台查看询比价公告，在报名截止时间之前报名，按要求填写物资清单，开标截止时间之前提交确认无误的报价清单。</w:t>
      </w:r>
    </w:p>
    <w:p w14:paraId="30C46226">
      <w:pPr>
        <w:pStyle w:val="2"/>
        <w:bidi w:val="0"/>
        <w:rPr>
          <w:rFonts w:hint="eastAsia"/>
        </w:rPr>
      </w:pPr>
      <w:r>
        <w:rPr>
          <w:rFonts w:hint="eastAsia"/>
        </w:rPr>
        <w:t>六、采购要求</w:t>
      </w:r>
    </w:p>
    <w:p w14:paraId="145882DA">
      <w:pPr>
        <w:pStyle w:val="2"/>
        <w:bidi w:val="0"/>
        <w:rPr>
          <w:rFonts w:hint="eastAsia"/>
        </w:rPr>
      </w:pPr>
      <w:r>
        <w:rPr>
          <w:rFonts w:hint="eastAsia"/>
        </w:rPr>
        <w:t>1、交货地址。供应商需将货物送达各备注中各使用单位指定地点，并确保按时按量完成交付。</w:t>
      </w:r>
    </w:p>
    <w:p w14:paraId="7ED20CDA">
      <w:pPr>
        <w:pStyle w:val="2"/>
        <w:bidi w:val="0"/>
        <w:rPr>
          <w:rFonts w:hint="eastAsia"/>
        </w:rPr>
      </w:pPr>
      <w:r>
        <w:rPr>
          <w:rFonts w:hint="eastAsia"/>
        </w:rPr>
        <w:t>2、运输方式。供方按需方要求将货物运送到指定的地点，货物运输相关费用（含运杂费、装卸车费等）由供方承担。</w:t>
      </w:r>
    </w:p>
    <w:p w14:paraId="2DD5C5EE">
      <w:pPr>
        <w:pStyle w:val="2"/>
        <w:bidi w:val="0"/>
        <w:rPr>
          <w:rFonts w:hint="eastAsia"/>
        </w:rPr>
      </w:pPr>
      <w:r>
        <w:rPr>
          <w:rFonts w:hint="eastAsia"/>
        </w:rPr>
        <w:t>3、交货时间。以合同约定交货时间为准。</w:t>
      </w:r>
    </w:p>
    <w:p w14:paraId="5E1C069B">
      <w:pPr>
        <w:pStyle w:val="2"/>
        <w:bidi w:val="0"/>
        <w:rPr>
          <w:rFonts w:hint="eastAsia"/>
        </w:rPr>
      </w:pPr>
      <w:r>
        <w:rPr>
          <w:rFonts w:hint="eastAsia"/>
        </w:rPr>
        <w:t>4、付款方式。主报价：Z：货到发票入账后第4个月付30%，第11个月付60%，第13个月付10%。。</w:t>
      </w:r>
    </w:p>
    <w:p w14:paraId="41AE6E06">
      <w:pPr>
        <w:pStyle w:val="2"/>
        <w:bidi w:val="0"/>
        <w:rPr>
          <w:rFonts w:hint="eastAsia"/>
        </w:rPr>
      </w:pPr>
      <w:r>
        <w:rPr>
          <w:rFonts w:hint="eastAsia"/>
        </w:rPr>
        <w:t>5、违约责任。以双方签订的采购合同为准。</w:t>
      </w:r>
    </w:p>
    <w:p w14:paraId="15EF6D24">
      <w:pPr>
        <w:pStyle w:val="2"/>
        <w:bidi w:val="0"/>
        <w:rPr>
          <w:rFonts w:hint="eastAsia"/>
        </w:rPr>
      </w:pPr>
      <w:r>
        <w:rPr>
          <w:rFonts w:hint="eastAsia"/>
        </w:rPr>
        <w:t>6、质量及售后服务。以双方签订的采购合同为准。</w:t>
      </w:r>
    </w:p>
    <w:p w14:paraId="777F759B">
      <w:pPr>
        <w:pStyle w:val="2"/>
        <w:bidi w:val="0"/>
        <w:rPr>
          <w:rFonts w:hint="eastAsia"/>
        </w:rPr>
      </w:pPr>
      <w:r>
        <w:rPr>
          <w:rFonts w:hint="eastAsia"/>
        </w:rPr>
        <w:t>7、其它未尽事宜，以双方签订的采购合同为准。</w:t>
      </w:r>
      <w:r>
        <w:rPr>
          <w:rFonts w:hint="eastAsia"/>
        </w:rPr>
        <w:br w:type="textWrapping"/>
      </w:r>
      <w:r>
        <w:rPr>
          <w:rFonts w:hint="eastAsia"/>
        </w:rPr>
        <w:t>七、联系方式</w:t>
      </w:r>
    </w:p>
    <w:p w14:paraId="2A29404B">
      <w:pPr>
        <w:pStyle w:val="2"/>
        <w:bidi w:val="0"/>
        <w:rPr>
          <w:rFonts w:hint="eastAsia"/>
        </w:rPr>
      </w:pPr>
      <w:r>
        <w:rPr>
          <w:rFonts w:hint="eastAsia"/>
        </w:rPr>
        <w:t>采购部门：中国平煤神马控股集团有限公司铁路运输处</w:t>
      </w:r>
    </w:p>
    <w:p w14:paraId="69A0F2AC">
      <w:pPr>
        <w:pStyle w:val="2"/>
        <w:bidi w:val="0"/>
        <w:rPr>
          <w:rFonts w:hint="eastAsia"/>
        </w:rPr>
      </w:pPr>
      <w:r>
        <w:rPr>
          <w:rFonts w:hint="eastAsia"/>
        </w:rPr>
        <w:t>联系人：路曙明</w:t>
      </w:r>
    </w:p>
    <w:p w14:paraId="21FFC3A5">
      <w:pPr>
        <w:pStyle w:val="2"/>
        <w:bidi w:val="0"/>
        <w:rPr>
          <w:rFonts w:hint="eastAsia"/>
        </w:rPr>
      </w:pPr>
      <w:r>
        <w:rPr>
          <w:rFonts w:hint="eastAsia"/>
        </w:rPr>
        <w:t>电话：2745248</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4"/>
        <w:gridCol w:w="1484"/>
        <w:gridCol w:w="3154"/>
        <w:gridCol w:w="1212"/>
        <w:gridCol w:w="486"/>
        <w:gridCol w:w="792"/>
        <w:gridCol w:w="764"/>
      </w:tblGrid>
      <w:tr w14:paraId="75C3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6199CAE8">
            <w:pPr>
              <w:pStyle w:val="2"/>
              <w:bidi w:val="0"/>
            </w:pPr>
            <w:r>
              <w:rPr>
                <w:lang w:val="en-US" w:eastAsia="zh-CN"/>
              </w:rPr>
              <w:t>序号</w:t>
            </w:r>
          </w:p>
        </w:tc>
        <w:tc>
          <w:tcPr>
            <w:tcW w:w="0" w:type="auto"/>
            <w:shd w:val="clear"/>
            <w:tcMar>
              <w:top w:w="0" w:type="dxa"/>
              <w:left w:w="0" w:type="dxa"/>
              <w:bottom w:w="0" w:type="dxa"/>
              <w:right w:w="0" w:type="dxa"/>
            </w:tcMar>
            <w:vAlign w:val="center"/>
          </w:tcPr>
          <w:p w14:paraId="21656747">
            <w:pPr>
              <w:pStyle w:val="2"/>
              <w:bidi w:val="0"/>
            </w:pPr>
            <w:r>
              <w:rPr>
                <w:lang w:val="en-US" w:eastAsia="zh-CN"/>
              </w:rPr>
              <w:t>标段编号</w:t>
            </w:r>
          </w:p>
        </w:tc>
        <w:tc>
          <w:tcPr>
            <w:tcW w:w="0" w:type="auto"/>
            <w:shd w:val="clear"/>
            <w:tcMar>
              <w:top w:w="0" w:type="dxa"/>
              <w:left w:w="0" w:type="dxa"/>
              <w:bottom w:w="0" w:type="dxa"/>
              <w:right w:w="0" w:type="dxa"/>
            </w:tcMar>
            <w:vAlign w:val="center"/>
          </w:tcPr>
          <w:p w14:paraId="7866EBE2">
            <w:pPr>
              <w:pStyle w:val="2"/>
              <w:bidi w:val="0"/>
            </w:pPr>
            <w:r>
              <w:rPr>
                <w:lang w:val="en-US" w:eastAsia="zh-CN"/>
              </w:rPr>
              <w:t>物资名称</w:t>
            </w:r>
          </w:p>
        </w:tc>
        <w:tc>
          <w:tcPr>
            <w:tcW w:w="0" w:type="auto"/>
            <w:shd w:val="clear"/>
            <w:tcMar>
              <w:top w:w="0" w:type="dxa"/>
              <w:left w:w="0" w:type="dxa"/>
              <w:bottom w:w="0" w:type="dxa"/>
              <w:right w:w="0" w:type="dxa"/>
            </w:tcMar>
            <w:vAlign w:val="center"/>
          </w:tcPr>
          <w:p w14:paraId="3E78A092">
            <w:pPr>
              <w:pStyle w:val="2"/>
              <w:bidi w:val="0"/>
            </w:pPr>
            <w:r>
              <w:rPr>
                <w:lang w:val="en-US" w:eastAsia="zh-CN"/>
              </w:rPr>
              <w:t>规格</w:t>
            </w:r>
          </w:p>
        </w:tc>
        <w:tc>
          <w:tcPr>
            <w:tcW w:w="0" w:type="auto"/>
            <w:shd w:val="clear"/>
            <w:tcMar>
              <w:top w:w="0" w:type="dxa"/>
              <w:left w:w="0" w:type="dxa"/>
              <w:bottom w:w="0" w:type="dxa"/>
              <w:right w:w="0" w:type="dxa"/>
            </w:tcMar>
            <w:vAlign w:val="center"/>
          </w:tcPr>
          <w:p w14:paraId="302EC10E">
            <w:pPr>
              <w:pStyle w:val="2"/>
              <w:bidi w:val="0"/>
            </w:pPr>
            <w:r>
              <w:rPr>
                <w:lang w:val="en-US" w:eastAsia="zh-CN"/>
              </w:rPr>
              <w:t>型号</w:t>
            </w:r>
          </w:p>
        </w:tc>
        <w:tc>
          <w:tcPr>
            <w:tcW w:w="0" w:type="auto"/>
            <w:shd w:val="clear"/>
            <w:tcMar>
              <w:top w:w="0" w:type="dxa"/>
              <w:left w:w="0" w:type="dxa"/>
              <w:bottom w:w="0" w:type="dxa"/>
              <w:right w:w="0" w:type="dxa"/>
            </w:tcMar>
            <w:vAlign w:val="center"/>
          </w:tcPr>
          <w:p w14:paraId="14C7E5E7">
            <w:pPr>
              <w:pStyle w:val="2"/>
              <w:bidi w:val="0"/>
            </w:pPr>
            <w:r>
              <w:rPr>
                <w:lang w:val="en-US" w:eastAsia="zh-CN"/>
              </w:rPr>
              <w:t>计量单位</w:t>
            </w:r>
          </w:p>
        </w:tc>
        <w:tc>
          <w:tcPr>
            <w:tcW w:w="0" w:type="auto"/>
            <w:shd w:val="clear"/>
            <w:tcMar>
              <w:top w:w="0" w:type="dxa"/>
              <w:left w:w="0" w:type="dxa"/>
              <w:bottom w:w="0" w:type="dxa"/>
              <w:right w:w="0" w:type="dxa"/>
            </w:tcMar>
            <w:vAlign w:val="center"/>
          </w:tcPr>
          <w:p w14:paraId="52C0A0C2">
            <w:pPr>
              <w:pStyle w:val="2"/>
              <w:bidi w:val="0"/>
            </w:pPr>
            <w:r>
              <w:rPr>
                <w:lang w:val="en-US" w:eastAsia="zh-CN"/>
              </w:rPr>
              <w:t>技术参数</w:t>
            </w:r>
          </w:p>
        </w:tc>
      </w:tr>
      <w:tr w14:paraId="44EB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BFD5E">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338E8">
            <w:pPr>
              <w:pStyle w:val="2"/>
              <w:bidi w:val="0"/>
            </w:pPr>
            <w:r>
              <w:rPr>
                <w:lang w:val="en-US" w:eastAsia="zh-CN"/>
              </w:rPr>
              <w:t>FCXJ2025071610-3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9DB8D">
            <w:pPr>
              <w:pStyle w:val="2"/>
              <w:bidi w:val="0"/>
            </w:pPr>
            <w:r>
              <w:rPr>
                <w:lang w:val="en-US" w:eastAsia="zh-CN"/>
              </w:rPr>
              <w:t>自翻车折页销长轴套（测绘件）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E64FC">
            <w:pPr>
              <w:pStyle w:val="2"/>
              <w:bidi w:val="0"/>
            </w:pPr>
            <w:r>
              <w:rPr>
                <w:lang w:val="en-US" w:eastAsia="zh-CN"/>
              </w:rPr>
              <w:t>详见技术参数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339C9">
            <w:pPr>
              <w:pStyle w:val="2"/>
              <w:bidi w:val="0"/>
            </w:pPr>
            <w:r>
              <w:rPr>
                <w:lang w:val="en-US" w:eastAsia="zh-CN"/>
              </w:rPr>
              <w:t>KF60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39CF5">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B5BBE">
            <w:pPr>
              <w:pStyle w:val="2"/>
              <w:bidi w:val="0"/>
              <w:rPr>
                <w:rFonts w:hint="eastAsia"/>
              </w:rPr>
            </w:pPr>
          </w:p>
        </w:tc>
      </w:tr>
      <w:tr w14:paraId="51A0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3D78F">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6F584">
            <w:pPr>
              <w:pStyle w:val="2"/>
              <w:bidi w:val="0"/>
            </w:pPr>
            <w:r>
              <w:rPr>
                <w:lang w:val="en-US" w:eastAsia="zh-CN"/>
              </w:rPr>
              <w:t>FCXJ2025071610-3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DD4EB">
            <w:pPr>
              <w:pStyle w:val="2"/>
              <w:bidi w:val="0"/>
            </w:pPr>
            <w:r>
              <w:rPr>
                <w:lang w:val="en-US" w:eastAsia="zh-CN"/>
              </w:rPr>
              <w:t>自翻车折页圆销（带孔II）（测绘件）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D9685">
            <w:pPr>
              <w:pStyle w:val="2"/>
              <w:bidi w:val="0"/>
            </w:pPr>
            <w:r>
              <w:rPr>
                <w:lang w:val="en-US" w:eastAsia="zh-CN"/>
              </w:rPr>
              <w:t>详见技术参数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0ACEE">
            <w:pPr>
              <w:pStyle w:val="2"/>
              <w:bidi w:val="0"/>
            </w:pPr>
            <w:r>
              <w:rPr>
                <w:lang w:val="en-US" w:eastAsia="zh-CN"/>
              </w:rPr>
              <w:t>KF60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48A67">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1D54F">
            <w:pPr>
              <w:pStyle w:val="2"/>
              <w:bidi w:val="0"/>
              <w:rPr>
                <w:rFonts w:hint="eastAsia"/>
              </w:rPr>
            </w:pPr>
          </w:p>
        </w:tc>
      </w:tr>
      <w:tr w14:paraId="5933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E3551">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80FA6">
            <w:pPr>
              <w:pStyle w:val="2"/>
              <w:bidi w:val="0"/>
            </w:pPr>
            <w:r>
              <w:rPr>
                <w:lang w:val="en-US" w:eastAsia="zh-CN"/>
              </w:rPr>
              <w:t>FCXJ2025071610-3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EA25B">
            <w:pPr>
              <w:pStyle w:val="2"/>
              <w:bidi w:val="0"/>
            </w:pPr>
            <w:r>
              <w:rPr>
                <w:lang w:val="en-US" w:eastAsia="zh-CN"/>
              </w:rPr>
              <w:t>自翻车折页销短轴套（测绘件）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2F548">
            <w:pPr>
              <w:pStyle w:val="2"/>
              <w:bidi w:val="0"/>
            </w:pPr>
            <w:r>
              <w:rPr>
                <w:lang w:val="en-US" w:eastAsia="zh-CN"/>
              </w:rPr>
              <w:t>详见技术参数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634EE">
            <w:pPr>
              <w:pStyle w:val="2"/>
              <w:bidi w:val="0"/>
            </w:pPr>
            <w:r>
              <w:rPr>
                <w:lang w:val="en-US" w:eastAsia="zh-CN"/>
              </w:rPr>
              <w:t>KF60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05A7C">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F9B13">
            <w:pPr>
              <w:pStyle w:val="2"/>
              <w:bidi w:val="0"/>
              <w:rPr>
                <w:rFonts w:hint="eastAsia"/>
              </w:rPr>
            </w:pPr>
          </w:p>
        </w:tc>
      </w:tr>
      <w:tr w14:paraId="1C0F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C5D92">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F5584">
            <w:pPr>
              <w:pStyle w:val="2"/>
              <w:bidi w:val="0"/>
            </w:pPr>
            <w:r>
              <w:rPr>
                <w:lang w:val="en-US" w:eastAsia="zh-CN"/>
              </w:rPr>
              <w:t>FCXJ2025071610-3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B83E8">
            <w:pPr>
              <w:pStyle w:val="2"/>
              <w:bidi w:val="0"/>
            </w:pPr>
            <w:r>
              <w:rPr>
                <w:lang w:val="en-US" w:eastAsia="zh-CN"/>
              </w:rPr>
              <w:t>自翻车折页圆销（带扣）（测绘件）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8AD2F">
            <w:pPr>
              <w:pStyle w:val="2"/>
              <w:bidi w:val="0"/>
            </w:pPr>
            <w:r>
              <w:rPr>
                <w:lang w:val="en-US" w:eastAsia="zh-CN"/>
              </w:rPr>
              <w:t>详见技术参数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DF6C9">
            <w:pPr>
              <w:pStyle w:val="2"/>
              <w:bidi w:val="0"/>
            </w:pPr>
            <w:r>
              <w:rPr>
                <w:lang w:val="en-US" w:eastAsia="zh-CN"/>
              </w:rPr>
              <w:t>KF60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051E2">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6C9D4">
            <w:pPr>
              <w:pStyle w:val="2"/>
              <w:bidi w:val="0"/>
              <w:rPr>
                <w:rFonts w:hint="eastAsia"/>
              </w:rPr>
            </w:pPr>
          </w:p>
        </w:tc>
      </w:tr>
      <w:tr w14:paraId="376C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FE63D">
            <w:pPr>
              <w:pStyle w:val="2"/>
              <w:bidi w:val="0"/>
            </w:pPr>
            <w:r>
              <w:rPr>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ADE49">
            <w:pPr>
              <w:pStyle w:val="2"/>
              <w:bidi w:val="0"/>
            </w:pPr>
            <w:r>
              <w:rPr>
                <w:lang w:val="en-US" w:eastAsia="zh-CN"/>
              </w:rPr>
              <w:t>FCXJ2025071610-3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F7945">
            <w:pPr>
              <w:pStyle w:val="2"/>
              <w:bidi w:val="0"/>
            </w:pPr>
            <w:r>
              <w:rPr>
                <w:lang w:val="en-US" w:eastAsia="zh-CN"/>
              </w:rPr>
              <w:t>自翻车折页圆销（带孔I）（测绘件）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8E038">
            <w:pPr>
              <w:pStyle w:val="2"/>
              <w:bidi w:val="0"/>
            </w:pPr>
            <w:r>
              <w:rPr>
                <w:lang w:val="en-US" w:eastAsia="zh-CN"/>
              </w:rPr>
              <w:t>详见技术参数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C4FBB">
            <w:pPr>
              <w:pStyle w:val="2"/>
              <w:bidi w:val="0"/>
            </w:pPr>
            <w:r>
              <w:rPr>
                <w:lang w:val="en-US" w:eastAsia="zh-CN"/>
              </w:rPr>
              <w:t>KF60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83A5A">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9BADD">
            <w:pPr>
              <w:pStyle w:val="2"/>
              <w:bidi w:val="0"/>
              <w:rPr>
                <w:rFonts w:hint="eastAsia"/>
              </w:rPr>
            </w:pPr>
          </w:p>
        </w:tc>
      </w:tr>
    </w:tbl>
    <w:p w14:paraId="6A79A404">
      <w:pPr>
        <w:pStyle w:val="2"/>
        <w:bidi w:val="0"/>
        <w:rPr>
          <w:rFonts w:hint="eastAsia"/>
        </w:rPr>
      </w:pPr>
      <w:r>
        <w:rPr>
          <w:rFonts w:hint="eastAsia"/>
          <w:lang w:val="en-US" w:eastAsia="zh-CN"/>
        </w:rPr>
        <w:t>报价网址：http://zcpt.zgpmsm.com.cn</w:t>
      </w:r>
    </w:p>
    <w:p w14:paraId="59CF75E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E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2025-08-05T05:20:11Z</dcterms:created>
  <dc:creator>28039</dc:creator>
  <cp:lastModifiedBy>萱萱湜了aUUkH</cp:lastModifiedBy>
  <dcterms:modified xsi:type="dcterms:W3CDTF">2025-08-05T05:20:15Z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eyJoZGlkIjoiMGM2Y2JhNTI2ODZhZDhlNDdiZWJlOWMzN2NmM2E2N2QiLCJ1c2VySWQiOiIxNzEzMzI1MjU0In0=</vt:lpwstr>
  </property>
  <property fmtid="{D5CDD505-2E9C-101B-9397-08002B2CF9AE}" pid="4" name="ICV">
    <vt:lpwstr>2780BC0930F041248CD4D5D2E3C7800D_12</vt:lpwstr>
  </property>
</Properties>
</file>