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444"/>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投标人投标特别提示</w:t>
      </w:r>
    </w:p>
    <w:p>
      <w:pPr>
        <w:ind w:firstLine="0" w:firstLineChars="0"/>
        <w:rPr>
          <w:rFonts w:hint="eastAsia" w:ascii="宋体" w:hAnsi="宋体" w:eastAsia="宋体" w:cs="宋体"/>
          <w:bCs/>
          <w:sz w:val="24"/>
          <w:szCs w:val="21"/>
          <w:lang w:eastAsia="zh-CN"/>
        </w:rPr>
      </w:pPr>
      <w:r>
        <w:rPr>
          <w:rFonts w:hint="eastAsia" w:ascii="宋体" w:hAnsi="宋体" w:eastAsia="宋体" w:cs="宋体"/>
          <w:bCs/>
          <w:sz w:val="24"/>
          <w:szCs w:val="21"/>
          <w:lang w:eastAsia="zh-CN"/>
        </w:rPr>
        <w:t>尊敬的各潜在投标人：</w:t>
      </w:r>
    </w:p>
    <w:p>
      <w:pPr>
        <w:ind w:firstLine="504"/>
        <w:rPr>
          <w:rFonts w:hint="eastAsia" w:ascii="宋体" w:hAnsi="宋体" w:eastAsia="宋体" w:cs="宋体"/>
          <w:sz w:val="24"/>
          <w:szCs w:val="21"/>
          <w:lang w:eastAsia="zh-CN"/>
        </w:rPr>
      </w:pPr>
      <w:r>
        <w:rPr>
          <w:rFonts w:hint="eastAsia" w:ascii="宋体" w:hAnsi="宋体" w:eastAsia="宋体" w:cs="宋体"/>
          <w:sz w:val="24"/>
          <w:szCs w:val="21"/>
          <w:lang w:eastAsia="zh-CN"/>
        </w:rPr>
        <w:t>如贵司有意向参与我中心组织的招标活动，为了避免因不必要的失误导致投标失败，请认真阅读并理解本提示。我们对投标注意事项及各投标环节可能出现的问题向各潜在投标人做如下提示：</w:t>
      </w:r>
    </w:p>
    <w:p>
      <w:pPr>
        <w:numPr>
          <w:ilvl w:val="0"/>
          <w:numId w:val="1"/>
        </w:numPr>
        <w:autoSpaceDE w:val="0"/>
        <w:autoSpaceDN w:val="0"/>
        <w:adjustRightInd w:val="0"/>
        <w:ind w:left="478" w:leftChars="0" w:hanging="478" w:hangingChars="190"/>
        <w:rPr>
          <w:rFonts w:hint="eastAsia" w:ascii="宋体" w:hAnsi="宋体" w:eastAsia="宋体" w:cs="宋体"/>
          <w:sz w:val="24"/>
          <w:szCs w:val="21"/>
        </w:rPr>
      </w:pPr>
      <w:r>
        <w:rPr>
          <w:rFonts w:hint="eastAsia" w:ascii="宋体" w:hAnsi="宋体" w:eastAsia="宋体" w:cs="宋体"/>
          <w:sz w:val="24"/>
          <w:szCs w:val="21"/>
        </w:rPr>
        <w:t>招标文件</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招标文件是潜在投标人编制投标文件、评委评标及招投标相关活动的唯一依据。请务必仔细阅读并理解招标文件要求，对招标文件中投标人资格、关键技术要求、关键商务要求等关键性条款和可能被否决投标的条款应引起高度重视。</w:t>
      </w:r>
    </w:p>
    <w:p>
      <w:pPr>
        <w:numPr>
          <w:ilvl w:val="0"/>
          <w:numId w:val="1"/>
        </w:numPr>
        <w:autoSpaceDE w:val="0"/>
        <w:autoSpaceDN w:val="0"/>
        <w:adjustRightInd w:val="0"/>
        <w:ind w:left="478" w:leftChars="0" w:hanging="478" w:hangingChars="190"/>
        <w:rPr>
          <w:rFonts w:hint="eastAsia" w:ascii="宋体" w:hAnsi="宋体" w:eastAsia="宋体" w:cs="宋体"/>
          <w:sz w:val="24"/>
          <w:szCs w:val="21"/>
          <w:lang w:eastAsia="zh-CN"/>
        </w:rPr>
      </w:pPr>
      <w:r>
        <w:rPr>
          <w:rFonts w:hint="eastAsia" w:ascii="宋体" w:hAnsi="宋体" w:eastAsia="宋体" w:cs="宋体"/>
          <w:sz w:val="24"/>
          <w:szCs w:val="21"/>
          <w:lang w:eastAsia="zh-CN"/>
        </w:rPr>
        <w:t>招标文件的购买及下载</w:t>
      </w:r>
    </w:p>
    <w:p>
      <w:pPr>
        <w:ind w:left="15" w:leftChars="7" w:firstLine="422" w:firstLineChars="167"/>
        <w:rPr>
          <w:rFonts w:hint="eastAsia" w:ascii="宋体" w:hAnsi="宋体" w:eastAsia="宋体" w:cs="宋体"/>
          <w:b/>
          <w:bCs/>
          <w:color w:val="FF0000"/>
          <w:sz w:val="24"/>
          <w:szCs w:val="21"/>
          <w:lang w:eastAsia="zh-CN"/>
        </w:rPr>
      </w:pPr>
      <w:r>
        <w:rPr>
          <w:rFonts w:hint="eastAsia" w:ascii="宋体" w:hAnsi="宋体" w:eastAsia="宋体" w:cs="宋体"/>
          <w:b/>
          <w:bCs/>
          <w:color w:val="FF0000"/>
          <w:sz w:val="24"/>
          <w:szCs w:val="21"/>
          <w:lang w:eastAsia="zh-CN"/>
        </w:rPr>
        <w:t>2.1、请务必依据项目公告中说明进行费用缴纳，购买招标文件</w:t>
      </w:r>
      <w:r>
        <w:rPr>
          <w:rFonts w:hint="eastAsia" w:ascii="宋体" w:hAnsi="宋体" w:eastAsia="宋体" w:cs="宋体"/>
          <w:b/>
          <w:bCs/>
          <w:color w:val="FF0000"/>
          <w:sz w:val="24"/>
          <w:szCs w:val="21"/>
          <w:lang w:val="en-US" w:eastAsia="zh-CN"/>
        </w:rPr>
        <w:t>采用</w:t>
      </w:r>
      <w:r>
        <w:rPr>
          <w:rFonts w:hint="eastAsia" w:ascii="宋体" w:hAnsi="宋体" w:eastAsia="宋体" w:cs="宋体"/>
          <w:b/>
          <w:bCs/>
          <w:color w:val="FF0000"/>
          <w:sz w:val="24"/>
          <w:szCs w:val="21"/>
          <w:lang w:eastAsia="zh-CN"/>
        </w:rPr>
        <w:t>网银支付（必须使用个人网银，</w:t>
      </w:r>
      <w:r>
        <w:rPr>
          <w:rFonts w:hint="eastAsia" w:ascii="宋体" w:hAnsi="宋体" w:eastAsia="宋体" w:cs="宋体"/>
          <w:b/>
          <w:bCs/>
          <w:color w:val="FF0000"/>
          <w:sz w:val="24"/>
          <w:szCs w:val="21"/>
          <w:lang w:val="en-US" w:eastAsia="zh-CN"/>
        </w:rPr>
        <w:t>不支持公对公</w:t>
      </w:r>
      <w:r>
        <w:rPr>
          <w:rFonts w:hint="eastAsia" w:ascii="宋体" w:hAnsi="宋体" w:eastAsia="宋体" w:cs="宋体"/>
          <w:b/>
          <w:bCs/>
          <w:color w:val="FF0000"/>
          <w:sz w:val="24"/>
          <w:szCs w:val="21"/>
          <w:lang w:eastAsia="zh-CN"/>
        </w:rPr>
        <w:t>）。</w:t>
      </w:r>
    </w:p>
    <w:p>
      <w:pPr>
        <w:ind w:left="15" w:leftChars="7" w:firstLine="422" w:firstLineChars="167"/>
        <w:rPr>
          <w:rFonts w:hint="eastAsia" w:ascii="宋体" w:hAnsi="宋体" w:eastAsia="宋体" w:cs="宋体"/>
          <w:b/>
          <w:bCs/>
          <w:color w:val="FF0000"/>
          <w:sz w:val="24"/>
          <w:szCs w:val="21"/>
          <w:lang w:eastAsia="zh-CN"/>
        </w:rPr>
      </w:pPr>
      <w:r>
        <w:rPr>
          <w:rFonts w:hint="eastAsia" w:ascii="宋体" w:hAnsi="宋体" w:eastAsia="宋体" w:cs="宋体"/>
          <w:b/>
          <w:bCs/>
          <w:color w:val="FF0000"/>
          <w:sz w:val="24"/>
          <w:szCs w:val="21"/>
          <w:lang w:eastAsia="zh-CN"/>
        </w:rPr>
        <w:t>在网银支付中，网页会跳转到银行的支付页面，只支持非昆仑银行个人</w:t>
      </w:r>
      <w:r>
        <w:rPr>
          <w:rFonts w:hint="eastAsia" w:ascii="宋体" w:hAnsi="宋体" w:eastAsia="宋体" w:cs="宋体"/>
          <w:b/>
          <w:bCs/>
          <w:color w:val="FF0000"/>
          <w:sz w:val="24"/>
          <w:szCs w:val="21"/>
          <w:lang w:val="en-US" w:eastAsia="zh-CN"/>
        </w:rPr>
        <w:t>账户</w:t>
      </w:r>
      <w:r>
        <w:rPr>
          <w:rFonts w:hint="eastAsia" w:ascii="宋体" w:hAnsi="宋体" w:eastAsia="宋体" w:cs="宋体"/>
          <w:b/>
          <w:bCs/>
          <w:color w:val="FF0000"/>
          <w:sz w:val="24"/>
          <w:szCs w:val="21"/>
          <w:lang w:eastAsia="zh-CN"/>
        </w:rPr>
        <w:t>支付，</w:t>
      </w:r>
      <w:r>
        <w:rPr>
          <w:rFonts w:hint="eastAsia" w:ascii="宋体" w:hAnsi="宋体" w:eastAsia="宋体" w:cs="宋体"/>
          <w:b/>
          <w:bCs/>
          <w:color w:val="FF0000"/>
          <w:sz w:val="24"/>
          <w:szCs w:val="21"/>
          <w:lang w:val="en-US" w:eastAsia="zh-CN"/>
        </w:rPr>
        <w:t>不建议选择农业银行、工商银行、中国银行（易存在报错等情况），建议采用“建设银行”下载建行APP，扫码支付更便于核对到账信息</w:t>
      </w:r>
      <w:r>
        <w:rPr>
          <w:rFonts w:hint="eastAsia" w:ascii="宋体" w:hAnsi="宋体" w:eastAsia="宋体" w:cs="宋体"/>
          <w:b/>
          <w:bCs/>
          <w:color w:val="FF0000"/>
          <w:sz w:val="24"/>
          <w:szCs w:val="21"/>
          <w:lang w:eastAsia="zh-CN"/>
        </w:rPr>
        <w:t>。</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注：①如果未跳转到选择银行界面，浏览器将弹窗阻止，请搜索对应浏览器设置方法，设置</w:t>
      </w:r>
      <w:r>
        <w:rPr>
          <w:rFonts w:hint="eastAsia" w:ascii="宋体" w:hAnsi="宋体" w:eastAsia="宋体" w:cs="宋体"/>
          <w:sz w:val="24"/>
          <w:szCs w:val="21"/>
          <w:lang w:val="en-US" w:eastAsia="zh-CN"/>
        </w:rPr>
        <w:t>完成</w:t>
      </w:r>
      <w:r>
        <w:rPr>
          <w:rFonts w:hint="eastAsia" w:ascii="宋体" w:hAnsi="宋体" w:eastAsia="宋体" w:cs="宋体"/>
          <w:sz w:val="24"/>
          <w:szCs w:val="21"/>
          <w:lang w:eastAsia="zh-CN"/>
        </w:rPr>
        <w:t>后，再次点击购买。②如果个人网银已经扣费，请勿撤销订单，点击获取订单状态和支付状态刷新按钮刷新即可，若支付成功后，不小心撤销订单，只能重新支付。重复标书费将在项目结束后退回。</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2.2、投标人找到要下载的招标项目，点击进入该项目的主控台，点击发标后进行招标文件下载。</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2.3、招标文件一经发售（或下载），标书费不予退还。</w:t>
      </w:r>
    </w:p>
    <w:p>
      <w:pPr>
        <w:numPr>
          <w:ilvl w:val="0"/>
          <w:numId w:val="1"/>
        </w:numPr>
        <w:autoSpaceDE w:val="0"/>
        <w:autoSpaceDN w:val="0"/>
        <w:adjustRightInd w:val="0"/>
        <w:ind w:left="481" w:leftChars="0" w:hanging="481" w:hangingChars="190"/>
        <w:rPr>
          <w:rFonts w:hint="eastAsia" w:ascii="宋体" w:hAnsi="宋体" w:eastAsia="宋体" w:cs="宋体"/>
          <w:b/>
          <w:bCs/>
          <w:color w:val="FF0000"/>
          <w:sz w:val="24"/>
          <w:szCs w:val="21"/>
        </w:rPr>
      </w:pPr>
      <w:r>
        <w:rPr>
          <w:rFonts w:hint="eastAsia" w:ascii="宋体" w:hAnsi="宋体" w:eastAsia="宋体" w:cs="宋体"/>
          <w:b/>
          <w:bCs/>
          <w:color w:val="FF0000"/>
          <w:sz w:val="24"/>
          <w:szCs w:val="21"/>
        </w:rPr>
        <w:t>招标文件的澄清</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3.1、潜在投标人对招标文件的疑问，请务必在招标文件规定的时间内以书面形式一次性提出。</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3.2、对疑问的答复或对招标文件的澄清，我中心将在中国石油电子招标投标交易平台发布，请各潜在投标人在投标文件递交截止时间前时刻关注。若因潜在投标人未及时查看而遗漏信息，影响投标的，由潜在投标人自行负责。</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3.3、如果澄清内容变更了招标文件结构化格式，请投标人重新下载结构化招标文件（包括后缀为.ebid的文件），重新编辑并上传投标文件。因投标人未下载变更后的结构化招标文件，造成上传的投标文件解密不成功等后果，由投标人自行承担。</w:t>
      </w:r>
    </w:p>
    <w:p>
      <w:pPr>
        <w:numPr>
          <w:ilvl w:val="0"/>
          <w:numId w:val="1"/>
        </w:numPr>
        <w:autoSpaceDE w:val="0"/>
        <w:autoSpaceDN w:val="0"/>
        <w:adjustRightInd w:val="0"/>
        <w:ind w:left="478" w:leftChars="0" w:hanging="478" w:hangingChars="190"/>
        <w:rPr>
          <w:rFonts w:hint="eastAsia" w:ascii="宋体" w:hAnsi="宋体" w:eastAsia="宋体" w:cs="宋体"/>
          <w:sz w:val="24"/>
          <w:szCs w:val="21"/>
          <w:lang w:eastAsia="zh-CN"/>
        </w:rPr>
      </w:pPr>
      <w:r>
        <w:rPr>
          <w:rFonts w:hint="eastAsia" w:ascii="宋体" w:hAnsi="宋体" w:eastAsia="宋体" w:cs="宋体"/>
          <w:sz w:val="24"/>
          <w:szCs w:val="21"/>
          <w:lang w:eastAsia="zh-CN"/>
        </w:rPr>
        <w:t>投标文件（编制、递交）</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4.1、潜在投标人须使用中国石油电子招标投标交易平台“投标客户端”编制投标文件，按照操作要求进行投标文件的编制、签名、加密、上传及验签操作，并保证投标文件的完整性。</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4.2、电子招标投标办法第二十七条规定“投标人应当在投标截止时间前完成投标文件的传输递交，并可以补充、修改或者撤回投标文件。投标截止时间前未完成投标文件传输的，视为撤回投标文件。投标截止时间后送达的投标文件，电子招标投标交易平台应当拒收”。</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4.3、投标人应充分考虑网络带宽、众多投标人并发上传等因素，可能导致无法在投标截止时间前完成投标文件的上传和验签事宜，建议采取以下方式：</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①使用良好的网络环境，确保足够带宽，特别是上行带宽；</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②系统完全可以保证投标文件在开标前不会被解密，因此建议投标人在投标截止时间前24小时完成投标文件的提交。充分预留投标文件上传所需要的时间，尤其避免在临近截止时间前才开始上传而造成的网络拥堵；</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③电子扫描件和电子图片等，请使用合适的分辨率，在保证内容清晰的情况下避免过高分辨率导致文件过大。</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④投标人应在5.2规定的投标截止时间前通过“中国石油电子招标投标交易平台”递交电子投标文件；（为避免受网速及网站技术支持工作时间的影响，建议于投标截止时间前24小时完成网上电子投标文件的递交。）投标截止时间前未被系统成功传送的电子投标文件将不被接受，视为主动撤回投标文件。</w:t>
      </w:r>
    </w:p>
    <w:p>
      <w:pPr>
        <w:ind w:left="15" w:leftChars="7" w:firstLine="420" w:firstLineChars="167"/>
        <w:rPr>
          <w:rFonts w:hint="default" w:ascii="宋体" w:hAnsi="宋体" w:eastAsia="宋体" w:cs="宋体"/>
          <w:sz w:val="24"/>
          <w:szCs w:val="21"/>
          <w:lang w:val="en-US" w:eastAsia="zh-CN"/>
        </w:rPr>
      </w:pPr>
      <w:r>
        <w:rPr>
          <w:rFonts w:hint="eastAsia" w:ascii="宋体" w:hAnsi="宋体" w:eastAsia="宋体" w:cs="宋体"/>
          <w:sz w:val="24"/>
          <w:szCs w:val="21"/>
          <w:lang w:eastAsia="zh-CN"/>
        </w:rPr>
        <w:t>⑤此次招标采购项目为全流程网上操作，投标人需要使用中国石油电子招标投标交易平台的</w:t>
      </w:r>
      <w:r>
        <w:rPr>
          <w:rFonts w:hint="eastAsia" w:ascii="宋体" w:hAnsi="宋体" w:eastAsia="宋体" w:cs="宋体"/>
          <w:b/>
          <w:bCs/>
          <w:color w:val="FF0000"/>
          <w:sz w:val="24"/>
          <w:szCs w:val="21"/>
          <w:lang w:eastAsia="zh-CN"/>
        </w:rPr>
        <w:t>U-</w:t>
      </w:r>
      <w:r>
        <w:rPr>
          <w:rFonts w:hint="eastAsia" w:ascii="宋体" w:hAnsi="宋体" w:eastAsia="宋体" w:cs="宋体"/>
          <w:b/>
          <w:bCs/>
          <w:color w:val="FF0000"/>
          <w:sz w:val="24"/>
          <w:szCs w:val="21"/>
          <w:lang w:val="en-US" w:eastAsia="zh-CN"/>
        </w:rPr>
        <w:t>K</w:t>
      </w:r>
      <w:r>
        <w:rPr>
          <w:rFonts w:hint="eastAsia" w:ascii="宋体" w:hAnsi="宋体" w:eastAsia="宋体" w:cs="宋体"/>
          <w:b/>
          <w:bCs/>
          <w:color w:val="FF0000"/>
          <w:sz w:val="24"/>
          <w:szCs w:val="21"/>
          <w:lang w:eastAsia="zh-CN"/>
        </w:rPr>
        <w:t>ey</w:t>
      </w:r>
      <w:r>
        <w:rPr>
          <w:rFonts w:hint="eastAsia" w:ascii="宋体" w:hAnsi="宋体" w:eastAsia="宋体" w:cs="宋体"/>
          <w:sz w:val="24"/>
          <w:szCs w:val="21"/>
          <w:lang w:eastAsia="zh-CN"/>
        </w:rPr>
        <w:t>才能完成投标工作，因此要求所有参与本次采购招标的投标人必须办理</w:t>
      </w:r>
      <w:r>
        <w:rPr>
          <w:rFonts w:hint="eastAsia" w:ascii="宋体" w:hAnsi="宋体" w:eastAsia="宋体" w:cs="宋体"/>
          <w:b/>
          <w:bCs/>
          <w:color w:val="FF0000"/>
          <w:sz w:val="24"/>
          <w:szCs w:val="21"/>
          <w:lang w:eastAsia="zh-CN"/>
        </w:rPr>
        <w:t>U-</w:t>
      </w:r>
      <w:r>
        <w:rPr>
          <w:rFonts w:hint="eastAsia" w:ascii="宋体" w:hAnsi="宋体" w:eastAsia="宋体" w:cs="宋体"/>
          <w:b/>
          <w:bCs/>
          <w:color w:val="FF0000"/>
          <w:sz w:val="24"/>
          <w:szCs w:val="21"/>
          <w:lang w:val="en-US" w:eastAsia="zh-CN"/>
        </w:rPr>
        <w:t>K</w:t>
      </w:r>
      <w:r>
        <w:rPr>
          <w:rFonts w:hint="eastAsia" w:ascii="宋体" w:hAnsi="宋体" w:eastAsia="宋体" w:cs="宋体"/>
          <w:b/>
          <w:bCs/>
          <w:color w:val="FF0000"/>
          <w:sz w:val="24"/>
          <w:szCs w:val="21"/>
          <w:lang w:eastAsia="zh-CN"/>
        </w:rPr>
        <w:t>ey</w:t>
      </w:r>
      <w:r>
        <w:rPr>
          <w:rFonts w:hint="eastAsia" w:ascii="宋体" w:hAnsi="宋体" w:eastAsia="宋体" w:cs="宋体"/>
          <w:sz w:val="24"/>
          <w:szCs w:val="21"/>
          <w:lang w:eastAsia="zh-CN"/>
        </w:rPr>
        <w:t>（具体操作请参考中国石油招标投标网首页-操作指南-《关于招标平台</w:t>
      </w:r>
      <w:r>
        <w:rPr>
          <w:rFonts w:hint="eastAsia" w:ascii="宋体" w:hAnsi="宋体" w:eastAsia="宋体" w:cs="宋体"/>
          <w:b/>
          <w:bCs/>
          <w:color w:val="FF0000"/>
          <w:sz w:val="24"/>
          <w:szCs w:val="21"/>
          <w:lang w:eastAsia="zh-CN"/>
        </w:rPr>
        <w:t>U-</w:t>
      </w:r>
      <w:r>
        <w:rPr>
          <w:rFonts w:hint="eastAsia" w:ascii="宋体" w:hAnsi="宋体" w:eastAsia="宋体" w:cs="宋体"/>
          <w:b/>
          <w:bCs/>
          <w:color w:val="FF0000"/>
          <w:sz w:val="24"/>
          <w:szCs w:val="21"/>
          <w:lang w:val="en-US" w:eastAsia="zh-CN"/>
        </w:rPr>
        <w:t>K</w:t>
      </w:r>
      <w:r>
        <w:rPr>
          <w:rFonts w:hint="eastAsia" w:ascii="宋体" w:hAnsi="宋体" w:eastAsia="宋体" w:cs="宋体"/>
          <w:b/>
          <w:bCs/>
          <w:color w:val="FF0000"/>
          <w:sz w:val="24"/>
          <w:szCs w:val="21"/>
          <w:lang w:eastAsia="zh-CN"/>
        </w:rPr>
        <w:t>ey</w:t>
      </w:r>
      <w:r>
        <w:rPr>
          <w:rFonts w:hint="eastAsia" w:ascii="宋体" w:hAnsi="宋体" w:eastAsia="宋体" w:cs="宋体"/>
          <w:sz w:val="24"/>
          <w:szCs w:val="21"/>
          <w:lang w:eastAsia="zh-CN"/>
        </w:rPr>
        <w:t>办理和信息注册维护通知》）。其他具体操作请参考中国石油招标投标网操作指南中“电子招投标平台投标人操作视频（</w:t>
      </w:r>
      <w:r>
        <w:rPr>
          <w:rFonts w:hint="eastAsia" w:ascii="宋体" w:hAnsi="宋体" w:eastAsia="宋体" w:cs="宋体"/>
          <w:sz w:val="24"/>
          <w:szCs w:val="21"/>
          <w:lang w:val="en-US" w:eastAsia="zh-CN"/>
        </w:rPr>
        <w:t>一</w:t>
      </w:r>
      <w:r>
        <w:rPr>
          <w:rFonts w:hint="eastAsia" w:ascii="宋体" w:hAnsi="宋体" w:eastAsia="宋体" w:cs="宋体"/>
          <w:sz w:val="24"/>
          <w:szCs w:val="21"/>
          <w:lang w:eastAsia="zh-CN"/>
        </w:rPr>
        <w:t>）、（二）”的相关章节，有关注册、报名等交易平台的操作问题也可咨询技术支持团队相关人员，咨询电话:4008800114</w:t>
      </w:r>
      <w:r>
        <w:rPr>
          <w:rFonts w:hint="eastAsia" w:ascii="宋体" w:hAnsi="宋体" w:eastAsia="宋体" w:cs="宋体"/>
          <w:sz w:val="24"/>
          <w:szCs w:val="21"/>
          <w:lang w:val="en-US" w:eastAsia="zh-CN"/>
        </w:rPr>
        <w:t>语音导航“电子招标平台”、邮箱：energyahead@cnpc.com.cn</w:t>
      </w:r>
      <w:r>
        <w:rPr>
          <w:rFonts w:hint="eastAsia" w:ascii="宋体" w:hAnsi="宋体" w:eastAsia="宋体" w:cs="宋体"/>
          <w:sz w:val="24"/>
          <w:szCs w:val="21"/>
          <w:lang w:eastAsia="zh-CN"/>
        </w:rPr>
        <w:t>。</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4.4、如果招标文件要求，投标人资格审查时需提交或出示资格证明文件原件的，若因年检、增资、变更等特殊原因无法提交原件时，应提供发证机关出具的有效证明文件。否则投标将被否决。</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4.</w:t>
      </w:r>
      <w:r>
        <w:rPr>
          <w:rFonts w:hint="eastAsia" w:ascii="宋体" w:hAnsi="宋体" w:eastAsia="宋体" w:cs="宋体"/>
          <w:sz w:val="24"/>
          <w:szCs w:val="21"/>
          <w:lang w:val="en-US" w:eastAsia="zh-CN"/>
        </w:rPr>
        <w:t>5</w:t>
      </w:r>
      <w:r>
        <w:rPr>
          <w:rFonts w:hint="eastAsia" w:ascii="宋体" w:hAnsi="宋体" w:eastAsia="宋体" w:cs="宋体"/>
          <w:sz w:val="24"/>
          <w:szCs w:val="21"/>
          <w:lang w:eastAsia="zh-CN"/>
        </w:rPr>
        <w:t>、投标人应对其提供的投标文件和资料的真实性、有效性、合法性及完整性负责。提供虚假资料的，我们将依照招标投标相关法律法规进行处理</w:t>
      </w:r>
    </w:p>
    <w:p>
      <w:pPr>
        <w:numPr>
          <w:ilvl w:val="0"/>
          <w:numId w:val="1"/>
        </w:numPr>
        <w:autoSpaceDE w:val="0"/>
        <w:autoSpaceDN w:val="0"/>
        <w:adjustRightInd w:val="0"/>
        <w:ind w:left="478" w:leftChars="0" w:hanging="478" w:hangingChars="190"/>
        <w:rPr>
          <w:rFonts w:hint="eastAsia" w:ascii="宋体" w:hAnsi="宋体" w:eastAsia="宋体" w:cs="宋体"/>
          <w:sz w:val="24"/>
          <w:szCs w:val="21"/>
          <w:lang w:eastAsia="zh-CN"/>
        </w:rPr>
      </w:pPr>
      <w:r>
        <w:rPr>
          <w:rFonts w:hint="eastAsia" w:ascii="宋体" w:hAnsi="宋体" w:eastAsia="宋体" w:cs="宋体"/>
          <w:sz w:val="24"/>
          <w:szCs w:val="21"/>
          <w:lang w:eastAsia="zh-CN"/>
        </w:rPr>
        <w:t>投标保证金递交</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5.1、投标人在线提交投标保证金，需要投标人在平台建立钱包，选择包，点击【支付】按钮，支付完成后，点击【刷新】，即可查看支付状态。</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5.2、投标保证金应以投标公司名义提交，切勿以个人或其他单位名义提交。</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5.3、投标保证金应从投标人的</w:t>
      </w:r>
      <w:r>
        <w:rPr>
          <w:rFonts w:hint="eastAsia" w:ascii="宋体" w:hAnsi="宋体" w:eastAsia="宋体" w:cs="宋体"/>
          <w:b/>
          <w:bCs/>
          <w:color w:val="FF0000"/>
          <w:sz w:val="24"/>
          <w:szCs w:val="21"/>
          <w:lang w:eastAsia="zh-CN"/>
        </w:rPr>
        <w:t>基本账户</w:t>
      </w:r>
      <w:r>
        <w:rPr>
          <w:rFonts w:hint="eastAsia" w:ascii="宋体" w:hAnsi="宋体" w:eastAsia="宋体" w:cs="宋体"/>
          <w:sz w:val="24"/>
          <w:szCs w:val="21"/>
          <w:lang w:eastAsia="zh-CN"/>
        </w:rPr>
        <w:t>转出，我们将以实际到账时间作为判定标准，请尽量在</w:t>
      </w:r>
      <w:r>
        <w:rPr>
          <w:rFonts w:hint="eastAsia" w:ascii="宋体" w:hAnsi="宋体" w:eastAsia="宋体" w:cs="宋体"/>
          <w:b/>
          <w:bCs/>
          <w:color w:val="FF0000"/>
          <w:sz w:val="24"/>
          <w:szCs w:val="21"/>
          <w:lang w:eastAsia="zh-CN"/>
        </w:rPr>
        <w:t>开标前三</w:t>
      </w:r>
      <w:r>
        <w:rPr>
          <w:rFonts w:hint="eastAsia" w:ascii="宋体" w:hAnsi="宋体" w:eastAsia="宋体" w:cs="宋体"/>
          <w:b/>
          <w:bCs/>
          <w:color w:val="FF0000"/>
          <w:sz w:val="24"/>
          <w:szCs w:val="21"/>
          <w:lang w:val="en-US" w:eastAsia="zh-CN"/>
        </w:rPr>
        <w:t>个工作日</w:t>
      </w:r>
      <w:r>
        <w:rPr>
          <w:rFonts w:hint="eastAsia" w:ascii="宋体" w:hAnsi="宋体" w:eastAsia="宋体" w:cs="宋体"/>
          <w:sz w:val="24"/>
          <w:szCs w:val="21"/>
          <w:lang w:eastAsia="zh-CN"/>
        </w:rPr>
        <w:t>按照招标文件要求的金额及形式办理完毕。</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5.4、招标结束后，我中心退还投标保证金。</w:t>
      </w:r>
    </w:p>
    <w:p>
      <w:pPr>
        <w:numPr>
          <w:ilvl w:val="0"/>
          <w:numId w:val="1"/>
        </w:numPr>
        <w:autoSpaceDE w:val="0"/>
        <w:autoSpaceDN w:val="0"/>
        <w:adjustRightInd w:val="0"/>
        <w:ind w:left="478" w:leftChars="0" w:hanging="478" w:hangingChars="190"/>
        <w:rPr>
          <w:rFonts w:hint="eastAsia" w:ascii="宋体" w:hAnsi="宋体" w:eastAsia="宋体" w:cs="宋体"/>
          <w:sz w:val="24"/>
          <w:szCs w:val="21"/>
          <w:lang w:eastAsia="zh-CN"/>
        </w:rPr>
      </w:pPr>
      <w:r>
        <w:rPr>
          <w:rFonts w:hint="eastAsia" w:ascii="宋体" w:hAnsi="宋体" w:eastAsia="宋体" w:cs="宋体"/>
          <w:sz w:val="24"/>
          <w:szCs w:val="21"/>
          <w:lang w:eastAsia="zh-CN"/>
        </w:rPr>
        <w:t>意见或建议</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我中心在涿州市甲秀路科技楼B座六楼楼梯间设置了投标人意见箱，投标经办人可对招标程序、评委评审、招标组织等招标全过程的任何管理工作提出意见或建议。意见箱由上级管理部门定期开启。也可以扫描下方二维码，提交您的意见或建议。我们将认真听取和研究，并在以后的工作中努力改进，使我们的招标工作日趋完善。</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本提示系提请潜在投标人注意事项，不作为招标文件的组成部分。请各潜在投标人严格按照招标文件的要求编制投标文件及处理投标相关事宜。</w:t>
      </w:r>
    </w:p>
    <w:p>
      <w:pPr>
        <w:ind w:left="15" w:leftChars="7" w:firstLine="420" w:firstLineChars="167"/>
        <w:rPr>
          <w:rFonts w:hint="eastAsia" w:ascii="宋体" w:hAnsi="宋体" w:eastAsia="宋体" w:cs="宋体"/>
          <w:sz w:val="24"/>
          <w:szCs w:val="21"/>
          <w:lang w:eastAsia="zh-CN"/>
        </w:rPr>
      </w:pPr>
      <w:r>
        <w:rPr>
          <w:rFonts w:hint="eastAsia" w:ascii="宋体" w:hAnsi="宋体" w:eastAsia="宋体" w:cs="宋体"/>
          <w:sz w:val="24"/>
          <w:szCs w:val="21"/>
          <w:lang w:eastAsia="zh-CN"/>
        </w:rPr>
        <w:t>欢迎贵司参与本项目的投标，也感谢对我们工作的支持和理解。</w:t>
      </w:r>
    </w:p>
    <w:p>
      <w:pPr>
        <w:ind w:firstLine="480"/>
        <w:rPr>
          <w:rFonts w:hint="eastAsia" w:ascii="宋体" w:hAnsi="宋体" w:eastAsia="宋体" w:cs="宋体"/>
          <w:sz w:val="24"/>
          <w:szCs w:val="21"/>
        </w:rPr>
      </w:pPr>
      <w:r>
        <w:rPr>
          <w:rFonts w:hint="eastAsia" w:ascii="宋体" w:hAnsi="宋体" w:eastAsia="宋体" w:cs="宋体"/>
          <w:sz w:val="24"/>
          <w:szCs w:val="21"/>
        </w:rPr>
        <w:drawing>
          <wp:inline distT="0" distB="0" distL="114300" distR="114300">
            <wp:extent cx="1257935" cy="1257935"/>
            <wp:effectExtent l="0" t="0" r="12065" b="12065"/>
            <wp:docPr id="1" name="图片 1" descr="投标人意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投标人意见"/>
                    <pic:cNvPicPr>
                      <a:picLocks noChangeAspect="1"/>
                    </pic:cNvPicPr>
                  </pic:nvPicPr>
                  <pic:blipFill>
                    <a:blip r:embed="rId6"/>
                    <a:stretch>
                      <a:fillRect/>
                    </a:stretch>
                  </pic:blipFill>
                  <pic:spPr>
                    <a:xfrm>
                      <a:off x="0" y="0"/>
                      <a:ext cx="1257935" cy="1257935"/>
                    </a:xfrm>
                    <a:prstGeom prst="rect">
                      <a:avLst/>
                    </a:prstGeom>
                    <a:noFill/>
                    <a:ln>
                      <a:noFill/>
                    </a:ln>
                  </pic:spPr>
                </pic:pic>
              </a:graphicData>
            </a:graphic>
          </wp:inline>
        </w:drawing>
      </w:r>
    </w:p>
    <w:p>
      <w:pPr>
        <w:ind w:firstLine="480"/>
        <w:jc w:val="center"/>
        <w:rPr>
          <w:rFonts w:hint="eastAsia" w:ascii="宋体" w:hAnsi="宋体" w:eastAsia="宋体" w:cs="宋体"/>
          <w:sz w:val="24"/>
          <w:szCs w:val="21"/>
        </w:rPr>
      </w:pPr>
      <w:r>
        <w:rPr>
          <w:rFonts w:hint="eastAsia" w:ascii="宋体" w:hAnsi="宋体" w:eastAsia="宋体" w:cs="宋体"/>
          <w:sz w:val="24"/>
          <w:szCs w:val="21"/>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190500</wp:posOffset>
                </wp:positionV>
                <wp:extent cx="5664200" cy="0"/>
                <wp:effectExtent l="0" t="6350" r="0" b="6350"/>
                <wp:wrapNone/>
                <wp:docPr id="2" name="直接箭头连接符 2"/>
                <wp:cNvGraphicFramePr/>
                <a:graphic xmlns:a="http://schemas.openxmlformats.org/drawingml/2006/main">
                  <a:graphicData uri="http://schemas.microsoft.com/office/word/2010/wordprocessingShape">
                    <wps:wsp>
                      <wps:cNvCnPr/>
                      <wps:spPr>
                        <a:xfrm>
                          <a:off x="0" y="0"/>
                          <a:ext cx="5664200" cy="0"/>
                        </a:xfrm>
                        <a:prstGeom prst="straightConnector1">
                          <a:avLst/>
                        </a:prstGeom>
                        <a:ln w="12700" cap="flat" cmpd="sng">
                          <a:solidFill>
                            <a:srgbClr val="000000"/>
                          </a:solidFill>
                          <a:prstDash val="dashDot"/>
                          <a:headEnd type="none" w="med" len="med"/>
                          <a:tailEnd type="none" w="med" len="med"/>
                        </a:ln>
                      </wps:spPr>
                      <wps:bodyPr/>
                    </wps:wsp>
                  </a:graphicData>
                </a:graphic>
              </wp:anchor>
            </w:drawing>
          </mc:Choice>
          <mc:Fallback>
            <w:pict>
              <v:shape id="_x0000_s1026" o:spid="_x0000_s1026" o:spt="32" type="#_x0000_t32" style="position:absolute;left:0pt;margin-left:1.5pt;margin-top:15pt;height:0pt;width:446pt;z-index:251659264;mso-width-relative:page;mso-height-relative:page;" o:connectortype="straight" filled="f" stroked="t" coordsize="21600,21600" o:gfxdata="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8ArYodMAAAAHAQAADwAAAAAAAAABACAAAAAiAAAAZHJzL2Rvd25yZXYueG1s&#10;UEsBAhQAFAAAAAgAh07iQEqKft79AQAA7wMAAA4AAAAAAAAAAQAgAAAAIgEAAGRycy9lMm9Eb2Mu&#10;eG1sUEsFBgAAAAAGAAYAWQEAAJEFAAAAAA==&#10;">
                <v:path arrowok="t"/>
                <v:fill on="f" focussize="0,0"/>
                <v:stroke weight="1pt" dashstyle="dashDot"/>
                <v:imagedata o:title=""/>
                <o:lock v:ext="edit"/>
              </v:shape>
            </w:pict>
          </mc:Fallback>
        </mc:AlternateContent>
      </w:r>
    </w:p>
    <w:p>
      <w:pPr>
        <w:ind w:firstLine="504"/>
        <w:jc w:val="center"/>
        <w:rPr>
          <w:rFonts w:hint="eastAsia" w:ascii="宋体" w:hAnsi="宋体" w:eastAsia="宋体" w:cs="宋体"/>
          <w:sz w:val="24"/>
          <w:szCs w:val="21"/>
          <w:lang w:eastAsia="zh-CN"/>
        </w:rPr>
      </w:pPr>
      <w:r>
        <w:rPr>
          <w:rFonts w:hint="eastAsia" w:ascii="宋体" w:hAnsi="宋体" w:eastAsia="宋体" w:cs="宋体"/>
          <w:sz w:val="24"/>
          <w:szCs w:val="21"/>
          <w:lang w:eastAsia="zh-CN"/>
        </w:rPr>
        <w:t>回    执</w:t>
      </w:r>
    </w:p>
    <w:p>
      <w:pPr>
        <w:ind w:firstLine="504"/>
        <w:rPr>
          <w:rFonts w:hint="eastAsia" w:ascii="宋体" w:hAnsi="宋体" w:eastAsia="宋体" w:cs="宋体"/>
          <w:sz w:val="24"/>
          <w:szCs w:val="21"/>
          <w:lang w:eastAsia="zh-CN"/>
        </w:rPr>
      </w:pPr>
      <w:r>
        <w:rPr>
          <w:rFonts w:hint="eastAsia" w:ascii="宋体" w:hAnsi="宋体" w:eastAsia="宋体" w:cs="宋体"/>
          <w:sz w:val="24"/>
          <w:szCs w:val="21"/>
          <w:lang w:eastAsia="zh-CN"/>
        </w:rPr>
        <w:t>上述内容我方已认真阅读，对内容条款了解清楚完全同意，并承诺严格遵守执行上述条款。</w:t>
      </w:r>
    </w:p>
    <w:p>
      <w:pPr>
        <w:pStyle w:val="4"/>
        <w:spacing w:line="360" w:lineRule="auto"/>
        <w:ind w:left="720" w:right="1120" w:firstLine="560"/>
        <w:jc w:val="center"/>
        <w:rPr>
          <w:rFonts w:hint="eastAsia" w:ascii="宋体" w:hAnsi="宋体" w:eastAsia="宋体" w:cs="宋体"/>
          <w:sz w:val="28"/>
          <w:szCs w:val="28"/>
        </w:rPr>
      </w:pPr>
    </w:p>
    <w:p>
      <w:pPr>
        <w:ind w:firstLine="2825" w:firstLineChars="1117"/>
        <w:rPr>
          <w:rFonts w:hint="eastAsia" w:ascii="宋体" w:hAnsi="宋体" w:eastAsia="宋体" w:cs="宋体"/>
          <w:b/>
          <w:sz w:val="24"/>
          <w:szCs w:val="21"/>
          <w:lang w:eastAsia="zh-CN"/>
        </w:rPr>
      </w:pPr>
      <w:r>
        <w:rPr>
          <w:rFonts w:hint="eastAsia" w:ascii="宋体" w:hAnsi="宋体" w:eastAsia="宋体" w:cs="宋体"/>
          <w:b/>
          <w:sz w:val="24"/>
          <w:szCs w:val="21"/>
          <w:lang w:eastAsia="zh-CN"/>
        </w:rPr>
        <w:t>法定代表人（或授权委托人）签字：</w:t>
      </w:r>
    </w:p>
    <w:p>
      <w:pPr>
        <w:ind w:firstLine="2825" w:firstLineChars="1117"/>
        <w:rPr>
          <w:rFonts w:hint="eastAsia" w:ascii="宋体" w:hAnsi="宋体" w:eastAsia="宋体" w:cs="宋体"/>
          <w:b/>
          <w:sz w:val="24"/>
          <w:szCs w:val="21"/>
          <w:lang w:eastAsia="zh-CN"/>
        </w:rPr>
      </w:pPr>
      <w:r>
        <w:rPr>
          <w:rFonts w:hint="eastAsia" w:ascii="宋体" w:hAnsi="宋体" w:eastAsia="宋体" w:cs="宋体"/>
          <w:b/>
          <w:sz w:val="24"/>
          <w:szCs w:val="21"/>
          <w:lang w:eastAsia="zh-CN"/>
        </w:rPr>
        <w:t>单位名称（盖章）:</w:t>
      </w:r>
    </w:p>
    <w:p>
      <w:pPr>
        <w:ind w:firstLine="504"/>
        <w:jc w:val="right"/>
        <w:rPr>
          <w:rFonts w:hint="eastAsia" w:ascii="宋体" w:hAnsi="宋体" w:eastAsia="宋体" w:cs="宋体"/>
          <w:b/>
          <w:sz w:val="24"/>
          <w:szCs w:val="21"/>
          <w:lang w:eastAsia="zh-CN"/>
        </w:rPr>
      </w:pPr>
      <w:r>
        <w:rPr>
          <w:rFonts w:hint="eastAsia" w:ascii="宋体" w:hAnsi="宋体" w:eastAsia="宋体" w:cs="宋体"/>
          <w:b/>
          <w:sz w:val="24"/>
          <w:szCs w:val="21"/>
          <w:lang w:eastAsia="zh-CN"/>
        </w:rPr>
        <w:t>日期:</w:t>
      </w:r>
      <w:r>
        <w:rPr>
          <w:rFonts w:hint="eastAsia" w:ascii="宋体" w:hAnsi="宋体" w:eastAsia="宋体" w:cs="宋体"/>
          <w:b/>
          <w:sz w:val="24"/>
          <w:szCs w:val="21"/>
          <w:u w:val="single"/>
          <w:lang w:eastAsia="zh-CN"/>
        </w:rPr>
        <w:t xml:space="preserve">   </w:t>
      </w:r>
      <w:r>
        <w:rPr>
          <w:rFonts w:hint="eastAsia" w:ascii="宋体" w:hAnsi="宋体" w:eastAsia="宋体" w:cs="宋体"/>
          <w:b/>
          <w:sz w:val="24"/>
          <w:szCs w:val="21"/>
          <w:lang w:eastAsia="zh-CN"/>
        </w:rPr>
        <w:t>年</w:t>
      </w:r>
      <w:r>
        <w:rPr>
          <w:rFonts w:hint="eastAsia" w:ascii="宋体" w:hAnsi="宋体" w:eastAsia="宋体" w:cs="宋体"/>
          <w:b/>
          <w:sz w:val="24"/>
          <w:szCs w:val="21"/>
          <w:u w:val="single"/>
          <w:lang w:eastAsia="zh-CN"/>
        </w:rPr>
        <w:t xml:space="preserve">   </w:t>
      </w:r>
      <w:r>
        <w:rPr>
          <w:rFonts w:hint="eastAsia" w:ascii="宋体" w:hAnsi="宋体" w:eastAsia="宋体" w:cs="宋体"/>
          <w:b/>
          <w:sz w:val="24"/>
          <w:szCs w:val="21"/>
          <w:lang w:eastAsia="zh-CN"/>
        </w:rPr>
        <w:t>月</w:t>
      </w:r>
      <w:r>
        <w:rPr>
          <w:rFonts w:hint="eastAsia" w:ascii="宋体" w:hAnsi="宋体" w:eastAsia="宋体" w:cs="宋体"/>
          <w:b/>
          <w:sz w:val="24"/>
          <w:szCs w:val="21"/>
          <w:u w:val="single"/>
          <w:lang w:eastAsia="zh-CN"/>
        </w:rPr>
        <w:t xml:space="preserve">   </w:t>
      </w:r>
      <w:r>
        <w:rPr>
          <w:rFonts w:hint="eastAsia" w:ascii="宋体" w:hAnsi="宋体" w:eastAsia="宋体" w:cs="宋体"/>
          <w:b/>
          <w:sz w:val="24"/>
          <w:szCs w:val="21"/>
          <w:lang w:eastAsia="zh-CN"/>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4"/>
      </w:pPr>
      <w:r>
        <w:separator/>
      </w:r>
    </w:p>
  </w:endnote>
  <w:endnote w:type="continuationSeparator" w:id="1">
    <w:p>
      <w:pPr>
        <w:spacing w:line="240" w:lineRule="auto"/>
        <w:ind w:firstLine="44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44"/>
      </w:pPr>
      <w:r>
        <w:separator/>
      </w:r>
    </w:p>
  </w:footnote>
  <w:footnote w:type="continuationSeparator" w:id="1">
    <w:p>
      <w:pPr>
        <w:spacing w:line="360" w:lineRule="auto"/>
        <w:ind w:firstLine="444"/>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9DC7B5"/>
    <w:multiLevelType w:val="singleLevel"/>
    <w:tmpl w:val="379DC7B5"/>
    <w:lvl w:ilvl="0" w:tentative="0">
      <w:start w:val="1"/>
      <w:numFmt w:val="decimal"/>
      <w:suff w:val="nothing"/>
      <w:lvlText w:val="%1、"/>
      <w:lvlJc w:val="left"/>
      <w:pPr>
        <w:ind w:left="48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2C266D6B"/>
    <w:rsid w:val="2C266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200" w:firstLineChars="200"/>
    </w:pPr>
    <w:rPr>
      <w:rFonts w:ascii="宋体" w:hAnsi="宋体" w:eastAsia="宋体" w:cs="Times New Roman"/>
      <w:spacing w:val="6"/>
      <w:sz w:val="21"/>
      <w:szCs w:val="22"/>
      <w:lang w:val="en-US" w:eastAsia="en-US" w:bidi="en-US"/>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widowControl w:val="0"/>
      <w:spacing w:line="240" w:lineRule="auto"/>
      <w:ind w:firstLine="420"/>
      <w:jc w:val="both"/>
    </w:pPr>
    <w:rPr>
      <w:rFonts w:ascii="Calibri" w:hAnsi="Calibri"/>
      <w:spacing w:val="0"/>
      <w:kern w:val="2"/>
      <w:lang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2024-07-02T04:52:00Z</dcterms:created>
  <dc:creator>3</dc:creator>
  <cp:lastModifiedBy>3</cp:lastModifiedBy>
  <dcterms:modified xsi:type="dcterms:W3CDTF">2024-07-02T04:53:06Z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D1EAE52FD98247CA929AC0ED341CDC5C_11</vt:lpwstr>
  </property>
</Properties>
</file>