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DE221">
      <w:pPr>
        <w:pStyle w:val="2"/>
        <w:keepNext w:val="0"/>
        <w:keepLines w:val="0"/>
        <w:pageBreakBefore w:val="0"/>
        <w:widowControl/>
        <w:numPr>
          <w:numId w:val="0"/>
        </w:numPr>
        <w:bidi w:val="0"/>
        <w:spacing w:line="480" w:lineRule="auto"/>
        <w:jc w:val="center"/>
        <w:rPr>
          <w:rFonts w:hint="eastAsia" w:ascii="宋体" w:hAnsi="宋体" w:eastAsia="宋体" w:cs="宋体"/>
          <w:highlight w:val="none"/>
          <w:shd w:val="clear" w:color="auto" w:fill="auto"/>
          <w:lang w:eastAsia="zh-CN"/>
        </w:rPr>
      </w:pPr>
      <w:bookmarkStart w:id="3" w:name="_GoBack"/>
      <w:bookmarkEnd w:id="3"/>
      <w:bookmarkStart w:id="0" w:name="_Toc12894"/>
      <w:bookmarkStart w:id="1" w:name="_Toc16168"/>
      <w:bookmarkStart w:id="2" w:name="_Toc1774"/>
      <w:r>
        <w:rPr>
          <w:rFonts w:hint="eastAsia" w:ascii="宋体" w:hAnsi="宋体" w:eastAsia="宋体" w:cs="宋体"/>
          <w:highlight w:val="none"/>
          <w:shd w:val="clear" w:color="auto" w:fill="auto"/>
          <w:lang w:val="en-US" w:eastAsia="zh-CN"/>
        </w:rPr>
        <w:t>采购范围及</w:t>
      </w:r>
      <w:bookmarkEnd w:id="0"/>
      <w:bookmarkEnd w:id="1"/>
      <w:r>
        <w:rPr>
          <w:rFonts w:hint="eastAsia" w:ascii="宋体" w:hAnsi="宋体" w:eastAsia="宋体" w:cs="宋体"/>
          <w:highlight w:val="none"/>
          <w:shd w:val="clear" w:color="auto" w:fill="auto"/>
          <w:lang w:val="en-US" w:eastAsia="zh-CN"/>
        </w:rPr>
        <w:t>要求</w:t>
      </w:r>
      <w:bookmarkEnd w:id="2"/>
    </w:p>
    <w:p w14:paraId="593D9B2B">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榆林低空经济公司与榆林市中心血站已就低空垂直起降设施建设及血液配送服务的低空物流合作内容初步达成一致。为保障该业务顺利开展及提供高效服务，现急需采购以下设备与服务：</w:t>
      </w:r>
    </w:p>
    <w:p w14:paraId="4B6A07F4">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r>
        <w:rPr>
          <w:rFonts w:hint="default" w:ascii="仿宋" w:hAnsi="仿宋" w:eastAsia="仿宋" w:cs="仿宋"/>
          <w:color w:val="auto"/>
          <w:sz w:val="28"/>
          <w:szCs w:val="28"/>
          <w:highlight w:val="none"/>
          <w:lang w:val="en-US" w:eastAsia="zh-CN"/>
        </w:rPr>
        <w:t>运载无人机1架：</w:t>
      </w:r>
    </w:p>
    <w:p w14:paraId="3E21E720">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性能要求：</w:t>
      </w:r>
      <w:r>
        <w:rPr>
          <w:rFonts w:hint="eastAsia" w:ascii="仿宋" w:hAnsi="仿宋" w:eastAsia="仿宋" w:cs="仿宋"/>
          <w:color w:val="auto"/>
          <w:sz w:val="28"/>
          <w:szCs w:val="28"/>
          <w:highlight w:val="none"/>
          <w:lang w:val="en-US" w:eastAsia="zh-CN"/>
        </w:rPr>
        <w:t>无人机轴距≥2000mm；最大起飞重量≥90kg；</w:t>
      </w:r>
      <w:r>
        <w:rPr>
          <w:rStyle w:val="5"/>
          <w:rFonts w:ascii="仿宋" w:hAnsi="仿宋" w:eastAsia="仿宋" w:cs="仿宋"/>
          <w:b w:val="0"/>
          <w:bCs w:val="0"/>
          <w:i w:val="0"/>
          <w:iCs w:val="0"/>
          <w:caps w:val="0"/>
          <w:color w:val="auto"/>
          <w:spacing w:val="0"/>
          <w:sz w:val="28"/>
          <w:szCs w:val="28"/>
          <w:highlight w:val="none"/>
          <w:shd w:val="clear" w:color="auto" w:fill="auto"/>
        </w:rPr>
        <w:t>载重能力</w:t>
      </w:r>
      <w:r>
        <w:rPr>
          <w:rFonts w:hint="default" w:ascii="仿宋" w:hAnsi="仿宋" w:eastAsia="仿宋" w:cs="仿宋"/>
          <w:i w:val="0"/>
          <w:iCs w:val="0"/>
          <w:caps w:val="0"/>
          <w:color w:val="auto"/>
          <w:spacing w:val="0"/>
          <w:sz w:val="28"/>
          <w:szCs w:val="28"/>
          <w:highlight w:val="none"/>
          <w:shd w:val="clear" w:color="auto" w:fill="auto"/>
        </w:rPr>
        <w:t>‌：双电池模式≥30kg，单电池模式≥40kg</w:t>
      </w:r>
      <w:r>
        <w:rPr>
          <w:rFonts w:hint="default"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最大航程：≥16km（载重30kg）；</w:t>
      </w:r>
      <w:r>
        <w:rPr>
          <w:rFonts w:hint="default" w:ascii="仿宋" w:hAnsi="仿宋" w:eastAsia="仿宋" w:cs="仿宋"/>
          <w:color w:val="auto"/>
          <w:sz w:val="28"/>
          <w:szCs w:val="28"/>
          <w:highlight w:val="none"/>
          <w:lang w:val="en-US" w:eastAsia="zh-CN"/>
        </w:rPr>
        <w:t>‌续航时间‌：满载30kg时≥18分钟</w:t>
      </w:r>
      <w:r>
        <w:rPr>
          <w:rFonts w:hint="eastAsia" w:ascii="仿宋" w:hAnsi="仿宋" w:eastAsia="仿宋" w:cs="仿宋"/>
          <w:color w:val="auto"/>
          <w:sz w:val="28"/>
          <w:szCs w:val="28"/>
          <w:highlight w:val="none"/>
          <w:lang w:val="en-US" w:eastAsia="zh-CN"/>
        </w:rPr>
        <w:t>；‌货箱容积‌：标配≥70L防水货箱。</w:t>
      </w:r>
    </w:p>
    <w:p w14:paraId="3195CAB7">
      <w:pPr>
        <w:widowControl/>
        <w:numPr>
          <w:ilvl w:val="0"/>
          <w:numId w:val="0"/>
        </w:numPr>
        <w:spacing w:line="360" w:lineRule="auto"/>
        <w:ind w:firstLine="560" w:firstLineChars="200"/>
        <w:rPr>
          <w:rFonts w:hint="eastAsia"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安全配置：需配备降落伞应急保护装置，以保障飞行过程中的应急安全</w:t>
      </w:r>
      <w:r>
        <w:rPr>
          <w:rFonts w:hint="eastAsia" w:ascii="仿宋" w:hAnsi="仿宋" w:eastAsia="仿宋" w:cs="仿宋"/>
          <w:color w:val="auto"/>
          <w:sz w:val="28"/>
          <w:szCs w:val="28"/>
          <w:highlight w:val="none"/>
          <w:lang w:val="en-US" w:eastAsia="zh-CN"/>
        </w:rPr>
        <w:t>；设备防护等级≥IP55（具备防尘、防水功能）</w:t>
      </w:r>
      <w:r>
        <w:rPr>
          <w:rFonts w:hint="default" w:ascii="仿宋" w:hAnsi="仿宋" w:eastAsia="仿宋" w:cs="仿宋"/>
          <w:color w:val="auto"/>
          <w:sz w:val="28"/>
          <w:szCs w:val="28"/>
          <w:highlight w:val="none"/>
          <w:lang w:val="en-US" w:eastAsia="zh-CN"/>
        </w:rPr>
        <w:t>；集成全向毫米波雷达+双目视觉避障系统，确保飞行过程中的障碍物规避能力。</w:t>
      </w:r>
    </w:p>
    <w:p w14:paraId="1F778FF0">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负载系统：应具备空吊系统，以满足相关负载作业需求。</w:t>
      </w:r>
    </w:p>
    <w:p w14:paraId="29EF6057">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风险保障：无人机需配备保险，</w:t>
      </w:r>
      <w:r>
        <w:rPr>
          <w:rFonts w:hint="eastAsia" w:ascii="仿宋" w:hAnsi="仿宋" w:eastAsia="仿宋" w:cs="仿宋"/>
          <w:color w:val="auto"/>
          <w:sz w:val="28"/>
          <w:szCs w:val="28"/>
          <w:highlight w:val="none"/>
          <w:lang w:val="en-US" w:eastAsia="zh-CN"/>
        </w:rPr>
        <w:t>三责险</w:t>
      </w:r>
      <w:r>
        <w:rPr>
          <w:rFonts w:hint="default" w:ascii="仿宋" w:hAnsi="仿宋" w:eastAsia="仿宋" w:cs="仿宋"/>
          <w:color w:val="auto"/>
          <w:sz w:val="28"/>
          <w:szCs w:val="28"/>
          <w:highlight w:val="none"/>
          <w:lang w:val="en-US" w:eastAsia="zh-CN"/>
        </w:rPr>
        <w:t>保险保额≥300万元。</w:t>
      </w:r>
    </w:p>
    <w:p w14:paraId="0318584D">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2.起降点建设与场地租赁要求</w:t>
      </w:r>
      <w:r>
        <w:rPr>
          <w:rFonts w:hint="default" w:ascii="仿宋" w:hAnsi="仿宋" w:eastAsia="仿宋" w:cs="仿宋"/>
          <w:color w:val="auto"/>
          <w:sz w:val="28"/>
          <w:szCs w:val="28"/>
          <w:highlight w:val="none"/>
          <w:lang w:val="en-US" w:eastAsia="zh-CN"/>
        </w:rPr>
        <w:t>：​​</w:t>
      </w:r>
    </w:p>
    <w:p w14:paraId="426FB3F8">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建设数量及地点：需完成3处起降点的建设及场地租赁服务，具体建设地点为：万达广场、榆林市中心血站、西安交通大学第一附属医院榆林医院。</w:t>
      </w:r>
    </w:p>
    <w:p w14:paraId="3A66B327">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建设标准：各起降点场地须配备完善的气象监测系统、安防监控设备、消防设施及稳定的网络环境，同时应确保场地周边安全管理措施全面到位，符合相关安全规范要求。​</w:t>
      </w:r>
    </w:p>
    <w:p w14:paraId="7B1A0E68">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租赁服务：包含上述三处场地的租赁服务。</w:t>
      </w:r>
    </w:p>
    <w:p w14:paraId="3E0C7578">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r>
        <w:rPr>
          <w:rFonts w:hint="default" w:ascii="仿宋" w:hAnsi="仿宋" w:eastAsia="仿宋" w:cs="仿宋"/>
          <w:color w:val="auto"/>
          <w:sz w:val="28"/>
          <w:szCs w:val="28"/>
          <w:highlight w:val="none"/>
          <w:lang w:val="en-US" w:eastAsia="zh-CN"/>
        </w:rPr>
        <w:t>专业运营团队保障：​​</w:t>
      </w:r>
    </w:p>
    <w:p w14:paraId="0DE79262">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团队配置：须提供具备本地化服务能力的专业运营团队，团队人员数量不低于2人。</w:t>
      </w:r>
      <w:r>
        <w:rPr>
          <w:rFonts w:hint="default" w:ascii="仿宋" w:hAnsi="仿宋" w:eastAsia="仿宋" w:cs="仿宋"/>
          <w:color w:val="auto"/>
          <w:sz w:val="28"/>
          <w:szCs w:val="28"/>
          <w:highlight w:val="none"/>
          <w:lang w:val="en-US" w:eastAsia="zh-CN"/>
        </w:rPr>
        <w:t>；</w:t>
      </w:r>
    </w:p>
    <w:p w14:paraId="2F8E5B23">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资质要求：运营团队中的操作人员须持有无人机IV类超视距驾驶员执照（超视距等级），并具备相应的实际操作经验。</w:t>
      </w:r>
    </w:p>
    <w:p w14:paraId="32CEFE19">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r>
        <w:rPr>
          <w:rFonts w:hint="default" w:ascii="仿宋" w:hAnsi="仿宋" w:eastAsia="仿宋" w:cs="仿宋"/>
          <w:color w:val="auto"/>
          <w:sz w:val="28"/>
          <w:szCs w:val="28"/>
          <w:highlight w:val="none"/>
          <w:lang w:val="en-US" w:eastAsia="zh-CN"/>
        </w:rPr>
        <w:t>血站配送物流无人机管理平台1套：该平台应具备对无人机配送全流程进行实时监控、精准调度及高效管理的功能，确保配送过程可追溯、可管控。</w:t>
      </w:r>
    </w:p>
    <w:p w14:paraId="1D1CA327">
      <w:pPr>
        <w:widowControl/>
        <w:numPr>
          <w:ilvl w:val="0"/>
          <w:numId w:val="0"/>
        </w:num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r>
        <w:rPr>
          <w:rFonts w:hint="default" w:ascii="仿宋" w:hAnsi="仿宋" w:eastAsia="仿宋" w:cs="仿宋"/>
          <w:color w:val="auto"/>
          <w:sz w:val="28"/>
          <w:szCs w:val="28"/>
          <w:highlight w:val="none"/>
          <w:lang w:val="en-US" w:eastAsia="zh-CN"/>
        </w:rPr>
        <w:t>配套服务：负责办理上述三处起降点的空域审批手续，确保空域使用合法合规，保障无人机正常飞行作业。</w:t>
      </w:r>
    </w:p>
    <w:p w14:paraId="0AA37CEF">
      <w:pPr>
        <w:widowControl/>
        <w:numPr>
          <w:ilvl w:val="0"/>
          <w:numId w:val="0"/>
        </w:numPr>
        <w:spacing w:line="360" w:lineRule="auto"/>
        <w:ind w:firstLine="560" w:firstLineChars="200"/>
        <w:rPr>
          <w:rFonts w:hint="eastAsia" w:ascii="仿宋" w:hAnsi="仿宋" w:eastAsia="仿宋" w:cs="仿宋"/>
          <w:color w:val="auto"/>
          <w:sz w:val="28"/>
          <w:szCs w:val="28"/>
          <w:highlight w:val="none"/>
          <w:lang w:val="en-US" w:eastAsia="zh-CN"/>
        </w:rPr>
      </w:pPr>
      <w:r>
        <w:rPr>
          <w:rFonts w:hint="default" w:ascii="仿宋" w:hAnsi="仿宋" w:eastAsia="仿宋" w:cs="仿宋"/>
          <w:color w:val="auto"/>
          <w:sz w:val="28"/>
          <w:szCs w:val="28"/>
          <w:highlight w:val="none"/>
          <w:lang w:val="en-US" w:eastAsia="zh-CN"/>
        </w:rPr>
        <w:t>本项目服务期设定为一年。根据实际需求，预算成本为人民币捌拾万元整（¥800,000.00元）。</w:t>
      </w:r>
      <w:r>
        <w:rPr>
          <w:rFonts w:hint="eastAsia" w:ascii="仿宋" w:hAnsi="仿宋" w:eastAsia="仿宋" w:cs="仿宋"/>
          <w:color w:val="auto"/>
          <w:sz w:val="28"/>
          <w:szCs w:val="28"/>
          <w:highlight w:val="none"/>
          <w:lang w:val="en-US" w:eastAsia="zh-CN"/>
        </w:rPr>
        <w:t>依据《榆林航空投资有限责任公司采购管理办法》，建议经过公开招标确定技术服务供应商，一经确定，尽快投入项目实施服务。</w:t>
      </w:r>
    </w:p>
    <w:p w14:paraId="0A21634A">
      <w:pPr>
        <w:keepNext w:val="0"/>
        <w:keepLines w:val="0"/>
        <w:pageBreakBefore w:val="0"/>
        <w:widowControl/>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snapToGrid w:val="0"/>
          <w:color w:val="auto"/>
          <w:kern w:val="0"/>
          <w:sz w:val="32"/>
          <w:szCs w:val="32"/>
          <w:lang w:val="en-US" w:eastAsia="zh-CN"/>
        </w:rPr>
        <w:t>附件：</w:t>
      </w:r>
      <w:r>
        <w:rPr>
          <w:rFonts w:hint="eastAsia" w:ascii="仿宋" w:hAnsi="仿宋" w:eastAsia="仿宋" w:cs="仿宋"/>
          <w:b w:val="0"/>
          <w:bCs w:val="0"/>
          <w:color w:val="auto"/>
          <w:sz w:val="32"/>
          <w:szCs w:val="32"/>
          <w:highlight w:val="none"/>
          <w:lang w:val="en-US" w:eastAsia="zh-CN"/>
        </w:rPr>
        <w:t>采购需求清单</w:t>
      </w:r>
    </w:p>
    <w:tbl>
      <w:tblPr>
        <w:tblStyle w:val="3"/>
        <w:tblpPr w:leftFromText="180" w:rightFromText="180" w:vertAnchor="text" w:horzAnchor="page" w:tblpX="1330" w:tblpY="528"/>
        <w:tblOverlap w:val="never"/>
        <w:tblW w:w="9077" w:type="dxa"/>
        <w:jc w:val="center"/>
        <w:tblLayout w:type="fixed"/>
        <w:tblCellMar>
          <w:top w:w="0" w:type="dxa"/>
          <w:left w:w="108" w:type="dxa"/>
          <w:bottom w:w="0" w:type="dxa"/>
          <w:right w:w="108" w:type="dxa"/>
        </w:tblCellMar>
      </w:tblPr>
      <w:tblGrid>
        <w:gridCol w:w="713"/>
        <w:gridCol w:w="3600"/>
        <w:gridCol w:w="771"/>
        <w:gridCol w:w="847"/>
        <w:gridCol w:w="1315"/>
        <w:gridCol w:w="1831"/>
      </w:tblGrid>
      <w:tr w14:paraId="77AC5E99">
        <w:tblPrEx>
          <w:tblCellMar>
            <w:top w:w="0" w:type="dxa"/>
            <w:left w:w="108" w:type="dxa"/>
            <w:bottom w:w="0" w:type="dxa"/>
            <w:right w:w="108" w:type="dxa"/>
          </w:tblCellMar>
        </w:tblPrEx>
        <w:trPr>
          <w:trHeight w:val="569" w:hRule="atLeas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14:paraId="6577B28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序号</w:t>
            </w:r>
          </w:p>
        </w:tc>
        <w:tc>
          <w:tcPr>
            <w:tcW w:w="3600" w:type="dxa"/>
            <w:tcBorders>
              <w:top w:val="single" w:color="auto" w:sz="4" w:space="0"/>
              <w:left w:val="single" w:color="auto" w:sz="4" w:space="0"/>
              <w:bottom w:val="single" w:color="auto" w:sz="4" w:space="0"/>
              <w:right w:val="single" w:color="auto" w:sz="4" w:space="0"/>
            </w:tcBorders>
            <w:noWrap w:val="0"/>
            <w:vAlign w:val="center"/>
          </w:tcPr>
          <w:p w14:paraId="3AB5E624">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产品名称</w:t>
            </w:r>
          </w:p>
        </w:tc>
        <w:tc>
          <w:tcPr>
            <w:tcW w:w="771" w:type="dxa"/>
            <w:tcBorders>
              <w:top w:val="single" w:color="auto" w:sz="4" w:space="0"/>
              <w:left w:val="single" w:color="auto" w:sz="4" w:space="0"/>
              <w:bottom w:val="single" w:color="auto" w:sz="4" w:space="0"/>
              <w:right w:val="single" w:color="auto" w:sz="4" w:space="0"/>
            </w:tcBorders>
            <w:noWrap w:val="0"/>
            <w:vAlign w:val="center"/>
          </w:tcPr>
          <w:p w14:paraId="5C1354CD">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数量</w:t>
            </w:r>
          </w:p>
        </w:tc>
        <w:tc>
          <w:tcPr>
            <w:tcW w:w="847" w:type="dxa"/>
            <w:tcBorders>
              <w:top w:val="single" w:color="auto" w:sz="4" w:space="0"/>
              <w:left w:val="single" w:color="auto" w:sz="4" w:space="0"/>
              <w:bottom w:val="single" w:color="auto" w:sz="4" w:space="0"/>
              <w:right w:val="single" w:color="auto" w:sz="4" w:space="0"/>
            </w:tcBorders>
            <w:noWrap w:val="0"/>
            <w:vAlign w:val="center"/>
          </w:tcPr>
          <w:p w14:paraId="0C921423">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服务时长</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2C664E55">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总金额（元）</w:t>
            </w:r>
          </w:p>
        </w:tc>
        <w:tc>
          <w:tcPr>
            <w:tcW w:w="1831" w:type="dxa"/>
            <w:tcBorders>
              <w:top w:val="single" w:color="auto" w:sz="4" w:space="0"/>
              <w:left w:val="single" w:color="auto" w:sz="4" w:space="0"/>
              <w:bottom w:val="single" w:color="auto" w:sz="4" w:space="0"/>
              <w:right w:val="single" w:color="auto" w:sz="4" w:space="0"/>
            </w:tcBorders>
            <w:noWrap w:val="0"/>
            <w:vAlign w:val="center"/>
          </w:tcPr>
          <w:p w14:paraId="523DCD4A">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备注</w:t>
            </w:r>
          </w:p>
        </w:tc>
      </w:tr>
      <w:tr w14:paraId="2D261D69">
        <w:tblPrEx>
          <w:tblCellMar>
            <w:top w:w="0" w:type="dxa"/>
            <w:left w:w="108" w:type="dxa"/>
            <w:bottom w:w="0" w:type="dxa"/>
            <w:right w:w="108" w:type="dxa"/>
          </w:tblCellMar>
        </w:tblPrEx>
        <w:trPr>
          <w:trHeight w:val="700" w:hRule="atLeas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14:paraId="3CA9EF99">
            <w:pPr>
              <w:widowControl/>
              <w:jc w:val="center"/>
              <w:textAlignment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1</w:t>
            </w:r>
          </w:p>
        </w:tc>
        <w:tc>
          <w:tcPr>
            <w:tcW w:w="3600" w:type="dxa"/>
            <w:tcBorders>
              <w:top w:val="single" w:color="auto" w:sz="4" w:space="0"/>
              <w:left w:val="single" w:color="auto" w:sz="4" w:space="0"/>
              <w:bottom w:val="single" w:color="auto" w:sz="4" w:space="0"/>
              <w:right w:val="single" w:color="auto" w:sz="4" w:space="0"/>
            </w:tcBorders>
            <w:noWrap w:val="0"/>
            <w:vAlign w:val="center"/>
          </w:tcPr>
          <w:p w14:paraId="7DEFD74E">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运载无人机</w:t>
            </w:r>
          </w:p>
        </w:tc>
        <w:tc>
          <w:tcPr>
            <w:tcW w:w="771" w:type="dxa"/>
            <w:tcBorders>
              <w:top w:val="single" w:color="auto" w:sz="4" w:space="0"/>
              <w:left w:val="single" w:color="auto" w:sz="4" w:space="0"/>
              <w:bottom w:val="single" w:color="auto" w:sz="4" w:space="0"/>
              <w:right w:val="single" w:color="auto" w:sz="4" w:space="0"/>
            </w:tcBorders>
            <w:noWrap w:val="0"/>
            <w:vAlign w:val="center"/>
          </w:tcPr>
          <w:p w14:paraId="220560D6">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51E98A0D">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一年</w:t>
            </w:r>
          </w:p>
        </w:tc>
        <w:tc>
          <w:tcPr>
            <w:tcW w:w="1315" w:type="dxa"/>
            <w:vMerge w:val="restart"/>
            <w:tcBorders>
              <w:top w:val="single" w:color="auto" w:sz="4" w:space="0"/>
              <w:left w:val="single" w:color="auto" w:sz="4" w:space="0"/>
              <w:bottom w:val="single" w:color="auto" w:sz="4" w:space="0"/>
              <w:right w:val="single" w:color="auto" w:sz="4" w:space="0"/>
            </w:tcBorders>
            <w:noWrap w:val="0"/>
            <w:vAlign w:val="center"/>
          </w:tcPr>
          <w:p w14:paraId="4902813B">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800000元</w:t>
            </w:r>
          </w:p>
        </w:tc>
        <w:tc>
          <w:tcPr>
            <w:tcW w:w="1831" w:type="dxa"/>
            <w:tcBorders>
              <w:top w:val="single" w:color="auto" w:sz="4" w:space="0"/>
              <w:left w:val="single" w:color="auto" w:sz="4" w:space="0"/>
              <w:bottom w:val="single" w:color="auto" w:sz="4" w:space="0"/>
              <w:right w:val="single" w:color="auto" w:sz="4" w:space="0"/>
            </w:tcBorders>
            <w:noWrap w:val="0"/>
            <w:vAlign w:val="center"/>
          </w:tcPr>
          <w:p w14:paraId="6D273FA1">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飞行续航不低于15公里续航、载重大于30公斤、保险不低于300W、飞机具备降落伞伞包、防护等级不低于IP55</w:t>
            </w:r>
          </w:p>
        </w:tc>
      </w:tr>
      <w:tr w14:paraId="493487EF">
        <w:tblPrEx>
          <w:tblCellMar>
            <w:top w:w="0" w:type="dxa"/>
            <w:left w:w="108" w:type="dxa"/>
            <w:bottom w:w="0" w:type="dxa"/>
            <w:right w:w="108" w:type="dxa"/>
          </w:tblCellMar>
        </w:tblPrEx>
        <w:trPr>
          <w:trHeight w:val="700" w:hRule="atLeas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14:paraId="71A3E388">
            <w:pPr>
              <w:widowControl/>
              <w:jc w:val="center"/>
              <w:textAlignment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w:t>
            </w:r>
          </w:p>
        </w:tc>
        <w:tc>
          <w:tcPr>
            <w:tcW w:w="3600" w:type="dxa"/>
            <w:tcBorders>
              <w:top w:val="single" w:color="auto" w:sz="4" w:space="0"/>
              <w:left w:val="single" w:color="auto" w:sz="4" w:space="0"/>
              <w:bottom w:val="single" w:color="auto" w:sz="4" w:space="0"/>
              <w:right w:val="single" w:color="auto" w:sz="4" w:space="0"/>
            </w:tcBorders>
            <w:noWrap w:val="0"/>
            <w:vAlign w:val="center"/>
          </w:tcPr>
          <w:p w14:paraId="50699F6D">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物流配送体系管理平台</w:t>
            </w:r>
          </w:p>
        </w:tc>
        <w:tc>
          <w:tcPr>
            <w:tcW w:w="771" w:type="dxa"/>
            <w:tcBorders>
              <w:top w:val="single" w:color="auto" w:sz="4" w:space="0"/>
              <w:left w:val="single" w:color="auto" w:sz="4" w:space="0"/>
              <w:bottom w:val="single" w:color="auto" w:sz="4" w:space="0"/>
              <w:right w:val="single" w:color="auto" w:sz="4" w:space="0"/>
            </w:tcBorders>
            <w:noWrap w:val="0"/>
            <w:vAlign w:val="center"/>
          </w:tcPr>
          <w:p w14:paraId="2AEDD9F5">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71E03F2B">
            <w:pPr>
              <w:widowControl/>
              <w:jc w:val="center"/>
              <w:rPr>
                <w:rFonts w:hint="eastAsia" w:ascii="宋体" w:hAnsi="宋体" w:eastAsia="宋体" w:cs="宋体"/>
                <w:color w:val="auto"/>
                <w:sz w:val="24"/>
                <w:szCs w:val="24"/>
                <w:lang w:val="en-US" w:eastAsia="zh-CN"/>
              </w:rPr>
            </w:pPr>
          </w:p>
        </w:tc>
        <w:tc>
          <w:tcPr>
            <w:tcW w:w="1315" w:type="dxa"/>
            <w:vMerge w:val="continue"/>
            <w:tcBorders>
              <w:top w:val="single" w:color="auto" w:sz="4" w:space="0"/>
              <w:left w:val="single" w:color="auto" w:sz="4" w:space="0"/>
              <w:bottom w:val="single" w:color="auto" w:sz="4" w:space="0"/>
              <w:right w:val="single" w:color="auto" w:sz="4" w:space="0"/>
            </w:tcBorders>
            <w:noWrap w:val="0"/>
            <w:vAlign w:val="center"/>
          </w:tcPr>
          <w:p w14:paraId="50253F6F">
            <w:pPr>
              <w:widowControl/>
              <w:jc w:val="center"/>
              <w:rPr>
                <w:rFonts w:hint="default" w:ascii="宋体" w:hAnsi="宋体" w:eastAsia="宋体" w:cs="宋体"/>
                <w:color w:val="auto"/>
                <w:sz w:val="24"/>
                <w:szCs w:val="24"/>
                <w:lang w:val="en-US" w:eastAsia="zh-CN"/>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5CBB839D">
            <w:pPr>
              <w:widowControl/>
              <w:jc w:val="center"/>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具备对无人机配送全流程进行实时监控、调度管理的功能。</w:t>
            </w:r>
          </w:p>
        </w:tc>
      </w:tr>
      <w:tr w14:paraId="7C08CA5A">
        <w:tblPrEx>
          <w:tblCellMar>
            <w:top w:w="0" w:type="dxa"/>
            <w:left w:w="108" w:type="dxa"/>
            <w:bottom w:w="0" w:type="dxa"/>
            <w:right w:w="108" w:type="dxa"/>
          </w:tblCellMar>
        </w:tblPrEx>
        <w:trPr>
          <w:trHeight w:val="700" w:hRule="atLeas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14:paraId="38241DB6">
            <w:pPr>
              <w:widowControl/>
              <w:jc w:val="center"/>
              <w:textAlignment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3</w:t>
            </w:r>
          </w:p>
        </w:tc>
        <w:tc>
          <w:tcPr>
            <w:tcW w:w="3600" w:type="dxa"/>
            <w:tcBorders>
              <w:top w:val="single" w:color="auto" w:sz="4" w:space="0"/>
              <w:left w:val="single" w:color="auto" w:sz="4" w:space="0"/>
              <w:bottom w:val="single" w:color="auto" w:sz="4" w:space="0"/>
              <w:right w:val="single" w:color="auto" w:sz="4" w:space="0"/>
            </w:tcBorders>
            <w:noWrap w:val="0"/>
            <w:vAlign w:val="center"/>
          </w:tcPr>
          <w:p w14:paraId="3A5E331A">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西安交通大学第一附属医院榆林医院、榆林市万达广场、榆林市中心血站三处的起降点建设及场地租赁</w:t>
            </w:r>
          </w:p>
        </w:tc>
        <w:tc>
          <w:tcPr>
            <w:tcW w:w="771" w:type="dxa"/>
            <w:tcBorders>
              <w:top w:val="single" w:color="auto" w:sz="4" w:space="0"/>
              <w:left w:val="single" w:color="auto" w:sz="4" w:space="0"/>
              <w:bottom w:val="single" w:color="auto" w:sz="4" w:space="0"/>
              <w:right w:val="single" w:color="auto" w:sz="4" w:space="0"/>
            </w:tcBorders>
            <w:noWrap w:val="0"/>
            <w:vAlign w:val="center"/>
          </w:tcPr>
          <w:p w14:paraId="250AB5AF">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7E9DF986">
            <w:pPr>
              <w:widowControl/>
              <w:jc w:val="center"/>
              <w:rPr>
                <w:rFonts w:hint="eastAsia" w:ascii="宋体" w:hAnsi="宋体" w:eastAsia="宋体" w:cs="宋体"/>
                <w:color w:val="auto"/>
                <w:sz w:val="24"/>
                <w:szCs w:val="24"/>
                <w:lang w:val="en-US" w:eastAsia="zh-CN"/>
              </w:rPr>
            </w:pPr>
          </w:p>
        </w:tc>
        <w:tc>
          <w:tcPr>
            <w:tcW w:w="1315" w:type="dxa"/>
            <w:vMerge w:val="continue"/>
            <w:tcBorders>
              <w:top w:val="single" w:color="auto" w:sz="4" w:space="0"/>
              <w:left w:val="single" w:color="auto" w:sz="4" w:space="0"/>
              <w:bottom w:val="single" w:color="auto" w:sz="4" w:space="0"/>
              <w:right w:val="single" w:color="auto" w:sz="4" w:space="0"/>
            </w:tcBorders>
            <w:noWrap w:val="0"/>
            <w:vAlign w:val="center"/>
          </w:tcPr>
          <w:p w14:paraId="5BAD00FB">
            <w:pPr>
              <w:widowControl/>
              <w:jc w:val="center"/>
              <w:rPr>
                <w:rFonts w:hint="default" w:ascii="宋体" w:hAnsi="宋体" w:eastAsia="宋体" w:cs="宋体"/>
                <w:color w:val="auto"/>
                <w:sz w:val="24"/>
                <w:szCs w:val="24"/>
                <w:lang w:val="en-US" w:eastAsia="zh-CN"/>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05A8C66F">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包含气象站、网络、传感器设施设备等</w:t>
            </w:r>
          </w:p>
        </w:tc>
      </w:tr>
      <w:tr w14:paraId="0C6633EF">
        <w:tblPrEx>
          <w:tblCellMar>
            <w:top w:w="0" w:type="dxa"/>
            <w:left w:w="108" w:type="dxa"/>
            <w:bottom w:w="0" w:type="dxa"/>
            <w:right w:w="108" w:type="dxa"/>
          </w:tblCellMar>
        </w:tblPrEx>
        <w:trPr>
          <w:trHeight w:val="700" w:hRule="atLeast"/>
          <w:jc w:val="center"/>
        </w:trPr>
        <w:tc>
          <w:tcPr>
            <w:tcW w:w="713" w:type="dxa"/>
            <w:tcBorders>
              <w:top w:val="single" w:color="auto" w:sz="4" w:space="0"/>
              <w:left w:val="single" w:color="auto" w:sz="4" w:space="0"/>
              <w:bottom w:val="single" w:color="auto" w:sz="4" w:space="0"/>
              <w:right w:val="single" w:color="auto" w:sz="4" w:space="0"/>
            </w:tcBorders>
            <w:noWrap w:val="0"/>
            <w:vAlign w:val="center"/>
          </w:tcPr>
          <w:p w14:paraId="0F113E60">
            <w:pPr>
              <w:widowControl/>
              <w:jc w:val="center"/>
              <w:textAlignment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4</w:t>
            </w:r>
          </w:p>
        </w:tc>
        <w:tc>
          <w:tcPr>
            <w:tcW w:w="3600" w:type="dxa"/>
            <w:tcBorders>
              <w:top w:val="single" w:color="auto" w:sz="4" w:space="0"/>
              <w:left w:val="single" w:color="auto" w:sz="4" w:space="0"/>
              <w:bottom w:val="single" w:color="auto" w:sz="4" w:space="0"/>
              <w:right w:val="single" w:color="auto" w:sz="4" w:space="0"/>
            </w:tcBorders>
            <w:noWrap w:val="0"/>
            <w:vAlign w:val="center"/>
          </w:tcPr>
          <w:p w14:paraId="55418253">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人员保障</w:t>
            </w:r>
          </w:p>
        </w:tc>
        <w:tc>
          <w:tcPr>
            <w:tcW w:w="771" w:type="dxa"/>
            <w:tcBorders>
              <w:top w:val="single" w:color="auto" w:sz="4" w:space="0"/>
              <w:left w:val="single" w:color="auto" w:sz="4" w:space="0"/>
              <w:bottom w:val="single" w:color="auto" w:sz="4" w:space="0"/>
              <w:right w:val="single" w:color="auto" w:sz="4" w:space="0"/>
            </w:tcBorders>
            <w:noWrap w:val="0"/>
            <w:vAlign w:val="center"/>
          </w:tcPr>
          <w:p w14:paraId="103AC924">
            <w:pPr>
              <w:widowControl/>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2A5B513F">
            <w:pPr>
              <w:widowControl/>
              <w:jc w:val="center"/>
              <w:rPr>
                <w:rFonts w:hint="eastAsia" w:ascii="宋体" w:hAnsi="宋体" w:eastAsia="宋体" w:cs="宋体"/>
                <w:color w:val="auto"/>
                <w:sz w:val="24"/>
                <w:szCs w:val="24"/>
                <w:lang w:val="en-US" w:eastAsia="zh-CN"/>
              </w:rPr>
            </w:pPr>
          </w:p>
        </w:tc>
        <w:tc>
          <w:tcPr>
            <w:tcW w:w="1315" w:type="dxa"/>
            <w:vMerge w:val="continue"/>
            <w:tcBorders>
              <w:top w:val="single" w:color="auto" w:sz="4" w:space="0"/>
              <w:left w:val="single" w:color="auto" w:sz="4" w:space="0"/>
              <w:bottom w:val="single" w:color="auto" w:sz="4" w:space="0"/>
              <w:right w:val="single" w:color="auto" w:sz="4" w:space="0"/>
            </w:tcBorders>
            <w:noWrap w:val="0"/>
            <w:vAlign w:val="center"/>
          </w:tcPr>
          <w:p w14:paraId="42F6B746">
            <w:pPr>
              <w:widowControl/>
              <w:jc w:val="center"/>
              <w:rPr>
                <w:rFonts w:hint="default" w:ascii="宋体" w:hAnsi="宋体" w:eastAsia="宋体" w:cs="宋体"/>
                <w:color w:val="auto"/>
                <w:sz w:val="24"/>
                <w:szCs w:val="24"/>
                <w:lang w:val="en-US" w:eastAsia="zh-CN"/>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363082EC">
            <w:pPr>
              <w:widowControl/>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常规保障1人，特殊时间1人机动支持</w:t>
            </w:r>
          </w:p>
        </w:tc>
      </w:tr>
    </w:tbl>
    <w:p w14:paraId="0C665E43">
      <w:pPr>
        <w:keepNext w:val="0"/>
        <w:keepLines w:val="0"/>
        <w:pageBreakBefore w:val="0"/>
        <w:widowControl/>
        <w:numPr>
          <w:ilvl w:val="0"/>
          <w:numId w:val="0"/>
        </w:numPr>
        <w:tabs>
          <w:tab w:val="left" w:pos="567"/>
          <w:tab w:val="left" w:pos="993"/>
          <w:tab w:val="left" w:pos="1418"/>
        </w:tabs>
        <w:kinsoku/>
        <w:wordWrap/>
        <w:overflowPunct/>
        <w:topLinePunct w:val="0"/>
        <w:autoSpaceDE w:val="0"/>
        <w:autoSpaceDN w:val="0"/>
        <w:bidi w:val="0"/>
        <w:adjustRightInd/>
        <w:snapToGrid/>
        <w:spacing w:beforeLines="0" w:after="120" w:afterLines="50" w:line="360" w:lineRule="auto"/>
        <w:jc w:val="both"/>
        <w:textAlignment w:val="bottom"/>
        <w:rPr>
          <w:rFonts w:hint="eastAsia" w:ascii="宋体" w:hAnsi="宋体" w:eastAsia="宋体" w:cs="宋体"/>
          <w:sz w:val="24"/>
          <w:szCs w:val="24"/>
        </w:rPr>
      </w:pPr>
    </w:p>
    <w:p w14:paraId="5BA9BB82">
      <w:pPr>
        <w:widowControl/>
        <w:tabs>
          <w:tab w:val="left" w:pos="772"/>
        </w:tabs>
        <w:bidi w:val="0"/>
        <w:jc w:val="left"/>
        <w:rPr>
          <w:rFonts w:hint="default"/>
          <w:lang w:val="en-US" w:eastAsia="zh-CN"/>
        </w:rPr>
      </w:pPr>
    </w:p>
    <w:p w14:paraId="62B198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93FE9"/>
    <w:rsid w:val="4FA93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jc w:val="center"/>
      <w:outlineLvl w:val="0"/>
    </w:pPr>
    <w:rPr>
      <w:rFonts w:ascii="Times New Roman" w:hAnsi="Times New Roman" w:eastAsia="宋体"/>
      <w:b/>
      <w:bCs/>
      <w:kern w:val="44"/>
      <w:sz w:val="32"/>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2025-08-11T07:16:00Z</dcterms:created>
  <dc:creator>翔子</dc:creator>
  <cp:lastModifiedBy>翔子</cp:lastModifiedBy>
  <dcterms:modified xsi:type="dcterms:W3CDTF">2025-08-11T07:16:34Z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C5F52F2DCA2C4745A2FA884E1594B570_11</vt:lpwstr>
  </property>
  <property fmtid="{D5CDD505-2E9C-101B-9397-08002B2CF9AE}" pid="4" name="KSOTemplateDocerSaveRecord">
    <vt:lpwstr>eyJoZGlkIjoiOWNiODhiZDY0MTExMTVmYjNhMDg5YjMyY2U0MWI0NmIiLCJ1c2VySWQiOiIyMzY1MTkyMTMifQ==</vt:lpwstr>
  </property>
</Properties>
</file>