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bookmarkStart w:id="0" w:name="OLE_LINK1"/>
      <w:r>
        <w:rPr>
          <w:rFonts w:hint="eastAsia" w:ascii="宋体" w:hAnsi="宋体" w:eastAsia="宋体" w:cs="宋体"/>
          <w:sz w:val="24"/>
          <w:szCs w:val="24"/>
        </w:rPr>
        <w:t>1、招标条件</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本招标项目XW72叶片模具运输服务（第</w:t>
      </w:r>
      <w:bookmarkStart w:id="1" w:name="_GoBack"/>
      <w:bookmarkEnd w:id="1"/>
      <w:r>
        <w:rPr>
          <w:rFonts w:hint="eastAsia" w:ascii="宋体" w:hAnsi="宋体" w:eastAsia="宋体" w:cs="宋体"/>
          <w:sz w:val="24"/>
          <w:szCs w:val="24"/>
        </w:rPr>
        <w:t>二次）（招标编号：0623-2585N3103130），招标人为湖南兴蓝风电有限公司，资金来自企业自筹 ，出资比例为100%。项目已具备招标条件，现对XW72叶片模具运输服务进行公开招标。</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2、项目概况与招标范围</w:t>
      </w:r>
    </w:p>
    <w:tbl>
      <w:tblPr>
        <w:tblW w:w="87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758"/>
        <w:gridCol w:w="4251"/>
        <w:gridCol w:w="1589"/>
        <w:gridCol w:w="1088"/>
        <w:gridCol w:w="1074"/>
      </w:tblGrid>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636"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564"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标的物名称</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912"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00"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单位</w:t>
            </w:r>
          </w:p>
        </w:tc>
      </w:tr>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72" w:hRule="atLeast"/>
        </w:trPr>
        <w:tc>
          <w:tcPr>
            <w:tcW w:w="636"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564"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XW72叶片模具运输（含装卸）</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（中复连众沈阳基地至内蒙古兴蓝风电有限公司）</w:t>
            </w:r>
          </w:p>
        </w:tc>
        <w:tc>
          <w:tcPr>
            <w:tcW w:w="1332"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146-3200型</w:t>
            </w:r>
          </w:p>
        </w:tc>
        <w:tc>
          <w:tcPr>
            <w:tcW w:w="912"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0" w:type="dxa"/>
            <w:tcBorders>
              <w:top w:val="single" w:color="DDDDDD" w:sz="4" w:space="0"/>
              <w:left w:val="single" w:color="DDDDDD" w:sz="4" w:space="0"/>
              <w:bottom w:val="single" w:color="DDDDDD" w:sz="4" w:space="0"/>
              <w:right w:val="single" w:color="DDDDDD" w:sz="4" w:space="0"/>
            </w:tcBorders>
            <w:shd w:val="clear" w:color="auto" w:fill="FFFFFF"/>
            <w:tcMar>
              <w:left w:w="84" w:type="dxa"/>
              <w:right w:w="84" w:type="dxa"/>
            </w:tcMar>
            <w:vAlign w:val="center"/>
          </w:tcPr>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套</w:t>
            </w:r>
          </w:p>
        </w:tc>
      </w:tr>
    </w:tbl>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详见《服务要求》</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3.投标人资格要求</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3.1投标人须具有独立法人资格，并依法取得有效的营业执照且在有效期内。</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3.2投标人须具备道路运输经营许可证(包含大型货物/物件运输)，且处于有效期内。</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3.3投标人须提供本公司所有的3台以上车辆行驶证、相应的机动车驾驶证和车辆保险缴纳证明资料。</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3.4 经营状况良好，具有良好的资信和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"javascript:setPayZixun()" </w:instrText>
      </w:r>
      <w:r>
        <w:rPr>
          <w:rFonts w:hint="eastAsia" w:ascii="宋体" w:hAnsi="宋体" w:eastAsia="宋体" w:cs="宋体"/>
          <w:sz w:val="24"/>
          <w:szCs w:val="24"/>
        </w:rPr>
        <w:fldChar w:fldCharType="separate"/>
      </w:r>
      <w:r>
        <w:rPr>
          <w:rFonts w:hint="eastAsia" w:ascii="宋体" w:hAnsi="宋体" w:eastAsia="宋体" w:cs="宋体"/>
          <w:sz w:val="24"/>
          <w:szCs w:val="24"/>
        </w:rPr>
        <w:t>信用</w:t>
      </w:r>
      <w:r>
        <w:rPr>
          <w:rFonts w:hint="eastAsia" w:ascii="宋体" w:hAnsi="宋体" w:eastAsia="宋体" w:cs="宋体"/>
          <w:sz w:val="24"/>
          <w:szCs w:val="24"/>
        </w:rPr>
        <w:fldChar w:fldCharType="end"/>
      </w:r>
      <w:r>
        <w:rPr>
          <w:rFonts w:hint="eastAsia" w:ascii="宋体" w:hAnsi="宋体" w:eastAsia="宋体" w:cs="宋体"/>
          <w:sz w:val="24"/>
          <w:szCs w:val="24"/>
        </w:rPr>
        <w:t>（以“信用中国” www.creditchina.gov.cn）网站查询为准），没有处于被责令停业、财产被接管、冻结、破产状态；投标资格未被暂停或取消。</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3.5本项目不允许分包、转包。</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"javascript:setPayZixun()" \o "标书制作" </w:instrText>
      </w:r>
      <w:r>
        <w:rPr>
          <w:rFonts w:hint="eastAsia" w:ascii="宋体" w:hAnsi="宋体" w:eastAsia="宋体" w:cs="宋体"/>
          <w:sz w:val="24"/>
          <w:szCs w:val="24"/>
        </w:rPr>
        <w:fldChar w:fldCharType="separate"/>
      </w:r>
      <w:r>
        <w:rPr>
          <w:rFonts w:hint="eastAsia" w:ascii="宋体" w:hAnsi="宋体" w:eastAsia="宋体" w:cs="宋体"/>
          <w:sz w:val="24"/>
          <w:szCs w:val="24"/>
        </w:rPr>
        <w:t>招标文件</w:t>
      </w:r>
      <w:r>
        <w:rPr>
          <w:rFonts w:hint="eastAsia" w:ascii="宋体" w:hAnsi="宋体" w:eastAsia="宋体" w:cs="宋体"/>
          <w:sz w:val="24"/>
          <w:szCs w:val="24"/>
        </w:rPr>
        <w:fldChar w:fldCharType="end"/>
      </w:r>
      <w:r>
        <w:rPr>
          <w:rFonts w:hint="eastAsia" w:ascii="宋体" w:hAnsi="宋体" w:eastAsia="宋体" w:cs="宋体"/>
          <w:sz w:val="24"/>
          <w:szCs w:val="24"/>
        </w:rPr>
        <w:t>的获取</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4.1招标文件的获取时间</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凡有意参加投标者，请于2025年8月15日至2025年8月22日每天上午9:00-12:00，下午14:00-17:00时（北京时间，下同），至湖南省招标有限责任公司（1611室）购买招标文件。招标文件的纸质版与电子版具有同等法律效力。</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4.2招标文件获取方式：</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（1）现场报名购买招标文件：领取时，授权委托人须提供①营业执照复印件、②授权委托书原件、③授权委托人身份证复印件到长沙市湘府东路199号招标大厦1611室领取。</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线上报名购买招标文件：将现场报名所需资料的彩色扫描件，并逐页加盖单位公章扫描至同一个PDF文件，发送至本项目招采专用邮箱（hnzb3@163.com），邮件需标题注明内容“项目名称、报名资料、投标人单位名称、联系人、联系方式”。</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购买招标文件汇款账号如下：</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全    称：湖南省招标有限责任公司</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账    号：600700034</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开户银行：长沙银行东风路支行</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重要说明：①不接受个人名义汇款及支付宝汇款，由此引起的后果由投标人自行承担。②汇款单附言请务必注明招标编号，否则，因此引起信息延误的后果由投标人自行承担。</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4.3招标文件售价：人民币400元，售后不退。</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4.4任何未按要求在招标代理机构购买招标文件的法人或者其他组织均不得参加本项目的投标。</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"javascript:setPayZixun()" \o "标书制作" </w:instrText>
      </w:r>
      <w:r>
        <w:rPr>
          <w:rFonts w:hint="eastAsia" w:ascii="宋体" w:hAnsi="宋体" w:eastAsia="宋体" w:cs="宋体"/>
          <w:sz w:val="24"/>
          <w:szCs w:val="24"/>
        </w:rPr>
        <w:fldChar w:fldCharType="separate"/>
      </w:r>
      <w:r>
        <w:rPr>
          <w:rFonts w:hint="eastAsia" w:ascii="宋体" w:hAnsi="宋体" w:eastAsia="宋体" w:cs="宋体"/>
          <w:sz w:val="24"/>
          <w:szCs w:val="24"/>
        </w:rPr>
        <w:t>投标文件</w:t>
      </w:r>
      <w:r>
        <w:rPr>
          <w:rFonts w:hint="eastAsia" w:ascii="宋体" w:hAnsi="宋体" w:eastAsia="宋体" w:cs="宋体"/>
          <w:sz w:val="24"/>
          <w:szCs w:val="24"/>
        </w:rPr>
        <w:fldChar w:fldCharType="end"/>
      </w:r>
      <w:r>
        <w:rPr>
          <w:rFonts w:hint="eastAsia" w:ascii="宋体" w:hAnsi="宋体" w:eastAsia="宋体" w:cs="宋体"/>
          <w:sz w:val="24"/>
          <w:szCs w:val="24"/>
        </w:rPr>
        <w:t>的递交</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5.1投标文件递交的截止时间（投标截止时间，下同）为2025年9月8日下午14时30分（北京时间），地点为湖南省长沙市雨花区湘府东路二段199号招标大厦12楼相应开标厅。</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5.2逾期送达的、未送达指定地点的或者不按照招标文件要求密封的投标文件，招标人将予以拒收。</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5.3本项目同时接受以邮寄形式递交投标文件，各投标人可将按要求封装好的投标文件于投标截止时间前邮寄至招标代理机构，递交时间以收件人签收为准。在截止时间后送达的投标文件，招标人原封退回其投标文件，不得进入开标阶段。投标文件在邮寄过程中发生的遗失、延期送达、损坏等情况而造成投标文件未递交、逾期递交、密封要求不符合招标文件规定的，投标人自行承担责任。</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"javascript:setPayZixun()" \o "标书制作" </w:instrText>
      </w:r>
      <w:r>
        <w:rPr>
          <w:rFonts w:hint="eastAsia" w:ascii="宋体" w:hAnsi="宋体" w:eastAsia="宋体" w:cs="宋体"/>
          <w:sz w:val="24"/>
          <w:szCs w:val="24"/>
        </w:rPr>
        <w:fldChar w:fldCharType="separate"/>
      </w:r>
      <w:r>
        <w:rPr>
          <w:rFonts w:hint="eastAsia" w:ascii="宋体" w:hAnsi="宋体" w:eastAsia="宋体" w:cs="宋体"/>
          <w:sz w:val="24"/>
          <w:szCs w:val="24"/>
        </w:rPr>
        <w:t>评标办法</w:t>
      </w:r>
      <w:r>
        <w:rPr>
          <w:rFonts w:hint="eastAsia" w:ascii="宋体" w:hAnsi="宋体" w:eastAsia="宋体" w:cs="宋体"/>
          <w:sz w:val="24"/>
          <w:szCs w:val="24"/>
        </w:rPr>
        <w:fldChar w:fldCharType="end"/>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本项目评标办法采用经评审的最低投标价法。</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7.发布公告的媒介</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本次招标公告在中国招标投标公共服务平台、湖南招标网同步发布。</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8.联系方式</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（1）采 购 人：湖南兴蓝风电有限公司  </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地址：湖南省湘潭市吉安路68号</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（2）招标代理公司：湖南省招标有限责任公司 </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地址：长沙市雨花区湘府东路二段199号招标大厦</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电话：0731-84556896</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联系人：周俊宇、王帅、曾君</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邮箱：hnzb3@163.com（邮购招标文件需将报名资料及联系方式发至此邮箱）</w:t>
      </w:r>
    </w:p>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p>
    <w:bookmarkEnd w:id="0"/>
    <w:p>
      <w:pPr>
        <w:pStyle w:val="4"/>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2931DE8"/>
    <w:rsid w:val="0321569E"/>
    <w:rsid w:val="038A64A3"/>
    <w:rsid w:val="03F220C7"/>
    <w:rsid w:val="0664594F"/>
    <w:rsid w:val="0BB233D3"/>
    <w:rsid w:val="0CE03A46"/>
    <w:rsid w:val="0DD33C42"/>
    <w:rsid w:val="10464C25"/>
    <w:rsid w:val="150C00BF"/>
    <w:rsid w:val="1A89543F"/>
    <w:rsid w:val="1C8C5C78"/>
    <w:rsid w:val="1D9E4B24"/>
    <w:rsid w:val="1DEB2DEA"/>
    <w:rsid w:val="228C4E81"/>
    <w:rsid w:val="23E416C4"/>
    <w:rsid w:val="2C3D18BF"/>
    <w:rsid w:val="2C944A3C"/>
    <w:rsid w:val="2CE8036A"/>
    <w:rsid w:val="2CEE5FE4"/>
    <w:rsid w:val="313E4D36"/>
    <w:rsid w:val="37EB6DC7"/>
    <w:rsid w:val="38EA608C"/>
    <w:rsid w:val="406454E8"/>
    <w:rsid w:val="430A45B5"/>
    <w:rsid w:val="4AF6627F"/>
    <w:rsid w:val="5104674E"/>
    <w:rsid w:val="581500D6"/>
    <w:rsid w:val="63F31DC2"/>
    <w:rsid w:val="641A6084"/>
    <w:rsid w:val="65F37E70"/>
    <w:rsid w:val="66DE2E62"/>
    <w:rsid w:val="67EB56C5"/>
    <w:rsid w:val="690B0893"/>
    <w:rsid w:val="6FAB5C55"/>
    <w:rsid w:val="71A50ED2"/>
    <w:rsid w:val="731B3A53"/>
    <w:rsid w:val="7C345577"/>
    <w:rsid w:val="7CA5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800080"/>
      <w:u w:val="none"/>
    </w:rPr>
  </w:style>
  <w:style w:type="character" w:styleId="9">
    <w:name w:val="HTML Definition"/>
    <w:basedOn w:val="6"/>
    <w:autoRedefine/>
    <w:qFormat/>
    <w:uiPriority w:val="0"/>
  </w:style>
  <w:style w:type="character" w:styleId="10">
    <w:name w:val="HTML Typewriter"/>
    <w:basedOn w:val="6"/>
    <w:autoRedefine/>
    <w:qFormat/>
    <w:uiPriority w:val="0"/>
    <w:rPr>
      <w:rFonts w:ascii="monospace" w:hAnsi="monospace" w:eastAsia="monospace" w:cs="monospace"/>
      <w:sz w:val="20"/>
    </w:rPr>
  </w:style>
  <w:style w:type="character" w:styleId="11">
    <w:name w:val="HTML Acronym"/>
    <w:basedOn w:val="6"/>
    <w:autoRedefine/>
    <w:qFormat/>
    <w:uiPriority w:val="0"/>
  </w:style>
  <w:style w:type="character" w:styleId="12">
    <w:name w:val="HTML Variable"/>
    <w:basedOn w:val="6"/>
    <w:autoRedefine/>
    <w:qFormat/>
    <w:uiPriority w:val="0"/>
  </w:style>
  <w:style w:type="character" w:styleId="13">
    <w:name w:val="Hyperlink"/>
    <w:basedOn w:val="6"/>
    <w:autoRedefine/>
    <w:qFormat/>
    <w:uiPriority w:val="0"/>
    <w:rPr>
      <w:color w:val="0000FF"/>
      <w:u w:val="single"/>
    </w:rPr>
  </w:style>
  <w:style w:type="character" w:styleId="14">
    <w:name w:val="HTML Code"/>
    <w:basedOn w:val="6"/>
    <w:autoRedefine/>
    <w:qFormat/>
    <w:uiPriority w:val="0"/>
    <w:rPr>
      <w:rFonts w:hint="default" w:ascii="monospace" w:hAnsi="monospace" w:eastAsia="monospace" w:cs="monospace"/>
      <w:sz w:val="20"/>
    </w:rPr>
  </w:style>
  <w:style w:type="character" w:styleId="15">
    <w:name w:val="HTML Cite"/>
    <w:basedOn w:val="6"/>
    <w:autoRedefine/>
    <w:qFormat/>
    <w:uiPriority w:val="0"/>
  </w:style>
  <w:style w:type="character" w:styleId="16">
    <w:name w:val="HTML Keyboard"/>
    <w:basedOn w:val="6"/>
    <w:autoRedefine/>
    <w:qFormat/>
    <w:uiPriority w:val="0"/>
    <w:rPr>
      <w:rFonts w:hint="default" w:ascii="monospace" w:hAnsi="monospace" w:eastAsia="monospace" w:cs="monospace"/>
      <w:sz w:val="20"/>
    </w:rPr>
  </w:style>
  <w:style w:type="character" w:styleId="17">
    <w:name w:val="HTML Sample"/>
    <w:basedOn w:val="6"/>
    <w:autoRedefine/>
    <w:qFormat/>
    <w:uiPriority w:val="0"/>
    <w:rPr>
      <w:rFonts w:hint="default" w:ascii="monospace" w:hAnsi="monospace" w:eastAsia="monospace" w:cs="monospace"/>
    </w:rPr>
  </w:style>
  <w:style w:type="paragraph" w:customStyle="1" w:styleId="18">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19">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2025-08-15T06:51:38Z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