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24181">
      <w:pPr>
        <w:widowControl/>
        <w:adjustRightInd w:val="0"/>
        <w:snapToGrid w:val="0"/>
        <w:spacing w:before="156" w:beforeLines="50" w:line="360" w:lineRule="auto"/>
        <w:ind w:firstLine="640" w:firstLineChars="200"/>
        <w:jc w:val="center"/>
        <w:rPr>
          <w:rFonts w:ascii="Times New Roman" w:hAnsi="Times New Roman" w:eastAsia="黑体"/>
          <w:bCs/>
          <w:sz w:val="32"/>
          <w:szCs w:val="32"/>
        </w:rPr>
      </w:pPr>
      <w:bookmarkStart w:id="0" w:name="_Hlk174971315"/>
      <w:r>
        <w:rPr>
          <w:rFonts w:hint="eastAsia" w:ascii="Times New Roman" w:hAnsi="Times New Roman" w:eastAsia="黑体"/>
          <w:bCs/>
          <w:sz w:val="32"/>
          <w:szCs w:val="32"/>
        </w:rPr>
        <w:t>天津红日药业股份有限公司</w:t>
      </w:r>
    </w:p>
    <w:p w14:paraId="16A2302F">
      <w:pPr>
        <w:widowControl/>
        <w:adjustRightInd w:val="0"/>
        <w:snapToGrid w:val="0"/>
        <w:spacing w:before="156" w:beforeLines="50" w:line="360" w:lineRule="auto"/>
        <w:ind w:firstLine="640" w:firstLineChars="200"/>
        <w:jc w:val="center"/>
        <w:rPr>
          <w:rFonts w:ascii="Times New Roman" w:hAnsi="Times New Roman" w:eastAsia="黑体"/>
          <w:bCs/>
          <w:sz w:val="32"/>
          <w:szCs w:val="32"/>
        </w:rPr>
      </w:pPr>
      <w:r>
        <w:rPr>
          <w:rFonts w:hint="eastAsia" w:ascii="Times New Roman" w:hAnsi="Times New Roman" w:eastAsia="黑体"/>
          <w:bCs/>
          <w:sz w:val="32"/>
          <w:szCs w:val="32"/>
        </w:rPr>
        <w:t>关于</w:t>
      </w:r>
      <w:bookmarkEnd w:id="0"/>
      <w:r>
        <w:rPr>
          <w:rFonts w:hint="eastAsia" w:ascii="Times New Roman" w:hAnsi="Times New Roman" w:eastAsia="黑体"/>
          <w:bCs/>
          <w:sz w:val="32"/>
          <w:szCs w:val="32"/>
        </w:rPr>
        <w:t>临床血液样本及临床药品的仓储与冷链物流服务供应商的招标</w:t>
      </w:r>
      <w:r>
        <w:rPr>
          <w:rFonts w:ascii="Times New Roman" w:hAnsi="Times New Roman" w:eastAsia="黑体"/>
          <w:bCs/>
          <w:sz w:val="32"/>
          <w:szCs w:val="32"/>
        </w:rPr>
        <w:t>公告</w:t>
      </w:r>
    </w:p>
    <w:p w14:paraId="5603B4E9">
      <w:pPr>
        <w:widowControl/>
        <w:spacing w:line="360" w:lineRule="auto"/>
        <w:jc w:val="left"/>
        <w:rPr>
          <w:rFonts w:ascii="宋体" w:hAnsi="宋体" w:cs="宋体"/>
          <w:kern w:val="0"/>
          <w:sz w:val="24"/>
          <w:szCs w:val="24"/>
        </w:rPr>
      </w:pPr>
    </w:p>
    <w:p w14:paraId="20F2A23F">
      <w:pPr>
        <w:tabs>
          <w:tab w:val="left" w:pos="720"/>
        </w:tabs>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本次招标，依据天津红日药业股份有限公司《集团采购管理办法》面向社会公开招标，诚邀有能力的供应商参加投标。具体事宜要求如下：</w:t>
      </w:r>
    </w:p>
    <w:p w14:paraId="3339CCC3">
      <w:pPr>
        <w:pStyle w:val="10"/>
        <w:numPr>
          <w:ilvl w:val="0"/>
          <w:numId w:val="1"/>
        </w:numPr>
        <w:tabs>
          <w:tab w:val="left" w:pos="720"/>
        </w:tabs>
        <w:adjustRightInd w:val="0"/>
        <w:snapToGrid w:val="0"/>
        <w:spacing w:line="360" w:lineRule="auto"/>
        <w:ind w:firstLineChars="0"/>
        <w:jc w:val="left"/>
        <w:rPr>
          <w:rFonts w:ascii="Times New Roman" w:hAnsi="Times New Roman"/>
          <w:b/>
          <w:sz w:val="24"/>
          <w:szCs w:val="24"/>
        </w:rPr>
      </w:pPr>
      <w:r>
        <w:rPr>
          <w:rFonts w:hint="eastAsia" w:ascii="Times New Roman" w:hAnsi="Times New Roman"/>
          <w:b/>
          <w:sz w:val="24"/>
          <w:szCs w:val="24"/>
        </w:rPr>
        <w:t>项目情况简介</w:t>
      </w:r>
    </w:p>
    <w:p w14:paraId="0FC1B23B">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天津红日药业股份有限公司创建于1996年，统一社会信用代码</w:t>
      </w:r>
      <w:r>
        <w:rPr>
          <w:rFonts w:ascii="Times New Roman" w:hAnsi="Times New Roman"/>
          <w:bCs/>
          <w:sz w:val="24"/>
          <w:szCs w:val="24"/>
        </w:rPr>
        <w:t>9112000010409702XT</w:t>
      </w:r>
      <w:r>
        <w:rPr>
          <w:rFonts w:hint="eastAsia" w:ascii="Times New Roman" w:hAnsi="Times New Roman"/>
          <w:bCs/>
          <w:sz w:val="24"/>
          <w:szCs w:val="24"/>
        </w:rPr>
        <w:t>，注册资本300,415.4837万人民币，企业地址位于天津新技术产业园区武清开发区泉发路西。经营范围包括：小容量注射剂、片剂、硬胶囊剂、颗粒剂、原料药生产、中药提取；生物工程药品、基因工程药品、植化药品、化学药品的研究、开发、咨询、服务；普通货运；下列项目在天津新技术产业园区武清开发区源泉路17号开展生产活动：中药材前处理；原料药；药用辅料；大容量注射剂；小容量注射剂；冻干粉针剂；化工产品（危险品及易制毒品除外）批发兼零售；货物及技术进出口（法律、行政法规另有规定的除外）。信息系统运行维护服务、软件开发、信息技术咨询服务。（以上范围涉及药品的凭药品生产许可经营）（依法须经批准的项目，经相关部门批准后方可开展经营活动）。</w:t>
      </w:r>
    </w:p>
    <w:p w14:paraId="1AA18F48">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天津红日药业是一家横跨成品药、中医药产业群、药用辅料和原料药、医疗器械等诸多领域，集投融资、生产、研发、销售于一体的高科技医药健康产业集群。2009年，红日药业在深圳证券交易所创业板上市（股票代码300026）。近年来，该集团连续获得国家高新技术企业、国家技术创新示范企业等诸多荣誉，一直位列中国医药工业百强。2021年2月，入选全国脱贫攻坚先进集体拟表彰对象公示名单。</w:t>
      </w:r>
    </w:p>
    <w:p w14:paraId="70FEE074">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为保障临床试验项目的顺利开展，规范临床试验用药品及临床血液样本的仓储与物流管理，确保在存储、运输等环节的质量与安全，现对临床试验仓储物流服务供应商进行公开招标。</w:t>
      </w:r>
    </w:p>
    <w:p w14:paraId="4D0ABE0F">
      <w:pPr>
        <w:pStyle w:val="10"/>
        <w:numPr>
          <w:ilvl w:val="0"/>
          <w:numId w:val="1"/>
        </w:numPr>
        <w:tabs>
          <w:tab w:val="left" w:pos="720"/>
        </w:tabs>
        <w:adjustRightInd w:val="0"/>
        <w:snapToGrid w:val="0"/>
        <w:spacing w:line="360" w:lineRule="auto"/>
        <w:ind w:firstLineChars="0"/>
        <w:jc w:val="left"/>
        <w:rPr>
          <w:rFonts w:ascii="Times New Roman" w:hAnsi="Times New Roman"/>
          <w:b/>
          <w:sz w:val="24"/>
          <w:szCs w:val="24"/>
        </w:rPr>
      </w:pPr>
      <w:r>
        <w:rPr>
          <w:rFonts w:ascii="Times New Roman" w:hAnsi="Times New Roman"/>
          <w:b/>
          <w:sz w:val="24"/>
          <w:szCs w:val="24"/>
        </w:rPr>
        <w:t>招标内容</w:t>
      </w:r>
    </w:p>
    <w:p w14:paraId="2DD724E7">
      <w:pPr>
        <w:pStyle w:val="10"/>
        <w:numPr>
          <w:ilvl w:val="0"/>
          <w:numId w:val="2"/>
        </w:numPr>
        <w:tabs>
          <w:tab w:val="left" w:pos="720"/>
        </w:tabs>
        <w:adjustRightInd w:val="0"/>
        <w:snapToGrid w:val="0"/>
        <w:spacing w:line="360" w:lineRule="auto"/>
        <w:ind w:firstLineChars="0"/>
        <w:jc w:val="left"/>
        <w:rPr>
          <w:rFonts w:ascii="Times New Roman" w:hAnsi="Times New Roman"/>
          <w:bCs/>
          <w:sz w:val="24"/>
          <w:szCs w:val="24"/>
        </w:rPr>
      </w:pPr>
      <w:r>
        <w:rPr>
          <w:rFonts w:hint="eastAsia" w:ascii="Times New Roman" w:hAnsi="Times New Roman"/>
          <w:bCs/>
          <w:sz w:val="24"/>
          <w:szCs w:val="24"/>
        </w:rPr>
        <w:t>技术要求：</w:t>
      </w:r>
    </w:p>
    <w:p w14:paraId="051368F4">
      <w:pPr>
        <w:tabs>
          <w:tab w:val="left" w:pos="720"/>
        </w:tabs>
        <w:adjustRightInd w:val="0"/>
        <w:snapToGrid w:val="0"/>
        <w:spacing w:line="360" w:lineRule="auto"/>
        <w:ind w:firstLine="420" w:firstLineChars="175"/>
        <w:jc w:val="left"/>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w:t>
      </w:r>
      <w:r>
        <w:rPr>
          <w:rFonts w:hint="eastAsia" w:ascii="Times New Roman" w:hAnsi="Times New Roman"/>
          <w:bCs/>
          <w:sz w:val="24"/>
          <w:szCs w:val="24"/>
        </w:rPr>
        <w:t>仓储设施</w:t>
      </w:r>
    </w:p>
    <w:p w14:paraId="32F71960">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具有符合临床试验药品及临床血液样本存储要求的独立仓储区域，且该区域应具备良好的通风、采光、防潮、防火、防虫、防盗等条件。</w:t>
      </w:r>
    </w:p>
    <w:p w14:paraId="4C954341">
      <w:pPr>
        <w:pStyle w:val="10"/>
        <w:tabs>
          <w:tab w:val="left" w:pos="720"/>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配备温湿度监控系统，能够实时监测并记录仓储环境的温湿度数据，温湿度控制范围应满足不同临床试验物资的存储需求（如常温</w:t>
      </w:r>
      <w:r>
        <w:rPr>
          <w:rFonts w:ascii="Times New Roman" w:hAnsi="Times New Roman"/>
          <w:bCs/>
          <w:sz w:val="24"/>
          <w:szCs w:val="24"/>
        </w:rPr>
        <w:t>15</w:t>
      </w:r>
      <w:r>
        <w:rPr>
          <w:rFonts w:hint="eastAsia" w:ascii="Times New Roman" w:hAnsi="Times New Roman"/>
          <w:bCs/>
          <w:sz w:val="24"/>
          <w:szCs w:val="24"/>
        </w:rPr>
        <w:t>-25℃、阴凉处不超过</w:t>
      </w:r>
      <w:r>
        <w:rPr>
          <w:rFonts w:ascii="Times New Roman" w:hAnsi="Times New Roman"/>
          <w:bCs/>
          <w:sz w:val="24"/>
          <w:szCs w:val="24"/>
        </w:rPr>
        <w:t>3</w:t>
      </w:r>
      <w:r>
        <w:rPr>
          <w:rFonts w:hint="eastAsia" w:ascii="Times New Roman" w:hAnsi="Times New Roman"/>
          <w:bCs/>
          <w:sz w:val="24"/>
          <w:szCs w:val="24"/>
        </w:rPr>
        <w:t>0℃、冷藏2-8℃、冷冻</w:t>
      </w:r>
      <w:r>
        <w:rPr>
          <w:rFonts w:ascii="Times New Roman" w:hAnsi="Times New Roman"/>
          <w:bCs/>
          <w:sz w:val="24"/>
          <w:szCs w:val="24"/>
        </w:rPr>
        <w:t>-80</w:t>
      </w:r>
      <w:r>
        <w:rPr>
          <w:rFonts w:hint="eastAsia" w:ascii="Times New Roman" w:hAnsi="Times New Roman"/>
          <w:bCs/>
          <w:sz w:val="24"/>
          <w:szCs w:val="24"/>
        </w:rPr>
        <w:t>℃以下等），并具备数据超标自动报警功能。</w:t>
      </w:r>
    </w:p>
    <w:p w14:paraId="1541E41D">
      <w:pPr>
        <w:pStyle w:val="10"/>
        <w:tabs>
          <w:tab w:val="left" w:pos="720"/>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仓储区域应划分不同功能分区，如收货区、存储区、发货区等，且各分区应有明确标识。</w:t>
      </w:r>
    </w:p>
    <w:p w14:paraId="51DEF9D2">
      <w:pPr>
        <w:pStyle w:val="10"/>
        <w:tabs>
          <w:tab w:val="left" w:pos="720"/>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配备符合国家规定的消防设施和应急照明设备，并定期进行检查和维护。</w:t>
      </w:r>
    </w:p>
    <w:p w14:paraId="77423443">
      <w:pPr>
        <w:pStyle w:val="10"/>
        <w:tabs>
          <w:tab w:val="left" w:pos="720"/>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2</w:t>
      </w:r>
      <w:r>
        <w:rPr>
          <w:rFonts w:ascii="Times New Roman" w:hAnsi="Times New Roman"/>
          <w:bCs/>
          <w:sz w:val="24"/>
          <w:szCs w:val="24"/>
        </w:rPr>
        <w:t>.</w:t>
      </w:r>
      <w:r>
        <w:rPr>
          <w:rFonts w:hint="eastAsia" w:ascii="Times New Roman" w:hAnsi="Times New Roman"/>
          <w:bCs/>
          <w:sz w:val="24"/>
          <w:szCs w:val="24"/>
        </w:rPr>
        <w:t>物流设备</w:t>
      </w:r>
    </w:p>
    <w:p w14:paraId="69FE0639">
      <w:pPr>
        <w:pStyle w:val="10"/>
        <w:tabs>
          <w:tab w:val="left" w:pos="720"/>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运输车辆应满足临床试验药品及临床血液样本运输的温湿度要求，配备相应的温控设备（如冷藏箱等），并能实时监控运输过程中的温湿度数据，温湿度监控设备需经过校验。</w:t>
      </w:r>
    </w:p>
    <w:p w14:paraId="5C2FDDD8">
      <w:pPr>
        <w:widowControl/>
        <w:adjustRightInd w:val="0"/>
        <w:snapToGrid w:val="0"/>
        <w:spacing w:line="360" w:lineRule="auto"/>
        <w:jc w:val="left"/>
        <w:rPr>
          <w:rFonts w:ascii="Times New Roman" w:hAnsi="Times New Roman"/>
          <w:b/>
          <w:color w:val="FF0000"/>
          <w:kern w:val="0"/>
          <w:sz w:val="24"/>
          <w:szCs w:val="24"/>
        </w:rPr>
      </w:pPr>
      <w:r>
        <w:rPr>
          <w:rFonts w:hint="eastAsia" w:ascii="Times New Roman" w:hAnsi="Times New Roman"/>
          <w:sz w:val="24"/>
          <w:szCs w:val="24"/>
        </w:rPr>
        <w:t>（二）服务内容：</w:t>
      </w:r>
    </w:p>
    <w:p w14:paraId="66F2AF44">
      <w:pPr>
        <w:widowControl/>
        <w:adjustRightInd w:val="0"/>
        <w:snapToGrid w:val="0"/>
        <w:spacing w:line="360" w:lineRule="auto"/>
        <w:ind w:firstLine="480" w:firstLineChars="200"/>
        <w:jc w:val="left"/>
        <w:rPr>
          <w:rFonts w:ascii="Times New Roman" w:hAnsi="Times New Roman"/>
          <w:bCs/>
          <w:kern w:val="0"/>
          <w:sz w:val="24"/>
          <w:szCs w:val="24"/>
        </w:rPr>
      </w:pPr>
      <w:r>
        <w:rPr>
          <w:rFonts w:ascii="Times New Roman" w:hAnsi="Times New Roman"/>
          <w:bCs/>
          <w:kern w:val="0"/>
          <w:sz w:val="24"/>
          <w:szCs w:val="24"/>
        </w:rPr>
        <w:t>需采购的服务内容包括（包括但不限于）：</w:t>
      </w:r>
    </w:p>
    <w:p w14:paraId="073AA6C3">
      <w:pPr>
        <w:widowControl/>
        <w:adjustRightInd w:val="0"/>
        <w:snapToGrid w:val="0"/>
        <w:spacing w:line="360" w:lineRule="auto"/>
        <w:ind w:firstLine="480" w:firstLineChars="200"/>
        <w:jc w:val="left"/>
        <w:rPr>
          <w:rFonts w:ascii="Times New Roman" w:hAnsi="Times New Roman"/>
          <w:bCs/>
          <w:kern w:val="0"/>
          <w:sz w:val="24"/>
          <w:szCs w:val="24"/>
        </w:rPr>
      </w:pPr>
      <w:r>
        <w:rPr>
          <w:rFonts w:ascii="Times New Roman" w:hAnsi="Times New Roman"/>
          <w:bCs/>
          <w:kern w:val="0"/>
          <w:sz w:val="24"/>
          <w:szCs w:val="24"/>
        </w:rPr>
        <w:t>1、负责</w:t>
      </w:r>
      <w:r>
        <w:rPr>
          <w:rFonts w:hint="eastAsia" w:ascii="Times New Roman" w:hAnsi="Times New Roman"/>
          <w:bCs/>
          <w:kern w:val="0"/>
          <w:sz w:val="24"/>
          <w:szCs w:val="24"/>
        </w:rPr>
        <w:t>临床试验用药品的入库验收、储存、出库等管理</w:t>
      </w:r>
      <w:r>
        <w:rPr>
          <w:rFonts w:ascii="Times New Roman" w:hAnsi="Times New Roman"/>
          <w:bCs/>
          <w:kern w:val="0"/>
          <w:sz w:val="24"/>
          <w:szCs w:val="24"/>
        </w:rPr>
        <w:t>：</w:t>
      </w:r>
      <w:r>
        <w:rPr>
          <w:rFonts w:hint="eastAsia" w:ascii="Times New Roman" w:hAnsi="Times New Roman"/>
          <w:bCs/>
          <w:kern w:val="0"/>
          <w:sz w:val="24"/>
          <w:szCs w:val="24"/>
        </w:rPr>
        <w:t>入库时，需仔细核对药品的品名、规格、数量、批号、有效期等信息，确保与相关单据一致，并做好详细记录；储存过程中，严格按照药品的存储要求进行存放，定期检查药品的状态，防止出现过期、损坏等情况；出库时，按照招标方的指令准确发货，确保药品的数量和状态无误。</w:t>
      </w:r>
    </w:p>
    <w:p w14:paraId="701C3F42">
      <w:pPr>
        <w:widowControl/>
        <w:adjustRightInd w:val="0"/>
        <w:snapToGrid w:val="0"/>
        <w:spacing w:line="360" w:lineRule="auto"/>
        <w:ind w:firstLine="480" w:firstLineChars="200"/>
        <w:jc w:val="left"/>
        <w:rPr>
          <w:rFonts w:ascii="Times New Roman" w:hAnsi="Times New Roman"/>
          <w:bCs/>
          <w:kern w:val="0"/>
          <w:sz w:val="24"/>
          <w:szCs w:val="24"/>
        </w:rPr>
      </w:pPr>
      <w:r>
        <w:rPr>
          <w:rFonts w:ascii="Times New Roman" w:hAnsi="Times New Roman"/>
          <w:bCs/>
          <w:kern w:val="0"/>
          <w:sz w:val="24"/>
          <w:szCs w:val="24"/>
        </w:rPr>
        <w:t>2、负责</w:t>
      </w:r>
      <w:r>
        <w:rPr>
          <w:rFonts w:hint="eastAsia" w:ascii="Times New Roman" w:hAnsi="Times New Roman"/>
          <w:bCs/>
          <w:kern w:val="0"/>
          <w:sz w:val="24"/>
          <w:szCs w:val="24"/>
        </w:rPr>
        <w:t>临床试验生物样本（如血液、组织等）的入库验收、储存、出库等管理</w:t>
      </w:r>
      <w:r>
        <w:rPr>
          <w:rFonts w:ascii="Times New Roman" w:hAnsi="Times New Roman"/>
          <w:bCs/>
          <w:kern w:val="0"/>
          <w:sz w:val="24"/>
          <w:szCs w:val="24"/>
        </w:rPr>
        <w:t>：</w:t>
      </w:r>
      <w:r>
        <w:rPr>
          <w:rFonts w:hint="eastAsia" w:ascii="Times New Roman" w:hAnsi="Times New Roman"/>
          <w:bCs/>
          <w:kern w:val="0"/>
          <w:sz w:val="24"/>
          <w:szCs w:val="24"/>
        </w:rPr>
        <w:t>入库验收时，核对样本数量，检查样本的包装是否完好；储存时，根据要求选择合适的存储条件，保证样本的质量；出库时，严格按照规定的流程进行操作，确保样本的交接准确无误，记录完整。</w:t>
      </w:r>
    </w:p>
    <w:p w14:paraId="06B3BE91">
      <w:pPr>
        <w:widowControl/>
        <w:adjustRightInd w:val="0"/>
        <w:snapToGrid w:val="0"/>
        <w:spacing w:line="360" w:lineRule="auto"/>
        <w:ind w:firstLine="480" w:firstLineChars="200"/>
        <w:jc w:val="left"/>
        <w:rPr>
          <w:rFonts w:ascii="Times New Roman" w:hAnsi="Times New Roman"/>
          <w:bCs/>
          <w:kern w:val="0"/>
          <w:sz w:val="24"/>
          <w:szCs w:val="24"/>
        </w:rPr>
      </w:pPr>
      <w:r>
        <w:rPr>
          <w:rFonts w:ascii="Times New Roman" w:hAnsi="Times New Roman"/>
          <w:bCs/>
          <w:kern w:val="0"/>
          <w:sz w:val="24"/>
          <w:szCs w:val="24"/>
        </w:rPr>
        <w:t>3、负责临床试验</w:t>
      </w:r>
      <w:r>
        <w:rPr>
          <w:rFonts w:hint="eastAsia" w:ascii="Times New Roman" w:hAnsi="Times New Roman"/>
          <w:bCs/>
          <w:kern w:val="0"/>
          <w:sz w:val="24"/>
          <w:szCs w:val="24"/>
        </w:rPr>
        <w:t>药品及血液样本的运输（含冷链运输）</w:t>
      </w:r>
      <w:r>
        <w:rPr>
          <w:rFonts w:ascii="Times New Roman" w:hAnsi="Times New Roman"/>
          <w:bCs/>
          <w:kern w:val="0"/>
          <w:sz w:val="24"/>
          <w:szCs w:val="24"/>
        </w:rPr>
        <w:t>：</w:t>
      </w:r>
      <w:r>
        <w:rPr>
          <w:rFonts w:hint="eastAsia" w:ascii="Times New Roman" w:hAnsi="Times New Roman"/>
          <w:bCs/>
          <w:kern w:val="0"/>
          <w:sz w:val="24"/>
          <w:szCs w:val="24"/>
        </w:rPr>
        <w:t>按照招标方的指令，选择合适的运输方式和路线，确保按时、安全送达指定地点。运输过程中，严格控制运输环境的温湿度，做好防护措施，防止受到挤压、碰撞、污染等。及时向招标方反馈物资运输的进度信息，如发货时间、预计到达时间、实际到达时间等。与接收方共同核对交接的数量和状态，并签署相关交接单据。</w:t>
      </w:r>
    </w:p>
    <w:p w14:paraId="67163625">
      <w:pPr>
        <w:widowControl/>
        <w:adjustRightInd w:val="0"/>
        <w:snapToGrid w:val="0"/>
        <w:spacing w:line="360" w:lineRule="auto"/>
        <w:ind w:firstLine="480" w:firstLineChars="200"/>
        <w:jc w:val="left"/>
        <w:rPr>
          <w:rFonts w:ascii="Times New Roman" w:hAnsi="Times New Roman"/>
          <w:bCs/>
          <w:kern w:val="0"/>
          <w:sz w:val="24"/>
          <w:szCs w:val="24"/>
        </w:rPr>
      </w:pPr>
      <w:r>
        <w:rPr>
          <w:rFonts w:ascii="Times New Roman" w:hAnsi="Times New Roman"/>
          <w:bCs/>
          <w:kern w:val="0"/>
          <w:sz w:val="24"/>
          <w:szCs w:val="24"/>
        </w:rPr>
        <w:t>4、负责</w:t>
      </w:r>
      <w:r>
        <w:rPr>
          <w:rFonts w:hint="eastAsia" w:ascii="Times New Roman" w:hAnsi="Times New Roman"/>
          <w:bCs/>
          <w:kern w:val="0"/>
          <w:sz w:val="24"/>
          <w:szCs w:val="24"/>
        </w:rPr>
        <w:t>过期/废弃临床试验药品及血液样本的合规销毁</w:t>
      </w:r>
      <w:r>
        <w:rPr>
          <w:rFonts w:ascii="Times New Roman" w:hAnsi="Times New Roman"/>
          <w:bCs/>
          <w:kern w:val="0"/>
          <w:sz w:val="24"/>
          <w:szCs w:val="24"/>
        </w:rPr>
        <w:t>：</w:t>
      </w:r>
      <w:r>
        <w:rPr>
          <w:rFonts w:hint="eastAsia" w:ascii="Times New Roman" w:hAnsi="Times New Roman"/>
          <w:bCs/>
          <w:kern w:val="0"/>
          <w:sz w:val="24"/>
          <w:szCs w:val="24"/>
        </w:rPr>
        <w:t>按照国家相关法律法规和行业规范的要求，对过期或废弃的临床试验药品及血液样本进行集中销毁。选择具备相应资质的销毁机构进行销毁，确保销毁过程合法合规，并及时向招标方提供销毁证明和相关记录。</w:t>
      </w:r>
    </w:p>
    <w:p w14:paraId="593B8AE7">
      <w:pPr>
        <w:tabs>
          <w:tab w:val="left" w:pos="720"/>
        </w:tabs>
        <w:adjustRightInd w:val="0"/>
        <w:snapToGrid w:val="0"/>
        <w:spacing w:line="360" w:lineRule="auto"/>
        <w:jc w:val="left"/>
        <w:rPr>
          <w:rFonts w:ascii="Times New Roman" w:hAnsi="Times New Roman"/>
          <w:b/>
          <w:sz w:val="24"/>
          <w:szCs w:val="24"/>
        </w:rPr>
      </w:pPr>
      <w:r>
        <w:rPr>
          <w:rFonts w:hint="eastAsia" w:ascii="Times New Roman" w:hAnsi="Times New Roman"/>
          <w:b/>
          <w:sz w:val="24"/>
          <w:szCs w:val="24"/>
        </w:rPr>
        <w:t>三、</w:t>
      </w:r>
      <w:r>
        <w:rPr>
          <w:rFonts w:ascii="Times New Roman" w:hAnsi="Times New Roman"/>
          <w:b/>
          <w:sz w:val="24"/>
          <w:szCs w:val="24"/>
        </w:rPr>
        <w:t>投标</w:t>
      </w:r>
      <w:r>
        <w:rPr>
          <w:rFonts w:hint="eastAsia" w:ascii="Times New Roman" w:hAnsi="Times New Roman"/>
          <w:b/>
          <w:sz w:val="24"/>
          <w:szCs w:val="24"/>
        </w:rPr>
        <w:t>方</w:t>
      </w:r>
      <w:r>
        <w:rPr>
          <w:rFonts w:ascii="Times New Roman" w:hAnsi="Times New Roman"/>
          <w:b/>
          <w:sz w:val="24"/>
          <w:szCs w:val="24"/>
        </w:rPr>
        <w:t>资格</w:t>
      </w:r>
    </w:p>
    <w:p w14:paraId="35458C6C">
      <w:pPr>
        <w:tabs>
          <w:tab w:val="left" w:pos="720"/>
        </w:tabs>
        <w:adjustRightInd w:val="0"/>
        <w:snapToGrid w:val="0"/>
        <w:spacing w:line="360" w:lineRule="auto"/>
        <w:ind w:firstLine="480" w:firstLineChars="200"/>
        <w:jc w:val="left"/>
        <w:rPr>
          <w:rFonts w:ascii="Times New Roman" w:hAnsi="Times New Roman"/>
          <w:bCs/>
          <w:sz w:val="24"/>
          <w:szCs w:val="24"/>
        </w:rPr>
      </w:pPr>
      <w:r>
        <w:rPr>
          <w:rFonts w:ascii="Times New Roman" w:hAnsi="Times New Roman"/>
          <w:bCs/>
          <w:sz w:val="24"/>
          <w:szCs w:val="24"/>
        </w:rPr>
        <w:t>1、依据中华人民共和国有关法律设立，并在中华人民共和国境内注册，具有独立法人资格，有能力参加此次招标并且能够独立承担该项目的</w:t>
      </w:r>
      <w:r>
        <w:rPr>
          <w:rFonts w:hint="eastAsia" w:ascii="Times New Roman" w:hAnsi="Times New Roman"/>
          <w:bCs/>
          <w:sz w:val="24"/>
          <w:szCs w:val="24"/>
        </w:rPr>
        <w:t>仓储</w:t>
      </w:r>
      <w:r>
        <w:rPr>
          <w:rFonts w:ascii="Times New Roman" w:hAnsi="Times New Roman"/>
          <w:bCs/>
          <w:sz w:val="24"/>
          <w:szCs w:val="24"/>
        </w:rPr>
        <w:t>及冷链运输公司；</w:t>
      </w:r>
    </w:p>
    <w:p w14:paraId="4828E8F8">
      <w:pPr>
        <w:tabs>
          <w:tab w:val="left" w:pos="720"/>
        </w:tabs>
        <w:adjustRightInd w:val="0"/>
        <w:snapToGrid w:val="0"/>
        <w:spacing w:line="360" w:lineRule="auto"/>
        <w:ind w:left="482"/>
        <w:jc w:val="left"/>
        <w:rPr>
          <w:rFonts w:ascii="Times New Roman" w:hAnsi="Times New Roman"/>
          <w:bCs/>
          <w:sz w:val="24"/>
          <w:szCs w:val="24"/>
        </w:rPr>
      </w:pPr>
      <w:r>
        <w:rPr>
          <w:rFonts w:ascii="Times New Roman" w:hAnsi="Times New Roman"/>
          <w:bCs/>
          <w:sz w:val="24"/>
          <w:szCs w:val="24"/>
        </w:rPr>
        <w:t>2、</w:t>
      </w:r>
      <w:r>
        <w:rPr>
          <w:rFonts w:hint="eastAsia" w:ascii="Times New Roman" w:hAnsi="Times New Roman"/>
          <w:bCs/>
          <w:sz w:val="24"/>
          <w:szCs w:val="24"/>
        </w:rPr>
        <w:t>财务状况良好，近三年来无重大违法乱纪事项</w:t>
      </w:r>
      <w:r>
        <w:rPr>
          <w:rFonts w:ascii="Times New Roman" w:hAnsi="Times New Roman"/>
          <w:bCs/>
          <w:sz w:val="24"/>
          <w:szCs w:val="24"/>
        </w:rPr>
        <w:t>；</w:t>
      </w:r>
    </w:p>
    <w:p w14:paraId="5D89F21B">
      <w:pPr>
        <w:tabs>
          <w:tab w:val="left" w:pos="720"/>
        </w:tabs>
        <w:adjustRightInd w:val="0"/>
        <w:snapToGrid w:val="0"/>
        <w:spacing w:line="360" w:lineRule="auto"/>
        <w:ind w:left="482"/>
        <w:jc w:val="left"/>
        <w:rPr>
          <w:rFonts w:ascii="Times New Roman" w:hAnsi="Times New Roman"/>
          <w:bCs/>
          <w:sz w:val="24"/>
          <w:szCs w:val="24"/>
        </w:rPr>
      </w:pPr>
      <w:r>
        <w:rPr>
          <w:rFonts w:ascii="Times New Roman" w:hAnsi="Times New Roman"/>
          <w:bCs/>
          <w:sz w:val="24"/>
          <w:szCs w:val="24"/>
        </w:rPr>
        <w:t>3、投标方公司内部有完善的标准操作规程（SOP）和质量管理体系；</w:t>
      </w:r>
    </w:p>
    <w:p w14:paraId="4A6DB766">
      <w:pPr>
        <w:tabs>
          <w:tab w:val="left" w:pos="720"/>
        </w:tabs>
        <w:adjustRightInd w:val="0"/>
        <w:snapToGrid w:val="0"/>
        <w:spacing w:line="360" w:lineRule="auto"/>
        <w:ind w:left="482"/>
        <w:jc w:val="left"/>
        <w:rPr>
          <w:rFonts w:ascii="Times New Roman" w:hAnsi="Times New Roman"/>
          <w:bCs/>
          <w:sz w:val="24"/>
          <w:szCs w:val="24"/>
        </w:rPr>
      </w:pPr>
      <w:r>
        <w:rPr>
          <w:rFonts w:ascii="Times New Roman" w:hAnsi="Times New Roman"/>
          <w:bCs/>
          <w:sz w:val="24"/>
          <w:szCs w:val="24"/>
        </w:rPr>
        <w:t>4、投标方必须具有较好的</w:t>
      </w:r>
      <w:r>
        <w:rPr>
          <w:rFonts w:hint="eastAsia" w:ascii="Times New Roman" w:hAnsi="Times New Roman"/>
          <w:bCs/>
          <w:sz w:val="24"/>
          <w:szCs w:val="24"/>
        </w:rPr>
        <w:t>行业</w:t>
      </w:r>
      <w:r>
        <w:rPr>
          <w:rFonts w:ascii="Times New Roman" w:hAnsi="Times New Roman"/>
          <w:bCs/>
          <w:sz w:val="24"/>
          <w:szCs w:val="24"/>
        </w:rPr>
        <w:t>声誉，能提供良好的服务和技术支持；</w:t>
      </w:r>
    </w:p>
    <w:p w14:paraId="085BDAD5">
      <w:pPr>
        <w:tabs>
          <w:tab w:val="left" w:pos="720"/>
        </w:tabs>
        <w:adjustRightInd w:val="0"/>
        <w:snapToGrid w:val="0"/>
        <w:spacing w:line="360" w:lineRule="auto"/>
        <w:ind w:firstLine="480" w:firstLineChars="200"/>
        <w:jc w:val="left"/>
        <w:rPr>
          <w:rFonts w:ascii="Times New Roman" w:hAnsi="Times New Roman"/>
          <w:bCs/>
          <w:sz w:val="24"/>
          <w:szCs w:val="24"/>
        </w:rPr>
      </w:pPr>
      <w:r>
        <w:rPr>
          <w:rFonts w:ascii="Times New Roman" w:hAnsi="Times New Roman"/>
          <w:bCs/>
          <w:sz w:val="24"/>
          <w:szCs w:val="24"/>
        </w:rPr>
        <w:t>5、投标方必须提供合格的资格文件，以证明其符合投标条件和具有履行合同的能力。如提供的材料不真实，将可能导致其投标被拒绝。</w:t>
      </w:r>
    </w:p>
    <w:p w14:paraId="3A527211">
      <w:pPr>
        <w:pStyle w:val="10"/>
        <w:numPr>
          <w:ilvl w:val="0"/>
          <w:numId w:val="3"/>
        </w:numPr>
        <w:tabs>
          <w:tab w:val="left" w:pos="720"/>
        </w:tabs>
        <w:adjustRightInd w:val="0"/>
        <w:snapToGrid w:val="0"/>
        <w:spacing w:line="360" w:lineRule="auto"/>
        <w:ind w:firstLineChars="0"/>
        <w:jc w:val="left"/>
        <w:rPr>
          <w:rFonts w:ascii="Times New Roman" w:hAnsi="Times New Roman"/>
          <w:b/>
          <w:sz w:val="24"/>
          <w:szCs w:val="24"/>
        </w:rPr>
      </w:pPr>
      <w:r>
        <w:rPr>
          <w:rFonts w:hint="eastAsia" w:ascii="Times New Roman" w:hAnsi="Times New Roman"/>
          <w:b/>
          <w:sz w:val="24"/>
          <w:szCs w:val="24"/>
        </w:rPr>
        <w:t>投标方式及要求</w:t>
      </w:r>
    </w:p>
    <w:p w14:paraId="7D06EC19">
      <w:pPr>
        <w:tabs>
          <w:tab w:val="left" w:pos="720"/>
        </w:tabs>
        <w:adjustRightInd w:val="0"/>
        <w:snapToGrid w:val="0"/>
        <w:spacing w:line="360" w:lineRule="auto"/>
        <w:jc w:val="left"/>
        <w:rPr>
          <w:rFonts w:ascii="Times New Roman" w:hAnsi="Times New Roman"/>
          <w:b/>
          <w:sz w:val="24"/>
          <w:szCs w:val="24"/>
        </w:rPr>
      </w:pPr>
      <w:r>
        <w:rPr>
          <w:rFonts w:hint="eastAsia" w:ascii="Times New Roman" w:hAnsi="Times New Roman"/>
          <w:b/>
          <w:sz w:val="24"/>
          <w:szCs w:val="24"/>
        </w:rPr>
        <w:t>（一）报名、招标方式及时间</w:t>
      </w:r>
    </w:p>
    <w:p w14:paraId="10461C8E">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1、报名方式及时间：</w:t>
      </w:r>
    </w:p>
    <w:p w14:paraId="6CC22782">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请登录红日药业招标采购平台https://www.chasesun.cn/，点击下方“招标采购”注册报名，注册手册参见附件1；</w:t>
      </w:r>
    </w:p>
    <w:p w14:paraId="1EC461B0">
      <w:pPr>
        <w:tabs>
          <w:tab w:val="left" w:pos="720"/>
        </w:tabs>
        <w:adjustRightInd w:val="0"/>
        <w:snapToGrid w:val="0"/>
        <w:spacing w:line="360" w:lineRule="auto"/>
        <w:ind w:firstLine="482" w:firstLineChars="200"/>
        <w:jc w:val="left"/>
        <w:rPr>
          <w:rFonts w:ascii="Times New Roman" w:hAnsi="Times New Roman"/>
          <w:b/>
          <w:color w:val="auto"/>
          <w:sz w:val="24"/>
          <w:szCs w:val="24"/>
        </w:rPr>
      </w:pPr>
      <w:r>
        <w:rPr>
          <w:rFonts w:hint="eastAsia" w:ascii="Times New Roman" w:hAnsi="Times New Roman"/>
          <w:b/>
          <w:color w:val="auto"/>
          <w:sz w:val="24"/>
          <w:szCs w:val="24"/>
        </w:rPr>
        <w:t>报名截止时间：2025年8月2</w:t>
      </w:r>
      <w:r>
        <w:rPr>
          <w:rFonts w:ascii="Times New Roman" w:hAnsi="Times New Roman"/>
          <w:b/>
          <w:color w:val="auto"/>
          <w:sz w:val="24"/>
          <w:szCs w:val="24"/>
        </w:rPr>
        <w:t>2</w:t>
      </w:r>
      <w:r>
        <w:rPr>
          <w:rFonts w:hint="eastAsia" w:ascii="Times New Roman" w:hAnsi="Times New Roman"/>
          <w:b/>
          <w:color w:val="auto"/>
          <w:sz w:val="24"/>
          <w:szCs w:val="24"/>
        </w:rPr>
        <w:t>日17:00</w:t>
      </w:r>
    </w:p>
    <w:p w14:paraId="05D1AD69">
      <w:pPr>
        <w:tabs>
          <w:tab w:val="left" w:pos="720"/>
        </w:tabs>
        <w:adjustRightInd w:val="0"/>
        <w:snapToGrid w:val="0"/>
        <w:spacing w:line="360" w:lineRule="auto"/>
        <w:ind w:firstLine="482" w:firstLineChars="200"/>
        <w:jc w:val="left"/>
        <w:rPr>
          <w:rFonts w:ascii="Times New Roman" w:hAnsi="Times New Roman"/>
          <w:b/>
          <w:color w:val="auto"/>
          <w:sz w:val="24"/>
          <w:szCs w:val="24"/>
        </w:rPr>
      </w:pPr>
      <w:r>
        <w:rPr>
          <w:rFonts w:hint="eastAsia" w:ascii="Times New Roman" w:hAnsi="Times New Roman"/>
          <w:b/>
          <w:color w:val="auto"/>
          <w:sz w:val="24"/>
          <w:szCs w:val="24"/>
        </w:rPr>
        <w:t>投标截止时间：202</w:t>
      </w:r>
      <w:r>
        <w:rPr>
          <w:rFonts w:ascii="Times New Roman" w:hAnsi="Times New Roman"/>
          <w:b/>
          <w:color w:val="auto"/>
          <w:sz w:val="24"/>
          <w:szCs w:val="24"/>
        </w:rPr>
        <w:t>5</w:t>
      </w:r>
      <w:r>
        <w:rPr>
          <w:rFonts w:hint="eastAsia" w:ascii="Times New Roman" w:hAnsi="Times New Roman"/>
          <w:b/>
          <w:color w:val="auto"/>
          <w:sz w:val="24"/>
          <w:szCs w:val="24"/>
        </w:rPr>
        <w:t>年</w:t>
      </w:r>
      <w:r>
        <w:rPr>
          <w:rFonts w:ascii="Times New Roman" w:hAnsi="Times New Roman"/>
          <w:b/>
          <w:color w:val="auto"/>
          <w:sz w:val="24"/>
          <w:szCs w:val="24"/>
        </w:rPr>
        <w:t>8</w:t>
      </w:r>
      <w:r>
        <w:rPr>
          <w:rFonts w:hint="eastAsia" w:ascii="Times New Roman" w:hAnsi="Times New Roman"/>
          <w:b/>
          <w:color w:val="auto"/>
          <w:sz w:val="24"/>
          <w:szCs w:val="24"/>
        </w:rPr>
        <w:t>月</w:t>
      </w:r>
      <w:r>
        <w:rPr>
          <w:rFonts w:ascii="Times New Roman" w:hAnsi="Times New Roman"/>
          <w:b/>
          <w:color w:val="auto"/>
          <w:sz w:val="24"/>
          <w:szCs w:val="24"/>
        </w:rPr>
        <w:t>29</w:t>
      </w:r>
      <w:r>
        <w:rPr>
          <w:rFonts w:hint="eastAsia" w:ascii="Times New Roman" w:hAnsi="Times New Roman"/>
          <w:b/>
          <w:color w:val="auto"/>
          <w:sz w:val="24"/>
          <w:szCs w:val="24"/>
        </w:rPr>
        <w:t>日</w:t>
      </w:r>
      <w:r>
        <w:rPr>
          <w:rFonts w:ascii="Times New Roman" w:hAnsi="Times New Roman"/>
          <w:b/>
          <w:color w:val="auto"/>
          <w:sz w:val="24"/>
          <w:szCs w:val="24"/>
        </w:rPr>
        <w:t>9</w:t>
      </w:r>
      <w:r>
        <w:rPr>
          <w:rFonts w:hint="eastAsia" w:ascii="Times New Roman" w:hAnsi="Times New Roman"/>
          <w:b/>
          <w:color w:val="auto"/>
          <w:sz w:val="24"/>
          <w:szCs w:val="24"/>
        </w:rPr>
        <w:t>：00</w:t>
      </w:r>
    </w:p>
    <w:p w14:paraId="71D5C39C">
      <w:pPr>
        <w:tabs>
          <w:tab w:val="left" w:pos="720"/>
        </w:tabs>
        <w:adjustRightInd w:val="0"/>
        <w:snapToGrid w:val="0"/>
        <w:spacing w:line="360" w:lineRule="auto"/>
        <w:ind w:firstLine="482" w:firstLineChars="200"/>
        <w:jc w:val="left"/>
        <w:rPr>
          <w:rFonts w:ascii="Times New Roman" w:hAnsi="Times New Roman"/>
          <w:b/>
          <w:color w:val="auto"/>
          <w:sz w:val="24"/>
          <w:szCs w:val="24"/>
        </w:rPr>
      </w:pPr>
      <w:r>
        <w:rPr>
          <w:rFonts w:hint="eastAsia" w:ascii="Times New Roman" w:hAnsi="Times New Roman"/>
          <w:b/>
          <w:color w:val="auto"/>
          <w:sz w:val="24"/>
          <w:szCs w:val="24"/>
        </w:rPr>
        <w:t>开标时间：</w:t>
      </w:r>
      <w:r>
        <w:rPr>
          <w:rFonts w:ascii="Times New Roman" w:hAnsi="Times New Roman"/>
          <w:b/>
          <w:color w:val="auto"/>
          <w:sz w:val="24"/>
          <w:szCs w:val="24"/>
        </w:rPr>
        <w:t>2025年</w:t>
      </w:r>
      <w:r>
        <w:rPr>
          <w:rFonts w:hint="eastAsia" w:ascii="Times New Roman" w:hAnsi="Times New Roman"/>
          <w:b/>
          <w:color w:val="auto"/>
          <w:sz w:val="24"/>
          <w:szCs w:val="24"/>
        </w:rPr>
        <w:t>8月2</w:t>
      </w:r>
      <w:r>
        <w:rPr>
          <w:rFonts w:ascii="Times New Roman" w:hAnsi="Times New Roman"/>
          <w:b/>
          <w:color w:val="auto"/>
          <w:sz w:val="24"/>
          <w:szCs w:val="24"/>
        </w:rPr>
        <w:t>9日</w:t>
      </w:r>
      <w:r>
        <w:rPr>
          <w:rFonts w:hint="eastAsia" w:ascii="Times New Roman" w:hAnsi="Times New Roman"/>
          <w:b/>
          <w:color w:val="auto"/>
          <w:sz w:val="24"/>
          <w:szCs w:val="24"/>
        </w:rPr>
        <w:t>9:00</w:t>
      </w:r>
    </w:p>
    <w:p w14:paraId="5033D68F">
      <w:pPr>
        <w:tabs>
          <w:tab w:val="left" w:pos="720"/>
        </w:tabs>
        <w:adjustRightInd w:val="0"/>
        <w:snapToGrid w:val="0"/>
        <w:spacing w:line="360" w:lineRule="auto"/>
        <w:ind w:firstLine="482" w:firstLineChars="200"/>
        <w:jc w:val="left"/>
        <w:rPr>
          <w:rFonts w:ascii="Times New Roman" w:hAnsi="Times New Roman"/>
          <w:b/>
          <w:color w:val="auto"/>
          <w:sz w:val="24"/>
          <w:szCs w:val="24"/>
        </w:rPr>
      </w:pPr>
      <w:r>
        <w:rPr>
          <w:rFonts w:hint="eastAsia" w:ascii="Times New Roman" w:hAnsi="Times New Roman"/>
          <w:b/>
          <w:color w:val="auto"/>
          <w:sz w:val="24"/>
          <w:szCs w:val="24"/>
        </w:rPr>
        <w:t>开标地点：天津红日药业股份有限公司红日厅</w:t>
      </w:r>
    </w:p>
    <w:p w14:paraId="3C1D782D">
      <w:pPr>
        <w:tabs>
          <w:tab w:val="left" w:pos="720"/>
        </w:tabs>
        <w:adjustRightInd w:val="0"/>
        <w:snapToGrid w:val="0"/>
        <w:spacing w:line="360" w:lineRule="auto"/>
        <w:ind w:firstLine="482" w:firstLineChars="200"/>
        <w:jc w:val="left"/>
        <w:rPr>
          <w:rFonts w:hint="eastAsia" w:ascii="Times New Roman" w:hAnsi="Times New Roman"/>
          <w:b/>
          <w:color w:val="auto"/>
          <w:sz w:val="24"/>
          <w:szCs w:val="24"/>
        </w:rPr>
      </w:pPr>
      <w:r>
        <w:rPr>
          <w:rFonts w:hint="eastAsia" w:ascii="Times New Roman" w:hAnsi="Times New Roman"/>
          <w:b/>
          <w:color w:val="auto"/>
          <w:sz w:val="24"/>
          <w:szCs w:val="24"/>
        </w:rPr>
        <w:t>开标时间和地点</w:t>
      </w:r>
      <w:r>
        <w:rPr>
          <w:rFonts w:hint="eastAsia" w:ascii="Times New Roman" w:hAnsi="Times New Roman"/>
          <w:b/>
          <w:color w:val="auto"/>
          <w:sz w:val="24"/>
          <w:szCs w:val="24"/>
          <w:lang w:val="en-US" w:eastAsia="zh-CN"/>
        </w:rPr>
        <w:t>如有变化</w:t>
      </w:r>
      <w:r>
        <w:rPr>
          <w:rFonts w:hint="eastAsia" w:ascii="Times New Roman" w:hAnsi="Times New Roman"/>
          <w:b/>
          <w:color w:val="auto"/>
          <w:sz w:val="24"/>
          <w:szCs w:val="24"/>
        </w:rPr>
        <w:t>另行通知。</w:t>
      </w:r>
    </w:p>
    <w:p w14:paraId="34A22F03">
      <w:pPr>
        <w:tabs>
          <w:tab w:val="left" w:pos="720"/>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2、招标方式及时间：</w:t>
      </w:r>
    </w:p>
    <w:p w14:paraId="749B94E3">
      <w:pPr>
        <w:tabs>
          <w:tab w:val="left" w:pos="709"/>
        </w:tabs>
        <w:adjustRightInd w:val="0"/>
        <w:snapToGrid w:val="0"/>
        <w:spacing w:line="360" w:lineRule="auto"/>
        <w:ind w:firstLine="480" w:firstLineChars="200"/>
        <w:jc w:val="left"/>
        <w:rPr>
          <w:rFonts w:ascii="Times New Roman" w:hAnsi="Times New Roman"/>
          <w:kern w:val="0"/>
          <w:sz w:val="24"/>
          <w:szCs w:val="24"/>
        </w:rPr>
      </w:pPr>
      <w:r>
        <w:rPr>
          <w:rFonts w:ascii="Times New Roman" w:hAnsi="Times New Roman"/>
          <w:kern w:val="0"/>
          <w:sz w:val="24"/>
          <w:szCs w:val="24"/>
        </w:rPr>
        <w:t>本次招标采用</w:t>
      </w:r>
      <w:r>
        <w:rPr>
          <w:rFonts w:hint="eastAsia" w:ascii="Times New Roman" w:hAnsi="Times New Roman"/>
          <w:kern w:val="0"/>
          <w:sz w:val="24"/>
          <w:szCs w:val="24"/>
        </w:rPr>
        <w:t>公开招标、封闭评审原则，</w:t>
      </w:r>
      <w:r>
        <w:rPr>
          <w:rFonts w:ascii="Times New Roman" w:hAnsi="Times New Roman"/>
          <w:kern w:val="0"/>
          <w:sz w:val="24"/>
          <w:szCs w:val="24"/>
        </w:rPr>
        <w:t>通过投标确定项目承担单位。投标方须按招标文件的要求提供相关资料，并保证所提供的文件资料的真实性。</w:t>
      </w:r>
    </w:p>
    <w:p w14:paraId="1E92A763">
      <w:pPr>
        <w:tabs>
          <w:tab w:val="left" w:pos="709"/>
        </w:tabs>
        <w:adjustRightInd w:val="0"/>
        <w:snapToGrid w:val="0"/>
        <w:spacing w:line="360" w:lineRule="auto"/>
        <w:ind w:firstLine="480" w:firstLineChars="200"/>
        <w:jc w:val="left"/>
        <w:rPr>
          <w:rFonts w:ascii="Times New Roman" w:hAnsi="Times New Roman"/>
          <w:kern w:val="0"/>
          <w:sz w:val="24"/>
          <w:szCs w:val="24"/>
        </w:rPr>
      </w:pPr>
      <w:r>
        <w:rPr>
          <w:rFonts w:hint="eastAsia" w:ascii="Times New Roman" w:hAnsi="Times New Roman"/>
          <w:kern w:val="0"/>
          <w:sz w:val="24"/>
          <w:szCs w:val="24"/>
        </w:rPr>
        <w:t>3、其他事项</w:t>
      </w:r>
    </w:p>
    <w:p w14:paraId="182302A7">
      <w:pPr>
        <w:tabs>
          <w:tab w:val="left" w:pos="709"/>
        </w:tabs>
        <w:adjustRightInd w:val="0"/>
        <w:snapToGrid w:val="0"/>
        <w:spacing w:line="360" w:lineRule="auto"/>
        <w:ind w:firstLine="480" w:firstLineChars="200"/>
        <w:jc w:val="left"/>
        <w:rPr>
          <w:rFonts w:ascii="Times New Roman" w:hAnsi="Times New Roman"/>
          <w:kern w:val="0"/>
          <w:sz w:val="24"/>
          <w:szCs w:val="24"/>
        </w:rPr>
      </w:pPr>
      <w:r>
        <w:rPr>
          <w:rFonts w:hint="eastAsia" w:ascii="Times New Roman" w:hAnsi="Times New Roman"/>
          <w:kern w:val="0"/>
          <w:sz w:val="24"/>
          <w:szCs w:val="24"/>
        </w:rPr>
        <w:t>（1）投标单位如对本招标文件有疑问，应于投标截止前，将问题发送至项目联系人邮箱，招标方将统一进行澄清或答疑；</w:t>
      </w:r>
    </w:p>
    <w:p w14:paraId="19E6ED5F">
      <w:pPr>
        <w:tabs>
          <w:tab w:val="left" w:pos="709"/>
        </w:tabs>
        <w:adjustRightInd w:val="0"/>
        <w:snapToGrid w:val="0"/>
        <w:spacing w:line="360" w:lineRule="auto"/>
        <w:ind w:firstLine="480" w:firstLineChars="200"/>
        <w:jc w:val="left"/>
        <w:rPr>
          <w:rFonts w:ascii="Times New Roman" w:hAnsi="Times New Roman"/>
          <w:kern w:val="0"/>
          <w:sz w:val="24"/>
          <w:szCs w:val="24"/>
        </w:rPr>
      </w:pPr>
      <w:r>
        <w:rPr>
          <w:rFonts w:hint="eastAsia" w:ascii="Times New Roman" w:hAnsi="Times New Roman"/>
          <w:kern w:val="0"/>
          <w:sz w:val="24"/>
          <w:szCs w:val="24"/>
        </w:rPr>
        <w:t>（2）凡已报名参加我司招标项目的投标单位，如因特殊情况无法继续参与投标的，请于开标前2天邮件正式澄清或平台通知招标方，否则视为无故弃标，招标方按照《供应商管理制度》进行相应的警告、加入黑名单或除名等处分。</w:t>
      </w:r>
    </w:p>
    <w:p w14:paraId="57042D06">
      <w:pPr>
        <w:tabs>
          <w:tab w:val="left" w:pos="709"/>
        </w:tabs>
        <w:adjustRightInd w:val="0"/>
        <w:snapToGrid w:val="0"/>
        <w:spacing w:line="360" w:lineRule="auto"/>
        <w:ind w:firstLine="480" w:firstLineChars="200"/>
        <w:jc w:val="left"/>
        <w:rPr>
          <w:rFonts w:ascii="Times New Roman" w:hAnsi="Times New Roman"/>
          <w:kern w:val="0"/>
          <w:sz w:val="24"/>
          <w:szCs w:val="24"/>
        </w:rPr>
      </w:pPr>
      <w:r>
        <w:rPr>
          <w:rFonts w:hint="eastAsia" w:ascii="Times New Roman" w:hAnsi="Times New Roman"/>
          <w:kern w:val="0"/>
          <w:sz w:val="24"/>
          <w:szCs w:val="24"/>
        </w:rPr>
        <w:t>（3）凡进行最终报价的投标单位，确认已知晓我司招标纪律及招标文件要求，签订合同之前双方应再次进行方案优化确认；如招标文件或澄清文件中已明确要求，但投标单位出现缺项、漏项等情况，投标人必须自行承担后果。</w:t>
      </w:r>
    </w:p>
    <w:p w14:paraId="10FFFA5C">
      <w:pPr>
        <w:widowControl/>
        <w:tabs>
          <w:tab w:val="left" w:pos="709"/>
        </w:tabs>
        <w:adjustRightInd w:val="0"/>
        <w:snapToGrid w:val="0"/>
        <w:spacing w:line="360" w:lineRule="auto"/>
        <w:jc w:val="left"/>
        <w:rPr>
          <w:rFonts w:ascii="Times New Roman" w:hAnsi="Times New Roman"/>
          <w:kern w:val="0"/>
          <w:sz w:val="24"/>
          <w:szCs w:val="24"/>
        </w:rPr>
      </w:pPr>
      <w:r>
        <w:rPr>
          <w:rFonts w:hint="eastAsia" w:ascii="Times New Roman" w:hAnsi="Times New Roman"/>
          <w:kern w:val="0"/>
          <w:sz w:val="24"/>
          <w:szCs w:val="24"/>
        </w:rPr>
        <w:t>（二）标书制作要求</w:t>
      </w:r>
    </w:p>
    <w:p w14:paraId="68819A87">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1、数量及密封</w:t>
      </w:r>
    </w:p>
    <w:p w14:paraId="6FB2460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（1）投标文件：投标方提供本项目相关的纸质版投标文件（加盖公章），纸版文件包括资质文件、技术标、商务标，共3部分，并提供电子文件U盘1个；</w:t>
      </w:r>
    </w:p>
    <w:p w14:paraId="4D4D3890">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（2）数量要求：纸质版标书需提供一份，电子U盘1个即可；</w:t>
      </w:r>
    </w:p>
    <w:p w14:paraId="3D159593">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（3）密封要求：资质文件与技术标密封在一起，商务标与电子U盘密封在一起；</w:t>
      </w:r>
    </w:p>
    <w:p w14:paraId="5D1AB2F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（4）注意：资质文件、技术文件不得含本项目报价，否则按废标处理；</w:t>
      </w:r>
    </w:p>
    <w:p w14:paraId="7B919219">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2、标书邮寄</w:t>
      </w:r>
    </w:p>
    <w:p w14:paraId="16005D05">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 xml:space="preserve">各单位请于开标前将标书邮寄至招标方，邮寄地址：天津市武清开发区泉发路20号，天津红日药业股份有限公司，联系人：赵晶  </w:t>
      </w:r>
      <w:r>
        <w:rPr>
          <w:rFonts w:ascii="Times New Roman" w:hAnsi="Times New Roman"/>
          <w:kern w:val="0"/>
          <w:sz w:val="24"/>
          <w:szCs w:val="24"/>
        </w:rPr>
        <w:t>17695503958</w:t>
      </w:r>
    </w:p>
    <w:p w14:paraId="3D166BDD">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3、平台投标</w:t>
      </w:r>
    </w:p>
    <w:p w14:paraId="1F5EFA21">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投标采取网上平台操作同步进行，投标单位必须于投标结束前完成电子版投标文件上传（关键项加盖公章），否则视为无效投标。投标参见附件2。</w:t>
      </w:r>
    </w:p>
    <w:p w14:paraId="6D152A4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4、标书制作</w:t>
      </w:r>
    </w:p>
    <w:p w14:paraId="3C65384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投标文件具体制作要求如下，如发现严重缺失项视为无效投标：</w:t>
      </w:r>
    </w:p>
    <w:p w14:paraId="6FCACA46">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4.1  资质文件，应至少包括以下内容：</w:t>
      </w:r>
    </w:p>
    <w:p w14:paraId="51BEC22F">
      <w:pPr>
        <w:pStyle w:val="10"/>
        <w:widowControl/>
        <w:tabs>
          <w:tab w:val="left" w:pos="709"/>
        </w:tabs>
        <w:adjustRightInd w:val="0"/>
        <w:snapToGrid w:val="0"/>
        <w:spacing w:line="360" w:lineRule="auto"/>
        <w:ind w:firstLine="480"/>
        <w:jc w:val="left"/>
        <w:rPr>
          <w:rFonts w:ascii="Times New Roman" w:hAnsi="Times New Roman"/>
          <w:kern w:val="0"/>
          <w:sz w:val="24"/>
          <w:szCs w:val="24"/>
        </w:rPr>
      </w:pPr>
      <w:bookmarkStart w:id="1" w:name="OLE_LINK7"/>
      <w:r>
        <w:rPr>
          <w:rFonts w:hint="eastAsia" w:ascii="Times New Roman" w:hAnsi="Times New Roman"/>
          <w:kern w:val="0"/>
          <w:sz w:val="24"/>
          <w:szCs w:val="24"/>
        </w:rPr>
        <w:t>①</w:t>
      </w:r>
      <w:bookmarkEnd w:id="1"/>
      <w:r>
        <w:rPr>
          <w:rFonts w:hint="eastAsia" w:ascii="Times New Roman" w:hAnsi="Times New Roman"/>
          <w:kern w:val="0"/>
          <w:sz w:val="24"/>
          <w:szCs w:val="24"/>
        </w:rPr>
        <w:t>资质文件封面或扉页。</w:t>
      </w:r>
    </w:p>
    <w:p w14:paraId="1E2C6E80">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②投标承诺书，模版参见附件3。</w:t>
      </w:r>
    </w:p>
    <w:p w14:paraId="2997EDC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③法定代表人身份证明及法人授权委托书，模版参见附件4。</w:t>
      </w:r>
    </w:p>
    <w:p w14:paraId="4489DDDC">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④被授权人入职时长及社保缴纳信息（必须提供，否则按废标处理，法人除外），包含缴纳年限，缴费证明等。</w:t>
      </w:r>
    </w:p>
    <w:p w14:paraId="7811105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⑤企业营业执照副本复印件、税务登记证复印件、企业组织机构代码证、执业证书(执业年限须满足3年及以上)复印件。</w:t>
      </w:r>
    </w:p>
    <w:p w14:paraId="41ACEE7D">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⑥保密承诺书，模</w:t>
      </w:r>
      <w:bookmarkStart w:id="3" w:name="_GoBack"/>
      <w:bookmarkEnd w:id="3"/>
      <w:r>
        <w:rPr>
          <w:rFonts w:hint="eastAsia" w:ascii="Times New Roman" w:hAnsi="Times New Roman"/>
          <w:kern w:val="0"/>
          <w:sz w:val="24"/>
          <w:szCs w:val="24"/>
        </w:rPr>
        <w:t>版参见附件5。</w:t>
      </w:r>
    </w:p>
    <w:p w14:paraId="131C33D3">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⑦信用证明材料：国家公共信用信息中心信用中国网信用查询截图。</w:t>
      </w:r>
    </w:p>
    <w:p w14:paraId="7C28EBD0">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4.2  技术标，主要包括：</w:t>
      </w:r>
    </w:p>
    <w:p w14:paraId="4451B0F6">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（1）投标企业概况介绍，应涵盖组织架构、在职员工数量、全国覆盖区域、人员流动率、必要的设备及设施条件（数据库、软件、硬件等）；</w:t>
      </w:r>
    </w:p>
    <w:p w14:paraId="0DA11513">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w:t>
      </w:r>
      <w:r>
        <w:rPr>
          <w:rFonts w:ascii="Times New Roman" w:hAnsi="Times New Roman"/>
          <w:kern w:val="0"/>
          <w:sz w:val="24"/>
          <w:szCs w:val="24"/>
        </w:rPr>
        <w:t>2</w:t>
      </w:r>
      <w:r>
        <w:rPr>
          <w:rFonts w:hint="eastAsia" w:ascii="Times New Roman" w:hAnsi="Times New Roman"/>
          <w:kern w:val="0"/>
          <w:sz w:val="24"/>
          <w:szCs w:val="24"/>
        </w:rPr>
        <w:t>）物资管理能力；</w:t>
      </w:r>
    </w:p>
    <w:p w14:paraId="3ED19658">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（3）运输网络覆盖范围；</w:t>
      </w:r>
    </w:p>
    <w:p w14:paraId="5EEF91A2">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ascii="Times New Roman" w:hAnsi="Times New Roman"/>
          <w:kern w:val="0"/>
          <w:sz w:val="24"/>
          <w:szCs w:val="24"/>
        </w:rPr>
        <w:t>（4）</w:t>
      </w:r>
      <w:r>
        <w:rPr>
          <w:rFonts w:hint="eastAsia" w:ascii="Times New Roman" w:hAnsi="Times New Roman"/>
          <w:kern w:val="0"/>
          <w:sz w:val="24"/>
          <w:szCs w:val="24"/>
        </w:rPr>
        <w:t>沟通</w:t>
      </w:r>
      <w:r>
        <w:rPr>
          <w:rFonts w:ascii="Times New Roman" w:hAnsi="Times New Roman"/>
          <w:kern w:val="0"/>
          <w:sz w:val="24"/>
          <w:szCs w:val="24"/>
        </w:rPr>
        <w:t>管理</w:t>
      </w:r>
      <w:r>
        <w:rPr>
          <w:rFonts w:hint="eastAsia" w:ascii="Times New Roman" w:hAnsi="Times New Roman"/>
          <w:kern w:val="0"/>
          <w:sz w:val="24"/>
          <w:szCs w:val="24"/>
        </w:rPr>
        <w:t>；</w:t>
      </w:r>
    </w:p>
    <w:p w14:paraId="77B23B76">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w:t>
      </w:r>
      <w:r>
        <w:rPr>
          <w:rFonts w:ascii="Times New Roman" w:hAnsi="Times New Roman"/>
          <w:kern w:val="0"/>
          <w:sz w:val="24"/>
          <w:szCs w:val="24"/>
        </w:rPr>
        <w:t>5</w:t>
      </w:r>
      <w:r>
        <w:rPr>
          <w:rFonts w:hint="eastAsia" w:ascii="Times New Roman" w:hAnsi="Times New Roman"/>
          <w:kern w:val="0"/>
          <w:sz w:val="24"/>
          <w:szCs w:val="24"/>
        </w:rPr>
        <w:t>）质量管理体系，质量保证的具体措施，风险管理举措；</w:t>
      </w:r>
    </w:p>
    <w:p w14:paraId="1E8A43A4">
      <w:pPr>
        <w:pStyle w:val="10"/>
        <w:widowControl/>
        <w:tabs>
          <w:tab w:val="left" w:pos="709"/>
        </w:tabs>
        <w:adjustRightInd w:val="0"/>
        <w:snapToGrid w:val="0"/>
        <w:spacing w:line="360" w:lineRule="auto"/>
        <w:ind w:firstLine="480"/>
        <w:jc w:val="left"/>
        <w:rPr>
          <w:rFonts w:ascii="Times New Roman" w:hAnsi="Times New Roman"/>
          <w:kern w:val="0"/>
          <w:sz w:val="24"/>
          <w:szCs w:val="24"/>
        </w:rPr>
      </w:pPr>
      <w:r>
        <w:rPr>
          <w:rFonts w:hint="eastAsia" w:ascii="Times New Roman" w:hAnsi="Times New Roman"/>
          <w:kern w:val="0"/>
          <w:sz w:val="24"/>
          <w:szCs w:val="24"/>
        </w:rPr>
        <w:t>（</w:t>
      </w:r>
      <w:r>
        <w:rPr>
          <w:rFonts w:ascii="Times New Roman" w:hAnsi="Times New Roman"/>
          <w:kern w:val="0"/>
          <w:sz w:val="24"/>
          <w:szCs w:val="24"/>
        </w:rPr>
        <w:t>6</w:t>
      </w:r>
      <w:r>
        <w:rPr>
          <w:rFonts w:hint="eastAsia" w:ascii="Times New Roman" w:hAnsi="Times New Roman"/>
          <w:kern w:val="0"/>
          <w:sz w:val="24"/>
          <w:szCs w:val="24"/>
        </w:rPr>
        <w:t>）投标方认为可以提高评分的其他文件（非必须）。</w:t>
      </w:r>
    </w:p>
    <w:p w14:paraId="51C9F5CD">
      <w:pPr>
        <w:widowControl/>
        <w:tabs>
          <w:tab w:val="left" w:pos="709"/>
        </w:tabs>
        <w:adjustRightInd w:val="0"/>
        <w:snapToGrid w:val="0"/>
        <w:spacing w:line="360" w:lineRule="auto"/>
        <w:ind w:firstLine="663" w:firstLineChars="275"/>
        <w:jc w:val="left"/>
        <w:rPr>
          <w:rFonts w:ascii="Times New Roman" w:hAnsi="Times New Roman"/>
          <w:b/>
          <w:bCs/>
          <w:kern w:val="0"/>
          <w:sz w:val="24"/>
          <w:szCs w:val="24"/>
        </w:rPr>
      </w:pPr>
      <w:r>
        <w:rPr>
          <w:rFonts w:hint="eastAsia" w:ascii="Times New Roman" w:hAnsi="Times New Roman"/>
          <w:b/>
          <w:bCs/>
          <w:kern w:val="0"/>
          <w:sz w:val="24"/>
          <w:szCs w:val="24"/>
        </w:rPr>
        <w:t>4.3 商务标，主要包括但不限于下列内容：</w:t>
      </w:r>
    </w:p>
    <w:p w14:paraId="00A6C13A">
      <w:pPr>
        <w:pStyle w:val="10"/>
        <w:widowControl/>
        <w:tabs>
          <w:tab w:val="left" w:pos="709"/>
        </w:tabs>
        <w:adjustRightInd w:val="0"/>
        <w:snapToGrid w:val="0"/>
        <w:spacing w:line="360" w:lineRule="auto"/>
        <w:ind w:firstLine="720" w:firstLineChars="300"/>
        <w:jc w:val="left"/>
        <w:rPr>
          <w:rFonts w:ascii="Times New Roman" w:hAnsi="Times New Roman"/>
          <w:kern w:val="0"/>
          <w:sz w:val="24"/>
          <w:szCs w:val="24"/>
        </w:rPr>
      </w:pPr>
      <w:r>
        <w:rPr>
          <w:rFonts w:hint="eastAsia" w:ascii="Times New Roman" w:hAnsi="Times New Roman"/>
          <w:kern w:val="0"/>
          <w:sz w:val="24"/>
          <w:szCs w:val="24"/>
        </w:rPr>
        <w:t>报价应包括国家规定的增值税税金，按照血样/药物储存及运输、血样/药物销毁等，需列出详细测算明细；</w:t>
      </w:r>
    </w:p>
    <w:p w14:paraId="7F3A4DDD">
      <w:pPr>
        <w:pStyle w:val="10"/>
        <w:widowControl/>
        <w:tabs>
          <w:tab w:val="left" w:pos="709"/>
        </w:tabs>
        <w:adjustRightInd w:val="0"/>
        <w:snapToGrid w:val="0"/>
        <w:spacing w:line="360" w:lineRule="auto"/>
        <w:ind w:firstLine="482"/>
        <w:jc w:val="left"/>
        <w:rPr>
          <w:rFonts w:ascii="Times New Roman" w:hAnsi="Times New Roman"/>
          <w:b/>
          <w:bCs/>
          <w:kern w:val="0"/>
          <w:sz w:val="24"/>
          <w:szCs w:val="24"/>
        </w:rPr>
      </w:pPr>
      <w:r>
        <w:rPr>
          <w:rFonts w:hint="eastAsia" w:ascii="Times New Roman" w:hAnsi="Times New Roman"/>
          <w:b/>
          <w:bCs/>
          <w:color w:val="FF0000"/>
          <w:kern w:val="0"/>
          <w:sz w:val="24"/>
          <w:szCs w:val="24"/>
        </w:rPr>
        <w:t>特别提醒：</w:t>
      </w:r>
      <w:r>
        <w:rPr>
          <w:rFonts w:hint="eastAsia" w:ascii="Times New Roman" w:hAnsi="Times New Roman"/>
          <w:b/>
          <w:bCs/>
          <w:kern w:val="0"/>
          <w:sz w:val="24"/>
          <w:szCs w:val="24"/>
        </w:rPr>
        <w:t>报价请遵循市场普遍规律，保证服务的质量的前提下，合理预估各类服务项目，结合实际情况谨慎评估进行报价。</w:t>
      </w:r>
      <w:r>
        <w:rPr>
          <w:rFonts w:hint="eastAsia" w:ascii="Times New Roman" w:hAnsi="Times New Roman"/>
          <w:b/>
          <w:bCs/>
          <w:kern w:val="0"/>
          <w:sz w:val="24"/>
          <w:szCs w:val="24"/>
          <w:u w:val="single"/>
        </w:rPr>
        <w:t>我司严格抵制恶意低价竞标，或通过减少服务种类/降低服务质量等形式隐形降价。</w:t>
      </w:r>
      <w:r>
        <w:rPr>
          <w:rFonts w:hint="eastAsia" w:ascii="Times New Roman" w:hAnsi="Times New Roman"/>
          <w:b/>
          <w:bCs/>
          <w:kern w:val="0"/>
          <w:sz w:val="24"/>
          <w:szCs w:val="24"/>
        </w:rPr>
        <w:t xml:space="preserve">一经发现，取消中标资格，列入黑名单，未来不再合作。 </w:t>
      </w:r>
    </w:p>
    <w:p w14:paraId="6C044020">
      <w:pPr>
        <w:pStyle w:val="10"/>
        <w:widowControl/>
        <w:numPr>
          <w:ilvl w:val="0"/>
          <w:numId w:val="3"/>
        </w:numPr>
        <w:tabs>
          <w:tab w:val="left" w:pos="709"/>
        </w:tabs>
        <w:adjustRightInd w:val="0"/>
        <w:snapToGrid w:val="0"/>
        <w:spacing w:line="360" w:lineRule="auto"/>
        <w:ind w:firstLineChars="0"/>
        <w:jc w:val="left"/>
        <w:rPr>
          <w:rFonts w:ascii="Times New Roman" w:hAnsi="Times New Roman"/>
          <w:b/>
          <w:sz w:val="24"/>
          <w:szCs w:val="24"/>
        </w:rPr>
      </w:pPr>
      <w:r>
        <w:rPr>
          <w:rFonts w:hint="eastAsia" w:ascii="Times New Roman" w:hAnsi="Times New Roman"/>
          <w:b/>
          <w:sz w:val="24"/>
          <w:szCs w:val="24"/>
        </w:rPr>
        <w:t>评标方法</w:t>
      </w:r>
    </w:p>
    <w:p w14:paraId="6E6BE2F0">
      <w:pPr>
        <w:widowControl/>
        <w:tabs>
          <w:tab w:val="left" w:pos="709"/>
        </w:tabs>
        <w:adjustRightInd w:val="0"/>
        <w:snapToGrid w:val="0"/>
        <w:spacing w:line="360" w:lineRule="auto"/>
        <w:ind w:firstLine="480" w:firstLineChars="200"/>
        <w:jc w:val="left"/>
        <w:rPr>
          <w:rFonts w:ascii="Times New Roman" w:hAnsi="Times New Roman"/>
          <w:bCs/>
          <w:sz w:val="24"/>
          <w:szCs w:val="24"/>
        </w:rPr>
      </w:pPr>
      <w:r>
        <w:rPr>
          <w:rFonts w:hint="eastAsia" w:ascii="Times New Roman" w:hAnsi="Times New Roman"/>
          <w:bCs/>
          <w:sz w:val="24"/>
          <w:szCs w:val="24"/>
        </w:rPr>
        <w:t>1、评标原则：评标采取综合评估法，对投标方资信、技术、商务等指标及投标价格进行综合评价。综合评估分值越高越优先，分值相同价格低者优先，确定最终中标供应商。</w:t>
      </w:r>
    </w:p>
    <w:p w14:paraId="027E7958">
      <w:pPr>
        <w:widowControl/>
        <w:tabs>
          <w:tab w:val="left" w:pos="709"/>
        </w:tabs>
        <w:adjustRightInd w:val="0"/>
        <w:snapToGrid w:val="0"/>
        <w:spacing w:line="360" w:lineRule="auto"/>
        <w:ind w:firstLine="480" w:firstLineChars="200"/>
        <w:jc w:val="left"/>
        <w:rPr>
          <w:rFonts w:ascii="Times New Roman" w:hAnsi="Times New Roman"/>
          <w:bCs/>
          <w:kern w:val="0"/>
          <w:sz w:val="24"/>
          <w:szCs w:val="24"/>
        </w:rPr>
      </w:pPr>
      <w:r>
        <w:rPr>
          <w:rFonts w:hint="eastAsia" w:ascii="Times New Roman" w:hAnsi="Times New Roman"/>
          <w:bCs/>
          <w:kern w:val="0"/>
          <w:sz w:val="24"/>
          <w:szCs w:val="24"/>
        </w:rPr>
        <w:t>2、招标共分为3个阶段。</w:t>
      </w:r>
    </w:p>
    <w:p w14:paraId="4901D7C6">
      <w:pPr>
        <w:widowControl/>
        <w:tabs>
          <w:tab w:val="left" w:pos="709"/>
        </w:tabs>
        <w:adjustRightInd w:val="0"/>
        <w:snapToGrid w:val="0"/>
        <w:spacing w:line="360" w:lineRule="auto"/>
        <w:ind w:firstLine="482" w:firstLineChars="200"/>
        <w:jc w:val="left"/>
        <w:rPr>
          <w:rFonts w:ascii="Times New Roman" w:hAnsi="Times New Roman"/>
          <w:b/>
          <w:kern w:val="0"/>
          <w:sz w:val="24"/>
          <w:szCs w:val="24"/>
        </w:rPr>
      </w:pPr>
      <w:r>
        <w:rPr>
          <w:rFonts w:hint="eastAsia" w:ascii="Times New Roman" w:hAnsi="Times New Roman"/>
          <w:b/>
          <w:kern w:val="0"/>
          <w:sz w:val="24"/>
          <w:szCs w:val="24"/>
        </w:rPr>
        <w:t>第一阶段：技术答辩</w:t>
      </w:r>
    </w:p>
    <w:p w14:paraId="57B1C2FC">
      <w:pPr>
        <w:widowControl/>
        <w:tabs>
          <w:tab w:val="left" w:pos="709"/>
        </w:tabs>
        <w:adjustRightInd w:val="0"/>
        <w:snapToGrid w:val="0"/>
        <w:spacing w:line="360" w:lineRule="auto"/>
        <w:ind w:firstLine="480" w:firstLineChars="200"/>
        <w:jc w:val="left"/>
        <w:rPr>
          <w:rFonts w:ascii="Times New Roman" w:hAnsi="Times New Roman"/>
          <w:bCs/>
          <w:kern w:val="0"/>
          <w:sz w:val="24"/>
          <w:szCs w:val="24"/>
        </w:rPr>
      </w:pPr>
      <w:r>
        <w:rPr>
          <w:rFonts w:hint="eastAsia" w:ascii="Times New Roman" w:hAnsi="Times New Roman"/>
          <w:bCs/>
          <w:kern w:val="0"/>
          <w:sz w:val="24"/>
          <w:szCs w:val="24"/>
        </w:rPr>
        <w:t>按照红日药业集团招标管理办法规定组织技术评标，参加面标需按照标书内容准备PPT。会议采取供应商介绍、项目介绍和评委现场咨询两部分，项目介绍</w:t>
      </w:r>
      <w:r>
        <w:rPr>
          <w:rFonts w:ascii="Times New Roman" w:hAnsi="Times New Roman"/>
          <w:bCs/>
          <w:kern w:val="0"/>
          <w:sz w:val="24"/>
          <w:szCs w:val="24"/>
        </w:rPr>
        <w:t>20</w:t>
      </w:r>
      <w:r>
        <w:rPr>
          <w:rFonts w:hint="eastAsia" w:ascii="Times New Roman" w:hAnsi="Times New Roman"/>
          <w:bCs/>
          <w:kern w:val="0"/>
          <w:sz w:val="24"/>
          <w:szCs w:val="24"/>
        </w:rPr>
        <w:t>分钟，评委现场提问时间为5分钟，评委根据情况给予评分，供应商参加人员应包括承接本项目的商务、项目负责人等。</w:t>
      </w:r>
    </w:p>
    <w:p w14:paraId="5F1A39A8">
      <w:pPr>
        <w:widowControl/>
        <w:tabs>
          <w:tab w:val="left" w:pos="709"/>
        </w:tabs>
        <w:adjustRightInd w:val="0"/>
        <w:snapToGrid w:val="0"/>
        <w:spacing w:line="360" w:lineRule="auto"/>
        <w:ind w:firstLine="482" w:firstLineChars="200"/>
        <w:jc w:val="left"/>
        <w:rPr>
          <w:rFonts w:ascii="Times New Roman" w:hAnsi="Times New Roman"/>
          <w:b/>
          <w:kern w:val="0"/>
          <w:sz w:val="24"/>
          <w:szCs w:val="24"/>
        </w:rPr>
      </w:pPr>
      <w:r>
        <w:rPr>
          <w:rFonts w:hint="eastAsia" w:ascii="Times New Roman" w:hAnsi="Times New Roman"/>
          <w:b/>
          <w:kern w:val="0"/>
          <w:sz w:val="24"/>
          <w:szCs w:val="24"/>
        </w:rPr>
        <w:t>第二阶段：议价小组议价</w:t>
      </w:r>
    </w:p>
    <w:p w14:paraId="0C22BFD8">
      <w:pPr>
        <w:widowControl/>
        <w:tabs>
          <w:tab w:val="left" w:pos="709"/>
        </w:tabs>
        <w:adjustRightInd w:val="0"/>
        <w:snapToGrid w:val="0"/>
        <w:spacing w:line="360" w:lineRule="auto"/>
        <w:ind w:firstLine="480" w:firstLineChars="200"/>
        <w:jc w:val="left"/>
        <w:rPr>
          <w:rFonts w:ascii="Times New Roman" w:hAnsi="Times New Roman"/>
          <w:bCs/>
          <w:kern w:val="0"/>
          <w:sz w:val="24"/>
          <w:szCs w:val="24"/>
        </w:rPr>
      </w:pPr>
      <w:r>
        <w:rPr>
          <w:rFonts w:hint="eastAsia" w:ascii="Times New Roman" w:hAnsi="Times New Roman"/>
          <w:bCs/>
          <w:kern w:val="0"/>
          <w:sz w:val="24"/>
          <w:szCs w:val="24"/>
        </w:rPr>
        <w:t>由集团研究院、财务及审计部门组成议价小组，进行议价谈判。根据投标方最终报价进行评分，形成商务评分。</w:t>
      </w:r>
    </w:p>
    <w:p w14:paraId="2C2684D5">
      <w:pPr>
        <w:widowControl/>
        <w:tabs>
          <w:tab w:val="left" w:pos="709"/>
        </w:tabs>
        <w:adjustRightInd w:val="0"/>
        <w:snapToGrid w:val="0"/>
        <w:spacing w:line="360" w:lineRule="auto"/>
        <w:ind w:firstLine="480" w:firstLineChars="200"/>
        <w:jc w:val="left"/>
        <w:rPr>
          <w:rFonts w:ascii="Times New Roman" w:hAnsi="Times New Roman"/>
          <w:bCs/>
          <w:kern w:val="0"/>
          <w:sz w:val="24"/>
          <w:szCs w:val="24"/>
        </w:rPr>
      </w:pPr>
      <w:r>
        <w:rPr>
          <w:rFonts w:hint="eastAsia" w:ascii="Times New Roman" w:hAnsi="Times New Roman"/>
          <w:bCs/>
          <w:kern w:val="0"/>
          <w:sz w:val="24"/>
          <w:szCs w:val="24"/>
        </w:rPr>
        <w:t>最后技术评分+商务评分得出综合评分，根据评分由高至低排序，综合评分最高的投标方作为中标单位。</w:t>
      </w:r>
    </w:p>
    <w:p w14:paraId="5CC29E2B">
      <w:pPr>
        <w:widowControl/>
        <w:tabs>
          <w:tab w:val="left" w:pos="709"/>
        </w:tabs>
        <w:adjustRightInd w:val="0"/>
        <w:snapToGrid w:val="0"/>
        <w:spacing w:line="360" w:lineRule="auto"/>
        <w:ind w:firstLine="482" w:firstLineChars="200"/>
        <w:jc w:val="left"/>
        <w:rPr>
          <w:rFonts w:ascii="Times New Roman" w:hAnsi="Times New Roman"/>
          <w:b/>
          <w:kern w:val="0"/>
          <w:sz w:val="24"/>
          <w:szCs w:val="24"/>
        </w:rPr>
      </w:pPr>
      <w:r>
        <w:rPr>
          <w:rFonts w:hint="eastAsia" w:ascii="Times New Roman" w:hAnsi="Times New Roman"/>
          <w:b/>
          <w:kern w:val="0"/>
          <w:sz w:val="24"/>
          <w:szCs w:val="24"/>
        </w:rPr>
        <w:t>第三阶段 供应商稽查</w:t>
      </w:r>
    </w:p>
    <w:p w14:paraId="778756F1">
      <w:pPr>
        <w:widowControl/>
        <w:tabs>
          <w:tab w:val="left" w:pos="709"/>
        </w:tabs>
        <w:adjustRightInd w:val="0"/>
        <w:snapToGrid w:val="0"/>
        <w:spacing w:line="360" w:lineRule="auto"/>
        <w:ind w:firstLine="480" w:firstLineChars="200"/>
        <w:jc w:val="left"/>
        <w:rPr>
          <w:rFonts w:ascii="Times New Roman" w:hAnsi="Times New Roman"/>
          <w:bCs/>
          <w:kern w:val="0"/>
          <w:sz w:val="24"/>
          <w:szCs w:val="24"/>
        </w:rPr>
      </w:pPr>
      <w:r>
        <w:rPr>
          <w:rFonts w:hint="eastAsia" w:ascii="Times New Roman" w:hAnsi="Times New Roman"/>
          <w:bCs/>
          <w:kern w:val="0"/>
          <w:sz w:val="24"/>
          <w:szCs w:val="24"/>
        </w:rPr>
        <w:t>由新药临床中心对中标单位开展供应商稽查，确认其规模、资质、质量管理体系符合要求，与中标单位签订服务合同。</w:t>
      </w:r>
    </w:p>
    <w:p w14:paraId="7519D3E5">
      <w:pPr>
        <w:widowControl/>
        <w:tabs>
          <w:tab w:val="left" w:pos="709"/>
        </w:tabs>
        <w:adjustRightInd w:val="0"/>
        <w:snapToGrid w:val="0"/>
        <w:spacing w:line="360" w:lineRule="auto"/>
        <w:ind w:firstLine="480" w:firstLineChars="200"/>
        <w:jc w:val="left"/>
        <w:rPr>
          <w:rFonts w:ascii="Times New Roman" w:hAnsi="Times New Roman"/>
          <w:bCs/>
          <w:kern w:val="0"/>
          <w:sz w:val="24"/>
          <w:szCs w:val="24"/>
        </w:rPr>
      </w:pPr>
      <w:r>
        <w:rPr>
          <w:rFonts w:hint="eastAsia" w:ascii="Times New Roman" w:hAnsi="Times New Roman"/>
          <w:bCs/>
          <w:kern w:val="0"/>
          <w:sz w:val="24"/>
          <w:szCs w:val="24"/>
        </w:rPr>
        <w:t>3、评标结果：评标结果以采购平台公布或招标方后期通知为准，未公布结果前，投标方不得向评标人员打探评标结果，否则按照违反招标纪律进行处理。</w:t>
      </w:r>
    </w:p>
    <w:p w14:paraId="442237E0">
      <w:pPr>
        <w:pStyle w:val="10"/>
        <w:widowControl/>
        <w:tabs>
          <w:tab w:val="left" w:pos="709"/>
        </w:tabs>
        <w:adjustRightInd w:val="0"/>
        <w:snapToGrid w:val="0"/>
        <w:spacing w:line="360" w:lineRule="auto"/>
        <w:ind w:firstLine="482"/>
        <w:jc w:val="left"/>
        <w:rPr>
          <w:rFonts w:ascii="Times New Roman" w:hAnsi="Times New Roman"/>
          <w:b/>
          <w:sz w:val="24"/>
          <w:szCs w:val="24"/>
        </w:rPr>
      </w:pPr>
      <w:r>
        <w:rPr>
          <w:rFonts w:ascii="Times New Roman" w:hAnsi="Times New Roman"/>
          <w:b/>
          <w:sz w:val="24"/>
          <w:szCs w:val="24"/>
        </w:rPr>
        <w:t>六、 投标须知</w:t>
      </w:r>
    </w:p>
    <w:p w14:paraId="59E3AA11">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保密条款：</w:t>
      </w:r>
    </w:p>
    <w:p w14:paraId="421258E7">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投标人对本次招标过程中获取、知悉的有关本项目的相关信息和技术资料（如招标文件和投标文件中的商业和技术信息）、以及有关本项目实施过程中涉及的全部未向社会公开的信息，无论是书面的、口头的、图形的、电子的或其它任何形式的信息等均应进行保密。</w:t>
      </w:r>
    </w:p>
    <w:p w14:paraId="48903549">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ascii="Times New Roman" w:hAnsi="Times New Roman"/>
          <w:bCs/>
          <w:sz w:val="24"/>
          <w:szCs w:val="24"/>
        </w:rPr>
        <w:t>（2）</w:t>
      </w:r>
      <w:r>
        <w:rPr>
          <w:rFonts w:hint="eastAsia" w:ascii="Times New Roman" w:hAnsi="Times New Roman"/>
          <w:bCs/>
          <w:sz w:val="24"/>
          <w:szCs w:val="24"/>
        </w:rPr>
        <w:t>未按约定提供服务、不符合验收标准以及违反保密条款的，按合同最终约定承担违约责任，造成损失的，予以赔偿。</w:t>
      </w:r>
    </w:p>
    <w:p w14:paraId="5B518E7B">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（3）</w:t>
      </w:r>
      <w:r>
        <w:rPr>
          <w:rFonts w:ascii="Times New Roman" w:hAnsi="Times New Roman"/>
          <w:bCs/>
          <w:sz w:val="24"/>
          <w:szCs w:val="24"/>
        </w:rPr>
        <w:t>投标方必须严格遵守招标秩序，准确提供投标资料，保持公平公正，保密信息，合法合规，严禁相互串通，进行不正当竞争，一经发现取消中标资格。</w:t>
      </w:r>
    </w:p>
    <w:p w14:paraId="65DB5ED5">
      <w:pPr>
        <w:pStyle w:val="10"/>
        <w:widowControl/>
        <w:tabs>
          <w:tab w:val="left" w:pos="709"/>
        </w:tabs>
        <w:adjustRightInd w:val="0"/>
        <w:snapToGrid w:val="0"/>
        <w:spacing w:line="360" w:lineRule="auto"/>
        <w:ind w:firstLine="482"/>
        <w:jc w:val="left"/>
        <w:rPr>
          <w:rFonts w:ascii="Times New Roman" w:hAnsi="Times New Roman"/>
          <w:b/>
          <w:sz w:val="24"/>
          <w:szCs w:val="24"/>
        </w:rPr>
      </w:pPr>
      <w:r>
        <w:rPr>
          <w:rFonts w:hint="eastAsia" w:ascii="Times New Roman" w:hAnsi="Times New Roman"/>
          <w:b/>
          <w:sz w:val="24"/>
          <w:szCs w:val="24"/>
        </w:rPr>
        <w:t>七、投标纪律：</w:t>
      </w:r>
    </w:p>
    <w:p w14:paraId="06262FC5">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有下列情形之一的，视为投标人串通投标，其投标文件无效。</w:t>
      </w:r>
    </w:p>
    <w:p w14:paraId="748095B2">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1.不同投标人的投标文件由同一单位或者个人编制；</w:t>
      </w:r>
    </w:p>
    <w:p w14:paraId="7204E53F">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2.不同投标人委托同一单位或者个人办理招标事宜；</w:t>
      </w:r>
    </w:p>
    <w:p w14:paraId="233747A1">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3.不同投标人的投标文件载明的项目管理成员或者联系人员为同一人；</w:t>
      </w:r>
    </w:p>
    <w:p w14:paraId="68ADA3D5">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4.不同投标人的投标文件异常一致或者投标报价呈规律性差异；</w:t>
      </w:r>
    </w:p>
    <w:p w14:paraId="0E1684B9">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5.不同投标人的投标文件相互混装；</w:t>
      </w:r>
    </w:p>
    <w:p w14:paraId="091B5AE9">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6.不同投标人的投标保证金从同一单位或者个人的账户转出。</w:t>
      </w:r>
    </w:p>
    <w:p w14:paraId="3283AE59">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有下列行为之一者取消投标人资格，并依据供应商管理制度予以处理：</w:t>
      </w:r>
    </w:p>
    <w:p w14:paraId="38B454F5">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1. 投标人提供虚假资料或隐瞒与投标直接相关的重要信息的；</w:t>
      </w:r>
    </w:p>
    <w:p w14:paraId="4B0635D2">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2. 投标人相互串通投标或妨碍其他投标人公平竞争；</w:t>
      </w:r>
    </w:p>
    <w:p w14:paraId="45378440">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3. 不按要求投标，在招标现场不服从管理，扰乱招标秩序；</w:t>
      </w:r>
    </w:p>
    <w:p w14:paraId="6F03B88E">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4. 向招标相关人员行贿或采取不正当手段谋取中标的。</w:t>
      </w:r>
    </w:p>
    <w:p w14:paraId="67C0E913">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5. 最终报价降价幅度不得超过首次报价的30%（招标方配置调整除外），否则视为恶意投标，并作为废标处理，连续两次超过30%降价，将被列入黑名单，禁止参加我公司各类投标。</w:t>
      </w:r>
    </w:p>
    <w:p w14:paraId="6A5BF191">
      <w:pPr>
        <w:pStyle w:val="10"/>
        <w:widowControl/>
        <w:tabs>
          <w:tab w:val="left" w:pos="709"/>
        </w:tabs>
        <w:adjustRightInd w:val="0"/>
        <w:snapToGrid w:val="0"/>
        <w:spacing w:line="360" w:lineRule="auto"/>
        <w:ind w:firstLine="482"/>
        <w:jc w:val="left"/>
        <w:rPr>
          <w:rFonts w:ascii="Times New Roman" w:hAnsi="Times New Roman"/>
          <w:b/>
          <w:sz w:val="24"/>
          <w:szCs w:val="24"/>
        </w:rPr>
      </w:pPr>
      <w:r>
        <w:rPr>
          <w:rFonts w:hint="eastAsia" w:ascii="Times New Roman" w:hAnsi="Times New Roman"/>
          <w:b/>
          <w:sz w:val="24"/>
          <w:szCs w:val="24"/>
        </w:rPr>
        <w:t>八、付款方式：</w:t>
      </w:r>
    </w:p>
    <w:p w14:paraId="7AF05408">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ascii="Times New Roman" w:hAnsi="Times New Roman"/>
          <w:bCs/>
          <w:sz w:val="24"/>
          <w:szCs w:val="24"/>
        </w:rPr>
        <w:t>双方以中标方提供的费用月结或者季结对账单为每月或者每季度对账依据，账单</w:t>
      </w:r>
      <w:r>
        <w:rPr>
          <w:rFonts w:hint="eastAsia" w:ascii="Times New Roman" w:hAnsi="Times New Roman"/>
          <w:bCs/>
          <w:sz w:val="24"/>
          <w:szCs w:val="24"/>
        </w:rPr>
        <w:t>经招标方</w:t>
      </w:r>
      <w:r>
        <w:rPr>
          <w:rFonts w:ascii="Times New Roman" w:hAnsi="Times New Roman"/>
          <w:bCs/>
          <w:sz w:val="24"/>
          <w:szCs w:val="24"/>
        </w:rPr>
        <w:t>审核无问题后</w:t>
      </w:r>
      <w:r>
        <w:rPr>
          <w:rFonts w:hint="eastAsia" w:ascii="Times New Roman" w:hAnsi="Times New Roman"/>
          <w:bCs/>
          <w:sz w:val="24"/>
          <w:szCs w:val="24"/>
        </w:rPr>
        <w:t>，中标方</w:t>
      </w:r>
      <w:r>
        <w:rPr>
          <w:rFonts w:ascii="Times New Roman" w:hAnsi="Times New Roman"/>
          <w:bCs/>
          <w:sz w:val="24"/>
          <w:szCs w:val="24"/>
        </w:rPr>
        <w:t>开具费用发票</w:t>
      </w:r>
      <w:r>
        <w:rPr>
          <w:rFonts w:hint="eastAsia" w:ascii="Times New Roman" w:hAnsi="Times New Roman"/>
          <w:bCs/>
          <w:sz w:val="24"/>
          <w:szCs w:val="24"/>
        </w:rPr>
        <w:t>（增值税专用发票）</w:t>
      </w:r>
      <w:r>
        <w:rPr>
          <w:rFonts w:ascii="Times New Roman" w:hAnsi="Times New Roman"/>
          <w:bCs/>
          <w:sz w:val="24"/>
          <w:szCs w:val="24"/>
        </w:rPr>
        <w:t>，招标方根据所签署合同中提供的服务，按照实际发生的费用进行结算。</w:t>
      </w:r>
    </w:p>
    <w:p w14:paraId="46512BE0">
      <w:pPr>
        <w:pStyle w:val="10"/>
        <w:widowControl/>
        <w:tabs>
          <w:tab w:val="left" w:pos="709"/>
        </w:tabs>
        <w:adjustRightInd w:val="0"/>
        <w:snapToGrid w:val="0"/>
        <w:spacing w:line="360" w:lineRule="auto"/>
        <w:ind w:firstLine="480"/>
        <w:jc w:val="left"/>
        <w:rPr>
          <w:rFonts w:ascii="Times New Roman" w:hAnsi="Times New Roman"/>
          <w:bCs/>
          <w:sz w:val="24"/>
          <w:szCs w:val="24"/>
        </w:rPr>
      </w:pPr>
      <w:r>
        <w:rPr>
          <w:rFonts w:hint="eastAsia" w:ascii="Times New Roman" w:hAnsi="Times New Roman"/>
          <w:bCs/>
          <w:sz w:val="24"/>
          <w:szCs w:val="24"/>
        </w:rPr>
        <w:t>其他税率及付款方式，请开标时说明。</w:t>
      </w:r>
    </w:p>
    <w:p w14:paraId="05A55B5A">
      <w:pPr>
        <w:pStyle w:val="10"/>
        <w:numPr>
          <w:ilvl w:val="0"/>
          <w:numId w:val="4"/>
        </w:numPr>
        <w:tabs>
          <w:tab w:val="left" w:pos="720"/>
        </w:tabs>
        <w:adjustRightInd w:val="0"/>
        <w:snapToGrid w:val="0"/>
        <w:spacing w:line="360" w:lineRule="auto"/>
        <w:ind w:firstLineChars="0"/>
        <w:jc w:val="left"/>
        <w:rPr>
          <w:rFonts w:ascii="Times New Roman" w:hAnsi="Times New Roman"/>
          <w:b/>
          <w:sz w:val="24"/>
          <w:szCs w:val="24"/>
        </w:rPr>
      </w:pPr>
      <w:r>
        <w:rPr>
          <w:rFonts w:ascii="Times New Roman" w:hAnsi="Times New Roman"/>
          <w:b/>
          <w:sz w:val="24"/>
          <w:szCs w:val="24"/>
        </w:rPr>
        <w:t>联系</w:t>
      </w:r>
      <w:r>
        <w:rPr>
          <w:rFonts w:hint="eastAsia" w:ascii="Times New Roman" w:hAnsi="Times New Roman"/>
          <w:b/>
          <w:sz w:val="24"/>
          <w:szCs w:val="24"/>
        </w:rPr>
        <w:t>人及联系</w:t>
      </w:r>
      <w:r>
        <w:rPr>
          <w:rFonts w:ascii="Times New Roman" w:hAnsi="Times New Roman"/>
          <w:b/>
          <w:sz w:val="24"/>
          <w:szCs w:val="24"/>
        </w:rPr>
        <w:t>方式</w:t>
      </w:r>
    </w:p>
    <w:p w14:paraId="04354A9E">
      <w:pPr>
        <w:pStyle w:val="10"/>
        <w:tabs>
          <w:tab w:val="left" w:pos="720"/>
        </w:tabs>
        <w:adjustRightInd w:val="0"/>
        <w:snapToGrid w:val="0"/>
        <w:spacing w:line="360" w:lineRule="auto"/>
        <w:ind w:left="495" w:firstLine="0" w:firstLineChars="0"/>
        <w:jc w:val="left"/>
        <w:rPr>
          <w:rFonts w:ascii="Times New Roman" w:hAnsi="Times New Roman"/>
          <w:bCs/>
          <w:sz w:val="24"/>
          <w:szCs w:val="24"/>
        </w:rPr>
      </w:pPr>
      <w:r>
        <w:rPr>
          <w:rFonts w:hint="eastAsia" w:ascii="Times New Roman" w:hAnsi="Times New Roman"/>
          <w:bCs/>
          <w:sz w:val="24"/>
          <w:szCs w:val="24"/>
        </w:rPr>
        <w:t>招标项目负责人：靳春妍 电话：18522563104，邮箱：jinchunyan@chasesun.cn</w:t>
      </w:r>
    </w:p>
    <w:p w14:paraId="44390E56">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对接人</w:t>
      </w:r>
      <w:r>
        <w:rPr>
          <w:rFonts w:ascii="Times New Roman" w:hAnsi="Times New Roman"/>
          <w:sz w:val="24"/>
          <w:szCs w:val="24"/>
        </w:rPr>
        <w:t>：</w:t>
      </w:r>
      <w:r>
        <w:rPr>
          <w:rFonts w:hint="eastAsia" w:ascii="Times New Roman" w:hAnsi="Times New Roman"/>
          <w:sz w:val="24"/>
          <w:szCs w:val="24"/>
        </w:rPr>
        <w:t xml:space="preserve">赵晶 </w:t>
      </w:r>
      <w:bookmarkStart w:id="2" w:name="_Hlk186226552"/>
      <w:r>
        <w:rPr>
          <w:rFonts w:hint="eastAsia" w:ascii="Times New Roman" w:hAnsi="Times New Roman"/>
          <w:sz w:val="24"/>
          <w:szCs w:val="24"/>
        </w:rPr>
        <w:t>17695503958</w:t>
      </w:r>
      <w:bookmarkEnd w:id="2"/>
      <w:r>
        <w:rPr>
          <w:rFonts w:hint="eastAsia" w:ascii="Times New Roman" w:hAnsi="Times New Roman"/>
          <w:sz w:val="24"/>
          <w:szCs w:val="24"/>
        </w:rPr>
        <w:t>， 邮箱：</w:t>
      </w:r>
      <w:r>
        <w:rPr>
          <w:rFonts w:ascii="Times New Roman" w:hAnsi="Times New Roman"/>
          <w:sz w:val="24"/>
          <w:szCs w:val="24"/>
        </w:rPr>
        <w:t>zhaojing@chasesun.cn</w:t>
      </w:r>
    </w:p>
    <w:p w14:paraId="69ECA387">
      <w:pPr>
        <w:adjustRightInd w:val="0"/>
        <w:snapToGrid w:val="0"/>
        <w:spacing w:line="360" w:lineRule="auto"/>
        <w:ind w:firstLine="480" w:firstLineChars="200"/>
        <w:jc w:val="left"/>
        <w:rPr>
          <w:rFonts w:ascii="Times New Roman" w:hAnsi="Times New Roman"/>
          <w:sz w:val="24"/>
          <w:szCs w:val="24"/>
        </w:rPr>
      </w:pPr>
      <w:r>
        <w:rPr>
          <w:rFonts w:ascii="Times New Roman" w:hAnsi="Times New Roman"/>
          <w:sz w:val="24"/>
          <w:szCs w:val="24"/>
        </w:rPr>
        <w:t>联系地址： 天津市武清区泉发路20号</w:t>
      </w:r>
    </w:p>
    <w:p w14:paraId="2FB33B3A">
      <w:pPr>
        <w:adjustRightInd w:val="0"/>
        <w:snapToGrid w:val="0"/>
        <w:spacing w:line="360" w:lineRule="auto"/>
        <w:ind w:firstLine="480" w:firstLineChars="200"/>
        <w:jc w:val="right"/>
        <w:rPr>
          <w:rFonts w:ascii="Times New Roman" w:hAnsi="Times New Roman"/>
          <w:bCs/>
          <w:sz w:val="24"/>
          <w:szCs w:val="24"/>
        </w:rPr>
      </w:pPr>
      <w:r>
        <w:rPr>
          <w:rFonts w:ascii="Times New Roman" w:hAnsi="Times New Roman"/>
          <w:bCs/>
          <w:sz w:val="24"/>
          <w:szCs w:val="24"/>
        </w:rPr>
        <w:t>天津红日药业股份有限公司</w:t>
      </w:r>
    </w:p>
    <w:p w14:paraId="0744CC37">
      <w:pPr>
        <w:adjustRightInd w:val="0"/>
        <w:snapToGrid w:val="0"/>
        <w:spacing w:line="360" w:lineRule="auto"/>
        <w:ind w:firstLine="480" w:firstLineChars="200"/>
        <w:jc w:val="right"/>
        <w:rPr>
          <w:rFonts w:ascii="Times New Roman" w:hAnsi="Times New Roman"/>
          <w:bCs/>
          <w:sz w:val="24"/>
          <w:szCs w:val="24"/>
        </w:rPr>
      </w:pPr>
      <w:r>
        <w:rPr>
          <w:rFonts w:ascii="Times New Roman" w:hAnsi="Times New Roman"/>
          <w:bCs/>
          <w:sz w:val="24"/>
          <w:szCs w:val="24"/>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iti SC Light">
    <w:altName w:val="Calibri"/>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00672">
    <w:pPr>
      <w:pStyle w:val="4"/>
      <w:jc w:val="center"/>
    </w:pPr>
    <w:r>
      <w:rPr>
        <w:b/>
      </w:rPr>
      <w:fldChar w:fldCharType="begin"/>
    </w:r>
    <w:r>
      <w:rPr>
        <w:b/>
      </w:rPr>
      <w:instrText xml:space="preserve">PAGE</w:instrText>
    </w:r>
    <w:r>
      <w:rPr>
        <w:b/>
      </w:rPr>
      <w:fldChar w:fldCharType="separate"/>
    </w:r>
    <w:r>
      <w:rPr>
        <w:b/>
      </w:rPr>
      <w:t>6</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7</w:t>
    </w:r>
    <w:r>
      <w:rPr>
        <w:b/>
      </w:rPr>
      <w:fldChar w:fldCharType="end"/>
    </w:r>
  </w:p>
  <w:p w14:paraId="0E04025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E53CA">
    <w:pPr>
      <w:pStyle w:val="5"/>
      <w:spacing w:line="360" w:lineRule="auto"/>
      <w:jc w:val="left"/>
    </w:pPr>
    <w:r>
      <w:drawing>
        <wp:inline distT="0" distB="0" distL="0" distR="0">
          <wp:extent cx="1166495" cy="4654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76815" cy="47001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53025"/>
    <w:multiLevelType w:val="multilevel"/>
    <w:tmpl w:val="04253025"/>
    <w:lvl w:ilvl="0" w:tentative="0">
      <w:start w:val="9"/>
      <w:numFmt w:val="japaneseCounting"/>
      <w:lvlText w:val="%1、"/>
      <w:lvlJc w:val="left"/>
      <w:pPr>
        <w:ind w:left="1005" w:hanging="510"/>
      </w:pPr>
      <w:rPr>
        <w:rFonts w:hint="default"/>
      </w:rPr>
    </w:lvl>
    <w:lvl w:ilvl="1" w:tentative="0">
      <w:start w:val="1"/>
      <w:numFmt w:val="lowerLetter"/>
      <w:lvlText w:val="%2)"/>
      <w:lvlJc w:val="left"/>
      <w:pPr>
        <w:ind w:left="1335" w:hanging="420"/>
      </w:pPr>
    </w:lvl>
    <w:lvl w:ilvl="2" w:tentative="0">
      <w:start w:val="1"/>
      <w:numFmt w:val="lowerRoman"/>
      <w:lvlText w:val="%3."/>
      <w:lvlJc w:val="right"/>
      <w:pPr>
        <w:ind w:left="1755" w:hanging="420"/>
      </w:pPr>
    </w:lvl>
    <w:lvl w:ilvl="3" w:tentative="0">
      <w:start w:val="1"/>
      <w:numFmt w:val="decimal"/>
      <w:lvlText w:val="%4."/>
      <w:lvlJc w:val="left"/>
      <w:pPr>
        <w:ind w:left="2175" w:hanging="420"/>
      </w:pPr>
    </w:lvl>
    <w:lvl w:ilvl="4" w:tentative="0">
      <w:start w:val="1"/>
      <w:numFmt w:val="lowerLetter"/>
      <w:lvlText w:val="%5)"/>
      <w:lvlJc w:val="left"/>
      <w:pPr>
        <w:ind w:left="2595" w:hanging="420"/>
      </w:pPr>
    </w:lvl>
    <w:lvl w:ilvl="5" w:tentative="0">
      <w:start w:val="1"/>
      <w:numFmt w:val="lowerRoman"/>
      <w:lvlText w:val="%6."/>
      <w:lvlJc w:val="right"/>
      <w:pPr>
        <w:ind w:left="3015" w:hanging="420"/>
      </w:pPr>
    </w:lvl>
    <w:lvl w:ilvl="6" w:tentative="0">
      <w:start w:val="1"/>
      <w:numFmt w:val="decimal"/>
      <w:lvlText w:val="%7."/>
      <w:lvlJc w:val="left"/>
      <w:pPr>
        <w:ind w:left="3435" w:hanging="420"/>
      </w:pPr>
    </w:lvl>
    <w:lvl w:ilvl="7" w:tentative="0">
      <w:start w:val="1"/>
      <w:numFmt w:val="lowerLetter"/>
      <w:lvlText w:val="%8)"/>
      <w:lvlJc w:val="left"/>
      <w:pPr>
        <w:ind w:left="3855" w:hanging="420"/>
      </w:pPr>
    </w:lvl>
    <w:lvl w:ilvl="8" w:tentative="0">
      <w:start w:val="1"/>
      <w:numFmt w:val="lowerRoman"/>
      <w:lvlText w:val="%9."/>
      <w:lvlJc w:val="right"/>
      <w:pPr>
        <w:ind w:left="4275" w:hanging="420"/>
      </w:pPr>
    </w:lvl>
  </w:abstractNum>
  <w:abstractNum w:abstractNumId="1">
    <w:nsid w:val="0BB83ACC"/>
    <w:multiLevelType w:val="multilevel"/>
    <w:tmpl w:val="0BB83ACC"/>
    <w:lvl w:ilvl="0" w:tentative="0">
      <w:start w:val="1"/>
      <w:numFmt w:val="japaneseCounting"/>
      <w:lvlText w:val="%1、"/>
      <w:lvlJc w:val="left"/>
      <w:pPr>
        <w:ind w:left="495" w:hanging="49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BD8489F"/>
    <w:multiLevelType w:val="multilevel"/>
    <w:tmpl w:val="2BD8489F"/>
    <w:lvl w:ilvl="0" w:tentative="0">
      <w:start w:val="4"/>
      <w:numFmt w:val="japaneseCounting"/>
      <w:lvlText w:val="%1、"/>
      <w:lvlJc w:val="left"/>
      <w:pPr>
        <w:ind w:left="495" w:hanging="49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9820069"/>
    <w:multiLevelType w:val="multilevel"/>
    <w:tmpl w:val="3982006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665"/>
    <w:rsid w:val="000019C8"/>
    <w:rsid w:val="00003244"/>
    <w:rsid w:val="00013A0E"/>
    <w:rsid w:val="00031FF1"/>
    <w:rsid w:val="00036622"/>
    <w:rsid w:val="00044C81"/>
    <w:rsid w:val="00072C25"/>
    <w:rsid w:val="00081F74"/>
    <w:rsid w:val="00082C22"/>
    <w:rsid w:val="00083065"/>
    <w:rsid w:val="000935ED"/>
    <w:rsid w:val="00096983"/>
    <w:rsid w:val="000A7677"/>
    <w:rsid w:val="000B34E2"/>
    <w:rsid w:val="000D30DF"/>
    <w:rsid w:val="000D7A89"/>
    <w:rsid w:val="001037B4"/>
    <w:rsid w:val="00104BAB"/>
    <w:rsid w:val="0010751C"/>
    <w:rsid w:val="00113FC9"/>
    <w:rsid w:val="00116C05"/>
    <w:rsid w:val="0012119D"/>
    <w:rsid w:val="00125C5B"/>
    <w:rsid w:val="00126436"/>
    <w:rsid w:val="00144078"/>
    <w:rsid w:val="001504C8"/>
    <w:rsid w:val="00172ABB"/>
    <w:rsid w:val="00174B71"/>
    <w:rsid w:val="00177878"/>
    <w:rsid w:val="00185640"/>
    <w:rsid w:val="00195789"/>
    <w:rsid w:val="001A1C26"/>
    <w:rsid w:val="001A56A7"/>
    <w:rsid w:val="001B135C"/>
    <w:rsid w:val="001C0EE8"/>
    <w:rsid w:val="001C2237"/>
    <w:rsid w:val="001D21F3"/>
    <w:rsid w:val="001F26AE"/>
    <w:rsid w:val="001F4B74"/>
    <w:rsid w:val="00200B34"/>
    <w:rsid w:val="002057D3"/>
    <w:rsid w:val="00205D58"/>
    <w:rsid w:val="00206977"/>
    <w:rsid w:val="00210F13"/>
    <w:rsid w:val="00217929"/>
    <w:rsid w:val="00221EFF"/>
    <w:rsid w:val="002236F3"/>
    <w:rsid w:val="002243B4"/>
    <w:rsid w:val="00243753"/>
    <w:rsid w:val="0025185F"/>
    <w:rsid w:val="002542B9"/>
    <w:rsid w:val="002552D0"/>
    <w:rsid w:val="00267FF9"/>
    <w:rsid w:val="00287273"/>
    <w:rsid w:val="002900FE"/>
    <w:rsid w:val="002925E1"/>
    <w:rsid w:val="002A0261"/>
    <w:rsid w:val="002A2CC1"/>
    <w:rsid w:val="002A3A6E"/>
    <w:rsid w:val="002B03D1"/>
    <w:rsid w:val="002B5DBB"/>
    <w:rsid w:val="002B6C38"/>
    <w:rsid w:val="002C4C69"/>
    <w:rsid w:val="002C6A4C"/>
    <w:rsid w:val="002D67E1"/>
    <w:rsid w:val="002E4F2B"/>
    <w:rsid w:val="002E50EB"/>
    <w:rsid w:val="002E530E"/>
    <w:rsid w:val="002F325D"/>
    <w:rsid w:val="002F4D24"/>
    <w:rsid w:val="00303423"/>
    <w:rsid w:val="0030509A"/>
    <w:rsid w:val="00305230"/>
    <w:rsid w:val="003076A6"/>
    <w:rsid w:val="00333D2C"/>
    <w:rsid w:val="00350374"/>
    <w:rsid w:val="00350DB3"/>
    <w:rsid w:val="003559D7"/>
    <w:rsid w:val="00355B60"/>
    <w:rsid w:val="0037593B"/>
    <w:rsid w:val="00375F3D"/>
    <w:rsid w:val="003870C2"/>
    <w:rsid w:val="00387260"/>
    <w:rsid w:val="003878F9"/>
    <w:rsid w:val="003906B4"/>
    <w:rsid w:val="0039098F"/>
    <w:rsid w:val="003951FC"/>
    <w:rsid w:val="003A51AE"/>
    <w:rsid w:val="003B4B1F"/>
    <w:rsid w:val="003B51A1"/>
    <w:rsid w:val="003C34F7"/>
    <w:rsid w:val="003D6835"/>
    <w:rsid w:val="003E38E7"/>
    <w:rsid w:val="003E78EC"/>
    <w:rsid w:val="003F0B87"/>
    <w:rsid w:val="00400386"/>
    <w:rsid w:val="00400C71"/>
    <w:rsid w:val="0040545D"/>
    <w:rsid w:val="00415013"/>
    <w:rsid w:val="00416734"/>
    <w:rsid w:val="00420F02"/>
    <w:rsid w:val="00427780"/>
    <w:rsid w:val="004455D6"/>
    <w:rsid w:val="00446CB3"/>
    <w:rsid w:val="0045215F"/>
    <w:rsid w:val="0045268B"/>
    <w:rsid w:val="0046133B"/>
    <w:rsid w:val="00463B85"/>
    <w:rsid w:val="00464A47"/>
    <w:rsid w:val="0048541B"/>
    <w:rsid w:val="004854EB"/>
    <w:rsid w:val="00485B6A"/>
    <w:rsid w:val="00486FB6"/>
    <w:rsid w:val="00486FBB"/>
    <w:rsid w:val="00495387"/>
    <w:rsid w:val="004A0553"/>
    <w:rsid w:val="004A14EF"/>
    <w:rsid w:val="004A500C"/>
    <w:rsid w:val="004C2A72"/>
    <w:rsid w:val="004E70A1"/>
    <w:rsid w:val="004E7C87"/>
    <w:rsid w:val="004F06A4"/>
    <w:rsid w:val="004F3A79"/>
    <w:rsid w:val="005035A9"/>
    <w:rsid w:val="005278CF"/>
    <w:rsid w:val="005424CD"/>
    <w:rsid w:val="00542AEF"/>
    <w:rsid w:val="00550434"/>
    <w:rsid w:val="00551E2E"/>
    <w:rsid w:val="005522DD"/>
    <w:rsid w:val="00554555"/>
    <w:rsid w:val="00562971"/>
    <w:rsid w:val="005656D8"/>
    <w:rsid w:val="00567C62"/>
    <w:rsid w:val="005707DE"/>
    <w:rsid w:val="00570ACB"/>
    <w:rsid w:val="00573EB2"/>
    <w:rsid w:val="0058044A"/>
    <w:rsid w:val="005A6CFB"/>
    <w:rsid w:val="005C3DB6"/>
    <w:rsid w:val="005C7FDB"/>
    <w:rsid w:val="005F3477"/>
    <w:rsid w:val="005F73B3"/>
    <w:rsid w:val="0060100D"/>
    <w:rsid w:val="006045FF"/>
    <w:rsid w:val="006174D6"/>
    <w:rsid w:val="00620A3A"/>
    <w:rsid w:val="006308D0"/>
    <w:rsid w:val="00632ADD"/>
    <w:rsid w:val="00633081"/>
    <w:rsid w:val="006379D4"/>
    <w:rsid w:val="00645620"/>
    <w:rsid w:val="006503FF"/>
    <w:rsid w:val="00653A20"/>
    <w:rsid w:val="00654347"/>
    <w:rsid w:val="006602EE"/>
    <w:rsid w:val="00664745"/>
    <w:rsid w:val="00676CAF"/>
    <w:rsid w:val="00682018"/>
    <w:rsid w:val="0068315C"/>
    <w:rsid w:val="00686BCA"/>
    <w:rsid w:val="00694259"/>
    <w:rsid w:val="006A0FED"/>
    <w:rsid w:val="006C5704"/>
    <w:rsid w:val="006C62DB"/>
    <w:rsid w:val="006C63D3"/>
    <w:rsid w:val="006D3518"/>
    <w:rsid w:val="006D7BBC"/>
    <w:rsid w:val="006E01B8"/>
    <w:rsid w:val="006E242D"/>
    <w:rsid w:val="006E73C0"/>
    <w:rsid w:val="006F271F"/>
    <w:rsid w:val="00700965"/>
    <w:rsid w:val="00702418"/>
    <w:rsid w:val="00705F83"/>
    <w:rsid w:val="00716036"/>
    <w:rsid w:val="00725B11"/>
    <w:rsid w:val="00745F21"/>
    <w:rsid w:val="007474F8"/>
    <w:rsid w:val="00753E64"/>
    <w:rsid w:val="00754EC2"/>
    <w:rsid w:val="00770751"/>
    <w:rsid w:val="00774186"/>
    <w:rsid w:val="00775E10"/>
    <w:rsid w:val="0079635E"/>
    <w:rsid w:val="00796CED"/>
    <w:rsid w:val="007A0F7F"/>
    <w:rsid w:val="007B41B4"/>
    <w:rsid w:val="007B4CCC"/>
    <w:rsid w:val="007C6573"/>
    <w:rsid w:val="007C6867"/>
    <w:rsid w:val="007D1BE0"/>
    <w:rsid w:val="007E7E4A"/>
    <w:rsid w:val="008076AB"/>
    <w:rsid w:val="00807FBA"/>
    <w:rsid w:val="008100D6"/>
    <w:rsid w:val="00810245"/>
    <w:rsid w:val="00821152"/>
    <w:rsid w:val="0082155A"/>
    <w:rsid w:val="00835436"/>
    <w:rsid w:val="00841D0E"/>
    <w:rsid w:val="008556F1"/>
    <w:rsid w:val="008648EE"/>
    <w:rsid w:val="0086548B"/>
    <w:rsid w:val="008705D9"/>
    <w:rsid w:val="00874F99"/>
    <w:rsid w:val="008759B6"/>
    <w:rsid w:val="00875D7E"/>
    <w:rsid w:val="00883E9F"/>
    <w:rsid w:val="008B3676"/>
    <w:rsid w:val="008B5D6C"/>
    <w:rsid w:val="008B6F1A"/>
    <w:rsid w:val="008D0EAB"/>
    <w:rsid w:val="008D30D2"/>
    <w:rsid w:val="008D3F84"/>
    <w:rsid w:val="008D58A6"/>
    <w:rsid w:val="008E0B81"/>
    <w:rsid w:val="008E55BF"/>
    <w:rsid w:val="008E6D49"/>
    <w:rsid w:val="008F5A93"/>
    <w:rsid w:val="00905393"/>
    <w:rsid w:val="00914931"/>
    <w:rsid w:val="0093636C"/>
    <w:rsid w:val="00940159"/>
    <w:rsid w:val="0094591A"/>
    <w:rsid w:val="00951E55"/>
    <w:rsid w:val="00953A54"/>
    <w:rsid w:val="00955252"/>
    <w:rsid w:val="00955665"/>
    <w:rsid w:val="00960A39"/>
    <w:rsid w:val="00961EAB"/>
    <w:rsid w:val="00963F30"/>
    <w:rsid w:val="009649BA"/>
    <w:rsid w:val="00965004"/>
    <w:rsid w:val="0097110B"/>
    <w:rsid w:val="00976696"/>
    <w:rsid w:val="00986B65"/>
    <w:rsid w:val="009925D5"/>
    <w:rsid w:val="00992B6C"/>
    <w:rsid w:val="00992F91"/>
    <w:rsid w:val="00994FBF"/>
    <w:rsid w:val="009B1E2F"/>
    <w:rsid w:val="009C34C8"/>
    <w:rsid w:val="009D4AEA"/>
    <w:rsid w:val="009E1BA2"/>
    <w:rsid w:val="009E2FD9"/>
    <w:rsid w:val="009E5573"/>
    <w:rsid w:val="009E6075"/>
    <w:rsid w:val="009F4285"/>
    <w:rsid w:val="00A11683"/>
    <w:rsid w:val="00A14087"/>
    <w:rsid w:val="00A15343"/>
    <w:rsid w:val="00A157BD"/>
    <w:rsid w:val="00A20A45"/>
    <w:rsid w:val="00A26C21"/>
    <w:rsid w:val="00A35EC6"/>
    <w:rsid w:val="00A62E51"/>
    <w:rsid w:val="00A64410"/>
    <w:rsid w:val="00A7071E"/>
    <w:rsid w:val="00A75202"/>
    <w:rsid w:val="00A77973"/>
    <w:rsid w:val="00A81B8D"/>
    <w:rsid w:val="00A8682D"/>
    <w:rsid w:val="00A92491"/>
    <w:rsid w:val="00A95EA7"/>
    <w:rsid w:val="00A9703C"/>
    <w:rsid w:val="00A97212"/>
    <w:rsid w:val="00AA5BC2"/>
    <w:rsid w:val="00AB1256"/>
    <w:rsid w:val="00AC02D2"/>
    <w:rsid w:val="00AC0889"/>
    <w:rsid w:val="00AC16C0"/>
    <w:rsid w:val="00AC364C"/>
    <w:rsid w:val="00AC5E0F"/>
    <w:rsid w:val="00AD1035"/>
    <w:rsid w:val="00AD4479"/>
    <w:rsid w:val="00AE34B5"/>
    <w:rsid w:val="00AE638D"/>
    <w:rsid w:val="00AF053A"/>
    <w:rsid w:val="00AF16AF"/>
    <w:rsid w:val="00AF3CA1"/>
    <w:rsid w:val="00AF3DB2"/>
    <w:rsid w:val="00AF4A8C"/>
    <w:rsid w:val="00B001B4"/>
    <w:rsid w:val="00B01DFD"/>
    <w:rsid w:val="00B15D2F"/>
    <w:rsid w:val="00B203A4"/>
    <w:rsid w:val="00B221A5"/>
    <w:rsid w:val="00B231EE"/>
    <w:rsid w:val="00B26EED"/>
    <w:rsid w:val="00B312D8"/>
    <w:rsid w:val="00B46407"/>
    <w:rsid w:val="00B4788B"/>
    <w:rsid w:val="00B563C1"/>
    <w:rsid w:val="00B616DE"/>
    <w:rsid w:val="00B6187B"/>
    <w:rsid w:val="00B63E37"/>
    <w:rsid w:val="00B70758"/>
    <w:rsid w:val="00B71672"/>
    <w:rsid w:val="00B851FF"/>
    <w:rsid w:val="00B91D22"/>
    <w:rsid w:val="00B926BB"/>
    <w:rsid w:val="00BB22AC"/>
    <w:rsid w:val="00BB7F0B"/>
    <w:rsid w:val="00BC5886"/>
    <w:rsid w:val="00BD6C9D"/>
    <w:rsid w:val="00BE0C1D"/>
    <w:rsid w:val="00BE5C0D"/>
    <w:rsid w:val="00BE702B"/>
    <w:rsid w:val="00BF6157"/>
    <w:rsid w:val="00BF7ADD"/>
    <w:rsid w:val="00C053EC"/>
    <w:rsid w:val="00C07D20"/>
    <w:rsid w:val="00C22738"/>
    <w:rsid w:val="00C24896"/>
    <w:rsid w:val="00C35A7A"/>
    <w:rsid w:val="00C35D2C"/>
    <w:rsid w:val="00C361D1"/>
    <w:rsid w:val="00C36F8E"/>
    <w:rsid w:val="00C37DC8"/>
    <w:rsid w:val="00C457E9"/>
    <w:rsid w:val="00C4613B"/>
    <w:rsid w:val="00C5607C"/>
    <w:rsid w:val="00C648D3"/>
    <w:rsid w:val="00C7330C"/>
    <w:rsid w:val="00C7682D"/>
    <w:rsid w:val="00C812E3"/>
    <w:rsid w:val="00C91C4C"/>
    <w:rsid w:val="00C96287"/>
    <w:rsid w:val="00CA4A8F"/>
    <w:rsid w:val="00CA53FD"/>
    <w:rsid w:val="00CB4D10"/>
    <w:rsid w:val="00CC4322"/>
    <w:rsid w:val="00CC7F1D"/>
    <w:rsid w:val="00CF123D"/>
    <w:rsid w:val="00CF1CFA"/>
    <w:rsid w:val="00D00800"/>
    <w:rsid w:val="00D01050"/>
    <w:rsid w:val="00D11B7F"/>
    <w:rsid w:val="00D14815"/>
    <w:rsid w:val="00D217A2"/>
    <w:rsid w:val="00D218E5"/>
    <w:rsid w:val="00D2222C"/>
    <w:rsid w:val="00D22701"/>
    <w:rsid w:val="00D25025"/>
    <w:rsid w:val="00D2573D"/>
    <w:rsid w:val="00D3547A"/>
    <w:rsid w:val="00D36E6D"/>
    <w:rsid w:val="00D412A0"/>
    <w:rsid w:val="00D4745B"/>
    <w:rsid w:val="00D53274"/>
    <w:rsid w:val="00D63CD7"/>
    <w:rsid w:val="00D71BCE"/>
    <w:rsid w:val="00D72C86"/>
    <w:rsid w:val="00D820CC"/>
    <w:rsid w:val="00D84BA6"/>
    <w:rsid w:val="00D85446"/>
    <w:rsid w:val="00D86192"/>
    <w:rsid w:val="00D865D3"/>
    <w:rsid w:val="00D914D7"/>
    <w:rsid w:val="00D95F86"/>
    <w:rsid w:val="00D973B1"/>
    <w:rsid w:val="00DA3067"/>
    <w:rsid w:val="00DA5A5C"/>
    <w:rsid w:val="00DB28E1"/>
    <w:rsid w:val="00DB5A1B"/>
    <w:rsid w:val="00DC60C5"/>
    <w:rsid w:val="00DC61E9"/>
    <w:rsid w:val="00DD2A5B"/>
    <w:rsid w:val="00DD3E02"/>
    <w:rsid w:val="00DD6DAF"/>
    <w:rsid w:val="00DE09C0"/>
    <w:rsid w:val="00DE6878"/>
    <w:rsid w:val="00E001F6"/>
    <w:rsid w:val="00E0255A"/>
    <w:rsid w:val="00E06223"/>
    <w:rsid w:val="00E11D9E"/>
    <w:rsid w:val="00E17D78"/>
    <w:rsid w:val="00E30FEA"/>
    <w:rsid w:val="00E36EDA"/>
    <w:rsid w:val="00E3707A"/>
    <w:rsid w:val="00E40CF8"/>
    <w:rsid w:val="00E416C0"/>
    <w:rsid w:val="00E45C07"/>
    <w:rsid w:val="00E45CAC"/>
    <w:rsid w:val="00E55C8D"/>
    <w:rsid w:val="00E74F77"/>
    <w:rsid w:val="00E872C8"/>
    <w:rsid w:val="00E9384A"/>
    <w:rsid w:val="00E939C9"/>
    <w:rsid w:val="00EA28FB"/>
    <w:rsid w:val="00EB3FAC"/>
    <w:rsid w:val="00ED4EC5"/>
    <w:rsid w:val="00ED69A6"/>
    <w:rsid w:val="00EE086C"/>
    <w:rsid w:val="00EE552A"/>
    <w:rsid w:val="00EF1671"/>
    <w:rsid w:val="00EF24BC"/>
    <w:rsid w:val="00EF74D2"/>
    <w:rsid w:val="00F03423"/>
    <w:rsid w:val="00F119F2"/>
    <w:rsid w:val="00F24E11"/>
    <w:rsid w:val="00F52120"/>
    <w:rsid w:val="00F64BCD"/>
    <w:rsid w:val="00F701DE"/>
    <w:rsid w:val="00F72FBF"/>
    <w:rsid w:val="00F810FD"/>
    <w:rsid w:val="00F85F06"/>
    <w:rsid w:val="00F935E9"/>
    <w:rsid w:val="00F935EE"/>
    <w:rsid w:val="00F95C44"/>
    <w:rsid w:val="00F9733B"/>
    <w:rsid w:val="00F97D5A"/>
    <w:rsid w:val="00FA4832"/>
    <w:rsid w:val="00FA7E4E"/>
    <w:rsid w:val="00FB75CE"/>
    <w:rsid w:val="00FC3CF5"/>
    <w:rsid w:val="00FC4E43"/>
    <w:rsid w:val="00FC699C"/>
    <w:rsid w:val="00FE20FA"/>
    <w:rsid w:val="00FF3D4B"/>
    <w:rsid w:val="00FF5931"/>
    <w:rsid w:val="223841D5"/>
    <w:rsid w:val="22A83A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3"/>
    <w:semiHidden/>
    <w:unhideWhenUsed/>
    <w:qFormat/>
    <w:uiPriority w:val="99"/>
    <w:rPr>
      <w:rFonts w:ascii="Heiti SC Light" w:eastAsia="Heiti SC Light"/>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0"/>
    <w:rPr>
      <w:color w:val="0563C1" w:themeColor="hyperlink"/>
      <w:u w:val="single"/>
      <w14:textFill>
        <w14:solidFill>
          <w14:schemeClr w14:val="hlink"/>
        </w14:solidFill>
      </w14:textFill>
    </w:rPr>
  </w:style>
  <w:style w:type="character" w:styleId="9">
    <w:name w:val="annotation reference"/>
    <w:basedOn w:val="7"/>
    <w:semiHidden/>
    <w:unhideWhenUsed/>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Char"/>
    <w:basedOn w:val="7"/>
    <w:link w:val="5"/>
    <w:qFormat/>
    <w:uiPriority w:val="99"/>
    <w:rPr>
      <w:rFonts w:ascii="Calibri" w:hAnsi="Calibri" w:eastAsia="宋体" w:cs="Times New Roman"/>
      <w:sz w:val="18"/>
      <w:szCs w:val="18"/>
    </w:rPr>
  </w:style>
  <w:style w:type="character" w:customStyle="1" w:styleId="12">
    <w:name w:val="页脚 Char"/>
    <w:basedOn w:val="7"/>
    <w:link w:val="4"/>
    <w:uiPriority w:val="99"/>
    <w:rPr>
      <w:rFonts w:ascii="Calibri" w:hAnsi="Calibri" w:eastAsia="宋体" w:cs="Times New Roman"/>
      <w:sz w:val="18"/>
      <w:szCs w:val="18"/>
    </w:rPr>
  </w:style>
  <w:style w:type="character" w:customStyle="1" w:styleId="13">
    <w:name w:val="批注框文本 Char"/>
    <w:basedOn w:val="7"/>
    <w:link w:val="3"/>
    <w:semiHidden/>
    <w:uiPriority w:val="99"/>
    <w:rPr>
      <w:rFonts w:ascii="Heiti SC Light" w:hAnsi="Calibri" w:eastAsia="Heiti SC Light" w:cs="Times New Roman"/>
      <w:sz w:val="18"/>
      <w:szCs w:val="18"/>
    </w:rPr>
  </w:style>
  <w:style w:type="character" w:customStyle="1" w:styleId="14">
    <w:name w:val="未处理的提及1"/>
    <w:basedOn w:val="7"/>
    <w:semiHidden/>
    <w:unhideWhenUsed/>
    <w:uiPriority w:val="99"/>
    <w:rPr>
      <w:color w:val="605E5C"/>
      <w:shd w:val="clear" w:color="auto" w:fill="E1DFDD"/>
    </w:rPr>
  </w:style>
  <w:style w:type="paragraph" w:customStyle="1" w:styleId="15">
    <w:name w:val="修订1"/>
    <w:hidden/>
    <w:semiHidden/>
    <w:uiPriority w:val="99"/>
    <w:rPr>
      <w:rFonts w:ascii="Calibri" w:hAnsi="Calibri" w:eastAsia="宋体" w:cs="Times New Roman"/>
      <w:kern w:val="2"/>
      <w:sz w:val="21"/>
      <w:szCs w:val="22"/>
      <w:lang w:val="en-US" w:eastAsia="zh-CN" w:bidi="ar-SA"/>
    </w:rPr>
  </w:style>
  <w:style w:type="paragraph" w:customStyle="1" w:styleId="16">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D59B5-A49A-49A3-A044-B491BA59FE9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7</Pages>
  <Words>4516</Words>
  <Characters>4711</Characters>
  <Lines>34</Lines>
  <Paragraphs>9</Paragraphs>
  <TotalTime>34</TotalTime>
  <ScaleCrop>false</ScaleCrop>
  <LinksUpToDate>false</LinksUpToDate>
  <CharactersWithSpaces>4732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2025-01-02T05:21:00Z</dcterms:created>
  <dc:creator>w sh</dc:creator>
  <cp:lastModifiedBy>张杰</cp:lastModifiedBy>
  <cp:lastPrinted>2025-08-12T08:46:00Z</cp:lastPrinted>
  <dcterms:modified xsi:type="dcterms:W3CDTF">2025-08-15T07:33:02Z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eyJoZGlkIjoiMDdlZTljMGViMzYzMTRmMzJlNDA0OWQ2ODQ4OTQzMTciLCJ1c2VySWQiOiIxMzE1Njc1Mzg1In0=</vt:lpwstr>
  </property>
  <property fmtid="{D5CDD505-2E9C-101B-9397-08002B2CF9AE}" pid="3" name="KSOProductBuildVer">
    <vt:lpwstr>2052-12.1.0.21915</vt:lpwstr>
  </property>
  <property fmtid="{D5CDD505-2E9C-101B-9397-08002B2CF9AE}" pid="4" name="ICV">
    <vt:lpwstr>C6C0FD4537DC40DE9C73B280703C7375_12</vt:lpwstr>
  </property>
</Properties>
</file>