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</w:pPr>
      <w:r>
        <w:rPr>
          <w:rFonts w:hint="eastAsia"/>
        </w:rPr>
        <w:t>广东中外运船务代理有限公司中山分公司2025-2026年度南沙港报关报检服务询比采购项目-询比采购公告</w:t>
      </w:r>
    </w:p>
    <w:p>
      <w:pPr>
        <w:pStyle w:val="6"/>
        <w:bidi w:val="0"/>
      </w:pPr>
    </w:p>
    <w:p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356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广东中外运船务代理有限公司中山分公司2025-2026年度南沙港报关报检服务询比采购项目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G1100000175237760001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企业自筹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询比采购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经营服务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2025-08-18 09:00:00</w:t>
            </w:r>
          </w:p>
        </w:tc>
      </w:tr>
    </w:tbl>
    <w:p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6609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广东中外运船务代理有限公司中山分公司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广东省中山市火炬开发区沿江东一路17号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吴揭平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0760-28188513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wujieping@sinotrans.com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</w:tr>
    </w:tbl>
    <w:p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异议及投诉的受理渠道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2"/>
        <w:gridCol w:w="4218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异议联系人：吴揭平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异议联系电话：0760-28188513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异议邮箱：wujieping@sinotrans.com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中国外运华南有限公司港航事业部 联系人：黄颖 电话：020-61893019 邮 箱：huangying.gd@sinotrans.com</w:t>
            </w:r>
          </w:p>
        </w:tc>
      </w:tr>
    </w:tbl>
    <w:p>
      <w:pPr>
        <w:pStyle w:val="6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647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广东中外运船务代理有限公司中山分公司2025-2026年度南沙港报关报检服务询比采购项目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G1100000175237760001001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为采购人提供报关报检服务（包括但不限于南沙港换单及查验服务等）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4.1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信誉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要求4.1.1供应商不得存在下列情形，否则报价将被否决：①被市场监督管理部门在“国家企业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信用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信息公示系统”网站（www.gsxt.gov.cn）中公布为严重违法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失信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名单；②被最高人民法院在“信用中国”网站（www.creditchina.gov.cn）或各级信用信息共享平台中公布为严重失信主体名单（即纳入失信被执行人名单）；4.1.2其他信誉要求： 4.2关联关系禁止报价要求：供应商之间存在以下情形的，禁止参与同一标段或者未划分标段的同一采购项目：①不同供应商的单位负责人或法定代表人为同一人的；②不同供应商之间存在控股、管理关系的；③不同供应商的股东中存在相同自然人的（除非供应商提供充足证据证明该情形不会影响到采购公正性）；4.3本次采购是否接受联合体：不接受4.4其他资格要求及证明资料：投标人必须是依法设立的法人、非法人组织或具有完全民事行为能力的自然人，必须提供有效的营业执照，以及有效的报关单位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"javascript:setPayZixun()"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备案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证明资料。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不要求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2025-08-21 05:00:00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2025-08-21 07:00:00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2025-08-21 09:00:00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2025-08-21 09:00:00</w:t>
            </w:r>
          </w:p>
        </w:tc>
      </w:tr>
    </w:tbl>
    <w:p>
      <w:pPr>
        <w:pStyle w:val="6"/>
        <w:bidi w:val="0"/>
      </w:pPr>
      <w:r>
        <w:rPr>
          <w:rFonts w:hint="eastAsia"/>
          <w:lang w:val="en-US" w:eastAsia="zh-CN"/>
        </w:rPr>
        <w:t>明细信息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38"/>
        <w:gridCol w:w="511"/>
        <w:gridCol w:w="1039"/>
        <w:gridCol w:w="1003"/>
        <w:gridCol w:w="1003"/>
        <w:gridCol w:w="815"/>
        <w:gridCol w:w="815"/>
        <w:gridCol w:w="1756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代理舱单申报费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元/票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包含平台舱单申报费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查验劳务费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元/票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涉及查验才收取</w:t>
            </w:r>
          </w:p>
        </w:tc>
      </w:tr>
    </w:tbl>
    <w:p>
      <w:pPr>
        <w:pStyle w:val="6"/>
        <w:bidi w:val="0"/>
      </w:pPr>
      <w:r>
        <w:rPr>
          <w:rFonts w:hint="eastAsia"/>
          <w:lang w:val="en-US" w:eastAsia="zh-CN"/>
        </w:rPr>
        <w:t>附件信息 请登录后下载</w:t>
      </w:r>
    </w:p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5820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6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</w:tr>
    </w:tbl>
    <w:p>
      <w:pPr>
        <w:pStyle w:val="6"/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436002"/>
    <w:rsid w:val="02931DE8"/>
    <w:rsid w:val="0321569E"/>
    <w:rsid w:val="038A64A3"/>
    <w:rsid w:val="03F220C7"/>
    <w:rsid w:val="0664594F"/>
    <w:rsid w:val="080C4465"/>
    <w:rsid w:val="0BB233D3"/>
    <w:rsid w:val="0CE03A46"/>
    <w:rsid w:val="0DD33C42"/>
    <w:rsid w:val="10464C25"/>
    <w:rsid w:val="12E0549F"/>
    <w:rsid w:val="132F13B0"/>
    <w:rsid w:val="150C00BF"/>
    <w:rsid w:val="1A89543F"/>
    <w:rsid w:val="1C8C5C78"/>
    <w:rsid w:val="1D9E4B24"/>
    <w:rsid w:val="1DEB2DEA"/>
    <w:rsid w:val="228C4E81"/>
    <w:rsid w:val="23E416C4"/>
    <w:rsid w:val="2C3D18BF"/>
    <w:rsid w:val="2C944A3C"/>
    <w:rsid w:val="2CE8036A"/>
    <w:rsid w:val="2CEE5FE4"/>
    <w:rsid w:val="313E4D36"/>
    <w:rsid w:val="37EB6DC7"/>
    <w:rsid w:val="38EA608C"/>
    <w:rsid w:val="3AF670B9"/>
    <w:rsid w:val="406454E8"/>
    <w:rsid w:val="430A45B5"/>
    <w:rsid w:val="4AF6627F"/>
    <w:rsid w:val="5104674E"/>
    <w:rsid w:val="581500D6"/>
    <w:rsid w:val="602C5B19"/>
    <w:rsid w:val="63F31DC2"/>
    <w:rsid w:val="641A6084"/>
    <w:rsid w:val="65F37E70"/>
    <w:rsid w:val="66DE2E62"/>
    <w:rsid w:val="67EB56C5"/>
    <w:rsid w:val="690B0893"/>
    <w:rsid w:val="6FAB5C55"/>
    <w:rsid w:val="71A50ED2"/>
    <w:rsid w:val="731B3A53"/>
    <w:rsid w:val="7C345577"/>
    <w:rsid w:val="7C366BD3"/>
    <w:rsid w:val="7CA578D8"/>
    <w:rsid w:val="7E9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TML Definition"/>
    <w:basedOn w:val="8"/>
    <w:autoRedefine/>
    <w:qFormat/>
    <w:uiPriority w:val="0"/>
  </w:style>
  <w:style w:type="character" w:styleId="12">
    <w:name w:val="HTML Typewriter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8"/>
    <w:autoRedefine/>
    <w:qFormat/>
    <w:uiPriority w:val="0"/>
  </w:style>
  <w:style w:type="character" w:styleId="14">
    <w:name w:val="HTML Variable"/>
    <w:basedOn w:val="8"/>
    <w:autoRedefine/>
    <w:qFormat/>
    <w:uiPriority w:val="0"/>
  </w:style>
  <w:style w:type="character" w:styleId="15">
    <w:name w:val="Hyperlink"/>
    <w:basedOn w:val="8"/>
    <w:autoRedefine/>
    <w:qFormat/>
    <w:uiPriority w:val="0"/>
    <w:rPr>
      <w:color w:val="0000FF"/>
      <w:u w:val="single"/>
    </w:rPr>
  </w:style>
  <w:style w:type="character" w:styleId="16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autoRedefine/>
    <w:qFormat/>
    <w:uiPriority w:val="0"/>
  </w:style>
  <w:style w:type="character" w:styleId="18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2025-08-12T06:59:00Z</dcterms:created>
  <dc:creator>yj</dc:creator>
  <cp:lastModifiedBy>yj</cp:lastModifiedBy>
  <dcterms:modified xsi:type="dcterms:W3CDTF">2025-08-18T09:19:32Z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4C68E660BC5F439E9DEBFD482EF7237E_12</vt:lpwstr>
  </property>
</Properties>
</file>