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/>
          <w:b/>
          <w:color w:val="000000"/>
          <w:sz w:val="32"/>
          <w:szCs w:val="32"/>
        </w:rPr>
      </w:pPr>
    </w:p>
    <w:p>
      <w:pPr>
        <w:spacing w:line="360" w:lineRule="auto"/>
        <w:jc w:val="center"/>
        <w:rPr>
          <w:rFonts w:hint="eastAsia" w:ascii="黑体" w:hAnsi="黑体" w:eastAsia="黑体"/>
          <w:b/>
          <w:color w:val="000000"/>
          <w:sz w:val="72"/>
          <w:szCs w:val="72"/>
        </w:rPr>
      </w:pPr>
      <w:r>
        <w:rPr>
          <w:rFonts w:hint="eastAsia" w:ascii="黑体" w:hAnsi="黑体" w:eastAsia="黑体"/>
          <w:b/>
          <w:color w:val="000000"/>
          <w:sz w:val="72"/>
          <w:szCs w:val="72"/>
        </w:rPr>
        <w:t>非招标采购交易平台</w:t>
      </w:r>
    </w:p>
    <w:p>
      <w:pPr>
        <w:spacing w:before="240" w:after="240" w:line="360" w:lineRule="auto"/>
        <w:jc w:val="center"/>
        <w:rPr>
          <w:b/>
          <w:sz w:val="48"/>
          <w:szCs w:val="48"/>
        </w:rPr>
      </w:pPr>
    </w:p>
    <w:p>
      <w:pPr>
        <w:jc w:val="center"/>
        <w:rPr>
          <w:rFonts w:hint="eastAsia" w:ascii="黑体" w:hAnsi="黑体" w:eastAsia="黑体"/>
          <w:b/>
          <w:color w:val="000000"/>
          <w:sz w:val="40"/>
          <w:szCs w:val="40"/>
          <w:lang w:val="en-US" w:eastAsia="zh-CN"/>
        </w:rPr>
      </w:pPr>
    </w:p>
    <w:p>
      <w:pPr>
        <w:jc w:val="center"/>
        <w:rPr>
          <w:rFonts w:hint="eastAsia" w:ascii="黑体" w:hAnsi="黑体" w:eastAsia="黑体"/>
          <w:b/>
          <w:color w:val="000000"/>
          <w:sz w:val="40"/>
          <w:szCs w:val="40"/>
          <w:lang w:val="en-US" w:eastAsia="zh-CN"/>
        </w:rPr>
      </w:pPr>
    </w:p>
    <w:p>
      <w:pPr>
        <w:jc w:val="center"/>
        <w:rPr>
          <w:rFonts w:hint="eastAsia" w:ascii="黑体" w:hAnsi="黑体" w:eastAsia="黑体"/>
          <w:b/>
          <w:color w:val="000000"/>
          <w:sz w:val="40"/>
          <w:szCs w:val="40"/>
          <w:lang w:val="en-US" w:eastAsia="zh-CN"/>
        </w:rPr>
      </w:pPr>
    </w:p>
    <w:p>
      <w:pPr>
        <w:jc w:val="center"/>
        <w:rPr>
          <w:rFonts w:hint="eastAsia" w:ascii="黑体" w:hAnsi="黑体" w:eastAsia="黑体"/>
          <w:b/>
          <w:color w:val="000000"/>
          <w:sz w:val="40"/>
          <w:szCs w:val="40"/>
          <w:lang w:val="en-US" w:eastAsia="zh-CN"/>
        </w:rPr>
      </w:pPr>
      <w:r>
        <w:rPr>
          <w:rFonts w:hint="eastAsia" w:ascii="黑体" w:hAnsi="黑体" w:eastAsia="黑体"/>
          <w:b/>
          <w:color w:val="000000"/>
          <w:sz w:val="40"/>
          <w:szCs w:val="40"/>
          <w:lang w:val="en-US" w:eastAsia="zh-CN"/>
        </w:rPr>
        <w:t>操作手册</w:t>
      </w:r>
    </w:p>
    <w:p>
      <w:pPr>
        <w:jc w:val="center"/>
        <w:rPr>
          <w:rFonts w:hint="eastAsia" w:ascii="黑体" w:hAnsi="黑体" w:eastAsia="黑体"/>
          <w:b/>
          <w:color w:val="000000"/>
          <w:sz w:val="40"/>
          <w:szCs w:val="40"/>
        </w:rPr>
      </w:pPr>
      <w:bookmarkStart w:id="0" w:name="_Hlk483665633"/>
      <w:r>
        <w:rPr>
          <w:rFonts w:hint="eastAsia" w:ascii="黑体" w:hAnsi="黑体" w:eastAsia="黑体"/>
          <w:b/>
          <w:color w:val="000000"/>
          <w:sz w:val="40"/>
          <w:szCs w:val="40"/>
        </w:rPr>
        <w:t>（</w:t>
      </w:r>
      <w:r>
        <w:rPr>
          <w:rFonts w:hint="eastAsia" w:ascii="黑体" w:hAnsi="黑体" w:eastAsia="黑体"/>
          <w:b/>
          <w:color w:val="000000"/>
          <w:sz w:val="40"/>
          <w:szCs w:val="40"/>
          <w:lang w:val="en-US" w:eastAsia="zh-CN"/>
        </w:rPr>
        <w:t>供应商</w:t>
      </w:r>
      <w:r>
        <w:rPr>
          <w:rFonts w:hint="eastAsia" w:ascii="黑体" w:hAnsi="黑体" w:eastAsia="黑体"/>
          <w:b/>
          <w:color w:val="000000"/>
          <w:sz w:val="40"/>
          <w:szCs w:val="40"/>
        </w:rPr>
        <w:t>分册）</w:t>
      </w:r>
    </w:p>
    <w:p>
      <w:pPr>
        <w:jc w:val="center"/>
        <w:rPr>
          <w:rFonts w:hint="eastAsia" w:ascii="黑体" w:hAnsi="黑体" w:eastAsia="黑体"/>
          <w:b/>
          <w:color w:val="000000"/>
          <w:sz w:val="40"/>
          <w:szCs w:val="40"/>
        </w:rPr>
      </w:pPr>
    </w:p>
    <w:bookmarkEnd w:id="0"/>
    <w:p>
      <w:pPr>
        <w:jc w:val="center"/>
        <w:rPr>
          <w:rFonts w:ascii="黑体" w:hAnsi="黑体" w:eastAsia="黑体"/>
          <w:b/>
          <w:color w:val="000000"/>
          <w:sz w:val="40"/>
          <w:szCs w:val="40"/>
        </w:rPr>
      </w:pPr>
    </w:p>
    <w:p>
      <w:pPr>
        <w:spacing w:line="360" w:lineRule="auto"/>
        <w:jc w:val="center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rPr>
          <w:rFonts w:ascii="仿宋" w:hAnsi="仿宋"/>
          <w:bCs/>
          <w:color w:val="000000"/>
          <w:sz w:val="36"/>
          <w:szCs w:val="36"/>
        </w:rPr>
      </w:pPr>
    </w:p>
    <w:p>
      <w:pPr>
        <w:spacing w:line="360" w:lineRule="auto"/>
        <w:jc w:val="center"/>
        <w:rPr>
          <w:rFonts w:ascii="仿宋" w:hAnsi="仿宋"/>
          <w:bCs/>
          <w:color w:val="000000"/>
          <w:sz w:val="36"/>
          <w:szCs w:val="36"/>
        </w:rPr>
      </w:pPr>
      <w:r>
        <w:rPr>
          <w:rFonts w:hint="eastAsia" w:ascii="仿宋" w:hAnsi="仿宋"/>
          <w:bCs/>
          <w:color w:val="000000"/>
          <w:sz w:val="36"/>
          <w:szCs w:val="36"/>
        </w:rPr>
        <w:t>202</w:t>
      </w:r>
      <w:r>
        <w:rPr>
          <w:rFonts w:hint="eastAsia" w:ascii="仿宋" w:hAnsi="仿宋"/>
          <w:bCs/>
          <w:color w:val="000000"/>
          <w:sz w:val="36"/>
          <w:szCs w:val="36"/>
          <w:lang w:val="en-US" w:eastAsia="zh-CN"/>
        </w:rPr>
        <w:t>4</w:t>
      </w:r>
      <w:r>
        <w:rPr>
          <w:rFonts w:hint="eastAsia" w:ascii="仿宋" w:hAnsi="仿宋"/>
          <w:bCs/>
          <w:color w:val="000000"/>
          <w:sz w:val="36"/>
          <w:szCs w:val="36"/>
        </w:rPr>
        <w:t>年</w:t>
      </w:r>
      <w:r>
        <w:rPr>
          <w:rFonts w:hint="eastAsia" w:ascii="仿宋" w:hAnsi="仿宋"/>
          <w:bCs/>
          <w:color w:val="000000"/>
          <w:sz w:val="36"/>
          <w:szCs w:val="36"/>
          <w:lang w:val="en-US" w:eastAsia="zh-CN"/>
        </w:rPr>
        <w:t>7</w:t>
      </w:r>
      <w:r>
        <w:rPr>
          <w:rFonts w:hint="eastAsia" w:ascii="仿宋" w:hAnsi="仿宋"/>
          <w:bCs/>
          <w:color w:val="000000"/>
          <w:sz w:val="36"/>
          <w:szCs w:val="36"/>
        </w:rPr>
        <w:t>月</w:t>
      </w:r>
    </w:p>
    <w:p>
      <w:pPr>
        <w:spacing w:line="360" w:lineRule="auto"/>
        <w:jc w:val="center"/>
        <w:rPr>
          <w:rFonts w:ascii="仿宋" w:hAnsi="仿宋"/>
          <w:bCs/>
          <w:color w:val="000000"/>
          <w:sz w:val="36"/>
          <w:szCs w:val="36"/>
        </w:rPr>
      </w:pPr>
    </w:p>
    <w:p>
      <w:pPr>
        <w:pStyle w:val="2"/>
        <w:numPr>
          <w:ilvl w:val="0"/>
          <w:numId w:val="1"/>
        </w:numPr>
        <w:bidi w:val="0"/>
        <w:ind w:left="357" w:leftChars="0" w:hanging="357" w:firstLineChars="0"/>
        <w:rPr>
          <w:rFonts w:hint="eastAsia" w:cstheme="minorBidi"/>
          <w:b/>
          <w:bCs/>
          <w:kern w:val="44"/>
          <w:sz w:val="44"/>
          <w:szCs w:val="44"/>
          <w:lang w:val="en-US" w:eastAsia="zh-CN" w:bidi="ar-SA"/>
        </w:rPr>
        <w:sectPr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theme="minorBidi"/>
          <w:kern w:val="2"/>
          <w:sz w:val="28"/>
          <w:szCs w:val="32"/>
          <w:lang w:val="en-US" w:eastAsia="zh-CN" w:bidi="ar-SA"/>
        </w:rPr>
        <w:id w:val="147470690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kern w:val="2"/>
          <w:sz w:val="28"/>
          <w:szCs w:val="3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36"/>
              <w:szCs w:val="32"/>
            </w:rPr>
          </w:pPr>
          <w:r>
            <w:rPr>
              <w:rFonts w:ascii="宋体" w:hAnsi="宋体" w:eastAsia="宋体"/>
              <w:sz w:val="28"/>
              <w:szCs w:val="32"/>
            </w:rPr>
            <w:t>目录</w:t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_Toc2443 </w:instrText>
          </w:r>
          <w:r>
            <w:fldChar w:fldCharType="separate"/>
          </w:r>
          <w:r>
            <w:rPr>
              <w:rFonts w:hint="default"/>
            </w:rPr>
            <w:t xml:space="preserve">1. </w:t>
          </w:r>
          <w:r>
            <w:t>用户登录</w:t>
          </w:r>
          <w:r>
            <w:tab/>
          </w:r>
          <w:r>
            <w:fldChar w:fldCharType="begin"/>
          </w:r>
          <w:r>
            <w:instrText xml:space="preserve"> PAGEREF _Toc2443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_Toc16718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2.企业采购项目</w:t>
          </w:r>
          <w:r>
            <w:tab/>
          </w:r>
          <w:r>
            <w:fldChar w:fldCharType="begin"/>
          </w:r>
          <w:r>
            <w:instrText xml:space="preserve"> PAGEREF _Toc16718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_Toc32321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2.1竞争性谈判项目</w:t>
          </w:r>
          <w:r>
            <w:tab/>
          </w:r>
          <w:r>
            <w:fldChar w:fldCharType="begin"/>
          </w:r>
          <w:r>
            <w:instrText xml:space="preserve"> PAGEREF _Toc32321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_Toc20776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2.1.1供应商参与并报名</w:t>
          </w:r>
          <w:r>
            <w:tab/>
          </w:r>
          <w:r>
            <w:fldChar w:fldCharType="begin"/>
          </w:r>
          <w:r>
            <w:instrText xml:space="preserve"> PAGEREF _Toc20776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_Toc22500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2.1.2邀请回执</w:t>
          </w:r>
          <w:r>
            <w:tab/>
          </w:r>
          <w:r>
            <w:fldChar w:fldCharType="begin"/>
          </w:r>
          <w:r>
            <w:instrText xml:space="preserve"> PAGEREF _Toc22500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_Toc12107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2.1.3购买文件</w:t>
          </w:r>
          <w:r>
            <w:tab/>
          </w:r>
          <w:r>
            <w:fldChar w:fldCharType="begin"/>
          </w:r>
          <w:r>
            <w:instrText xml:space="preserve"> PAGEREF _Toc12107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_Toc26740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2.1.4下载文件</w:t>
          </w:r>
          <w:r>
            <w:tab/>
          </w:r>
          <w:r>
            <w:fldChar w:fldCharType="begin"/>
          </w:r>
          <w:r>
            <w:instrText xml:space="preserve"> PAGEREF _Toc26740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_Toc14412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2.1.5采购文件澄清</w:t>
          </w:r>
          <w:r>
            <w:tab/>
          </w:r>
          <w:r>
            <w:fldChar w:fldCharType="begin"/>
          </w:r>
          <w:r>
            <w:instrText xml:space="preserve"> PAGEREF _Toc14412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_Toc27264 </w:instrText>
          </w:r>
          <w:r>
            <w:fldChar w:fldCharType="separate"/>
          </w:r>
          <w:r>
            <w:rPr>
              <w:rFonts w:hint="eastAsia" w:eastAsia="宋体" w:asciiTheme="minorAscii" w:hAnsiTheme="minorAscii" w:cstheme="minorBidi"/>
              <w:kern w:val="2"/>
              <w:szCs w:val="22"/>
              <w:lang w:val="en-US" w:eastAsia="zh-CN" w:bidi="ar-SA"/>
            </w:rPr>
            <w:t>2.1.6</w:t>
          </w:r>
          <w:r>
            <w:rPr>
              <w:rFonts w:hint="eastAsia" w:cstheme="minorBidi"/>
              <w:kern w:val="2"/>
              <w:szCs w:val="22"/>
              <w:lang w:val="en-US" w:eastAsia="zh-CN" w:bidi="ar-SA"/>
            </w:rPr>
            <w:t>制作</w:t>
          </w:r>
          <w:r>
            <w:rPr>
              <w:rFonts w:hint="eastAsia" w:eastAsia="宋体" w:asciiTheme="minorAscii" w:hAnsiTheme="minorAscii" w:cstheme="minorBidi"/>
              <w:kern w:val="2"/>
              <w:szCs w:val="22"/>
              <w:lang w:val="en-US" w:eastAsia="zh-CN" w:bidi="ar-SA"/>
            </w:rPr>
            <w:t>响应文件</w:t>
          </w:r>
          <w:r>
            <w:rPr>
              <w:rFonts w:hint="eastAsia" w:cstheme="minorBidi"/>
              <w:kern w:val="2"/>
              <w:szCs w:val="22"/>
              <w:lang w:val="en-US" w:eastAsia="zh-CN" w:bidi="ar-SA"/>
            </w:rPr>
            <w:t>（客户端）</w:t>
          </w:r>
          <w:r>
            <w:tab/>
          </w:r>
          <w:r>
            <w:fldChar w:fldCharType="begin"/>
          </w:r>
          <w:r>
            <w:instrText xml:space="preserve"> PAGEREF _Toc27264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_Toc29597 </w:instrText>
          </w:r>
          <w:r>
            <w:fldChar w:fldCharType="separate"/>
          </w:r>
          <w:r>
            <w:rPr>
              <w:rFonts w:hint="default" w:eastAsia="宋体" w:asciiTheme="minorAscii" w:hAnsiTheme="minorAscii" w:cstheme="minorBidi"/>
              <w:kern w:val="2"/>
              <w:szCs w:val="22"/>
              <w:lang w:val="en-US" w:eastAsia="zh-CN" w:bidi="ar-SA"/>
            </w:rPr>
            <w:t>2.1.</w:t>
          </w:r>
          <w:r>
            <w:rPr>
              <w:rFonts w:hint="eastAsia" w:cstheme="minorBidi"/>
              <w:kern w:val="2"/>
              <w:szCs w:val="22"/>
              <w:lang w:val="en-US" w:eastAsia="zh-CN" w:bidi="ar-SA"/>
            </w:rPr>
            <w:t>7递交响应文件</w:t>
          </w:r>
          <w:r>
            <w:tab/>
          </w:r>
          <w:r>
            <w:fldChar w:fldCharType="begin"/>
          </w:r>
          <w:r>
            <w:instrText xml:space="preserve"> PAGEREF _Toc29597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_Toc10824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>2.1.</w:t>
          </w:r>
          <w:r>
            <w:rPr>
              <w:rFonts w:hint="eastAsia"/>
              <w:lang w:val="en-US" w:eastAsia="zh-CN"/>
            </w:rPr>
            <w:t>8大厅报价确认</w:t>
          </w:r>
          <w:r>
            <w:tab/>
          </w:r>
          <w:r>
            <w:fldChar w:fldCharType="begin"/>
          </w:r>
          <w:r>
            <w:instrText xml:space="preserve"> PAGEREF _Toc10824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_Toc15541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2.1.9报价</w:t>
          </w:r>
          <w:r>
            <w:tab/>
          </w:r>
          <w:r>
            <w:fldChar w:fldCharType="begin"/>
          </w:r>
          <w:r>
            <w:instrText xml:space="preserve"> PAGEREF _Toc15541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_Toc7376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2.1.10成交通知书查看</w:t>
          </w:r>
          <w:r>
            <w:tab/>
          </w:r>
          <w:r>
            <w:fldChar w:fldCharType="begin"/>
          </w:r>
          <w:r>
            <w:instrText xml:space="preserve"> PAGEREF _Toc7376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_Toc17991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2.2竞争性磋商</w:t>
          </w:r>
          <w:r>
            <w:tab/>
          </w:r>
          <w:r>
            <w:fldChar w:fldCharType="begin"/>
          </w:r>
          <w:r>
            <w:instrText xml:space="preserve"> PAGEREF _Toc17991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_Toc31934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2.2.1报名及邀请回执</w:t>
          </w:r>
          <w:r>
            <w:tab/>
          </w:r>
          <w:r>
            <w:fldChar w:fldCharType="begin"/>
          </w:r>
          <w:r>
            <w:instrText xml:space="preserve"> PAGEREF _Toc31934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_Toc20531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2.2.2购买文件</w:t>
          </w:r>
          <w:r>
            <w:tab/>
          </w:r>
          <w:r>
            <w:fldChar w:fldCharType="begin"/>
          </w:r>
          <w:r>
            <w:instrText xml:space="preserve"> PAGEREF _Toc20531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_Toc762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2.2.3报价</w:t>
          </w:r>
          <w:r>
            <w:tab/>
          </w:r>
          <w:r>
            <w:fldChar w:fldCharType="begin"/>
          </w:r>
          <w:r>
            <w:instrText xml:space="preserve"> PAGEREF _Toc762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_Toc28193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2.2.4成交通知书查看</w:t>
          </w:r>
          <w:r>
            <w:tab/>
          </w:r>
          <w:r>
            <w:fldChar w:fldCharType="begin"/>
          </w:r>
          <w:r>
            <w:instrText xml:space="preserve"> PAGEREF _Toc28193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_Toc16739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2.3询比价</w:t>
          </w:r>
          <w:r>
            <w:tab/>
          </w:r>
          <w:r>
            <w:fldChar w:fldCharType="begin"/>
          </w:r>
          <w:r>
            <w:instrText xml:space="preserve"> PAGEREF _Toc16739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_Toc27627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2.3.1报名及邀请回执</w:t>
          </w:r>
          <w:r>
            <w:tab/>
          </w:r>
          <w:r>
            <w:fldChar w:fldCharType="begin"/>
          </w:r>
          <w:r>
            <w:instrText xml:space="preserve"> PAGEREF _Toc27627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_Toc6167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2.3.2购买文件</w:t>
          </w:r>
          <w:r>
            <w:tab/>
          </w:r>
          <w:r>
            <w:fldChar w:fldCharType="begin"/>
          </w:r>
          <w:r>
            <w:instrText xml:space="preserve"> PAGEREF _Toc6167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_Toc1590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2.3.3报价</w:t>
          </w:r>
          <w:r>
            <w:tab/>
          </w:r>
          <w:r>
            <w:fldChar w:fldCharType="begin"/>
          </w:r>
          <w:r>
            <w:instrText xml:space="preserve"> PAGEREF _Toc1590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_Toc16933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2.3.4成交通知书查看</w:t>
          </w:r>
          <w:r>
            <w:tab/>
          </w:r>
          <w:r>
            <w:fldChar w:fldCharType="begin"/>
          </w:r>
          <w:r>
            <w:instrText xml:space="preserve"> PAGEREF _Toc16933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_Toc8423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2.4竞价</w:t>
          </w:r>
          <w:r>
            <w:tab/>
          </w:r>
          <w:r>
            <w:fldChar w:fldCharType="begin"/>
          </w:r>
          <w:r>
            <w:instrText xml:space="preserve"> PAGEREF _Toc8423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_Toc7327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2.4.1报名及邀请回执</w:t>
          </w:r>
          <w:r>
            <w:tab/>
          </w:r>
          <w:r>
            <w:fldChar w:fldCharType="begin"/>
          </w:r>
          <w:r>
            <w:instrText xml:space="preserve"> PAGEREF _Toc7327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_Toc12906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2.4.2购买文件</w:t>
          </w:r>
          <w:r>
            <w:tab/>
          </w:r>
          <w:r>
            <w:fldChar w:fldCharType="begin"/>
          </w:r>
          <w:r>
            <w:instrText xml:space="preserve"> PAGEREF _Toc12906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_Toc9061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2.4.3报价</w:t>
          </w:r>
          <w:r>
            <w:tab/>
          </w:r>
          <w:r>
            <w:fldChar w:fldCharType="begin"/>
          </w:r>
          <w:r>
            <w:instrText xml:space="preserve"> PAGEREF _Toc9061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_Toc4562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2.4.4成交通知书查看</w:t>
          </w:r>
          <w:r>
            <w:tab/>
          </w:r>
          <w:r>
            <w:fldChar w:fldCharType="begin"/>
          </w:r>
          <w:r>
            <w:instrText xml:space="preserve"> PAGEREF _Toc4562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_Toc14625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2.5单一来源</w:t>
          </w:r>
          <w:r>
            <w:tab/>
          </w:r>
          <w:r>
            <w:fldChar w:fldCharType="begin"/>
          </w:r>
          <w:r>
            <w:instrText xml:space="preserve"> PAGEREF _Toc14625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_Toc1888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2.5.1邀请回执</w:t>
          </w:r>
          <w:r>
            <w:tab/>
          </w:r>
          <w:r>
            <w:fldChar w:fldCharType="begin"/>
          </w:r>
          <w:r>
            <w:instrText xml:space="preserve"> PAGEREF _Toc1888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_Toc15437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2.5.2购买文件</w:t>
          </w:r>
          <w:r>
            <w:tab/>
          </w:r>
          <w:r>
            <w:fldChar w:fldCharType="begin"/>
          </w:r>
          <w:r>
            <w:instrText xml:space="preserve"> PAGEREF _Toc15437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_Toc14844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2.5.3报价</w:t>
          </w:r>
          <w:r>
            <w:tab/>
          </w:r>
          <w:r>
            <w:fldChar w:fldCharType="begin"/>
          </w:r>
          <w:r>
            <w:instrText xml:space="preserve"> PAGEREF _Toc14844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_Toc14648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2.5.4成交通知书查看</w:t>
          </w:r>
          <w:r>
            <w:tab/>
          </w:r>
          <w:r>
            <w:fldChar w:fldCharType="begin"/>
          </w:r>
          <w:r>
            <w:instrText xml:space="preserve"> PAGEREF _Toc14648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pStyle w:val="2"/>
        <w:numPr>
          <w:ilvl w:val="0"/>
          <w:numId w:val="1"/>
        </w:numPr>
        <w:bidi w:val="0"/>
        <w:ind w:left="357" w:leftChars="0" w:hanging="357" w:firstLineChars="0"/>
        <w:rPr>
          <w:rFonts w:hint="eastAsia" w:cstheme="minorBidi"/>
          <w:b/>
          <w:bCs/>
          <w:kern w:val="44"/>
          <w:sz w:val="44"/>
          <w:szCs w:val="44"/>
          <w:lang w:val="en-US" w:eastAsia="zh-CN" w:bidi="ar-SA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pStyle w:val="2"/>
        <w:numPr>
          <w:ilvl w:val="0"/>
          <w:numId w:val="1"/>
        </w:numPr>
        <w:ind w:left="357" w:hanging="357"/>
        <w:jc w:val="both"/>
        <w:rPr>
          <w:rFonts w:hint="eastAsia"/>
        </w:rPr>
      </w:pPr>
      <w:bookmarkStart w:id="1" w:name="_Toc2443"/>
      <w:r>
        <w:t>用户登录</w:t>
      </w:r>
      <w:bookmarkEnd w:id="1"/>
    </w:p>
    <w:p>
      <w:pPr>
        <w:spacing w:line="360" w:lineRule="auto"/>
        <w:ind w:firstLine="560" w:firstLineChars="200"/>
        <w:jc w:val="left"/>
        <w:rPr>
          <w:rFonts w:hint="eastAsia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输入http://ubid.cnpcbidding.com:8081/ebidding访问，进入如下（图1-1）页面：</w:t>
      </w:r>
      <w:r>
        <w:rPr>
          <w:rFonts w:hint="eastAsia"/>
          <w:lang w:eastAsia="zh-CN"/>
        </w:rPr>
        <w:br w:type="textWrapping"/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drawing>
          <wp:inline distT="0" distB="0" distL="114300" distR="114300">
            <wp:extent cx="5268595" cy="2585085"/>
            <wp:effectExtent l="9525" t="9525" r="17780" b="1524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850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                    </w:t>
      </w:r>
      <w:r>
        <w:rPr>
          <w:rFonts w:hint="eastAsia"/>
          <w:b/>
          <w:lang w:eastAsia="zh-CN"/>
        </w:rPr>
        <w:br w:type="textWrapping"/>
      </w:r>
      <w:r>
        <w:rPr>
          <w:rFonts w:hint="eastAsia"/>
          <w:b/>
          <w:lang w:val="en-US" w:eastAsia="zh-CN"/>
        </w:rPr>
        <w:t xml:space="preserve">    </w:t>
      </w:r>
      <w:r>
        <w:rPr>
          <w:rFonts w:hint="eastAsia" w:eastAsia="仿宋"/>
          <w:b/>
          <w:sz w:val="28"/>
          <w:lang w:eastAsia="zh-CN"/>
        </w:rPr>
        <w:t>操作说明</w:t>
      </w:r>
      <w:r>
        <w:rPr>
          <w:rFonts w:hint="eastAsia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A：选择密码登录方式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B：输入用户名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C：输入密码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D：点击【登录】可进入系统</w:t>
      </w:r>
    </w:p>
    <w:p>
      <w:pPr>
        <w:spacing w:line="360" w:lineRule="auto"/>
        <w:ind w:firstLine="560" w:firstLineChars="200"/>
        <w:jc w:val="left"/>
        <w:rPr>
          <w:rFonts w:hint="eastAsia"/>
          <w:b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（特别说明：当前系统登录不支持CA登录及短信登录方式，账号密码统一取自招标平台，当前不支持自行注册账号及忘记密码找回功能，仅支持通过用户名及密码方式登录）</w:t>
      </w:r>
      <w:r>
        <w:rPr>
          <w:rFonts w:hint="default"/>
          <w:lang w:val="en-US" w:eastAsia="zh-CN"/>
        </w:rPr>
        <w:br w:type="textWrapping"/>
      </w:r>
      <w:r>
        <w:br w:type="textWrapping"/>
      </w:r>
      <w:r>
        <w:br w:type="textWrapping"/>
      </w:r>
    </w:p>
    <w:p>
      <w:pPr>
        <w:rPr>
          <w:rFonts w:hint="default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p>
      <w:pPr>
        <w:pStyle w:val="2"/>
        <w:bidi w:val="0"/>
        <w:rPr>
          <w:rFonts w:hint="eastAsia"/>
          <w:lang w:val="en-US" w:eastAsia="zh-CN"/>
        </w:rPr>
      </w:pPr>
      <w:bookmarkStart w:id="2" w:name="_Toc16718"/>
      <w:r>
        <w:rPr>
          <w:rFonts w:hint="eastAsia"/>
          <w:lang w:val="en-US" w:eastAsia="zh-CN"/>
        </w:rPr>
        <w:t>2.企业采购项目</w:t>
      </w:r>
      <w:bookmarkEnd w:id="2"/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3" w:name="_Toc32321"/>
      <w:r>
        <w:rPr>
          <w:rFonts w:hint="eastAsia"/>
          <w:lang w:val="en-US" w:eastAsia="zh-CN"/>
        </w:rPr>
        <w:t>2.1竞争性谈判项目</w:t>
      </w:r>
      <w:bookmarkEnd w:id="3"/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4" w:name="_Toc20776"/>
      <w:r>
        <w:rPr>
          <w:rFonts w:hint="eastAsia"/>
          <w:lang w:val="en-US" w:eastAsia="zh-CN"/>
        </w:rPr>
        <w:t>2.1.1</w:t>
      </w:r>
      <w:bookmarkStart w:id="34" w:name="_GoBack"/>
      <w:bookmarkEnd w:id="34"/>
      <w:r>
        <w:rPr>
          <w:rFonts w:hint="eastAsia"/>
          <w:lang w:val="en-US" w:eastAsia="zh-CN"/>
        </w:rPr>
        <w:t>供应商参与并报名</w:t>
      </w:r>
      <w:bookmarkEnd w:id="4"/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注：项目为公开需要报名时，供应商才可参加报名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供应商/供应商通过点击【采购实施】-【非招项目跟踪】-【我要参与】，进入非招标的项目查询页面</w:t>
      </w:r>
    </w:p>
    <w:p>
      <w:r>
        <w:drawing>
          <wp:inline distT="0" distB="0" distL="114300" distR="114300">
            <wp:extent cx="5266690" cy="2529205"/>
            <wp:effectExtent l="0" t="0" r="635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2" w:firstLineChars="200"/>
        <w:rPr>
          <w:rFonts w:hint="eastAsia"/>
          <w:b/>
          <w:bCs w:val="0"/>
        </w:rPr>
      </w:pPr>
      <w:r>
        <w:rPr>
          <w:rFonts w:hint="eastAsia" w:eastAsia="仿宋"/>
          <w:b/>
          <w:bCs w:val="0"/>
          <w:sz w:val="28"/>
          <w:lang w:eastAsia="zh-CN"/>
        </w:rPr>
        <w:t>操作说明</w:t>
      </w:r>
      <w:r>
        <w:rPr>
          <w:rFonts w:hint="eastAsia"/>
          <w:b/>
          <w:bCs w:val="0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A：输入项目名称、编号、标段（包）名称、业主名称查询条件，系统自动筛选查询结果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B：开标时间为下拉框，可选择不同的值，系统自动筛选对应的的查询结果</w:t>
      </w:r>
    </w:p>
    <w:p>
      <w:pPr>
        <w:ind w:firstLine="480" w:firstLineChars="200"/>
        <w:rPr>
          <w:rFonts w:hint="default" w:ascii="仿宋" w:hAnsi="仿宋" w:eastAsia="仿宋"/>
          <w:lang w:val="en-US" w:eastAsia="zh-CN"/>
        </w:rPr>
      </w:pPr>
      <w:r>
        <w:rPr>
          <w:rFonts w:hint="eastAsia" w:ascii="仿宋" w:hAnsi="仿宋" w:eastAsia="仿宋"/>
          <w:lang w:val="en-US" w:eastAsia="zh-CN"/>
        </w:rPr>
        <w:t>C：点击【立即参与】，跳转至确认参与弹窗，点击【确定】跳转至我的项目页面，点击【取消】返回当前页面。</w:t>
      </w:r>
    </w:p>
    <w:p>
      <w:pPr>
        <w:ind w:firstLine="480" w:firstLineChars="200"/>
        <w:rPr>
          <w:rFonts w:hint="eastAsia" w:ascii="仿宋" w:hAnsi="仿宋" w:eastAsia="仿宋"/>
          <w:lang w:val="en-US" w:eastAsia="zh-CN"/>
        </w:rPr>
      </w:pPr>
      <w:r>
        <w:rPr>
          <w:rFonts w:hint="eastAsia" w:ascii="仿宋" w:hAnsi="仿宋" w:eastAsia="仿宋"/>
          <w:lang w:val="en-US" w:eastAsia="zh-CN"/>
        </w:rPr>
        <w:drawing>
          <wp:inline distT="0" distB="0" distL="114300" distR="114300">
            <wp:extent cx="5259070" cy="2596515"/>
            <wp:effectExtent l="0" t="0" r="17780" b="1333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59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default" w:ascii="仿宋" w:hAnsi="仿宋" w:eastAsia="仿宋"/>
          <w:lang w:val="en-US" w:eastAsia="zh-CN"/>
        </w:rPr>
      </w:pPr>
    </w:p>
    <w:p>
      <w:pPr>
        <w:ind w:firstLine="480" w:firstLineChars="200"/>
        <w:rPr>
          <w:rFonts w:hint="eastAsia" w:ascii="仿宋" w:hAnsi="仿宋" w:eastAsia="仿宋"/>
          <w:lang w:val="en-US" w:eastAsia="zh-CN"/>
        </w:rPr>
      </w:pPr>
      <w:r>
        <w:rPr>
          <w:rFonts w:hint="eastAsia" w:ascii="仿宋" w:hAnsi="仿宋" w:eastAsia="仿宋"/>
          <w:lang w:val="en-US" w:eastAsia="zh-CN"/>
        </w:rPr>
        <w:t>D：点击【查看公告】，页面跳转到项目公告内容的查看页面</w:t>
      </w:r>
    </w:p>
    <w:p>
      <w:pPr>
        <w:ind w:firstLine="480" w:firstLineChars="200"/>
        <w:rPr>
          <w:rFonts w:hint="eastAsia" w:ascii="仿宋" w:hAnsi="仿宋" w:eastAsia="仿宋"/>
          <w:lang w:val="en-US" w:eastAsia="zh-CN"/>
        </w:rPr>
      </w:pPr>
      <w:r>
        <w:rPr>
          <w:rFonts w:hint="eastAsia" w:ascii="仿宋" w:hAnsi="仿宋" w:eastAsia="仿宋"/>
          <w:lang w:val="en-US" w:eastAsia="zh-CN"/>
        </w:rPr>
        <w:drawing>
          <wp:inline distT="0" distB="0" distL="114300" distR="114300">
            <wp:extent cx="5270500" cy="2590800"/>
            <wp:effectExtent l="0" t="0" r="6350" b="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供应商/供应商参与完成后，通过点击【采购实施】-【非招项目跟踪】-【报名】，进入项目报名页面</w:t>
      </w:r>
    </w:p>
    <w:p>
      <w:pPr>
        <w:ind w:firstLine="480" w:firstLineChars="200"/>
        <w:rPr>
          <w:rFonts w:hint="eastAsia" w:ascii="仿宋" w:hAnsi="仿宋" w:eastAsia="仿宋"/>
          <w:lang w:val="en-US" w:eastAsia="zh-CN"/>
        </w:rPr>
      </w:pPr>
      <w:r>
        <w:rPr>
          <w:rFonts w:hint="eastAsia" w:ascii="仿宋" w:hAnsi="仿宋" w:eastAsia="仿宋"/>
          <w:lang w:val="en-US" w:eastAsia="zh-CN"/>
        </w:rPr>
        <w:drawing>
          <wp:inline distT="0" distB="0" distL="114300" distR="114300">
            <wp:extent cx="5268595" cy="2606675"/>
            <wp:effectExtent l="0" t="0" r="8255" b="317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0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2" w:firstLineChars="200"/>
        <w:rPr>
          <w:rFonts w:hint="eastAsia" w:eastAsia="仿宋"/>
          <w:b/>
          <w:bCs w:val="0"/>
          <w:sz w:val="28"/>
          <w:lang w:val="en-US" w:eastAsia="zh-CN"/>
        </w:rPr>
      </w:pPr>
      <w:r>
        <w:rPr>
          <w:rFonts w:hint="eastAsia" w:eastAsia="仿宋"/>
          <w:b/>
          <w:bCs w:val="0"/>
          <w:sz w:val="28"/>
          <w:lang w:val="en-US" w:eastAsia="zh-CN"/>
        </w:rPr>
        <w:t>操作说明：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A：点击【报名】，跳转至报名详情页面，上传【报名所需材料】，点击【提交】完成报名。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1610" cy="2553970"/>
            <wp:effectExtent l="9525" t="9525" r="24765" b="27305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539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hint="eastAsia" w:ascii="仿宋" w:hAnsi="仿宋" w:eastAsia="仿宋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5" w:name="_Toc22500"/>
      <w:r>
        <w:rPr>
          <w:rFonts w:hint="eastAsia"/>
          <w:lang w:val="en-US" w:eastAsia="zh-CN"/>
        </w:rPr>
        <w:t>2.1.2邀请回执</w:t>
      </w:r>
      <w:bookmarkEnd w:id="5"/>
    </w:p>
    <w:p>
      <w:pPr>
        <w:spacing w:line="360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注：邀请项目，</w:t>
      </w:r>
      <w:r>
        <w:rPr>
          <w:rFonts w:hint="eastAsia" w:ascii="仿宋" w:hAnsi="仿宋" w:eastAsia="仿宋"/>
          <w:lang w:eastAsia="zh-CN"/>
        </w:rPr>
        <w:t>供应商</w:t>
      </w:r>
      <w:r>
        <w:rPr>
          <w:rFonts w:hint="eastAsia" w:ascii="仿宋" w:hAnsi="仿宋" w:eastAsia="仿宋"/>
        </w:rPr>
        <w:t>需要对投标邀请做反馈。</w:t>
      </w:r>
    </w:p>
    <w:p>
      <w:pPr>
        <w:spacing w:line="360" w:lineRule="auto"/>
        <w:rPr>
          <w:rFonts w:hint="eastAsia" w:ascii="仿宋" w:hAnsi="仿宋" w:eastAsia="仿宋"/>
        </w:rPr>
      </w:pPr>
      <w:r>
        <w:rPr>
          <w:rFonts w:hint="eastAsia" w:ascii="仿宋" w:hAnsi="仿宋" w:eastAsia="仿宋"/>
          <w:lang w:eastAsia="zh-CN"/>
        </w:rPr>
        <w:t>供应商通过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【采购实施】-【非招项目跟踪】</w:t>
      </w:r>
      <w:r>
        <w:rPr>
          <w:rFonts w:hint="eastAsia" w:ascii="仿宋" w:hAnsi="仿宋" w:eastAsia="仿宋"/>
          <w:lang w:val="en-US" w:eastAsia="zh-CN"/>
        </w:rPr>
        <w:t>-【我的项目】进入如下所示</w:t>
      </w:r>
      <w:r>
        <w:rPr>
          <w:rFonts w:hint="eastAsia" w:ascii="仿宋" w:hAnsi="仿宋" w:eastAsia="仿宋"/>
        </w:rPr>
        <w:t>：</w:t>
      </w:r>
    </w:p>
    <w:p>
      <w:pPr>
        <w:spacing w:line="360" w:lineRule="auto"/>
      </w:pPr>
      <w:r>
        <w:drawing>
          <wp:inline distT="0" distB="0" distL="114300" distR="114300">
            <wp:extent cx="5257800" cy="2614930"/>
            <wp:effectExtent l="0" t="0" r="0" b="1397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</w:p>
    <w:p>
      <w:pPr>
        <w:spacing w:line="360" w:lineRule="auto"/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供应商点击【邀请回执】，进入邀请回执确认页面，如图所示：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br w:type="textWrapping"/>
      </w:r>
      <w:r>
        <w:rPr>
          <w:rFonts w:hint="eastAsia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8595" cy="2606675"/>
            <wp:effectExtent l="9525" t="9525" r="17780" b="1270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06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lang w:eastAsia="zh-CN"/>
        </w:rPr>
      </w:pPr>
    </w:p>
    <w:p>
      <w:pPr>
        <w:rPr>
          <w:rFonts w:hint="default"/>
          <w:lang w:val="en-US" w:eastAsia="zh-CN"/>
        </w:rPr>
      </w:pP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A：选择是否参加，必填项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B：输入回执电话，必填项</w:t>
      </w:r>
    </w:p>
    <w:p>
      <w:pPr>
        <w:ind w:firstLine="560" w:firstLineChars="200"/>
        <w:rPr>
          <w:rFonts w:hint="eastAsia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C：点击【发送】，邀请回执信息发送至项目经理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6" w:name="_Toc12107"/>
      <w:r>
        <w:rPr>
          <w:rFonts w:hint="eastAsia"/>
          <w:lang w:val="en-US" w:eastAsia="zh-CN"/>
        </w:rPr>
        <w:t>2.1.3购买文件</w:t>
      </w:r>
      <w:bookmarkEnd w:id="6"/>
    </w:p>
    <w:p>
      <w:pPr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供应商/供应商通过点击【采购实施】-【非招项目跟踪】-【我的项目】，进入已经参与的项目查询页面，如图</w:t>
      </w:r>
    </w:p>
    <w:p>
      <w:r>
        <w:drawing>
          <wp:inline distT="0" distB="0" distL="114300" distR="114300">
            <wp:extent cx="5270500" cy="2635250"/>
            <wp:effectExtent l="0" t="0" r="6350" b="12700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A：输入项目名称、编号、标段（包）名称、业主名称查询条件，系统自动筛选查询结果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B：参与状态、项目状态、开标时间为下拉框，可选择不同的值，系统自动筛选对应的的查询结果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C：点击【购买文件】，页面跳转到中国石油招标中心页面，如图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4785" cy="2615565"/>
            <wp:effectExtent l="0" t="0" r="1206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1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D：供应商在招标中心购买文件结束后，点击【获取购标信息】，完成文件购买环节，进入文件下载环节。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E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：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点击【项目工作台】，进入可查看报名项目公告及报名材料等采购准备信息。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57800" cy="2177415"/>
            <wp:effectExtent l="0" t="0" r="0" b="13335"/>
            <wp:docPr id="3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7" w:name="_Toc26740"/>
      <w:r>
        <w:rPr>
          <w:rFonts w:hint="eastAsia"/>
          <w:lang w:val="en-US" w:eastAsia="zh-CN"/>
        </w:rPr>
        <w:t>2.1.4下载文件</w:t>
      </w:r>
      <w:bookmarkEnd w:id="7"/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供应商/供应商通过点击【采购实施】-【非招项目跟踪】-【我的项目】，进入已经参与的项目查询页面。</w:t>
      </w:r>
    </w:p>
    <w:p>
      <w:r>
        <w:drawing>
          <wp:inline distT="0" distB="0" distL="114300" distR="114300">
            <wp:extent cx="5260340" cy="2614930"/>
            <wp:effectExtent l="0" t="0" r="16510" b="13970"/>
            <wp:docPr id="3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A：订单已复核或为文件获取方式为免费下载的项目/标段，显示文件下载按钮，点击【文件下载】下载采购文件。</w:t>
      </w:r>
    </w:p>
    <w:p>
      <w:pPr>
        <w:pStyle w:val="4"/>
        <w:bidi w:val="0"/>
        <w:rPr>
          <w:rFonts w:hint="eastAsia" w:ascii="仿宋" w:hAnsi="仿宋" w:eastAsia="仿宋"/>
          <w:szCs w:val="24"/>
          <w:lang w:val="en-US" w:eastAsia="zh-CN"/>
        </w:rPr>
      </w:pPr>
      <w:bookmarkStart w:id="8" w:name="_Toc14412"/>
      <w:r>
        <w:rPr>
          <w:rFonts w:hint="eastAsia"/>
          <w:lang w:val="en-US" w:eastAsia="zh-CN"/>
        </w:rPr>
        <w:t>2.1.5采购文件澄清</w:t>
      </w:r>
      <w:bookmarkEnd w:id="8"/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供应商/供应商于项目工作台点击【采购文件澄清】，可进入采购文件澄清页面，如图</w:t>
      </w:r>
    </w:p>
    <w:p>
      <w:r>
        <w:drawing>
          <wp:inline distT="0" distB="0" distL="114300" distR="114300">
            <wp:extent cx="5258435" cy="2578735"/>
            <wp:effectExtent l="0" t="0" r="18415" b="12065"/>
            <wp:docPr id="6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4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A：点击【我提出的问题】，显示供应商/供应商向项目经理提出的所有问题。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B：点击【回复/澄清】，显示项目经理对该供应商/供应商提出的澄清或回复的所有问题，如下图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C：点击【提出问题】按钮，进入提出澄清问题页面，如下图所示：</w:t>
      </w:r>
    </w:p>
    <w:p>
      <w:pPr>
        <w:spacing w:line="360" w:lineRule="auto"/>
      </w:pPr>
      <w:r>
        <w:drawing>
          <wp:inline distT="0" distB="0" distL="114300" distR="114300">
            <wp:extent cx="5270500" cy="2750820"/>
            <wp:effectExtent l="0" t="0" r="2540" b="762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A：保存填写的澄清信息，项目经理不可见。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B：提交填写的澄清信息，项目经理可以查看到。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4150" cy="2608580"/>
            <wp:effectExtent l="0" t="0" r="12700" b="1270"/>
            <wp:docPr id="67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4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点击【查看】，显示供应商澄清的内容信息。</w:t>
      </w:r>
    </w:p>
    <w:p>
      <w:pPr>
        <w:spacing w:line="360" w:lineRule="auto"/>
        <w:rPr>
          <w:rFonts w:hint="default"/>
          <w:lang w:val="en-US" w:eastAsia="zh-CN"/>
        </w:rPr>
      </w:pPr>
    </w:p>
    <w:p>
      <w:pPr>
        <w:outlineLvl w:val="2"/>
        <w:rPr>
          <w:rFonts w:hint="default" w:eastAsia="宋体" w:asciiTheme="minorAscii" w:hAnsiTheme="minorAscii" w:cstheme="minorBidi"/>
          <w:b/>
          <w:kern w:val="2"/>
          <w:sz w:val="32"/>
          <w:szCs w:val="22"/>
          <w:lang w:val="en-US" w:eastAsia="zh-CN" w:bidi="ar-SA"/>
        </w:rPr>
      </w:pPr>
      <w:bookmarkStart w:id="9" w:name="_Toc27264"/>
      <w:r>
        <w:rPr>
          <w:rFonts w:hint="eastAsia" w:eastAsia="宋体" w:asciiTheme="minorAscii" w:hAnsiTheme="minorAscii" w:cstheme="minorBidi"/>
          <w:b/>
          <w:kern w:val="2"/>
          <w:sz w:val="32"/>
          <w:szCs w:val="22"/>
          <w:lang w:val="en-US" w:eastAsia="zh-CN" w:bidi="ar-SA"/>
        </w:rPr>
        <w:t>2.1.6</w:t>
      </w:r>
      <w:r>
        <w:rPr>
          <w:rFonts w:hint="eastAsia" w:cstheme="minorBidi"/>
          <w:b/>
          <w:kern w:val="2"/>
          <w:sz w:val="32"/>
          <w:szCs w:val="22"/>
          <w:lang w:val="en-US" w:eastAsia="zh-CN" w:bidi="ar-SA"/>
        </w:rPr>
        <w:t>制作</w:t>
      </w:r>
      <w:r>
        <w:rPr>
          <w:rFonts w:hint="eastAsia" w:eastAsia="宋体" w:asciiTheme="minorAscii" w:hAnsiTheme="minorAscii" w:cstheme="minorBidi"/>
          <w:b/>
          <w:kern w:val="2"/>
          <w:sz w:val="32"/>
          <w:szCs w:val="22"/>
          <w:lang w:val="en-US" w:eastAsia="zh-CN" w:bidi="ar-SA"/>
        </w:rPr>
        <w:t>响应文件</w:t>
      </w:r>
      <w:r>
        <w:rPr>
          <w:rFonts w:hint="eastAsia" w:cstheme="minorBidi"/>
          <w:b/>
          <w:kern w:val="2"/>
          <w:sz w:val="32"/>
          <w:szCs w:val="22"/>
          <w:lang w:val="en-US" w:eastAsia="zh-CN" w:bidi="ar-SA"/>
        </w:rPr>
        <w:t>（客户端）</w:t>
      </w:r>
      <w:bookmarkEnd w:id="9"/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非标文件下载完成后，供应商需在本地对下载的非标文件包进行解压缩并保存至固定位置，使用投标文件客户端制作非标响应文件。</w:t>
      </w:r>
    </w:p>
    <w:p>
      <w:pPr>
        <w:pStyle w:val="5"/>
        <w:bidi w:val="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/>
          <w:lang w:val="en-US" w:eastAsia="zh-CN"/>
        </w:rPr>
        <w:t>2.1.6.1创建响应文件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50" w:firstLine="560" w:firstLineChars="200"/>
        <w:textAlignment w:val="auto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点击【创建投标文件】进入页面，从本地选择下载的文件上传至客户端，点击【创建】按钮进入制作页面</w:t>
      </w:r>
    </w:p>
    <w:p>
      <w:pPr>
        <w:numPr>
          <w:ilvl w:val="0"/>
          <w:numId w:val="0"/>
        </w:numPr>
        <w:spacing w:line="360" w:lineRule="auto"/>
        <w:ind w:leftChars="25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71135" cy="3388995"/>
            <wp:effectExtent l="0" t="0" r="5715" b="190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8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25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6055" cy="3380740"/>
            <wp:effectExtent l="0" t="0" r="10795" b="1016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38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2.1.6.2制作文件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1、填写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【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投标专用表单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】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页面空缺数据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，点击【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确认完成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】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完成填写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3399790"/>
            <wp:effectExtent l="0" t="0" r="5715" b="10160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操作说明：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A：点击【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投标专用表单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】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（根据非标文件内容决定）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，显示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分项报价表具体信息，用户进行空白数据的填写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。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74310" cy="3395980"/>
            <wp:effectExtent l="0" t="0" r="2540" b="13970"/>
            <wp:docPr id="4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B：点击【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确认完成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】，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完成填写后，左侧栏已完成的表单状态显示为绿色√。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2、上传响应文件附件，选中左侧选项，点击【上传】按钮，从本地选择文件后上传。点击【确认完成】按钮完成当前选项文件上传。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3409950"/>
            <wp:effectExtent l="0" t="0" r="3810" b="0"/>
            <wp:docPr id="4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其中主PDF文件上传后，需点击【合并表单数据】进行表单数据合并，再点击【确认完成】。点击【删除】按钮可删除当前文件重新上传，点击【查看】按钮可查看当前文件。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1135" cy="3402330"/>
            <wp:effectExtent l="0" t="0" r="5715" b="7620"/>
            <wp:docPr id="4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0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附件上传选项：若没有需要上传的附件，可以直接点击【确认完成】按钮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71135" cy="3378200"/>
            <wp:effectExtent l="0" t="0" r="5715" b="12700"/>
            <wp:docPr id="4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2.1.6.</w:t>
      </w:r>
      <w:r>
        <w:rPr>
          <w:rFonts w:hint="eastAsia"/>
          <w:lang w:val="en-US" w:eastAsia="zh-CN"/>
        </w:rPr>
        <w:t>3条款关联</w:t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文件制作完成后，供应商点击【条款关联】，为文件条款与文件页面进行条款关联，点击【开启关联】按钮，选中左侧节点，选中右侧相应页面，关联成功后页面左上角会显示“已关联”，全部条款关联完成后，点击【确认完成】完成此环节，如下图所示：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8595" cy="3376930"/>
            <wp:effectExtent l="0" t="0" r="8255" b="13970"/>
            <wp:docPr id="4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2.1.6.</w:t>
      </w:r>
      <w:r>
        <w:rPr>
          <w:rFonts w:hint="eastAsia"/>
          <w:lang w:val="en-US" w:eastAsia="zh-CN"/>
        </w:rPr>
        <w:t>4生成投标文件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条款关联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完成后，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进入生成投标文件页面，点击【生成投标文件】可对制作的相应文件加密并保存至本地，点击【重置密码】也可以对文件密码进行更换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，如下图所示：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7325" cy="3407410"/>
            <wp:effectExtent l="0" t="0" r="9525" b="2540"/>
            <wp:docPr id="5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输入文件加密密码后，点击【确定】按钮完成文件加密。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66055" cy="3399790"/>
            <wp:effectExtent l="0" t="0" r="10795" b="10160"/>
            <wp:docPr id="5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drawing>
          <wp:inline distT="0" distB="0" distL="114300" distR="114300">
            <wp:extent cx="5271135" cy="3410585"/>
            <wp:effectExtent l="0" t="0" r="5715" b="18415"/>
            <wp:docPr id="5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1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utlineLvl w:val="2"/>
        <w:rPr>
          <w:rFonts w:hint="default" w:cstheme="minorBidi"/>
          <w:b/>
          <w:kern w:val="2"/>
          <w:sz w:val="32"/>
          <w:szCs w:val="22"/>
          <w:lang w:val="en-US" w:eastAsia="zh-CN" w:bidi="ar-SA"/>
        </w:rPr>
      </w:pPr>
      <w:bookmarkStart w:id="10" w:name="_Toc29597"/>
      <w:r>
        <w:rPr>
          <w:rFonts w:hint="default" w:eastAsia="宋体" w:asciiTheme="minorAscii" w:hAnsiTheme="minorAscii" w:cstheme="minorBidi"/>
          <w:b/>
          <w:kern w:val="2"/>
          <w:sz w:val="32"/>
          <w:szCs w:val="22"/>
          <w:lang w:val="en-US" w:eastAsia="zh-CN" w:bidi="ar-SA"/>
        </w:rPr>
        <w:t>2.1.</w:t>
      </w:r>
      <w:r>
        <w:rPr>
          <w:rFonts w:hint="eastAsia" w:cstheme="minorBidi"/>
          <w:b/>
          <w:kern w:val="2"/>
          <w:sz w:val="32"/>
          <w:szCs w:val="22"/>
          <w:lang w:val="en-US" w:eastAsia="zh-CN" w:bidi="ar-SA"/>
        </w:rPr>
        <w:t>7递交响应文件</w:t>
      </w:r>
      <w:bookmarkEnd w:id="10"/>
    </w:p>
    <w:p>
      <w:pPr>
        <w:ind w:firstLine="560" w:firstLineChars="200"/>
        <w:rPr>
          <w:rFonts w:hint="default" w:cstheme="minorBidi"/>
          <w:b/>
          <w:kern w:val="2"/>
          <w:sz w:val="32"/>
          <w:szCs w:val="22"/>
          <w:lang w:val="en-US" w:eastAsia="zh-CN" w:bidi="ar-SA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响应文件制作完成后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，供应商点击【采购实施】-【非招项目跟踪】-【我的项目】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-【项目工作台】按钮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，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进入递交相应文件页面，</w:t>
      </w:r>
      <w:r>
        <w:rPr>
          <w:rFonts w:hint="default" w:ascii="仿宋" w:hAnsi="仿宋" w:eastAsia="仿宋"/>
          <w:sz w:val="28"/>
          <w:szCs w:val="24"/>
          <w:lang w:val="en-US" w:eastAsia="zh-CN"/>
        </w:rPr>
        <w:t>即可在系统上递交响应文件，如下图所示：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4150" cy="2614295"/>
            <wp:effectExtent l="0" t="0" r="12700" b="14605"/>
            <wp:docPr id="3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6530" cy="2516505"/>
            <wp:effectExtent l="0" t="0" r="1270" b="17145"/>
            <wp:docPr id="4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操作说明：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A：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点击【上传文件】按钮上传响应文件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B：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点击【保存】按钮保存当前页面数据</w:t>
      </w:r>
    </w:p>
    <w:p>
      <w:pPr>
        <w:ind w:firstLine="560" w:firstLineChars="200"/>
        <w:rPr>
          <w:rFonts w:hint="default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C：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点击【递交响应文件】提示“文件递交成功”。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11" w:name="_Toc10824"/>
      <w:r>
        <w:rPr>
          <w:rFonts w:hint="default"/>
          <w:lang w:val="en-US" w:eastAsia="zh-CN"/>
        </w:rPr>
        <w:t>2.1.</w:t>
      </w:r>
      <w:r>
        <w:rPr>
          <w:rFonts w:hint="eastAsia"/>
          <w:lang w:val="en-US" w:eastAsia="zh-CN"/>
        </w:rPr>
        <w:t>8大厅报价确认</w:t>
      </w:r>
      <w:bookmarkEnd w:id="11"/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2.1.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>1进入大厅</w:t>
      </w:r>
    </w:p>
    <w:p>
      <w:pPr>
        <w:rPr>
          <w:rFonts w:hint="default"/>
          <w:lang w:val="en-US" w:eastAsia="zh-CN"/>
        </w:rPr>
      </w:pP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default" w:ascii="仿宋" w:hAnsi="仿宋" w:eastAsia="仿宋"/>
          <w:sz w:val="28"/>
          <w:szCs w:val="24"/>
          <w:lang w:val="en-US" w:eastAsia="zh-CN"/>
        </w:rPr>
        <w:t>供应商点击【采购实施】-【非招项目跟踪】-【我的项目】-【项目工作台】按钮，进入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大厅页面。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8595" cy="2601595"/>
            <wp:effectExtent l="0" t="0" r="8255" b="8255"/>
            <wp:docPr id="5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3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0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进入页面先选中项目标室，再点击大门进入大厅。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8435" cy="2616835"/>
            <wp:effectExtent l="0" t="0" r="18415" b="12065"/>
            <wp:docPr id="5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2.1.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>2文件解密</w:t>
      </w:r>
    </w:p>
    <w:p>
      <w:pPr>
        <w:rPr>
          <w:rFonts w:hint="default"/>
          <w:lang w:val="en-US" w:eastAsia="zh-CN"/>
        </w:rPr>
      </w:pP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供应商进入大厅即为签到成功。项目经理开标后供应商点击【请解密】按钮对加密的响应文件进行解密，如下图所示：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4310" cy="2614930"/>
            <wp:effectExtent l="0" t="0" r="2540" b="13970"/>
            <wp:docPr id="59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3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填入密码，点击【确定】完成解密。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3515" cy="2619375"/>
            <wp:effectExtent l="0" t="0" r="13335" b="9525"/>
            <wp:docPr id="6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2.1.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>3供应商签名确认报价</w:t>
      </w:r>
    </w:p>
    <w:p>
      <w:pPr>
        <w:rPr>
          <w:rFonts w:hint="default"/>
          <w:lang w:val="en-US" w:eastAsia="zh-CN"/>
        </w:rPr>
      </w:pP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项目经理发送开标记录表后，供应商点击【请签名】按钮进行签名，如下图所示：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6690" cy="2647315"/>
            <wp:effectExtent l="0" t="0" r="10160" b="635"/>
            <wp:docPr id="61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选中【已确认评标过程联系人及号码无误】，点击【确定】按钮完成报价确认。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3094355"/>
            <wp:effectExtent l="0" t="0" r="3810" b="10795"/>
            <wp:docPr id="6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12" w:name="_Toc15541"/>
      <w:r>
        <w:rPr>
          <w:rFonts w:hint="eastAsia"/>
          <w:lang w:val="en-US" w:eastAsia="zh-CN"/>
        </w:rPr>
        <w:t>2.1.9报价</w:t>
      </w:r>
      <w:bookmarkEnd w:id="12"/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2.1.9.1网上报价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供应商点击项目工作台的【报价】按钮，进入报价页面，如下图所示：</w:t>
      </w:r>
    </w:p>
    <w:p>
      <w:pPr>
        <w:spacing w:line="360" w:lineRule="auto"/>
      </w:pPr>
      <w:r>
        <w:drawing>
          <wp:inline distT="0" distB="0" distL="114300" distR="114300">
            <wp:extent cx="5268595" cy="2540635"/>
            <wp:effectExtent l="0" t="0" r="8255" b="12065"/>
            <wp:docPr id="63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4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2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b/>
          <w:sz w:val="28"/>
          <w:szCs w:val="24"/>
          <w:lang w:val="en-US" w:eastAsia="zh-CN"/>
        </w:rPr>
        <w:t>操作说明</w:t>
      </w:r>
      <w:r>
        <w:rPr>
          <w:rFonts w:hint="eastAsia" w:ascii="仿宋" w:hAnsi="仿宋" w:eastAsia="仿宋"/>
          <w:sz w:val="28"/>
          <w:szCs w:val="24"/>
          <w:lang w:val="en-US" w:eastAsia="zh-CN"/>
        </w:rPr>
        <w:t>：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A：显示报价截止时间及倒计时，供应商必须在这个时间内完成报价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B：输入报价列，必填项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C：点击【保存】，保存已维护的页面信息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D：点击【提交报价】，报价提交至项目经理</w:t>
      </w:r>
    </w:p>
    <w:p>
      <w:pPr>
        <w:ind w:firstLine="560" w:firstLineChars="200"/>
        <w:rPr>
          <w:rFonts w:hint="default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E:另一种维护报价的方式，点击【导入明细】按钮，下载报价模板，填写报价信息后再导入进来，页面会自动显示导入的报价信息;点击【在线编辑】，进入在线编辑器编辑保存后，页面自动显示编辑的报价信息。</w:t>
      </w:r>
    </w:p>
    <w:p>
      <w:pPr>
        <w:spacing w:line="360" w:lineRule="auto"/>
        <w:ind w:left="120" w:leftChars="50" w:firstLine="480" w:firstLineChars="200"/>
        <w:rPr>
          <w:rFonts w:hint="eastAsia" w:ascii="仿宋" w:hAnsi="仿宋" w:eastAsia="仿宋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2.1.9.2撤回报价</w:t>
      </w:r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网上报价后，供应商可根据需要撤回报价，点击【撤回报价】按钮，即可撤回提交的报价信息，如下图所示：</w:t>
      </w:r>
    </w:p>
    <w:p>
      <w:pPr>
        <w:spacing w:line="360" w:lineRule="auto"/>
        <w:ind w:left="120" w:leftChars="50" w:firstLine="480" w:firstLineChars="200"/>
        <w:rPr>
          <w:rFonts w:hint="eastAsia" w:ascii="仿宋" w:hAnsi="仿宋" w:eastAsia="仿宋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3515" cy="2614930"/>
            <wp:effectExtent l="0" t="0" r="13335" b="13970"/>
            <wp:docPr id="64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4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1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13" w:name="_Toc7376"/>
      <w:r>
        <w:rPr>
          <w:rFonts w:hint="eastAsia"/>
          <w:lang w:val="en-US" w:eastAsia="zh-CN"/>
        </w:rPr>
        <w:t>2.1.10成交通知书查看</w:t>
      </w:r>
      <w:bookmarkEnd w:id="13"/>
    </w:p>
    <w:p>
      <w:pPr>
        <w:ind w:firstLine="560" w:firstLineChars="200"/>
        <w:rPr>
          <w:rFonts w:hint="eastAsia" w:ascii="仿宋" w:hAnsi="仿宋" w:eastAsia="仿宋"/>
          <w:sz w:val="28"/>
          <w:szCs w:val="24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供应商点击项目工作台的【成交通知书查看】按钮进入查看成交结果通知书页面,可下载：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4310" cy="2620645"/>
            <wp:effectExtent l="0" t="0" r="2540" b="8255"/>
            <wp:docPr id="6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4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20" w:leftChars="50" w:firstLine="480" w:firstLineChars="200"/>
        <w:rPr>
          <w:rFonts w:ascii="仿宋" w:hAnsi="仿宋" w:eastAsia="仿宋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4" w:name="_Toc17991"/>
      <w:r>
        <w:rPr>
          <w:rFonts w:hint="eastAsia"/>
          <w:lang w:val="en-US" w:eastAsia="zh-CN"/>
        </w:rPr>
        <w:t>2.2竞争性磋商</w:t>
      </w:r>
      <w:bookmarkEnd w:id="14"/>
    </w:p>
    <w:p>
      <w:pPr>
        <w:pStyle w:val="4"/>
        <w:bidi w:val="0"/>
        <w:rPr>
          <w:rFonts w:hint="eastAsia"/>
          <w:lang w:val="en-US" w:eastAsia="zh-CN"/>
        </w:rPr>
      </w:pPr>
      <w:bookmarkStart w:id="15" w:name="_Toc31934"/>
      <w:r>
        <w:rPr>
          <w:rFonts w:hint="eastAsia"/>
          <w:lang w:val="en-US" w:eastAsia="zh-CN"/>
        </w:rPr>
        <w:t>2.2.1报名及邀请回执</w:t>
      </w:r>
      <w:bookmarkEnd w:id="15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竞争性磋商项目的报名和竞谈项目一样，见</w:t>
      </w:r>
      <w:r>
        <w:rPr>
          <w:rFonts w:hint="eastAsia"/>
          <w:color w:val="0000FF"/>
          <w:u w:val="single"/>
          <w:lang w:val="en-US" w:eastAsia="zh-CN"/>
        </w:rPr>
        <w:t>2.1.1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竞争性磋商项目的邀请回执和竞谈项目一样，见</w:t>
      </w:r>
      <w:r>
        <w:rPr>
          <w:rFonts w:hint="eastAsia"/>
          <w:color w:val="0000FF"/>
          <w:u w:val="single"/>
          <w:lang w:val="en-US" w:eastAsia="zh-CN"/>
        </w:rPr>
        <w:t>2.1.2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default"/>
          <w:lang w:val="en-US" w:eastAsia="zh-CN"/>
        </w:rPr>
      </w:pPr>
      <w:bookmarkStart w:id="16" w:name="_Toc20531"/>
      <w:r>
        <w:rPr>
          <w:rFonts w:hint="eastAsia"/>
          <w:lang w:val="en-US" w:eastAsia="zh-CN"/>
        </w:rPr>
        <w:t>2.2.2购买文件</w:t>
      </w:r>
      <w:bookmarkEnd w:id="16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竞争性磋商项目的购标和竞谈项目一样，见</w:t>
      </w:r>
      <w:r>
        <w:rPr>
          <w:rFonts w:hint="eastAsia"/>
          <w:color w:val="0000FF"/>
          <w:u w:val="single"/>
          <w:lang w:val="en-US" w:eastAsia="zh-CN"/>
        </w:rPr>
        <w:t>2.1.3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竞争性磋商项目的下载文件和竞谈项目一样，见</w:t>
      </w:r>
      <w:r>
        <w:rPr>
          <w:rFonts w:hint="eastAsia"/>
          <w:color w:val="0000FF"/>
          <w:u w:val="single"/>
          <w:lang w:val="en-US" w:eastAsia="zh-CN"/>
        </w:rPr>
        <w:t>2.1.4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采购文件澄清和竞谈项目一样，见</w:t>
      </w:r>
      <w:r>
        <w:rPr>
          <w:rFonts w:hint="eastAsia"/>
          <w:color w:val="0000FF"/>
          <w:u w:val="single"/>
          <w:lang w:val="en-US" w:eastAsia="zh-CN"/>
        </w:rPr>
        <w:t>2.1.5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17" w:name="_Toc762"/>
      <w:r>
        <w:rPr>
          <w:rFonts w:hint="eastAsia"/>
          <w:lang w:val="en-US" w:eastAsia="zh-CN"/>
        </w:rPr>
        <w:t>2.2.3报价</w:t>
      </w:r>
      <w:bookmarkEnd w:id="17"/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2.2.3.1网上报价</w:t>
      </w:r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竞争性磋商项目网上报价与竞争性谈判的网上报价操作一样，见</w:t>
      </w:r>
      <w:r>
        <w:rPr>
          <w:rFonts w:hint="eastAsia"/>
          <w:color w:val="0000FF"/>
          <w:u w:val="single"/>
          <w:lang w:val="en-US" w:eastAsia="zh-CN"/>
        </w:rPr>
        <w:t>2.1.9.1</w:t>
      </w:r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2.2.3.2撤回报价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FF0000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竞争性磋商撤回报价与竞争性谈判撤回报价操作一样，见</w:t>
      </w:r>
      <w:r>
        <w:rPr>
          <w:rFonts w:hint="eastAsia"/>
          <w:color w:val="0000FF"/>
          <w:u w:val="single"/>
          <w:lang w:val="en-US" w:eastAsia="zh-CN"/>
        </w:rPr>
        <w:t>2.1.9.2</w:t>
      </w:r>
      <w:r>
        <w:rPr>
          <w:rFonts w:hint="eastAsia" w:ascii="仿宋" w:hAnsi="仿宋" w:eastAsia="仿宋"/>
          <w:color w:val="FF0000"/>
        </w:rPr>
        <w:t>。</w:t>
      </w: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18" w:name="_Toc28193"/>
      <w:r>
        <w:rPr>
          <w:rFonts w:hint="eastAsia"/>
          <w:lang w:val="en-US" w:eastAsia="zh-CN"/>
        </w:rPr>
        <w:t>2.2.4成交通知书查看</w:t>
      </w:r>
      <w:bookmarkEnd w:id="18"/>
    </w:p>
    <w:p>
      <w:pPr>
        <w:spacing w:line="360" w:lineRule="auto"/>
        <w:ind w:left="120" w:leftChars="50" w:firstLine="560" w:firstLineChars="200"/>
        <w:rPr>
          <w:rFonts w:hint="default" w:ascii="仿宋" w:hAnsi="仿宋" w:eastAsia="仿宋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供应商点击项目工作台的【成交通知书查看】按钮进入查看成交结果通知书页面，页面同竞谈项目的</w:t>
      </w:r>
      <w:r>
        <w:rPr>
          <w:rFonts w:hint="eastAsia"/>
          <w:color w:val="0000FF"/>
          <w:u w:val="single"/>
          <w:lang w:val="en-US" w:eastAsia="zh-CN"/>
        </w:rPr>
        <w:t>2.1.10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9" w:name="_Toc16739"/>
      <w:r>
        <w:rPr>
          <w:rFonts w:hint="eastAsia"/>
          <w:lang w:val="en-US" w:eastAsia="zh-CN"/>
        </w:rPr>
        <w:t>2.3询比价</w:t>
      </w:r>
      <w:bookmarkEnd w:id="19"/>
    </w:p>
    <w:p>
      <w:pPr>
        <w:pStyle w:val="4"/>
        <w:bidi w:val="0"/>
        <w:rPr>
          <w:rFonts w:hint="eastAsia"/>
          <w:lang w:val="en-US" w:eastAsia="zh-CN"/>
        </w:rPr>
      </w:pPr>
      <w:bookmarkStart w:id="20" w:name="_Toc27627"/>
      <w:r>
        <w:rPr>
          <w:rFonts w:hint="eastAsia"/>
          <w:lang w:val="en-US" w:eastAsia="zh-CN"/>
        </w:rPr>
        <w:t>2.3.1报名及邀请回执</w:t>
      </w:r>
      <w:bookmarkEnd w:id="20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询比价项目的报名和竞谈项目一样，见</w:t>
      </w:r>
      <w:r>
        <w:rPr>
          <w:rFonts w:hint="eastAsia"/>
          <w:color w:val="0000FF"/>
          <w:u w:val="single"/>
          <w:lang w:val="en-US" w:eastAsia="zh-CN"/>
        </w:rPr>
        <w:t>2.1.1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询比价项目的邀请回执和竞谈项目一样，见</w:t>
      </w:r>
      <w:r>
        <w:rPr>
          <w:rFonts w:hint="eastAsia"/>
          <w:color w:val="0000FF"/>
          <w:u w:val="single"/>
          <w:lang w:val="en-US" w:eastAsia="zh-CN"/>
        </w:rPr>
        <w:t>2.1.2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1" w:name="_Toc6167"/>
      <w:r>
        <w:rPr>
          <w:rFonts w:hint="eastAsia"/>
          <w:lang w:val="en-US" w:eastAsia="zh-CN"/>
        </w:rPr>
        <w:t>2.3.2购买文件</w:t>
      </w:r>
      <w:bookmarkEnd w:id="21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询比价项目的购标和竞谈项目一样，见</w:t>
      </w:r>
      <w:r>
        <w:rPr>
          <w:rFonts w:hint="eastAsia"/>
          <w:color w:val="0000FF"/>
          <w:u w:val="single"/>
          <w:lang w:val="en-US" w:eastAsia="zh-CN"/>
        </w:rPr>
        <w:t>2.1.3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询比价项目的下载文件和竞谈项目一样，见</w:t>
      </w:r>
      <w:r>
        <w:rPr>
          <w:rFonts w:hint="eastAsia"/>
          <w:color w:val="0000FF"/>
          <w:u w:val="single"/>
          <w:lang w:val="en-US" w:eastAsia="zh-CN"/>
        </w:rPr>
        <w:t>2.1.4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采购文件澄清和竞谈项目一样，见</w:t>
      </w:r>
      <w:r>
        <w:rPr>
          <w:rFonts w:hint="eastAsia"/>
          <w:color w:val="0000FF"/>
          <w:u w:val="single"/>
          <w:lang w:val="en-US" w:eastAsia="zh-CN"/>
        </w:rPr>
        <w:t>2.1.5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2" w:name="_Toc1590"/>
      <w:r>
        <w:rPr>
          <w:rFonts w:hint="eastAsia"/>
          <w:lang w:val="en-US" w:eastAsia="zh-CN"/>
        </w:rPr>
        <w:t>2.3.3报价</w:t>
      </w:r>
      <w:bookmarkEnd w:id="22"/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2.3.3.1网上报价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询比价项目网上报价与竞争性谈判网上报价操作一样，见</w:t>
      </w:r>
      <w:r>
        <w:rPr>
          <w:rFonts w:hint="eastAsia"/>
          <w:color w:val="0000FF"/>
          <w:u w:val="single"/>
          <w:lang w:val="en-US" w:eastAsia="zh-CN"/>
        </w:rPr>
        <w:t>2.1.9.1</w:t>
      </w:r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2.3.3.2撤回报价</w:t>
      </w:r>
    </w:p>
    <w:p>
      <w:pPr>
        <w:rPr>
          <w:rFonts w:hint="eastAsia"/>
          <w:lang w:val="en-US" w:eastAsia="zh-CN"/>
        </w:rPr>
      </w:pP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FF0000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询比价撤回报价与竞争性谈判撤回报价操作一样，见</w:t>
      </w:r>
      <w:r>
        <w:rPr>
          <w:rFonts w:hint="eastAsia"/>
          <w:color w:val="0000FF"/>
          <w:u w:val="single"/>
          <w:lang w:val="en-US" w:eastAsia="zh-CN"/>
        </w:rPr>
        <w:t>2.1.9.2</w:t>
      </w:r>
      <w:r>
        <w:rPr>
          <w:rFonts w:hint="eastAsia" w:ascii="仿宋" w:hAnsi="仿宋" w:eastAsia="仿宋"/>
          <w:color w:val="FF0000"/>
        </w:rPr>
        <w:t>。</w:t>
      </w: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3" w:name="_Toc16933"/>
      <w:r>
        <w:rPr>
          <w:rFonts w:hint="eastAsia"/>
          <w:lang w:val="en-US" w:eastAsia="zh-CN"/>
        </w:rPr>
        <w:t>2.3.4成交通知书查看</w:t>
      </w:r>
      <w:bookmarkEnd w:id="23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供应商点击项目工作台的【成交通知书查看】按钮进入查看成交结果通知书页面，页面同竞谈项目的</w:t>
      </w:r>
      <w:r>
        <w:rPr>
          <w:rFonts w:hint="eastAsia"/>
          <w:color w:val="0000FF"/>
          <w:u w:val="single"/>
          <w:lang w:val="en-US" w:eastAsia="zh-CN"/>
        </w:rPr>
        <w:t>2.1.10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4" w:name="_Toc8423"/>
      <w:r>
        <w:rPr>
          <w:rFonts w:hint="eastAsia"/>
          <w:lang w:val="en-US" w:eastAsia="zh-CN"/>
        </w:rPr>
        <w:t>2.4竞价</w:t>
      </w:r>
      <w:bookmarkEnd w:id="24"/>
    </w:p>
    <w:p>
      <w:pPr>
        <w:pStyle w:val="4"/>
        <w:bidi w:val="0"/>
        <w:rPr>
          <w:rFonts w:hint="eastAsia"/>
          <w:lang w:val="en-US" w:eastAsia="zh-CN"/>
        </w:rPr>
      </w:pPr>
      <w:bookmarkStart w:id="25" w:name="_Toc7327"/>
      <w:r>
        <w:rPr>
          <w:rFonts w:hint="eastAsia"/>
          <w:lang w:val="en-US" w:eastAsia="zh-CN"/>
        </w:rPr>
        <w:t>2.4.1报名及邀请回执</w:t>
      </w:r>
      <w:bookmarkEnd w:id="25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竞价项目的报名和竞谈项目一样，见</w:t>
      </w:r>
      <w:r>
        <w:rPr>
          <w:rFonts w:hint="eastAsia"/>
          <w:color w:val="0000FF"/>
          <w:u w:val="single"/>
          <w:lang w:val="en-US" w:eastAsia="zh-CN"/>
        </w:rPr>
        <w:t>2.1.1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竞价项目的邀请回执和竞谈项目一样，见</w:t>
      </w:r>
      <w:r>
        <w:rPr>
          <w:rFonts w:hint="eastAsia"/>
          <w:color w:val="0000FF"/>
          <w:u w:val="single"/>
          <w:lang w:val="en-US" w:eastAsia="zh-CN"/>
        </w:rPr>
        <w:t>2.1.2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6" w:name="_Toc12906"/>
      <w:r>
        <w:rPr>
          <w:rFonts w:hint="eastAsia"/>
          <w:lang w:val="en-US" w:eastAsia="zh-CN"/>
        </w:rPr>
        <w:t>2.4.2购买文件</w:t>
      </w:r>
      <w:bookmarkEnd w:id="26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竞价项目的购标和竞谈项目一样，见</w:t>
      </w:r>
      <w:r>
        <w:rPr>
          <w:rFonts w:hint="eastAsia"/>
          <w:color w:val="0000FF"/>
          <w:u w:val="single"/>
          <w:lang w:val="en-US" w:eastAsia="zh-CN"/>
        </w:rPr>
        <w:t>2.1.3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竞价项目的下载文件和竞谈项目一样，见</w:t>
      </w:r>
      <w:r>
        <w:rPr>
          <w:rFonts w:hint="eastAsia"/>
          <w:color w:val="0000FF"/>
          <w:u w:val="single"/>
          <w:lang w:val="en-US" w:eastAsia="zh-CN"/>
        </w:rPr>
        <w:t>2.1.4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采购文件澄清和竞谈项目一样，见</w:t>
      </w:r>
      <w:r>
        <w:rPr>
          <w:rFonts w:hint="eastAsia"/>
          <w:color w:val="0000FF"/>
          <w:u w:val="single"/>
          <w:lang w:val="en-US" w:eastAsia="zh-CN"/>
        </w:rPr>
        <w:t>2.1.5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7" w:name="_Toc9061"/>
      <w:r>
        <w:rPr>
          <w:rFonts w:hint="eastAsia"/>
          <w:lang w:val="en-US" w:eastAsia="zh-CN"/>
        </w:rPr>
        <w:t>2.4.3报价</w:t>
      </w:r>
      <w:bookmarkEnd w:id="27"/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2.4.3.1网上报价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竞价项目网上报价与竞争性谈判网上报价操作一样，见</w:t>
      </w:r>
      <w:r>
        <w:rPr>
          <w:rFonts w:hint="eastAsia"/>
          <w:color w:val="0000FF"/>
          <w:u w:val="single"/>
          <w:lang w:val="en-US" w:eastAsia="zh-CN"/>
        </w:rPr>
        <w:t>2.1.9.1</w:t>
      </w:r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2.4.3.2撤回报价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FF0000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竞价撤回报价与竞争性谈判撤回报价操作一样，见</w:t>
      </w:r>
      <w:r>
        <w:rPr>
          <w:rFonts w:hint="eastAsia"/>
          <w:color w:val="0000FF"/>
          <w:u w:val="single"/>
          <w:lang w:val="en-US" w:eastAsia="zh-CN"/>
        </w:rPr>
        <w:t>2.1.9.2</w:t>
      </w:r>
      <w:r>
        <w:rPr>
          <w:rFonts w:hint="eastAsia" w:ascii="仿宋" w:hAnsi="仿宋" w:eastAsia="仿宋"/>
          <w:color w:val="FF0000"/>
        </w:rPr>
        <w:t>。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8" w:name="_Toc4562"/>
      <w:r>
        <w:rPr>
          <w:rFonts w:hint="eastAsia"/>
          <w:lang w:val="en-US" w:eastAsia="zh-CN"/>
        </w:rPr>
        <w:t>2.4.4成交通知书查看</w:t>
      </w:r>
      <w:bookmarkEnd w:id="28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供应商点击项目工作台的【成交通知书查看】按钮进入查看成交结果通知书页面，页面同竞谈项目的</w:t>
      </w:r>
      <w:r>
        <w:rPr>
          <w:rFonts w:hint="eastAsia"/>
          <w:color w:val="0000FF"/>
          <w:u w:val="single"/>
          <w:lang w:val="en-US" w:eastAsia="zh-CN"/>
        </w:rPr>
        <w:t>2.1.10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9" w:name="_Toc14625"/>
      <w:r>
        <w:rPr>
          <w:rFonts w:hint="eastAsia"/>
          <w:lang w:val="en-US" w:eastAsia="zh-CN"/>
        </w:rPr>
        <w:t>2.5单一来源</w:t>
      </w:r>
      <w:bookmarkEnd w:id="29"/>
    </w:p>
    <w:p>
      <w:pPr>
        <w:pStyle w:val="4"/>
        <w:bidi w:val="0"/>
        <w:rPr>
          <w:rFonts w:hint="eastAsia"/>
          <w:lang w:val="en-US" w:eastAsia="zh-CN"/>
        </w:rPr>
      </w:pPr>
      <w:bookmarkStart w:id="30" w:name="_Toc1888"/>
      <w:r>
        <w:rPr>
          <w:rFonts w:hint="eastAsia"/>
          <w:lang w:val="en-US" w:eastAsia="zh-CN"/>
        </w:rPr>
        <w:t>2.5.1邀请回执</w:t>
      </w:r>
      <w:bookmarkEnd w:id="30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单一来源项目的邀请回执和竞谈项目一样，见</w:t>
      </w:r>
      <w:r>
        <w:rPr>
          <w:rFonts w:hint="eastAsia"/>
          <w:color w:val="0000FF"/>
          <w:u w:val="single"/>
          <w:lang w:val="en-US" w:eastAsia="zh-CN"/>
        </w:rPr>
        <w:t>2.1.2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31" w:name="_Toc15437"/>
      <w:r>
        <w:rPr>
          <w:rFonts w:hint="eastAsia"/>
          <w:lang w:val="en-US" w:eastAsia="zh-CN"/>
        </w:rPr>
        <w:t>2.5.2购买文件</w:t>
      </w:r>
      <w:bookmarkEnd w:id="31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单一来源项目的购标和竞谈项目一样，见</w:t>
      </w:r>
      <w:r>
        <w:rPr>
          <w:rFonts w:hint="eastAsia"/>
          <w:color w:val="0000FF"/>
          <w:u w:val="single"/>
          <w:lang w:val="en-US" w:eastAsia="zh-CN"/>
        </w:rPr>
        <w:t>2.1.3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单一来源项目的下载文件和竞谈项目一样，见</w:t>
      </w:r>
      <w:r>
        <w:rPr>
          <w:rFonts w:hint="eastAsia"/>
          <w:color w:val="0000FF"/>
          <w:u w:val="single"/>
          <w:lang w:val="en-US" w:eastAsia="zh-CN"/>
        </w:rPr>
        <w:t>2.1.4</w:t>
      </w:r>
      <w:r>
        <w:rPr>
          <w:rFonts w:hint="eastAsia" w:ascii="仿宋" w:hAnsi="仿宋" w:eastAsia="仿宋"/>
        </w:rPr>
        <w:t>。</w:t>
      </w:r>
    </w:p>
    <w:p>
      <w:pPr>
        <w:spacing w:line="360" w:lineRule="auto"/>
        <w:ind w:left="120" w:leftChars="50" w:firstLine="560" w:firstLineChars="200"/>
        <w:rPr>
          <w:rFonts w:hint="eastAsia"/>
          <w:lang w:val="en-US" w:eastAsia="zh-CN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采购文件澄清和竞谈项目一样，见</w:t>
      </w:r>
      <w:r>
        <w:rPr>
          <w:rFonts w:hint="eastAsia"/>
          <w:color w:val="0000FF"/>
          <w:u w:val="single"/>
          <w:lang w:val="en-US" w:eastAsia="zh-CN"/>
        </w:rPr>
        <w:t>2.1.5</w:t>
      </w:r>
      <w:r>
        <w:rPr>
          <w:rFonts w:hint="eastAsia" w:ascii="仿宋" w:hAnsi="仿宋" w:eastAsia="仿宋"/>
        </w:rPr>
        <w:t>。</w:t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32" w:name="_Toc14844"/>
      <w:r>
        <w:rPr>
          <w:rFonts w:hint="eastAsia"/>
          <w:lang w:val="en-US" w:eastAsia="zh-CN"/>
        </w:rPr>
        <w:t>2.5.3报价</w:t>
      </w:r>
      <w:bookmarkEnd w:id="32"/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2.5.3.1网上报价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单一来源项目网上报价与竞争性谈判报价操作一样，见</w:t>
      </w:r>
      <w:r>
        <w:rPr>
          <w:rFonts w:hint="eastAsia"/>
          <w:color w:val="0000FF"/>
          <w:u w:val="single"/>
          <w:lang w:val="en-US" w:eastAsia="zh-CN"/>
        </w:rPr>
        <w:t>2.1.9.1</w:t>
      </w:r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2.5.3.2撤回报价</w:t>
      </w:r>
    </w:p>
    <w:p>
      <w:pPr>
        <w:spacing w:line="360" w:lineRule="auto"/>
        <w:ind w:left="120" w:leftChars="50" w:firstLine="560" w:firstLineChars="200"/>
        <w:rPr>
          <w:rFonts w:ascii="仿宋" w:hAnsi="仿宋" w:eastAsia="仿宋"/>
          <w:color w:val="FF0000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单一来源撤回报价与竞争性谈判撤回报价操作一样，见</w:t>
      </w:r>
      <w:r>
        <w:rPr>
          <w:rFonts w:hint="eastAsia"/>
          <w:color w:val="0000FF"/>
          <w:u w:val="single"/>
          <w:lang w:val="en-US" w:eastAsia="zh-CN"/>
        </w:rPr>
        <w:t>2.1.9.2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33" w:name="_Toc14648"/>
      <w:r>
        <w:rPr>
          <w:rFonts w:hint="eastAsia"/>
          <w:lang w:val="en-US" w:eastAsia="zh-CN"/>
        </w:rPr>
        <w:t>2.5.4成交通知书查看</w:t>
      </w:r>
      <w:bookmarkEnd w:id="33"/>
    </w:p>
    <w:p>
      <w:pPr>
        <w:spacing w:line="360" w:lineRule="auto"/>
        <w:ind w:left="120" w:leftChars="50" w:firstLine="560" w:firstLineChars="200"/>
        <w:rPr>
          <w:rFonts w:ascii="仿宋" w:hAnsi="仿宋" w:eastAsia="仿宋"/>
        </w:rPr>
      </w:pPr>
      <w:r>
        <w:rPr>
          <w:rFonts w:hint="eastAsia" w:ascii="仿宋" w:hAnsi="仿宋" w:eastAsia="仿宋"/>
          <w:sz w:val="28"/>
          <w:szCs w:val="24"/>
          <w:lang w:val="en-US" w:eastAsia="zh-CN"/>
        </w:rPr>
        <w:t>供应商点击项目工作台的【成交通知书查看】按钮进入查看成交结果通知书页面，页面同竞谈项目的</w:t>
      </w:r>
      <w:r>
        <w:rPr>
          <w:rFonts w:hint="eastAsia"/>
          <w:color w:val="0000FF"/>
          <w:u w:val="single"/>
          <w:lang w:val="en-US" w:eastAsia="zh-CN"/>
        </w:rPr>
        <w:t>2.1.10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4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4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29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EptGXY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4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29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5C59C1"/>
    <w:multiLevelType w:val="multilevel"/>
    <w:tmpl w:val="435C59C1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decimal"/>
      <w:isLgl/>
      <w:lvlText w:val="%1.%2"/>
      <w:lvlJc w:val="left"/>
      <w:pPr>
        <w:ind w:left="460" w:hanging="460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RiYzFhODM1ZGUzN2UyNzI5YzMyNzhmMzExYjYxOTAifQ=="/>
  </w:docVars>
  <w:rsids>
    <w:rsidRoot w:val="00000000"/>
    <w:rsid w:val="006060EE"/>
    <w:rsid w:val="03162098"/>
    <w:rsid w:val="056E319F"/>
    <w:rsid w:val="05C85ADE"/>
    <w:rsid w:val="080E79C3"/>
    <w:rsid w:val="0C48322B"/>
    <w:rsid w:val="0FDC3C43"/>
    <w:rsid w:val="116F7F28"/>
    <w:rsid w:val="11834D8A"/>
    <w:rsid w:val="12DE6340"/>
    <w:rsid w:val="12F42131"/>
    <w:rsid w:val="137905B6"/>
    <w:rsid w:val="15C2651E"/>
    <w:rsid w:val="16A9607D"/>
    <w:rsid w:val="16EB25A7"/>
    <w:rsid w:val="17915A4D"/>
    <w:rsid w:val="19CE07A7"/>
    <w:rsid w:val="1D772750"/>
    <w:rsid w:val="1DEF7606"/>
    <w:rsid w:val="1FE32637"/>
    <w:rsid w:val="20686C5A"/>
    <w:rsid w:val="20F901DA"/>
    <w:rsid w:val="235B3B0A"/>
    <w:rsid w:val="264D0ACF"/>
    <w:rsid w:val="276374A6"/>
    <w:rsid w:val="28807128"/>
    <w:rsid w:val="28996F99"/>
    <w:rsid w:val="28AA2B22"/>
    <w:rsid w:val="28EF584A"/>
    <w:rsid w:val="29B824CD"/>
    <w:rsid w:val="2CC65456"/>
    <w:rsid w:val="305943A6"/>
    <w:rsid w:val="306D40D0"/>
    <w:rsid w:val="32D21A22"/>
    <w:rsid w:val="33814172"/>
    <w:rsid w:val="33DA1746"/>
    <w:rsid w:val="3595371A"/>
    <w:rsid w:val="359A59AD"/>
    <w:rsid w:val="36634A2E"/>
    <w:rsid w:val="36FE2918"/>
    <w:rsid w:val="379E46EB"/>
    <w:rsid w:val="388D7228"/>
    <w:rsid w:val="395B1A00"/>
    <w:rsid w:val="3AAD7946"/>
    <w:rsid w:val="3B8223E2"/>
    <w:rsid w:val="3C7875E3"/>
    <w:rsid w:val="3CCF30D1"/>
    <w:rsid w:val="3CF9609A"/>
    <w:rsid w:val="3D510864"/>
    <w:rsid w:val="3EE649FA"/>
    <w:rsid w:val="400E084B"/>
    <w:rsid w:val="4127729C"/>
    <w:rsid w:val="42114068"/>
    <w:rsid w:val="42BD4CE5"/>
    <w:rsid w:val="42E93F77"/>
    <w:rsid w:val="472807C5"/>
    <w:rsid w:val="477C12C3"/>
    <w:rsid w:val="48507097"/>
    <w:rsid w:val="4A20699B"/>
    <w:rsid w:val="4C600CA0"/>
    <w:rsid w:val="4C803B22"/>
    <w:rsid w:val="4F435A37"/>
    <w:rsid w:val="539216AB"/>
    <w:rsid w:val="552A6572"/>
    <w:rsid w:val="55EE183E"/>
    <w:rsid w:val="57771096"/>
    <w:rsid w:val="58ED7BDB"/>
    <w:rsid w:val="597B1A35"/>
    <w:rsid w:val="5A637309"/>
    <w:rsid w:val="5CB94419"/>
    <w:rsid w:val="60D474E7"/>
    <w:rsid w:val="63175414"/>
    <w:rsid w:val="64B4491D"/>
    <w:rsid w:val="65905173"/>
    <w:rsid w:val="65B838F7"/>
    <w:rsid w:val="68F87312"/>
    <w:rsid w:val="6C033199"/>
    <w:rsid w:val="6E993AB6"/>
    <w:rsid w:val="6ED35F4E"/>
    <w:rsid w:val="6EDC7925"/>
    <w:rsid w:val="717E2995"/>
    <w:rsid w:val="74135DCA"/>
    <w:rsid w:val="75836871"/>
    <w:rsid w:val="75CD6B01"/>
    <w:rsid w:val="77C86AA2"/>
    <w:rsid w:val="790A4B56"/>
    <w:rsid w:val="79D8444A"/>
    <w:rsid w:val="7A400A83"/>
    <w:rsid w:val="7B0277DC"/>
    <w:rsid w:val="7B1726B4"/>
    <w:rsid w:val="7B880D01"/>
    <w:rsid w:val="7BD54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qFormat="1"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spacing w:before="340" w:after="330" w:line="578" w:lineRule="auto"/>
      <w:outlineLvl w:val="0"/>
    </w:pPr>
    <w:rPr>
      <w:rFonts w:ascii="Arial" w:hAnsi="Arial" w:eastAsiaTheme="minorEastAsia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a heading"/>
    <w:basedOn w:val="1"/>
    <w:next w:val="1"/>
    <w:qFormat/>
    <w:uiPriority w:val="0"/>
    <w:pPr>
      <w:spacing w:before="120" w:beforeLines="0" w:beforeAutospacing="0"/>
    </w:pPr>
    <w:rPr>
      <w:rFonts w:ascii="Arial" w:hAnsi="Arial"/>
      <w:sz w:val="24"/>
    </w:rPr>
  </w:style>
  <w:style w:type="paragraph" w:styleId="7">
    <w:name w:val="toc 3"/>
    <w:basedOn w:val="1"/>
    <w:next w:val="1"/>
    <w:qFormat/>
    <w:uiPriority w:val="0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0">
    <w:name w:val="toc 1"/>
    <w:basedOn w:val="1"/>
    <w:next w:val="1"/>
    <w:qFormat/>
    <w:uiPriority w:val="0"/>
  </w:style>
  <w:style w:type="paragraph" w:styleId="11">
    <w:name w:val="toc 2"/>
    <w:basedOn w:val="1"/>
    <w:next w:val="1"/>
    <w:qFormat/>
    <w:uiPriority w:val="0"/>
    <w:pPr>
      <w:ind w:left="420" w:leftChars="200"/>
    </w:pPr>
  </w:style>
  <w:style w:type="paragraph" w:styleId="12">
    <w:name w:val="Body Text 2"/>
    <w:basedOn w:val="1"/>
    <w:qFormat/>
    <w:uiPriority w:val="0"/>
    <w:pPr>
      <w:widowControl/>
      <w:jc w:val="left"/>
    </w:pPr>
    <w:rPr>
      <w:rFonts w:ascii="宋体" w:hAnsi="Times New Roman" w:eastAsia="宋体" w:cs="Times New Roman"/>
      <w:kern w:val="0"/>
      <w:sz w:val="28"/>
      <w:szCs w:val="20"/>
    </w:rPr>
  </w:style>
  <w:style w:type="character" w:styleId="15">
    <w:name w:val="FollowedHyperlink"/>
    <w:basedOn w:val="14"/>
    <w:uiPriority w:val="0"/>
    <w:rPr>
      <w:color w:val="800080"/>
      <w:u w:val="single"/>
    </w:rPr>
  </w:style>
  <w:style w:type="character" w:styleId="16">
    <w:name w:val="Hyperlink"/>
    <w:basedOn w:val="1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7">
    <w:name w:val="标题 1 Char"/>
    <w:link w:val="2"/>
    <w:qFormat/>
    <w:uiPriority w:val="0"/>
    <w:rPr>
      <w:rFonts w:ascii="Arial" w:hAnsi="Arial" w:eastAsiaTheme="minorEastAsia"/>
      <w:b/>
      <w:bCs/>
      <w:kern w:val="44"/>
      <w:sz w:val="44"/>
      <w:szCs w:val="44"/>
    </w:rPr>
  </w:style>
  <w:style w:type="character" w:customStyle="1" w:styleId="18">
    <w:name w:val="样式1"/>
    <w:basedOn w:val="14"/>
    <w:qFormat/>
    <w:uiPriority w:val="0"/>
    <w:rPr>
      <w:rFonts w:ascii="Calibri" w:hAnsi="Calibri"/>
    </w:rPr>
  </w:style>
  <w:style w:type="paragraph" w:customStyle="1" w:styleId="19">
    <w:name w:val="样式2"/>
    <w:basedOn w:val="2"/>
    <w:next w:val="1"/>
    <w:qFormat/>
    <w:uiPriority w:val="0"/>
    <w:rPr>
      <w:rFonts w:ascii="Arial" w:hAnsi="Arial"/>
    </w:rPr>
  </w:style>
  <w:style w:type="character" w:customStyle="1" w:styleId="20">
    <w:name w:val="标题 2 Char"/>
    <w:link w:val="3"/>
    <w:uiPriority w:val="0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4" Type="http://schemas.openxmlformats.org/officeDocument/2006/relationships/fontTable" Target="fontTable.xml"/><Relationship Id="rId43" Type="http://schemas.openxmlformats.org/officeDocument/2006/relationships/numbering" Target="numbering.xml"/><Relationship Id="rId42" Type="http://schemas.openxmlformats.org/officeDocument/2006/relationships/customXml" Target="../customXml/item1.xml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28</Pages>
  <Words>7294</Words>
  <Characters>8135</Characters>
  <Lines>0</Lines>
  <Paragraphs>0</Paragraphs>
  <TotalTime>1</TotalTime>
  <ScaleCrop>false</ScaleCrop>
  <LinksUpToDate>false</LinksUpToDate>
  <CharactersWithSpaces>8290</CharactersWithSpaces>
  <Application>WPS Office_11.8.2.10321_F1E327BC-269C-435d-A152-05C5408002CA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2020-07-07T07:21:00Z</dcterms:created>
  <dc:creator>Administrator</dc:creator>
  <cp:lastModifiedBy>朱邵磊</cp:lastModifiedBy>
  <dcterms:modified xsi:type="dcterms:W3CDTF">2024-07-08T01:30:23Z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2052-11.8.2.10321</vt:lpwstr>
  </property>
  <property fmtid="{D5CDD505-2E9C-101B-9397-08002B2CF9AE}" pid="3" name="ICV">
    <vt:lpwstr>B22A5C96CD5B435E801349EF528A06E9_13</vt:lpwstr>
  </property>
</Properties>
</file>