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524D">
      <w:pPr>
        <w:spacing w:line="360" w:lineRule="auto"/>
        <w:jc w:val="center"/>
        <w:rPr>
          <w:b/>
          <w:sz w:val="32"/>
          <w:szCs w:val="32"/>
          <w:u w:val="double"/>
        </w:rPr>
      </w:pPr>
      <w:r>
        <w:rPr>
          <w:rFonts w:hint="eastAsia"/>
          <w:b/>
          <w:sz w:val="32"/>
          <w:szCs w:val="32"/>
          <w:u w:val="double"/>
        </w:rPr>
        <w:t>招标采购公函</w:t>
      </w:r>
    </w:p>
    <w:p w14:paraId="717F8E5C">
      <w:pPr>
        <w:spacing w:line="440" w:lineRule="exact"/>
        <w:ind w:firstLine="420" w:firstLineChars="200"/>
        <w:rPr>
          <w:color w:val="000000"/>
          <w:szCs w:val="21"/>
        </w:rPr>
      </w:pPr>
      <w:r>
        <w:rPr>
          <w:rFonts w:hint="eastAsia"/>
          <w:color w:val="000000"/>
          <w:szCs w:val="21"/>
        </w:rPr>
        <w:t>为适应市场经济的需要，建立公开、公平、公正、合理的竞争机制，结合我公司实际情况，择优选择供货单位，现对</w:t>
      </w:r>
      <w:r>
        <w:rPr>
          <w:rFonts w:hint="eastAsia"/>
          <w:color w:val="000000"/>
          <w:szCs w:val="21"/>
          <w:lang w:val="en-US" w:eastAsia="zh-CN"/>
        </w:rPr>
        <w:t>胶合板</w:t>
      </w:r>
      <w:r>
        <w:rPr>
          <w:rFonts w:hint="eastAsia" w:cs="Times New Roman"/>
          <w:color w:val="000000"/>
          <w:szCs w:val="21"/>
          <w:highlight w:val="cyan"/>
          <w:lang w:val="en-US" w:eastAsia="zh-CN"/>
        </w:rPr>
        <w:t>微波加热设备、微波段运输线</w:t>
      </w:r>
      <w:r>
        <w:rPr>
          <w:rFonts w:hint="eastAsia"/>
          <w:color w:val="000000"/>
          <w:szCs w:val="21"/>
        </w:rPr>
        <w:t>招标采购，欢迎具备生产规模，有供货能力的单位参与投标。</w:t>
      </w:r>
    </w:p>
    <w:p w14:paraId="682C305A">
      <w:pPr>
        <w:spacing w:line="440" w:lineRule="exact"/>
        <w:rPr>
          <w:bCs/>
          <w:color w:val="000000"/>
          <w:szCs w:val="21"/>
        </w:rPr>
      </w:pPr>
      <w:r>
        <w:rPr>
          <w:rFonts w:hint="eastAsia"/>
          <w:b/>
          <w:color w:val="000000"/>
          <w:szCs w:val="21"/>
        </w:rPr>
        <w:t>一、招标范围：</w:t>
      </w:r>
      <w:r>
        <w:rPr>
          <w:rFonts w:hint="eastAsia"/>
          <w:bCs/>
          <w:color w:val="000000"/>
          <w:szCs w:val="21"/>
        </w:rPr>
        <w:t>详见附表明细。</w:t>
      </w:r>
    </w:p>
    <w:p w14:paraId="0D6860D0">
      <w:pPr>
        <w:spacing w:line="440" w:lineRule="exact"/>
        <w:rPr>
          <w:color w:val="000000"/>
          <w:szCs w:val="21"/>
        </w:rPr>
      </w:pPr>
      <w:r>
        <w:rPr>
          <w:rFonts w:hint="eastAsia"/>
          <w:b/>
          <w:color w:val="000000"/>
          <w:szCs w:val="21"/>
        </w:rPr>
        <w:t>二、供货模式：</w:t>
      </w:r>
      <w:r>
        <w:rPr>
          <w:rFonts w:hint="eastAsia"/>
        </w:rPr>
        <w:t>整体供货，综合议标</w:t>
      </w:r>
      <w:r>
        <w:rPr>
          <w:rFonts w:hint="eastAsia"/>
          <w:bCs/>
          <w:color w:val="000000"/>
          <w:szCs w:val="21"/>
        </w:rPr>
        <w:t>。</w:t>
      </w:r>
    </w:p>
    <w:p w14:paraId="2F4898FD">
      <w:pPr>
        <w:spacing w:line="440" w:lineRule="exact"/>
        <w:rPr>
          <w:b/>
          <w:color w:val="000000"/>
          <w:szCs w:val="21"/>
        </w:rPr>
      </w:pPr>
      <w:r>
        <w:rPr>
          <w:rFonts w:hint="eastAsia"/>
          <w:b/>
          <w:color w:val="000000"/>
          <w:szCs w:val="21"/>
        </w:rPr>
        <w:t>三、投标资格要求：</w:t>
      </w:r>
    </w:p>
    <w:p w14:paraId="0AC74788">
      <w:pPr>
        <w:spacing w:line="440" w:lineRule="exact"/>
        <w:rPr>
          <w:color w:val="000000"/>
          <w:szCs w:val="21"/>
        </w:rPr>
      </w:pPr>
      <w:r>
        <w:rPr>
          <w:rFonts w:hint="eastAsia"/>
          <w:color w:val="000000"/>
          <w:szCs w:val="21"/>
        </w:rPr>
        <w:t>1、具有国内法人资格，注册生产经营本次招标采购货物的厂家，附相关生产许可证等资质文件。</w:t>
      </w:r>
    </w:p>
    <w:p w14:paraId="19FD4251">
      <w:pPr>
        <w:spacing w:line="440" w:lineRule="exact"/>
        <w:rPr>
          <w:color w:val="000000"/>
          <w:szCs w:val="21"/>
        </w:rPr>
      </w:pPr>
      <w:r>
        <w:rPr>
          <w:rFonts w:hint="eastAsia"/>
          <w:color w:val="000000"/>
          <w:szCs w:val="21"/>
        </w:rPr>
        <w:t>2、具有同类型货物供货业绩的厂家，投标标书需附最近三年供货业绩合同、使用报告等复印件。</w:t>
      </w:r>
    </w:p>
    <w:p w14:paraId="6A60FCAE">
      <w:pPr>
        <w:spacing w:line="440" w:lineRule="exact"/>
        <w:rPr>
          <w:color w:val="000000"/>
          <w:szCs w:val="21"/>
        </w:rPr>
      </w:pPr>
      <w:r>
        <w:rPr>
          <w:rFonts w:hint="eastAsia"/>
          <w:color w:val="000000"/>
          <w:szCs w:val="21"/>
        </w:rPr>
        <w:t>3、招标人提交标书时视为已经完全了解本次招标的内容，不得以未到现场查看、未沟通等问题因素弃标、悔标，否则，承担违约责任。连续两次（含）以上因上述同种理由弃标、悔标者，取消其投标资格，并列入黑名单。</w:t>
      </w:r>
    </w:p>
    <w:p w14:paraId="28DBCD9B">
      <w:pPr>
        <w:spacing w:line="440" w:lineRule="exact"/>
        <w:rPr>
          <w:rFonts w:hint="eastAsia" w:ascii="宋体" w:hAnsi="宋体"/>
          <w:color w:val="000000"/>
          <w:szCs w:val="21"/>
        </w:rPr>
      </w:pPr>
      <w:r>
        <w:rPr>
          <w:rFonts w:hint="eastAsia" w:ascii="宋体" w:hAnsi="宋体"/>
          <w:color w:val="000000"/>
          <w:szCs w:val="21"/>
        </w:rPr>
        <w:t>4、投标客户每次缴纳保证金必须汇入我公司指定的保证金账户（</w:t>
      </w:r>
      <w:r>
        <w:rPr>
          <w:rFonts w:hint="eastAsia" w:ascii="宋体" w:hAnsi="宋体"/>
          <w:color w:val="000000"/>
          <w:szCs w:val="21"/>
          <w:highlight w:val="yellow"/>
        </w:rPr>
        <w:t>每次缴纳保证金之前必须询问我公司业务人员</w:t>
      </w:r>
      <w:r>
        <w:rPr>
          <w:rFonts w:hint="eastAsia" w:ascii="宋体" w:hAnsi="宋体"/>
          <w:color w:val="000000"/>
          <w:szCs w:val="21"/>
        </w:rPr>
        <w:t>），否则视为缴纳保证金无效。</w:t>
      </w:r>
    </w:p>
    <w:p w14:paraId="303EDDBA">
      <w:pPr>
        <w:spacing w:line="440" w:lineRule="exact"/>
        <w:rPr>
          <w:rFonts w:hint="eastAsia" w:ascii="宋体" w:hAnsi="宋体" w:eastAsia="宋体"/>
          <w:color w:val="000000"/>
          <w:szCs w:val="21"/>
          <w:lang w:val="en-US" w:eastAsia="zh-CN"/>
        </w:rPr>
      </w:pPr>
      <w:r>
        <w:rPr>
          <w:rFonts w:hint="eastAsia" w:ascii="宋体" w:hAnsi="宋体"/>
          <w:color w:val="000000"/>
          <w:szCs w:val="21"/>
          <w:lang w:val="en-US" w:eastAsia="zh-CN"/>
        </w:rPr>
        <w:t>5、乙方承诺所供产品不高于同类产品的市场价格。如甲方发现价格高于市场价格，除按照市场价格结算外，乙方自愿按照超出市场价格部分的两倍补偿甲方（甲方有权从未结算款项中直接扣除）。</w:t>
      </w:r>
    </w:p>
    <w:p w14:paraId="2A02076E">
      <w:pPr>
        <w:spacing w:line="480" w:lineRule="exact"/>
        <w:rPr>
          <w:rFonts w:hint="eastAsia" w:ascii="宋体" w:hAnsi="宋体" w:cs="宋体"/>
          <w:b/>
        </w:rPr>
      </w:pPr>
      <w:r>
        <w:rPr>
          <w:rFonts w:hint="eastAsia" w:ascii="宋体" w:hAnsi="宋体" w:cs="宋体"/>
          <w:b/>
        </w:rPr>
        <w:t>四、技术要求：</w:t>
      </w:r>
    </w:p>
    <w:p w14:paraId="6B2AFB07">
      <w:pPr>
        <w:spacing w:line="480" w:lineRule="exact"/>
        <w:ind w:firstLine="420" w:firstLineChars="200"/>
        <w:rPr>
          <w:rFonts w:hint="eastAsia" w:ascii="宋体" w:hAnsi="宋体" w:cs="宋体"/>
        </w:rPr>
      </w:pPr>
      <w:r>
        <w:rPr>
          <w:rFonts w:hint="eastAsia" w:ascii="宋体" w:hAnsi="宋体" w:cs="宋体"/>
          <w:highlight w:val="yellow"/>
        </w:rPr>
        <w:t>详见技术附件。</w:t>
      </w:r>
    </w:p>
    <w:p w14:paraId="44FA19DE">
      <w:pPr>
        <w:spacing w:line="440" w:lineRule="exact"/>
        <w:rPr>
          <w:b/>
          <w:color w:val="000000"/>
          <w:szCs w:val="21"/>
        </w:rPr>
      </w:pPr>
      <w:r>
        <w:rPr>
          <w:rFonts w:hint="eastAsia"/>
          <w:b/>
          <w:color w:val="000000"/>
          <w:szCs w:val="21"/>
        </w:rPr>
        <w:t>五、供方保证条款：</w:t>
      </w:r>
    </w:p>
    <w:p w14:paraId="383A482C">
      <w:pPr>
        <w:spacing w:line="440" w:lineRule="exact"/>
        <w:rPr>
          <w:color w:val="000000"/>
          <w:szCs w:val="21"/>
        </w:rPr>
      </w:pPr>
      <w:r>
        <w:rPr>
          <w:rFonts w:hint="eastAsia"/>
          <w:color w:val="000000"/>
          <w:szCs w:val="21"/>
        </w:rPr>
        <w:t>1、乙方保证提供产品不存在的任何质量问题和设计缺陷，能够满足甲方生产需求。如使用期限未达到质保期一半出现质量问题的，所有合同款项均不予结算；如超过质保期一半但未达到质保期限的，乙方自愿对已交付的产品按照合同价格的40%结算。</w:t>
      </w:r>
    </w:p>
    <w:p w14:paraId="63FE59C2">
      <w:pPr>
        <w:spacing w:line="440" w:lineRule="exact"/>
        <w:rPr>
          <w:color w:val="000000"/>
          <w:szCs w:val="21"/>
        </w:rPr>
      </w:pPr>
      <w:r>
        <w:rPr>
          <w:rFonts w:hint="eastAsia"/>
          <w:color w:val="000000"/>
          <w:szCs w:val="21"/>
        </w:rPr>
        <w:t>2、乙方保证所供产品是非假冒伪劣产品或以假充真、以次充好产品,如出现上述行为乙方除退还甲方已付全部货款，已实际交付的产品也不予退还外,乙方还应按合同总价的10倍向甲方支付违约金。</w:t>
      </w:r>
    </w:p>
    <w:p w14:paraId="09B1C878">
      <w:pPr>
        <w:spacing w:line="440" w:lineRule="exact"/>
        <w:ind w:left="525" w:hanging="525" w:hangingChars="250"/>
        <w:rPr>
          <w:color w:val="000000"/>
          <w:szCs w:val="21"/>
        </w:rPr>
      </w:pPr>
      <w:r>
        <w:rPr>
          <w:rFonts w:hint="eastAsia"/>
          <w:color w:val="000000"/>
          <w:szCs w:val="21"/>
        </w:rPr>
        <w:t>3、乙方保证提供的商品没有侵犯他人知识产权。如因产品知识产权问题引发的纠纷责任全部由乙方承担。</w:t>
      </w:r>
    </w:p>
    <w:p w14:paraId="1E47E41A">
      <w:pPr>
        <w:spacing w:line="440" w:lineRule="exact"/>
        <w:ind w:left="527" w:hanging="527" w:hangingChars="250"/>
        <w:rPr>
          <w:color w:val="000000"/>
          <w:szCs w:val="21"/>
        </w:rPr>
      </w:pPr>
      <w:r>
        <w:rPr>
          <w:rFonts w:hint="eastAsia"/>
          <w:b/>
          <w:color w:val="000000"/>
          <w:szCs w:val="21"/>
        </w:rPr>
        <w:t>六、</w:t>
      </w:r>
      <w:r>
        <w:rPr>
          <w:rFonts w:hint="eastAsia"/>
          <w:color w:val="000000"/>
          <w:szCs w:val="21"/>
        </w:rPr>
        <w:t>有意投标的单位可到本公司</w:t>
      </w:r>
      <w:r>
        <w:rPr>
          <w:rFonts w:hint="eastAsia"/>
          <w:b/>
          <w:color w:val="000000"/>
          <w:szCs w:val="21"/>
          <w:u w:val="double"/>
        </w:rPr>
        <w:t>项目部</w:t>
      </w:r>
      <w:r>
        <w:rPr>
          <w:rFonts w:hint="eastAsia"/>
          <w:b/>
          <w:color w:val="000000"/>
          <w:szCs w:val="21"/>
          <w:u w:val="double"/>
          <w:lang w:val="en-US" w:eastAsia="zh-CN"/>
        </w:rPr>
        <w:t>总工办</w:t>
      </w:r>
      <w:r>
        <w:rPr>
          <w:rFonts w:hint="eastAsia"/>
          <w:color w:val="000000"/>
          <w:szCs w:val="21"/>
        </w:rPr>
        <w:t>取得进一步的信息或技术交流。</w:t>
      </w:r>
    </w:p>
    <w:p w14:paraId="566C0E02">
      <w:pPr>
        <w:spacing w:line="440" w:lineRule="exact"/>
        <w:ind w:left="527" w:hanging="527" w:hangingChars="250"/>
        <w:rPr>
          <w:color w:val="000000"/>
          <w:szCs w:val="21"/>
        </w:rPr>
      </w:pPr>
      <w:r>
        <w:rPr>
          <w:rFonts w:hint="eastAsia"/>
          <w:b/>
          <w:color w:val="000000"/>
          <w:szCs w:val="21"/>
        </w:rPr>
        <w:t>七、投标时间：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9</w:t>
      </w:r>
      <w:r>
        <w:rPr>
          <w:rFonts w:hint="eastAsia"/>
          <w:color w:val="FF0000"/>
          <w:szCs w:val="21"/>
          <w:highlight w:val="yellow"/>
        </w:rPr>
        <w:t>月</w:t>
      </w:r>
      <w:r>
        <w:rPr>
          <w:rFonts w:hint="eastAsia"/>
          <w:color w:val="FF0000"/>
          <w:szCs w:val="21"/>
          <w:highlight w:val="yellow"/>
          <w:lang w:val="en-US" w:eastAsia="zh-CN"/>
        </w:rPr>
        <w:t>29</w:t>
      </w:r>
      <w:r>
        <w:rPr>
          <w:rFonts w:hint="eastAsia"/>
          <w:color w:val="FF0000"/>
          <w:szCs w:val="21"/>
          <w:highlight w:val="yellow"/>
        </w:rPr>
        <w:t>日上午9:00</w:t>
      </w:r>
      <w:bookmarkStart w:id="0" w:name="_GoBack"/>
      <w:bookmarkEnd w:id="0"/>
    </w:p>
    <w:p w14:paraId="5DEA869B">
      <w:pPr>
        <w:spacing w:line="440" w:lineRule="exact"/>
        <w:rPr>
          <w:rFonts w:hint="eastAsia" w:ascii="宋体" w:hAnsi="宋体" w:cs="宋体"/>
          <w:color w:val="000000"/>
          <w:szCs w:val="21"/>
        </w:rPr>
      </w:pPr>
      <w:r>
        <w:rPr>
          <w:rFonts w:hint="eastAsia"/>
          <w:b/>
          <w:color w:val="000000"/>
          <w:szCs w:val="21"/>
        </w:rPr>
        <w:t>八、付款方式：</w:t>
      </w:r>
      <w:r>
        <w:rPr>
          <w:rFonts w:hint="eastAsia" w:ascii="宋体" w:hAnsi="宋体" w:cs="宋体"/>
          <w:color w:val="FF0000"/>
          <w:szCs w:val="21"/>
          <w:lang w:val="en-US" w:eastAsia="zh-CN"/>
        </w:rPr>
        <w:t>等额分期支付，连续支付12个月，支付方式为现汇或6个月承兑</w:t>
      </w:r>
      <w:r>
        <w:rPr>
          <w:rFonts w:hint="eastAsia" w:ascii="宋体" w:hAnsi="宋体" w:cs="宋体"/>
          <w:color w:val="FF0000"/>
          <w:szCs w:val="21"/>
        </w:rPr>
        <w:t>。13%增值税专用发票</w:t>
      </w:r>
      <w:r>
        <w:rPr>
          <w:rFonts w:hint="eastAsia" w:ascii="宋体" w:hAnsi="宋体" w:cs="宋体"/>
          <w:szCs w:val="21"/>
        </w:rPr>
        <w:t>。</w:t>
      </w:r>
    </w:p>
    <w:p w14:paraId="6C7DDD85">
      <w:pPr>
        <w:spacing w:line="440" w:lineRule="exact"/>
        <w:ind w:left="527" w:hanging="527" w:hangingChars="250"/>
        <w:rPr>
          <w:b/>
          <w:color w:val="000000"/>
          <w:szCs w:val="21"/>
        </w:rPr>
      </w:pPr>
      <w:r>
        <w:rPr>
          <w:rFonts w:hint="eastAsia"/>
          <w:b/>
          <w:color w:val="000000"/>
          <w:szCs w:val="21"/>
        </w:rPr>
        <w:t>九、其他：</w:t>
      </w:r>
    </w:p>
    <w:p w14:paraId="1C56801E">
      <w:pPr>
        <w:spacing w:line="440" w:lineRule="exact"/>
        <w:rPr>
          <w:rFonts w:hint="eastAsia"/>
          <w:color w:val="000000"/>
          <w:szCs w:val="21"/>
        </w:rPr>
      </w:pPr>
      <w:r>
        <w:rPr>
          <w:rFonts w:hint="eastAsia"/>
          <w:color w:val="000000"/>
          <w:szCs w:val="21"/>
        </w:rPr>
        <w:t>1、</w:t>
      </w:r>
      <w:r>
        <w:rPr>
          <w:rFonts w:hint="eastAsia"/>
          <w:bCs/>
          <w:color w:val="000000"/>
          <w:szCs w:val="21"/>
        </w:rPr>
        <w:t>参与投标的供应商需提前一天至我公司财务科缴纳投标保证金</w:t>
      </w:r>
      <w:r>
        <w:rPr>
          <w:rFonts w:hint="eastAsia"/>
          <w:bCs/>
          <w:color w:val="000000"/>
          <w:szCs w:val="21"/>
          <w:lang w:val="en-US" w:eastAsia="zh-CN"/>
        </w:rPr>
        <w:t>伍仟</w:t>
      </w:r>
      <w:r>
        <w:rPr>
          <w:rFonts w:hint="eastAsia"/>
          <w:bCs/>
          <w:color w:val="000000"/>
          <w:szCs w:val="21"/>
        </w:rPr>
        <w:t>元（￥</w:t>
      </w:r>
      <w:r>
        <w:rPr>
          <w:rFonts w:hint="eastAsia"/>
          <w:bCs/>
          <w:color w:val="000000"/>
          <w:szCs w:val="21"/>
          <w:lang w:val="en-US" w:eastAsia="zh-CN"/>
        </w:rPr>
        <w:t>5</w:t>
      </w:r>
      <w:r>
        <w:rPr>
          <w:rFonts w:hint="eastAsia"/>
          <w:bCs/>
          <w:color w:val="000000"/>
          <w:szCs w:val="21"/>
        </w:rPr>
        <w:t>000），弃标、毁标</w:t>
      </w:r>
      <w:r>
        <w:rPr>
          <w:rFonts w:hint="eastAsia"/>
          <w:bCs/>
          <w:color w:val="000000"/>
          <w:szCs w:val="21"/>
          <w:lang w:eastAsia="zh-CN"/>
        </w:rPr>
        <w:t>、</w:t>
      </w:r>
      <w:r>
        <w:rPr>
          <w:rFonts w:hint="eastAsia"/>
          <w:bCs/>
          <w:color w:val="000000"/>
          <w:szCs w:val="21"/>
          <w:lang w:val="en-US" w:eastAsia="zh-CN"/>
        </w:rPr>
        <w:t>串标</w:t>
      </w:r>
      <w:r>
        <w:rPr>
          <w:rFonts w:hint="eastAsia"/>
          <w:bCs/>
          <w:color w:val="000000"/>
          <w:szCs w:val="21"/>
        </w:rPr>
        <w:t>保证金不予返还。</w:t>
      </w:r>
      <w:r>
        <w:rPr>
          <w:rFonts w:hint="eastAsia"/>
          <w:color w:val="000000"/>
          <w:szCs w:val="21"/>
        </w:rPr>
        <w:t>供应商与我公司达成合作意向后，未经我公司同意单方终止不与我公司签订合同的扣除其在招标时缴纳的投标保证金做为支付给我公司的违约金。</w:t>
      </w:r>
      <w:r>
        <w:rPr>
          <w:rFonts w:hint="eastAsia" w:ascii="宋体" w:hAnsi="宋体" w:cs="宋体"/>
          <w:szCs w:val="21"/>
        </w:rPr>
        <w:t>在投标过程中及投标结束后，因投标方违约对招标方扣除投标保证金有异议的，双方应协商解决，协商不成的，由招标方所在地有管辖权的人民法院诉讼解决。</w:t>
      </w:r>
      <w:r>
        <w:rPr>
          <w:rFonts w:hint="eastAsia"/>
          <w:color w:val="000000"/>
          <w:szCs w:val="21"/>
        </w:rPr>
        <w:t>未中标的新供应商所缴纳的保证金</w:t>
      </w:r>
      <w:r>
        <w:rPr>
          <w:color w:val="000000"/>
          <w:szCs w:val="21"/>
        </w:rPr>
        <w:t>7</w:t>
      </w:r>
      <w:r>
        <w:rPr>
          <w:rFonts w:hint="eastAsia"/>
          <w:color w:val="000000"/>
          <w:szCs w:val="21"/>
        </w:rPr>
        <w:t>个工作日内予以原数返还。账上有余款的客户可到财务开具投标保证金证明条并加盖“招标保证金专用章”。</w:t>
      </w:r>
    </w:p>
    <w:p w14:paraId="42F1752A">
      <w:pPr>
        <w:spacing w:line="440" w:lineRule="exact"/>
        <w:ind w:firstLine="420" w:firstLineChars="200"/>
        <w:rPr>
          <w:rFonts w:hint="eastAsia"/>
          <w:color w:val="000000"/>
          <w:szCs w:val="21"/>
        </w:rPr>
      </w:pPr>
      <w:r>
        <w:rPr>
          <w:rFonts w:hint="eastAsia"/>
          <w:color w:val="000000"/>
          <w:szCs w:val="21"/>
        </w:rPr>
        <w:t>单位:四川鲁丽木业有限公司</w:t>
      </w:r>
    </w:p>
    <w:p w14:paraId="31D84A19">
      <w:pPr>
        <w:spacing w:line="440" w:lineRule="exact"/>
        <w:ind w:firstLine="420" w:firstLineChars="200"/>
        <w:rPr>
          <w:rFonts w:hint="eastAsia"/>
          <w:color w:val="000000"/>
          <w:szCs w:val="21"/>
        </w:rPr>
      </w:pPr>
      <w:r>
        <w:rPr>
          <w:rFonts w:hint="eastAsia"/>
          <w:color w:val="000000"/>
          <w:szCs w:val="21"/>
        </w:rPr>
        <w:t>税号:91510811MADU9TB06C</w:t>
      </w:r>
    </w:p>
    <w:p w14:paraId="1E16F61E">
      <w:pPr>
        <w:spacing w:line="440" w:lineRule="exact"/>
        <w:ind w:firstLine="420" w:firstLineChars="200"/>
        <w:rPr>
          <w:rFonts w:hint="eastAsia"/>
          <w:color w:val="000000"/>
          <w:szCs w:val="21"/>
        </w:rPr>
      </w:pPr>
      <w:r>
        <w:rPr>
          <w:rFonts w:hint="eastAsia"/>
          <w:color w:val="000000"/>
          <w:szCs w:val="21"/>
        </w:rPr>
        <w:t>开户行:四川银行股份有限公司广元分行</w:t>
      </w:r>
    </w:p>
    <w:p w14:paraId="52620114">
      <w:pPr>
        <w:spacing w:line="440" w:lineRule="exact"/>
        <w:ind w:firstLine="420" w:firstLineChars="200"/>
        <w:rPr>
          <w:rFonts w:hint="eastAsia"/>
          <w:color w:val="000000"/>
          <w:szCs w:val="21"/>
        </w:rPr>
      </w:pPr>
      <w:r>
        <w:rPr>
          <w:rFonts w:hint="eastAsia"/>
          <w:color w:val="000000"/>
          <w:szCs w:val="21"/>
        </w:rPr>
        <w:t>账号:72220100081109830</w:t>
      </w:r>
    </w:p>
    <w:p w14:paraId="3C76A23D">
      <w:pPr>
        <w:spacing w:line="440" w:lineRule="exact"/>
        <w:ind w:firstLine="420" w:firstLineChars="200"/>
        <w:rPr>
          <w:rFonts w:hint="eastAsia"/>
          <w:color w:val="000000"/>
          <w:szCs w:val="21"/>
        </w:rPr>
      </w:pPr>
      <w:r>
        <w:rPr>
          <w:rFonts w:hint="eastAsia"/>
          <w:color w:val="000000"/>
          <w:szCs w:val="21"/>
        </w:rPr>
        <w:t>地址:四川省广元市昭化区元坝镇朝阳大道8号(绿色家居产业城)</w:t>
      </w:r>
    </w:p>
    <w:p w14:paraId="1DE9BC47">
      <w:pPr>
        <w:spacing w:line="440" w:lineRule="exact"/>
        <w:rPr>
          <w:rFonts w:hint="eastAsia" w:ascii="宋体" w:hAnsi="宋体"/>
          <w:color w:val="000000"/>
          <w:szCs w:val="21"/>
        </w:rPr>
      </w:pPr>
      <w:r>
        <w:rPr>
          <w:rFonts w:hint="eastAsia"/>
          <w:bCs/>
          <w:color w:val="000000"/>
          <w:szCs w:val="21"/>
        </w:rPr>
        <w:t>2、供货时间：</w:t>
      </w:r>
      <w:r>
        <w:rPr>
          <w:rFonts w:hint="eastAsia" w:ascii="宋体" w:hAnsi="宋体"/>
          <w:color w:val="000000"/>
          <w:szCs w:val="21"/>
        </w:rPr>
        <w:t>合同签订按需方要求时间内到货，但不能因此逾期交货，供方逾期交货的，每日按逾期交货金额的千分之五向需方支付违约金。</w:t>
      </w:r>
    </w:p>
    <w:p w14:paraId="6E146C5E">
      <w:pPr>
        <w:spacing w:line="440" w:lineRule="exact"/>
        <w:rPr>
          <w:rFonts w:hint="eastAsia" w:ascii="宋体" w:hAnsi="宋体" w:cs="宋体"/>
          <w:color w:val="000000"/>
          <w:szCs w:val="21"/>
        </w:rPr>
      </w:pPr>
      <w:r>
        <w:rPr>
          <w:rFonts w:hint="eastAsia" w:ascii="宋体" w:hAnsi="宋体" w:cs="宋体"/>
          <w:color w:val="000000"/>
          <w:szCs w:val="21"/>
        </w:rPr>
        <w:t>3、质保期：质保期1年，质保期内出现质量问题无偿更换维修，质保期相应延长。</w:t>
      </w:r>
    </w:p>
    <w:p w14:paraId="1D86DFFE">
      <w:pPr>
        <w:spacing w:line="440" w:lineRule="exact"/>
        <w:ind w:left="527" w:hanging="527" w:hangingChars="250"/>
        <w:rPr>
          <w:rFonts w:hint="eastAsia" w:ascii="宋体" w:hAnsi="宋体" w:cs="宋体"/>
          <w:color w:val="000000"/>
          <w:szCs w:val="21"/>
          <w:u w:val="single"/>
        </w:rPr>
      </w:pPr>
      <w:r>
        <w:rPr>
          <w:rFonts w:hint="eastAsia" w:ascii="宋体" w:hAnsi="宋体" w:cs="宋体"/>
          <w:b/>
          <w:color w:val="000000"/>
          <w:szCs w:val="21"/>
        </w:rPr>
        <w:t>十、联系方式：</w:t>
      </w:r>
    </w:p>
    <w:p w14:paraId="48CE8DD8">
      <w:pPr>
        <w:spacing w:line="440" w:lineRule="exact"/>
        <w:rPr>
          <w:rFonts w:hint="default" w:ascii="宋体" w:hAnsi="宋体" w:eastAsia="宋体" w:cs="宋体"/>
          <w:color w:val="000000"/>
          <w:szCs w:val="21"/>
          <w:lang w:val="en-US" w:eastAsia="zh-CN"/>
        </w:rPr>
      </w:pPr>
      <w:r>
        <w:rPr>
          <w:rFonts w:hint="eastAsia" w:ascii="宋体" w:hAnsi="宋体" w:cs="宋体"/>
          <w:color w:val="000000"/>
          <w:szCs w:val="21"/>
        </w:rPr>
        <w:t>1、联系人：</w:t>
      </w:r>
      <w:r>
        <w:rPr>
          <w:rFonts w:hint="eastAsia" w:ascii="宋体" w:hAnsi="宋体" w:cs="宋体"/>
          <w:color w:val="000000"/>
          <w:szCs w:val="21"/>
          <w:lang w:val="en-US" w:eastAsia="zh-CN"/>
        </w:rPr>
        <w:t>尹广龙</w:t>
      </w:r>
      <w:r>
        <w:rPr>
          <w:rFonts w:hint="eastAsia" w:ascii="宋体" w:hAnsi="宋体" w:cs="宋体"/>
          <w:color w:val="000000"/>
          <w:szCs w:val="21"/>
        </w:rPr>
        <w:t xml:space="preserve">           联系电话： </w:t>
      </w:r>
      <w:r>
        <w:rPr>
          <w:rFonts w:hint="eastAsia" w:ascii="宋体" w:hAnsi="宋体" w:cs="宋体"/>
          <w:color w:val="000000"/>
          <w:szCs w:val="21"/>
          <w:lang w:val="en-US" w:eastAsia="zh-CN"/>
        </w:rPr>
        <w:t>15965786939</w:t>
      </w:r>
    </w:p>
    <w:p w14:paraId="6876788E">
      <w:pPr>
        <w:spacing w:line="440" w:lineRule="exact"/>
        <w:rPr>
          <w:rFonts w:hint="eastAsia" w:ascii="宋体" w:hAnsi="宋体" w:cs="宋体"/>
          <w:color w:val="000000"/>
          <w:szCs w:val="21"/>
        </w:rPr>
      </w:pPr>
      <w:r>
        <w:rPr>
          <w:rFonts w:hint="eastAsia" w:ascii="宋体" w:hAnsi="宋体" w:cs="宋体"/>
          <w:color w:val="000000"/>
          <w:szCs w:val="21"/>
        </w:rPr>
        <w:t>2、单位名称：</w:t>
      </w:r>
      <w:r>
        <w:rPr>
          <w:rFonts w:hint="eastAsia" w:ascii="宋体" w:hAnsi="宋体" w:cs="宋体"/>
          <w:color w:val="000000"/>
          <w:szCs w:val="21"/>
          <w:lang w:val="en-US" w:eastAsia="zh-CN"/>
        </w:rPr>
        <w:t>四川</w:t>
      </w:r>
      <w:r>
        <w:rPr>
          <w:rFonts w:hint="eastAsia" w:ascii="宋体" w:hAnsi="宋体" w:cs="宋体"/>
          <w:color w:val="000000"/>
          <w:szCs w:val="21"/>
        </w:rPr>
        <w:t xml:space="preserve">鲁丽木业有限公司         </w:t>
      </w:r>
    </w:p>
    <w:p w14:paraId="189B9F3B">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单位地址：</w:t>
      </w:r>
      <w:r>
        <w:rPr>
          <w:rFonts w:hint="eastAsia" w:ascii="宋体" w:hAnsi="宋体" w:cs="宋体"/>
          <w:color w:val="000000"/>
          <w:szCs w:val="21"/>
          <w:lang w:val="de-DE"/>
        </w:rPr>
        <w:t>四川省广元市昭化区元坝镇朝阳大道8号（绿色家居产业城）</w:t>
      </w:r>
    </w:p>
    <w:p w14:paraId="609EE6CC">
      <w:pPr>
        <w:spacing w:line="440" w:lineRule="exact"/>
        <w:rPr>
          <w:rFonts w:hint="eastAsia" w:ascii="宋体" w:hAnsi="宋体" w:cs="宋体"/>
          <w:szCs w:val="21"/>
        </w:rPr>
      </w:pPr>
      <w:r>
        <w:rPr>
          <w:rFonts w:hint="eastAsia" w:ascii="宋体" w:hAnsi="宋体" w:cs="宋体"/>
          <w:b/>
          <w:bCs/>
          <w:szCs w:val="21"/>
        </w:rPr>
        <w:t>十一、</w:t>
      </w:r>
      <w:r>
        <w:rPr>
          <w:rFonts w:hint="eastAsia" w:ascii="宋体" w:hAnsi="宋体" w:cs="宋体"/>
          <w:szCs w:val="21"/>
        </w:rPr>
        <w:t>如未能联系到业务人员或者对招标有异议的可联系集团书记秘书：联系人：刘秘书，电话：18353615279或直接扫描二维码关注“鲁丽工作检查”进行举报。</w:t>
      </w:r>
    </w:p>
    <w:p w14:paraId="231B7DDD">
      <w:pPr>
        <w:rPr>
          <w:rFonts w:hint="eastAsia" w:ascii="宋体" w:hAnsi="宋体" w:cs="宋体"/>
          <w:sz w:val="22"/>
          <w:szCs w:val="22"/>
        </w:rPr>
      </w:pPr>
      <w:r>
        <w:rPr>
          <w:rFonts w:hint="eastAsia" w:ascii="宋体" w:hAnsi="宋体" w:cs="宋体"/>
          <w:sz w:val="22"/>
          <w:szCs w:val="22"/>
        </w:rPr>
        <w:drawing>
          <wp:inline distT="0" distB="0" distL="114300" distR="114300">
            <wp:extent cx="1461770" cy="1461770"/>
            <wp:effectExtent l="0" t="0" r="1270" b="1270"/>
            <wp:docPr id="1" name="图片 1" descr="说明: d:\Documents\Tencent Files\1344434066\Image\C2C\G`NHJ%BF%`L8}CDH7T5S2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Documents\Tencent Files\1344434066\Image\C2C\G`NHJ%BF%`L8}CDH7T5S2BJ.png"/>
                    <pic:cNvPicPr>
                      <a:picLocks noChangeAspect="1"/>
                    </pic:cNvPicPr>
                  </pic:nvPicPr>
                  <pic:blipFill>
                    <a:blip r:embed="rId4"/>
                    <a:stretch>
                      <a:fillRect/>
                    </a:stretch>
                  </pic:blipFill>
                  <pic:spPr>
                    <a:xfrm>
                      <a:off x="0" y="0"/>
                      <a:ext cx="1461770" cy="1461770"/>
                    </a:xfrm>
                    <a:prstGeom prst="rect">
                      <a:avLst/>
                    </a:prstGeom>
                    <a:noFill/>
                    <a:ln>
                      <a:noFill/>
                    </a:ln>
                  </pic:spPr>
                </pic:pic>
              </a:graphicData>
            </a:graphic>
          </wp:inline>
        </w:drawing>
      </w:r>
      <w:r>
        <w:rPr>
          <w:rFonts w:hint="eastAsia" w:ascii="宋体" w:hAnsi="宋体" w:cs="宋体"/>
          <w:sz w:val="22"/>
          <w:szCs w:val="22"/>
        </w:rPr>
        <w:t xml:space="preserve">   </w:t>
      </w:r>
    </w:p>
    <w:p w14:paraId="0D2845A6">
      <w:pPr>
        <w:rPr>
          <w:rFonts w:hint="eastAsia" w:ascii="宋体" w:hAnsi="宋体" w:cs="宋体"/>
          <w:sz w:val="22"/>
          <w:szCs w:val="22"/>
        </w:rPr>
      </w:pPr>
    </w:p>
    <w:p w14:paraId="029CB7D7">
      <w:pPr>
        <w:rPr>
          <w:rFonts w:hint="eastAsia" w:ascii="宋体" w:hAnsi="宋体" w:cs="宋体"/>
          <w:sz w:val="22"/>
          <w:szCs w:val="22"/>
        </w:rPr>
      </w:pPr>
    </w:p>
    <w:p w14:paraId="57E5078E">
      <w:pPr>
        <w:rPr>
          <w:rFonts w:hint="eastAsia" w:ascii="宋体" w:hAnsi="宋体" w:cs="宋体"/>
          <w:sz w:val="22"/>
          <w:szCs w:val="22"/>
        </w:rPr>
      </w:pPr>
    </w:p>
    <w:p w14:paraId="272612BC">
      <w:pPr>
        <w:rPr>
          <w:rFonts w:hint="eastAsia" w:ascii="宋体" w:hAnsi="宋体" w:cs="宋体"/>
          <w:sz w:val="22"/>
          <w:szCs w:val="22"/>
        </w:rPr>
      </w:pPr>
    </w:p>
    <w:p w14:paraId="3F2D829A">
      <w:pPr>
        <w:rPr>
          <w:rFonts w:hint="eastAsia" w:ascii="宋体" w:hAnsi="宋体" w:cs="宋体"/>
          <w:sz w:val="22"/>
          <w:szCs w:val="22"/>
        </w:rPr>
      </w:pPr>
    </w:p>
    <w:p w14:paraId="167C1377">
      <w:pPr>
        <w:pStyle w:val="2"/>
        <w:rPr>
          <w:rFonts w:hint="eastAsia" w:ascii="仿宋_GB2312" w:eastAsia="仿宋_GB2312"/>
          <w:b/>
          <w:bCs/>
          <w:sz w:val="28"/>
          <w:szCs w:val="32"/>
        </w:rPr>
      </w:pPr>
    </w:p>
    <w:tbl>
      <w:tblPr>
        <w:tblStyle w:val="3"/>
        <w:tblW w:w="9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
        <w:gridCol w:w="2377"/>
        <w:gridCol w:w="1440"/>
        <w:gridCol w:w="1290"/>
        <w:gridCol w:w="1435"/>
        <w:gridCol w:w="2470"/>
      </w:tblGrid>
      <w:tr w14:paraId="11EF73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934" w:type="dxa"/>
            <w:tcBorders>
              <w:left w:val="single" w:color="auto" w:sz="12" w:space="0"/>
              <w:bottom w:val="single" w:color="auto" w:sz="12" w:space="0"/>
              <w:right w:val="single" w:color="auto" w:sz="12" w:space="0"/>
            </w:tcBorders>
            <w:shd w:val="clear" w:color="auto" w:fill="auto"/>
            <w:noWrap w:val="0"/>
            <w:vAlign w:val="center"/>
          </w:tcPr>
          <w:p w14:paraId="02D83BE2">
            <w:pPr>
              <w:widowControl/>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序号</w:t>
            </w:r>
          </w:p>
        </w:tc>
        <w:tc>
          <w:tcPr>
            <w:tcW w:w="2377" w:type="dxa"/>
            <w:tcBorders>
              <w:left w:val="single" w:color="auto" w:sz="12" w:space="0"/>
              <w:bottom w:val="single" w:color="auto" w:sz="12" w:space="0"/>
              <w:right w:val="single" w:color="auto" w:sz="12" w:space="0"/>
            </w:tcBorders>
            <w:shd w:val="clear" w:color="auto" w:fill="auto"/>
            <w:noWrap w:val="0"/>
            <w:vAlign w:val="center"/>
          </w:tcPr>
          <w:p w14:paraId="07429915">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货物名称</w:t>
            </w:r>
          </w:p>
        </w:tc>
        <w:tc>
          <w:tcPr>
            <w:tcW w:w="1440" w:type="dxa"/>
            <w:tcBorders>
              <w:left w:val="single" w:color="auto" w:sz="12" w:space="0"/>
              <w:bottom w:val="single" w:color="auto" w:sz="12" w:space="0"/>
              <w:right w:val="single" w:color="auto" w:sz="12" w:space="0"/>
            </w:tcBorders>
            <w:noWrap w:val="0"/>
            <w:vAlign w:val="center"/>
          </w:tcPr>
          <w:p w14:paraId="21B75178">
            <w:pPr>
              <w:widowControl/>
              <w:spacing w:line="360" w:lineRule="auto"/>
              <w:jc w:val="center"/>
              <w:rPr>
                <w:rFonts w:hint="eastAsia" w:ascii="宋体" w:hAnsi="宋体" w:cs="宋体"/>
                <w:b/>
                <w:bCs/>
                <w:sz w:val="24"/>
              </w:rPr>
            </w:pPr>
            <w:r>
              <w:rPr>
                <w:rFonts w:hint="eastAsia" w:ascii="宋体" w:hAnsi="宋体" w:cs="宋体"/>
                <w:b/>
                <w:bCs/>
                <w:sz w:val="24"/>
              </w:rPr>
              <w:t>数量</w:t>
            </w:r>
          </w:p>
        </w:tc>
        <w:tc>
          <w:tcPr>
            <w:tcW w:w="1290" w:type="dxa"/>
            <w:tcBorders>
              <w:left w:val="single" w:color="auto" w:sz="12" w:space="0"/>
              <w:bottom w:val="single" w:color="auto" w:sz="12" w:space="0"/>
              <w:right w:val="single" w:color="auto" w:sz="12" w:space="0"/>
            </w:tcBorders>
            <w:noWrap w:val="0"/>
            <w:vAlign w:val="center"/>
          </w:tcPr>
          <w:p w14:paraId="004B24CF">
            <w:pPr>
              <w:widowControl/>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单价（元）</w:t>
            </w:r>
          </w:p>
        </w:tc>
        <w:tc>
          <w:tcPr>
            <w:tcW w:w="1435" w:type="dxa"/>
            <w:tcBorders>
              <w:left w:val="single" w:color="auto" w:sz="12" w:space="0"/>
              <w:bottom w:val="single" w:color="auto" w:sz="12" w:space="0"/>
              <w:right w:val="single" w:color="auto" w:sz="12" w:space="0"/>
            </w:tcBorders>
            <w:noWrap w:val="0"/>
            <w:vAlign w:val="center"/>
          </w:tcPr>
          <w:p w14:paraId="1D6B6FBE">
            <w:pPr>
              <w:widowControl/>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总价（元）</w:t>
            </w:r>
          </w:p>
        </w:tc>
        <w:tc>
          <w:tcPr>
            <w:tcW w:w="2470" w:type="dxa"/>
            <w:tcBorders>
              <w:left w:val="single" w:color="auto" w:sz="12" w:space="0"/>
              <w:bottom w:val="single" w:color="auto" w:sz="12" w:space="0"/>
            </w:tcBorders>
            <w:noWrap w:val="0"/>
            <w:vAlign w:val="center"/>
          </w:tcPr>
          <w:p w14:paraId="17285DA3">
            <w:pPr>
              <w:widowControl/>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设备重量（吨）</w:t>
            </w:r>
          </w:p>
        </w:tc>
      </w:tr>
      <w:tr w14:paraId="10BF93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934" w:type="dxa"/>
            <w:tcBorders>
              <w:top w:val="single" w:color="auto" w:sz="12" w:space="0"/>
              <w:left w:val="single" w:color="auto" w:sz="12" w:space="0"/>
              <w:bottom w:val="single" w:color="auto" w:sz="12" w:space="0"/>
              <w:right w:val="single" w:color="auto" w:sz="12" w:space="0"/>
            </w:tcBorders>
            <w:shd w:val="clear" w:color="auto" w:fill="auto"/>
            <w:noWrap w:val="0"/>
            <w:vAlign w:val="center"/>
          </w:tcPr>
          <w:p w14:paraId="249A9743">
            <w:pPr>
              <w:widowControl/>
              <w:spacing w:line="240" w:lineRule="auto"/>
              <w:jc w:val="center"/>
              <w:rPr>
                <w:rFonts w:hint="default" w:ascii="宋体" w:hAnsi="宋体" w:cs="宋体"/>
                <w:b/>
                <w:bCs w:val="0"/>
                <w:sz w:val="24"/>
                <w:lang w:val="en-US" w:eastAsia="zh-CN"/>
              </w:rPr>
            </w:pPr>
            <w:r>
              <w:rPr>
                <w:rFonts w:hint="eastAsia" w:ascii="宋体" w:hAnsi="宋体" w:cs="宋体"/>
                <w:b/>
                <w:bCs w:val="0"/>
                <w:sz w:val="24"/>
                <w:lang w:val="en-US" w:eastAsia="zh-CN"/>
              </w:rPr>
              <w:t>1</w:t>
            </w:r>
          </w:p>
        </w:tc>
        <w:tc>
          <w:tcPr>
            <w:tcW w:w="2377" w:type="dxa"/>
            <w:tcBorders>
              <w:top w:val="single" w:color="auto" w:sz="12" w:space="0"/>
              <w:left w:val="single" w:color="auto" w:sz="12" w:space="0"/>
              <w:bottom w:val="single" w:color="auto" w:sz="12" w:space="0"/>
              <w:right w:val="single" w:color="auto" w:sz="12" w:space="0"/>
            </w:tcBorders>
            <w:shd w:val="clear" w:color="auto" w:fill="auto"/>
            <w:noWrap w:val="0"/>
            <w:vAlign w:val="center"/>
          </w:tcPr>
          <w:p w14:paraId="685AFB63">
            <w:pPr>
              <w:spacing w:line="360" w:lineRule="auto"/>
              <w:jc w:val="center"/>
              <w:rPr>
                <w:rFonts w:hint="default" w:ascii="宋体" w:hAnsi="宋体" w:cs="宋体"/>
                <w:b/>
                <w:bCs w:val="0"/>
                <w:sz w:val="24"/>
                <w:lang w:val="en-US" w:eastAsia="zh-CN"/>
              </w:rPr>
            </w:pPr>
            <w:r>
              <w:rPr>
                <w:rFonts w:hint="eastAsia" w:ascii="宋体" w:hAnsi="宋体" w:cs="宋体"/>
                <w:b/>
                <w:bCs w:val="0"/>
                <w:sz w:val="24"/>
                <w:lang w:val="en-US" w:eastAsia="zh-CN"/>
              </w:rPr>
              <w:t>微波加热设备</w:t>
            </w:r>
          </w:p>
        </w:tc>
        <w:tc>
          <w:tcPr>
            <w:tcW w:w="1440" w:type="dxa"/>
            <w:tcBorders>
              <w:top w:val="single" w:color="auto" w:sz="12" w:space="0"/>
              <w:left w:val="single" w:color="auto" w:sz="12" w:space="0"/>
              <w:bottom w:val="single" w:color="auto" w:sz="12" w:space="0"/>
              <w:right w:val="single" w:color="auto" w:sz="12" w:space="0"/>
            </w:tcBorders>
            <w:noWrap w:val="0"/>
            <w:vAlign w:val="center"/>
          </w:tcPr>
          <w:p w14:paraId="3231F92E">
            <w:pPr>
              <w:widowControl/>
              <w:spacing w:line="360" w:lineRule="auto"/>
              <w:jc w:val="center"/>
              <w:rPr>
                <w:rFonts w:hint="default" w:ascii="宋体" w:hAnsi="宋体" w:cs="宋体"/>
                <w:b/>
                <w:bCs w:val="0"/>
                <w:sz w:val="24"/>
                <w:lang w:val="en-US" w:eastAsia="zh-CN"/>
              </w:rPr>
            </w:pPr>
            <w:r>
              <w:rPr>
                <w:rFonts w:hint="eastAsia" w:ascii="宋体" w:hAnsi="宋体" w:cs="宋体"/>
                <w:b/>
                <w:bCs w:val="0"/>
                <w:sz w:val="24"/>
                <w:lang w:val="en-US" w:eastAsia="zh-CN"/>
              </w:rPr>
              <w:t>1套</w:t>
            </w:r>
          </w:p>
        </w:tc>
        <w:tc>
          <w:tcPr>
            <w:tcW w:w="1290" w:type="dxa"/>
            <w:tcBorders>
              <w:top w:val="single" w:color="auto" w:sz="12" w:space="0"/>
              <w:left w:val="single" w:color="auto" w:sz="12" w:space="0"/>
              <w:bottom w:val="single" w:color="auto" w:sz="12" w:space="0"/>
              <w:right w:val="single" w:color="auto" w:sz="12" w:space="0"/>
            </w:tcBorders>
            <w:noWrap w:val="0"/>
            <w:vAlign w:val="center"/>
          </w:tcPr>
          <w:p w14:paraId="4BCAEEE5">
            <w:pPr>
              <w:widowControl/>
              <w:spacing w:line="360" w:lineRule="auto"/>
              <w:jc w:val="left"/>
              <w:rPr>
                <w:rFonts w:hint="eastAsia" w:ascii="宋体" w:hAnsi="宋体" w:cs="宋体"/>
                <w:sz w:val="24"/>
              </w:rPr>
            </w:pPr>
          </w:p>
        </w:tc>
        <w:tc>
          <w:tcPr>
            <w:tcW w:w="1435" w:type="dxa"/>
            <w:tcBorders>
              <w:top w:val="single" w:color="auto" w:sz="12" w:space="0"/>
              <w:left w:val="single" w:color="auto" w:sz="12" w:space="0"/>
              <w:bottom w:val="single" w:color="auto" w:sz="12" w:space="0"/>
              <w:right w:val="single" w:color="auto" w:sz="12" w:space="0"/>
            </w:tcBorders>
            <w:noWrap w:val="0"/>
            <w:vAlign w:val="center"/>
          </w:tcPr>
          <w:p w14:paraId="2E9F1659">
            <w:pPr>
              <w:widowControl/>
              <w:spacing w:line="360" w:lineRule="auto"/>
              <w:jc w:val="left"/>
              <w:rPr>
                <w:rFonts w:hint="eastAsia" w:ascii="宋体" w:hAnsi="宋体" w:cs="宋体"/>
                <w:sz w:val="24"/>
              </w:rPr>
            </w:pPr>
          </w:p>
        </w:tc>
        <w:tc>
          <w:tcPr>
            <w:tcW w:w="2470" w:type="dxa"/>
            <w:tcBorders>
              <w:top w:val="single" w:color="auto" w:sz="12" w:space="0"/>
              <w:left w:val="single" w:color="auto" w:sz="12" w:space="0"/>
              <w:bottom w:val="single" w:color="auto" w:sz="12" w:space="0"/>
            </w:tcBorders>
            <w:noWrap w:val="0"/>
            <w:vAlign w:val="center"/>
          </w:tcPr>
          <w:p w14:paraId="730449E2">
            <w:pPr>
              <w:widowControl/>
              <w:spacing w:line="360" w:lineRule="auto"/>
              <w:jc w:val="center"/>
              <w:rPr>
                <w:rFonts w:hint="default" w:ascii="宋体" w:hAnsi="宋体" w:eastAsia="宋体" w:cs="宋体"/>
                <w:sz w:val="24"/>
                <w:lang w:val="en-US" w:eastAsia="zh-CN"/>
              </w:rPr>
            </w:pPr>
          </w:p>
        </w:tc>
      </w:tr>
      <w:tr w14:paraId="66F509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934" w:type="dxa"/>
            <w:tcBorders>
              <w:top w:val="single" w:color="auto" w:sz="12" w:space="0"/>
              <w:left w:val="single" w:color="auto" w:sz="12" w:space="0"/>
              <w:bottom w:val="single" w:color="auto" w:sz="12" w:space="0"/>
              <w:right w:val="single" w:color="auto" w:sz="12" w:space="0"/>
            </w:tcBorders>
            <w:shd w:val="clear" w:color="auto" w:fill="auto"/>
            <w:noWrap w:val="0"/>
            <w:vAlign w:val="center"/>
          </w:tcPr>
          <w:p w14:paraId="06A9E2C2">
            <w:pPr>
              <w:widowControl/>
              <w:spacing w:line="240" w:lineRule="auto"/>
              <w:jc w:val="center"/>
              <w:rPr>
                <w:rFonts w:hint="eastAsia" w:ascii="宋体" w:hAnsi="宋体" w:eastAsia="宋体" w:cs="宋体"/>
                <w:bCs/>
                <w:sz w:val="24"/>
                <w:lang w:val="en-US" w:eastAsia="zh-CN"/>
              </w:rPr>
            </w:pPr>
            <w:r>
              <w:rPr>
                <w:rFonts w:hint="eastAsia" w:ascii="宋体" w:hAnsi="宋体" w:cs="宋体"/>
                <w:b/>
                <w:bCs w:val="0"/>
                <w:sz w:val="24"/>
                <w:lang w:val="en-US" w:eastAsia="zh-CN"/>
              </w:rPr>
              <w:t>2</w:t>
            </w:r>
          </w:p>
        </w:tc>
        <w:tc>
          <w:tcPr>
            <w:tcW w:w="2377" w:type="dxa"/>
            <w:tcBorders>
              <w:top w:val="single" w:color="auto" w:sz="12" w:space="0"/>
              <w:left w:val="single" w:color="auto" w:sz="12" w:space="0"/>
              <w:bottom w:val="single" w:color="auto" w:sz="12" w:space="0"/>
              <w:right w:val="single" w:color="auto" w:sz="12" w:space="0"/>
            </w:tcBorders>
            <w:shd w:val="clear" w:color="auto" w:fill="auto"/>
            <w:noWrap w:val="0"/>
            <w:vAlign w:val="center"/>
          </w:tcPr>
          <w:p w14:paraId="567406AC">
            <w:pPr>
              <w:spacing w:line="360" w:lineRule="auto"/>
              <w:jc w:val="center"/>
              <w:rPr>
                <w:rFonts w:hint="default" w:ascii="宋体" w:hAnsi="宋体" w:eastAsia="宋体" w:cs="宋体"/>
                <w:bCs/>
                <w:sz w:val="24"/>
                <w:lang w:val="en-US" w:eastAsia="zh-CN"/>
              </w:rPr>
            </w:pPr>
            <w:r>
              <w:rPr>
                <w:rFonts w:hint="eastAsia" w:ascii="宋体" w:hAnsi="宋体" w:cs="宋体"/>
                <w:b/>
                <w:bCs w:val="0"/>
                <w:sz w:val="24"/>
                <w:lang w:val="en-US" w:eastAsia="zh-CN"/>
              </w:rPr>
              <w:t>微波段运输线</w:t>
            </w:r>
          </w:p>
        </w:tc>
        <w:tc>
          <w:tcPr>
            <w:tcW w:w="1440" w:type="dxa"/>
            <w:tcBorders>
              <w:top w:val="single" w:color="auto" w:sz="12" w:space="0"/>
              <w:left w:val="single" w:color="auto" w:sz="12" w:space="0"/>
              <w:bottom w:val="single" w:color="auto" w:sz="12" w:space="0"/>
              <w:right w:val="single" w:color="auto" w:sz="12" w:space="0"/>
            </w:tcBorders>
            <w:noWrap w:val="0"/>
            <w:vAlign w:val="center"/>
          </w:tcPr>
          <w:p w14:paraId="48DAED02">
            <w:pPr>
              <w:widowControl/>
              <w:spacing w:line="360" w:lineRule="auto"/>
              <w:jc w:val="center"/>
              <w:rPr>
                <w:rFonts w:hint="default" w:ascii="宋体" w:hAnsi="宋体" w:eastAsia="宋体" w:cs="宋体"/>
                <w:bCs/>
                <w:sz w:val="24"/>
                <w:lang w:val="en-US" w:eastAsia="zh-CN"/>
              </w:rPr>
            </w:pPr>
            <w:r>
              <w:rPr>
                <w:rFonts w:hint="eastAsia" w:ascii="宋体" w:hAnsi="宋体" w:cs="宋体"/>
                <w:b/>
                <w:bCs w:val="0"/>
                <w:sz w:val="24"/>
                <w:lang w:val="en-US" w:eastAsia="zh-CN"/>
              </w:rPr>
              <w:t>1套</w:t>
            </w:r>
          </w:p>
        </w:tc>
        <w:tc>
          <w:tcPr>
            <w:tcW w:w="1290" w:type="dxa"/>
            <w:tcBorders>
              <w:top w:val="single" w:color="auto" w:sz="12" w:space="0"/>
              <w:left w:val="single" w:color="auto" w:sz="12" w:space="0"/>
              <w:bottom w:val="single" w:color="auto" w:sz="12" w:space="0"/>
              <w:right w:val="single" w:color="auto" w:sz="12" w:space="0"/>
            </w:tcBorders>
            <w:noWrap w:val="0"/>
            <w:vAlign w:val="center"/>
          </w:tcPr>
          <w:p w14:paraId="3E3F7A64">
            <w:pPr>
              <w:widowControl/>
              <w:spacing w:line="360" w:lineRule="auto"/>
              <w:jc w:val="left"/>
              <w:rPr>
                <w:rFonts w:hint="eastAsia" w:ascii="宋体" w:hAnsi="宋体" w:cs="宋体"/>
                <w:sz w:val="24"/>
              </w:rPr>
            </w:pPr>
          </w:p>
        </w:tc>
        <w:tc>
          <w:tcPr>
            <w:tcW w:w="1435" w:type="dxa"/>
            <w:tcBorders>
              <w:top w:val="single" w:color="auto" w:sz="12" w:space="0"/>
              <w:left w:val="single" w:color="auto" w:sz="12" w:space="0"/>
              <w:bottom w:val="single" w:color="auto" w:sz="12" w:space="0"/>
              <w:right w:val="single" w:color="auto" w:sz="12" w:space="0"/>
            </w:tcBorders>
            <w:noWrap w:val="0"/>
            <w:vAlign w:val="center"/>
          </w:tcPr>
          <w:p w14:paraId="61D45AAC">
            <w:pPr>
              <w:widowControl/>
              <w:spacing w:line="360" w:lineRule="auto"/>
              <w:jc w:val="left"/>
              <w:rPr>
                <w:rFonts w:hint="eastAsia" w:ascii="宋体" w:hAnsi="宋体" w:cs="宋体"/>
                <w:sz w:val="24"/>
              </w:rPr>
            </w:pPr>
          </w:p>
        </w:tc>
        <w:tc>
          <w:tcPr>
            <w:tcW w:w="2470" w:type="dxa"/>
            <w:tcBorders>
              <w:top w:val="single" w:color="auto" w:sz="12" w:space="0"/>
              <w:left w:val="single" w:color="auto" w:sz="12" w:space="0"/>
              <w:bottom w:val="single" w:color="auto" w:sz="12" w:space="0"/>
            </w:tcBorders>
            <w:noWrap w:val="0"/>
            <w:vAlign w:val="center"/>
          </w:tcPr>
          <w:p w14:paraId="37679C7D">
            <w:pPr>
              <w:widowControl/>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约36</w:t>
            </w:r>
          </w:p>
        </w:tc>
      </w:tr>
      <w:tr w14:paraId="7EE918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946" w:type="dxa"/>
            <w:gridSpan w:val="6"/>
            <w:tcBorders>
              <w:top w:val="single" w:color="auto" w:sz="12" w:space="0"/>
              <w:left w:val="single" w:color="auto" w:sz="12" w:space="0"/>
              <w:bottom w:val="single" w:color="auto" w:sz="12" w:space="0"/>
            </w:tcBorders>
            <w:shd w:val="clear" w:color="auto" w:fill="auto"/>
            <w:noWrap w:val="0"/>
            <w:vAlign w:val="top"/>
          </w:tcPr>
          <w:p w14:paraId="49B54EC4">
            <w:pPr>
              <w:adjustRightInd w:val="0"/>
              <w:snapToGrid w:val="0"/>
              <w:jc w:val="center"/>
              <w:rPr>
                <w:rFonts w:hint="default" w:ascii="Arial" w:hAnsi="Arial" w:cs="Arial"/>
                <w:b/>
                <w:bCs/>
                <w:sz w:val="24"/>
                <w:szCs w:val="24"/>
                <w:lang w:val="en-US" w:eastAsia="zh-CN"/>
              </w:rPr>
            </w:pPr>
            <w:r>
              <w:rPr>
                <w:rFonts w:hint="eastAsia" w:ascii="Arial" w:hAnsi="Arial" w:cs="Arial"/>
                <w:b/>
                <w:bCs/>
                <w:sz w:val="24"/>
                <w:szCs w:val="24"/>
                <w:lang w:val="en-US" w:eastAsia="zh-CN"/>
              </w:rPr>
              <w:t>交货地：四川鲁丽木业有限公司厂内</w:t>
            </w:r>
          </w:p>
          <w:p w14:paraId="194F5E28">
            <w:pPr>
              <w:adjustRightInd w:val="0"/>
              <w:snapToGrid w:val="0"/>
              <w:jc w:val="center"/>
              <w:rPr>
                <w:rFonts w:ascii="Arial" w:hAnsi="Arial" w:cs="Arial"/>
                <w:b/>
                <w:bCs/>
                <w:sz w:val="24"/>
                <w:szCs w:val="24"/>
              </w:rPr>
            </w:pPr>
            <w:r>
              <w:rPr>
                <w:rFonts w:hint="eastAsia" w:ascii="Arial" w:hAnsi="Arial" w:cs="Arial"/>
                <w:b/>
                <w:bCs/>
                <w:sz w:val="24"/>
                <w:szCs w:val="24"/>
                <w:lang w:val="en-US" w:eastAsia="zh-CN"/>
              </w:rPr>
              <w:t>交货期：</w:t>
            </w:r>
            <w:r>
              <w:rPr>
                <w:rFonts w:ascii="Arial" w:hAnsi="Arial" w:cs="Arial"/>
                <w:b/>
                <w:bCs/>
                <w:sz w:val="24"/>
                <w:szCs w:val="24"/>
              </w:rPr>
              <w:t>*末批货发货</w:t>
            </w:r>
            <w:r>
              <w:rPr>
                <w:rFonts w:hint="eastAsia" w:ascii="Arial" w:hAnsi="Arial" w:cs="Arial"/>
                <w:b/>
                <w:bCs/>
                <w:sz w:val="24"/>
                <w:szCs w:val="24"/>
              </w:rPr>
              <w:t>完成</w:t>
            </w:r>
            <w:r>
              <w:rPr>
                <w:rFonts w:ascii="Arial" w:hAnsi="Arial" w:cs="Arial"/>
                <w:b/>
                <w:bCs/>
                <w:sz w:val="24"/>
                <w:szCs w:val="24"/>
              </w:rPr>
              <w:t>时间：X+</w:t>
            </w:r>
            <w:r>
              <w:rPr>
                <w:rFonts w:hint="eastAsia" w:ascii="Arial" w:hAnsi="Arial" w:cs="Arial"/>
                <w:b/>
                <w:bCs/>
                <w:sz w:val="24"/>
                <w:szCs w:val="24"/>
                <w:highlight w:val="yellow"/>
                <w:lang w:val="en-US" w:eastAsia="zh-CN"/>
              </w:rPr>
              <w:t>1</w:t>
            </w:r>
            <w:r>
              <w:rPr>
                <w:rFonts w:ascii="Arial" w:hAnsi="Arial" w:cs="Arial"/>
                <w:b/>
                <w:bCs/>
                <w:sz w:val="24"/>
                <w:szCs w:val="24"/>
                <w:highlight w:val="yellow"/>
              </w:rPr>
              <w:t>个月内</w:t>
            </w:r>
          </w:p>
          <w:p w14:paraId="6DBB1957">
            <w:pPr>
              <w:widowControl/>
              <w:spacing w:line="360" w:lineRule="auto"/>
              <w:jc w:val="center"/>
              <w:rPr>
                <w:rFonts w:hint="eastAsia" w:ascii="宋体" w:hAnsi="宋体" w:cs="宋体"/>
                <w:sz w:val="24"/>
              </w:rPr>
            </w:pPr>
            <w:r>
              <w:rPr>
                <w:rFonts w:ascii="Arial" w:hAnsi="Arial" w:cs="Arial"/>
                <w:b/>
                <w:bCs/>
                <w:sz w:val="24"/>
                <w:szCs w:val="24"/>
              </w:rPr>
              <w:t>（X为合同签订后首付款到卖方账号时间）</w:t>
            </w:r>
          </w:p>
        </w:tc>
      </w:tr>
      <w:tr w14:paraId="1DD3AB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946" w:type="dxa"/>
            <w:gridSpan w:val="6"/>
            <w:tcBorders>
              <w:top w:val="single" w:color="auto" w:sz="12" w:space="0"/>
              <w:left w:val="single" w:color="auto" w:sz="12" w:space="0"/>
              <w:bottom w:val="single" w:color="auto" w:sz="12" w:space="0"/>
            </w:tcBorders>
            <w:shd w:val="clear" w:color="auto" w:fill="auto"/>
            <w:noWrap w:val="0"/>
            <w:vAlign w:val="top"/>
          </w:tcPr>
          <w:p w14:paraId="452E7470">
            <w:pPr>
              <w:adjustRightInd w:val="0"/>
              <w:snapToGrid w:val="0"/>
              <w:jc w:val="center"/>
              <w:rPr>
                <w:rFonts w:hint="eastAsia" w:ascii="仿宋_GB2312" w:eastAsia="仿宋_GB2312"/>
                <w:b/>
                <w:bCs/>
                <w:sz w:val="28"/>
                <w:szCs w:val="32"/>
                <w:lang w:val="en-US" w:eastAsia="zh-CN"/>
              </w:rPr>
            </w:pPr>
            <w:r>
              <w:rPr>
                <w:rFonts w:hint="eastAsia" w:ascii="仿宋_GB2312" w:eastAsia="仿宋_GB2312"/>
                <w:b/>
                <w:bCs/>
                <w:sz w:val="28"/>
                <w:szCs w:val="32"/>
                <w:lang w:val="en-US" w:eastAsia="zh-CN"/>
              </w:rPr>
              <w:t>付款方式：12个月等额支付</w:t>
            </w:r>
          </w:p>
          <w:p w14:paraId="2D24F94D">
            <w:pPr>
              <w:adjustRightInd w:val="0"/>
              <w:snapToGrid w:val="0"/>
              <w:jc w:val="center"/>
              <w:rPr>
                <w:rFonts w:hint="default" w:ascii="仿宋_GB2312" w:eastAsia="仿宋_GB2312"/>
                <w:b/>
                <w:bCs/>
                <w:sz w:val="28"/>
                <w:szCs w:val="32"/>
                <w:lang w:val="en-US" w:eastAsia="zh-CN"/>
              </w:rPr>
            </w:pPr>
            <w:r>
              <w:rPr>
                <w:rFonts w:hint="eastAsia" w:ascii="仿宋_GB2312" w:eastAsia="仿宋_GB2312"/>
                <w:b/>
                <w:bCs/>
                <w:sz w:val="28"/>
                <w:szCs w:val="32"/>
                <w:lang w:val="en-US" w:eastAsia="zh-CN"/>
              </w:rPr>
              <w:t>支付方式：现汇或者6个月承兑汇票</w:t>
            </w:r>
          </w:p>
          <w:p w14:paraId="05E413F8">
            <w:pPr>
              <w:widowControl/>
              <w:spacing w:line="360" w:lineRule="auto"/>
              <w:jc w:val="center"/>
              <w:rPr>
                <w:rFonts w:ascii="Arial" w:hAnsi="Arial" w:cs="Arial"/>
                <w:b/>
                <w:bCs/>
                <w:szCs w:val="21"/>
              </w:rPr>
            </w:pPr>
            <w:r>
              <w:rPr>
                <w:rFonts w:hint="eastAsia" w:ascii="仿宋_GB2312" w:eastAsia="仿宋_GB2312"/>
                <w:b/>
                <w:bCs/>
                <w:sz w:val="28"/>
                <w:szCs w:val="32"/>
              </w:rPr>
              <w:t>以上报价含1</w:t>
            </w:r>
            <w:r>
              <w:rPr>
                <w:rFonts w:ascii="仿宋_GB2312" w:eastAsia="仿宋_GB2312"/>
                <w:b/>
                <w:bCs/>
                <w:sz w:val="28"/>
                <w:szCs w:val="32"/>
              </w:rPr>
              <w:t>3</w:t>
            </w:r>
            <w:r>
              <w:rPr>
                <w:rFonts w:hint="eastAsia" w:ascii="仿宋_GB2312" w:eastAsia="仿宋_GB2312"/>
                <w:b/>
                <w:bCs/>
                <w:sz w:val="28"/>
                <w:szCs w:val="32"/>
              </w:rPr>
              <w:t>%增值税，含运费到厂价格。</w:t>
            </w:r>
          </w:p>
        </w:tc>
      </w:tr>
    </w:tbl>
    <w:p w14:paraId="54A58158">
      <w:pPr>
        <w:ind w:left="-420" w:leftChars="-200" w:right="-313" w:rightChars="-149" w:firstLine="0" w:firstLineChars="0"/>
      </w:pPr>
    </w:p>
    <w:sectPr>
      <w:pgSz w:w="11906" w:h="16838"/>
      <w:pgMar w:top="1440" w:right="446" w:bottom="1440" w:left="96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DI2MzI1OGE4NTZhOTYwODIyZjI1MDU3OTRmOWIifQ=="/>
  </w:docVars>
  <w:rsids>
    <w:rsidRoot w:val="21E8116F"/>
    <w:rsid w:val="006D4332"/>
    <w:rsid w:val="01C34939"/>
    <w:rsid w:val="02B20C36"/>
    <w:rsid w:val="058A7C48"/>
    <w:rsid w:val="06400C4E"/>
    <w:rsid w:val="069F52F5"/>
    <w:rsid w:val="07064AAB"/>
    <w:rsid w:val="074107DA"/>
    <w:rsid w:val="09CF3ED0"/>
    <w:rsid w:val="09F47D86"/>
    <w:rsid w:val="0A430E0F"/>
    <w:rsid w:val="0AA30E74"/>
    <w:rsid w:val="0BA8707A"/>
    <w:rsid w:val="0BD7459C"/>
    <w:rsid w:val="0D8458C4"/>
    <w:rsid w:val="0D9B051A"/>
    <w:rsid w:val="11567578"/>
    <w:rsid w:val="1173396A"/>
    <w:rsid w:val="11D706B9"/>
    <w:rsid w:val="12DB7D35"/>
    <w:rsid w:val="130D010A"/>
    <w:rsid w:val="140E3434"/>
    <w:rsid w:val="14263231"/>
    <w:rsid w:val="16691CFC"/>
    <w:rsid w:val="166B13D0"/>
    <w:rsid w:val="17A96653"/>
    <w:rsid w:val="198B03D5"/>
    <w:rsid w:val="19D159ED"/>
    <w:rsid w:val="1C183DA8"/>
    <w:rsid w:val="1C507474"/>
    <w:rsid w:val="205253AE"/>
    <w:rsid w:val="206E043A"/>
    <w:rsid w:val="21883334"/>
    <w:rsid w:val="21CC49EE"/>
    <w:rsid w:val="21E8116F"/>
    <w:rsid w:val="22010E3A"/>
    <w:rsid w:val="22737F8A"/>
    <w:rsid w:val="26F747B3"/>
    <w:rsid w:val="27363334"/>
    <w:rsid w:val="276500BD"/>
    <w:rsid w:val="276C061D"/>
    <w:rsid w:val="27BD1CA7"/>
    <w:rsid w:val="2987431B"/>
    <w:rsid w:val="2E754949"/>
    <w:rsid w:val="2F3E7229"/>
    <w:rsid w:val="31201950"/>
    <w:rsid w:val="31815AF3"/>
    <w:rsid w:val="31E542D4"/>
    <w:rsid w:val="354B26A0"/>
    <w:rsid w:val="35D63FA6"/>
    <w:rsid w:val="37175EC7"/>
    <w:rsid w:val="373158C6"/>
    <w:rsid w:val="382D7258"/>
    <w:rsid w:val="38A87E0A"/>
    <w:rsid w:val="39B15DF0"/>
    <w:rsid w:val="3A033549"/>
    <w:rsid w:val="3A541FF7"/>
    <w:rsid w:val="3B1700AF"/>
    <w:rsid w:val="3BF27298"/>
    <w:rsid w:val="3D18555E"/>
    <w:rsid w:val="3D510A70"/>
    <w:rsid w:val="3E90075F"/>
    <w:rsid w:val="3EA04C4F"/>
    <w:rsid w:val="3F5D7E8E"/>
    <w:rsid w:val="4101455B"/>
    <w:rsid w:val="41455B97"/>
    <w:rsid w:val="42DF08CC"/>
    <w:rsid w:val="45DA19EB"/>
    <w:rsid w:val="46167802"/>
    <w:rsid w:val="46470C62"/>
    <w:rsid w:val="47E74470"/>
    <w:rsid w:val="49FA4A78"/>
    <w:rsid w:val="4A397740"/>
    <w:rsid w:val="4ACA1E61"/>
    <w:rsid w:val="4B3B711E"/>
    <w:rsid w:val="4B990150"/>
    <w:rsid w:val="4C2F01CE"/>
    <w:rsid w:val="4DA23F65"/>
    <w:rsid w:val="4E30022D"/>
    <w:rsid w:val="4ED137BE"/>
    <w:rsid w:val="4FD01CC8"/>
    <w:rsid w:val="503C0DF6"/>
    <w:rsid w:val="51EE6435"/>
    <w:rsid w:val="526D1A50"/>
    <w:rsid w:val="539354E6"/>
    <w:rsid w:val="53C731B1"/>
    <w:rsid w:val="5664316A"/>
    <w:rsid w:val="579707F5"/>
    <w:rsid w:val="57B20CB1"/>
    <w:rsid w:val="583077A8"/>
    <w:rsid w:val="5DEB62B1"/>
    <w:rsid w:val="5E3B7D55"/>
    <w:rsid w:val="5FC2383D"/>
    <w:rsid w:val="6044486C"/>
    <w:rsid w:val="60C03693"/>
    <w:rsid w:val="61112140"/>
    <w:rsid w:val="61B741D0"/>
    <w:rsid w:val="62BF00A6"/>
    <w:rsid w:val="63163A3E"/>
    <w:rsid w:val="65E21236"/>
    <w:rsid w:val="66DE4873"/>
    <w:rsid w:val="66F173EA"/>
    <w:rsid w:val="68B24209"/>
    <w:rsid w:val="68EB2C90"/>
    <w:rsid w:val="68ED3493"/>
    <w:rsid w:val="69C35B5B"/>
    <w:rsid w:val="6C472EBA"/>
    <w:rsid w:val="6CF50B68"/>
    <w:rsid w:val="6D1C2BD8"/>
    <w:rsid w:val="6E0C29F0"/>
    <w:rsid w:val="709541F4"/>
    <w:rsid w:val="72BF19FC"/>
    <w:rsid w:val="72E03DCB"/>
    <w:rsid w:val="74412BA1"/>
    <w:rsid w:val="75B90985"/>
    <w:rsid w:val="787C3EEC"/>
    <w:rsid w:val="79EC0644"/>
    <w:rsid w:val="7BE129E3"/>
    <w:rsid w:val="7BF87D2D"/>
    <w:rsid w:val="7C596E5F"/>
    <w:rsid w:val="7D4A236D"/>
    <w:rsid w:val="7E665F6E"/>
    <w:rsid w:val="7F9D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1543</Words>
  <Characters>1619</Characters>
  <Lines>0</Lines>
  <Paragraphs>0</Paragraphs>
  <TotalTime>7</TotalTime>
  <ScaleCrop>false</ScaleCrop>
  <LinksUpToDate>false</LinksUpToDate>
  <CharactersWithSpaces>1643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2024-10-24T09:04:00Z</dcterms:created>
  <dc:creator>呆呆</dc:creator>
  <cp:lastModifiedBy>尹广龙</cp:lastModifiedBy>
  <dcterms:modified xsi:type="dcterms:W3CDTF">2025-09-25T11:05:02Z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1393942F56EA487A880760C71A963046_13</vt:lpwstr>
  </property>
  <property fmtid="{D5CDD505-2E9C-101B-9397-08002B2CF9AE}" pid="4" name="KSOTemplateDocerSaveRecord">
    <vt:lpwstr>eyJoZGlkIjoiZDVkNDI2MzI1OGE4NTZhOTYwODIyZjI1MDU3OTRmOWIiLCJ1c2VySWQiOiIyNzIwNTA5MzEifQ==</vt:lpwstr>
  </property>
</Properties>
</file>