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A38B8">
      <w:pPr>
        <w:jc w:val="center"/>
        <w:rPr>
          <w:rFonts w:hint="eastAsia" w:ascii="方正小标宋简体" w:hAnsi="方正小标宋简体" w:eastAsia="方正小标宋简体" w:cs="方正小标宋简体"/>
          <w:i w:val="0"/>
          <w:caps w:val="0"/>
          <w:color w:val="auto"/>
          <w:spacing w:val="0"/>
          <w:sz w:val="43"/>
          <w:szCs w:val="43"/>
          <w:highlight w:val="none"/>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3"/>
          <w:szCs w:val="43"/>
          <w:highlight w:val="none"/>
          <w:shd w:val="clear" w:color="auto" w:fill="FFFFFF"/>
          <w:lang w:val="en-US" w:eastAsia="zh-CN"/>
        </w:rPr>
        <w:t>2025年多伦多机场货运地面代理服务</w:t>
      </w:r>
      <w:r>
        <w:rPr>
          <w:rFonts w:hint="eastAsia" w:ascii="方正小标宋简体" w:hAnsi="方正小标宋简体" w:eastAsia="方正小标宋简体" w:cs="方正小标宋简体"/>
          <w:i w:val="0"/>
          <w:caps w:val="0"/>
          <w:color w:val="auto"/>
          <w:spacing w:val="0"/>
          <w:sz w:val="43"/>
          <w:szCs w:val="43"/>
          <w:highlight w:val="none"/>
          <w:shd w:val="clear" w:color="auto" w:fill="FFFFFF"/>
          <w:lang w:eastAsia="zh-CN"/>
        </w:rPr>
        <w:t>采购项目文件</w:t>
      </w:r>
    </w:p>
    <w:p w14:paraId="01E99523">
      <w:pPr>
        <w:rPr>
          <w:rFonts w:hint="eastAsia"/>
          <w:color w:val="auto"/>
          <w:sz w:val="32"/>
          <w:szCs w:val="32"/>
          <w:highlight w:val="none"/>
        </w:rPr>
      </w:pPr>
    </w:p>
    <w:p w14:paraId="62BB84CE">
      <w:pPr>
        <w:jc w:val="center"/>
        <w:rPr>
          <w:rFonts w:hint="eastAsia" w:ascii="宋体" w:hAnsi="宋体" w:cs="Arial"/>
          <w:b/>
          <w:color w:val="auto"/>
          <w:sz w:val="32"/>
          <w:szCs w:val="32"/>
          <w:highlight w:val="none"/>
        </w:rPr>
      </w:pPr>
    </w:p>
    <w:p w14:paraId="4AD7171A">
      <w:pPr>
        <w:rPr>
          <w:rFonts w:ascii="宋体" w:hAnsi="宋体" w:cs="Arial"/>
          <w:color w:val="auto"/>
          <w:sz w:val="32"/>
          <w:szCs w:val="32"/>
          <w:highlight w:val="none"/>
        </w:rPr>
      </w:pPr>
    </w:p>
    <w:p w14:paraId="7D1FEFBA">
      <w:pPr>
        <w:rPr>
          <w:rFonts w:ascii="宋体" w:hAnsi="宋体" w:cs="Arial"/>
          <w:color w:val="auto"/>
          <w:sz w:val="32"/>
          <w:szCs w:val="32"/>
          <w:highlight w:val="none"/>
        </w:rPr>
      </w:pPr>
    </w:p>
    <w:p w14:paraId="1C2F6F89">
      <w:pPr>
        <w:jc w:val="center"/>
        <w:rPr>
          <w:rFonts w:hint="eastAsia" w:ascii="宋体" w:hAnsi="宋体" w:cs="Arial"/>
          <w:color w:val="auto"/>
          <w:sz w:val="32"/>
          <w:szCs w:val="32"/>
          <w:highlight w:val="none"/>
        </w:rPr>
      </w:pPr>
      <w:bookmarkStart w:id="0" w:name="ProjectCode0"/>
    </w:p>
    <w:p w14:paraId="51B52C08">
      <w:pPr>
        <w:jc w:val="center"/>
        <w:rPr>
          <w:rFonts w:hint="eastAsia" w:ascii="宋体" w:hAnsi="宋体"/>
          <w:color w:val="auto"/>
          <w:sz w:val="32"/>
          <w:szCs w:val="32"/>
          <w:highlight w:val="none"/>
        </w:rPr>
      </w:pPr>
    </w:p>
    <w:bookmarkEnd w:id="0"/>
    <w:p w14:paraId="123F046F">
      <w:pPr>
        <w:tabs>
          <w:tab w:val="center" w:pos="4624"/>
          <w:tab w:val="left" w:pos="6469"/>
        </w:tabs>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项目名称：</w:t>
      </w:r>
      <w:r>
        <w:rPr>
          <w:rFonts w:hint="eastAsia" w:ascii="宋体" w:hAnsi="宋体" w:cs="宋体"/>
          <w:color w:val="auto"/>
          <w:sz w:val="32"/>
          <w:szCs w:val="32"/>
          <w:highlight w:val="none"/>
          <w:lang w:val="en-US" w:eastAsia="zh-CN"/>
        </w:rPr>
        <w:t>2025年多伦多机场货运地面代理服务</w:t>
      </w:r>
      <w:r>
        <w:rPr>
          <w:rFonts w:hint="eastAsia" w:ascii="宋体" w:hAnsi="宋体" w:eastAsia="宋体" w:cs="宋体"/>
          <w:color w:val="auto"/>
          <w:sz w:val="32"/>
          <w:szCs w:val="32"/>
          <w:highlight w:val="none"/>
        </w:rPr>
        <w:tab/>
      </w:r>
    </w:p>
    <w:p w14:paraId="224F1EB5">
      <w:pPr>
        <w:ind w:firstLine="640" w:firstLineChars="200"/>
        <w:jc w:val="both"/>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项目编号：</w:t>
      </w:r>
      <w:r>
        <w:rPr>
          <w:rFonts w:hint="eastAsia" w:ascii="宋体" w:hAnsi="宋体" w:cs="宋体"/>
          <w:sz w:val="32"/>
          <w:szCs w:val="32"/>
          <w:highlight w:val="none"/>
          <w:u w:val="none"/>
          <w:lang w:val="en-US" w:eastAsia="zh-CN"/>
        </w:rPr>
        <w:t>CZ2024009467</w:t>
      </w:r>
    </w:p>
    <w:p w14:paraId="59ACB928">
      <w:pPr>
        <w:spacing w:line="360" w:lineRule="auto"/>
        <w:ind w:firstLine="640" w:firstLineChars="200"/>
        <w:rPr>
          <w:rFonts w:hint="eastAsia" w:ascii="宋体" w:hAnsi="宋体" w:cs="宋体"/>
          <w:sz w:val="32"/>
          <w:szCs w:val="32"/>
          <w:highlight w:val="none"/>
          <w:u w:val="none"/>
          <w:lang w:eastAsia="zh-CN"/>
        </w:rPr>
      </w:pPr>
      <w:r>
        <w:rPr>
          <w:rFonts w:hint="eastAsia" w:ascii="宋体" w:hAnsi="宋体" w:eastAsia="宋体" w:cs="宋体"/>
          <w:color w:val="auto"/>
          <w:sz w:val="32"/>
          <w:szCs w:val="32"/>
          <w:highlight w:val="none"/>
          <w:lang w:eastAsia="zh-CN"/>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sz w:val="32"/>
          <w:szCs w:val="32"/>
          <w:highlight w:val="none"/>
          <w:u w:val="none"/>
          <w:lang w:eastAsia="zh-CN"/>
        </w:rPr>
        <w:t>中国南方航空股份有限公司</w:t>
      </w:r>
    </w:p>
    <w:p w14:paraId="35BF06E6">
      <w:pPr>
        <w:spacing w:line="360" w:lineRule="auto"/>
        <w:ind w:firstLine="640" w:firstLineChars="200"/>
        <w:rPr>
          <w:rFonts w:hint="eastAsia" w:ascii="宋体" w:hAnsi="宋体" w:cs="宋体"/>
          <w:sz w:val="32"/>
          <w:szCs w:val="32"/>
          <w:highlight w:val="none"/>
          <w:u w:val="none"/>
          <w:lang w:eastAsia="zh-CN"/>
        </w:rPr>
      </w:pPr>
      <w:r>
        <w:rPr>
          <w:rFonts w:hint="eastAsia" w:ascii="宋体" w:hAnsi="宋体" w:cs="宋体"/>
          <w:sz w:val="32"/>
          <w:szCs w:val="32"/>
          <w:highlight w:val="none"/>
          <w:u w:val="none"/>
          <w:lang w:eastAsia="zh-CN"/>
        </w:rPr>
        <w:t>采购实施单位：南方航空物流股份有限公司</w:t>
      </w:r>
    </w:p>
    <w:p w14:paraId="45CB3B3E">
      <w:pPr>
        <w:spacing w:line="360" w:lineRule="auto"/>
        <w:ind w:right="879"/>
        <w:rPr>
          <w:rFonts w:hint="eastAsia" w:ascii="宋体" w:hAnsi="宋体" w:eastAsia="宋体" w:cs="宋体"/>
          <w:color w:val="auto"/>
          <w:sz w:val="32"/>
          <w:szCs w:val="32"/>
          <w:highlight w:val="none"/>
        </w:rPr>
      </w:pPr>
    </w:p>
    <w:p w14:paraId="0DE212A0">
      <w:pPr>
        <w:spacing w:line="360" w:lineRule="auto"/>
        <w:ind w:right="879" w:firstLine="800" w:firstLineChars="250"/>
        <w:rPr>
          <w:rFonts w:hint="eastAsia" w:ascii="宋体" w:hAnsi="宋体" w:eastAsia="宋体" w:cs="宋体"/>
          <w:color w:val="auto"/>
          <w:sz w:val="32"/>
          <w:szCs w:val="32"/>
          <w:highlight w:val="none"/>
        </w:rPr>
      </w:pPr>
    </w:p>
    <w:p w14:paraId="0A0FFCB2">
      <w:pPr>
        <w:spacing w:line="360" w:lineRule="auto"/>
        <w:ind w:right="879" w:firstLine="800" w:firstLineChars="250"/>
        <w:rPr>
          <w:rFonts w:hint="eastAsia" w:ascii="宋体" w:hAnsi="宋体" w:eastAsia="宋体" w:cs="宋体"/>
          <w:color w:val="auto"/>
          <w:sz w:val="32"/>
          <w:szCs w:val="32"/>
          <w:highlight w:val="none"/>
        </w:rPr>
      </w:pPr>
    </w:p>
    <w:p w14:paraId="6F01F84E">
      <w:pPr>
        <w:spacing w:line="360" w:lineRule="auto"/>
        <w:ind w:right="879" w:firstLine="0" w:firstLineChars="0"/>
        <w:jc w:val="center"/>
        <w:rPr>
          <w:rFonts w:hint="eastAsia" w:ascii="宋体" w:hAnsi="宋体" w:eastAsia="宋体" w:cs="宋体"/>
          <w:sz w:val="32"/>
          <w:szCs w:val="32"/>
          <w:highlight w:val="none"/>
          <w:u w:val="none"/>
        </w:rPr>
      </w:pPr>
      <w:r>
        <w:rPr>
          <w:rFonts w:hint="eastAsia" w:ascii="宋体" w:hAnsi="宋体" w:cs="宋体"/>
          <w:sz w:val="32"/>
          <w:szCs w:val="32"/>
          <w:highlight w:val="none"/>
          <w:u w:val="none"/>
          <w:lang w:val="en-US" w:eastAsia="zh-CN"/>
        </w:rPr>
        <w:t>2025</w:t>
      </w:r>
      <w:r>
        <w:rPr>
          <w:rFonts w:hint="eastAsia" w:ascii="宋体" w:hAnsi="宋体" w:eastAsia="宋体" w:cs="宋体"/>
          <w:sz w:val="32"/>
          <w:szCs w:val="32"/>
          <w:highlight w:val="none"/>
          <w:u w:val="none"/>
        </w:rPr>
        <w:t>年</w:t>
      </w:r>
      <w:r>
        <w:rPr>
          <w:rFonts w:hint="eastAsia" w:ascii="宋体" w:hAnsi="宋体" w:cs="宋体"/>
          <w:sz w:val="32"/>
          <w:szCs w:val="32"/>
          <w:highlight w:val="none"/>
          <w:u w:val="none"/>
          <w:lang w:val="en-US" w:eastAsia="zh-CN"/>
        </w:rPr>
        <w:t>9</w:t>
      </w:r>
      <w:r>
        <w:rPr>
          <w:rFonts w:hint="eastAsia" w:ascii="宋体" w:hAnsi="宋体" w:eastAsia="宋体" w:cs="宋体"/>
          <w:sz w:val="32"/>
          <w:szCs w:val="32"/>
          <w:highlight w:val="none"/>
          <w:u w:val="none"/>
        </w:rPr>
        <w:t>月</w:t>
      </w:r>
    </w:p>
    <w:p w14:paraId="1A150A43">
      <w:pPr>
        <w:spacing w:line="360" w:lineRule="auto"/>
        <w:ind w:right="879" w:firstLine="0" w:firstLineChars="0"/>
        <w:jc w:val="center"/>
        <w:rPr>
          <w:rFonts w:hint="eastAsia" w:ascii="宋体" w:hAnsi="宋体" w:eastAsia="宋体" w:cs="宋体"/>
          <w:sz w:val="32"/>
          <w:szCs w:val="32"/>
          <w:highlight w:val="none"/>
          <w:u w:val="none"/>
        </w:rPr>
      </w:pPr>
    </w:p>
    <w:p w14:paraId="1A2688B8">
      <w:pPr>
        <w:spacing w:line="360" w:lineRule="auto"/>
        <w:ind w:right="879" w:firstLine="0" w:firstLineChars="0"/>
        <w:jc w:val="center"/>
        <w:rPr>
          <w:rFonts w:hint="eastAsia" w:ascii="宋体" w:hAnsi="宋体" w:eastAsia="宋体" w:cs="宋体"/>
          <w:sz w:val="32"/>
          <w:szCs w:val="32"/>
          <w:highlight w:val="none"/>
          <w:u w:val="none"/>
        </w:rPr>
      </w:pPr>
    </w:p>
    <w:p w14:paraId="40137B74">
      <w:pPr>
        <w:spacing w:line="360" w:lineRule="auto"/>
        <w:ind w:right="879" w:firstLine="0" w:firstLineChars="0"/>
        <w:jc w:val="center"/>
        <w:rPr>
          <w:rFonts w:hint="eastAsia" w:ascii="宋体" w:hAnsi="宋体" w:eastAsia="宋体" w:cs="宋体"/>
          <w:sz w:val="32"/>
          <w:szCs w:val="32"/>
          <w:highlight w:val="none"/>
          <w:u w:val="none"/>
        </w:rPr>
      </w:pPr>
    </w:p>
    <w:p w14:paraId="43348341">
      <w:pPr>
        <w:spacing w:line="360" w:lineRule="auto"/>
        <w:ind w:right="879" w:firstLine="0" w:firstLineChars="0"/>
        <w:jc w:val="center"/>
        <w:rPr>
          <w:rFonts w:hint="eastAsia" w:ascii="宋体" w:hAnsi="宋体" w:eastAsia="宋体" w:cs="宋体"/>
          <w:sz w:val="32"/>
          <w:szCs w:val="32"/>
          <w:highlight w:val="none"/>
          <w:u w:val="none"/>
        </w:rPr>
      </w:pPr>
    </w:p>
    <w:p w14:paraId="52E87807">
      <w:pPr>
        <w:spacing w:line="360" w:lineRule="auto"/>
        <w:ind w:right="879" w:firstLine="0" w:firstLineChars="0"/>
        <w:jc w:val="center"/>
        <w:rPr>
          <w:rFonts w:hint="eastAsia" w:ascii="宋体" w:hAnsi="宋体" w:eastAsia="宋体" w:cs="宋体"/>
          <w:sz w:val="32"/>
          <w:szCs w:val="32"/>
          <w:highlight w:val="none"/>
          <w:u w:val="none"/>
        </w:rPr>
      </w:pPr>
    </w:p>
    <w:p w14:paraId="62D819A1">
      <w:pPr>
        <w:spacing w:line="360" w:lineRule="auto"/>
        <w:ind w:right="879" w:firstLine="0" w:firstLineChars="0"/>
        <w:jc w:val="center"/>
        <w:rPr>
          <w:rFonts w:hint="eastAsia" w:ascii="宋体" w:hAnsi="宋体" w:eastAsia="宋体" w:cs="宋体"/>
          <w:sz w:val="32"/>
          <w:szCs w:val="32"/>
          <w:highlight w:val="none"/>
          <w:u w:val="none"/>
        </w:rPr>
      </w:pPr>
    </w:p>
    <w:p w14:paraId="3544CFD4">
      <w:pPr>
        <w:spacing w:line="360" w:lineRule="auto"/>
        <w:ind w:right="879" w:firstLine="0" w:firstLineChars="0"/>
        <w:jc w:val="both"/>
        <w:rPr>
          <w:rFonts w:hint="eastAsia" w:ascii="宋体" w:hAnsi="宋体" w:eastAsia="宋体" w:cs="宋体"/>
          <w:sz w:val="32"/>
          <w:szCs w:val="32"/>
          <w:highlight w:val="none"/>
          <w:u w:val="none"/>
        </w:rPr>
      </w:pPr>
    </w:p>
    <w:p w14:paraId="276805DB">
      <w:pPr>
        <w:spacing w:line="360" w:lineRule="auto"/>
        <w:ind w:right="879" w:firstLine="0" w:firstLineChars="0"/>
        <w:jc w:val="both"/>
        <w:rPr>
          <w:rFonts w:hint="eastAsia" w:ascii="宋体" w:hAnsi="宋体" w:eastAsia="宋体" w:cs="宋体"/>
          <w:sz w:val="32"/>
          <w:szCs w:val="32"/>
          <w:highlight w:val="none"/>
          <w:u w:val="none"/>
        </w:rPr>
      </w:pPr>
    </w:p>
    <w:sdt>
      <w:sdtPr>
        <w:rPr>
          <w:rFonts w:ascii="宋体" w:hAnsi="宋体" w:eastAsia="宋体" w:cs="Times New Roman"/>
          <w:kern w:val="2"/>
          <w:sz w:val="21"/>
          <w:szCs w:val="24"/>
          <w:lang w:val="en-US" w:eastAsia="zh-CN" w:bidi="ar-SA"/>
        </w:rPr>
        <w:id w:val="14745293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11817746">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EA11C88">
          <w:pPr>
            <w:pStyle w:val="13"/>
            <w:tabs>
              <w:tab w:val="right" w:leader="dot" w:pos="8868"/>
            </w:tabs>
          </w:pPr>
          <w:r>
            <w:fldChar w:fldCharType="begin"/>
          </w:r>
          <w:r>
            <w:instrText xml:space="preserve">TOC \o "1-1" \h \u </w:instrText>
          </w:r>
          <w:r>
            <w:fldChar w:fldCharType="separate"/>
          </w:r>
          <w:r>
            <w:fldChar w:fldCharType="begin"/>
          </w:r>
          <w:r>
            <w:instrText xml:space="preserve"> HYPERLINK \l _Toc59130675 </w:instrText>
          </w:r>
          <w:r>
            <w:fldChar w:fldCharType="separate"/>
          </w:r>
          <w:r>
            <w:rPr>
              <w:rFonts w:hint="eastAsia" w:eastAsia="宋体"/>
              <w:highlight w:val="none"/>
            </w:rPr>
            <w:t>第</w:t>
          </w:r>
          <w:r>
            <w:rPr>
              <w:rFonts w:hint="eastAsia" w:eastAsia="宋体"/>
              <w:highlight w:val="none"/>
              <w:lang w:val="en-US" w:eastAsia="zh-CN"/>
            </w:rPr>
            <w:t>一</w:t>
          </w:r>
          <w:r>
            <w:rPr>
              <w:rFonts w:hint="eastAsia" w:eastAsia="宋体"/>
              <w:highlight w:val="none"/>
            </w:rPr>
            <w:t xml:space="preserve">章  </w:t>
          </w:r>
          <w:r>
            <w:rPr>
              <w:rFonts w:hint="eastAsia"/>
              <w:highlight w:val="none"/>
              <w:lang w:val="en-US" w:eastAsia="zh-CN"/>
            </w:rPr>
            <w:t>谈判采购</w:t>
          </w:r>
          <w:r>
            <w:rPr>
              <w:rFonts w:hint="eastAsia" w:eastAsia="宋体"/>
              <w:highlight w:val="none"/>
              <w:lang w:eastAsia="zh-CN"/>
            </w:rPr>
            <w:t>公告</w:t>
          </w:r>
          <w:r>
            <w:tab/>
          </w:r>
          <w:r>
            <w:fldChar w:fldCharType="begin"/>
          </w:r>
          <w:r>
            <w:instrText xml:space="preserve"> PAGEREF _Toc59130675 \h </w:instrText>
          </w:r>
          <w:r>
            <w:fldChar w:fldCharType="separate"/>
          </w:r>
          <w:r>
            <w:t>3</w:t>
          </w:r>
          <w:r>
            <w:fldChar w:fldCharType="end"/>
          </w:r>
          <w:r>
            <w:fldChar w:fldCharType="end"/>
          </w:r>
        </w:p>
        <w:p w14:paraId="31AD08BD">
          <w:pPr>
            <w:pStyle w:val="13"/>
            <w:tabs>
              <w:tab w:val="right" w:leader="dot" w:pos="8868"/>
            </w:tabs>
          </w:pPr>
          <w:r>
            <w:fldChar w:fldCharType="begin"/>
          </w:r>
          <w:r>
            <w:instrText xml:space="preserve"> HYPERLINK \l _Toc1652636853 </w:instrText>
          </w:r>
          <w:r>
            <w:fldChar w:fldCharType="separate"/>
          </w:r>
          <w:r>
            <w:rPr>
              <w:rFonts w:hint="eastAsia"/>
              <w:highlight w:val="none"/>
              <w:lang w:val="en-US" w:eastAsia="zh-CN"/>
            </w:rPr>
            <w:t>第二章  供应商须知</w:t>
          </w:r>
          <w:r>
            <w:tab/>
          </w:r>
          <w:r>
            <w:fldChar w:fldCharType="begin"/>
          </w:r>
          <w:r>
            <w:instrText xml:space="preserve"> PAGEREF _Toc1652636853 \h </w:instrText>
          </w:r>
          <w:r>
            <w:fldChar w:fldCharType="separate"/>
          </w:r>
          <w:r>
            <w:t>7</w:t>
          </w:r>
          <w:r>
            <w:fldChar w:fldCharType="end"/>
          </w:r>
          <w:r>
            <w:fldChar w:fldCharType="end"/>
          </w:r>
        </w:p>
        <w:p w14:paraId="6C15F969">
          <w:pPr>
            <w:pStyle w:val="13"/>
            <w:tabs>
              <w:tab w:val="right" w:leader="dot" w:pos="8868"/>
            </w:tabs>
          </w:pPr>
          <w:r>
            <w:fldChar w:fldCharType="begin"/>
          </w:r>
          <w:r>
            <w:instrText xml:space="preserve"> HYPERLINK \l _Toc877435142 </w:instrText>
          </w:r>
          <w:r>
            <w:fldChar w:fldCharType="separate"/>
          </w:r>
          <w:r>
            <w:rPr>
              <w:rFonts w:hint="eastAsia"/>
              <w:highlight w:val="none"/>
              <w:lang w:eastAsia="zh-CN"/>
            </w:rPr>
            <w:t>第三章</w:t>
          </w:r>
          <w:r>
            <w:rPr>
              <w:rFonts w:hint="eastAsia"/>
              <w:highlight w:val="none"/>
            </w:rPr>
            <w:t xml:space="preserve">  </w:t>
          </w:r>
          <w:r>
            <w:rPr>
              <w:rFonts w:hint="eastAsia"/>
              <w:highlight w:val="none"/>
              <w:lang w:val="en-US" w:eastAsia="zh-CN"/>
            </w:rPr>
            <w:t>用户需求</w:t>
          </w:r>
          <w:r>
            <w:tab/>
          </w:r>
          <w:r>
            <w:fldChar w:fldCharType="begin"/>
          </w:r>
          <w:r>
            <w:instrText xml:space="preserve"> PAGEREF _Toc877435142 \h </w:instrText>
          </w:r>
          <w:r>
            <w:fldChar w:fldCharType="separate"/>
          </w:r>
          <w:r>
            <w:t>10</w:t>
          </w:r>
          <w:r>
            <w:fldChar w:fldCharType="end"/>
          </w:r>
          <w:r>
            <w:fldChar w:fldCharType="end"/>
          </w:r>
        </w:p>
        <w:p w14:paraId="350BB630">
          <w:pPr>
            <w:pStyle w:val="13"/>
            <w:tabs>
              <w:tab w:val="right" w:leader="dot" w:pos="8868"/>
            </w:tabs>
          </w:pPr>
          <w:r>
            <w:fldChar w:fldCharType="begin"/>
          </w:r>
          <w:r>
            <w:instrText xml:space="preserve"> HYPERLINK \l _Toc1142892184 </w:instrText>
          </w:r>
          <w:r>
            <w:fldChar w:fldCharType="separate"/>
          </w:r>
          <w:r>
            <w:rPr>
              <w:rFonts w:hint="eastAsia"/>
              <w:highlight w:val="none"/>
              <w:lang w:val="en-US" w:eastAsia="zh-CN"/>
            </w:rPr>
            <w:t>第四章</w:t>
          </w:r>
          <w:r>
            <w:rPr>
              <w:rFonts w:hint="eastAsia"/>
              <w:highlight w:val="none"/>
            </w:rPr>
            <w:t xml:space="preserve"> </w:t>
          </w:r>
          <w:r>
            <w:rPr>
              <w:highlight w:val="none"/>
            </w:rPr>
            <w:t>合同条款及格式</w:t>
          </w:r>
          <w:r>
            <w:tab/>
          </w:r>
          <w:r>
            <w:fldChar w:fldCharType="begin"/>
          </w:r>
          <w:r>
            <w:instrText xml:space="preserve"> PAGEREF _Toc1142892184 \h </w:instrText>
          </w:r>
          <w:r>
            <w:fldChar w:fldCharType="separate"/>
          </w:r>
          <w:r>
            <w:t>16</w:t>
          </w:r>
          <w:r>
            <w:fldChar w:fldCharType="end"/>
          </w:r>
          <w:r>
            <w:fldChar w:fldCharType="end"/>
          </w:r>
        </w:p>
        <w:p w14:paraId="0A23DDB5">
          <w:pPr>
            <w:pStyle w:val="13"/>
            <w:tabs>
              <w:tab w:val="right" w:leader="dot" w:pos="8868"/>
            </w:tabs>
          </w:pPr>
          <w:r>
            <w:fldChar w:fldCharType="begin"/>
          </w:r>
          <w:r>
            <w:instrText xml:space="preserve"> HYPERLINK \l _Toc323808138 </w:instrText>
          </w:r>
          <w:r>
            <w:fldChar w:fldCharType="separate"/>
          </w:r>
          <w:r>
            <w:rPr>
              <w:rFonts w:hint="eastAsia"/>
              <w:highlight w:val="none"/>
              <w:lang w:val="en-US" w:eastAsia="zh-CN"/>
            </w:rPr>
            <w:t>第五章 响应文件格式</w:t>
          </w:r>
          <w:r>
            <w:tab/>
          </w:r>
          <w:r>
            <w:fldChar w:fldCharType="begin"/>
          </w:r>
          <w:r>
            <w:instrText xml:space="preserve"> PAGEREF _Toc323808138 \h </w:instrText>
          </w:r>
          <w:r>
            <w:fldChar w:fldCharType="separate"/>
          </w:r>
          <w:r>
            <w:t>17</w:t>
          </w:r>
          <w:r>
            <w:fldChar w:fldCharType="end"/>
          </w:r>
          <w:r>
            <w:fldChar w:fldCharType="end"/>
          </w:r>
        </w:p>
        <w:p w14:paraId="40653E48">
          <w:r>
            <w:fldChar w:fldCharType="end"/>
          </w:r>
        </w:p>
      </w:sdtContent>
    </w:sdt>
    <w:p w14:paraId="6493C347">
      <w:pPr>
        <w:spacing w:line="360" w:lineRule="auto"/>
        <w:ind w:right="879" w:firstLine="0" w:firstLineChars="0"/>
        <w:jc w:val="both"/>
        <w:rPr>
          <w:rFonts w:hint="eastAsia" w:ascii="宋体" w:hAnsi="宋体" w:eastAsia="宋体" w:cs="Times New Roman"/>
          <w:kern w:val="2"/>
          <w:sz w:val="20"/>
          <w:szCs w:val="20"/>
          <w:highlight w:val="none"/>
          <w:lang w:val="en-US" w:eastAsia="zh-CN" w:bidi="ar-SA"/>
        </w:rPr>
      </w:pPr>
    </w:p>
    <w:p w14:paraId="3D7CCF8F">
      <w:pPr>
        <w:spacing w:before="120" w:beforeLines="50" w:after="120" w:afterLines="50" w:line="502" w:lineRule="exact"/>
        <w:jc w:val="both"/>
        <w:rPr>
          <w:color w:val="auto"/>
          <w:kern w:val="2"/>
          <w:szCs w:val="44"/>
          <w:highlight w:val="none"/>
          <w:lang w:val="en-US" w:eastAsia="zh-CN" w:bidi="ar-SA"/>
        </w:rPr>
      </w:pPr>
      <w:bookmarkStart w:id="114" w:name="_GoBack"/>
      <w:bookmarkEnd w:id="114"/>
      <w:bookmarkStart w:id="1" w:name="_Toc504657600"/>
    </w:p>
    <w:p w14:paraId="4A98AB13">
      <w:pPr>
        <w:rPr>
          <w:rFonts w:ascii="Times New Roman" w:hAnsi="Times New Roman" w:eastAsia="宋体" w:cs="Times New Roman"/>
          <w:kern w:val="2"/>
          <w:sz w:val="21"/>
          <w:szCs w:val="24"/>
          <w:lang w:val="en-US" w:eastAsia="zh-CN" w:bidi="ar-SA"/>
        </w:rPr>
      </w:pPr>
    </w:p>
    <w:p w14:paraId="144427EA">
      <w:pPr>
        <w:rPr>
          <w:lang w:val="en-US" w:eastAsia="zh-CN"/>
        </w:rPr>
      </w:pPr>
    </w:p>
    <w:p w14:paraId="0911E062">
      <w:pPr>
        <w:jc w:val="center"/>
        <w:rPr>
          <w:lang w:val="en-US" w:eastAsia="zh-CN"/>
        </w:rPr>
      </w:pPr>
    </w:p>
    <w:p w14:paraId="4E0FC7EF">
      <w:pPr>
        <w:pageBreakBefore/>
        <w:spacing w:before="157" w:beforeLines="50" w:after="157" w:afterLines="50" w:line="502" w:lineRule="exact"/>
        <w:jc w:val="center"/>
        <w:outlineLvl w:val="0"/>
        <w:rPr>
          <w:rFonts w:hint="eastAsia" w:eastAsia="宋体"/>
          <w:b/>
          <w:color w:val="auto"/>
          <w:sz w:val="44"/>
          <w:highlight w:val="none"/>
        </w:rPr>
      </w:pPr>
      <w:bookmarkStart w:id="2" w:name="_Toc13354"/>
      <w:bookmarkStart w:id="3" w:name="_Toc59130675"/>
      <w:r>
        <w:rPr>
          <w:rFonts w:hint="eastAsia" w:eastAsia="宋体"/>
          <w:b/>
          <w:color w:val="auto"/>
          <w:sz w:val="44"/>
          <w:highlight w:val="none"/>
        </w:rPr>
        <w:t>第</w:t>
      </w:r>
      <w:r>
        <w:rPr>
          <w:rFonts w:hint="eastAsia" w:eastAsia="宋体"/>
          <w:b/>
          <w:color w:val="auto"/>
          <w:sz w:val="44"/>
          <w:highlight w:val="none"/>
          <w:lang w:val="en-US" w:eastAsia="zh-CN"/>
        </w:rPr>
        <w:t>一</w:t>
      </w:r>
      <w:r>
        <w:rPr>
          <w:rFonts w:hint="eastAsia" w:eastAsia="宋体"/>
          <w:b/>
          <w:color w:val="auto"/>
          <w:sz w:val="44"/>
          <w:highlight w:val="none"/>
        </w:rPr>
        <w:t xml:space="preserve">章  </w:t>
      </w:r>
      <w:bookmarkEnd w:id="1"/>
      <w:r>
        <w:rPr>
          <w:rFonts w:hint="eastAsia"/>
          <w:b/>
          <w:color w:val="auto"/>
          <w:sz w:val="44"/>
          <w:highlight w:val="none"/>
          <w:lang w:val="en-US" w:eastAsia="zh-CN"/>
        </w:rPr>
        <w:t>谈判采购</w:t>
      </w:r>
      <w:r>
        <w:rPr>
          <w:rFonts w:hint="eastAsia" w:eastAsia="宋体"/>
          <w:b/>
          <w:color w:val="auto"/>
          <w:sz w:val="44"/>
          <w:highlight w:val="none"/>
          <w:lang w:eastAsia="zh-CN"/>
        </w:rPr>
        <w:t>公告</w:t>
      </w:r>
      <w:bookmarkEnd w:id="2"/>
      <w:bookmarkEnd w:id="3"/>
    </w:p>
    <w:p w14:paraId="7BFB3CB3">
      <w:pPr>
        <w:spacing w:line="360" w:lineRule="auto"/>
        <w:ind w:firstLine="420" w:firstLineChars="200"/>
        <w:rPr>
          <w:rFonts w:hint="eastAsia"/>
          <w:color w:val="auto"/>
          <w:highlight w:val="none"/>
        </w:rPr>
      </w:pPr>
      <w:r>
        <w:rPr>
          <w:rFonts w:hint="eastAsia" w:ascii="宋体" w:hAnsi="宋体" w:cs="宋体"/>
          <w:color w:val="auto"/>
          <w:highlight w:val="none"/>
          <w:u w:val="none"/>
          <w:lang w:val="en-US" w:eastAsia="zh-CN"/>
        </w:rPr>
        <w:t>中国南方航空股份有限公司</w:t>
      </w:r>
      <w:r>
        <w:rPr>
          <w:rFonts w:hint="eastAsia" w:ascii="宋体" w:hAnsi="宋体" w:eastAsia="宋体" w:cs="宋体"/>
          <w:color w:val="auto"/>
          <w:highlight w:val="none"/>
          <w:u w:val="none"/>
          <w:lang w:eastAsia="zh-CN"/>
        </w:rPr>
        <w:t>(以下简称“采购人”)</w:t>
      </w:r>
      <w:r>
        <w:rPr>
          <w:rFonts w:hint="eastAsia" w:ascii="宋体" w:hAnsi="宋体" w:eastAsia="宋体" w:cs="宋体"/>
          <w:color w:val="auto"/>
          <w:highlight w:val="none"/>
          <w:u w:val="none"/>
        </w:rPr>
        <w:t>现对</w:t>
      </w:r>
      <w:r>
        <w:rPr>
          <w:rFonts w:hint="eastAsia" w:ascii="宋体" w:hAnsi="宋体" w:cs="宋体"/>
          <w:color w:val="auto"/>
          <w:highlight w:val="none"/>
          <w:u w:val="none"/>
          <w:lang w:val="en-US" w:eastAsia="zh-CN"/>
        </w:rPr>
        <w:t>2025年多伦多机场货运地面代理服务</w:t>
      </w:r>
      <w:r>
        <w:rPr>
          <w:rFonts w:hint="eastAsia"/>
          <w:color w:val="auto"/>
          <w:highlight w:val="none"/>
        </w:rPr>
        <w:t>进行</w:t>
      </w:r>
      <w:r>
        <w:rPr>
          <w:rFonts w:hint="eastAsia"/>
          <w:color w:val="auto"/>
          <w:highlight w:val="none"/>
          <w:lang w:val="en-US" w:eastAsia="zh-CN"/>
        </w:rPr>
        <w:t>谈判采购</w:t>
      </w:r>
      <w:r>
        <w:rPr>
          <w:rFonts w:hint="eastAsia"/>
          <w:color w:val="auto"/>
          <w:highlight w:val="none"/>
        </w:rPr>
        <w:t>。</w:t>
      </w:r>
    </w:p>
    <w:p w14:paraId="3364CBE8">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rPr>
      </w:pPr>
      <w:bookmarkStart w:id="4" w:name="_Toc504657601"/>
      <w:bookmarkStart w:id="5" w:name="_Toc3804"/>
      <w:bookmarkStart w:id="6" w:name="_Toc4062"/>
      <w:bookmarkStart w:id="7" w:name="_Toc32126"/>
      <w:bookmarkStart w:id="8" w:name="_Toc15520"/>
      <w:r>
        <w:rPr>
          <w:rFonts w:hint="eastAsia" w:ascii="宋体" w:hAnsi="宋体" w:eastAsia="宋体" w:cs="宋体"/>
          <w:b/>
          <w:color w:val="auto"/>
          <w:sz w:val="28"/>
          <w:highlight w:val="none"/>
        </w:rPr>
        <w:t>1、</w:t>
      </w:r>
      <w:r>
        <w:rPr>
          <w:rFonts w:hint="eastAsia" w:eastAsia="宋体"/>
          <w:b/>
          <w:color w:val="auto"/>
          <w:sz w:val="28"/>
          <w:highlight w:val="none"/>
        </w:rPr>
        <w:t>项目简介</w:t>
      </w:r>
      <w:bookmarkEnd w:id="4"/>
      <w:bookmarkEnd w:id="5"/>
      <w:bookmarkEnd w:id="6"/>
      <w:bookmarkEnd w:id="7"/>
      <w:bookmarkEnd w:id="8"/>
    </w:p>
    <w:p w14:paraId="778EB7CD">
      <w:pPr>
        <w:spacing w:line="360" w:lineRule="auto"/>
        <w:ind w:firstLine="422" w:firstLineChars="200"/>
        <w:rPr>
          <w:rFonts w:hint="default" w:ascii="宋体" w:hAnsi="宋体"/>
          <w:color w:val="auto"/>
          <w:szCs w:val="21"/>
          <w:highlight w:val="none"/>
          <w:lang w:val="en-US" w:eastAsia="zh-CN"/>
        </w:rPr>
      </w:pPr>
      <w:r>
        <w:rPr>
          <w:rFonts w:hint="eastAsia" w:ascii="宋体" w:hAnsi="宋体"/>
          <w:b/>
          <w:color w:val="auto"/>
          <w:szCs w:val="21"/>
          <w:highlight w:val="none"/>
        </w:rPr>
        <w:t>1.1</w:t>
      </w:r>
      <w:r>
        <w:rPr>
          <w:rFonts w:ascii="宋体" w:hAnsi="宋体"/>
          <w:b/>
          <w:color w:val="auto"/>
          <w:szCs w:val="21"/>
          <w:highlight w:val="non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2025年多伦多机场货运地面代理服务项目</w:t>
      </w:r>
    </w:p>
    <w:p w14:paraId="399D760D">
      <w:pPr>
        <w:spacing w:line="360" w:lineRule="auto"/>
        <w:ind w:firstLine="422" w:firstLineChars="200"/>
        <w:rPr>
          <w:rFonts w:hint="eastAsia" w:ascii="宋体" w:hAnsi="宋体" w:eastAsia="宋体"/>
          <w:color w:val="auto"/>
          <w:szCs w:val="21"/>
          <w:highlight w:val="none"/>
          <w:lang w:val="en-US" w:eastAsia="zh-CN"/>
        </w:rPr>
      </w:pPr>
      <w:r>
        <w:rPr>
          <w:rFonts w:hint="eastAsia" w:ascii="宋体" w:hAnsi="宋体"/>
          <w:b/>
          <w:color w:val="auto"/>
          <w:szCs w:val="21"/>
          <w:highlight w:val="none"/>
        </w:rPr>
        <w:t>1.2</w:t>
      </w:r>
      <w:r>
        <w:rPr>
          <w:rFonts w:ascii="宋体" w:hAnsi="宋体"/>
          <w:b/>
          <w:color w:val="auto"/>
          <w:szCs w:val="21"/>
          <w:highlight w:val="none"/>
        </w:rPr>
        <w:t xml:space="preserve"> </w:t>
      </w:r>
      <w:r>
        <w:rPr>
          <w:rFonts w:hint="eastAsia" w:ascii="宋体" w:hAnsi="宋体"/>
          <w:b w:val="0"/>
          <w:bCs/>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lang w:eastAsia="zh-CN"/>
        </w:rPr>
        <w:t>CZ2024009467</w:t>
      </w:r>
    </w:p>
    <w:p w14:paraId="2FFEC1B3">
      <w:pPr>
        <w:spacing w:line="360" w:lineRule="auto"/>
        <w:ind w:firstLine="422" w:firstLineChars="200"/>
        <w:rPr>
          <w:rFonts w:hint="eastAsia" w:ascii="宋体" w:hAnsi="宋体" w:eastAsia="宋体" w:cs="宋体"/>
          <w:color w:val="000000"/>
          <w:szCs w:val="21"/>
          <w:highlight w:val="none"/>
          <w:lang w:val="en-US" w:eastAsia="zh-CN"/>
        </w:rPr>
      </w:pPr>
      <w:r>
        <w:rPr>
          <w:rFonts w:hint="eastAsia" w:ascii="宋体" w:hAnsi="宋体"/>
          <w:b/>
          <w:color w:val="auto"/>
          <w:szCs w:val="21"/>
          <w:highlight w:val="none"/>
        </w:rPr>
        <w:t>1.3</w:t>
      </w:r>
      <w:r>
        <w:rPr>
          <w:rFonts w:ascii="宋体" w:hAnsi="宋体"/>
          <w:b/>
          <w:color w:val="auto"/>
          <w:szCs w:val="21"/>
          <w:highlight w:val="none"/>
        </w:rPr>
        <w:t xml:space="preserve"> </w:t>
      </w:r>
      <w:r>
        <w:rPr>
          <w:rFonts w:hint="eastAsia" w:ascii="宋体" w:hAnsi="宋体"/>
          <w:color w:val="auto"/>
          <w:szCs w:val="21"/>
          <w:highlight w:val="none"/>
        </w:rPr>
        <w:t>项目类别：</w:t>
      </w:r>
      <w:r>
        <w:rPr>
          <w:rFonts w:hint="eastAsia" w:ascii="宋体" w:hAnsi="宋体" w:eastAsia="宋体" w:cs="宋体"/>
          <w:color w:val="000000"/>
          <w:szCs w:val="21"/>
          <w:highlight w:val="none"/>
          <w:lang w:val="en-US" w:eastAsia="zh-CN"/>
        </w:rPr>
        <w:t>服务类</w:t>
      </w:r>
    </w:p>
    <w:p w14:paraId="65569113">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1.4</w:t>
      </w:r>
      <w:r>
        <w:rPr>
          <w:rFonts w:ascii="宋体" w:hAnsi="宋体"/>
          <w:b/>
          <w:color w:val="auto"/>
          <w:szCs w:val="21"/>
          <w:highlight w:val="none"/>
        </w:rPr>
        <w:t xml:space="preserve"> </w:t>
      </w:r>
      <w:r>
        <w:rPr>
          <w:rFonts w:hint="eastAsia" w:ascii="宋体" w:hAnsi="宋体"/>
          <w:color w:val="auto"/>
          <w:szCs w:val="21"/>
          <w:highlight w:val="none"/>
        </w:rPr>
        <w:t>资金来源：企业自筹资金</w:t>
      </w:r>
    </w:p>
    <w:p w14:paraId="51E688A4">
      <w:pPr>
        <w:spacing w:line="360" w:lineRule="auto"/>
        <w:ind w:firstLine="422" w:firstLineChars="200"/>
        <w:rPr>
          <w:rFonts w:hint="eastAsia" w:ascii="宋体" w:hAnsi="宋体"/>
          <w:b/>
          <w:color w:val="auto"/>
          <w:szCs w:val="21"/>
          <w:highlight w:val="none"/>
        </w:rPr>
      </w:pPr>
      <w:bookmarkStart w:id="9" w:name="OLE_LINK2"/>
      <w:r>
        <w:rPr>
          <w:rFonts w:hint="eastAsia" w:ascii="宋体" w:hAnsi="宋体"/>
          <w:b/>
          <w:color w:val="auto"/>
          <w:szCs w:val="21"/>
          <w:highlight w:val="none"/>
        </w:rPr>
        <w:t xml:space="preserve">1.5 </w:t>
      </w:r>
      <w:r>
        <w:rPr>
          <w:rFonts w:hint="eastAsia" w:ascii="宋体" w:hAnsi="宋体"/>
          <w:b w:val="0"/>
          <w:bCs/>
          <w:color w:val="auto"/>
          <w:szCs w:val="21"/>
          <w:highlight w:val="none"/>
          <w:lang w:val="en-US" w:eastAsia="zh-CN"/>
        </w:rPr>
        <w:t>项目</w:t>
      </w:r>
      <w:r>
        <w:rPr>
          <w:rFonts w:hint="eastAsia" w:ascii="宋体" w:hAnsi="宋体"/>
          <w:b w:val="0"/>
          <w:bCs/>
          <w:color w:val="auto"/>
          <w:szCs w:val="21"/>
          <w:highlight w:val="none"/>
        </w:rPr>
        <w:t>内容</w:t>
      </w:r>
      <w:r>
        <w:rPr>
          <w:rFonts w:hint="eastAsia" w:ascii="宋体" w:hAnsi="宋体"/>
          <w:b w:val="0"/>
          <w:bCs/>
          <w:color w:val="auto"/>
          <w:szCs w:val="21"/>
          <w:highlight w:val="none"/>
          <w:lang w:eastAsia="zh-CN"/>
        </w:rPr>
        <w:t>：</w:t>
      </w:r>
      <w:bookmarkEnd w:id="9"/>
    </w:p>
    <w:tbl>
      <w:tblPr>
        <w:tblStyle w:val="18"/>
        <w:tblpPr w:leftFromText="180" w:rightFromText="180" w:vertAnchor="text" w:horzAnchor="page" w:tblpX="1432" w:tblpY="445"/>
        <w:tblOverlap w:val="never"/>
        <w:tblW w:w="88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2492"/>
        <w:gridCol w:w="1627"/>
        <w:gridCol w:w="1534"/>
        <w:gridCol w:w="2481"/>
      </w:tblGrid>
      <w:tr w14:paraId="42A6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4529B8C">
            <w:pPr>
              <w:keepNext w:val="0"/>
              <w:keepLines w:val="0"/>
              <w:widowControl/>
              <w:suppressLineNumbers w:val="0"/>
              <w:spacing w:beforeLines="-2147483648" w:afterLines="-2147483648" w:line="360" w:lineRule="auto"/>
              <w:ind w:firstLine="0" w:firstLineChars="0"/>
              <w:jc w:val="left"/>
              <w:textAlignment w:val="auto"/>
              <w:rPr>
                <w:rFonts w:hint="eastAsia" w:ascii="宋体" w:hAnsi="宋体" w:eastAsia="宋体" w:cs="宋体"/>
                <w:b w:val="0"/>
                <w:bCs/>
                <w:szCs w:val="21"/>
                <w:highlight w:val="none"/>
              </w:rPr>
            </w:pPr>
            <w:r>
              <w:rPr>
                <w:rFonts w:hint="eastAsia" w:ascii="宋体" w:hAnsi="宋体" w:eastAsia="宋体" w:cs="宋体"/>
                <w:b w:val="0"/>
                <w:bCs/>
                <w:i w:val="0"/>
                <w:color w:val="000000"/>
                <w:kern w:val="0"/>
                <w:sz w:val="22"/>
                <w:szCs w:val="22"/>
                <w:highlight w:val="none"/>
                <w:u w:val="none"/>
                <w:lang w:val="en-US" w:eastAsia="zh-CN" w:bidi="ar"/>
              </w:rPr>
              <w:t>序号</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262925C">
            <w:pPr>
              <w:spacing w:beforeLines="-2147483648" w:afterLines="-2147483648" w:line="360" w:lineRule="auto"/>
              <w:ind w:firstLine="420" w:firstLineChars="200"/>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采购内容</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C990BCE">
            <w:pPr>
              <w:spacing w:beforeLines="-2147483648" w:afterLines="-2147483648" w:line="360" w:lineRule="auto"/>
              <w:ind w:firstLine="420" w:firstLineChars="200"/>
              <w:jc w:val="left"/>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val="en-US" w:eastAsia="zh-CN"/>
              </w:rPr>
              <w:t>采购数量</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2BC6A150">
            <w:pPr>
              <w:spacing w:beforeLines="-2147483648" w:afterLines="-2147483648" w:line="360" w:lineRule="auto"/>
              <w:ind w:firstLine="420" w:firstLineChars="200"/>
              <w:jc w:val="left"/>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交易上限</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7D056A01">
            <w:pPr>
              <w:spacing w:beforeLines="-2147483648" w:afterLines="-2147483648" w:line="360" w:lineRule="auto"/>
              <w:ind w:firstLine="420" w:firstLineChars="200"/>
              <w:jc w:val="left"/>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备注</w:t>
            </w:r>
          </w:p>
        </w:tc>
      </w:tr>
      <w:tr w14:paraId="15FFD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8D1546D">
            <w:pPr>
              <w:keepNext w:val="0"/>
              <w:keepLines w:val="0"/>
              <w:widowControl/>
              <w:suppressLineNumbers w:val="0"/>
              <w:spacing w:beforeLines="0" w:afterLines="0" w:line="240" w:lineRule="auto"/>
              <w:jc w:val="center"/>
              <w:textAlignment w:val="center"/>
              <w:rPr>
                <w:rFonts w:hint="eastAsia" w:ascii="宋体" w:hAnsi="宋体" w:eastAsia="宋体" w:cs="宋体"/>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1B8903F">
            <w:pPr>
              <w:spacing w:beforeLines="0" w:afterLines="0" w:line="240" w:lineRule="auto"/>
              <w:jc w:val="center"/>
              <w:rPr>
                <w:rFonts w:hint="eastAsia" w:ascii="宋体" w:hAnsi="宋体" w:eastAsia="宋体" w:cs="宋体"/>
                <w:szCs w:val="21"/>
                <w:highlight w:val="none"/>
                <w:lang w:eastAsia="zh-CN"/>
              </w:rPr>
            </w:pPr>
            <w:r>
              <w:rPr>
                <w:rFonts w:hint="eastAsia" w:ascii="宋体" w:hAnsi="宋体"/>
                <w:color w:val="auto"/>
                <w:szCs w:val="21"/>
                <w:highlight w:val="none"/>
                <w:lang w:eastAsia="zh-CN"/>
              </w:rPr>
              <w:t>2025年多伦多机场货运地面代理服务</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7200B10">
            <w:pPr>
              <w:spacing w:beforeLines="0" w:afterLines="0"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按实际发生量</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6B864A3">
            <w:pPr>
              <w:spacing w:beforeLines="0" w:afterLines="0" w:line="24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5525万元</w:t>
            </w:r>
          </w:p>
          <w:p w14:paraId="50C8FC09">
            <w:pPr>
              <w:spacing w:beforeLines="0" w:afterLines="0"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人民币</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41906540">
            <w:pPr>
              <w:spacing w:beforeLines="0" w:afterLines="0" w:line="240" w:lineRule="auto"/>
              <w:jc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适用范围：中国南方航空股份有限公司、中国南方航空货运有限公司。</w:t>
            </w:r>
          </w:p>
        </w:tc>
      </w:tr>
    </w:tbl>
    <w:p w14:paraId="157787C8">
      <w:pPr>
        <w:spacing w:beforeLines="0" w:afterLines="0" w:line="360" w:lineRule="auto"/>
        <w:rPr>
          <w:rFonts w:hint="eastAsia" w:ascii="宋体" w:hAnsi="宋体" w:eastAsia="宋体" w:cs="宋体"/>
          <w:kern w:val="0"/>
          <w:szCs w:val="21"/>
          <w:highlight w:val="none"/>
          <w:lang w:val="en-US" w:eastAsia="zh-CN"/>
        </w:rPr>
      </w:pPr>
    </w:p>
    <w:p w14:paraId="71ACF8EE">
      <w:pPr>
        <w:spacing w:beforeLines="0" w:afterLines="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kern w:val="0"/>
          <w:szCs w:val="21"/>
          <w:highlight w:val="none"/>
          <w:lang w:val="en-US" w:eastAsia="zh-CN"/>
        </w:rPr>
        <w:t>本项目采用框架（无固定总金额）采购模式。</w:t>
      </w:r>
      <w:r>
        <w:rPr>
          <w:rFonts w:hint="eastAsia" w:ascii="宋体" w:hAnsi="宋体" w:eastAsia="宋体" w:cs="宋体"/>
          <w:kern w:val="0"/>
          <w:szCs w:val="21"/>
          <w:highlight w:val="none"/>
          <w:lang w:eastAsia="zh-CN"/>
        </w:rPr>
        <w:t>谈判人</w:t>
      </w:r>
      <w:bookmarkStart w:id="10" w:name="OLE_LINK13"/>
      <w:r>
        <w:rPr>
          <w:rFonts w:hint="eastAsia" w:ascii="宋体" w:hAnsi="宋体" w:eastAsia="宋体" w:cs="宋体"/>
          <w:kern w:val="0"/>
          <w:szCs w:val="21"/>
          <w:highlight w:val="none"/>
        </w:rPr>
        <w:t>必须对</w:t>
      </w:r>
      <w:r>
        <w:rPr>
          <w:rFonts w:hint="eastAsia" w:ascii="宋体" w:hAnsi="宋体" w:cs="宋体"/>
          <w:kern w:val="0"/>
          <w:szCs w:val="21"/>
          <w:highlight w:val="none"/>
          <w:lang w:eastAsia="zh-CN"/>
        </w:rPr>
        <w:t>必要</w:t>
      </w:r>
      <w:r>
        <w:rPr>
          <w:rFonts w:hint="eastAsia" w:ascii="宋体" w:hAnsi="宋体" w:eastAsia="宋体" w:cs="宋体"/>
          <w:kern w:val="0"/>
          <w:szCs w:val="21"/>
          <w:highlight w:val="none"/>
        </w:rPr>
        <w:t>内容进行报价</w:t>
      </w:r>
      <w:bookmarkEnd w:id="10"/>
      <w:r>
        <w:rPr>
          <w:rFonts w:hint="eastAsia" w:ascii="宋体" w:hAnsi="宋体" w:eastAsia="宋体" w:cs="宋体"/>
          <w:kern w:val="0"/>
          <w:szCs w:val="21"/>
          <w:highlight w:val="none"/>
        </w:rPr>
        <w:t>，</w:t>
      </w:r>
      <w:r>
        <w:rPr>
          <w:rFonts w:hint="eastAsia" w:ascii="宋体" w:hAnsi="宋体" w:eastAsia="宋体" w:cs="宋体"/>
          <w:b/>
          <w:bCs/>
          <w:kern w:val="0"/>
          <w:szCs w:val="21"/>
          <w:highlight w:val="none"/>
        </w:rPr>
        <w:t>如有缺漏，将导致</w:t>
      </w:r>
      <w:r>
        <w:rPr>
          <w:rFonts w:hint="eastAsia" w:ascii="宋体" w:hAnsi="宋体" w:eastAsia="宋体" w:cs="宋体"/>
          <w:b/>
          <w:bCs/>
          <w:kern w:val="0"/>
          <w:szCs w:val="21"/>
          <w:highlight w:val="none"/>
          <w:lang w:eastAsia="zh-CN"/>
        </w:rPr>
        <w:t>报价</w:t>
      </w:r>
      <w:r>
        <w:rPr>
          <w:rFonts w:hint="eastAsia" w:ascii="宋体" w:hAnsi="宋体" w:eastAsia="宋体" w:cs="宋体"/>
          <w:b/>
          <w:bCs/>
          <w:kern w:val="0"/>
          <w:szCs w:val="21"/>
          <w:highlight w:val="none"/>
        </w:rPr>
        <w:t>无效。</w:t>
      </w:r>
      <w:r>
        <w:rPr>
          <w:rFonts w:hint="eastAsia" w:ascii="宋体" w:hAnsi="宋体" w:eastAsia="宋体" w:cs="宋体"/>
          <w:szCs w:val="21"/>
          <w:highlight w:val="none"/>
          <w:lang w:val="en-US" w:eastAsia="zh-CN"/>
        </w:rPr>
        <w:t>本次采购</w:t>
      </w:r>
      <w:r>
        <w:rPr>
          <w:rFonts w:hint="eastAsia" w:ascii="宋体" w:hAnsi="宋体" w:eastAsia="宋体" w:cs="宋体"/>
          <w:szCs w:val="21"/>
          <w:highlight w:val="none"/>
        </w:rPr>
        <w:t>金额和</w:t>
      </w:r>
      <w:r>
        <w:rPr>
          <w:rFonts w:hint="eastAsia" w:ascii="宋体" w:hAnsi="宋体" w:eastAsia="宋体" w:cs="宋体"/>
          <w:kern w:val="0"/>
          <w:szCs w:val="21"/>
          <w:highlight w:val="none"/>
        </w:rPr>
        <w:t>数量为</w:t>
      </w:r>
      <w:r>
        <w:rPr>
          <w:rFonts w:hint="eastAsia" w:ascii="宋体" w:hAnsi="宋体" w:eastAsia="宋体" w:cs="宋体"/>
          <w:szCs w:val="21"/>
          <w:highlight w:val="none"/>
        </w:rPr>
        <w:t>预估数据，</w:t>
      </w:r>
      <w:r>
        <w:rPr>
          <w:rFonts w:hint="eastAsia" w:ascii="宋体" w:hAnsi="宋体" w:eastAsia="宋体" w:cs="宋体"/>
          <w:kern w:val="0"/>
          <w:szCs w:val="21"/>
          <w:highlight w:val="none"/>
        </w:rPr>
        <w:t>采购人有权按实际需要调整，并按实际数量进行结算。</w:t>
      </w:r>
      <w:r>
        <w:rPr>
          <w:rFonts w:hint="eastAsia" w:ascii="宋体" w:hAnsi="宋体" w:eastAsia="宋体" w:cs="宋体"/>
          <w:color w:val="auto"/>
          <w:kern w:val="0"/>
          <w:szCs w:val="21"/>
          <w:highlight w:val="none"/>
        </w:rPr>
        <w:t>合同期内的采购数量可能会有所增减，固定单价不再进行相应调整。</w:t>
      </w:r>
    </w:p>
    <w:p w14:paraId="3B539B87">
      <w:pPr>
        <w:spacing w:beforeLines="0" w:afterLines="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地点及</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服务期限</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tbl>
      <w:tblPr>
        <w:tblStyle w:val="18"/>
        <w:tblW w:w="5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10"/>
        <w:gridCol w:w="1872"/>
      </w:tblGrid>
      <w:tr w14:paraId="18CA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7A60F982">
            <w:pPr>
              <w:spacing w:beforeLines="0" w:afterLines="0" w:line="240" w:lineRule="auto"/>
              <w:jc w:val="both"/>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710" w:type="dxa"/>
            <w:noWrap w:val="0"/>
            <w:vAlign w:val="top"/>
          </w:tcPr>
          <w:p w14:paraId="2086D67B">
            <w:pPr>
              <w:spacing w:beforeLines="0" w:afterLines="0"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val="en-US" w:eastAsia="zh-CN"/>
              </w:rPr>
              <w:t>服务</w:t>
            </w:r>
            <w:r>
              <w:rPr>
                <w:rFonts w:hint="eastAsia" w:ascii="宋体" w:hAnsi="宋体" w:eastAsia="宋体" w:cs="宋体"/>
                <w:color w:val="000000"/>
                <w:szCs w:val="21"/>
                <w:highlight w:val="none"/>
              </w:rPr>
              <w:t>内容</w:t>
            </w:r>
          </w:p>
        </w:tc>
        <w:tc>
          <w:tcPr>
            <w:tcW w:w="1872" w:type="dxa"/>
            <w:noWrap w:val="0"/>
            <w:vAlign w:val="top"/>
          </w:tcPr>
          <w:p w14:paraId="34B1077E">
            <w:pPr>
              <w:spacing w:beforeLines="0" w:afterLines="0"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val="en-US" w:eastAsia="zh-CN"/>
              </w:rPr>
              <w:t>服务</w:t>
            </w:r>
            <w:r>
              <w:rPr>
                <w:rFonts w:hint="eastAsia" w:ascii="宋体" w:hAnsi="宋体" w:eastAsia="宋体" w:cs="宋体"/>
                <w:color w:val="000000"/>
                <w:szCs w:val="21"/>
                <w:highlight w:val="none"/>
              </w:rPr>
              <w:t>地点</w:t>
            </w:r>
          </w:p>
        </w:tc>
      </w:tr>
      <w:tr w14:paraId="5A5B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29" w:type="dxa"/>
            <w:noWrap w:val="0"/>
            <w:vAlign w:val="top"/>
          </w:tcPr>
          <w:p w14:paraId="1C442661">
            <w:pPr>
              <w:spacing w:beforeLines="0" w:afterLines="0" w:line="24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710" w:type="dxa"/>
            <w:noWrap w:val="0"/>
            <w:vAlign w:val="top"/>
          </w:tcPr>
          <w:p w14:paraId="0083FFE9">
            <w:pPr>
              <w:spacing w:beforeLines="0" w:afterLines="0" w:line="240" w:lineRule="auto"/>
              <w:jc w:val="center"/>
              <w:rPr>
                <w:rFonts w:hint="default" w:ascii="宋体" w:hAnsi="宋体" w:eastAsia="宋体" w:cs="宋体"/>
                <w:szCs w:val="21"/>
                <w:highlight w:val="none"/>
                <w:lang w:val="en-US" w:eastAsia="zh-CN"/>
              </w:rPr>
            </w:pPr>
            <w:r>
              <w:rPr>
                <w:rFonts w:hint="eastAsia" w:ascii="宋体" w:hAnsi="宋体"/>
                <w:color w:val="auto"/>
                <w:szCs w:val="21"/>
                <w:highlight w:val="none"/>
                <w:lang w:eastAsia="zh-CN"/>
              </w:rPr>
              <w:t>多伦多机场货运地面代理服务（货运服务、集装设备管理等）</w:t>
            </w:r>
            <w:r>
              <w:rPr>
                <w:rFonts w:hint="eastAsia" w:ascii="宋体" w:hAnsi="宋体"/>
                <w:color w:val="auto"/>
                <w:szCs w:val="21"/>
                <w:highlight w:val="none"/>
                <w:lang w:val="en-US" w:eastAsia="zh-CN"/>
              </w:rPr>
              <w:t>,详见服务需求附件。</w:t>
            </w:r>
          </w:p>
        </w:tc>
        <w:tc>
          <w:tcPr>
            <w:tcW w:w="1872" w:type="dxa"/>
            <w:noWrap w:val="0"/>
            <w:vAlign w:val="top"/>
          </w:tcPr>
          <w:p w14:paraId="44025F04">
            <w:pPr>
              <w:spacing w:beforeLines="0" w:afterLines="0"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多伦多</w:t>
            </w:r>
          </w:p>
        </w:tc>
      </w:tr>
    </w:tbl>
    <w:p w14:paraId="5CC19EE2">
      <w:pPr>
        <w:spacing w:beforeLines="0" w:afterLines="0" w:line="360" w:lineRule="auto"/>
        <w:ind w:firstLine="422" w:firstLineChars="200"/>
        <w:rPr>
          <w:rFonts w:hint="eastAsia" w:ascii="宋体" w:hAnsi="宋体" w:eastAsia="宋体" w:cs="宋体"/>
          <w:b/>
          <w:szCs w:val="21"/>
          <w:highlight w:val="none"/>
        </w:rPr>
      </w:pPr>
    </w:p>
    <w:p w14:paraId="60C3F350">
      <w:pPr>
        <w:spacing w:beforeLines="0" w:afterLines="0"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b/>
          <w:szCs w:val="21"/>
          <w:highlight w:val="none"/>
        </w:rPr>
        <w:t xml:space="preserve">1.7 </w:t>
      </w:r>
      <w:r>
        <w:rPr>
          <w:rFonts w:hint="eastAsia" w:ascii="宋体" w:hAnsi="宋体" w:eastAsia="宋体" w:cs="宋体"/>
          <w:szCs w:val="21"/>
          <w:highlight w:val="none"/>
        </w:rPr>
        <w:t>合同期限：自合同生效之日起【</w:t>
      </w:r>
      <w:r>
        <w:rPr>
          <w:rFonts w:hint="eastAsia" w:ascii="宋体" w:hAnsi="宋体" w:cs="宋体"/>
          <w:szCs w:val="21"/>
          <w:highlight w:val="none"/>
          <w:lang w:val="en-US" w:eastAsia="zh-CN"/>
        </w:rPr>
        <w:t>5</w:t>
      </w:r>
      <w:r>
        <w:rPr>
          <w:rFonts w:hint="eastAsia" w:ascii="宋体" w:hAnsi="宋体" w:eastAsia="宋体" w:cs="宋体"/>
          <w:szCs w:val="21"/>
          <w:highlight w:val="none"/>
        </w:rPr>
        <w:t>】年，具体起始时间以双方签署合同内容为准。</w:t>
      </w:r>
    </w:p>
    <w:p w14:paraId="7F6ADD77">
      <w:pPr>
        <w:spacing w:beforeLines="0" w:afterLines="0"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 xml:space="preserve">1.8 </w:t>
      </w:r>
      <w:r>
        <w:rPr>
          <w:rFonts w:hint="eastAsia" w:ascii="宋体" w:hAnsi="宋体" w:eastAsia="宋体" w:cs="宋体"/>
          <w:szCs w:val="21"/>
          <w:highlight w:val="none"/>
        </w:rPr>
        <w:t>本项目只接受</w:t>
      </w:r>
      <w:r>
        <w:rPr>
          <w:rFonts w:hint="eastAsia" w:ascii="宋体" w:hAnsi="宋体" w:cs="宋体"/>
          <w:szCs w:val="21"/>
          <w:highlight w:val="none"/>
          <w:lang w:eastAsia="zh-CN"/>
        </w:rPr>
        <w:t>报名参加本采购项目并且收到采购人发出的</w:t>
      </w:r>
      <w:r>
        <w:rPr>
          <w:rFonts w:hint="eastAsia" w:ascii="宋体" w:hAnsi="宋体" w:eastAsia="宋体" w:cs="宋体"/>
          <w:szCs w:val="21"/>
          <w:highlight w:val="none"/>
          <w:lang w:eastAsia="zh-CN"/>
        </w:rPr>
        <w:t>谈判文件的供应商提交响应文件</w:t>
      </w:r>
      <w:r>
        <w:rPr>
          <w:rFonts w:hint="eastAsia" w:ascii="宋体" w:hAnsi="宋体" w:eastAsia="宋体" w:cs="宋体"/>
          <w:szCs w:val="21"/>
          <w:highlight w:val="none"/>
        </w:rPr>
        <w:t>。</w:t>
      </w:r>
    </w:p>
    <w:p w14:paraId="28BF7554">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rPr>
      </w:pPr>
      <w:bookmarkStart w:id="11" w:name="_Toc25001"/>
      <w:bookmarkStart w:id="12" w:name="_Toc2204"/>
      <w:bookmarkStart w:id="13" w:name="_Toc12663"/>
      <w:bookmarkStart w:id="14" w:name="_Toc504657602"/>
      <w:bookmarkStart w:id="15" w:name="_Toc3410"/>
      <w:r>
        <w:rPr>
          <w:rFonts w:hint="eastAsia" w:ascii="宋体" w:hAnsi="宋体" w:eastAsia="宋体" w:cs="宋体"/>
          <w:b/>
          <w:color w:val="auto"/>
          <w:sz w:val="28"/>
          <w:highlight w:val="none"/>
        </w:rPr>
        <w:t>2、</w:t>
      </w:r>
      <w:r>
        <w:rPr>
          <w:rFonts w:hint="eastAsia" w:eastAsia="宋体"/>
          <w:b/>
          <w:color w:val="auto"/>
          <w:sz w:val="28"/>
          <w:highlight w:val="none"/>
          <w:lang w:val="en-US" w:eastAsia="zh-CN"/>
        </w:rPr>
        <w:t>供应商</w:t>
      </w:r>
      <w:r>
        <w:rPr>
          <w:rFonts w:hint="eastAsia" w:eastAsia="宋体"/>
          <w:b/>
          <w:color w:val="auto"/>
          <w:sz w:val="28"/>
          <w:highlight w:val="none"/>
        </w:rPr>
        <w:t>资格要求</w:t>
      </w:r>
      <w:bookmarkEnd w:id="11"/>
      <w:bookmarkEnd w:id="12"/>
      <w:bookmarkEnd w:id="13"/>
      <w:bookmarkEnd w:id="14"/>
      <w:bookmarkEnd w:id="15"/>
    </w:p>
    <w:p w14:paraId="53DE143A">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参加本项目</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必须符合下列要求：</w:t>
      </w:r>
      <w:bookmarkStart w:id="16" w:name="_Toc6194"/>
      <w:bookmarkStart w:id="17" w:name="_Toc29303"/>
      <w:bookmarkStart w:id="18" w:name="_Toc22730"/>
      <w:bookmarkStart w:id="19" w:name="_Toc29547"/>
    </w:p>
    <w:p w14:paraId="137E8535">
      <w:pPr>
        <w:spacing w:beforeLines="0" w:afterLines="0"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szCs w:val="21"/>
          <w:highlight w:val="none"/>
          <w:lang w:val="en-US" w:eastAsia="zh-CN"/>
        </w:rPr>
        <w:t xml:space="preserve">2.1 </w:t>
      </w:r>
      <w:r>
        <w:rPr>
          <w:rFonts w:hint="eastAsia" w:ascii="宋体" w:hAnsi="宋体" w:eastAsia="宋体" w:cs="宋体"/>
          <w:szCs w:val="21"/>
          <w:highlight w:val="none"/>
          <w:lang w:val="en-US" w:eastAsia="zh-CN"/>
        </w:rPr>
        <w:t> 供应商必须是具有承担民事责任能力的在中华人民共和国境内（不含港澳台）注册的法人或其他组织，具备合法有效的营业执照。如分公司参加本次谈判，须取得总公司的授权。（注意：须提供营业执照扫描件加盖公章，如为分公司参加，需提供分公司、总公司有效的营业执照扫描件加盖公章、分公司自身满足以上要求的证明材料以及总公司针对本项目的授权文件；授权文件请按照响应文件格式五要求填写。）如为在中华人民共和国境外及港澳台地区注册的供应商，则须提供合法有效的所属国/地区(含港澳台)的公司商事登记证明或证书扫描件</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28518AE1">
      <w:pPr>
        <w:spacing w:beforeLines="0" w:afterLines="0"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2</w:t>
      </w:r>
      <w:r>
        <w:rPr>
          <w:rFonts w:hint="eastAsia" w:ascii="宋体" w:hAnsi="宋体" w:eastAsia="宋体" w:cs="宋体"/>
          <w:b/>
          <w:bCs/>
          <w:szCs w:val="21"/>
          <w:highlight w:val="none"/>
          <w:lang w:val="en-US" w:eastAsia="zh-CN"/>
        </w:rPr>
        <w:t xml:space="preserve"> </w:t>
      </w:r>
      <w:r>
        <w:rPr>
          <w:rFonts w:hint="eastAsia" w:ascii="宋体" w:hAnsi="宋体" w:eastAsia="宋体" w:cs="宋体"/>
          <w:szCs w:val="21"/>
          <w:highlight w:val="none"/>
          <w:lang w:val="en-US" w:eastAsia="zh-CN"/>
        </w:rPr>
        <w:t> 分支机构（分公司）以自己名义参加本次谈判的，不得使用法人（总公司）的资质与业绩</w:t>
      </w:r>
      <w:r>
        <w:rPr>
          <w:rFonts w:hint="eastAsia" w:ascii="宋体" w:hAnsi="宋体" w:cs="宋体"/>
          <w:szCs w:val="21"/>
          <w:highlight w:val="none"/>
          <w:lang w:val="en-US" w:eastAsia="zh-CN"/>
        </w:rPr>
        <w:t>（无法分割且各站点均适用的除外）</w:t>
      </w:r>
      <w:r>
        <w:rPr>
          <w:rFonts w:hint="eastAsia" w:ascii="宋体" w:hAnsi="宋体" w:eastAsia="宋体" w:cs="宋体"/>
          <w:szCs w:val="21"/>
          <w:highlight w:val="none"/>
          <w:lang w:val="en-US" w:eastAsia="zh-CN"/>
        </w:rPr>
        <w:t>。</w:t>
      </w:r>
    </w:p>
    <w:p w14:paraId="34BA41A2">
      <w:pPr>
        <w:spacing w:beforeLines="0" w:afterLines="0"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3</w:t>
      </w:r>
      <w:r>
        <w:rPr>
          <w:rFonts w:hint="eastAsia" w:ascii="宋体" w:hAnsi="宋体" w:eastAsia="宋体" w:cs="宋体"/>
          <w:szCs w:val="21"/>
          <w:highlight w:val="none"/>
          <w:lang w:val="en-US" w:eastAsia="zh-CN"/>
        </w:rPr>
        <w:t>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与采购人存在利害关系可能影响采购公正性的法人、其他组织或个人，以及单位负责人为同一人或者存在控股、管理关系的不同实体，应当主动回避，不得参加本次谈判。分支机构（分公司）与法人（总公司）、同一法人（总公司）下设的多家分支机构（分公司）不得同时参加本次谈判项目。</w:t>
      </w:r>
    </w:p>
    <w:p w14:paraId="34F980B0">
      <w:pPr>
        <w:spacing w:beforeLines="0" w:afterLines="0" w:line="360" w:lineRule="auto"/>
        <w:ind w:firstLine="422" w:firstLineChars="200"/>
        <w:rPr>
          <w:rFonts w:hint="eastAsia" w:ascii="宋体" w:hAnsi="宋体" w:cs="宋体"/>
          <w:szCs w:val="21"/>
          <w:highlight w:val="none"/>
          <w:lang w:val="en-US" w:eastAsia="zh-CN"/>
        </w:rPr>
      </w:pP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lang w:val="en-US" w:eastAsia="zh-CN"/>
        </w:rPr>
        <w:t> </w:t>
      </w:r>
      <w:r>
        <w:rPr>
          <w:rFonts w:hint="eastAsia" w:ascii="宋体" w:hAnsi="宋体" w:cs="宋体"/>
          <w:b/>
          <w:bCs/>
          <w:szCs w:val="21"/>
          <w:highlight w:val="none"/>
          <w:lang w:val="en-US" w:eastAsia="zh-CN"/>
        </w:rPr>
        <w:t xml:space="preserve"> </w:t>
      </w:r>
      <w:r>
        <w:rPr>
          <w:rFonts w:hint="eastAsia" w:ascii="宋体" w:hAnsi="宋体" w:cs="宋体"/>
          <w:szCs w:val="21"/>
          <w:highlight w:val="none"/>
          <w:lang w:val="en-US" w:eastAsia="zh-CN"/>
        </w:rPr>
        <w:t>供应商在经营活动中未被列入“严重违法失信企业名单（黑名单）信息”（注意：须提供国家企业信用信息公示系统中此项完整内容截图或报告）或“严重失信主体名单”（注意：须提供信用中国网站中此项完整内容截图或报告）”，或者在响应文件递交截止日前已被移除出黑名单或失信主体名单。（采购人或采购代理机构仅以国家企业信用信息公示系统或信用中国网站显示信息为准进行形式审查并作为认定依据，其他网站或文件不作为认定依据。）以上两项证明材料可一并提供或择一提供。如择一提供，视为供应商承诺均不在两项名单中；任何时候，如经采购人或采购代理机构查询发现供应商在任一名单内的，视为供应商提供虚假材料。境外企业、港澳台地区企业及国内事业单位无需提供本款规定的材料。</w:t>
      </w:r>
    </w:p>
    <w:p w14:paraId="2C02DCB7">
      <w:pPr>
        <w:spacing w:beforeLines="0" w:afterLines="0"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eastAsia="zh-CN"/>
        </w:rPr>
        <w:t xml:space="preserve"> </w:t>
      </w:r>
      <w:r>
        <w:rPr>
          <w:rFonts w:hint="eastAsia" w:ascii="宋体" w:hAnsi="宋体" w:eastAsia="宋体" w:cs="宋体"/>
          <w:szCs w:val="21"/>
          <w:highlight w:val="none"/>
          <w:lang w:val="en-US" w:eastAsia="zh-CN"/>
        </w:rPr>
        <w:t> 被列入南航集团“限制交易供应商名单”且仍在限制期内的法人或其他组织不得参与本次谈判。</w:t>
      </w:r>
    </w:p>
    <w:p w14:paraId="13E45966">
      <w:pPr>
        <w:spacing w:beforeLines="0" w:afterLines="0" w:line="360" w:lineRule="auto"/>
        <w:ind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6</w:t>
      </w:r>
      <w:r>
        <w:rPr>
          <w:rFonts w:hint="eastAsia" w:ascii="宋体" w:hAnsi="宋体" w:eastAsia="宋体" w:cs="宋体"/>
          <w:szCs w:val="21"/>
          <w:highlight w:val="none"/>
          <w:lang w:val="en-US" w:eastAsia="zh-CN"/>
        </w:rPr>
        <w:t xml:space="preserve">  被列入南航集团“禁止交易企业名单”的企业，不得参与本次谈判。</w:t>
      </w:r>
    </w:p>
    <w:p w14:paraId="7CB225DC">
      <w:pPr>
        <w:widowControl/>
        <w:spacing w:line="360" w:lineRule="auto"/>
        <w:ind w:firstLine="422" w:firstLineChars="200"/>
        <w:rPr>
          <w:rFonts w:hint="eastAsia"/>
          <w:lang w:val="en-US" w:eastAsia="zh-CN"/>
        </w:rPr>
      </w:pPr>
      <w:bookmarkStart w:id="20" w:name="OLE_LINK4"/>
      <w:r>
        <w:rPr>
          <w:rFonts w:hint="eastAsia" w:ascii="宋体" w:hAnsi="宋体" w:eastAsia="宋体" w:cs="宋体"/>
          <w:b/>
          <w:bCs/>
          <w:color w:val="000000"/>
          <w:kern w:val="2"/>
          <w:sz w:val="21"/>
          <w:szCs w:val="21"/>
          <w:lang w:val="en-US" w:eastAsia="zh-CN" w:bidi="ar"/>
        </w:rPr>
        <w:t>未通过上述资格要求审查的供应商不具备谈判资格，谈判小组（评审委员会）有权认定其不具备谈判参与资格；任何时候发现供应商提交的相关文件、证明材料或承诺系伪造、变造或捏造的，将取消其成交供应商资格并列入南航集团限制交易供应商名单——视为其已主动放弃自本次谈判采购之日起3年内参加南航集团任何采购方式下任何项目的采购活动。</w:t>
      </w:r>
    </w:p>
    <w:bookmarkEnd w:id="16"/>
    <w:bookmarkEnd w:id="17"/>
    <w:bookmarkEnd w:id="18"/>
    <w:bookmarkEnd w:id="19"/>
    <w:bookmarkEnd w:id="20"/>
    <w:p w14:paraId="12915725">
      <w:pPr>
        <w:tabs>
          <w:tab w:val="left" w:pos="3700"/>
        </w:tabs>
        <w:spacing w:beforeLines="0" w:afterLines="0" w:line="360" w:lineRule="auto"/>
        <w:rPr>
          <w:rFonts w:hint="eastAsia" w:ascii="宋体" w:hAnsi="宋体" w:eastAsia="宋体" w:cs="宋体"/>
          <w:szCs w:val="21"/>
          <w:highlight w:val="none"/>
        </w:rPr>
      </w:pPr>
      <w:bookmarkStart w:id="21" w:name="_Toc504657604"/>
      <w:bookmarkStart w:id="22" w:name="_Toc21211"/>
      <w:r>
        <w:rPr>
          <w:rFonts w:hint="eastAsia" w:ascii="宋体" w:hAnsi="宋体" w:eastAsia="宋体" w:cs="宋体"/>
          <w:b/>
          <w:color w:val="auto"/>
          <w:kern w:val="2"/>
          <w:sz w:val="28"/>
          <w:szCs w:val="20"/>
          <w:highlight w:val="none"/>
          <w:lang w:val="en-US" w:eastAsia="zh-CN" w:bidi="ar-SA"/>
        </w:rPr>
        <w:t>3.获取谈判文件时间</w:t>
      </w:r>
      <w:r>
        <w:rPr>
          <w:rFonts w:hint="eastAsia" w:ascii="宋体" w:hAnsi="宋体" w:eastAsia="宋体" w:cs="宋体"/>
          <w:szCs w:val="21"/>
          <w:highlight w:val="none"/>
        </w:rPr>
        <w:t>：</w:t>
      </w:r>
    </w:p>
    <w:p w14:paraId="5034B84E">
      <w:pPr>
        <w:tabs>
          <w:tab w:val="left" w:pos="3700"/>
        </w:tabs>
        <w:spacing w:beforeLines="0" w:afterLines="0" w:line="360" w:lineRule="auto"/>
        <w:ind w:firstLine="422" w:firstLineChars="200"/>
        <w:rPr>
          <w:rFonts w:hint="eastAsia" w:ascii="宋体" w:hAnsi="宋体" w:eastAsia="宋体" w:cs="宋体"/>
          <w:b/>
          <w:bCs/>
          <w:szCs w:val="21"/>
          <w:highlight w:val="none"/>
        </w:rPr>
      </w:pPr>
      <w:r>
        <w:rPr>
          <w:rFonts w:hint="eastAsia" w:ascii="宋体" w:hAnsi="宋体" w:cs="宋体"/>
          <w:b/>
          <w:bCs/>
          <w:highlight w:val="none"/>
          <w:lang w:val="en-US" w:eastAsia="zh-CN"/>
        </w:rPr>
        <w:t>3.1.</w:t>
      </w:r>
      <w:r>
        <w:rPr>
          <w:rFonts w:hint="eastAsia" w:ascii="宋体" w:hAnsi="宋体" w:eastAsia="宋体" w:cs="宋体"/>
          <w:b/>
          <w:bCs/>
          <w:szCs w:val="21"/>
          <w:highlight w:val="none"/>
        </w:rPr>
        <w:t>请务必在</w:t>
      </w:r>
      <w:r>
        <w:rPr>
          <w:rFonts w:hint="eastAsia" w:ascii="宋体" w:hAnsi="宋体" w:eastAsia="宋体" w:cs="宋体"/>
          <w:b/>
          <w:bCs/>
          <w:highlight w:val="none"/>
        </w:rPr>
        <w:t>【</w:t>
      </w:r>
      <w:r>
        <w:rPr>
          <w:rFonts w:hint="eastAsia" w:ascii="宋体" w:hAnsi="宋体" w:eastAsia="宋体" w:cs="宋体"/>
          <w:b/>
          <w:bCs/>
          <w:highlight w:val="none"/>
          <w:lang w:val="en-US" w:eastAsia="zh-CN"/>
        </w:rPr>
        <w:t>202</w:t>
      </w:r>
      <w:r>
        <w:rPr>
          <w:rFonts w:hint="eastAsia" w:ascii="宋体" w:hAnsi="宋体" w:cs="宋体"/>
          <w:b/>
          <w:bCs/>
          <w:highlight w:val="none"/>
          <w:lang w:val="en-US" w:eastAsia="zh-CN"/>
        </w:rPr>
        <w:t>5</w:t>
      </w:r>
      <w:r>
        <w:rPr>
          <w:rFonts w:hint="eastAsia" w:ascii="宋体" w:hAnsi="宋体" w:eastAsia="宋体" w:cs="宋体"/>
          <w:b/>
          <w:bCs/>
          <w:highlight w:val="none"/>
        </w:rPr>
        <w:t>】年</w:t>
      </w:r>
      <w:r>
        <w:rPr>
          <w:rFonts w:hint="eastAsia" w:ascii="宋体" w:hAnsi="宋体" w:eastAsia="宋体" w:cs="宋体"/>
          <w:b/>
          <w:bCs/>
          <w:highlight w:val="none"/>
        </w:rPr>
        <w:t>【</w:t>
      </w:r>
      <w:r>
        <w:rPr>
          <w:rFonts w:hint="eastAsia" w:ascii="宋体" w:hAnsi="宋体" w:cs="宋体"/>
          <w:b/>
          <w:bCs/>
          <w:highlight w:val="none"/>
          <w:lang w:val="en-US" w:eastAsia="zh-CN"/>
        </w:rPr>
        <w:t>10</w:t>
      </w:r>
      <w:r>
        <w:rPr>
          <w:rFonts w:hint="eastAsia" w:ascii="宋体" w:hAnsi="宋体" w:eastAsia="宋体" w:cs="宋体"/>
          <w:b/>
          <w:bCs/>
          <w:highlight w:val="none"/>
        </w:rPr>
        <w:t>】月【</w:t>
      </w:r>
      <w:r>
        <w:rPr>
          <w:rFonts w:hint="eastAsia" w:ascii="宋体" w:hAnsi="宋体" w:cs="宋体"/>
          <w:b/>
          <w:bCs/>
          <w:highlight w:val="none"/>
          <w:lang w:val="en-US" w:eastAsia="zh-CN"/>
        </w:rPr>
        <w:t>8</w:t>
      </w:r>
      <w:r>
        <w:rPr>
          <w:rFonts w:hint="eastAsia" w:ascii="宋体" w:hAnsi="宋体" w:eastAsia="宋体" w:cs="宋体"/>
          <w:b/>
          <w:bCs/>
          <w:highlight w:val="none"/>
        </w:rPr>
        <w:t>】日</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23</w:t>
      </w:r>
      <w:r>
        <w:rPr>
          <w:rFonts w:hint="eastAsia" w:ascii="宋体" w:hAnsi="宋体" w:eastAsia="宋体" w:cs="宋体"/>
          <w:b/>
          <w:bCs/>
          <w:highlight w:val="none"/>
          <w:lang w:eastAsia="zh-CN"/>
        </w:rPr>
        <w:t>时【</w:t>
      </w:r>
      <w:r>
        <w:rPr>
          <w:rFonts w:hint="eastAsia" w:ascii="宋体" w:hAnsi="宋体" w:eastAsia="宋体" w:cs="宋体"/>
          <w:b/>
          <w:bCs/>
          <w:highlight w:val="none"/>
          <w:lang w:val="en-US" w:eastAsia="zh-CN"/>
        </w:rPr>
        <w:t>59</w:t>
      </w:r>
      <w:r>
        <w:rPr>
          <w:rFonts w:hint="eastAsia" w:ascii="宋体" w:hAnsi="宋体" w:eastAsia="宋体" w:cs="宋体"/>
          <w:b/>
          <w:bCs/>
          <w:highlight w:val="none"/>
          <w:lang w:eastAsia="zh-CN"/>
        </w:rPr>
        <w:t>】分（</w:t>
      </w:r>
      <w:r>
        <w:rPr>
          <w:rFonts w:hint="eastAsia" w:ascii="宋体" w:hAnsi="宋体" w:cs="宋体"/>
          <w:b/>
          <w:bCs/>
          <w:highlight w:val="none"/>
          <w:lang w:eastAsia="zh-CN"/>
        </w:rPr>
        <w:t>多伦多当地时间</w:t>
      </w:r>
      <w:r>
        <w:rPr>
          <w:rFonts w:hint="eastAsia" w:ascii="宋体" w:hAnsi="宋体" w:eastAsia="宋体" w:cs="宋体"/>
          <w:b/>
          <w:bCs/>
          <w:highlight w:val="none"/>
          <w:lang w:eastAsia="zh-CN"/>
        </w:rPr>
        <w:t>）</w:t>
      </w:r>
      <w:r>
        <w:rPr>
          <w:rFonts w:hint="eastAsia" w:ascii="宋体" w:hAnsi="宋体" w:cs="宋体"/>
          <w:b/>
          <w:bCs/>
          <w:highlight w:val="none"/>
          <w:lang w:eastAsia="zh-CN"/>
        </w:rPr>
        <w:t>前</w:t>
      </w:r>
      <w:r>
        <w:rPr>
          <w:rFonts w:hint="eastAsia" w:ascii="宋体" w:hAnsi="宋体" w:cs="宋体"/>
          <w:b/>
          <w:bCs/>
          <w:szCs w:val="21"/>
          <w:highlight w:val="none"/>
          <w:lang w:eastAsia="zh-CN"/>
        </w:rPr>
        <w:t>向</w:t>
      </w:r>
      <w:r>
        <w:rPr>
          <w:rFonts w:hint="eastAsia" w:ascii="宋体" w:hAnsi="宋体" w:cs="宋体"/>
          <w:b/>
          <w:bCs/>
          <w:szCs w:val="21"/>
          <w:highlight w:val="none"/>
          <w:lang w:val="en-US" w:eastAsia="zh-CN"/>
        </w:rPr>
        <w:t>cargoghs@csair.com报名参加，</w:t>
      </w:r>
      <w:r>
        <w:rPr>
          <w:rFonts w:hint="eastAsia" w:ascii="宋体" w:hAnsi="宋体" w:eastAsia="宋体" w:cs="宋体"/>
          <w:szCs w:val="21"/>
          <w:highlight w:val="none"/>
        </w:rPr>
        <w:t>否则将无法</w:t>
      </w:r>
      <w:r>
        <w:rPr>
          <w:rFonts w:hint="eastAsia" w:ascii="宋体" w:hAnsi="宋体" w:eastAsia="宋体" w:cs="宋体"/>
          <w:szCs w:val="21"/>
          <w:highlight w:val="none"/>
          <w:lang w:eastAsia="zh-CN"/>
        </w:rPr>
        <w:t>参与本次谈判。</w:t>
      </w:r>
    </w:p>
    <w:p w14:paraId="3300D97C">
      <w:pPr>
        <w:widowControl/>
        <w:spacing w:beforeLines="0" w:afterLines="0"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3.2</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文件获取途径</w:t>
      </w:r>
      <w:r>
        <w:rPr>
          <w:rFonts w:hint="eastAsia" w:ascii="宋体" w:hAnsi="宋体" w:cs="宋体"/>
          <w:szCs w:val="21"/>
          <w:highlight w:val="none"/>
          <w:lang w:eastAsia="zh-CN"/>
        </w:rPr>
        <w:t>（选择其一即可）</w:t>
      </w:r>
      <w:r>
        <w:rPr>
          <w:rFonts w:hint="eastAsia" w:ascii="宋体" w:hAnsi="宋体" w:eastAsia="宋体" w:cs="宋体"/>
          <w:szCs w:val="21"/>
          <w:highlight w:val="none"/>
        </w:rPr>
        <w:t>：</w:t>
      </w:r>
    </w:p>
    <w:p w14:paraId="41340FED">
      <w:pPr>
        <w:widowControl/>
        <w:spacing w:beforeLines="0" w:afterLines="0"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 xml:space="preserve">3.2.1 </w:t>
      </w:r>
      <w:r>
        <w:rPr>
          <w:rFonts w:hint="eastAsia" w:ascii="宋体" w:hAnsi="宋体" w:cs="宋体"/>
          <w:szCs w:val="21"/>
          <w:highlight w:val="none"/>
          <w:lang w:eastAsia="zh-CN"/>
        </w:rPr>
        <w:t>自行登录“中国南方航空采购招标网”选择本项目下载谈判文件</w:t>
      </w:r>
      <w:r>
        <w:rPr>
          <w:rFonts w:hint="eastAsia" w:ascii="宋体" w:hAnsi="宋体" w:cs="宋体"/>
          <w:szCs w:val="21"/>
          <w:highlight w:val="none"/>
          <w:lang w:val="en-US" w:eastAsia="zh-CN"/>
        </w:rPr>
        <w:t>.</w:t>
      </w:r>
      <w:r>
        <w:rPr>
          <w:rFonts w:hint="eastAsia" w:ascii="宋体" w:hAnsi="宋体" w:cs="宋体"/>
          <w:szCs w:val="21"/>
          <w:highlight w:val="none"/>
          <w:lang w:eastAsia="zh-CN"/>
        </w:rPr>
        <w:t>中国南方航空采购招标网网址：https://csbidding.csair.com/</w:t>
      </w:r>
    </w:p>
    <w:p w14:paraId="1138986F">
      <w:pPr>
        <w:widowControl/>
        <w:spacing w:beforeLines="0" w:afterLines="0"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szCs w:val="21"/>
          <w:highlight w:val="none"/>
          <w:lang w:val="en-US" w:eastAsia="zh-CN"/>
        </w:rPr>
        <w:t>3.2.2 在采购人发布本采购公告后，由采购人在</w:t>
      </w:r>
      <w:r>
        <w:rPr>
          <w:rFonts w:hint="eastAsia" w:ascii="宋体" w:hAnsi="宋体" w:cs="宋体"/>
          <w:szCs w:val="21"/>
          <w:highlight w:val="none"/>
          <w:lang w:eastAsia="zh-CN"/>
        </w:rPr>
        <w:t>采购邀约时或供应商报名后通过</w:t>
      </w:r>
      <w:r>
        <w:rPr>
          <w:rFonts w:hint="eastAsia" w:ascii="宋体" w:hAnsi="宋体" w:cs="宋体"/>
          <w:szCs w:val="21"/>
          <w:highlight w:val="none"/>
          <w:lang w:val="en-US" w:eastAsia="zh-CN"/>
        </w:rPr>
        <w:t>cargoghs@csair.com邮箱发给受邀约和报名单位。</w:t>
      </w:r>
    </w:p>
    <w:p w14:paraId="40EEB707">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rPr>
      </w:pPr>
      <w:bookmarkStart w:id="23" w:name="_Toc9966"/>
      <w:bookmarkStart w:id="24" w:name="_Toc13206"/>
      <w:bookmarkStart w:id="25" w:name="_Toc27323"/>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响应</w:t>
      </w:r>
      <w:r>
        <w:rPr>
          <w:rFonts w:hint="eastAsia" w:eastAsia="宋体"/>
          <w:b/>
          <w:color w:val="auto"/>
          <w:sz w:val="28"/>
          <w:highlight w:val="none"/>
        </w:rPr>
        <w:t>文件的递交</w:t>
      </w:r>
      <w:bookmarkEnd w:id="21"/>
      <w:bookmarkEnd w:id="22"/>
      <w:bookmarkEnd w:id="23"/>
      <w:bookmarkEnd w:id="24"/>
      <w:bookmarkEnd w:id="25"/>
    </w:p>
    <w:p w14:paraId="4FE175A9">
      <w:pPr>
        <w:widowControl/>
        <w:spacing w:beforeLines="0" w:afterLines="0" w:line="360" w:lineRule="auto"/>
        <w:ind w:firstLine="422" w:firstLineChars="200"/>
        <w:jc w:val="left"/>
        <w:rPr>
          <w:rFonts w:hint="eastAsia" w:ascii="宋体" w:hAnsi="宋体" w:eastAsia="宋体" w:cs="宋体"/>
          <w:color w:val="000000"/>
          <w:szCs w:val="21"/>
          <w:highlight w:val="none"/>
          <w:u w:val="none"/>
        </w:rPr>
      </w:pPr>
      <w:bookmarkStart w:id="26" w:name="_Toc1746"/>
      <w:bookmarkStart w:id="27" w:name="_Toc504657606"/>
      <w:r>
        <w:rPr>
          <w:rFonts w:hint="eastAsia" w:ascii="宋体" w:hAnsi="宋体" w:eastAsia="宋体" w:cs="宋体"/>
          <w:b/>
          <w:bCs w:val="0"/>
          <w:color w:val="auto"/>
          <w:szCs w:val="21"/>
          <w:highlight w:val="none"/>
          <w:u w:val="none"/>
          <w:lang w:val="en-US" w:eastAsia="zh-CN"/>
        </w:rPr>
        <w:t>4</w:t>
      </w:r>
      <w:r>
        <w:rPr>
          <w:rFonts w:hint="eastAsia" w:ascii="宋体" w:hAnsi="宋体" w:eastAsia="宋体" w:cs="宋体"/>
          <w:b/>
          <w:bCs w:val="0"/>
          <w:color w:val="auto"/>
          <w:szCs w:val="21"/>
          <w:highlight w:val="none"/>
          <w:u w:val="none"/>
        </w:rPr>
        <w:t>.1</w:t>
      </w:r>
      <w:r>
        <w:rPr>
          <w:rFonts w:hint="eastAsia" w:ascii="宋体" w:hAnsi="宋体" w:eastAsia="宋体" w:cs="宋体"/>
          <w:b w:val="0"/>
          <w:bCs/>
          <w:color w:val="auto"/>
          <w:szCs w:val="21"/>
          <w:highlight w:val="none"/>
          <w:u w:val="none"/>
        </w:rPr>
        <w:t xml:space="preserve"> </w:t>
      </w:r>
      <w:r>
        <w:rPr>
          <w:rFonts w:hint="eastAsia" w:ascii="宋体" w:hAnsi="宋体" w:eastAsia="宋体" w:cs="宋体"/>
          <w:b/>
          <w:bCs w:val="0"/>
          <w:color w:val="auto"/>
          <w:szCs w:val="21"/>
          <w:highlight w:val="none"/>
          <w:u w:val="none"/>
          <w:lang w:eastAsia="zh-CN"/>
        </w:rPr>
        <w:t>响应文件</w:t>
      </w:r>
      <w:r>
        <w:rPr>
          <w:rFonts w:hint="eastAsia" w:ascii="宋体" w:hAnsi="宋体" w:eastAsia="宋体" w:cs="宋体"/>
          <w:b/>
          <w:bCs w:val="0"/>
          <w:color w:val="auto"/>
          <w:szCs w:val="21"/>
          <w:highlight w:val="none"/>
          <w:u w:val="none"/>
        </w:rPr>
        <w:t>递交的截止时间（</w:t>
      </w:r>
      <w:r>
        <w:rPr>
          <w:rFonts w:hint="eastAsia" w:ascii="宋体" w:hAnsi="宋体" w:eastAsia="宋体" w:cs="宋体"/>
          <w:b/>
          <w:bCs w:val="0"/>
          <w:color w:val="auto"/>
          <w:szCs w:val="21"/>
          <w:highlight w:val="none"/>
          <w:u w:val="none"/>
          <w:lang w:eastAsia="zh-CN"/>
        </w:rPr>
        <w:t>第一次</w:t>
      </w:r>
      <w:r>
        <w:rPr>
          <w:rFonts w:hint="eastAsia" w:ascii="宋体" w:hAnsi="宋体" w:eastAsia="宋体" w:cs="宋体"/>
          <w:b/>
          <w:bCs w:val="0"/>
          <w:color w:val="auto"/>
          <w:szCs w:val="21"/>
          <w:highlight w:val="none"/>
          <w:u w:val="none"/>
          <w:lang w:val="en-US" w:eastAsia="zh-CN"/>
        </w:rPr>
        <w:t>报价</w:t>
      </w:r>
      <w:r>
        <w:rPr>
          <w:rFonts w:hint="eastAsia" w:ascii="宋体" w:hAnsi="宋体" w:eastAsia="宋体" w:cs="宋体"/>
          <w:b/>
          <w:bCs w:val="0"/>
          <w:color w:val="auto"/>
          <w:szCs w:val="21"/>
          <w:highlight w:val="none"/>
          <w:u w:val="none"/>
        </w:rPr>
        <w:t>截止时间）为</w:t>
      </w:r>
      <w:r>
        <w:rPr>
          <w:rFonts w:hint="eastAsia" w:ascii="宋体" w:hAnsi="宋体" w:eastAsia="宋体" w:cs="宋体"/>
          <w:b/>
          <w:bCs w:val="0"/>
          <w:color w:val="auto"/>
          <w:szCs w:val="21"/>
          <w:highlight w:val="none"/>
          <w:u w:val="none"/>
          <w:lang w:eastAsia="zh-CN"/>
        </w:rPr>
        <w:t>【</w:t>
      </w:r>
      <w:r>
        <w:rPr>
          <w:rFonts w:hint="eastAsia" w:ascii="宋体" w:hAnsi="宋体" w:eastAsia="宋体" w:cs="宋体"/>
          <w:b/>
          <w:bCs w:val="0"/>
          <w:color w:val="auto"/>
          <w:szCs w:val="21"/>
          <w:highlight w:val="none"/>
          <w:u w:val="none"/>
          <w:lang w:val="en-US" w:eastAsia="zh-CN"/>
        </w:rPr>
        <w:t>202</w:t>
      </w:r>
      <w:r>
        <w:rPr>
          <w:rFonts w:hint="eastAsia" w:ascii="宋体" w:hAnsi="宋体" w:cs="宋体"/>
          <w:b/>
          <w:bCs w:val="0"/>
          <w:color w:val="auto"/>
          <w:szCs w:val="21"/>
          <w:highlight w:val="none"/>
          <w:u w:val="none"/>
          <w:lang w:val="en-US" w:eastAsia="zh-CN"/>
        </w:rPr>
        <w:t>5</w:t>
      </w:r>
      <w:r>
        <w:rPr>
          <w:rFonts w:hint="eastAsia" w:ascii="宋体" w:hAnsi="宋体" w:eastAsia="宋体" w:cs="宋体"/>
          <w:b/>
          <w:bCs w:val="0"/>
          <w:color w:val="auto"/>
          <w:szCs w:val="21"/>
          <w:highlight w:val="none"/>
          <w:u w:val="none"/>
          <w:lang w:eastAsia="zh-CN"/>
        </w:rPr>
        <w:t>】年</w:t>
      </w:r>
      <w:r>
        <w:rPr>
          <w:rFonts w:hint="eastAsia" w:ascii="宋体" w:hAnsi="宋体" w:eastAsia="宋体" w:cs="宋体"/>
          <w:b/>
          <w:bCs w:val="0"/>
          <w:color w:val="auto"/>
          <w:szCs w:val="21"/>
          <w:highlight w:val="none"/>
          <w:u w:val="none"/>
          <w:lang w:eastAsia="zh-CN"/>
        </w:rPr>
        <w:t>【</w:t>
      </w:r>
      <w:r>
        <w:rPr>
          <w:rFonts w:hint="eastAsia" w:ascii="宋体" w:hAnsi="宋体" w:cs="宋体"/>
          <w:b/>
          <w:bCs w:val="0"/>
          <w:color w:val="auto"/>
          <w:szCs w:val="21"/>
          <w:highlight w:val="none"/>
          <w:u w:val="none"/>
          <w:lang w:val="en-US" w:eastAsia="zh-CN"/>
        </w:rPr>
        <w:t>10</w:t>
      </w:r>
      <w:r>
        <w:rPr>
          <w:rFonts w:hint="eastAsia" w:ascii="宋体" w:hAnsi="宋体" w:eastAsia="宋体" w:cs="宋体"/>
          <w:b/>
          <w:bCs w:val="0"/>
          <w:color w:val="auto"/>
          <w:szCs w:val="21"/>
          <w:highlight w:val="none"/>
          <w:u w:val="none"/>
          <w:lang w:eastAsia="zh-CN"/>
        </w:rPr>
        <w:t>】月【</w:t>
      </w:r>
      <w:r>
        <w:rPr>
          <w:rFonts w:hint="eastAsia" w:ascii="宋体" w:hAnsi="宋体" w:cs="宋体"/>
          <w:b/>
          <w:bCs w:val="0"/>
          <w:color w:val="auto"/>
          <w:szCs w:val="21"/>
          <w:highlight w:val="none"/>
          <w:u w:val="none"/>
          <w:lang w:val="en-US" w:eastAsia="zh-CN"/>
        </w:rPr>
        <w:t>12</w:t>
      </w:r>
      <w:r>
        <w:rPr>
          <w:rFonts w:hint="eastAsia" w:ascii="宋体" w:hAnsi="宋体" w:eastAsia="宋体" w:cs="宋体"/>
          <w:b/>
          <w:bCs w:val="0"/>
          <w:color w:val="auto"/>
          <w:szCs w:val="21"/>
          <w:highlight w:val="none"/>
          <w:u w:val="none"/>
          <w:lang w:eastAsia="zh-CN"/>
        </w:rPr>
        <w:t>】日</w:t>
      </w:r>
      <w:r>
        <w:rPr>
          <w:rFonts w:hint="eastAsia" w:ascii="宋体" w:hAnsi="宋体" w:eastAsia="宋体" w:cs="宋体"/>
          <w:b/>
          <w:bCs w:val="0"/>
          <w:color w:val="auto"/>
          <w:szCs w:val="21"/>
          <w:highlight w:val="none"/>
          <w:u w:val="none"/>
          <w:lang w:eastAsia="zh-CN"/>
        </w:rPr>
        <w:t>【</w:t>
      </w:r>
      <w:r>
        <w:rPr>
          <w:rFonts w:hint="eastAsia" w:ascii="宋体" w:hAnsi="宋体" w:eastAsia="宋体" w:cs="宋体"/>
          <w:b/>
          <w:bCs w:val="0"/>
          <w:color w:val="auto"/>
          <w:szCs w:val="21"/>
          <w:highlight w:val="none"/>
          <w:u w:val="none"/>
          <w:lang w:val="en-US" w:eastAsia="zh-CN"/>
        </w:rPr>
        <w:t>23</w:t>
      </w:r>
      <w:r>
        <w:rPr>
          <w:rFonts w:hint="eastAsia" w:ascii="宋体" w:hAnsi="宋体" w:eastAsia="宋体" w:cs="宋体"/>
          <w:b/>
          <w:bCs w:val="0"/>
          <w:color w:val="auto"/>
          <w:szCs w:val="21"/>
          <w:highlight w:val="none"/>
          <w:u w:val="none"/>
          <w:lang w:eastAsia="zh-CN"/>
        </w:rPr>
        <w:t>】时【</w:t>
      </w:r>
      <w:r>
        <w:rPr>
          <w:rFonts w:hint="eastAsia" w:ascii="宋体" w:hAnsi="宋体" w:eastAsia="宋体" w:cs="宋体"/>
          <w:b/>
          <w:bCs w:val="0"/>
          <w:color w:val="auto"/>
          <w:szCs w:val="21"/>
          <w:highlight w:val="none"/>
          <w:u w:val="none"/>
          <w:lang w:val="en-US" w:eastAsia="zh-CN"/>
        </w:rPr>
        <w:t>59</w:t>
      </w:r>
      <w:r>
        <w:rPr>
          <w:rFonts w:hint="eastAsia" w:ascii="宋体" w:hAnsi="宋体" w:eastAsia="宋体" w:cs="宋体"/>
          <w:b/>
          <w:bCs w:val="0"/>
          <w:color w:val="auto"/>
          <w:szCs w:val="21"/>
          <w:highlight w:val="none"/>
          <w:u w:val="none"/>
          <w:lang w:eastAsia="zh-CN"/>
        </w:rPr>
        <w:t>】分（</w:t>
      </w:r>
      <w:r>
        <w:rPr>
          <w:rFonts w:hint="eastAsia" w:ascii="宋体" w:hAnsi="宋体" w:cs="宋体"/>
          <w:b/>
          <w:bCs w:val="0"/>
          <w:color w:val="auto"/>
          <w:szCs w:val="21"/>
          <w:highlight w:val="none"/>
          <w:u w:val="none"/>
          <w:lang w:eastAsia="zh-CN"/>
        </w:rPr>
        <w:t>多伦多当地时间</w:t>
      </w:r>
      <w:r>
        <w:rPr>
          <w:rFonts w:hint="eastAsia" w:ascii="宋体" w:hAnsi="宋体" w:eastAsia="宋体" w:cs="宋体"/>
          <w:b/>
          <w:bCs w:val="0"/>
          <w:color w:val="auto"/>
          <w:szCs w:val="21"/>
          <w:highlight w:val="none"/>
          <w:u w:val="none"/>
          <w:lang w:eastAsia="zh-CN"/>
        </w:rPr>
        <w:t>）</w:t>
      </w:r>
      <w:r>
        <w:rPr>
          <w:rFonts w:hint="eastAsia" w:ascii="宋体" w:hAnsi="宋体" w:eastAsia="宋体" w:cs="宋体"/>
          <w:color w:val="000000"/>
          <w:szCs w:val="21"/>
          <w:highlight w:val="none"/>
          <w:u w:val="none"/>
        </w:rPr>
        <w:t>，</w:t>
      </w:r>
      <w:r>
        <w:rPr>
          <w:rFonts w:hint="eastAsia" w:ascii="宋体" w:hAnsi="宋体" w:eastAsia="宋体" w:cs="宋体"/>
          <w:color w:val="000000"/>
          <w:szCs w:val="21"/>
          <w:highlight w:val="none"/>
          <w:u w:val="none"/>
          <w:lang w:val="en-US" w:eastAsia="zh-CN"/>
        </w:rPr>
        <w:t>供应商</w:t>
      </w:r>
      <w:r>
        <w:rPr>
          <w:rFonts w:hint="eastAsia" w:ascii="宋体" w:hAnsi="宋体" w:eastAsia="宋体" w:cs="宋体"/>
          <w:color w:val="000000"/>
          <w:szCs w:val="21"/>
          <w:highlight w:val="none"/>
        </w:rPr>
        <w:t>应在截止时间前</w:t>
      </w:r>
      <w:r>
        <w:rPr>
          <w:rFonts w:hint="eastAsia" w:ascii="宋体" w:hAnsi="宋体" w:cs="宋体"/>
          <w:color w:val="000000"/>
          <w:szCs w:val="21"/>
          <w:highlight w:val="none"/>
          <w:lang w:eastAsia="zh-CN"/>
        </w:rPr>
        <w:t>通过其公司联络邮箱发邮件至</w:t>
      </w:r>
      <w:r>
        <w:rPr>
          <w:rFonts w:hint="eastAsia" w:ascii="宋体" w:hAnsi="宋体" w:cs="宋体"/>
          <w:color w:val="000000"/>
          <w:szCs w:val="21"/>
          <w:highlight w:val="none"/>
          <w:lang w:val="en-US" w:eastAsia="zh-CN"/>
        </w:rPr>
        <w:t>cargoghs@csair.com</w:t>
      </w:r>
      <w:r>
        <w:rPr>
          <w:rFonts w:hint="eastAsia" w:ascii="宋体" w:hAnsi="宋体" w:eastAsia="宋体" w:cs="宋体"/>
          <w:color w:val="000000"/>
          <w:szCs w:val="21"/>
          <w:highlight w:val="none"/>
        </w:rPr>
        <w:t>递交</w:t>
      </w:r>
      <w:r>
        <w:rPr>
          <w:rFonts w:hint="eastAsia" w:ascii="宋体" w:hAnsi="宋体" w:eastAsia="宋体" w:cs="宋体"/>
          <w:color w:val="000000"/>
          <w:szCs w:val="21"/>
          <w:highlight w:val="none"/>
          <w:lang w:val="en-US" w:eastAsia="zh-CN"/>
        </w:rPr>
        <w:t>响应文件</w:t>
      </w:r>
      <w:r>
        <w:rPr>
          <w:rFonts w:hint="eastAsia" w:ascii="宋体" w:hAnsi="宋体" w:eastAsia="宋体" w:cs="宋体"/>
          <w:color w:val="000000"/>
          <w:szCs w:val="21"/>
          <w:highlight w:val="none"/>
          <w:u w:val="none"/>
        </w:rPr>
        <w:t>。</w:t>
      </w:r>
    </w:p>
    <w:p w14:paraId="09946635">
      <w:pPr>
        <w:widowControl/>
        <w:spacing w:beforeLines="0" w:afterLines="0" w:line="360" w:lineRule="auto"/>
        <w:ind w:firstLine="422" w:firstLineChars="200"/>
        <w:jc w:val="left"/>
        <w:rPr>
          <w:rFonts w:hint="eastAsia" w:ascii="宋体" w:hAnsi="宋体" w:eastAsia="宋体" w:cs="宋体"/>
          <w:b/>
          <w:bCs/>
          <w:color w:val="000000"/>
          <w:szCs w:val="21"/>
          <w:highlight w:val="none"/>
          <w:u w:val="none"/>
          <w:lang w:val="en-US" w:eastAsia="zh-CN"/>
        </w:rPr>
      </w:pPr>
      <w:r>
        <w:rPr>
          <w:rFonts w:hint="eastAsia" w:ascii="宋体" w:hAnsi="宋体" w:cs="宋体"/>
          <w:b/>
          <w:bCs/>
          <w:color w:val="000000"/>
          <w:szCs w:val="21"/>
          <w:highlight w:val="none"/>
          <w:u w:val="none"/>
          <w:lang w:val="en-US" w:eastAsia="zh-CN"/>
        </w:rPr>
        <w:t xml:space="preserve">4.2 </w:t>
      </w:r>
      <w:r>
        <w:rPr>
          <w:rFonts w:hint="eastAsia" w:ascii="宋体" w:hAnsi="宋体" w:eastAsia="宋体" w:cs="宋体"/>
          <w:b w:val="0"/>
          <w:bCs w:val="0"/>
          <w:color w:val="000000"/>
          <w:szCs w:val="21"/>
          <w:highlight w:val="none"/>
          <w:u w:val="none"/>
          <w:lang w:val="en-US" w:eastAsia="zh-CN"/>
        </w:rPr>
        <w:t>供应商联络邮箱反馈的资料，均视为代表其公司反馈的响应资料。</w:t>
      </w:r>
    </w:p>
    <w:p w14:paraId="5560D033">
      <w:pPr>
        <w:widowControl/>
        <w:spacing w:beforeLines="0" w:afterLines="0" w:line="360" w:lineRule="auto"/>
        <w:ind w:firstLine="422" w:firstLineChars="200"/>
        <w:jc w:val="left"/>
        <w:rPr>
          <w:rFonts w:hint="eastAsia" w:ascii="宋体" w:hAnsi="宋体" w:eastAsia="宋体" w:cs="宋体"/>
          <w:color w:val="FF0000"/>
          <w:szCs w:val="21"/>
          <w:highlight w:val="none"/>
        </w:rPr>
      </w:pPr>
      <w:r>
        <w:rPr>
          <w:rFonts w:hint="eastAsia" w:ascii="宋体" w:hAnsi="宋体" w:eastAsia="宋体" w:cs="宋体"/>
          <w:b/>
          <w:bCs/>
          <w:color w:val="000000"/>
          <w:szCs w:val="21"/>
          <w:highlight w:val="none"/>
          <w:u w:val="none"/>
          <w:lang w:val="en-US" w:eastAsia="zh-CN"/>
        </w:rPr>
        <w:t>4.</w:t>
      </w:r>
      <w:r>
        <w:rPr>
          <w:rFonts w:hint="eastAsia" w:ascii="宋体" w:hAnsi="宋体" w:cs="宋体"/>
          <w:b/>
          <w:bCs/>
          <w:color w:val="000000"/>
          <w:szCs w:val="21"/>
          <w:highlight w:val="none"/>
          <w:u w:val="none"/>
          <w:lang w:val="en-US" w:eastAsia="zh-CN"/>
        </w:rPr>
        <w:t>3</w:t>
      </w:r>
      <w:r>
        <w:rPr>
          <w:rFonts w:hint="eastAsia" w:ascii="宋体" w:hAnsi="宋体" w:eastAsia="宋体" w:cs="宋体"/>
          <w:b/>
          <w:bCs/>
          <w:color w:val="000000"/>
          <w:szCs w:val="21"/>
          <w:highlight w:val="none"/>
          <w:u w:val="none"/>
          <w:lang w:val="en-US" w:eastAsia="zh-CN"/>
        </w:rPr>
        <w:t xml:space="preserve"> </w:t>
      </w:r>
      <w:r>
        <w:rPr>
          <w:rFonts w:hint="eastAsia" w:ascii="宋体" w:hAnsi="宋体" w:eastAsia="宋体" w:cs="宋体"/>
          <w:color w:val="auto"/>
          <w:szCs w:val="21"/>
          <w:highlight w:val="none"/>
          <w:u w:val="none"/>
        </w:rPr>
        <w:t>逾期</w:t>
      </w:r>
      <w:r>
        <w:rPr>
          <w:rFonts w:hint="eastAsia" w:ascii="宋体" w:hAnsi="宋体" w:eastAsia="宋体" w:cs="宋体"/>
          <w:color w:val="auto"/>
          <w:szCs w:val="21"/>
          <w:highlight w:val="none"/>
          <w:u w:val="none"/>
          <w:lang w:val="en-US" w:eastAsia="zh-CN"/>
        </w:rPr>
        <w:t>上传</w:t>
      </w:r>
      <w:r>
        <w:rPr>
          <w:rFonts w:hint="eastAsia" w:ascii="宋体" w:hAnsi="宋体" w:eastAsia="宋体" w:cs="宋体"/>
          <w:color w:val="auto"/>
          <w:szCs w:val="21"/>
          <w:highlight w:val="none"/>
          <w:u w:val="none"/>
        </w:rPr>
        <w:t>的</w:t>
      </w:r>
      <w:r>
        <w:rPr>
          <w:rFonts w:hint="eastAsia" w:ascii="宋体" w:hAnsi="宋体" w:eastAsia="宋体" w:cs="宋体"/>
          <w:color w:val="auto"/>
          <w:szCs w:val="21"/>
          <w:highlight w:val="none"/>
          <w:u w:val="none"/>
          <w:lang w:eastAsia="zh-CN"/>
        </w:rPr>
        <w:t>响应文件</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u w:val="none"/>
        </w:rPr>
        <w:t>人将</w:t>
      </w:r>
      <w:r>
        <w:rPr>
          <w:rFonts w:hint="eastAsia" w:ascii="宋体" w:hAnsi="宋体" w:eastAsia="宋体" w:cs="宋体"/>
          <w:color w:val="auto"/>
          <w:szCs w:val="21"/>
          <w:highlight w:val="none"/>
        </w:rPr>
        <w:t>予以拒收。</w:t>
      </w:r>
    </w:p>
    <w:p w14:paraId="0E087C76">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rPr>
      </w:pPr>
      <w:bookmarkStart w:id="28" w:name="_Toc16927"/>
      <w:bookmarkStart w:id="29" w:name="_Toc10389"/>
      <w:bookmarkStart w:id="30" w:name="_Toc4316"/>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28"/>
          <w:highlight w:val="none"/>
        </w:rPr>
        <w:t>、联系方式</w:t>
      </w:r>
      <w:bookmarkEnd w:id="26"/>
      <w:bookmarkEnd w:id="27"/>
      <w:bookmarkEnd w:id="28"/>
      <w:bookmarkEnd w:id="29"/>
      <w:bookmarkEnd w:id="30"/>
    </w:p>
    <w:p w14:paraId="68616F59">
      <w:pPr>
        <w:spacing w:beforeLines="0" w:afterLines="0" w:line="360" w:lineRule="auto"/>
        <w:ind w:firstLine="840" w:firstLineChars="4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eastAsia="zh-CN"/>
        </w:rPr>
        <w:t>采购人</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eastAsia="zh-CN"/>
        </w:rPr>
        <w:t>中国南方航空股份有限公司</w:t>
      </w:r>
    </w:p>
    <w:p w14:paraId="53F37F21">
      <w:pPr>
        <w:spacing w:beforeLines="0" w:afterLines="0" w:line="360" w:lineRule="auto"/>
        <w:ind w:firstLine="315" w:firstLineChars="150"/>
        <w:rPr>
          <w:rFonts w:hint="default" w:ascii="宋体" w:hAnsi="宋体" w:eastAsia="宋体" w:cs="宋体"/>
          <w:color w:val="auto"/>
          <w:szCs w:val="21"/>
          <w:highlight w:val="none"/>
          <w:u w:val="none"/>
          <w:lang w:val="en-US"/>
        </w:rPr>
      </w:pPr>
      <w:r>
        <w:rPr>
          <w:rFonts w:hint="eastAsia" w:ascii="宋体" w:hAnsi="宋体" w:eastAsia="宋体" w:cs="宋体"/>
          <w:color w:val="auto"/>
          <w:szCs w:val="21"/>
          <w:highlight w:val="none"/>
          <w:u w:val="none"/>
        </w:rPr>
        <w:t xml:space="preserve">     </w:t>
      </w:r>
      <w:r>
        <w:rPr>
          <w:rFonts w:hint="eastAsia" w:ascii="宋体" w:hAnsi="宋体" w:eastAsia="宋体" w:cs="宋体"/>
          <w:szCs w:val="21"/>
          <w:highlight w:val="none"/>
          <w:u w:val="none"/>
        </w:rPr>
        <w:t>地址：</w:t>
      </w:r>
      <w:r>
        <w:rPr>
          <w:rFonts w:hint="eastAsia" w:ascii="宋体" w:hAnsi="宋体" w:cs="宋体"/>
          <w:color w:val="auto"/>
          <w:szCs w:val="21"/>
          <w:highlight w:val="none"/>
          <w:u w:val="none"/>
          <w:lang w:eastAsia="zh-CN"/>
        </w:rPr>
        <w:t>广东省广州市白云区机场路航云南街</w:t>
      </w:r>
      <w:r>
        <w:rPr>
          <w:rFonts w:hint="eastAsia" w:ascii="宋体" w:hAnsi="宋体" w:cs="宋体"/>
          <w:color w:val="auto"/>
          <w:szCs w:val="21"/>
          <w:highlight w:val="none"/>
          <w:u w:val="none"/>
          <w:lang w:val="en-US" w:eastAsia="zh-CN"/>
        </w:rPr>
        <w:t>27号南航物流公司</w:t>
      </w:r>
    </w:p>
    <w:p w14:paraId="6A1893A8">
      <w:pPr>
        <w:spacing w:beforeLines="0" w:afterLines="0" w:line="360" w:lineRule="auto"/>
        <w:ind w:firstLine="315" w:firstLineChars="1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邮编：</w:t>
      </w:r>
      <w:r>
        <w:rPr>
          <w:rFonts w:hint="eastAsia" w:ascii="宋体" w:hAnsi="宋体" w:cs="宋体"/>
          <w:i w:val="0"/>
          <w:caps w:val="0"/>
          <w:color w:val="auto"/>
          <w:spacing w:val="0"/>
          <w:sz w:val="21"/>
          <w:szCs w:val="21"/>
          <w:highlight w:val="none"/>
          <w:shd w:val="clear" w:color="auto" w:fill="FFFFFF"/>
          <w:lang w:val="en-US" w:eastAsia="zh-CN"/>
        </w:rPr>
        <w:t>510000</w:t>
      </w:r>
      <w:r>
        <w:rPr>
          <w:rFonts w:hint="eastAsia" w:ascii="宋体" w:hAnsi="宋体" w:eastAsia="宋体" w:cs="宋体"/>
          <w:i w:val="0"/>
          <w:caps w:val="0"/>
          <w:color w:val="auto"/>
          <w:spacing w:val="0"/>
          <w:sz w:val="21"/>
          <w:szCs w:val="21"/>
          <w:highlight w:val="none"/>
          <w:shd w:val="clear" w:color="auto" w:fill="FFFFFF"/>
        </w:rPr>
        <w:t xml:space="preserve"> </w:t>
      </w:r>
    </w:p>
    <w:p w14:paraId="436F0A76">
      <w:pPr>
        <w:spacing w:beforeLines="0" w:afterLines="0" w:line="360" w:lineRule="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szCs w:val="21"/>
          <w:highlight w:val="none"/>
        </w:rPr>
        <w:t>联系人及联系电话</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廖女士，</w:t>
      </w:r>
      <w:bookmarkStart w:id="31" w:name="OLE_LINK12"/>
      <w:r>
        <w:rPr>
          <w:rFonts w:hint="eastAsia" w:ascii="宋体" w:hAnsi="宋体" w:cs="宋体"/>
          <w:color w:val="auto"/>
          <w:szCs w:val="21"/>
          <w:highlight w:val="none"/>
          <w:lang w:val="en-US" w:eastAsia="zh-CN"/>
        </w:rPr>
        <w:t>020-28283564</w:t>
      </w:r>
      <w:bookmarkEnd w:id="31"/>
    </w:p>
    <w:p w14:paraId="26675DA0">
      <w:pPr>
        <w:keepNext/>
        <w:spacing w:line="360" w:lineRule="auto"/>
        <w:ind w:left="0" w:firstLine="0" w:firstLineChars="0"/>
        <w:outlineLvl w:val="1"/>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rPr>
        <w:t xml:space="preserve">        EMAIL：</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eastAsia="zh-CN"/>
        </w:rPr>
        <w:fldChar w:fldCharType="begin"/>
      </w:r>
      <w:r>
        <w:rPr>
          <w:rFonts w:hint="eastAsia" w:ascii="宋体" w:hAnsi="宋体" w:eastAsia="宋体" w:cs="宋体"/>
          <w:color w:val="auto"/>
          <w:szCs w:val="21"/>
          <w:highlight w:val="none"/>
          <w:u w:val="none"/>
          <w:lang w:eastAsia="zh-CN"/>
        </w:rPr>
        <w:instrText xml:space="preserve"> HYPERLINK "mailto:cargoghs@csair.com、chenyaoa@csair.com" </w:instrText>
      </w:r>
      <w:r>
        <w:rPr>
          <w:rFonts w:hint="eastAsia" w:ascii="宋体" w:hAnsi="宋体" w:eastAsia="宋体" w:cs="宋体"/>
          <w:color w:val="auto"/>
          <w:szCs w:val="21"/>
          <w:highlight w:val="none"/>
          <w:u w:val="none"/>
          <w:lang w:eastAsia="zh-CN"/>
        </w:rPr>
        <w:fldChar w:fldCharType="separate"/>
      </w:r>
      <w:r>
        <w:rPr>
          <w:rStyle w:val="20"/>
          <w:rFonts w:hint="eastAsia" w:ascii="宋体" w:hAnsi="宋体" w:eastAsia="宋体" w:cs="宋体"/>
          <w:szCs w:val="21"/>
          <w:highlight w:val="none"/>
          <w:lang w:eastAsia="zh-CN"/>
        </w:rPr>
        <w:t>cargoghs@csair.com</w:t>
      </w:r>
      <w:r>
        <w:rPr>
          <w:rFonts w:hint="eastAsia" w:ascii="宋体" w:hAnsi="宋体" w:eastAsia="宋体" w:cs="宋体"/>
          <w:color w:val="auto"/>
          <w:szCs w:val="21"/>
          <w:highlight w:val="none"/>
          <w:u w:val="none"/>
          <w:lang w:eastAsia="zh-CN"/>
        </w:rPr>
        <w:fldChar w:fldCharType="end"/>
      </w:r>
      <w:bookmarkStart w:id="32" w:name="_Toc25759"/>
      <w:bookmarkStart w:id="33" w:name="_Toc13262"/>
      <w:bookmarkStart w:id="34" w:name="_Toc243"/>
      <w:bookmarkStart w:id="35" w:name="_Toc10022"/>
      <w:bookmarkStart w:id="36" w:name="_Toc29256"/>
      <w:bookmarkStart w:id="37" w:name="_Toc8534"/>
      <w:bookmarkStart w:id="38" w:name="_Toc71279127"/>
      <w:bookmarkStart w:id="39" w:name="_Toc19056"/>
      <w:bookmarkStart w:id="40" w:name="_Toc21280"/>
      <w:bookmarkStart w:id="41" w:name="_Toc24337"/>
    </w:p>
    <w:p w14:paraId="2C6055B6">
      <w:pPr>
        <w:pStyle w:val="3"/>
        <w:spacing w:line="360" w:lineRule="auto"/>
        <w:ind w:left="0"/>
        <w:rPr>
          <w:rFonts w:hint="eastAsia" w:ascii="宋体" w:hAnsi="宋体" w:cs="宋体"/>
          <w:b/>
          <w:highlight w:val="none"/>
        </w:rPr>
      </w:pPr>
      <w:bookmarkStart w:id="42" w:name="_Toc1219360103"/>
      <w:bookmarkStart w:id="43" w:name="_Toc26780"/>
      <w:r>
        <w:rPr>
          <w:rFonts w:hint="eastAsia" w:ascii="宋体" w:hAnsi="宋体" w:cs="宋体"/>
          <w:b/>
          <w:highlight w:val="none"/>
          <w:lang w:val="en-US" w:eastAsia="zh-CN"/>
        </w:rPr>
        <w:t>6、</w:t>
      </w:r>
      <w:bookmarkEnd w:id="42"/>
      <w:bookmarkEnd w:id="43"/>
      <w:r>
        <w:rPr>
          <w:rFonts w:hint="eastAsia" w:ascii="宋体" w:hAnsi="宋体" w:cs="宋体"/>
          <w:b/>
          <w:highlight w:val="none"/>
          <w:lang w:val="en-US" w:eastAsia="zh-CN"/>
        </w:rPr>
        <w:t>谈判</w:t>
      </w:r>
      <w:r>
        <w:rPr>
          <w:rFonts w:hint="eastAsia" w:ascii="宋体" w:hAnsi="宋体" w:cs="宋体"/>
          <w:b/>
          <w:highlight w:val="none"/>
        </w:rPr>
        <w:t>程序终止说明</w:t>
      </w:r>
    </w:p>
    <w:p w14:paraId="0BD7EE76">
      <w:pPr>
        <w:widowControl/>
        <w:spacing w:line="360" w:lineRule="auto"/>
        <w:ind w:firstLine="420" w:firstLineChars="200"/>
        <w:rPr>
          <w:rFonts w:hint="eastAsia" w:eastAsia="宋体"/>
          <w:highlight w:val="none"/>
          <w:lang w:val="en-US" w:eastAsia="zh-CN"/>
        </w:rPr>
      </w:pPr>
      <w:r>
        <w:rPr>
          <w:rFonts w:hint="eastAsia" w:ascii="宋体" w:hAnsi="宋体" w:cs="宋体"/>
          <w:szCs w:val="21"/>
          <w:highlight w:val="none"/>
          <w:lang w:eastAsia="zh-CN"/>
        </w:rPr>
        <w:t>采购计划有预案的项目，</w:t>
      </w:r>
      <w:r>
        <w:rPr>
          <w:rFonts w:hint="eastAsia" w:ascii="宋体" w:hAnsi="宋体" w:cs="宋体"/>
          <w:szCs w:val="21"/>
          <w:highlight w:val="none"/>
        </w:rPr>
        <w:t>在执行过程中，第二次公告后如出现合格</w:t>
      </w:r>
      <w:r>
        <w:rPr>
          <w:rFonts w:hint="eastAsia" w:ascii="宋体" w:hAnsi="宋体" w:cs="宋体"/>
          <w:szCs w:val="21"/>
          <w:highlight w:val="none"/>
          <w:lang w:val="en-US" w:eastAsia="zh-CN"/>
        </w:rPr>
        <w:t>供应商</w:t>
      </w:r>
      <w:r>
        <w:rPr>
          <w:rFonts w:hint="eastAsia" w:ascii="宋体" w:hAnsi="宋体" w:cs="宋体"/>
          <w:szCs w:val="21"/>
          <w:highlight w:val="none"/>
        </w:rPr>
        <w:t>少于</w:t>
      </w:r>
      <w:r>
        <w:rPr>
          <w:rFonts w:hint="eastAsia" w:ascii="宋体" w:hAnsi="宋体" w:cs="宋体"/>
          <w:szCs w:val="21"/>
          <w:highlight w:val="none"/>
          <w:lang w:val="en-US" w:eastAsia="zh-CN"/>
        </w:rPr>
        <w:t>两</w:t>
      </w:r>
      <w:r>
        <w:rPr>
          <w:rFonts w:hint="eastAsia" w:ascii="宋体" w:hAnsi="宋体" w:cs="宋体"/>
          <w:szCs w:val="21"/>
          <w:highlight w:val="none"/>
        </w:rPr>
        <w:t>家的情况，则本项目的</w:t>
      </w:r>
      <w:r>
        <w:rPr>
          <w:rFonts w:hint="eastAsia" w:ascii="宋体" w:hAnsi="宋体" w:cs="宋体"/>
          <w:szCs w:val="21"/>
          <w:highlight w:val="none"/>
          <w:lang w:val="en-US" w:eastAsia="zh-CN"/>
        </w:rPr>
        <w:t>谈判</w:t>
      </w:r>
      <w:r>
        <w:rPr>
          <w:rFonts w:hint="eastAsia" w:ascii="宋体" w:hAnsi="宋体" w:cs="宋体"/>
          <w:szCs w:val="21"/>
          <w:highlight w:val="none"/>
        </w:rPr>
        <w:t>程序终止</w:t>
      </w:r>
      <w:r>
        <w:rPr>
          <w:rFonts w:hint="eastAsia" w:ascii="宋体" w:hAnsi="宋体" w:cs="宋体"/>
          <w:szCs w:val="21"/>
          <w:highlight w:val="none"/>
          <w:lang w:eastAsia="zh-CN"/>
        </w:rPr>
        <w:t>，</w:t>
      </w:r>
      <w:r>
        <w:rPr>
          <w:rFonts w:hint="eastAsia" w:ascii="宋体" w:hAnsi="宋体" w:cs="宋体"/>
          <w:highlight w:val="none"/>
          <w:lang w:val="en-US" w:eastAsia="zh-CN"/>
        </w:rPr>
        <w:t>并</w:t>
      </w:r>
      <w:r>
        <w:rPr>
          <w:rFonts w:hint="eastAsia" w:ascii="宋体" w:hAnsi="宋体" w:cs="宋体"/>
          <w:highlight w:val="none"/>
        </w:rPr>
        <w:t>由评委会在评审现场按照采购文件要求对这一家的响应文件进行评审，并形成评审结论</w:t>
      </w:r>
      <w:r>
        <w:rPr>
          <w:rFonts w:hint="eastAsia" w:ascii="宋体" w:hAnsi="宋体" w:cs="宋体"/>
          <w:highlight w:val="none"/>
          <w:lang w:eastAsia="zh-CN"/>
        </w:rPr>
        <w:t>。</w:t>
      </w:r>
    </w:p>
    <w:p w14:paraId="1B6D42F8">
      <w:pPr>
        <w:pStyle w:val="3"/>
        <w:spacing w:line="360" w:lineRule="auto"/>
        <w:ind w:left="0"/>
        <w:rPr>
          <w:rFonts w:hint="eastAsia" w:ascii="宋体" w:hAnsi="宋体" w:cs="宋体"/>
          <w:b/>
          <w:highlight w:val="none"/>
        </w:rPr>
      </w:pPr>
      <w:r>
        <w:rPr>
          <w:rFonts w:hint="eastAsia" w:ascii="宋体" w:hAnsi="宋体" w:cs="宋体"/>
          <w:b/>
          <w:highlight w:val="none"/>
          <w:lang w:val="en-US" w:eastAsia="zh-CN"/>
        </w:rPr>
        <w:t>7</w:t>
      </w:r>
      <w:r>
        <w:rPr>
          <w:rFonts w:hint="eastAsia" w:ascii="宋体" w:hAnsi="宋体" w:cs="宋体"/>
          <w:b/>
          <w:highlight w:val="none"/>
        </w:rPr>
        <w:t>、异议、投诉反馈路径</w:t>
      </w:r>
      <w:bookmarkEnd w:id="32"/>
      <w:bookmarkEnd w:id="33"/>
      <w:bookmarkEnd w:id="34"/>
      <w:bookmarkEnd w:id="35"/>
      <w:bookmarkEnd w:id="36"/>
      <w:bookmarkEnd w:id="37"/>
      <w:bookmarkEnd w:id="38"/>
      <w:bookmarkEnd w:id="39"/>
      <w:bookmarkEnd w:id="40"/>
      <w:bookmarkEnd w:id="41"/>
    </w:p>
    <w:p w14:paraId="5DFE67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异议/投诉人所提供的投诉内容和相关证明材料须为真实、客观、来源合法，并按照规定的渠道路径维护自身合法利益。若调查过程中，发现异议/投诉人有意捏造事实、伪造证明材料、以非法途径取得证明材料，或故意诋毁，造成不良影响的，一经查实，将按照我司相关办法进行严肃处理；构成违法犯罪的，依法追究法律责任。</w:t>
      </w:r>
    </w:p>
    <w:p w14:paraId="22B6470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如投标人(参与供应商)对本项目采购文件有疑问的，可在异议有效期内将有效的异议材料（书面/系统）递交至采购人（招标人）。</w:t>
      </w:r>
    </w:p>
    <w:p w14:paraId="2340F240">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异议材料唯一受理地址：</w:t>
      </w:r>
      <w:r>
        <w:rPr>
          <w:rFonts w:hint="eastAsia" w:ascii="宋体" w:hAnsi="宋体" w:cs="宋体"/>
          <w:szCs w:val="21"/>
          <w:highlight w:val="none"/>
          <w:lang w:eastAsia="zh-CN"/>
        </w:rPr>
        <w:t>广东省广州市白云区机场路航云南街</w:t>
      </w:r>
      <w:r>
        <w:rPr>
          <w:rFonts w:hint="eastAsia" w:ascii="宋体" w:hAnsi="宋体" w:cs="宋体"/>
          <w:szCs w:val="21"/>
          <w:highlight w:val="none"/>
          <w:lang w:val="en-US" w:eastAsia="zh-CN"/>
        </w:rPr>
        <w:t>27号南航物流</w:t>
      </w:r>
    </w:p>
    <w:p w14:paraId="7EF34F63">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招标代理机构联系人：</w:t>
      </w:r>
      <w:r>
        <w:rPr>
          <w:rFonts w:hint="eastAsia" w:ascii="宋体" w:hAnsi="宋体" w:cs="宋体"/>
          <w:szCs w:val="21"/>
          <w:highlight w:val="none"/>
          <w:lang w:eastAsia="zh-CN"/>
        </w:rPr>
        <w:t>廖女士</w:t>
      </w:r>
    </w:p>
    <w:p w14:paraId="6C7CD6B1">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联系电话：</w:t>
      </w:r>
      <w:r>
        <w:rPr>
          <w:rFonts w:hint="eastAsia" w:ascii="宋体" w:hAnsi="宋体" w:eastAsia="宋体" w:cs="宋体"/>
          <w:color w:val="auto"/>
          <w:szCs w:val="21"/>
          <w:highlight w:val="none"/>
          <w:u w:val="none"/>
          <w:lang w:val="en-US" w:eastAsia="zh-CN"/>
        </w:rPr>
        <w:t>020-86113564</w:t>
      </w:r>
      <w:r>
        <w:rPr>
          <w:rFonts w:hint="eastAsia" w:ascii="宋体" w:hAnsi="宋体" w:cs="宋体"/>
          <w:szCs w:val="21"/>
          <w:highlight w:val="none"/>
          <w:lang w:eastAsia="zh-CN"/>
        </w:rPr>
        <w:t xml:space="preserve">    </w:t>
      </w:r>
    </w:p>
    <w:p w14:paraId="41011B0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如投标人(参与供应商)对异议回复结果不满意，或认为本次采购活动违反法律、法规或规章制度的，可在收到异议回复2个工作日内进行实名投诉。</w:t>
      </w:r>
    </w:p>
    <w:p w14:paraId="6BCC9EB8">
      <w:pPr>
        <w:spacing w:line="360" w:lineRule="auto"/>
        <w:ind w:firstLine="420" w:firstLineChars="200"/>
        <w:rPr>
          <w:rFonts w:hint="eastAsia"/>
          <w:highlight w:val="none"/>
          <w:lang w:eastAsia="zh-CN"/>
        </w:rPr>
      </w:pPr>
      <w:r>
        <w:rPr>
          <w:rFonts w:hint="eastAsia" w:ascii="宋体" w:hAnsi="宋体" w:cs="宋体"/>
          <w:szCs w:val="21"/>
          <w:highlight w:val="none"/>
        </w:rPr>
        <w:t>投诉材料唯一受理</w:t>
      </w:r>
      <w:r>
        <w:rPr>
          <w:rFonts w:hint="eastAsia" w:ascii="宋体" w:hAnsi="宋体" w:cs="宋体"/>
          <w:szCs w:val="21"/>
          <w:highlight w:val="none"/>
          <w:lang w:val="en-US" w:eastAsia="zh-CN"/>
        </w:rPr>
        <w:t>部门</w:t>
      </w:r>
      <w:r>
        <w:rPr>
          <w:rFonts w:hint="eastAsia" w:ascii="宋体" w:hAnsi="宋体" w:cs="宋体"/>
          <w:szCs w:val="21"/>
          <w:highlight w:val="none"/>
        </w:rPr>
        <w:t>：</w:t>
      </w:r>
      <w:r>
        <w:rPr>
          <w:rFonts w:hint="eastAsia" w:ascii="宋体" w:hAnsi="宋体" w:cs="宋体"/>
          <w:szCs w:val="21"/>
          <w:highlight w:val="none"/>
          <w:lang w:val="en-US" w:eastAsia="zh-CN"/>
        </w:rPr>
        <w:t>南方航空物流股份有限公司企业管理</w:t>
      </w:r>
      <w:r>
        <w:rPr>
          <w:rFonts w:hint="eastAsia" w:ascii="宋体" w:hAnsi="宋体" w:cs="宋体"/>
          <w:szCs w:val="21"/>
          <w:highlight w:val="none"/>
        </w:rPr>
        <w:t>部</w:t>
      </w:r>
    </w:p>
    <w:p w14:paraId="5A1D3712">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联系</w:t>
      </w:r>
      <w:r>
        <w:rPr>
          <w:rFonts w:hint="eastAsia" w:ascii="宋体" w:hAnsi="宋体" w:cs="宋体"/>
          <w:szCs w:val="21"/>
          <w:highlight w:val="none"/>
          <w:lang w:val="en-US" w:eastAsia="zh-CN"/>
        </w:rPr>
        <w:t>地址</w:t>
      </w:r>
      <w:r>
        <w:rPr>
          <w:rFonts w:hint="eastAsia" w:ascii="宋体" w:hAnsi="宋体" w:cs="宋体"/>
          <w:szCs w:val="21"/>
          <w:highlight w:val="none"/>
        </w:rPr>
        <w:t>：</w:t>
      </w:r>
      <w:r>
        <w:rPr>
          <w:rFonts w:hint="eastAsia" w:ascii="宋体" w:hAnsi="宋体" w:cs="宋体"/>
          <w:szCs w:val="21"/>
          <w:highlight w:val="none"/>
          <w:lang w:eastAsia="zh-CN"/>
        </w:rPr>
        <w:t>广州市白云区</w:t>
      </w:r>
      <w:bookmarkStart w:id="44" w:name="OLE_LINK1"/>
      <w:r>
        <w:rPr>
          <w:rFonts w:hint="eastAsia" w:ascii="宋体" w:hAnsi="宋体" w:cs="宋体"/>
          <w:szCs w:val="21"/>
          <w:highlight w:val="none"/>
          <w:lang w:eastAsia="zh-CN"/>
        </w:rPr>
        <w:t>机场路</w:t>
      </w:r>
      <w:bookmarkEnd w:id="44"/>
      <w:r>
        <w:rPr>
          <w:rFonts w:hint="eastAsia" w:ascii="宋体" w:hAnsi="宋体" w:cs="宋体"/>
          <w:szCs w:val="21"/>
          <w:highlight w:val="none"/>
          <w:lang w:eastAsia="zh-CN"/>
        </w:rPr>
        <w:t>航云南街27号</w:t>
      </w:r>
    </w:p>
    <w:p w14:paraId="035273A3">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联系人及电话：王先生，</w:t>
      </w:r>
      <w:r>
        <w:rPr>
          <w:rFonts w:hint="eastAsia" w:ascii="宋体" w:hAnsi="宋体" w:cs="宋体"/>
          <w:szCs w:val="21"/>
          <w:highlight w:val="none"/>
          <w:lang w:val="en-US" w:eastAsia="zh-CN"/>
        </w:rPr>
        <w:t>020-</w:t>
      </w:r>
      <w:r>
        <w:rPr>
          <w:rFonts w:hint="eastAsia" w:ascii="宋体" w:hAnsi="宋体" w:cs="宋体"/>
          <w:szCs w:val="21"/>
          <w:highlight w:val="none"/>
          <w:lang w:eastAsia="zh-CN"/>
        </w:rPr>
        <w:t>86113565</w:t>
      </w:r>
    </w:p>
    <w:tbl>
      <w:tblPr>
        <w:tblStyle w:val="18"/>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5902"/>
      </w:tblGrid>
      <w:tr w14:paraId="2E76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14:paraId="34F72A53">
            <w:pPr>
              <w:spacing w:line="360" w:lineRule="auto"/>
              <w:jc w:val="left"/>
              <w:rPr>
                <w:rFonts w:hint="eastAsia" w:ascii="宋体" w:hAnsi="宋体" w:cs="宋体"/>
                <w:szCs w:val="21"/>
                <w:highlight w:val="none"/>
              </w:rPr>
            </w:pPr>
            <w:r>
              <w:rPr>
                <w:rFonts w:hint="eastAsia" w:ascii="宋体" w:hAnsi="宋体" w:eastAsia="宋体" w:cs="宋体"/>
                <w:szCs w:val="21"/>
                <w:highlight w:val="none"/>
              </w:rPr>
              <w:t>阶段</w:t>
            </w:r>
          </w:p>
        </w:tc>
        <w:tc>
          <w:tcPr>
            <w:tcW w:w="5902" w:type="dxa"/>
            <w:noWrap w:val="0"/>
            <w:vAlign w:val="center"/>
          </w:tcPr>
          <w:p w14:paraId="23C4654D">
            <w:pPr>
              <w:spacing w:line="360" w:lineRule="auto"/>
              <w:ind w:firstLine="0" w:firstLineChars="0"/>
              <w:rPr>
                <w:rFonts w:hint="eastAsia" w:ascii="宋体" w:hAnsi="宋体" w:cs="宋体"/>
                <w:szCs w:val="21"/>
                <w:highlight w:val="none"/>
              </w:rPr>
            </w:pPr>
            <w:r>
              <w:rPr>
                <w:rFonts w:hint="eastAsia" w:ascii="宋体" w:hAnsi="宋体" w:eastAsia="宋体" w:cs="宋体"/>
                <w:szCs w:val="21"/>
                <w:highlight w:val="none"/>
              </w:rPr>
              <w:t>异议有效期时限要求</w:t>
            </w:r>
          </w:p>
        </w:tc>
      </w:tr>
      <w:tr w14:paraId="0396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14:paraId="03F8BA47">
            <w:pPr>
              <w:spacing w:line="360" w:lineRule="auto"/>
              <w:jc w:val="left"/>
              <w:rPr>
                <w:rFonts w:hint="eastAsia" w:ascii="宋体" w:hAnsi="宋体" w:cs="宋体"/>
                <w:szCs w:val="21"/>
                <w:highlight w:val="none"/>
              </w:rPr>
            </w:pPr>
            <w:r>
              <w:rPr>
                <w:rFonts w:hint="eastAsia" w:ascii="宋体" w:hAnsi="宋体" w:eastAsia="宋体" w:cs="宋体"/>
                <w:szCs w:val="21"/>
                <w:highlight w:val="none"/>
              </w:rPr>
              <w:t>资格预审阶段</w:t>
            </w:r>
          </w:p>
        </w:tc>
        <w:tc>
          <w:tcPr>
            <w:tcW w:w="5902" w:type="dxa"/>
            <w:noWrap w:val="0"/>
            <w:vAlign w:val="center"/>
          </w:tcPr>
          <w:p w14:paraId="329C088A">
            <w:pPr>
              <w:spacing w:line="360" w:lineRule="auto"/>
              <w:ind w:firstLine="0" w:firstLineChars="0"/>
              <w:rPr>
                <w:rFonts w:hint="eastAsia" w:ascii="宋体" w:hAnsi="宋体" w:cs="宋体"/>
                <w:szCs w:val="21"/>
                <w:highlight w:val="none"/>
              </w:rPr>
            </w:pPr>
            <w:r>
              <w:rPr>
                <w:rFonts w:hint="eastAsia" w:ascii="宋体" w:hAnsi="宋体" w:eastAsia="宋体" w:cs="宋体"/>
                <w:szCs w:val="21"/>
                <w:highlight w:val="none"/>
              </w:rPr>
              <w:t>截止提交资格预审申请</w:t>
            </w:r>
            <w:r>
              <w:rPr>
                <w:rFonts w:hint="eastAsia" w:ascii="宋体" w:hAnsi="宋体" w:cs="宋体"/>
                <w:szCs w:val="21"/>
                <w:highlight w:val="none"/>
                <w:lang w:eastAsia="zh-CN"/>
              </w:rPr>
              <w:t>文件</w:t>
            </w:r>
            <w:r>
              <w:rPr>
                <w:rFonts w:hint="eastAsia" w:ascii="宋体" w:hAnsi="宋体" w:eastAsia="宋体" w:cs="宋体"/>
                <w:szCs w:val="21"/>
                <w:highlight w:val="none"/>
                <w:lang w:val="en-US" w:eastAsia="zh-CN"/>
              </w:rPr>
              <w:t>48小时</w:t>
            </w:r>
            <w:r>
              <w:rPr>
                <w:rFonts w:hint="eastAsia" w:ascii="宋体" w:hAnsi="宋体" w:eastAsia="宋体" w:cs="宋体"/>
                <w:szCs w:val="21"/>
                <w:highlight w:val="none"/>
              </w:rPr>
              <w:t>前提出异议</w:t>
            </w:r>
          </w:p>
        </w:tc>
      </w:tr>
      <w:tr w14:paraId="6F3F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Merge w:val="restart"/>
            <w:noWrap w:val="0"/>
            <w:vAlign w:val="center"/>
          </w:tcPr>
          <w:p w14:paraId="7654C8DB">
            <w:pPr>
              <w:spacing w:line="360" w:lineRule="auto"/>
              <w:jc w:val="left"/>
              <w:rPr>
                <w:rFonts w:hint="eastAsia" w:ascii="宋体" w:hAnsi="宋体" w:cs="宋体"/>
                <w:szCs w:val="21"/>
                <w:highlight w:val="none"/>
              </w:rPr>
            </w:pPr>
            <w:r>
              <w:rPr>
                <w:rFonts w:hint="eastAsia" w:ascii="宋体" w:hAnsi="宋体" w:eastAsia="宋体" w:cs="宋体"/>
                <w:szCs w:val="21"/>
                <w:highlight w:val="none"/>
              </w:rPr>
              <w:t>采购档发布阶段</w:t>
            </w:r>
          </w:p>
        </w:tc>
        <w:tc>
          <w:tcPr>
            <w:tcW w:w="5902" w:type="dxa"/>
            <w:noWrap w:val="0"/>
            <w:vAlign w:val="center"/>
          </w:tcPr>
          <w:p w14:paraId="4504356E">
            <w:pPr>
              <w:spacing w:line="360" w:lineRule="auto"/>
              <w:ind w:firstLine="0" w:firstLineChars="0"/>
              <w:rPr>
                <w:rFonts w:hint="eastAsia" w:ascii="宋体" w:hAnsi="宋体" w:cs="宋体"/>
                <w:szCs w:val="21"/>
                <w:highlight w:val="none"/>
              </w:rPr>
            </w:pPr>
            <w:r>
              <w:rPr>
                <w:rFonts w:hint="eastAsia" w:ascii="宋体" w:hAnsi="宋体" w:eastAsia="宋体" w:cs="宋体"/>
                <w:szCs w:val="21"/>
                <w:highlight w:val="none"/>
              </w:rPr>
              <w:t>招标采购项目应在</w:t>
            </w:r>
            <w:r>
              <w:rPr>
                <w:rFonts w:hint="eastAsia"/>
                <w:highlight w:val="none"/>
                <w:lang w:eastAsia="zh-CN"/>
              </w:rPr>
              <w:t>获取文件截止时间后</w:t>
            </w:r>
            <w:r>
              <w:rPr>
                <w:rFonts w:hint="eastAsia"/>
                <w:highlight w:val="none"/>
                <w:lang w:val="en-US" w:eastAsia="zh-CN"/>
              </w:rPr>
              <w:t>48小时内</w:t>
            </w:r>
            <w:r>
              <w:rPr>
                <w:rFonts w:hint="eastAsia" w:ascii="宋体" w:hAnsi="宋体" w:eastAsia="宋体" w:cs="宋体"/>
                <w:szCs w:val="21"/>
                <w:highlight w:val="none"/>
              </w:rPr>
              <w:t>提出异议</w:t>
            </w:r>
          </w:p>
        </w:tc>
      </w:tr>
      <w:tr w14:paraId="4BFD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Merge w:val="continue"/>
            <w:noWrap w:val="0"/>
            <w:vAlign w:val="center"/>
          </w:tcPr>
          <w:p w14:paraId="1E6B57CA">
            <w:pPr>
              <w:spacing w:line="360" w:lineRule="auto"/>
              <w:ind w:firstLine="420" w:firstLineChars="200"/>
              <w:jc w:val="left"/>
              <w:rPr>
                <w:rFonts w:hint="eastAsia" w:ascii="宋体" w:hAnsi="宋体" w:cs="宋体"/>
                <w:szCs w:val="21"/>
                <w:highlight w:val="none"/>
              </w:rPr>
            </w:pPr>
          </w:p>
        </w:tc>
        <w:tc>
          <w:tcPr>
            <w:tcW w:w="5902" w:type="dxa"/>
            <w:noWrap w:val="0"/>
            <w:vAlign w:val="center"/>
          </w:tcPr>
          <w:p w14:paraId="5AE452BE">
            <w:pPr>
              <w:spacing w:line="360" w:lineRule="auto"/>
              <w:ind w:firstLine="0" w:firstLineChars="0"/>
              <w:rPr>
                <w:rFonts w:hint="eastAsia" w:ascii="宋体" w:hAnsi="宋体" w:cs="宋体"/>
                <w:szCs w:val="21"/>
                <w:highlight w:val="none"/>
              </w:rPr>
            </w:pPr>
            <w:r>
              <w:rPr>
                <w:rFonts w:hint="eastAsia" w:ascii="宋体" w:hAnsi="宋体" w:eastAsia="宋体" w:cs="宋体"/>
                <w:szCs w:val="21"/>
                <w:highlight w:val="none"/>
              </w:rPr>
              <w:t>非招标采购项目应在截</w:t>
            </w:r>
            <w:r>
              <w:rPr>
                <w:rFonts w:hint="eastAsia"/>
                <w:highlight w:val="none"/>
                <w:lang w:val="en-US" w:eastAsia="zh-CN"/>
              </w:rPr>
              <w:t>止递交响应文件（竞价文件）24小时前</w:t>
            </w:r>
            <w:r>
              <w:rPr>
                <w:rFonts w:hint="eastAsia" w:ascii="宋体" w:hAnsi="宋体" w:eastAsia="宋体" w:cs="宋体"/>
                <w:szCs w:val="21"/>
                <w:highlight w:val="none"/>
              </w:rPr>
              <w:t>提出异议</w:t>
            </w:r>
          </w:p>
        </w:tc>
      </w:tr>
      <w:tr w14:paraId="58E9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14:paraId="03BCBE97">
            <w:pPr>
              <w:spacing w:line="360" w:lineRule="auto"/>
              <w:jc w:val="left"/>
              <w:rPr>
                <w:rFonts w:hint="eastAsia" w:ascii="宋体" w:hAnsi="宋体" w:cs="宋体"/>
                <w:szCs w:val="21"/>
                <w:highlight w:val="none"/>
              </w:rPr>
            </w:pPr>
            <w:r>
              <w:rPr>
                <w:rFonts w:hint="eastAsia" w:ascii="宋体" w:hAnsi="宋体" w:eastAsia="宋体" w:cs="宋体"/>
                <w:szCs w:val="21"/>
                <w:highlight w:val="none"/>
              </w:rPr>
              <w:t>评审结果公示阶段</w:t>
            </w:r>
          </w:p>
        </w:tc>
        <w:tc>
          <w:tcPr>
            <w:tcW w:w="5902" w:type="dxa"/>
            <w:noWrap w:val="0"/>
            <w:vAlign w:val="center"/>
          </w:tcPr>
          <w:p w14:paraId="1FABE20A">
            <w:pPr>
              <w:spacing w:line="360" w:lineRule="auto"/>
              <w:ind w:firstLine="0" w:firstLineChars="0"/>
              <w:rPr>
                <w:rFonts w:hint="eastAsia" w:ascii="宋体" w:hAnsi="宋体" w:cs="宋体"/>
                <w:szCs w:val="21"/>
                <w:highlight w:val="none"/>
              </w:rPr>
            </w:pPr>
            <w:r>
              <w:rPr>
                <w:rFonts w:hint="eastAsia" w:ascii="宋体" w:hAnsi="宋体" w:eastAsia="宋体" w:cs="宋体"/>
                <w:szCs w:val="21"/>
                <w:highlight w:val="none"/>
              </w:rPr>
              <w:t>结果公示期内提出异议</w:t>
            </w:r>
          </w:p>
        </w:tc>
      </w:tr>
      <w:tr w14:paraId="361B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6" w:type="dxa"/>
            <w:gridSpan w:val="2"/>
            <w:noWrap w:val="0"/>
            <w:vAlign w:val="center"/>
          </w:tcPr>
          <w:p w14:paraId="10E77964">
            <w:pPr>
              <w:spacing w:line="360" w:lineRule="auto"/>
              <w:ind w:firstLine="420" w:firstLineChars="200"/>
              <w:rPr>
                <w:rFonts w:hint="eastAsia" w:ascii="宋体" w:hAnsi="宋体" w:cs="宋体"/>
                <w:szCs w:val="21"/>
                <w:highlight w:val="none"/>
              </w:rPr>
            </w:pPr>
            <w:r>
              <w:rPr>
                <w:rFonts w:hint="eastAsia" w:ascii="宋体" w:hAnsi="宋体" w:eastAsia="宋体" w:cs="宋体"/>
                <w:szCs w:val="21"/>
                <w:highlight w:val="none"/>
              </w:rPr>
              <w:t>（异议、投诉具体要求详见招标（采购）</w:t>
            </w:r>
            <w:r>
              <w:rPr>
                <w:rFonts w:hint="eastAsia" w:ascii="宋体" w:hAnsi="宋体" w:cs="宋体"/>
                <w:szCs w:val="21"/>
                <w:highlight w:val="none"/>
                <w:lang w:eastAsia="zh-CN"/>
              </w:rPr>
              <w:t>文件</w:t>
            </w:r>
            <w:r>
              <w:rPr>
                <w:rFonts w:hint="eastAsia" w:ascii="宋体" w:hAnsi="宋体" w:eastAsia="宋体" w:cs="宋体"/>
                <w:szCs w:val="21"/>
                <w:highlight w:val="none"/>
              </w:rPr>
              <w:t>中的异议承诺及格式指引）</w:t>
            </w:r>
          </w:p>
        </w:tc>
      </w:tr>
    </w:tbl>
    <w:p w14:paraId="0EDC2EC7">
      <w:pPr>
        <w:spacing w:line="360" w:lineRule="auto"/>
        <w:rPr>
          <w:rFonts w:hint="eastAsia" w:ascii="宋体" w:hAnsi="宋体" w:eastAsia="宋体" w:cs="宋体"/>
          <w:color w:val="auto"/>
          <w:szCs w:val="21"/>
          <w:highlight w:val="none"/>
          <w:u w:val="none"/>
          <w:lang w:eastAsia="zh-CN"/>
        </w:rPr>
      </w:pPr>
    </w:p>
    <w:p w14:paraId="652EC63B">
      <w:pPr>
        <w:spacing w:line="360" w:lineRule="auto"/>
        <w:rPr>
          <w:rFonts w:hint="eastAsia" w:ascii="宋体" w:hAnsi="宋体"/>
          <w:color w:val="000000"/>
          <w:szCs w:val="21"/>
          <w:highlight w:val="none"/>
        </w:rPr>
      </w:pPr>
    </w:p>
    <w:p w14:paraId="0C6CCE4B">
      <w:pPr>
        <w:numPr>
          <w:ilvl w:val="0"/>
          <w:numId w:val="0"/>
        </w:numPr>
        <w:spacing w:before="120" w:beforeLines="50" w:after="120" w:afterLines="50" w:line="360" w:lineRule="auto"/>
        <w:ind w:firstLine="2209" w:firstLineChars="500"/>
        <w:jc w:val="both"/>
        <w:outlineLvl w:val="0"/>
        <w:rPr>
          <w:rStyle w:val="23"/>
          <w:rFonts w:hint="eastAsia"/>
          <w:color w:val="auto"/>
          <w:highlight w:val="none"/>
          <w:lang w:val="en-US" w:eastAsia="zh-CN"/>
        </w:rPr>
      </w:pPr>
      <w:bookmarkStart w:id="45" w:name="_Toc7818"/>
      <w:bookmarkStart w:id="46" w:name="_Toc28555"/>
      <w:bookmarkStart w:id="47" w:name="_Toc2922"/>
      <w:bookmarkStart w:id="48" w:name="_Toc30227"/>
      <w:bookmarkStart w:id="49" w:name="_Toc504657609"/>
      <w:bookmarkStart w:id="50" w:name="_Toc27400"/>
      <w:bookmarkStart w:id="51" w:name="_Toc6229"/>
      <w:bookmarkStart w:id="52" w:name="_Toc2442"/>
      <w:bookmarkStart w:id="53" w:name="_Toc8405"/>
      <w:bookmarkStart w:id="54" w:name="_Toc25009"/>
      <w:bookmarkStart w:id="55" w:name="_Toc22308"/>
      <w:bookmarkStart w:id="56" w:name="_Toc504657627"/>
      <w:bookmarkStart w:id="57" w:name="_Toc5848"/>
      <w:bookmarkStart w:id="58" w:name="_Toc22962"/>
      <w:r>
        <w:rPr>
          <w:rStyle w:val="23"/>
          <w:rFonts w:hint="eastAsia"/>
          <w:color w:val="auto"/>
          <w:highlight w:val="none"/>
          <w:lang w:val="en-US" w:eastAsia="zh-CN"/>
        </w:rPr>
        <w:br w:type="page"/>
      </w:r>
      <w:bookmarkStart w:id="59" w:name="_Toc29828"/>
      <w:bookmarkStart w:id="60" w:name="_Toc1652636853"/>
      <w:r>
        <w:rPr>
          <w:rStyle w:val="23"/>
          <w:rFonts w:hint="eastAsia"/>
          <w:color w:val="auto"/>
          <w:highlight w:val="none"/>
          <w:lang w:val="en-US" w:eastAsia="zh-CN"/>
        </w:rPr>
        <w:t>第二章  供应商须知</w:t>
      </w:r>
      <w:bookmarkEnd w:id="59"/>
      <w:bookmarkEnd w:id="60"/>
    </w:p>
    <w:bookmarkEnd w:id="45"/>
    <w:bookmarkEnd w:id="46"/>
    <w:bookmarkEnd w:id="47"/>
    <w:bookmarkEnd w:id="48"/>
    <w:p w14:paraId="7B8F1D08">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lang w:val="en-US" w:eastAsia="zh-CN"/>
        </w:rPr>
      </w:pPr>
      <w:bookmarkStart w:id="61" w:name="_Toc5503"/>
      <w:bookmarkStart w:id="62" w:name="_Toc7679"/>
      <w:bookmarkStart w:id="63" w:name="_Toc7358"/>
      <w:bookmarkStart w:id="64" w:name="_Toc24125"/>
      <w:bookmarkStart w:id="65" w:name="_Toc29046"/>
      <w:r>
        <w:rPr>
          <w:rFonts w:hint="eastAsia" w:ascii="宋体" w:hAnsi="宋体" w:eastAsia="宋体" w:cs="宋体"/>
          <w:b/>
          <w:color w:val="auto"/>
          <w:sz w:val="28"/>
          <w:highlight w:val="none"/>
          <w:lang w:val="en-US" w:eastAsia="zh-CN"/>
        </w:rPr>
        <w:t>1、</w:t>
      </w:r>
      <w:r>
        <w:rPr>
          <w:rFonts w:hint="eastAsia" w:eastAsia="宋体"/>
          <w:b/>
          <w:color w:val="auto"/>
          <w:sz w:val="28"/>
          <w:highlight w:val="none"/>
          <w:lang w:val="en-US" w:eastAsia="zh-CN"/>
        </w:rPr>
        <w:t>总则</w:t>
      </w:r>
      <w:bookmarkEnd w:id="61"/>
      <w:bookmarkEnd w:id="62"/>
      <w:bookmarkEnd w:id="63"/>
      <w:bookmarkEnd w:id="64"/>
      <w:bookmarkEnd w:id="65"/>
    </w:p>
    <w:p w14:paraId="3C3B5D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ascii="宋体" w:hAnsi="宋体"/>
          <w:b/>
          <w:color w:val="auto"/>
          <w:sz w:val="28"/>
          <w:highlight w:val="none"/>
        </w:rPr>
      </w:pPr>
      <w:r>
        <w:rPr>
          <w:rFonts w:ascii="宋体" w:hAnsi="宋体"/>
          <w:b/>
          <w:color w:val="auto"/>
          <w:sz w:val="24"/>
          <w:highlight w:val="none"/>
        </w:rPr>
        <w:t xml:space="preserve">1.1 </w:t>
      </w:r>
      <w:r>
        <w:rPr>
          <w:rFonts w:hint="eastAsia" w:ascii="宋体" w:hAnsi="宋体"/>
          <w:b/>
          <w:color w:val="auto"/>
          <w:sz w:val="24"/>
          <w:highlight w:val="none"/>
          <w:lang w:eastAsia="zh-CN"/>
        </w:rPr>
        <w:t>供应商</w:t>
      </w:r>
      <w:r>
        <w:rPr>
          <w:rFonts w:hint="eastAsia" w:ascii="宋体" w:hAnsi="宋体"/>
          <w:b/>
          <w:color w:val="auto"/>
          <w:sz w:val="24"/>
          <w:highlight w:val="none"/>
        </w:rPr>
        <w:t>知悉</w:t>
      </w:r>
    </w:p>
    <w:p w14:paraId="15F1305B">
      <w:pPr>
        <w:spacing w:line="360" w:lineRule="auto"/>
        <w:ind w:firstLine="422" w:firstLineChars="200"/>
        <w:rPr>
          <w:rFonts w:hint="eastAsia" w:ascii="宋体" w:hAnsi="宋体"/>
          <w:bCs/>
          <w:color w:val="auto"/>
          <w:highlight w:val="none"/>
        </w:rPr>
      </w:pPr>
      <w:r>
        <w:rPr>
          <w:rFonts w:ascii="宋体" w:hAnsi="宋体"/>
          <w:b/>
          <w:color w:val="auto"/>
          <w:highlight w:val="none"/>
        </w:rPr>
        <w:t>1.1.1</w:t>
      </w:r>
      <w:r>
        <w:rPr>
          <w:rFonts w:ascii="宋体" w:hAnsi="宋体"/>
          <w:color w:val="auto"/>
          <w:highlight w:val="none"/>
        </w:rPr>
        <w:t xml:space="preserve"> </w:t>
      </w:r>
      <w:r>
        <w:rPr>
          <w:rFonts w:hint="eastAsia" w:ascii="宋体" w:hAnsi="宋体"/>
          <w:bCs/>
          <w:color w:val="auto"/>
          <w:highlight w:val="none"/>
        </w:rPr>
        <w:t>凡响应本次</w:t>
      </w:r>
      <w:r>
        <w:rPr>
          <w:rFonts w:hint="eastAsia" w:ascii="宋体" w:hAnsi="宋体"/>
          <w:bCs/>
          <w:color w:val="auto"/>
          <w:highlight w:val="none"/>
          <w:lang w:val="en-US" w:eastAsia="zh-CN"/>
        </w:rPr>
        <w:t>谈判</w:t>
      </w:r>
      <w:r>
        <w:rPr>
          <w:rFonts w:hint="eastAsia" w:ascii="宋体" w:hAnsi="宋体"/>
          <w:bCs/>
          <w:color w:val="auto"/>
          <w:highlight w:val="none"/>
        </w:rPr>
        <w:t>的</w:t>
      </w:r>
      <w:r>
        <w:rPr>
          <w:rFonts w:hint="eastAsia" w:ascii="宋体" w:hAnsi="宋体"/>
          <w:bCs/>
          <w:color w:val="auto"/>
          <w:highlight w:val="none"/>
          <w:lang w:eastAsia="zh-CN"/>
        </w:rPr>
        <w:t>供应商</w:t>
      </w:r>
      <w:r>
        <w:rPr>
          <w:rFonts w:hint="eastAsia" w:ascii="宋体" w:hAnsi="宋体"/>
          <w:bCs/>
          <w:color w:val="auto"/>
          <w:highlight w:val="none"/>
        </w:rPr>
        <w:t>均被视为已充分认识和理解了任何与本项目有关的影响事项和困难等情况。</w:t>
      </w:r>
    </w:p>
    <w:p w14:paraId="65624610">
      <w:pPr>
        <w:spacing w:line="360" w:lineRule="auto"/>
        <w:ind w:firstLine="422" w:firstLineChars="200"/>
        <w:rPr>
          <w:rFonts w:hint="eastAsia" w:ascii="宋体" w:hAnsi="宋体"/>
          <w:bCs/>
          <w:color w:val="auto"/>
          <w:highlight w:val="none"/>
        </w:rPr>
      </w:pPr>
      <w:r>
        <w:rPr>
          <w:rFonts w:ascii="宋体" w:hAnsi="宋体"/>
          <w:b/>
          <w:color w:val="auto"/>
          <w:highlight w:val="none"/>
        </w:rPr>
        <w:t>1.1.2</w:t>
      </w:r>
      <w:r>
        <w:rPr>
          <w:rFonts w:eastAsia="Times New Roman"/>
          <w:color w:val="auto"/>
          <w:highlight w:val="none"/>
        </w:rPr>
        <w:t xml:space="preserve"> </w:t>
      </w:r>
      <w:r>
        <w:rPr>
          <w:rFonts w:hint="eastAsia" w:ascii="宋体" w:hAnsi="宋体"/>
          <w:bCs/>
          <w:color w:val="auto"/>
          <w:highlight w:val="none"/>
          <w:lang w:eastAsia="zh-CN"/>
        </w:rPr>
        <w:t>谈判人</w:t>
      </w:r>
      <w:r>
        <w:rPr>
          <w:rFonts w:hint="eastAsia" w:ascii="宋体" w:hAnsi="宋体"/>
          <w:bCs/>
          <w:color w:val="auto"/>
          <w:highlight w:val="none"/>
        </w:rPr>
        <w:t>必须对</w:t>
      </w:r>
      <w:r>
        <w:rPr>
          <w:rFonts w:hint="eastAsia" w:ascii="宋体" w:hAnsi="宋体"/>
          <w:bCs/>
          <w:color w:val="auto"/>
          <w:highlight w:val="none"/>
          <w:lang w:eastAsia="zh-CN"/>
        </w:rPr>
        <w:t>必要</w:t>
      </w:r>
      <w:r>
        <w:rPr>
          <w:rFonts w:hint="eastAsia" w:ascii="宋体" w:hAnsi="宋体"/>
          <w:bCs/>
          <w:color w:val="auto"/>
          <w:highlight w:val="none"/>
        </w:rPr>
        <w:t>内容进行报价，如有缺漏，将导致</w:t>
      </w:r>
      <w:r>
        <w:rPr>
          <w:rFonts w:hint="eastAsia" w:ascii="宋体" w:hAnsi="宋体"/>
          <w:bCs/>
          <w:color w:val="auto"/>
          <w:highlight w:val="none"/>
          <w:lang w:eastAsia="zh-CN"/>
        </w:rPr>
        <w:t>报价</w:t>
      </w:r>
      <w:r>
        <w:rPr>
          <w:rFonts w:hint="eastAsia" w:ascii="宋体" w:hAnsi="宋体"/>
          <w:bCs/>
          <w:color w:val="auto"/>
          <w:highlight w:val="none"/>
        </w:rPr>
        <w:t>无效。</w:t>
      </w:r>
    </w:p>
    <w:p w14:paraId="3917417A">
      <w:pPr>
        <w:spacing w:line="360" w:lineRule="auto"/>
        <w:ind w:firstLine="422" w:firstLineChars="200"/>
        <w:rPr>
          <w:rFonts w:hint="eastAsia" w:ascii="宋体" w:hAnsi="宋体"/>
          <w:bCs/>
          <w:color w:val="auto"/>
          <w:highlight w:val="none"/>
        </w:rPr>
      </w:pPr>
      <w:r>
        <w:rPr>
          <w:rFonts w:hint="eastAsia" w:ascii="宋体" w:hAnsi="宋体"/>
          <w:b/>
          <w:color w:val="auto"/>
          <w:highlight w:val="none"/>
        </w:rPr>
        <w:t>1.1.</w:t>
      </w:r>
      <w:r>
        <w:rPr>
          <w:rFonts w:hint="eastAsia" w:ascii="宋体" w:hAnsi="宋体"/>
          <w:b/>
          <w:color w:val="auto"/>
          <w:highlight w:val="none"/>
          <w:lang w:val="en-US" w:eastAsia="zh-CN"/>
        </w:rPr>
        <w:t>3</w:t>
      </w:r>
      <w:r>
        <w:rPr>
          <w:rFonts w:hint="eastAsia" w:ascii="宋体" w:hAnsi="宋体"/>
          <w:b/>
          <w:color w:val="auto"/>
          <w:highlight w:val="none"/>
        </w:rPr>
        <w:t xml:space="preserve"> </w:t>
      </w:r>
      <w:r>
        <w:rPr>
          <w:rFonts w:hint="eastAsia" w:ascii="宋体" w:hAnsi="宋体"/>
          <w:bCs/>
          <w:color w:val="auto"/>
          <w:highlight w:val="none"/>
          <w:lang w:eastAsia="zh-CN"/>
        </w:rPr>
        <w:t>供应商</w:t>
      </w:r>
      <w:r>
        <w:rPr>
          <w:rFonts w:hint="eastAsia" w:ascii="宋体" w:hAnsi="宋体"/>
          <w:bCs/>
          <w:color w:val="auto"/>
          <w:highlight w:val="none"/>
        </w:rPr>
        <w:t>应保证提交给</w:t>
      </w:r>
      <w:r>
        <w:rPr>
          <w:rFonts w:hint="eastAsia" w:ascii="宋体" w:hAnsi="宋体"/>
          <w:bCs/>
          <w:color w:val="auto"/>
          <w:highlight w:val="none"/>
          <w:lang w:eastAsia="zh-CN"/>
        </w:rPr>
        <w:t>采购人</w:t>
      </w:r>
      <w:r>
        <w:rPr>
          <w:rFonts w:hint="eastAsia" w:ascii="宋体" w:hAnsi="宋体"/>
          <w:bCs/>
          <w:color w:val="auto"/>
          <w:highlight w:val="none"/>
        </w:rPr>
        <w:t>的</w:t>
      </w:r>
      <w:r>
        <w:rPr>
          <w:rFonts w:hint="eastAsia" w:ascii="宋体" w:hAnsi="宋体"/>
          <w:bCs/>
          <w:color w:val="auto"/>
          <w:highlight w:val="none"/>
          <w:lang w:val="en-US" w:eastAsia="zh-CN"/>
        </w:rPr>
        <w:t>响应文件</w:t>
      </w:r>
      <w:r>
        <w:rPr>
          <w:rFonts w:hint="eastAsia" w:ascii="宋体" w:hAnsi="宋体"/>
          <w:bCs/>
          <w:color w:val="auto"/>
          <w:highlight w:val="none"/>
        </w:rPr>
        <w:t>（含有关资料和数据）的</w:t>
      </w:r>
      <w:r>
        <w:rPr>
          <w:rFonts w:hint="eastAsia" w:ascii="宋体" w:hAnsi="宋体"/>
          <w:bCs/>
          <w:color w:val="auto"/>
          <w:highlight w:val="none"/>
          <w:lang w:val="en-US" w:eastAsia="zh-CN"/>
        </w:rPr>
        <w:t>合法性、</w:t>
      </w:r>
      <w:r>
        <w:rPr>
          <w:rFonts w:hint="eastAsia" w:ascii="宋体" w:hAnsi="宋体"/>
          <w:bCs/>
          <w:color w:val="auto"/>
          <w:highlight w:val="none"/>
        </w:rPr>
        <w:t>真实性</w:t>
      </w:r>
      <w:r>
        <w:rPr>
          <w:rFonts w:hint="eastAsia" w:ascii="宋体" w:hAnsi="宋体"/>
          <w:bCs/>
          <w:color w:val="auto"/>
          <w:highlight w:val="none"/>
          <w:lang w:eastAsia="zh-CN"/>
        </w:rPr>
        <w:t>、</w:t>
      </w:r>
      <w:r>
        <w:rPr>
          <w:rFonts w:hint="eastAsia" w:ascii="宋体" w:hAnsi="宋体"/>
          <w:bCs/>
          <w:color w:val="auto"/>
          <w:highlight w:val="none"/>
          <w:lang w:val="en-US" w:eastAsia="zh-CN"/>
        </w:rPr>
        <w:t>完整性</w:t>
      </w:r>
      <w:r>
        <w:rPr>
          <w:rFonts w:hint="eastAsia" w:ascii="宋体" w:hAnsi="宋体"/>
          <w:bCs/>
          <w:color w:val="auto"/>
          <w:highlight w:val="none"/>
        </w:rPr>
        <w:t>。</w:t>
      </w:r>
    </w:p>
    <w:p w14:paraId="2EBAFFE2">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1.1.</w:t>
      </w:r>
      <w:r>
        <w:rPr>
          <w:rFonts w:hint="eastAsia" w:ascii="宋体" w:hAnsi="宋体"/>
          <w:b/>
          <w:color w:val="auto"/>
          <w:highlight w:val="none"/>
          <w:lang w:val="en-US" w:eastAsia="zh-CN"/>
        </w:rPr>
        <w:t>4</w:t>
      </w:r>
      <w:r>
        <w:rPr>
          <w:rFonts w:hint="eastAsia" w:ascii="宋体" w:hAnsi="宋体"/>
          <w:b/>
          <w:color w:val="auto"/>
          <w:highlight w:val="none"/>
        </w:rPr>
        <w:t xml:space="preserve"> </w:t>
      </w:r>
      <w:r>
        <w:rPr>
          <w:rFonts w:hint="eastAsia" w:ascii="宋体" w:hAnsi="宋体"/>
          <w:b w:val="0"/>
          <w:bCs/>
          <w:color w:val="auto"/>
          <w:highlight w:val="none"/>
          <w:lang w:val="en-US" w:eastAsia="zh-CN"/>
        </w:rPr>
        <w:t>采购人有权拒绝</w:t>
      </w:r>
      <w:r>
        <w:rPr>
          <w:rFonts w:hint="eastAsia" w:ascii="宋体" w:hAnsi="宋体"/>
          <w:bCs/>
          <w:color w:val="auto"/>
          <w:highlight w:val="none"/>
        </w:rPr>
        <w:t>向未</w:t>
      </w:r>
      <w:r>
        <w:rPr>
          <w:rFonts w:hint="eastAsia" w:ascii="宋体" w:hAnsi="宋体"/>
          <w:bCs/>
          <w:color w:val="auto"/>
          <w:highlight w:val="none"/>
          <w:lang w:val="en-US" w:eastAsia="zh-CN"/>
        </w:rPr>
        <w:t>成交</w:t>
      </w:r>
      <w:r>
        <w:rPr>
          <w:rFonts w:hint="eastAsia" w:ascii="宋体" w:hAnsi="宋体"/>
          <w:bCs/>
          <w:color w:val="auto"/>
          <w:highlight w:val="none"/>
        </w:rPr>
        <w:t>的</w:t>
      </w:r>
      <w:r>
        <w:rPr>
          <w:rFonts w:hint="eastAsia" w:ascii="宋体" w:hAnsi="宋体"/>
          <w:bCs/>
          <w:color w:val="auto"/>
          <w:highlight w:val="none"/>
          <w:lang w:eastAsia="zh-CN"/>
        </w:rPr>
        <w:t>供应商</w:t>
      </w:r>
      <w:r>
        <w:rPr>
          <w:rFonts w:hint="eastAsia" w:ascii="宋体" w:hAnsi="宋体"/>
          <w:bCs/>
          <w:color w:val="auto"/>
          <w:highlight w:val="none"/>
        </w:rPr>
        <w:t>解释</w:t>
      </w:r>
      <w:r>
        <w:rPr>
          <w:rFonts w:hint="eastAsia" w:ascii="宋体" w:hAnsi="宋体"/>
          <w:bCs/>
          <w:color w:val="auto"/>
          <w:highlight w:val="none"/>
          <w:lang w:val="en-US" w:eastAsia="zh-CN"/>
        </w:rPr>
        <w:t>未成交</w:t>
      </w:r>
      <w:r>
        <w:rPr>
          <w:rFonts w:hint="eastAsia" w:ascii="宋体" w:hAnsi="宋体"/>
          <w:bCs/>
          <w:color w:val="auto"/>
          <w:highlight w:val="none"/>
        </w:rPr>
        <w:t>的理由。</w:t>
      </w:r>
    </w:p>
    <w:p w14:paraId="29423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ascii="宋体" w:hAnsi="宋体"/>
          <w:b/>
          <w:color w:val="auto"/>
          <w:sz w:val="28"/>
          <w:highlight w:val="none"/>
        </w:rPr>
      </w:pPr>
      <w:r>
        <w:rPr>
          <w:rFonts w:ascii="宋体" w:hAnsi="宋体"/>
          <w:b/>
          <w:color w:val="auto"/>
          <w:sz w:val="24"/>
          <w:highlight w:val="none"/>
        </w:rPr>
        <w:t xml:space="preserve">1.2 </w:t>
      </w:r>
      <w:r>
        <w:rPr>
          <w:rFonts w:hint="eastAsia" w:ascii="宋体" w:hAnsi="宋体"/>
          <w:b/>
          <w:color w:val="auto"/>
          <w:sz w:val="24"/>
          <w:highlight w:val="none"/>
          <w:lang w:eastAsia="zh-CN"/>
        </w:rPr>
        <w:t>采购项目</w:t>
      </w:r>
      <w:r>
        <w:rPr>
          <w:rFonts w:hint="eastAsia" w:ascii="宋体" w:hAnsi="宋体"/>
          <w:b/>
          <w:color w:val="auto"/>
          <w:sz w:val="24"/>
          <w:highlight w:val="none"/>
        </w:rPr>
        <w:t>的资金来源和落实情况</w:t>
      </w:r>
    </w:p>
    <w:p w14:paraId="6A57716C">
      <w:pPr>
        <w:spacing w:line="360" w:lineRule="auto"/>
        <w:ind w:firstLine="422" w:firstLineChars="200"/>
        <w:rPr>
          <w:rFonts w:ascii="宋体" w:hAnsi="宋体"/>
          <w:color w:val="auto"/>
          <w:highlight w:val="none"/>
        </w:rPr>
      </w:pPr>
      <w:r>
        <w:rPr>
          <w:rFonts w:ascii="宋体" w:hAnsi="宋体"/>
          <w:b/>
          <w:color w:val="auto"/>
          <w:highlight w:val="none"/>
        </w:rPr>
        <w:t>1.2.1</w:t>
      </w:r>
      <w:r>
        <w:rPr>
          <w:rFonts w:eastAsia="Times New Roman"/>
          <w:color w:val="auto"/>
          <w:highlight w:val="none"/>
        </w:rPr>
        <w:t xml:space="preserve"> </w:t>
      </w:r>
      <w:r>
        <w:rPr>
          <w:rFonts w:ascii="宋体" w:hAnsi="宋体"/>
          <w:color w:val="auto"/>
          <w:highlight w:val="none"/>
        </w:rPr>
        <w:t>资金来源及比例：</w:t>
      </w:r>
      <w:r>
        <w:rPr>
          <w:rFonts w:hint="eastAsia" w:ascii="宋体" w:hAnsi="宋体"/>
          <w:color w:val="auto"/>
          <w:highlight w:val="none"/>
        </w:rPr>
        <w:t>企业自筹资金</w:t>
      </w:r>
      <w:r>
        <w:rPr>
          <w:rFonts w:ascii="宋体" w:hAnsi="宋体"/>
          <w:color w:val="auto"/>
          <w:highlight w:val="none"/>
        </w:rPr>
        <w:t>。</w:t>
      </w:r>
    </w:p>
    <w:p w14:paraId="1F96EFFE">
      <w:pPr>
        <w:spacing w:line="360" w:lineRule="auto"/>
        <w:ind w:firstLine="422" w:firstLineChars="200"/>
        <w:rPr>
          <w:rFonts w:ascii="宋体" w:hAnsi="宋体"/>
          <w:color w:val="auto"/>
          <w:highlight w:val="none"/>
        </w:rPr>
      </w:pPr>
      <w:r>
        <w:rPr>
          <w:rFonts w:ascii="宋体" w:hAnsi="宋体"/>
          <w:b/>
          <w:color w:val="auto"/>
          <w:highlight w:val="none"/>
        </w:rPr>
        <w:t xml:space="preserve">1.2.2 </w:t>
      </w:r>
      <w:r>
        <w:rPr>
          <w:rFonts w:ascii="宋体" w:hAnsi="宋体"/>
          <w:color w:val="auto"/>
          <w:highlight w:val="none"/>
        </w:rPr>
        <w:t>资金落实情况：</w:t>
      </w:r>
      <w:r>
        <w:rPr>
          <w:rFonts w:hint="eastAsia" w:ascii="宋体" w:hAnsi="宋体"/>
          <w:color w:val="auto"/>
          <w:highlight w:val="none"/>
        </w:rPr>
        <w:t>已落实</w:t>
      </w:r>
      <w:r>
        <w:rPr>
          <w:rFonts w:ascii="宋体" w:hAnsi="宋体"/>
          <w:color w:val="auto"/>
          <w:highlight w:val="none"/>
        </w:rPr>
        <w:t>。</w:t>
      </w:r>
    </w:p>
    <w:p w14:paraId="5466F8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 xml:space="preserve">1.3 </w:t>
      </w:r>
      <w:r>
        <w:rPr>
          <w:rFonts w:hint="eastAsia" w:ascii="宋体" w:hAnsi="宋体"/>
          <w:b/>
          <w:color w:val="auto"/>
          <w:sz w:val="24"/>
          <w:highlight w:val="none"/>
          <w:lang w:eastAsia="zh-CN"/>
        </w:rPr>
        <w:t>供应商</w:t>
      </w:r>
      <w:r>
        <w:rPr>
          <w:rFonts w:hint="eastAsia" w:ascii="宋体" w:hAnsi="宋体"/>
          <w:b/>
          <w:color w:val="auto"/>
          <w:sz w:val="24"/>
          <w:highlight w:val="none"/>
          <w:lang w:val="en-US" w:eastAsia="zh-CN"/>
        </w:rPr>
        <w:t>资格要求</w:t>
      </w:r>
    </w:p>
    <w:p w14:paraId="2E44B785">
      <w:pPr>
        <w:spacing w:line="360" w:lineRule="auto"/>
        <w:ind w:firstLine="422" w:firstLineChars="200"/>
        <w:rPr>
          <w:rFonts w:ascii="宋体" w:hAnsi="宋体"/>
          <w:color w:val="auto"/>
          <w:highlight w:val="none"/>
        </w:rPr>
      </w:pPr>
      <w:r>
        <w:rPr>
          <w:rFonts w:ascii="宋体" w:hAnsi="宋体"/>
          <w:b/>
          <w:color w:val="auto"/>
          <w:highlight w:val="none"/>
        </w:rPr>
        <w:t>1.</w:t>
      </w:r>
      <w:r>
        <w:rPr>
          <w:rFonts w:hint="eastAsia" w:ascii="宋体" w:hAnsi="宋体"/>
          <w:b/>
          <w:color w:val="auto"/>
          <w:highlight w:val="none"/>
          <w:lang w:val="en-US" w:eastAsia="zh-CN"/>
        </w:rPr>
        <w:t>3</w:t>
      </w:r>
      <w:r>
        <w:rPr>
          <w:rFonts w:ascii="宋体" w:hAnsi="宋体"/>
          <w:b/>
          <w:color w:val="auto"/>
          <w:highlight w:val="none"/>
        </w:rPr>
        <w:t>.1</w:t>
      </w:r>
      <w:r>
        <w:rPr>
          <w:rFonts w:eastAsia="Times New Roman"/>
          <w:color w:val="auto"/>
          <w:highlight w:val="none"/>
        </w:rPr>
        <w:t xml:space="preserve"> </w:t>
      </w:r>
      <w:r>
        <w:rPr>
          <w:rFonts w:hint="eastAsia" w:ascii="宋体" w:hAnsi="宋体" w:eastAsia="宋体"/>
          <w:color w:val="auto"/>
          <w:highlight w:val="none"/>
          <w:lang w:eastAsia="zh-CN"/>
        </w:rPr>
        <w:t>供应商</w:t>
      </w:r>
      <w:r>
        <w:rPr>
          <w:rFonts w:ascii="宋体" w:hAnsi="宋体"/>
          <w:color w:val="auto"/>
          <w:highlight w:val="none"/>
        </w:rPr>
        <w:t>应</w:t>
      </w:r>
      <w:r>
        <w:rPr>
          <w:rFonts w:hint="eastAsia" w:ascii="宋体" w:hAnsi="宋体"/>
          <w:color w:val="auto"/>
          <w:highlight w:val="none"/>
          <w:lang w:val="en-US" w:eastAsia="zh-CN"/>
        </w:rPr>
        <w:t>完全</w:t>
      </w:r>
      <w:r>
        <w:rPr>
          <w:rFonts w:ascii="宋体" w:hAnsi="宋体"/>
          <w:color w:val="auto"/>
          <w:highlight w:val="none"/>
        </w:rPr>
        <w:t>具备承担本</w:t>
      </w:r>
      <w:r>
        <w:rPr>
          <w:rFonts w:hint="eastAsia" w:ascii="宋体" w:hAnsi="宋体"/>
          <w:color w:val="auto"/>
          <w:highlight w:val="none"/>
          <w:lang w:eastAsia="zh-CN"/>
        </w:rPr>
        <w:t>采购项目</w:t>
      </w:r>
      <w:r>
        <w:rPr>
          <w:rFonts w:hint="eastAsia" w:ascii="宋体" w:hAnsi="宋体"/>
          <w:color w:val="auto"/>
          <w:highlight w:val="none"/>
          <w:lang w:val="en-US" w:eastAsia="zh-CN"/>
        </w:rPr>
        <w:t>的</w:t>
      </w:r>
      <w:r>
        <w:rPr>
          <w:rFonts w:ascii="宋体" w:hAnsi="宋体"/>
          <w:color w:val="auto"/>
          <w:highlight w:val="none"/>
        </w:rPr>
        <w:t>资质条件、能力和信誉：见</w:t>
      </w:r>
      <w:r>
        <w:rPr>
          <w:rFonts w:hint="eastAsia" w:ascii="宋体" w:hAnsi="宋体"/>
          <w:color w:val="auto"/>
          <w:highlight w:val="none"/>
          <w:lang w:val="en-US" w:eastAsia="zh-CN"/>
        </w:rPr>
        <w:t>谈判采购</w:t>
      </w:r>
      <w:r>
        <w:rPr>
          <w:rFonts w:hint="eastAsia" w:ascii="宋体" w:hAnsi="宋体"/>
          <w:color w:val="auto"/>
          <w:highlight w:val="none"/>
        </w:rPr>
        <w:t>公告“</w:t>
      </w:r>
      <w:r>
        <w:rPr>
          <w:rFonts w:hint="eastAsia" w:ascii="宋体" w:hAnsi="宋体"/>
          <w:color w:val="auto"/>
          <w:highlight w:val="none"/>
          <w:lang w:eastAsia="zh-CN"/>
        </w:rPr>
        <w:t>供应商</w:t>
      </w:r>
      <w:r>
        <w:rPr>
          <w:rFonts w:hint="eastAsia" w:ascii="宋体" w:hAnsi="宋体"/>
          <w:color w:val="auto"/>
          <w:highlight w:val="none"/>
        </w:rPr>
        <w:t>资格要求”。</w:t>
      </w:r>
      <w:r>
        <w:rPr>
          <w:rFonts w:hint="eastAsia" w:ascii="宋体" w:hAnsi="宋体"/>
          <w:color w:val="auto"/>
          <w:highlight w:val="none"/>
          <w:lang w:val="en-US" w:eastAsia="zh-CN"/>
        </w:rPr>
        <w:t>如允许货物类项目</w:t>
      </w:r>
      <w:r>
        <w:rPr>
          <w:rFonts w:hint="eastAsia" w:ascii="宋体" w:hAnsi="宋体"/>
          <w:color w:val="auto"/>
          <w:highlight w:val="none"/>
          <w:lang w:eastAsia="zh-CN"/>
        </w:rPr>
        <w:t>供应商</w:t>
      </w:r>
      <w:r>
        <w:rPr>
          <w:rFonts w:ascii="宋体" w:hAnsi="宋体"/>
          <w:color w:val="auto"/>
          <w:highlight w:val="none"/>
        </w:rPr>
        <w:t>为代理经销商的，对</w:t>
      </w:r>
      <w:r>
        <w:rPr>
          <w:rFonts w:hint="eastAsia" w:ascii="宋体" w:hAnsi="宋体"/>
          <w:color w:val="auto"/>
          <w:highlight w:val="none"/>
          <w:lang w:eastAsia="zh-CN"/>
        </w:rPr>
        <w:t>供应商</w:t>
      </w:r>
      <w:r>
        <w:rPr>
          <w:rFonts w:ascii="宋体" w:hAnsi="宋体"/>
          <w:color w:val="auto"/>
          <w:highlight w:val="none"/>
        </w:rPr>
        <w:t>的资质要求包含对制造商的资质要求</w:t>
      </w:r>
      <w:r>
        <w:rPr>
          <w:rFonts w:hint="eastAsia" w:ascii="宋体" w:hAnsi="宋体"/>
          <w:color w:val="auto"/>
          <w:highlight w:val="none"/>
        </w:rPr>
        <w:t>。</w:t>
      </w:r>
    </w:p>
    <w:p w14:paraId="528FC92F">
      <w:pPr>
        <w:spacing w:line="360" w:lineRule="auto"/>
        <w:ind w:firstLine="422" w:firstLineChars="200"/>
        <w:rPr>
          <w:rFonts w:ascii="宋体" w:hAnsi="宋体"/>
          <w:color w:val="auto"/>
          <w:highlight w:val="none"/>
        </w:rPr>
      </w:pPr>
      <w:r>
        <w:rPr>
          <w:rFonts w:ascii="宋体" w:hAnsi="宋体"/>
          <w:b/>
          <w:color w:val="auto"/>
          <w:highlight w:val="none"/>
        </w:rPr>
        <w:t>1.</w:t>
      </w:r>
      <w:r>
        <w:rPr>
          <w:rFonts w:hint="eastAsia" w:ascii="宋体" w:hAnsi="宋体"/>
          <w:b/>
          <w:color w:val="auto"/>
          <w:highlight w:val="none"/>
          <w:lang w:val="en-US" w:eastAsia="zh-CN"/>
        </w:rPr>
        <w:t>3</w:t>
      </w:r>
      <w:r>
        <w:rPr>
          <w:rFonts w:ascii="宋体" w:hAnsi="宋体"/>
          <w:b/>
          <w:color w:val="auto"/>
          <w:highlight w:val="none"/>
        </w:rPr>
        <w:t>.</w:t>
      </w:r>
      <w:r>
        <w:rPr>
          <w:rFonts w:hint="eastAsia" w:ascii="宋体" w:hAnsi="宋体"/>
          <w:b/>
          <w:color w:val="auto"/>
          <w:highlight w:val="none"/>
          <w:lang w:val="en-US" w:eastAsia="zh-CN"/>
        </w:rPr>
        <w:t>2</w:t>
      </w:r>
      <w:r>
        <w:rPr>
          <w:rFonts w:eastAsia="Times New Roman"/>
          <w:color w:val="auto"/>
          <w:highlight w:val="none"/>
        </w:rPr>
        <w:t xml:space="preserve"> </w:t>
      </w:r>
      <w:r>
        <w:rPr>
          <w:rFonts w:hint="eastAsia" w:ascii="宋体" w:hAnsi="宋体" w:eastAsia="宋体"/>
          <w:color w:val="auto"/>
          <w:highlight w:val="none"/>
          <w:lang w:eastAsia="zh-CN"/>
        </w:rPr>
        <w:t>供应商</w:t>
      </w:r>
      <w:r>
        <w:rPr>
          <w:rFonts w:ascii="宋体" w:hAnsi="宋体"/>
          <w:color w:val="auto"/>
          <w:highlight w:val="none"/>
        </w:rPr>
        <w:t>不得存在</w:t>
      </w:r>
      <w:r>
        <w:rPr>
          <w:rFonts w:hint="eastAsia" w:ascii="宋体" w:hAnsi="宋体"/>
          <w:color w:val="auto"/>
          <w:highlight w:val="none"/>
          <w:lang w:val="en-US" w:eastAsia="zh-CN"/>
        </w:rPr>
        <w:t>违反</w:t>
      </w:r>
      <w:r>
        <w:rPr>
          <w:rFonts w:ascii="宋体" w:hAnsi="宋体"/>
          <w:color w:val="auto"/>
          <w:highlight w:val="none"/>
        </w:rPr>
        <w:t>法律</w:t>
      </w:r>
      <w:r>
        <w:rPr>
          <w:rFonts w:hint="eastAsia" w:ascii="宋体" w:hAnsi="宋体"/>
          <w:color w:val="auto"/>
          <w:highlight w:val="none"/>
          <w:lang w:eastAsia="zh-CN"/>
        </w:rPr>
        <w:t>、</w:t>
      </w:r>
      <w:r>
        <w:rPr>
          <w:rFonts w:ascii="宋体" w:hAnsi="宋体"/>
          <w:color w:val="auto"/>
          <w:highlight w:val="none"/>
        </w:rPr>
        <w:t>法规</w:t>
      </w:r>
      <w:r>
        <w:rPr>
          <w:rFonts w:hint="eastAsia" w:ascii="宋体" w:hAnsi="宋体"/>
          <w:color w:val="auto"/>
          <w:highlight w:val="none"/>
          <w:lang w:eastAsia="zh-CN"/>
        </w:rPr>
        <w:t>、</w:t>
      </w:r>
      <w:r>
        <w:rPr>
          <w:rFonts w:hint="eastAsia" w:ascii="宋体" w:hAnsi="宋体"/>
          <w:color w:val="auto"/>
          <w:highlight w:val="none"/>
          <w:lang w:val="en-US" w:eastAsia="zh-CN"/>
        </w:rPr>
        <w:t>行政规章</w:t>
      </w:r>
      <w:r>
        <w:rPr>
          <w:rFonts w:ascii="宋体" w:hAnsi="宋体"/>
          <w:color w:val="auto"/>
          <w:highlight w:val="none"/>
        </w:rPr>
        <w:t>或</w:t>
      </w:r>
      <w:r>
        <w:rPr>
          <w:rFonts w:hint="eastAsia" w:ascii="宋体" w:hAnsi="宋体"/>
          <w:color w:val="auto"/>
          <w:highlight w:val="none"/>
          <w:lang w:val="en-US" w:eastAsia="zh-CN"/>
        </w:rPr>
        <w:t>谈判采购文件中规定</w:t>
      </w:r>
      <w:r>
        <w:rPr>
          <w:rFonts w:ascii="宋体" w:hAnsi="宋体"/>
          <w:color w:val="auto"/>
          <w:highlight w:val="none"/>
        </w:rPr>
        <w:t>的其他情形。</w:t>
      </w:r>
    </w:p>
    <w:p w14:paraId="34B439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ascii="黑体" w:hAnsi="黑体" w:eastAsia="黑体"/>
          <w:color w:val="auto"/>
          <w:sz w:val="28"/>
          <w:highlight w:val="none"/>
        </w:rPr>
      </w:pPr>
      <w:r>
        <w:rPr>
          <w:rFonts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 xml:space="preserve"> 保密</w:t>
      </w:r>
    </w:p>
    <w:p w14:paraId="4F88E206">
      <w:pPr>
        <w:spacing w:line="360" w:lineRule="auto"/>
        <w:ind w:firstLine="420" w:firstLineChars="200"/>
        <w:rPr>
          <w:rFonts w:ascii="宋体" w:hAnsi="宋体"/>
          <w:color w:val="auto"/>
          <w:highlight w:val="none"/>
        </w:rPr>
      </w:pPr>
      <w:r>
        <w:rPr>
          <w:rFonts w:ascii="宋体" w:hAnsi="宋体"/>
          <w:color w:val="auto"/>
          <w:highlight w:val="none"/>
        </w:rPr>
        <w:t>参与</w:t>
      </w:r>
      <w:r>
        <w:rPr>
          <w:rFonts w:hint="eastAsia" w:ascii="宋体" w:hAnsi="宋体"/>
          <w:color w:val="auto"/>
          <w:highlight w:val="none"/>
          <w:lang w:val="en-US" w:eastAsia="zh-CN"/>
        </w:rPr>
        <w:t>谈判采购</w:t>
      </w:r>
      <w:r>
        <w:rPr>
          <w:rFonts w:ascii="宋体" w:hAnsi="宋体"/>
          <w:color w:val="auto"/>
          <w:highlight w:val="none"/>
        </w:rPr>
        <w:t>活动的各方应对</w:t>
      </w:r>
      <w:r>
        <w:rPr>
          <w:rFonts w:hint="eastAsia" w:ascii="宋体" w:hAnsi="宋体"/>
          <w:color w:val="auto"/>
          <w:highlight w:val="none"/>
          <w:lang w:val="en-US" w:eastAsia="zh-CN"/>
        </w:rPr>
        <w:t>谈判</w:t>
      </w:r>
      <w:r>
        <w:rPr>
          <w:rFonts w:ascii="宋体" w:hAnsi="宋体"/>
          <w:color w:val="auto"/>
          <w:highlight w:val="none"/>
        </w:rPr>
        <w:t>文件和</w:t>
      </w:r>
      <w:r>
        <w:rPr>
          <w:rFonts w:hint="eastAsia" w:ascii="宋体" w:hAnsi="宋体"/>
          <w:color w:val="auto"/>
          <w:highlight w:val="none"/>
          <w:lang w:val="en-US" w:eastAsia="zh-CN"/>
        </w:rPr>
        <w:t>响应文件</w:t>
      </w:r>
      <w:r>
        <w:rPr>
          <w:rFonts w:ascii="宋体" w:hAnsi="宋体"/>
          <w:color w:val="auto"/>
          <w:highlight w:val="none"/>
        </w:rPr>
        <w:t>中的商业和技术等</w:t>
      </w:r>
      <w:r>
        <w:rPr>
          <w:rFonts w:hint="eastAsia" w:ascii="宋体" w:hAnsi="宋体"/>
          <w:color w:val="auto"/>
          <w:highlight w:val="none"/>
          <w:lang w:val="en-US" w:eastAsia="zh-CN"/>
        </w:rPr>
        <w:t>信息</w:t>
      </w:r>
      <w:r>
        <w:rPr>
          <w:rFonts w:ascii="宋体" w:hAnsi="宋体"/>
          <w:color w:val="auto"/>
          <w:highlight w:val="none"/>
        </w:rPr>
        <w:t>保密，否则应承担相应的法律责任</w:t>
      </w:r>
      <w:r>
        <w:rPr>
          <w:rFonts w:hint="eastAsia" w:ascii="宋体" w:hAnsi="宋体"/>
          <w:color w:val="auto"/>
          <w:highlight w:val="none"/>
          <w:lang w:eastAsia="zh-CN"/>
        </w:rPr>
        <w:t>，</w:t>
      </w:r>
      <w:r>
        <w:rPr>
          <w:rFonts w:hint="eastAsia" w:ascii="宋体" w:hAnsi="宋体"/>
          <w:color w:val="auto"/>
          <w:highlight w:val="none"/>
          <w:lang w:val="en-US" w:eastAsia="zh-CN"/>
        </w:rPr>
        <w:t>赔偿因此引起的一切损失</w:t>
      </w:r>
      <w:r>
        <w:rPr>
          <w:rFonts w:ascii="宋体" w:hAnsi="宋体"/>
          <w:color w:val="auto"/>
          <w:highlight w:val="none"/>
        </w:rPr>
        <w:t>。</w:t>
      </w:r>
    </w:p>
    <w:p w14:paraId="0EA32EE3">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b/>
          <w:color w:val="auto"/>
          <w:sz w:val="28"/>
          <w:highlight w:val="none"/>
          <w:lang w:val="en-US" w:eastAsia="zh-CN"/>
        </w:rPr>
      </w:pPr>
      <w:bookmarkStart w:id="66" w:name="_Toc2812"/>
      <w:bookmarkStart w:id="67" w:name="_Toc25989"/>
      <w:bookmarkStart w:id="68" w:name="_Toc14231"/>
      <w:bookmarkStart w:id="69" w:name="_Toc10176"/>
      <w:bookmarkStart w:id="70" w:name="_Toc7740"/>
      <w:r>
        <w:rPr>
          <w:rFonts w:hint="eastAsia" w:ascii="宋体" w:hAnsi="宋体" w:eastAsia="宋体" w:cs="宋体"/>
          <w:b/>
          <w:color w:val="auto"/>
          <w:sz w:val="28"/>
          <w:highlight w:val="none"/>
          <w:lang w:val="en-US" w:eastAsia="zh-CN"/>
        </w:rPr>
        <w:t>2</w:t>
      </w:r>
      <w:bookmarkEnd w:id="66"/>
      <w:r>
        <w:rPr>
          <w:rFonts w:hint="eastAsia" w:ascii="宋体" w:hAnsi="宋体" w:eastAsia="宋体" w:cs="宋体"/>
          <w:b/>
          <w:color w:val="auto"/>
          <w:sz w:val="28"/>
          <w:highlight w:val="none"/>
          <w:lang w:val="en-US" w:eastAsia="zh-CN"/>
        </w:rPr>
        <w:t>、</w:t>
      </w:r>
      <w:r>
        <w:rPr>
          <w:rFonts w:hint="eastAsia" w:ascii="宋体" w:hAnsi="宋体" w:cs="宋体"/>
          <w:b/>
          <w:color w:val="auto"/>
          <w:sz w:val="28"/>
          <w:highlight w:val="none"/>
          <w:lang w:val="en-US" w:eastAsia="zh-CN"/>
        </w:rPr>
        <w:t>谈判采购</w:t>
      </w:r>
      <w:r>
        <w:rPr>
          <w:rFonts w:hint="eastAsia" w:ascii="宋体" w:hAnsi="宋体" w:eastAsia="宋体" w:cs="宋体"/>
          <w:b/>
          <w:color w:val="auto"/>
          <w:sz w:val="28"/>
          <w:highlight w:val="none"/>
          <w:lang w:val="en-US" w:eastAsia="zh-CN"/>
        </w:rPr>
        <w:t>文件</w:t>
      </w:r>
      <w:bookmarkEnd w:id="67"/>
      <w:bookmarkEnd w:id="68"/>
      <w:bookmarkEnd w:id="69"/>
      <w:bookmarkEnd w:id="70"/>
    </w:p>
    <w:p w14:paraId="123685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hint="eastAsia" w:ascii="黑体" w:hAnsi="黑体" w:eastAsia="黑体"/>
          <w:color w:val="auto"/>
          <w:sz w:val="28"/>
          <w:highlight w:val="none"/>
        </w:rPr>
      </w:pPr>
      <w:r>
        <w:rPr>
          <w:rFonts w:ascii="宋体" w:hAnsi="宋体"/>
          <w:b/>
          <w:color w:val="auto"/>
          <w:sz w:val="24"/>
          <w:highlight w:val="none"/>
        </w:rPr>
        <w:t xml:space="preserve">2.1 </w:t>
      </w:r>
      <w:r>
        <w:rPr>
          <w:rFonts w:hint="eastAsia" w:ascii="宋体" w:hAnsi="宋体"/>
          <w:b/>
          <w:color w:val="auto"/>
          <w:sz w:val="24"/>
          <w:highlight w:val="none"/>
          <w:lang w:eastAsia="zh-CN"/>
        </w:rPr>
        <w:t>谈判采购文件</w:t>
      </w:r>
      <w:r>
        <w:rPr>
          <w:rFonts w:ascii="宋体" w:hAnsi="宋体"/>
          <w:b/>
          <w:color w:val="auto"/>
          <w:sz w:val="24"/>
          <w:highlight w:val="none"/>
        </w:rPr>
        <w:t>的组成</w:t>
      </w:r>
    </w:p>
    <w:p w14:paraId="53213579">
      <w:pPr>
        <w:spacing w:line="360" w:lineRule="auto"/>
        <w:ind w:firstLine="420" w:firstLineChars="200"/>
        <w:rPr>
          <w:rFonts w:hint="eastAsia" w:ascii="宋体" w:hAnsi="宋体"/>
          <w:color w:val="auto"/>
          <w:highlight w:val="none"/>
        </w:rPr>
      </w:pPr>
      <w:r>
        <w:rPr>
          <w:rFonts w:ascii="宋体" w:hAnsi="宋体"/>
          <w:color w:val="auto"/>
          <w:highlight w:val="none"/>
        </w:rPr>
        <w:t>本</w:t>
      </w:r>
      <w:r>
        <w:rPr>
          <w:rFonts w:hint="eastAsia" w:ascii="宋体" w:hAnsi="宋体"/>
          <w:color w:val="auto"/>
          <w:highlight w:val="none"/>
          <w:lang w:eastAsia="zh-CN"/>
        </w:rPr>
        <w:t>谈判采购文件</w:t>
      </w:r>
      <w:r>
        <w:rPr>
          <w:rFonts w:ascii="宋体" w:hAnsi="宋体"/>
          <w:color w:val="auto"/>
          <w:highlight w:val="none"/>
        </w:rPr>
        <w:t>包括：</w:t>
      </w:r>
    </w:p>
    <w:p w14:paraId="22AC2093">
      <w:pPr>
        <w:spacing w:line="360" w:lineRule="auto"/>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lang w:val="en-US" w:eastAsia="zh-CN"/>
        </w:rPr>
        <w:t>谈判采购</w:t>
      </w:r>
      <w:r>
        <w:rPr>
          <w:rFonts w:ascii="宋体" w:hAnsi="宋体"/>
          <w:color w:val="auto"/>
          <w:highlight w:val="none"/>
        </w:rPr>
        <w:t>公告；</w:t>
      </w:r>
    </w:p>
    <w:p w14:paraId="5A90E904">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供应商</w:t>
      </w:r>
      <w:r>
        <w:rPr>
          <w:rFonts w:ascii="宋体" w:hAnsi="宋体"/>
          <w:color w:val="auto"/>
          <w:highlight w:val="none"/>
        </w:rPr>
        <w:t>须知；</w:t>
      </w:r>
    </w:p>
    <w:p w14:paraId="1FA48C4F">
      <w:pPr>
        <w:spacing w:line="360" w:lineRule="auto"/>
        <w:ind w:firstLine="420" w:firstLineChars="200"/>
        <w:rPr>
          <w:rFonts w:hint="eastAsia" w:ascii="宋体" w:hAnsi="宋体"/>
          <w:color w:val="auto"/>
          <w:highlight w:val="none"/>
        </w:rPr>
      </w:pPr>
      <w:r>
        <w:rPr>
          <w:rFonts w:ascii="宋体" w:hAnsi="宋体"/>
          <w:color w:val="auto"/>
          <w:highlight w:val="none"/>
        </w:rPr>
        <w:t>（3）评</w:t>
      </w:r>
      <w:r>
        <w:rPr>
          <w:rFonts w:hint="eastAsia" w:ascii="宋体" w:hAnsi="宋体"/>
          <w:color w:val="auto"/>
          <w:highlight w:val="none"/>
          <w:lang w:val="en-US" w:eastAsia="zh-CN"/>
        </w:rPr>
        <w:t>审</w:t>
      </w:r>
      <w:r>
        <w:rPr>
          <w:rFonts w:ascii="宋体" w:hAnsi="宋体"/>
          <w:color w:val="auto"/>
          <w:highlight w:val="none"/>
        </w:rPr>
        <w:t>办法；</w:t>
      </w:r>
    </w:p>
    <w:p w14:paraId="57D40BD1">
      <w:pPr>
        <w:spacing w:line="360" w:lineRule="auto"/>
        <w:ind w:firstLine="420" w:firstLineChars="200"/>
        <w:rPr>
          <w:rFonts w:hint="eastAsia" w:ascii="宋体" w:hAnsi="宋体"/>
          <w:color w:val="auto"/>
          <w:highlight w:val="none"/>
        </w:rPr>
      </w:pPr>
      <w:r>
        <w:rPr>
          <w:rFonts w:ascii="宋体" w:hAnsi="宋体"/>
          <w:color w:val="auto"/>
          <w:highlight w:val="none"/>
        </w:rPr>
        <w:t>（4）</w:t>
      </w:r>
      <w:r>
        <w:rPr>
          <w:rFonts w:hint="eastAsia" w:ascii="宋体" w:hAnsi="宋体"/>
          <w:color w:val="auto"/>
          <w:highlight w:val="none"/>
          <w:lang w:val="en-US" w:eastAsia="zh-CN"/>
        </w:rPr>
        <w:t>用户需求</w:t>
      </w:r>
      <w:r>
        <w:rPr>
          <w:rFonts w:ascii="宋体" w:hAnsi="宋体"/>
          <w:color w:val="auto"/>
          <w:highlight w:val="none"/>
        </w:rPr>
        <w:t>；</w:t>
      </w:r>
    </w:p>
    <w:p w14:paraId="278A23B5">
      <w:pPr>
        <w:spacing w:line="360" w:lineRule="auto"/>
        <w:ind w:firstLine="420" w:firstLineChars="200"/>
        <w:rPr>
          <w:rFonts w:hint="eastAsia" w:ascii="宋体" w:hAnsi="宋体"/>
          <w:color w:val="auto"/>
          <w:highlight w:val="none"/>
        </w:rPr>
      </w:pPr>
      <w:r>
        <w:rPr>
          <w:rFonts w:ascii="宋体" w:hAnsi="宋体"/>
          <w:color w:val="auto"/>
          <w:highlight w:val="none"/>
        </w:rPr>
        <w:t>（5）合同条款及格式；</w:t>
      </w:r>
    </w:p>
    <w:p w14:paraId="37A0B7E3">
      <w:pPr>
        <w:spacing w:line="360" w:lineRule="auto"/>
        <w:ind w:firstLine="420" w:firstLineChars="200"/>
        <w:rPr>
          <w:rFonts w:hint="eastAsia" w:ascii="宋体" w:hAnsi="宋体"/>
          <w:color w:val="auto"/>
          <w:highlight w:val="none"/>
        </w:rPr>
      </w:pPr>
      <w:r>
        <w:rPr>
          <w:rFonts w:ascii="宋体" w:hAnsi="宋体"/>
          <w:color w:val="auto"/>
          <w:highlight w:val="none"/>
        </w:rPr>
        <w:t>（6）</w:t>
      </w:r>
      <w:r>
        <w:rPr>
          <w:rFonts w:hint="eastAsia" w:ascii="宋体" w:hAnsi="宋体"/>
          <w:color w:val="auto"/>
          <w:highlight w:val="none"/>
          <w:lang w:val="en-US" w:eastAsia="zh-CN"/>
        </w:rPr>
        <w:t>响应文件</w:t>
      </w:r>
      <w:r>
        <w:rPr>
          <w:rFonts w:ascii="宋体" w:hAnsi="宋体"/>
          <w:color w:val="auto"/>
          <w:highlight w:val="none"/>
        </w:rPr>
        <w:t>格式；</w:t>
      </w:r>
    </w:p>
    <w:p w14:paraId="47A1CC35">
      <w:pPr>
        <w:spacing w:line="360" w:lineRule="auto"/>
        <w:ind w:firstLine="420" w:firstLineChars="200"/>
        <w:rPr>
          <w:rFonts w:ascii="宋体" w:hAnsi="宋体"/>
          <w:color w:val="auto"/>
          <w:highlight w:val="none"/>
        </w:rPr>
      </w:pPr>
      <w:r>
        <w:rPr>
          <w:rFonts w:ascii="宋体" w:hAnsi="宋体"/>
          <w:color w:val="auto"/>
          <w:highlight w:val="none"/>
        </w:rPr>
        <w:t>（7）其他资料</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ascii="宋体" w:hAnsi="宋体"/>
          <w:color w:val="auto"/>
          <w:highlight w:val="none"/>
        </w:rPr>
        <w:t>。</w:t>
      </w:r>
    </w:p>
    <w:p w14:paraId="6E5C5E5D">
      <w:pPr>
        <w:spacing w:line="360" w:lineRule="auto"/>
        <w:ind w:firstLine="420" w:firstLineChars="200"/>
        <w:rPr>
          <w:rFonts w:ascii="宋体" w:hAnsi="宋体"/>
          <w:color w:val="auto"/>
          <w:highlight w:val="none"/>
        </w:rPr>
      </w:pPr>
      <w:r>
        <w:rPr>
          <w:rFonts w:ascii="宋体" w:hAnsi="宋体"/>
          <w:color w:val="auto"/>
          <w:highlight w:val="none"/>
        </w:rPr>
        <w:t>根据本章第</w:t>
      </w:r>
      <w:r>
        <w:rPr>
          <w:rFonts w:ascii="宋体" w:hAnsi="宋体"/>
          <w:b w:val="0"/>
          <w:bCs/>
          <w:color w:val="auto"/>
          <w:highlight w:val="none"/>
        </w:rPr>
        <w:t xml:space="preserve"> 2.2</w:t>
      </w:r>
      <w:r>
        <w:rPr>
          <w:rFonts w:eastAsia="Times New Roman"/>
          <w:b w:val="0"/>
          <w:bCs/>
          <w:color w:val="auto"/>
          <w:highlight w:val="none"/>
        </w:rPr>
        <w:t xml:space="preserve"> </w:t>
      </w:r>
      <w:r>
        <w:rPr>
          <w:rFonts w:ascii="宋体" w:hAnsi="宋体"/>
          <w:color w:val="auto"/>
          <w:highlight w:val="none"/>
        </w:rPr>
        <w:t>款对</w:t>
      </w:r>
      <w:r>
        <w:rPr>
          <w:rFonts w:hint="eastAsia" w:ascii="宋体" w:hAnsi="宋体"/>
          <w:color w:val="auto"/>
          <w:highlight w:val="none"/>
          <w:lang w:eastAsia="zh-CN"/>
        </w:rPr>
        <w:t>谈判采购文件</w:t>
      </w:r>
      <w:r>
        <w:rPr>
          <w:rFonts w:ascii="宋体" w:hAnsi="宋体"/>
          <w:color w:val="auto"/>
          <w:highlight w:val="none"/>
        </w:rPr>
        <w:t>所作的澄清、修改，构成</w:t>
      </w:r>
      <w:r>
        <w:rPr>
          <w:rFonts w:hint="eastAsia" w:ascii="宋体" w:hAnsi="宋体"/>
          <w:color w:val="auto"/>
          <w:highlight w:val="none"/>
          <w:lang w:eastAsia="zh-CN"/>
        </w:rPr>
        <w:t>谈判采购文件</w:t>
      </w:r>
      <w:r>
        <w:rPr>
          <w:rFonts w:ascii="宋体" w:hAnsi="宋体"/>
          <w:color w:val="auto"/>
          <w:highlight w:val="none"/>
        </w:rPr>
        <w:t>的组成部分。</w:t>
      </w:r>
    </w:p>
    <w:p w14:paraId="220DAC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hint="eastAsia" w:ascii="黑体" w:hAnsi="黑体" w:eastAsia="黑体"/>
          <w:color w:val="auto"/>
          <w:sz w:val="28"/>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谈判采购文件</w:t>
      </w:r>
      <w:r>
        <w:rPr>
          <w:rFonts w:ascii="宋体" w:hAnsi="宋体"/>
          <w:b/>
          <w:color w:val="auto"/>
          <w:sz w:val="24"/>
          <w:highlight w:val="none"/>
        </w:rPr>
        <w:t>的澄清</w:t>
      </w:r>
      <w:r>
        <w:rPr>
          <w:rFonts w:hint="eastAsia" w:ascii="宋体" w:hAnsi="宋体"/>
          <w:b/>
          <w:color w:val="auto"/>
          <w:sz w:val="24"/>
          <w:highlight w:val="none"/>
          <w:lang w:eastAsia="zh-CN"/>
        </w:rPr>
        <w:t>、修改</w:t>
      </w:r>
    </w:p>
    <w:p w14:paraId="24BC62FF">
      <w:pPr>
        <w:spacing w:line="360" w:lineRule="auto"/>
        <w:ind w:left="100" w:firstLine="422" w:firstLineChars="200"/>
        <w:rPr>
          <w:rFonts w:hint="eastAsia" w:ascii="宋体" w:hAnsi="宋体" w:cs="宋体"/>
          <w:color w:val="FF0000"/>
          <w:szCs w:val="21"/>
          <w:highlight w:val="none"/>
        </w:rPr>
      </w:pPr>
      <w:r>
        <w:rPr>
          <w:rFonts w:ascii="宋体" w:hAnsi="宋体"/>
          <w:b/>
          <w:color w:val="auto"/>
          <w:highlight w:val="none"/>
        </w:rPr>
        <w:t>2.2.1</w:t>
      </w:r>
      <w:r>
        <w:rPr>
          <w:rFonts w:eastAsia="Times New Roman"/>
          <w:color w:val="auto"/>
          <w:highlight w:val="none"/>
        </w:rPr>
        <w:t xml:space="preserve"> </w:t>
      </w:r>
      <w:r>
        <w:rPr>
          <w:rFonts w:hint="eastAsia" w:ascii="宋体" w:hAnsi="宋体" w:eastAsia="宋体"/>
          <w:color w:val="auto"/>
          <w:highlight w:val="none"/>
          <w:lang w:eastAsia="zh-CN"/>
        </w:rPr>
        <w:t>供应商</w:t>
      </w:r>
      <w:r>
        <w:rPr>
          <w:rFonts w:ascii="宋体" w:hAnsi="宋体"/>
          <w:color w:val="auto"/>
          <w:highlight w:val="none"/>
        </w:rPr>
        <w:t>应仔细阅读</w:t>
      </w:r>
      <w:r>
        <w:rPr>
          <w:rFonts w:hint="eastAsia" w:ascii="宋体" w:hAnsi="宋体"/>
          <w:color w:val="auto"/>
          <w:highlight w:val="none"/>
          <w:lang w:eastAsia="zh-CN"/>
        </w:rPr>
        <w:t>谈判采购文件</w:t>
      </w:r>
      <w:r>
        <w:rPr>
          <w:rFonts w:ascii="宋体" w:hAnsi="宋体"/>
          <w:color w:val="auto"/>
          <w:highlight w:val="none"/>
        </w:rPr>
        <w:t>的全部内容。如</w:t>
      </w:r>
      <w:r>
        <w:rPr>
          <w:rFonts w:hint="eastAsia" w:ascii="宋体" w:hAnsi="宋体"/>
          <w:color w:val="auto"/>
          <w:highlight w:val="none"/>
          <w:lang w:eastAsia="zh-CN"/>
        </w:rPr>
        <w:t>对谈判采购文件有疑问，可要求采购人予以</w:t>
      </w:r>
      <w:r>
        <w:rPr>
          <w:rFonts w:hint="eastAsia" w:ascii="宋体" w:hAnsi="宋体"/>
          <w:color w:val="auto"/>
          <w:highlight w:val="none"/>
          <w:lang w:val="en-US" w:eastAsia="zh-CN"/>
        </w:rPr>
        <w:t>答疑，答疑</w:t>
      </w:r>
      <w:r>
        <w:rPr>
          <w:rFonts w:hint="eastAsia" w:ascii="宋体" w:hAnsi="宋体" w:cs="宋体"/>
          <w:color w:val="auto"/>
          <w:szCs w:val="21"/>
          <w:highlight w:val="none"/>
        </w:rPr>
        <w:t>形式：</w:t>
      </w:r>
      <w:r>
        <w:rPr>
          <w:rFonts w:hint="eastAsia" w:ascii="宋体" w:hAnsi="宋体" w:eastAsia="宋体"/>
          <w:color w:val="auto"/>
          <w:sz w:val="21"/>
          <w:szCs w:val="21"/>
          <w:highlight w:val="none"/>
          <w:lang w:val="en-US" w:eastAsia="zh-CN"/>
        </w:rPr>
        <w:t>须为</w:t>
      </w:r>
      <w:r>
        <w:rPr>
          <w:rFonts w:hint="eastAsia" w:ascii="宋体" w:hAnsi="宋体" w:cs="宋体"/>
          <w:color w:val="auto"/>
          <w:szCs w:val="21"/>
          <w:highlight w:val="none"/>
        </w:rPr>
        <w:t>书面形式</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加盖公章，扫描后</w:t>
      </w:r>
      <w:r>
        <w:rPr>
          <w:rFonts w:hint="eastAsia" w:ascii="宋体" w:hAnsi="宋体" w:cs="宋体"/>
          <w:color w:val="auto"/>
          <w:szCs w:val="21"/>
          <w:highlight w:val="none"/>
          <w:lang w:val="en-US" w:eastAsia="zh-CN"/>
        </w:rPr>
        <w:t>上传做为附件，</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val="en-US" w:eastAsia="zh-CN"/>
        </w:rPr>
        <w:t>报价</w:t>
      </w:r>
      <w:r>
        <w:rPr>
          <w:rFonts w:hint="eastAsia" w:ascii="宋体" w:hAnsi="宋体" w:eastAsia="宋体"/>
          <w:color w:val="auto"/>
          <w:sz w:val="21"/>
          <w:szCs w:val="21"/>
          <w:highlight w:val="none"/>
          <w:lang w:eastAsia="zh-CN"/>
        </w:rPr>
        <w:t>截止时间</w:t>
      </w:r>
      <w:r>
        <w:rPr>
          <w:rFonts w:hint="eastAsia" w:ascii="宋体" w:hAnsi="宋体" w:eastAsia="宋体"/>
          <w:b w:val="0"/>
          <w:bCs w:val="0"/>
          <w:color w:val="auto"/>
          <w:sz w:val="21"/>
          <w:szCs w:val="21"/>
          <w:highlight w:val="none"/>
          <w:u w:val="none"/>
          <w:lang w:val="en-US" w:eastAsia="zh-CN"/>
        </w:rPr>
        <w:t>【</w:t>
      </w:r>
      <w:r>
        <w:rPr>
          <w:rFonts w:hint="eastAsia" w:ascii="宋体" w:hAnsi="宋体"/>
          <w:b w:val="0"/>
          <w:bCs w:val="0"/>
          <w:color w:val="auto"/>
          <w:sz w:val="21"/>
          <w:szCs w:val="21"/>
          <w:highlight w:val="none"/>
          <w:u w:val="none"/>
          <w:lang w:val="en-US" w:eastAsia="zh-CN"/>
        </w:rPr>
        <w:t>2</w:t>
      </w:r>
      <w:r>
        <w:rPr>
          <w:rFonts w:hint="eastAsia" w:ascii="宋体" w:hAnsi="宋体" w:eastAsia="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lang w:val="en-US" w:eastAsia="zh-CN"/>
        </w:rPr>
        <w:t>日</w:t>
      </w:r>
      <w:r>
        <w:rPr>
          <w:rFonts w:hint="eastAsia" w:ascii="宋体" w:hAnsi="宋体" w:eastAsia="宋体"/>
          <w:color w:val="auto"/>
          <w:sz w:val="21"/>
          <w:szCs w:val="21"/>
          <w:highlight w:val="none"/>
          <w:lang w:val="en-US" w:eastAsia="zh-CN"/>
        </w:rPr>
        <w:t>前</w:t>
      </w:r>
      <w:r>
        <w:rPr>
          <w:rFonts w:hint="eastAsia" w:ascii="宋体" w:hAnsi="宋体" w:eastAsia="宋体"/>
          <w:color w:val="auto"/>
          <w:sz w:val="21"/>
          <w:szCs w:val="21"/>
          <w:highlight w:val="none"/>
        </w:rPr>
        <w:t>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疑问答复时间：报价</w:t>
      </w:r>
      <w:r>
        <w:rPr>
          <w:rFonts w:hint="eastAsia" w:ascii="宋体" w:hAnsi="宋体"/>
          <w:color w:val="auto"/>
          <w:highlight w:val="none"/>
        </w:rPr>
        <w:t>截止时间</w:t>
      </w:r>
      <w:r>
        <w:rPr>
          <w:rFonts w:hint="eastAsia" w:ascii="宋体" w:hAnsi="宋体"/>
          <w:b w:val="0"/>
          <w:bCs w:val="0"/>
          <w:color w:val="auto"/>
          <w:highlight w:val="none"/>
          <w:u w:val="none"/>
          <w:lang w:val="en-US" w:eastAsia="zh-CN"/>
        </w:rPr>
        <w:t>【2】</w:t>
      </w:r>
      <w:r>
        <w:rPr>
          <w:rFonts w:hint="eastAsia" w:ascii="宋体" w:hAnsi="宋体"/>
          <w:b w:val="0"/>
          <w:bCs w:val="0"/>
          <w:color w:val="auto"/>
          <w:highlight w:val="none"/>
        </w:rPr>
        <w:t>日</w:t>
      </w:r>
      <w:r>
        <w:rPr>
          <w:rFonts w:hint="eastAsia" w:ascii="宋体" w:hAnsi="宋体"/>
          <w:color w:val="auto"/>
          <w:highlight w:val="none"/>
        </w:rPr>
        <w:t>前。</w:t>
      </w:r>
      <w:r>
        <w:rPr>
          <w:rFonts w:hint="eastAsia" w:ascii="宋体" w:hAnsi="宋体" w:cs="宋体"/>
          <w:color w:val="auto"/>
          <w:szCs w:val="21"/>
          <w:highlight w:val="none"/>
          <w:lang w:val="en-US" w:eastAsia="zh-CN"/>
        </w:rPr>
        <w:t>疑问答复形式：发送邮件至第一章公告所述联系邮箱</w:t>
      </w:r>
      <w:r>
        <w:rPr>
          <w:rFonts w:hint="eastAsia" w:ascii="宋体" w:hAnsi="宋体" w:cs="宋体"/>
          <w:color w:val="auto"/>
          <w:szCs w:val="21"/>
          <w:highlight w:val="none"/>
        </w:rPr>
        <w:t>。</w:t>
      </w:r>
    </w:p>
    <w:p w14:paraId="55FD8446">
      <w:pPr>
        <w:spacing w:line="360" w:lineRule="auto"/>
        <w:ind w:firstLine="422" w:firstLineChars="200"/>
        <w:rPr>
          <w:rFonts w:hint="eastAsia" w:eastAsia="宋体"/>
          <w:color w:val="auto"/>
          <w:highlight w:val="none"/>
          <w:lang w:val="en-US" w:eastAsia="zh-CN"/>
        </w:rPr>
      </w:pPr>
      <w:r>
        <w:rPr>
          <w:rFonts w:ascii="宋体" w:hAnsi="宋体"/>
          <w:b/>
          <w:color w:val="auto"/>
          <w:highlight w:val="none"/>
        </w:rPr>
        <w:t>2.2.2</w:t>
      </w:r>
      <w:r>
        <w:rPr>
          <w:rFonts w:eastAsia="Times New Roman"/>
          <w:color w:val="auto"/>
          <w:highlight w:val="none"/>
        </w:rPr>
        <w:t xml:space="preserve"> </w:t>
      </w:r>
      <w:r>
        <w:rPr>
          <w:rFonts w:hint="eastAsia" w:ascii="宋体" w:hAnsi="宋体"/>
          <w:szCs w:val="21"/>
          <w:highlight w:val="none"/>
        </w:rPr>
        <w:t>根据采购的具体情况，</w:t>
      </w:r>
      <w:r>
        <w:rPr>
          <w:rFonts w:hint="eastAsia"/>
          <w:highlight w:val="none"/>
        </w:rPr>
        <w:t>采购人可以对已发出的</w:t>
      </w:r>
      <w:r>
        <w:rPr>
          <w:rFonts w:hint="eastAsia"/>
          <w:highlight w:val="none"/>
          <w:lang w:eastAsia="zh-CN"/>
        </w:rPr>
        <w:t>谈判采购文件</w:t>
      </w:r>
      <w:r>
        <w:rPr>
          <w:rFonts w:hint="eastAsia"/>
          <w:highlight w:val="none"/>
        </w:rPr>
        <w:t>进行必要的澄清或者修改，澄清或者修改的内容可能影响</w:t>
      </w:r>
      <w:r>
        <w:rPr>
          <w:rFonts w:hint="eastAsia"/>
          <w:highlight w:val="none"/>
          <w:lang w:eastAsia="zh-CN"/>
        </w:rPr>
        <w:t>响应文件</w:t>
      </w:r>
      <w:r>
        <w:rPr>
          <w:rFonts w:hint="eastAsia"/>
          <w:highlight w:val="none"/>
        </w:rPr>
        <w:t>编制的，</w:t>
      </w:r>
      <w:r>
        <w:rPr>
          <w:rFonts w:hint="eastAsia" w:ascii="宋体" w:hAnsi="宋体"/>
          <w:szCs w:val="21"/>
          <w:highlight w:val="none"/>
        </w:rPr>
        <w:t>采购人可延长</w:t>
      </w:r>
      <w:r>
        <w:rPr>
          <w:rFonts w:hint="eastAsia" w:ascii="宋体" w:hAnsi="宋体"/>
          <w:szCs w:val="21"/>
          <w:highlight w:val="none"/>
          <w:lang w:eastAsia="zh-CN"/>
        </w:rPr>
        <w:t>响应文件</w:t>
      </w:r>
      <w:r>
        <w:rPr>
          <w:rFonts w:hint="eastAsia" w:ascii="宋体" w:hAnsi="宋体"/>
          <w:szCs w:val="21"/>
          <w:highlight w:val="none"/>
        </w:rPr>
        <w:t>递交截止时间，并将变更时间</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中国南方航空采购招标</w:t>
      </w:r>
      <w:r>
        <w:rPr>
          <w:rFonts w:hint="eastAsia" w:ascii="宋体" w:hAnsi="宋体" w:eastAsia="宋体"/>
          <w:color w:val="auto"/>
          <w:sz w:val="21"/>
          <w:szCs w:val="21"/>
          <w:highlight w:val="none"/>
        </w:rPr>
        <w:t>网站</w:t>
      </w:r>
      <w:r>
        <w:rPr>
          <w:rFonts w:hint="eastAsia" w:ascii="宋体" w:hAnsi="宋体"/>
          <w:szCs w:val="21"/>
          <w:highlight w:val="none"/>
        </w:rPr>
        <w:t>通知所有获取</w:t>
      </w:r>
      <w:r>
        <w:rPr>
          <w:rFonts w:hint="eastAsia" w:ascii="宋体" w:hAnsi="宋体"/>
          <w:szCs w:val="21"/>
          <w:highlight w:val="none"/>
          <w:lang w:eastAsia="zh-CN"/>
        </w:rPr>
        <w:t>谈判采购文件</w:t>
      </w:r>
      <w:r>
        <w:rPr>
          <w:rFonts w:hint="eastAsia" w:ascii="宋体" w:hAnsi="宋体"/>
          <w:szCs w:val="21"/>
          <w:highlight w:val="none"/>
        </w:rPr>
        <w:t>的供应商。</w:t>
      </w:r>
    </w:p>
    <w:p w14:paraId="133AED9C">
      <w:pPr>
        <w:spacing w:line="360" w:lineRule="auto"/>
        <w:ind w:firstLine="422" w:firstLineChars="200"/>
        <w:rPr>
          <w:rFonts w:hint="eastAsia" w:ascii="宋体" w:hAnsi="宋体"/>
          <w:color w:val="auto"/>
          <w:highlight w:val="none"/>
        </w:rPr>
      </w:pPr>
      <w:r>
        <w:rPr>
          <w:rFonts w:ascii="宋体" w:hAnsi="宋体"/>
          <w:b/>
          <w:color w:val="auto"/>
          <w:highlight w:val="none"/>
        </w:rPr>
        <w:t>2.2.3</w:t>
      </w:r>
      <w:r>
        <w:rPr>
          <w:rFonts w:eastAsia="Times New Roman"/>
          <w:color w:val="auto"/>
          <w:highlight w:val="none"/>
        </w:rPr>
        <w:t xml:space="preserve"> </w:t>
      </w:r>
      <w:r>
        <w:rPr>
          <w:rFonts w:hint="eastAsia" w:ascii="宋体" w:hAnsi="宋体" w:eastAsia="宋体"/>
          <w:color w:val="auto"/>
          <w:sz w:val="21"/>
          <w:szCs w:val="21"/>
          <w:highlight w:val="none"/>
          <w:lang w:val="en-US" w:eastAsia="zh-CN"/>
        </w:rPr>
        <w:t>澄清</w:t>
      </w:r>
      <w:r>
        <w:rPr>
          <w:rFonts w:hint="eastAsia" w:ascii="宋体" w:hAnsi="宋体" w:eastAsia="宋体"/>
          <w:color w:val="auto"/>
          <w:sz w:val="21"/>
          <w:szCs w:val="21"/>
          <w:highlight w:val="none"/>
        </w:rPr>
        <w:t>一经在</w:t>
      </w:r>
      <w:r>
        <w:rPr>
          <w:rFonts w:hint="eastAsia" w:ascii="宋体" w:hAnsi="宋体" w:eastAsia="宋体"/>
          <w:color w:val="auto"/>
          <w:sz w:val="21"/>
          <w:szCs w:val="21"/>
          <w:highlight w:val="none"/>
          <w:lang w:eastAsia="zh-CN"/>
        </w:rPr>
        <w:t>中国南方航空采购招标</w:t>
      </w:r>
      <w:r>
        <w:rPr>
          <w:rFonts w:hint="eastAsia" w:ascii="宋体" w:hAnsi="宋体" w:eastAsia="宋体"/>
          <w:color w:val="auto"/>
          <w:sz w:val="21"/>
          <w:szCs w:val="21"/>
          <w:highlight w:val="none"/>
        </w:rPr>
        <w:t>网站</w:t>
      </w:r>
      <w:r>
        <w:rPr>
          <w:rFonts w:hint="eastAsia" w:ascii="宋体" w:hAnsi="宋体" w:eastAsia="宋体"/>
          <w:color w:val="auto"/>
          <w:sz w:val="21"/>
          <w:szCs w:val="21"/>
          <w:highlight w:val="none"/>
          <w:lang w:val="en-US" w:eastAsia="zh-CN"/>
        </w:rPr>
        <w:t>或采购人指定网站</w:t>
      </w:r>
      <w:r>
        <w:rPr>
          <w:rFonts w:hint="eastAsia" w:ascii="宋体" w:hAnsi="宋体" w:eastAsia="宋体"/>
          <w:color w:val="auto"/>
          <w:sz w:val="21"/>
          <w:szCs w:val="21"/>
          <w:highlight w:val="none"/>
        </w:rPr>
        <w:t>发布，视作已</w:t>
      </w:r>
      <w:r>
        <w:rPr>
          <w:rFonts w:hint="eastAsia" w:ascii="宋体" w:hAnsi="宋体" w:eastAsia="宋体"/>
          <w:color w:val="auto"/>
          <w:sz w:val="21"/>
          <w:szCs w:val="21"/>
          <w:highlight w:val="none"/>
          <w:lang w:val="en-US" w:eastAsia="zh-CN"/>
        </w:rPr>
        <w:t>送达</w:t>
      </w:r>
      <w:r>
        <w:rPr>
          <w:rFonts w:hint="eastAsia" w:ascii="宋体" w:hAnsi="宋体" w:eastAsia="宋体"/>
          <w:color w:val="auto"/>
          <w:sz w:val="21"/>
          <w:szCs w:val="21"/>
          <w:highlight w:val="none"/>
        </w:rPr>
        <w:t>所有</w:t>
      </w:r>
      <w:r>
        <w:rPr>
          <w:rFonts w:hint="eastAsia" w:ascii="宋体" w:hAnsi="宋体" w:eastAsia="宋体"/>
          <w:color w:val="auto"/>
          <w:sz w:val="21"/>
          <w:szCs w:val="21"/>
          <w:highlight w:val="none"/>
          <w:lang w:val="en-US" w:eastAsia="zh-CN"/>
        </w:rPr>
        <w:t>报名供应商</w:t>
      </w:r>
      <w:r>
        <w:rPr>
          <w:rFonts w:hint="eastAsia" w:ascii="宋体" w:hAnsi="宋体" w:eastAsia="宋体"/>
          <w:color w:val="auto"/>
          <w:sz w:val="21"/>
          <w:szCs w:val="21"/>
          <w:highlight w:val="none"/>
          <w:lang w:eastAsia="zh-CN"/>
        </w:rPr>
        <w:t>。</w:t>
      </w:r>
    </w:p>
    <w:p w14:paraId="1DC2391C">
      <w:pPr>
        <w:spacing w:line="360" w:lineRule="auto"/>
        <w:ind w:firstLine="422" w:firstLineChars="200"/>
        <w:rPr>
          <w:rFonts w:hint="eastAsia" w:ascii="宋体" w:hAnsi="宋体"/>
          <w:color w:val="auto"/>
          <w:highlight w:val="none"/>
        </w:rPr>
      </w:pPr>
      <w:r>
        <w:rPr>
          <w:rFonts w:ascii="宋体" w:hAnsi="宋体"/>
          <w:b/>
          <w:color w:val="auto"/>
          <w:highlight w:val="none"/>
        </w:rPr>
        <w:t>2.2.4</w:t>
      </w:r>
      <w:r>
        <w:rPr>
          <w:rFonts w:eastAsia="Times New Roman"/>
          <w:color w:val="auto"/>
          <w:highlight w:val="none"/>
        </w:rPr>
        <w:t xml:space="preserve"> </w:t>
      </w:r>
      <w:r>
        <w:rPr>
          <w:rFonts w:ascii="宋体" w:hAnsi="宋体"/>
          <w:color w:val="auto"/>
          <w:highlight w:val="none"/>
        </w:rPr>
        <w:t>除非</w:t>
      </w:r>
      <w:r>
        <w:rPr>
          <w:rFonts w:hint="eastAsia" w:ascii="宋体" w:hAnsi="宋体"/>
          <w:color w:val="auto"/>
          <w:highlight w:val="none"/>
          <w:lang w:eastAsia="zh-CN"/>
        </w:rPr>
        <w:t>采购人</w:t>
      </w:r>
      <w:r>
        <w:rPr>
          <w:rFonts w:ascii="宋体" w:hAnsi="宋体"/>
          <w:color w:val="auto"/>
          <w:highlight w:val="none"/>
        </w:rPr>
        <w:t>认为确有必要答复，否则，</w:t>
      </w:r>
      <w:r>
        <w:rPr>
          <w:rFonts w:hint="eastAsia" w:ascii="宋体" w:hAnsi="宋体"/>
          <w:color w:val="auto"/>
          <w:highlight w:val="none"/>
          <w:lang w:eastAsia="zh-CN"/>
        </w:rPr>
        <w:t>采购人</w:t>
      </w:r>
      <w:r>
        <w:rPr>
          <w:rFonts w:ascii="宋体" w:hAnsi="宋体"/>
          <w:color w:val="auto"/>
          <w:highlight w:val="none"/>
        </w:rPr>
        <w:t>有权拒绝回复</w:t>
      </w:r>
      <w:r>
        <w:rPr>
          <w:rFonts w:hint="eastAsia" w:ascii="宋体" w:hAnsi="宋体"/>
          <w:color w:val="auto"/>
          <w:highlight w:val="none"/>
          <w:lang w:eastAsia="zh-CN"/>
        </w:rPr>
        <w:t>供应商</w:t>
      </w:r>
      <w:r>
        <w:rPr>
          <w:rFonts w:ascii="宋体" w:hAnsi="宋体"/>
          <w:color w:val="auto"/>
          <w:highlight w:val="none"/>
        </w:rPr>
        <w:t>在本章</w:t>
      </w:r>
      <w:r>
        <w:rPr>
          <w:rFonts w:ascii="宋体" w:hAnsi="宋体"/>
          <w:b w:val="0"/>
          <w:bCs w:val="0"/>
          <w:color w:val="auto"/>
          <w:highlight w:val="none"/>
        </w:rPr>
        <w:t>第</w:t>
      </w:r>
      <w:r>
        <w:rPr>
          <w:rFonts w:eastAsia="Times New Roman"/>
          <w:b w:val="0"/>
          <w:bCs w:val="0"/>
          <w:color w:val="auto"/>
          <w:highlight w:val="none"/>
        </w:rPr>
        <w:t xml:space="preserve"> </w:t>
      </w:r>
      <w:r>
        <w:rPr>
          <w:rFonts w:ascii="宋体" w:hAnsi="宋体"/>
          <w:b w:val="0"/>
          <w:bCs w:val="0"/>
          <w:color w:val="auto"/>
          <w:highlight w:val="none"/>
        </w:rPr>
        <w:t>2.2.1</w:t>
      </w:r>
      <w:r>
        <w:rPr>
          <w:rFonts w:eastAsia="Times New Roman"/>
          <w:b w:val="0"/>
          <w:bCs w:val="0"/>
          <w:color w:val="auto"/>
          <w:highlight w:val="none"/>
        </w:rPr>
        <w:t xml:space="preserve"> </w:t>
      </w:r>
      <w:r>
        <w:rPr>
          <w:rFonts w:ascii="宋体" w:hAnsi="宋体"/>
          <w:color w:val="auto"/>
          <w:highlight w:val="none"/>
        </w:rPr>
        <w:t>项规定的时间后的任何</w:t>
      </w:r>
      <w:r>
        <w:rPr>
          <w:rFonts w:hint="eastAsia" w:ascii="宋体" w:hAnsi="宋体"/>
          <w:color w:val="auto"/>
          <w:highlight w:val="none"/>
          <w:lang w:val="en-US" w:eastAsia="zh-CN"/>
        </w:rPr>
        <w:t>答疑</w:t>
      </w:r>
      <w:r>
        <w:rPr>
          <w:rFonts w:ascii="宋体" w:hAnsi="宋体"/>
          <w:color w:val="auto"/>
          <w:highlight w:val="none"/>
        </w:rPr>
        <w:t>要求。</w:t>
      </w:r>
    </w:p>
    <w:p w14:paraId="6116E410">
      <w:pPr>
        <w:pStyle w:val="3"/>
        <w:keepNext/>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eastAsia="宋体"/>
          <w:b/>
          <w:color w:val="auto"/>
          <w:sz w:val="28"/>
          <w:highlight w:val="none"/>
        </w:rPr>
      </w:pPr>
      <w:bookmarkStart w:id="71" w:name="_Toc17515"/>
      <w:bookmarkStart w:id="72" w:name="_Toc31147"/>
      <w:bookmarkStart w:id="73" w:name="_Toc11190"/>
      <w:bookmarkStart w:id="74" w:name="_Toc3962"/>
      <w:bookmarkStart w:id="75" w:name="_Toc6919"/>
      <w:r>
        <w:rPr>
          <w:rFonts w:hint="eastAsia" w:ascii="宋体" w:hAnsi="宋体" w:eastAsia="宋体" w:cs="宋体"/>
          <w:b/>
          <w:color w:val="auto"/>
          <w:sz w:val="28"/>
          <w:highlight w:val="none"/>
          <w:lang w:val="en-US" w:eastAsia="zh-CN"/>
        </w:rPr>
        <w:t>3、响应文件</w:t>
      </w:r>
      <w:bookmarkEnd w:id="71"/>
      <w:bookmarkEnd w:id="72"/>
      <w:bookmarkEnd w:id="73"/>
      <w:bookmarkEnd w:id="74"/>
      <w:bookmarkEnd w:id="75"/>
    </w:p>
    <w:p w14:paraId="1EE752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hint="eastAsia" w:ascii="黑体" w:hAnsi="黑体" w:eastAsia="黑体"/>
          <w:color w:val="auto"/>
          <w:sz w:val="28"/>
          <w:highlight w:val="none"/>
        </w:rPr>
      </w:pPr>
      <w:r>
        <w:rPr>
          <w:rFonts w:ascii="宋体" w:hAnsi="宋体"/>
          <w:b/>
          <w:color w:val="auto"/>
          <w:sz w:val="24"/>
          <w:highlight w:val="none"/>
        </w:rPr>
        <w:t xml:space="preserve">3.1 </w:t>
      </w:r>
      <w:r>
        <w:rPr>
          <w:rFonts w:hint="eastAsia" w:ascii="宋体" w:hAnsi="宋体"/>
          <w:b/>
          <w:color w:val="auto"/>
          <w:sz w:val="24"/>
          <w:highlight w:val="none"/>
          <w:lang w:val="en-US" w:eastAsia="zh-CN"/>
        </w:rPr>
        <w:t>响应文件</w:t>
      </w:r>
      <w:r>
        <w:rPr>
          <w:rFonts w:ascii="宋体" w:hAnsi="宋体"/>
          <w:b/>
          <w:color w:val="auto"/>
          <w:sz w:val="24"/>
          <w:highlight w:val="none"/>
        </w:rPr>
        <w:t>的组成</w:t>
      </w:r>
    </w:p>
    <w:p w14:paraId="3078BE0E">
      <w:pPr>
        <w:spacing w:line="360" w:lineRule="auto"/>
        <w:ind w:firstLine="422" w:firstLineChars="200"/>
        <w:rPr>
          <w:rFonts w:hint="eastAsia" w:ascii="宋体" w:hAnsi="宋体"/>
          <w:color w:val="auto"/>
          <w:highlight w:val="none"/>
        </w:rPr>
      </w:pPr>
      <w:r>
        <w:rPr>
          <w:rFonts w:ascii="宋体" w:hAnsi="宋体"/>
          <w:b/>
          <w:color w:val="auto"/>
          <w:highlight w:val="none"/>
        </w:rPr>
        <w:t>3.1.1</w:t>
      </w:r>
      <w:r>
        <w:rPr>
          <w:rFonts w:eastAsia="Times New Roman"/>
          <w:color w:val="auto"/>
          <w:highlight w:val="none"/>
        </w:rPr>
        <w:t xml:space="preserve"> </w:t>
      </w:r>
      <w:r>
        <w:rPr>
          <w:rFonts w:hint="eastAsia" w:eastAsia="宋体"/>
          <w:color w:val="auto"/>
          <w:highlight w:val="none"/>
          <w:lang w:val="en-US" w:eastAsia="zh-CN"/>
        </w:rPr>
        <w:t>响应文件</w:t>
      </w:r>
      <w:r>
        <w:rPr>
          <w:rFonts w:ascii="宋体" w:hAnsi="宋体"/>
          <w:color w:val="auto"/>
          <w:highlight w:val="none"/>
        </w:rPr>
        <w:t>应包括下列内容：</w:t>
      </w:r>
      <w:r>
        <w:rPr>
          <w:rFonts w:hint="eastAsia" w:ascii="宋体" w:hAnsi="宋体"/>
          <w:color w:val="auto"/>
          <w:highlight w:val="none"/>
          <w:lang w:eastAsia="zh-CN"/>
        </w:rPr>
        <w:t>商务部分、技术部分、报价部分、</w:t>
      </w:r>
      <w:r>
        <w:rPr>
          <w:rFonts w:hint="eastAsia" w:ascii="宋体" w:hAnsi="宋体"/>
          <w:color w:val="auto"/>
          <w:sz w:val="21"/>
          <w:szCs w:val="21"/>
          <w:highlight w:val="none"/>
          <w:lang w:val="en-US" w:eastAsia="zh-CN"/>
        </w:rPr>
        <w:t>最终谈判承诺及二次/最终报价一览表和</w:t>
      </w:r>
      <w:r>
        <w:rPr>
          <w:rFonts w:hint="eastAsia" w:ascii="宋体" w:hAnsi="宋体"/>
          <w:color w:val="auto"/>
          <w:highlight w:val="none"/>
          <w:lang w:eastAsia="zh-CN"/>
        </w:rPr>
        <w:t>供应商</w:t>
      </w:r>
      <w:r>
        <w:rPr>
          <w:rFonts w:hint="eastAsia" w:ascii="宋体" w:hAnsi="宋体"/>
          <w:color w:val="auto"/>
          <w:highlight w:val="none"/>
          <w:lang w:val="en-US" w:eastAsia="zh-CN"/>
        </w:rPr>
        <w:t>认为有必要</w:t>
      </w:r>
      <w:r>
        <w:rPr>
          <w:rFonts w:ascii="宋体" w:hAnsi="宋体"/>
          <w:color w:val="auto"/>
          <w:highlight w:val="none"/>
        </w:rPr>
        <w:t>的其他资料</w:t>
      </w:r>
      <w:r>
        <w:rPr>
          <w:rFonts w:hint="eastAsia" w:ascii="宋体" w:hAnsi="宋体"/>
          <w:color w:val="auto"/>
          <w:highlight w:val="none"/>
          <w:lang w:eastAsia="zh-CN"/>
        </w:rPr>
        <w:t>。</w:t>
      </w:r>
    </w:p>
    <w:p w14:paraId="080F01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jc w:val="both"/>
        <w:textAlignment w:val="auto"/>
        <w:outlineLvl w:val="9"/>
        <w:rPr>
          <w:rFonts w:hint="eastAsia" w:ascii="宋体" w:hAnsi="宋体"/>
          <w:b/>
          <w:color w:val="auto"/>
          <w:sz w:val="28"/>
          <w:highlight w:val="none"/>
        </w:rPr>
      </w:pPr>
      <w:r>
        <w:rPr>
          <w:rFonts w:ascii="宋体" w:hAnsi="宋体"/>
          <w:b/>
          <w:color w:val="auto"/>
          <w:sz w:val="24"/>
          <w:highlight w:val="none"/>
        </w:rPr>
        <w:t>3.</w:t>
      </w:r>
      <w:r>
        <w:rPr>
          <w:rFonts w:hint="eastAsia" w:ascii="宋体" w:hAnsi="宋体"/>
          <w:b/>
          <w:color w:val="auto"/>
          <w:sz w:val="24"/>
          <w:highlight w:val="none"/>
          <w:lang w:val="en-US" w:eastAsia="zh-CN"/>
        </w:rPr>
        <w:t>2</w:t>
      </w:r>
      <w:r>
        <w:rPr>
          <w:rFonts w:ascii="宋体" w:hAnsi="宋体"/>
          <w:b/>
          <w:color w:val="auto"/>
          <w:sz w:val="24"/>
          <w:highlight w:val="none"/>
        </w:rPr>
        <w:t xml:space="preserve"> </w:t>
      </w:r>
      <w:r>
        <w:rPr>
          <w:rFonts w:hint="eastAsia" w:ascii="宋体" w:hAnsi="宋体"/>
          <w:b/>
          <w:color w:val="auto"/>
          <w:sz w:val="24"/>
          <w:highlight w:val="none"/>
          <w:lang w:val="en-US" w:eastAsia="zh-CN"/>
        </w:rPr>
        <w:t>报价</w:t>
      </w:r>
      <w:r>
        <w:rPr>
          <w:rFonts w:ascii="宋体" w:hAnsi="宋体"/>
          <w:b/>
          <w:color w:val="auto"/>
          <w:sz w:val="24"/>
          <w:highlight w:val="none"/>
        </w:rPr>
        <w:t>有效期</w:t>
      </w:r>
    </w:p>
    <w:p w14:paraId="62461E0A">
      <w:pPr>
        <w:spacing w:line="360" w:lineRule="auto"/>
        <w:ind w:firstLine="422" w:firstLineChars="200"/>
        <w:rPr>
          <w:rFonts w:hint="eastAsia" w:eastAsia="宋体"/>
          <w:color w:val="auto"/>
          <w:highlight w:val="none"/>
          <w:lang w:val="en-US" w:eastAsia="zh-CN"/>
        </w:rPr>
      </w:pPr>
      <w:r>
        <w:rPr>
          <w:rFonts w:ascii="宋体" w:hAnsi="宋体"/>
          <w:b/>
          <w:color w:val="auto"/>
          <w:highlight w:val="none"/>
        </w:rPr>
        <w:t>3.</w:t>
      </w:r>
      <w:r>
        <w:rPr>
          <w:rFonts w:hint="eastAsia" w:ascii="宋体" w:hAnsi="宋体"/>
          <w:b/>
          <w:color w:val="auto"/>
          <w:highlight w:val="none"/>
          <w:lang w:val="en-US" w:eastAsia="zh-CN"/>
        </w:rPr>
        <w:t>2</w:t>
      </w:r>
      <w:r>
        <w:rPr>
          <w:rFonts w:ascii="宋体" w:hAnsi="宋体"/>
          <w:b/>
          <w:color w:val="auto"/>
          <w:highlight w:val="none"/>
        </w:rPr>
        <w:t>.1</w:t>
      </w:r>
      <w:r>
        <w:rPr>
          <w:rFonts w:eastAsia="Times New Roman"/>
          <w:color w:val="auto"/>
          <w:highlight w:val="none"/>
        </w:rPr>
        <w:t xml:space="preserve"> </w:t>
      </w:r>
      <w:r>
        <w:rPr>
          <w:rFonts w:hint="eastAsia" w:eastAsia="宋体"/>
          <w:color w:val="auto"/>
          <w:highlight w:val="none"/>
          <w:lang w:val="en-US" w:eastAsia="zh-CN"/>
        </w:rPr>
        <w:t>报价有效期不小于【90】天</w:t>
      </w:r>
      <w:r>
        <w:rPr>
          <w:rFonts w:hint="eastAsia"/>
          <w:color w:val="auto"/>
          <w:highlight w:val="none"/>
          <w:lang w:val="en-US" w:eastAsia="zh-CN"/>
        </w:rPr>
        <w:t>。</w:t>
      </w:r>
      <w:r>
        <w:rPr>
          <w:rFonts w:hint="eastAsia" w:eastAsia="宋体"/>
          <w:color w:val="auto"/>
          <w:highlight w:val="none"/>
          <w:lang w:val="en-US" w:eastAsia="zh-CN"/>
        </w:rPr>
        <w:t>报价</w:t>
      </w:r>
      <w:r>
        <w:rPr>
          <w:rFonts w:hint="eastAsia" w:eastAsia="宋体"/>
          <w:color w:val="auto"/>
          <w:highlight w:val="none"/>
          <w:lang w:eastAsia="zh-CN"/>
        </w:rPr>
        <w:t>有效期短于规定</w:t>
      </w:r>
      <w:r>
        <w:rPr>
          <w:rFonts w:hint="eastAsia" w:eastAsia="宋体"/>
          <w:color w:val="auto"/>
          <w:highlight w:val="none"/>
          <w:lang w:val="en-US" w:eastAsia="zh-CN"/>
        </w:rPr>
        <w:t>期限的报价将被视为无效报价。</w:t>
      </w:r>
    </w:p>
    <w:p w14:paraId="2D42FF42">
      <w:pPr>
        <w:spacing w:line="360" w:lineRule="auto"/>
        <w:ind w:firstLine="422" w:firstLineChars="200"/>
        <w:rPr>
          <w:rFonts w:hint="eastAsia" w:ascii="宋体" w:hAnsi="宋体"/>
          <w:color w:val="auto"/>
          <w:highlight w:val="none"/>
        </w:rPr>
      </w:pPr>
      <w:r>
        <w:rPr>
          <w:rFonts w:ascii="宋体" w:hAnsi="宋体"/>
          <w:b/>
          <w:color w:val="auto"/>
          <w:highlight w:val="none"/>
        </w:rPr>
        <w:t>3.</w:t>
      </w:r>
      <w:r>
        <w:rPr>
          <w:rFonts w:hint="eastAsia" w:ascii="宋体" w:hAnsi="宋体"/>
          <w:b/>
          <w:color w:val="auto"/>
          <w:highlight w:val="none"/>
          <w:lang w:val="en-US" w:eastAsia="zh-CN"/>
        </w:rPr>
        <w:t>2</w:t>
      </w:r>
      <w:r>
        <w:rPr>
          <w:rFonts w:ascii="宋体" w:hAnsi="宋体"/>
          <w:b/>
          <w:color w:val="auto"/>
          <w:highlight w:val="none"/>
        </w:rPr>
        <w:t>.2</w:t>
      </w:r>
      <w:r>
        <w:rPr>
          <w:rFonts w:eastAsia="Times New Roman"/>
          <w:color w:val="auto"/>
          <w:highlight w:val="none"/>
        </w:rPr>
        <w:t xml:space="preserve"> </w:t>
      </w:r>
      <w:r>
        <w:rPr>
          <w:rFonts w:ascii="宋体" w:hAnsi="宋体"/>
          <w:color w:val="auto"/>
          <w:highlight w:val="none"/>
        </w:rPr>
        <w:t>在</w:t>
      </w:r>
      <w:r>
        <w:rPr>
          <w:rFonts w:hint="eastAsia" w:ascii="宋体" w:hAnsi="宋体"/>
          <w:color w:val="auto"/>
          <w:highlight w:val="none"/>
          <w:lang w:val="en-US" w:eastAsia="zh-CN"/>
        </w:rPr>
        <w:t>报价</w:t>
      </w:r>
      <w:r>
        <w:rPr>
          <w:rFonts w:ascii="宋体" w:hAnsi="宋体"/>
          <w:color w:val="auto"/>
          <w:highlight w:val="none"/>
        </w:rPr>
        <w:t>有效期内，</w:t>
      </w:r>
      <w:r>
        <w:rPr>
          <w:rFonts w:hint="eastAsia" w:ascii="宋体" w:hAnsi="宋体"/>
          <w:color w:val="auto"/>
          <w:highlight w:val="none"/>
          <w:lang w:eastAsia="zh-CN"/>
        </w:rPr>
        <w:t>供应商</w:t>
      </w:r>
      <w:r>
        <w:rPr>
          <w:rFonts w:ascii="宋体" w:hAnsi="宋体"/>
          <w:color w:val="auto"/>
          <w:highlight w:val="none"/>
        </w:rPr>
        <w:t>撤销</w:t>
      </w:r>
      <w:r>
        <w:rPr>
          <w:rFonts w:hint="eastAsia" w:ascii="宋体" w:hAnsi="宋体"/>
          <w:color w:val="auto"/>
          <w:highlight w:val="none"/>
          <w:lang w:val="en-US" w:eastAsia="zh-CN"/>
        </w:rPr>
        <w:t>响应文件</w:t>
      </w:r>
      <w:r>
        <w:rPr>
          <w:rFonts w:ascii="宋体" w:hAnsi="宋体"/>
          <w:color w:val="auto"/>
          <w:highlight w:val="none"/>
        </w:rPr>
        <w:t>的，应承担</w:t>
      </w:r>
      <w:r>
        <w:rPr>
          <w:rFonts w:hint="eastAsia" w:ascii="宋体" w:hAnsi="宋体"/>
          <w:color w:val="auto"/>
          <w:highlight w:val="none"/>
          <w:lang w:eastAsia="zh-CN"/>
        </w:rPr>
        <w:t>谈判采购文件</w:t>
      </w:r>
      <w:r>
        <w:rPr>
          <w:rFonts w:ascii="宋体" w:hAnsi="宋体"/>
          <w:color w:val="auto"/>
          <w:highlight w:val="none"/>
        </w:rPr>
        <w:t>和法律规定的责任。</w:t>
      </w:r>
    </w:p>
    <w:p w14:paraId="4EBE56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jc w:val="both"/>
        <w:textAlignment w:val="auto"/>
        <w:outlineLvl w:val="9"/>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val="en-US" w:eastAsia="zh-CN"/>
        </w:rPr>
        <w:t>3</w:t>
      </w:r>
      <w:r>
        <w:rPr>
          <w:rFonts w:ascii="宋体" w:hAnsi="宋体"/>
          <w:b/>
          <w:color w:val="auto"/>
          <w:sz w:val="24"/>
          <w:highlight w:val="none"/>
        </w:rPr>
        <w:t xml:space="preserve"> 资格审查资料</w:t>
      </w:r>
      <w:r>
        <w:rPr>
          <w:rFonts w:hint="eastAsia" w:ascii="宋体" w:hAnsi="宋体" w:eastAsia="宋体" w:cs="宋体"/>
          <w:b/>
          <w:color w:val="auto"/>
          <w:sz w:val="24"/>
          <w:highlight w:val="none"/>
        </w:rPr>
        <w:t>（适用于已进行资格预审的</w:t>
      </w:r>
      <w:r>
        <w:rPr>
          <w:rFonts w:hint="eastAsia" w:ascii="宋体" w:hAnsi="宋体" w:eastAsia="宋体" w:cs="宋体"/>
          <w:b/>
          <w:color w:val="auto"/>
          <w:sz w:val="24"/>
          <w:highlight w:val="none"/>
          <w:lang w:val="en-US" w:eastAsia="zh-CN"/>
        </w:rPr>
        <w:t>情况</w:t>
      </w:r>
      <w:r>
        <w:rPr>
          <w:rFonts w:hint="eastAsia" w:ascii="宋体" w:hAnsi="宋体" w:eastAsia="宋体" w:cs="宋体"/>
          <w:b/>
          <w:color w:val="auto"/>
          <w:sz w:val="24"/>
          <w:highlight w:val="none"/>
        </w:rPr>
        <w:t>）</w:t>
      </w:r>
    </w:p>
    <w:p w14:paraId="6618CC02">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供应商</w:t>
      </w:r>
      <w:r>
        <w:rPr>
          <w:rFonts w:ascii="宋体" w:hAnsi="宋体"/>
          <w:color w:val="auto"/>
          <w:highlight w:val="none"/>
        </w:rPr>
        <w:t>在递交</w:t>
      </w:r>
      <w:r>
        <w:rPr>
          <w:rFonts w:hint="eastAsia" w:ascii="宋体" w:hAnsi="宋体"/>
          <w:color w:val="auto"/>
          <w:highlight w:val="none"/>
          <w:lang w:eastAsia="zh-CN"/>
        </w:rPr>
        <w:t>响应文件</w:t>
      </w:r>
      <w:r>
        <w:rPr>
          <w:rFonts w:ascii="宋体" w:hAnsi="宋体"/>
          <w:color w:val="auto"/>
          <w:highlight w:val="none"/>
        </w:rPr>
        <w:t>前，发生可能影响其</w:t>
      </w:r>
      <w:r>
        <w:rPr>
          <w:rFonts w:hint="eastAsia" w:ascii="宋体" w:hAnsi="宋体"/>
          <w:color w:val="auto"/>
          <w:highlight w:val="none"/>
          <w:lang w:val="en-US" w:eastAsia="zh-CN"/>
        </w:rPr>
        <w:t>谈判</w:t>
      </w:r>
      <w:r>
        <w:rPr>
          <w:rFonts w:ascii="宋体" w:hAnsi="宋体"/>
          <w:color w:val="auto"/>
          <w:highlight w:val="none"/>
        </w:rPr>
        <w:t>资格的新情况的，应更新或补充其在</w:t>
      </w:r>
      <w:r>
        <w:rPr>
          <w:rFonts w:hint="eastAsia" w:ascii="宋体" w:hAnsi="宋体"/>
          <w:color w:val="auto"/>
          <w:highlight w:val="none"/>
          <w:lang w:val="en-US" w:eastAsia="zh-CN"/>
        </w:rPr>
        <w:t>报名</w:t>
      </w:r>
      <w:r>
        <w:rPr>
          <w:rFonts w:ascii="宋体" w:hAnsi="宋体"/>
          <w:color w:val="auto"/>
          <w:highlight w:val="none"/>
        </w:rPr>
        <w:t>时提供的资料，以证实其各项资格条件仍能继续满足</w:t>
      </w:r>
      <w:r>
        <w:rPr>
          <w:rFonts w:hint="eastAsia" w:ascii="宋体" w:hAnsi="宋体"/>
          <w:color w:val="auto"/>
          <w:highlight w:val="none"/>
          <w:lang w:val="en-US" w:eastAsia="zh-CN"/>
        </w:rPr>
        <w:t>文件</w:t>
      </w:r>
      <w:r>
        <w:rPr>
          <w:rFonts w:ascii="宋体" w:hAnsi="宋体"/>
          <w:color w:val="auto"/>
          <w:highlight w:val="none"/>
        </w:rPr>
        <w:t>要求，且没有实质性降低。</w:t>
      </w:r>
    </w:p>
    <w:p w14:paraId="71F01B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 w:firstLineChars="50"/>
        <w:jc w:val="both"/>
        <w:textAlignment w:val="auto"/>
        <w:outlineLvl w:val="9"/>
        <w:rPr>
          <w:rFonts w:ascii="黑体" w:hAnsi="黑体" w:eastAsia="黑体"/>
          <w:color w:val="auto"/>
          <w:sz w:val="28"/>
          <w:highlight w:val="none"/>
        </w:rPr>
      </w:pPr>
      <w:r>
        <w:rPr>
          <w:rFonts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响应文件</w:t>
      </w:r>
      <w:r>
        <w:rPr>
          <w:rFonts w:ascii="宋体" w:hAnsi="宋体"/>
          <w:b/>
          <w:color w:val="auto"/>
          <w:sz w:val="24"/>
          <w:highlight w:val="none"/>
        </w:rPr>
        <w:t>的编制</w:t>
      </w:r>
      <w:r>
        <w:rPr>
          <w:rFonts w:hint="eastAsia" w:ascii="宋体" w:hAnsi="宋体"/>
          <w:b/>
          <w:color w:val="auto"/>
          <w:sz w:val="24"/>
          <w:highlight w:val="none"/>
          <w:lang w:val="en-US" w:eastAsia="zh-CN"/>
        </w:rPr>
        <w:t>和递交</w:t>
      </w:r>
    </w:p>
    <w:p w14:paraId="7BF0F716">
      <w:pPr>
        <w:spacing w:line="360" w:lineRule="auto"/>
        <w:ind w:firstLine="422" w:firstLineChars="200"/>
        <w:rPr>
          <w:rFonts w:ascii="宋体" w:hAnsi="宋体"/>
          <w:color w:val="auto"/>
          <w:highlight w:val="none"/>
        </w:rPr>
      </w:pPr>
      <w:r>
        <w:rPr>
          <w:rFonts w:ascii="宋体" w:hAnsi="宋体"/>
          <w:b/>
          <w:color w:val="auto"/>
          <w:highlight w:val="none"/>
        </w:rPr>
        <w:t>3.</w:t>
      </w:r>
      <w:r>
        <w:rPr>
          <w:rFonts w:hint="eastAsia" w:ascii="宋体" w:hAnsi="宋体"/>
          <w:b/>
          <w:color w:val="auto"/>
          <w:highlight w:val="none"/>
          <w:lang w:val="en-US" w:eastAsia="zh-CN"/>
        </w:rPr>
        <w:t>4</w:t>
      </w:r>
      <w:r>
        <w:rPr>
          <w:rFonts w:ascii="宋体" w:hAnsi="宋体"/>
          <w:b/>
          <w:color w:val="auto"/>
          <w:highlight w:val="none"/>
        </w:rPr>
        <w:t>.1</w:t>
      </w:r>
      <w:r>
        <w:rPr>
          <w:rFonts w:eastAsia="Times New Roman"/>
          <w:color w:val="auto"/>
          <w:highlight w:val="none"/>
        </w:rPr>
        <w:t xml:space="preserve"> </w:t>
      </w:r>
      <w:r>
        <w:rPr>
          <w:rFonts w:hint="eastAsia" w:ascii="宋体" w:hAnsi="宋体" w:eastAsia="宋体"/>
          <w:color w:val="auto"/>
          <w:highlight w:val="none"/>
          <w:lang w:eastAsia="zh-CN"/>
        </w:rPr>
        <w:t>响应文件</w:t>
      </w:r>
      <w:r>
        <w:rPr>
          <w:rFonts w:ascii="宋体" w:hAnsi="宋体"/>
          <w:color w:val="auto"/>
          <w:highlight w:val="none"/>
        </w:rPr>
        <w:t>应按第</w:t>
      </w:r>
      <w:r>
        <w:rPr>
          <w:rFonts w:hint="eastAsia" w:ascii="宋体" w:hAnsi="宋体"/>
          <w:color w:val="auto"/>
          <w:highlight w:val="none"/>
          <w:lang w:val="en-US" w:eastAsia="zh-CN"/>
        </w:rPr>
        <w:t>六</w:t>
      </w:r>
      <w:r>
        <w:rPr>
          <w:rFonts w:ascii="宋体" w:hAnsi="宋体"/>
          <w:color w:val="auto"/>
          <w:highlight w:val="none"/>
        </w:rPr>
        <w:t>章</w:t>
      </w:r>
      <w:r>
        <w:rPr>
          <w:rFonts w:eastAsia="Times New Roman"/>
          <w:color w:val="auto"/>
          <w:highlight w:val="none"/>
        </w:rPr>
        <w:t>“</w:t>
      </w:r>
      <w:r>
        <w:rPr>
          <w:rFonts w:hint="eastAsia" w:ascii="宋体" w:hAnsi="宋体" w:eastAsia="宋体"/>
          <w:color w:val="auto"/>
          <w:highlight w:val="none"/>
          <w:lang w:eastAsia="zh-CN"/>
        </w:rPr>
        <w:t>响应文件</w:t>
      </w:r>
      <w:r>
        <w:rPr>
          <w:rFonts w:ascii="宋体" w:hAnsi="宋体"/>
          <w:color w:val="auto"/>
          <w:highlight w:val="none"/>
        </w:rPr>
        <w:t>格式</w:t>
      </w:r>
      <w:r>
        <w:rPr>
          <w:rFonts w:eastAsia="Times New Roman"/>
          <w:color w:val="auto"/>
          <w:highlight w:val="none"/>
        </w:rPr>
        <w:t>”</w:t>
      </w:r>
      <w:r>
        <w:rPr>
          <w:rFonts w:ascii="宋体" w:hAnsi="宋体"/>
          <w:color w:val="auto"/>
          <w:highlight w:val="none"/>
        </w:rPr>
        <w:t>进行编写，如有必要，可以增加附页，作为</w:t>
      </w:r>
      <w:r>
        <w:rPr>
          <w:rFonts w:hint="eastAsia" w:ascii="宋体" w:hAnsi="宋体"/>
          <w:color w:val="auto"/>
          <w:highlight w:val="none"/>
          <w:lang w:eastAsia="zh-CN"/>
        </w:rPr>
        <w:t>响应文件</w:t>
      </w:r>
      <w:r>
        <w:rPr>
          <w:rFonts w:ascii="宋体" w:hAnsi="宋体"/>
          <w:color w:val="auto"/>
          <w:highlight w:val="none"/>
        </w:rPr>
        <w:t>的组成部分。</w:t>
      </w:r>
    </w:p>
    <w:p w14:paraId="601882F3">
      <w:pPr>
        <w:spacing w:line="360" w:lineRule="auto"/>
        <w:ind w:firstLine="422" w:firstLineChars="200"/>
        <w:rPr>
          <w:rFonts w:ascii="宋体" w:hAnsi="宋体"/>
          <w:color w:val="auto"/>
          <w:highlight w:val="none"/>
        </w:rPr>
      </w:pPr>
      <w:r>
        <w:rPr>
          <w:rFonts w:ascii="宋体" w:hAnsi="宋体"/>
          <w:b/>
          <w:color w:val="auto"/>
          <w:highlight w:val="none"/>
        </w:rPr>
        <w:t>3.</w:t>
      </w:r>
      <w:r>
        <w:rPr>
          <w:rFonts w:hint="eastAsia" w:ascii="宋体" w:hAnsi="宋体"/>
          <w:b/>
          <w:color w:val="auto"/>
          <w:highlight w:val="none"/>
          <w:lang w:val="en-US" w:eastAsia="zh-CN"/>
        </w:rPr>
        <w:t>4</w:t>
      </w:r>
      <w:r>
        <w:rPr>
          <w:rFonts w:ascii="宋体" w:hAnsi="宋体"/>
          <w:b/>
          <w:color w:val="auto"/>
          <w:highlight w:val="none"/>
        </w:rPr>
        <w:t>.2</w:t>
      </w:r>
      <w:r>
        <w:rPr>
          <w:rFonts w:eastAsia="Times New Roman"/>
          <w:color w:val="auto"/>
          <w:highlight w:val="none"/>
        </w:rPr>
        <w:t xml:space="preserve"> </w:t>
      </w:r>
      <w:r>
        <w:rPr>
          <w:rFonts w:hint="eastAsia" w:ascii="宋体" w:hAnsi="宋体" w:eastAsia="宋体"/>
          <w:color w:val="auto"/>
          <w:highlight w:val="none"/>
          <w:lang w:eastAsia="zh-CN"/>
        </w:rPr>
        <w:t>响应文件</w:t>
      </w:r>
      <w:r>
        <w:rPr>
          <w:rFonts w:ascii="宋体" w:hAnsi="宋体"/>
          <w:color w:val="auto"/>
          <w:highlight w:val="none"/>
        </w:rPr>
        <w:t>应当对</w:t>
      </w:r>
      <w:r>
        <w:rPr>
          <w:rFonts w:hint="eastAsia" w:ascii="宋体" w:hAnsi="宋体"/>
          <w:color w:val="auto"/>
          <w:highlight w:val="none"/>
          <w:lang w:eastAsia="zh-CN"/>
        </w:rPr>
        <w:t>谈判采购文件</w:t>
      </w:r>
      <w:r>
        <w:rPr>
          <w:rFonts w:ascii="宋体" w:hAnsi="宋体"/>
          <w:color w:val="auto"/>
          <w:highlight w:val="none"/>
        </w:rPr>
        <w:t>有关供货期、</w:t>
      </w:r>
      <w:r>
        <w:rPr>
          <w:rFonts w:hint="eastAsia" w:ascii="宋体" w:hAnsi="宋体"/>
          <w:color w:val="auto"/>
          <w:highlight w:val="none"/>
          <w:lang w:eastAsia="zh-CN"/>
        </w:rPr>
        <w:t>报价有效期</w:t>
      </w:r>
      <w:r>
        <w:rPr>
          <w:rFonts w:ascii="宋体" w:hAnsi="宋体"/>
          <w:color w:val="auto"/>
          <w:highlight w:val="none"/>
        </w:rPr>
        <w:t>、供货要求、</w:t>
      </w:r>
      <w:r>
        <w:rPr>
          <w:rFonts w:hint="eastAsia" w:ascii="宋体" w:hAnsi="宋体"/>
          <w:color w:val="auto"/>
          <w:highlight w:val="none"/>
          <w:lang w:eastAsia="zh-CN"/>
        </w:rPr>
        <w:t>采购内容</w:t>
      </w:r>
      <w:r>
        <w:rPr>
          <w:rFonts w:ascii="宋体" w:hAnsi="宋体"/>
          <w:color w:val="auto"/>
          <w:highlight w:val="none"/>
        </w:rPr>
        <w:t>等实质性内容作出响应。</w:t>
      </w:r>
      <w:r>
        <w:rPr>
          <w:rFonts w:hint="eastAsia" w:ascii="宋体" w:hAnsi="宋体"/>
          <w:color w:val="auto"/>
          <w:highlight w:val="none"/>
          <w:lang w:eastAsia="zh-CN"/>
        </w:rPr>
        <w:t>响应文件</w:t>
      </w:r>
      <w:r>
        <w:rPr>
          <w:rFonts w:ascii="宋体" w:hAnsi="宋体"/>
          <w:color w:val="auto"/>
          <w:highlight w:val="none"/>
        </w:rPr>
        <w:t>在满足</w:t>
      </w:r>
      <w:r>
        <w:rPr>
          <w:rFonts w:hint="eastAsia" w:ascii="宋体" w:hAnsi="宋体"/>
          <w:color w:val="auto"/>
          <w:highlight w:val="none"/>
          <w:lang w:eastAsia="zh-CN"/>
        </w:rPr>
        <w:t>谈判采购文件</w:t>
      </w:r>
      <w:r>
        <w:rPr>
          <w:rFonts w:ascii="宋体" w:hAnsi="宋体"/>
          <w:color w:val="auto"/>
          <w:highlight w:val="none"/>
        </w:rPr>
        <w:t>实质性要求的基础上，可以提出比</w:t>
      </w:r>
      <w:r>
        <w:rPr>
          <w:rFonts w:hint="eastAsia" w:ascii="宋体" w:hAnsi="宋体"/>
          <w:color w:val="auto"/>
          <w:highlight w:val="none"/>
          <w:lang w:eastAsia="zh-CN"/>
        </w:rPr>
        <w:t>谈判采购文件</w:t>
      </w:r>
      <w:r>
        <w:rPr>
          <w:rFonts w:ascii="宋体" w:hAnsi="宋体"/>
          <w:color w:val="auto"/>
          <w:highlight w:val="none"/>
        </w:rPr>
        <w:t>要求更有利于</w:t>
      </w:r>
      <w:r>
        <w:rPr>
          <w:rFonts w:hint="eastAsia" w:ascii="宋体" w:hAnsi="宋体"/>
          <w:color w:val="auto"/>
          <w:highlight w:val="none"/>
          <w:lang w:eastAsia="zh-CN"/>
        </w:rPr>
        <w:t>采购人</w:t>
      </w:r>
      <w:r>
        <w:rPr>
          <w:rFonts w:ascii="宋体" w:hAnsi="宋体"/>
          <w:color w:val="auto"/>
          <w:highlight w:val="none"/>
        </w:rPr>
        <w:t>的承诺。</w:t>
      </w:r>
    </w:p>
    <w:p w14:paraId="45A55DED">
      <w:pPr>
        <w:spacing w:line="360" w:lineRule="auto"/>
        <w:ind w:firstLine="422" w:firstLineChars="200"/>
        <w:rPr>
          <w:rFonts w:ascii="宋体" w:hAnsi="宋体"/>
          <w:color w:val="auto"/>
          <w:highlight w:val="none"/>
        </w:rPr>
      </w:pPr>
      <w:r>
        <w:rPr>
          <w:rFonts w:hint="eastAsia" w:ascii="宋体" w:hAnsi="宋体"/>
          <w:b/>
          <w:bCs w:val="0"/>
          <w:color w:val="auto"/>
          <w:highlight w:val="none"/>
          <w:lang w:val="en-US" w:eastAsia="zh-CN"/>
        </w:rPr>
        <w:t>3.4.3</w:t>
      </w:r>
      <w:r>
        <w:rPr>
          <w:rFonts w:hint="eastAsia" w:ascii="宋体" w:hAnsi="宋体"/>
          <w:b w:val="0"/>
          <w:bCs/>
          <w:color w:val="auto"/>
          <w:highlight w:val="none"/>
          <w:lang w:val="en-US" w:eastAsia="zh-CN"/>
        </w:rPr>
        <w:t>响应文件应按谈判采购文件的要求制作成电子响应文件发送到公告指定邮箱。</w:t>
      </w:r>
      <w:bookmarkEnd w:id="49"/>
      <w:bookmarkEnd w:id="50"/>
      <w:bookmarkEnd w:id="51"/>
      <w:bookmarkEnd w:id="52"/>
      <w:bookmarkEnd w:id="53"/>
      <w:bookmarkEnd w:id="54"/>
      <w:bookmarkEnd w:id="55"/>
    </w:p>
    <w:p w14:paraId="00FF788E">
      <w:pPr>
        <w:spacing w:line="360" w:lineRule="auto"/>
        <w:ind w:firstLine="420" w:firstLineChars="200"/>
        <w:rPr>
          <w:rFonts w:ascii="宋体" w:hAnsi="宋体"/>
          <w:color w:val="auto"/>
          <w:highlight w:val="none"/>
        </w:rPr>
      </w:pPr>
    </w:p>
    <w:p w14:paraId="20869335">
      <w:pPr>
        <w:spacing w:line="360" w:lineRule="auto"/>
        <w:ind w:firstLine="420" w:firstLineChars="200"/>
        <w:rPr>
          <w:rFonts w:ascii="宋体" w:hAnsi="宋体"/>
          <w:color w:val="auto"/>
          <w:highlight w:val="none"/>
        </w:rPr>
      </w:pPr>
    </w:p>
    <w:p w14:paraId="74A1E961">
      <w:pPr>
        <w:spacing w:line="360" w:lineRule="auto"/>
        <w:ind w:firstLine="420" w:firstLineChars="200"/>
        <w:rPr>
          <w:rFonts w:ascii="宋体" w:hAnsi="宋体"/>
          <w:color w:val="auto"/>
          <w:highlight w:val="none"/>
        </w:rPr>
      </w:pPr>
    </w:p>
    <w:p w14:paraId="74044BF2">
      <w:pPr>
        <w:spacing w:line="360" w:lineRule="auto"/>
        <w:ind w:firstLine="0" w:firstLineChars="0"/>
        <w:rPr>
          <w:rFonts w:ascii="宋体" w:hAnsi="宋体"/>
          <w:color w:val="auto"/>
          <w:highlight w:val="none"/>
        </w:rPr>
      </w:pPr>
    </w:p>
    <w:bookmarkEnd w:id="56"/>
    <w:bookmarkEnd w:id="57"/>
    <w:bookmarkEnd w:id="58"/>
    <w:p w14:paraId="09500192">
      <w:pPr>
        <w:spacing w:line="360" w:lineRule="auto"/>
        <w:ind w:firstLine="420" w:firstLineChars="200"/>
        <w:rPr>
          <w:rFonts w:hint="eastAsia" w:ascii="宋体" w:hAnsi="宋体"/>
          <w:color w:val="auto"/>
          <w:szCs w:val="21"/>
          <w:highlight w:val="none"/>
        </w:rPr>
      </w:pPr>
      <w:bookmarkStart w:id="76" w:name="_Toc504657631"/>
    </w:p>
    <w:bookmarkEnd w:id="76"/>
    <w:p w14:paraId="4070467E">
      <w:pPr>
        <w:keepNext w:val="0"/>
        <w:keepLines w:val="0"/>
        <w:pageBreakBefore/>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0"/>
        <w:rPr>
          <w:rStyle w:val="23"/>
          <w:rFonts w:hint="eastAsia"/>
          <w:color w:val="auto"/>
          <w:highlight w:val="none"/>
          <w:lang w:val="en-US" w:eastAsia="zh-CN"/>
        </w:rPr>
      </w:pPr>
      <w:bookmarkStart w:id="77" w:name="_Toc23652"/>
      <w:bookmarkStart w:id="78" w:name="_Toc877435142"/>
      <w:bookmarkStart w:id="79" w:name="_Toc29885"/>
      <w:bookmarkStart w:id="80" w:name="_Toc15229"/>
      <w:bookmarkStart w:id="81" w:name="_Toc25020"/>
      <w:bookmarkStart w:id="82" w:name="_Toc3563"/>
      <w:r>
        <w:rPr>
          <w:rStyle w:val="23"/>
          <w:rFonts w:hint="eastAsia"/>
          <w:color w:val="auto"/>
          <w:highlight w:val="none"/>
          <w:lang w:eastAsia="zh-CN"/>
        </w:rPr>
        <w:t>第三章</w:t>
      </w:r>
      <w:r>
        <w:rPr>
          <w:rStyle w:val="23"/>
          <w:rFonts w:hint="eastAsia"/>
          <w:color w:val="auto"/>
          <w:highlight w:val="none"/>
        </w:rPr>
        <w:t xml:space="preserve">  </w:t>
      </w:r>
      <w:r>
        <w:rPr>
          <w:rStyle w:val="23"/>
          <w:rFonts w:hint="eastAsia"/>
          <w:color w:val="auto"/>
          <w:highlight w:val="none"/>
          <w:lang w:val="en-US" w:eastAsia="zh-CN"/>
        </w:rPr>
        <w:t>用户需求</w:t>
      </w:r>
      <w:bookmarkEnd w:id="77"/>
      <w:bookmarkEnd w:id="78"/>
    </w:p>
    <w:bookmarkEnd w:id="79"/>
    <w:bookmarkEnd w:id="80"/>
    <w:bookmarkEnd w:id="81"/>
    <w:bookmarkEnd w:id="82"/>
    <w:p w14:paraId="4AA4B35A">
      <w:pPr>
        <w:pStyle w:val="16"/>
        <w:jc w:val="both"/>
        <w:rPr>
          <w:rFonts w:hint="eastAsia" w:ascii="Arial" w:hAnsi="Arial" w:cs="Arial"/>
          <w:b/>
          <w:bCs w:val="0"/>
          <w:color w:val="000000"/>
          <w:sz w:val="44"/>
          <w:szCs w:val="44"/>
          <w:highlight w:val="none"/>
          <w:lang w:val="en-US" w:eastAsia="zh-CN"/>
        </w:rPr>
      </w:pPr>
    </w:p>
    <w:p w14:paraId="50F89560">
      <w:pPr>
        <w:widowControl w:val="0"/>
        <w:overflowPunct/>
        <w:autoSpaceDE/>
        <w:autoSpaceDN/>
        <w:adjustRightInd/>
        <w:spacing w:after="0" w:line="240" w:lineRule="auto"/>
        <w:jc w:val="both"/>
        <w:textAlignment w:val="auto"/>
        <w:rPr>
          <w:rFonts w:hint="default" w:ascii="Arial" w:hAnsi="Arial" w:eastAsia="宋体" w:cs="Arial"/>
          <w:b/>
          <w:bCs/>
          <w:kern w:val="2"/>
          <w:sz w:val="32"/>
          <w:szCs w:val="32"/>
          <w:lang w:val="en-US" w:eastAsia="zh-CN"/>
        </w:rPr>
      </w:pPr>
      <w:r>
        <w:rPr>
          <w:rFonts w:hint="default" w:ascii="Arial" w:hAnsi="Arial" w:eastAsia="宋体" w:cs="Arial"/>
          <w:b/>
          <w:bCs/>
          <w:kern w:val="2"/>
          <w:sz w:val="32"/>
          <w:szCs w:val="32"/>
          <w:lang w:val="en-US" w:eastAsia="zh-CN"/>
        </w:rPr>
        <w:t>AHM810 2018 IATA SGHA</w:t>
      </w:r>
    </w:p>
    <w:p w14:paraId="7795CC31">
      <w:pPr>
        <w:widowControl w:val="0"/>
        <w:overflowPunct/>
        <w:autoSpaceDE/>
        <w:autoSpaceDN/>
        <w:adjustRightInd/>
        <w:spacing w:after="0" w:line="240" w:lineRule="auto"/>
        <w:jc w:val="both"/>
        <w:textAlignment w:val="auto"/>
        <w:rPr>
          <w:rFonts w:hint="default" w:ascii="Arial" w:hAnsi="Arial" w:eastAsia="宋体" w:cs="Arial"/>
          <w:b/>
          <w:bCs/>
          <w:kern w:val="2"/>
          <w:sz w:val="32"/>
          <w:szCs w:val="32"/>
          <w:highlight w:val="none"/>
          <w:lang w:val="en-US" w:eastAsia="zh-CN"/>
        </w:rPr>
      </w:pPr>
      <w:r>
        <w:rPr>
          <w:rFonts w:hint="default" w:ascii="Arial" w:hAnsi="Arial" w:eastAsia="宋体" w:cs="Arial"/>
          <w:b/>
          <w:bCs/>
          <w:kern w:val="2"/>
          <w:sz w:val="32"/>
          <w:szCs w:val="32"/>
          <w:highlight w:val="none"/>
          <w:lang w:val="en-US" w:eastAsia="zh-CN"/>
        </w:rPr>
        <w:t>YYZ Cargo Handling Required Service</w:t>
      </w:r>
    </w:p>
    <w:p w14:paraId="2E0153AD">
      <w:pPr>
        <w:rPr>
          <w:rFonts w:hint="default" w:ascii="Arial" w:hAnsi="Arial" w:eastAsia="宋体" w:cs="Arial"/>
          <w:szCs w:val="22"/>
        </w:rPr>
      </w:pPr>
    </w:p>
    <w:p w14:paraId="0AC4649E">
      <w:pPr>
        <w:widowControl w:val="0"/>
        <w:ind w:left="720"/>
        <w:contextualSpacing/>
        <w:jc w:val="both"/>
        <w:rPr>
          <w:rFonts w:hint="default" w:ascii="Arial" w:hAnsi="Arial" w:eastAsia="宋体" w:cs="Arial"/>
          <w:b/>
          <w:kern w:val="2"/>
          <w:sz w:val="21"/>
          <w:szCs w:val="22"/>
          <w:lang w:val="en-US" w:eastAsia="zh-CN" w:bidi="ar-SA"/>
        </w:rPr>
      </w:pPr>
      <w:r>
        <w:rPr>
          <w:rFonts w:hint="default" w:ascii="Arial" w:hAnsi="Arial" w:eastAsia="宋体" w:cs="Arial"/>
          <w:b/>
          <w:kern w:val="2"/>
          <w:sz w:val="21"/>
          <w:szCs w:val="22"/>
          <w:lang w:val="en-US" w:eastAsia="zh-CN" w:bidi="ar-SA"/>
        </w:rPr>
        <w:t>SECTION 1: Managing Functions</w:t>
      </w:r>
    </w:p>
    <w:p w14:paraId="5F14C0B6">
      <w:pPr>
        <w:widowControl w:val="0"/>
        <w:ind w:left="720"/>
        <w:contextualSpacing/>
        <w:jc w:val="both"/>
        <w:rPr>
          <w:rFonts w:hint="default" w:ascii="Arial" w:hAnsi="Arial" w:eastAsia="宋体" w:cs="Arial"/>
          <w:b/>
          <w:kern w:val="2"/>
          <w:sz w:val="21"/>
          <w:szCs w:val="22"/>
          <w:lang w:val="en-US" w:eastAsia="zh-CN" w:bidi="ar-SA"/>
        </w:rPr>
      </w:pPr>
    </w:p>
    <w:p w14:paraId="200F7229">
      <w:pPr>
        <w:widowControl w:val="0"/>
        <w:numPr>
          <w:ilvl w:val="1"/>
          <w:numId w:val="1"/>
        </w:numPr>
        <w:spacing w:after="0"/>
        <w:ind w:left="1090" w:hanging="370"/>
        <w:contextualSpacing/>
        <w:jc w:val="both"/>
        <w:rPr>
          <w:rFonts w:hint="default" w:ascii="Arial" w:hAnsi="Arial" w:eastAsia="宋体" w:cs="Arial"/>
          <w:b/>
          <w:kern w:val="2"/>
          <w:sz w:val="21"/>
          <w:szCs w:val="22"/>
          <w:lang w:val="en-US" w:eastAsia="zh-CN" w:bidi="ar-SA"/>
        </w:rPr>
      </w:pPr>
      <w:r>
        <w:rPr>
          <w:rFonts w:hint="default" w:ascii="Arial" w:hAnsi="Arial" w:eastAsia="宋体" w:cs="Arial"/>
          <w:b/>
          <w:kern w:val="2"/>
          <w:sz w:val="21"/>
          <w:szCs w:val="22"/>
          <w:lang w:val="en-US" w:eastAsia="zh-CN" w:bidi="ar-SA"/>
        </w:rPr>
        <w:t xml:space="preserve">   Representation</w:t>
      </w:r>
    </w:p>
    <w:p w14:paraId="27C0C221">
      <w:pPr>
        <w:spacing w:after="0"/>
        <w:ind w:left="720"/>
        <w:rPr>
          <w:rFonts w:hint="default" w:ascii="Arial" w:hAnsi="Arial" w:eastAsia="宋体" w:cs="Arial"/>
          <w:szCs w:val="22"/>
        </w:rPr>
      </w:pPr>
      <w:r>
        <w:rPr>
          <w:rFonts w:hint="default" w:ascii="Arial" w:hAnsi="Arial" w:eastAsia="宋体" w:cs="Arial"/>
          <w:szCs w:val="22"/>
        </w:rPr>
        <w:t xml:space="preserve">1.1.2 </w:t>
      </w:r>
      <w:r>
        <w:rPr>
          <w:rFonts w:hint="default" w:ascii="Arial" w:hAnsi="Arial" w:eastAsia="宋体" w:cs="Arial"/>
          <w:szCs w:val="22"/>
          <w:lang w:val="en-US" w:eastAsia="zh-CN"/>
        </w:rPr>
        <w:t xml:space="preserve"> </w:t>
      </w:r>
      <w:r>
        <w:rPr>
          <w:rFonts w:hint="default" w:ascii="Arial" w:hAnsi="Arial" w:eastAsia="宋体" w:cs="Arial"/>
          <w:szCs w:val="22"/>
        </w:rPr>
        <w:t>Liaise with local authorities</w:t>
      </w:r>
    </w:p>
    <w:p w14:paraId="011B8448">
      <w:pPr>
        <w:spacing w:after="0"/>
        <w:ind w:left="720"/>
        <w:rPr>
          <w:rFonts w:hint="default" w:ascii="Arial" w:hAnsi="Arial" w:eastAsia="宋体" w:cs="Arial"/>
          <w:szCs w:val="22"/>
        </w:rPr>
      </w:pPr>
      <w:r>
        <w:rPr>
          <w:rFonts w:hint="default" w:ascii="Arial" w:hAnsi="Arial" w:eastAsia="宋体" w:cs="Arial"/>
          <w:szCs w:val="22"/>
        </w:rPr>
        <w:t>1.1.3</w:t>
      </w:r>
      <w:r>
        <w:rPr>
          <w:rFonts w:hint="default" w:ascii="Arial" w:hAnsi="Arial" w:eastAsia="宋体" w:cs="Arial"/>
          <w:szCs w:val="22"/>
          <w:lang w:val="en-US" w:eastAsia="zh-CN"/>
        </w:rPr>
        <w:t xml:space="preserve">  </w:t>
      </w:r>
      <w:r>
        <w:rPr>
          <w:rFonts w:hint="default" w:ascii="Arial" w:hAnsi="Arial" w:eastAsia="宋体" w:cs="Arial"/>
          <w:szCs w:val="22"/>
        </w:rPr>
        <w:t>Indicate that the Handling Company is acting as handling agent for the Carrier</w:t>
      </w:r>
    </w:p>
    <w:p w14:paraId="55AB2594">
      <w:pPr>
        <w:spacing w:after="0"/>
        <w:ind w:left="720"/>
        <w:rPr>
          <w:rFonts w:hint="default" w:ascii="Arial" w:hAnsi="Arial" w:eastAsia="宋体" w:cs="Arial"/>
          <w:szCs w:val="22"/>
        </w:rPr>
      </w:pPr>
      <w:r>
        <w:rPr>
          <w:rFonts w:hint="default" w:ascii="Arial" w:hAnsi="Arial" w:eastAsia="宋体" w:cs="Arial"/>
          <w:szCs w:val="22"/>
        </w:rPr>
        <w:t xml:space="preserve">1.1.4 </w:t>
      </w:r>
      <w:r>
        <w:rPr>
          <w:rFonts w:hint="default" w:ascii="Arial" w:hAnsi="Arial" w:eastAsia="宋体" w:cs="Arial"/>
          <w:szCs w:val="22"/>
          <w:lang w:val="en-US" w:eastAsia="zh-CN"/>
        </w:rPr>
        <w:t xml:space="preserve"> </w:t>
      </w:r>
      <w:r>
        <w:rPr>
          <w:rFonts w:hint="default" w:ascii="Arial" w:hAnsi="Arial" w:eastAsia="宋体" w:cs="Arial"/>
          <w:szCs w:val="22"/>
        </w:rPr>
        <w:t>Inform all interested Parties concerning schedules of the Carrier’s aircraft</w:t>
      </w:r>
    </w:p>
    <w:p w14:paraId="2627983B">
      <w:pPr>
        <w:spacing w:after="0"/>
        <w:ind w:left="720"/>
        <w:rPr>
          <w:rFonts w:hint="default" w:ascii="Arial" w:hAnsi="Arial" w:eastAsia="宋体" w:cs="Arial"/>
          <w:b/>
          <w:szCs w:val="22"/>
        </w:rPr>
      </w:pPr>
    </w:p>
    <w:p w14:paraId="2F3D2996">
      <w:pPr>
        <w:spacing w:after="0"/>
        <w:ind w:left="720"/>
        <w:rPr>
          <w:rFonts w:hint="default" w:ascii="Arial" w:hAnsi="Arial" w:eastAsia="宋体" w:cs="Arial"/>
          <w:b/>
          <w:szCs w:val="22"/>
        </w:rPr>
      </w:pPr>
      <w:r>
        <w:rPr>
          <w:rFonts w:hint="default" w:ascii="Arial" w:hAnsi="Arial" w:eastAsia="宋体" w:cs="Arial"/>
          <w:b/>
          <w:szCs w:val="22"/>
        </w:rPr>
        <w:t xml:space="preserve">1.2 </w:t>
      </w:r>
      <w:r>
        <w:rPr>
          <w:rFonts w:hint="default" w:ascii="Arial" w:hAnsi="Arial" w:eastAsia="宋体" w:cs="Arial"/>
          <w:b/>
          <w:szCs w:val="22"/>
        </w:rPr>
        <w:tab/>
      </w:r>
      <w:r>
        <w:rPr>
          <w:rFonts w:hint="default" w:ascii="Arial" w:hAnsi="Arial" w:eastAsia="宋体" w:cs="Arial"/>
          <w:b/>
          <w:szCs w:val="22"/>
          <w:lang w:val="en-US" w:eastAsia="zh-CN"/>
        </w:rPr>
        <w:t xml:space="preserve"> </w:t>
      </w:r>
      <w:r>
        <w:rPr>
          <w:rFonts w:hint="default" w:ascii="Arial" w:hAnsi="Arial" w:eastAsia="宋体" w:cs="Arial"/>
          <w:b/>
          <w:szCs w:val="22"/>
        </w:rPr>
        <w:t>Administrative Functions</w:t>
      </w:r>
    </w:p>
    <w:p w14:paraId="48434340">
      <w:pPr>
        <w:spacing w:after="0"/>
        <w:ind w:left="720"/>
        <w:rPr>
          <w:rFonts w:hint="default" w:ascii="Arial" w:hAnsi="Arial" w:eastAsia="宋体" w:cs="Arial"/>
          <w:szCs w:val="22"/>
        </w:rPr>
      </w:pPr>
      <w:r>
        <w:rPr>
          <w:rFonts w:hint="default" w:ascii="Arial" w:hAnsi="Arial" w:eastAsia="宋体" w:cs="Arial"/>
          <w:szCs w:val="22"/>
        </w:rPr>
        <w:t xml:space="preserve">1.2.1 </w:t>
      </w:r>
      <w:r>
        <w:rPr>
          <w:rFonts w:hint="default" w:ascii="Arial" w:hAnsi="Arial" w:eastAsia="宋体" w:cs="Arial"/>
          <w:szCs w:val="22"/>
          <w:lang w:val="en-US" w:eastAsia="zh-CN"/>
        </w:rPr>
        <w:t xml:space="preserve"> </w:t>
      </w:r>
      <w:r>
        <w:rPr>
          <w:rFonts w:hint="default" w:ascii="Arial" w:hAnsi="Arial" w:eastAsia="宋体" w:cs="Arial"/>
          <w:szCs w:val="22"/>
        </w:rPr>
        <w:t>Establish and maintain local procedures</w:t>
      </w:r>
    </w:p>
    <w:p w14:paraId="341B17D0">
      <w:pPr>
        <w:spacing w:after="0"/>
        <w:ind w:left="720"/>
        <w:rPr>
          <w:rFonts w:hint="default" w:ascii="Arial" w:hAnsi="Arial" w:eastAsia="宋体" w:cs="Arial"/>
          <w:szCs w:val="22"/>
        </w:rPr>
      </w:pPr>
      <w:r>
        <w:rPr>
          <w:rFonts w:hint="default" w:ascii="Arial" w:hAnsi="Arial" w:eastAsia="宋体" w:cs="Arial"/>
          <w:szCs w:val="22"/>
        </w:rPr>
        <w:t xml:space="preserve">1.2.2 </w:t>
      </w:r>
      <w:r>
        <w:rPr>
          <w:rFonts w:hint="default" w:ascii="Arial" w:hAnsi="Arial" w:eastAsia="宋体" w:cs="Arial"/>
          <w:szCs w:val="22"/>
          <w:lang w:val="en-US" w:eastAsia="zh-CN"/>
        </w:rPr>
        <w:t xml:space="preserve"> </w:t>
      </w:r>
      <w:r>
        <w:rPr>
          <w:rFonts w:hint="default" w:ascii="Arial" w:hAnsi="Arial" w:eastAsia="宋体" w:cs="Arial"/>
          <w:szCs w:val="22"/>
        </w:rPr>
        <w:t>Take action on communications addressed to the Carrier</w:t>
      </w:r>
    </w:p>
    <w:p w14:paraId="4C38B9B7">
      <w:pPr>
        <w:spacing w:after="0"/>
        <w:ind w:left="1440" w:hanging="720"/>
        <w:jc w:val="both"/>
        <w:rPr>
          <w:rFonts w:hint="default" w:ascii="Arial" w:hAnsi="Arial" w:eastAsia="宋体" w:cs="Arial"/>
          <w:szCs w:val="22"/>
        </w:rPr>
      </w:pPr>
      <w:r>
        <w:rPr>
          <w:rFonts w:hint="default" w:ascii="Arial" w:hAnsi="Arial" w:eastAsia="宋体" w:cs="Arial"/>
          <w:szCs w:val="22"/>
        </w:rPr>
        <w:t xml:space="preserve">1.2.3 </w:t>
      </w:r>
      <w:r>
        <w:rPr>
          <w:rFonts w:hint="default" w:ascii="Arial" w:hAnsi="Arial" w:eastAsia="宋体" w:cs="Arial"/>
          <w:szCs w:val="22"/>
        </w:rPr>
        <w:tab/>
      </w:r>
      <w:r>
        <w:rPr>
          <w:rFonts w:hint="default" w:ascii="Arial" w:hAnsi="Arial" w:eastAsia="宋体" w:cs="Arial"/>
          <w:szCs w:val="22"/>
        </w:rPr>
        <w:t xml:space="preserve">Prepare, forward, file and retain for a period specified in the Annex B, messages/reports/statistics/documents and perform other administrative duties in the following areas </w:t>
      </w:r>
    </w:p>
    <w:p w14:paraId="67FAB850">
      <w:pPr>
        <w:spacing w:after="0"/>
        <w:ind w:left="1440" w:hanging="720"/>
        <w:jc w:val="both"/>
        <w:rPr>
          <w:rFonts w:hint="default" w:ascii="Arial" w:hAnsi="Arial" w:eastAsia="宋体" w:cs="Arial"/>
          <w:szCs w:val="22"/>
        </w:rPr>
      </w:pPr>
      <w:r>
        <w:rPr>
          <w:rFonts w:hint="default" w:ascii="Arial" w:hAnsi="Arial" w:eastAsia="宋体" w:cs="Arial"/>
          <w:szCs w:val="22"/>
        </w:rPr>
        <w:tab/>
      </w:r>
      <w:r>
        <w:rPr>
          <w:rFonts w:hint="default" w:ascii="Arial" w:hAnsi="Arial" w:eastAsia="宋体" w:cs="Arial"/>
          <w:szCs w:val="22"/>
        </w:rPr>
        <w:t>(d) load control</w:t>
      </w:r>
    </w:p>
    <w:p w14:paraId="2072DC18">
      <w:pPr>
        <w:spacing w:after="0"/>
        <w:ind w:left="1440"/>
        <w:rPr>
          <w:rFonts w:hint="default" w:ascii="Arial" w:hAnsi="Arial" w:eastAsia="宋体" w:cs="Arial"/>
          <w:szCs w:val="22"/>
        </w:rPr>
      </w:pPr>
      <w:r>
        <w:rPr>
          <w:rFonts w:hint="default" w:ascii="Arial" w:hAnsi="Arial" w:eastAsia="宋体" w:cs="Arial"/>
          <w:szCs w:val="22"/>
        </w:rPr>
        <w:t>(f) cargo services</w:t>
      </w:r>
    </w:p>
    <w:p w14:paraId="65C73781">
      <w:pPr>
        <w:widowControl w:val="0"/>
        <w:numPr>
          <w:ilvl w:val="0"/>
          <w:numId w:val="2"/>
        </w:numPr>
        <w:tabs>
          <w:tab w:val="left" w:pos="484"/>
          <w:tab w:val="left" w:pos="840"/>
        </w:tabs>
        <w:kinsoku w:val="0"/>
        <w:overflowPunct w:val="0"/>
        <w:spacing w:after="0" w:line="276" w:lineRule="auto"/>
        <w:ind w:left="1800" w:hanging="360"/>
        <w:contextualSpacing/>
        <w:jc w:val="both"/>
        <w:rPr>
          <w:rFonts w:hint="default" w:ascii="Arial" w:hAnsi="Arial" w:eastAsia="宋体" w:cs="Arial"/>
          <w:bCs/>
          <w:kern w:val="2"/>
          <w:sz w:val="21"/>
          <w:szCs w:val="22"/>
          <w:lang w:val="en-US" w:eastAsia="zh-CN" w:bidi="ar-SA"/>
        </w:rPr>
      </w:pPr>
      <w:r>
        <w:rPr>
          <w:rFonts w:hint="default" w:ascii="Arial" w:hAnsi="Arial" w:eastAsia="宋体" w:cs="Arial"/>
          <w:bCs/>
          <w:kern w:val="2"/>
          <w:sz w:val="21"/>
          <w:szCs w:val="22"/>
          <w:lang w:val="en-US" w:eastAsia="zh-CN" w:bidi="ar-SA"/>
        </w:rPr>
        <w:t xml:space="preserve"> mail services</w:t>
      </w:r>
    </w:p>
    <w:p w14:paraId="413E6DBA">
      <w:pPr>
        <w:widowControl w:val="0"/>
        <w:numPr>
          <w:ilvl w:val="0"/>
          <w:numId w:val="2"/>
        </w:numPr>
        <w:tabs>
          <w:tab w:val="left" w:pos="484"/>
          <w:tab w:val="left" w:pos="840"/>
        </w:tabs>
        <w:kinsoku w:val="0"/>
        <w:overflowPunct w:val="0"/>
        <w:spacing w:after="0" w:line="276" w:lineRule="auto"/>
        <w:ind w:left="1800" w:hanging="360"/>
        <w:contextualSpacing/>
        <w:jc w:val="both"/>
        <w:rPr>
          <w:rFonts w:hint="default" w:ascii="Arial" w:hAnsi="Arial" w:eastAsia="宋体" w:cs="Arial"/>
          <w:bCs/>
          <w:kern w:val="2"/>
          <w:sz w:val="21"/>
          <w:szCs w:val="22"/>
          <w:lang w:val="en-US" w:eastAsia="zh-CN" w:bidi="ar-SA"/>
        </w:rPr>
      </w:pPr>
      <w:r>
        <w:rPr>
          <w:rFonts w:hint="default" w:ascii="Arial" w:hAnsi="Arial" w:eastAsia="宋体" w:cs="Arial"/>
          <w:bCs/>
          <w:kern w:val="2"/>
          <w:sz w:val="21"/>
          <w:szCs w:val="22"/>
          <w:lang w:val="en-US" w:eastAsia="zh-CN" w:bidi="ar-SA"/>
        </w:rPr>
        <w:t xml:space="preserve"> security</w:t>
      </w:r>
    </w:p>
    <w:p w14:paraId="6FA43A93">
      <w:pPr>
        <w:spacing w:after="0"/>
        <w:ind w:left="1440"/>
        <w:rPr>
          <w:rFonts w:hint="default" w:ascii="Arial" w:hAnsi="Arial" w:eastAsia="宋体" w:cs="Arial"/>
          <w:szCs w:val="22"/>
        </w:rPr>
      </w:pPr>
    </w:p>
    <w:p w14:paraId="4DD458D4">
      <w:pPr>
        <w:spacing w:after="0"/>
        <w:ind w:left="1440" w:hanging="720"/>
        <w:jc w:val="both"/>
        <w:rPr>
          <w:rFonts w:hint="default" w:ascii="Arial" w:hAnsi="Arial" w:eastAsia="宋体" w:cs="Arial"/>
          <w:szCs w:val="22"/>
        </w:rPr>
      </w:pPr>
      <w:r>
        <w:rPr>
          <w:rFonts w:hint="default" w:ascii="Arial" w:hAnsi="Arial" w:eastAsia="宋体" w:cs="Arial"/>
          <w:szCs w:val="22"/>
        </w:rPr>
        <w:t xml:space="preserve">1.2.4 </w:t>
      </w:r>
      <w:r>
        <w:rPr>
          <w:rFonts w:hint="default" w:ascii="Arial" w:hAnsi="Arial" w:eastAsia="宋体" w:cs="Arial"/>
          <w:szCs w:val="22"/>
        </w:rPr>
        <w:tab/>
      </w:r>
      <w:r>
        <w:rPr>
          <w:rFonts w:hint="default" w:ascii="Arial" w:hAnsi="Arial" w:eastAsia="宋体" w:cs="Arial"/>
          <w:szCs w:val="22"/>
        </w:rPr>
        <w:t>Maintain the Carrier’s manuals, circulars, and other operational documents connected with the performance of the services</w:t>
      </w:r>
    </w:p>
    <w:p w14:paraId="4C8F6ADC">
      <w:pPr>
        <w:spacing w:after="0"/>
        <w:rPr>
          <w:rFonts w:hint="default" w:ascii="Arial" w:hAnsi="Arial" w:eastAsia="宋体" w:cs="Arial"/>
          <w:szCs w:val="22"/>
        </w:rPr>
      </w:pPr>
    </w:p>
    <w:p w14:paraId="5A99D930">
      <w:pPr>
        <w:spacing w:after="0"/>
        <w:ind w:left="720"/>
        <w:rPr>
          <w:rFonts w:hint="default" w:ascii="Arial" w:hAnsi="Arial" w:eastAsia="宋体" w:cs="Arial"/>
          <w:b/>
          <w:szCs w:val="22"/>
        </w:rPr>
      </w:pPr>
      <w:r>
        <w:rPr>
          <w:rFonts w:hint="default" w:ascii="Arial" w:hAnsi="Arial" w:eastAsia="宋体" w:cs="Arial"/>
          <w:b/>
          <w:szCs w:val="22"/>
        </w:rPr>
        <w:t>1.3</w:t>
      </w:r>
      <w:r>
        <w:rPr>
          <w:rFonts w:hint="default" w:ascii="Arial" w:hAnsi="Arial" w:eastAsia="宋体" w:cs="Arial"/>
          <w:b/>
          <w:szCs w:val="22"/>
        </w:rPr>
        <w:tab/>
      </w:r>
      <w:r>
        <w:rPr>
          <w:rFonts w:hint="default" w:ascii="Arial" w:hAnsi="Arial" w:eastAsia="宋体" w:cs="Arial"/>
          <w:b/>
          <w:szCs w:val="22"/>
        </w:rPr>
        <w:t>Supervision and/or Co-ordination</w:t>
      </w:r>
    </w:p>
    <w:p w14:paraId="419F2203">
      <w:pPr>
        <w:spacing w:after="0"/>
        <w:ind w:left="720"/>
        <w:rPr>
          <w:rFonts w:hint="default" w:ascii="Arial" w:hAnsi="Arial" w:eastAsia="宋体" w:cs="Arial"/>
          <w:szCs w:val="22"/>
        </w:rPr>
      </w:pPr>
      <w:r>
        <w:rPr>
          <w:rFonts w:hint="default" w:ascii="Arial" w:hAnsi="Arial" w:eastAsia="宋体" w:cs="Arial"/>
          <w:szCs w:val="22"/>
        </w:rPr>
        <w:t xml:space="preserve">1.3.1 </w:t>
      </w:r>
      <w:r>
        <w:rPr>
          <w:rFonts w:hint="default" w:ascii="Arial" w:hAnsi="Arial" w:eastAsia="宋体" w:cs="Arial"/>
          <w:szCs w:val="22"/>
          <w:lang w:val="en-US" w:eastAsia="zh-CN"/>
        </w:rPr>
        <w:t xml:space="preserve"> </w:t>
      </w:r>
      <w:r>
        <w:rPr>
          <w:rFonts w:hint="default" w:ascii="Arial" w:hAnsi="Arial" w:eastAsia="宋体" w:cs="Arial"/>
          <w:szCs w:val="22"/>
        </w:rPr>
        <w:t>(b) Co-ordinate</w:t>
      </w:r>
    </w:p>
    <w:p w14:paraId="34AD8912">
      <w:pPr>
        <w:spacing w:after="0"/>
        <w:ind w:left="720" w:firstLine="720"/>
        <w:rPr>
          <w:rFonts w:hint="default" w:ascii="Arial" w:hAnsi="Arial" w:eastAsia="宋体" w:cs="Arial"/>
          <w:szCs w:val="22"/>
        </w:rPr>
      </w:pPr>
      <w:r>
        <w:rPr>
          <w:rFonts w:hint="default" w:ascii="Arial" w:hAnsi="Arial" w:eastAsia="宋体" w:cs="Arial"/>
          <w:szCs w:val="22"/>
        </w:rPr>
        <w:t>services contracted by the Carrier with third party(ies)</w:t>
      </w:r>
    </w:p>
    <w:p w14:paraId="460C60E7">
      <w:pPr>
        <w:spacing w:after="0"/>
        <w:ind w:left="1440" w:hanging="720"/>
        <w:jc w:val="both"/>
        <w:rPr>
          <w:rFonts w:hint="default" w:ascii="Arial" w:hAnsi="Arial" w:eastAsia="宋体" w:cs="Arial"/>
          <w:szCs w:val="22"/>
        </w:rPr>
      </w:pPr>
      <w:r>
        <w:rPr>
          <w:rFonts w:hint="default" w:ascii="Arial" w:hAnsi="Arial" w:eastAsia="宋体" w:cs="Arial"/>
          <w:szCs w:val="22"/>
        </w:rPr>
        <w:t xml:space="preserve">1.3.3 </w:t>
      </w:r>
      <w:r>
        <w:rPr>
          <w:rFonts w:hint="default" w:ascii="Arial" w:hAnsi="Arial" w:eastAsia="宋体" w:cs="Arial"/>
          <w:szCs w:val="22"/>
        </w:rPr>
        <w:tab/>
      </w:r>
      <w:r>
        <w:rPr>
          <w:rFonts w:hint="default" w:ascii="Arial" w:hAnsi="Arial" w:eastAsia="宋体" w:cs="Arial"/>
          <w:szCs w:val="22"/>
        </w:rPr>
        <w:t>Ensure that the third party(ies) is(are) informed about operational data and Carrier’s requirements in a timely manner</w:t>
      </w:r>
    </w:p>
    <w:p w14:paraId="58091DC9">
      <w:pPr>
        <w:spacing w:after="0"/>
        <w:ind w:left="720"/>
        <w:rPr>
          <w:rFonts w:hint="default" w:ascii="Arial" w:hAnsi="Arial" w:eastAsia="宋体" w:cs="Arial"/>
          <w:szCs w:val="22"/>
        </w:rPr>
      </w:pPr>
      <w:r>
        <w:rPr>
          <w:rFonts w:hint="default" w:ascii="Arial" w:hAnsi="Arial" w:eastAsia="宋体" w:cs="Arial"/>
          <w:szCs w:val="22"/>
        </w:rPr>
        <w:t xml:space="preserve">1.3.8 </w:t>
      </w:r>
      <w:r>
        <w:rPr>
          <w:rFonts w:hint="default" w:ascii="Arial" w:hAnsi="Arial" w:eastAsia="宋体" w:cs="Arial"/>
          <w:szCs w:val="22"/>
          <w:lang w:val="en-US" w:eastAsia="zh-CN"/>
        </w:rPr>
        <w:t xml:space="preserve"> </w:t>
      </w:r>
      <w:r>
        <w:rPr>
          <w:rFonts w:hint="default" w:ascii="Arial" w:hAnsi="Arial" w:eastAsia="宋体" w:cs="Arial"/>
          <w:szCs w:val="22"/>
        </w:rPr>
        <w:t>Verify dispatch of operational messages (cargo only)</w:t>
      </w:r>
    </w:p>
    <w:p w14:paraId="4C12A121">
      <w:pPr>
        <w:spacing w:after="0"/>
        <w:ind w:left="720"/>
        <w:rPr>
          <w:rFonts w:hint="default" w:ascii="Arial" w:hAnsi="Arial" w:eastAsia="宋体" w:cs="Arial"/>
          <w:szCs w:val="22"/>
        </w:rPr>
      </w:pPr>
      <w:r>
        <w:rPr>
          <w:rFonts w:hint="default" w:ascii="Arial" w:hAnsi="Arial" w:eastAsia="宋体" w:cs="Arial"/>
          <w:szCs w:val="22"/>
        </w:rPr>
        <w:t xml:space="preserve">1.3.9 </w:t>
      </w:r>
      <w:r>
        <w:rPr>
          <w:rFonts w:hint="default" w:ascii="Arial" w:hAnsi="Arial" w:eastAsia="宋体" w:cs="Arial"/>
          <w:szCs w:val="22"/>
          <w:lang w:val="en-US" w:eastAsia="zh-CN"/>
        </w:rPr>
        <w:t xml:space="preserve"> </w:t>
      </w:r>
      <w:r>
        <w:rPr>
          <w:rFonts w:hint="default" w:ascii="Arial" w:hAnsi="Arial" w:eastAsia="宋体" w:cs="Arial"/>
          <w:szCs w:val="22"/>
        </w:rPr>
        <w:t>Note irregularities and inform the Carrier</w:t>
      </w:r>
    </w:p>
    <w:p w14:paraId="7C103A82">
      <w:pPr>
        <w:spacing w:after="0"/>
        <w:ind w:left="720"/>
        <w:rPr>
          <w:rFonts w:hint="default" w:ascii="Arial" w:hAnsi="Arial" w:eastAsia="宋体" w:cs="Arial"/>
          <w:b/>
          <w:szCs w:val="22"/>
        </w:rPr>
      </w:pPr>
    </w:p>
    <w:p w14:paraId="594D7AA0">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SECTION 4: Load Control and Flight Operations</w:t>
      </w:r>
    </w:p>
    <w:p w14:paraId="46C0663B">
      <w:pPr>
        <w:autoSpaceDE w:val="0"/>
        <w:autoSpaceDN w:val="0"/>
        <w:adjustRightInd w:val="0"/>
        <w:spacing w:after="0" w:line="240" w:lineRule="auto"/>
        <w:ind w:firstLine="720"/>
        <w:rPr>
          <w:rFonts w:hint="default" w:ascii="Arial" w:hAnsi="Arial" w:eastAsia="宋体" w:cs="Arial"/>
          <w:b/>
          <w:szCs w:val="22"/>
        </w:rPr>
      </w:pPr>
    </w:p>
    <w:p w14:paraId="586EBD8C">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4.2 </w:t>
      </w:r>
      <w:r>
        <w:rPr>
          <w:rFonts w:hint="default" w:ascii="Arial" w:hAnsi="Arial" w:eastAsia="宋体" w:cs="Arial"/>
          <w:b/>
          <w:szCs w:val="22"/>
        </w:rPr>
        <w:tab/>
      </w:r>
      <w:r>
        <w:rPr>
          <w:rFonts w:hint="default" w:ascii="Arial" w:hAnsi="Arial" w:eastAsia="宋体" w:cs="Arial"/>
          <w:b/>
          <w:szCs w:val="22"/>
        </w:rPr>
        <w:t>Communications</w:t>
      </w:r>
    </w:p>
    <w:p w14:paraId="1064CE29">
      <w:pPr>
        <w:autoSpaceDE w:val="0"/>
        <w:autoSpaceDN w:val="0"/>
        <w:adjustRightInd w:val="0"/>
        <w:spacing w:after="0" w:line="240" w:lineRule="auto"/>
        <w:ind w:left="1440" w:hanging="720"/>
        <w:jc w:val="both"/>
        <w:rPr>
          <w:rFonts w:hint="default" w:ascii="Arial" w:hAnsi="Arial" w:eastAsia="宋体" w:cs="Arial"/>
          <w:szCs w:val="22"/>
        </w:rPr>
      </w:pPr>
      <w:r>
        <w:rPr>
          <w:rFonts w:hint="default" w:ascii="Arial" w:hAnsi="Arial" w:eastAsia="宋体" w:cs="Arial"/>
          <w:szCs w:val="22"/>
        </w:rPr>
        <w:t xml:space="preserve">4.2.2 </w:t>
      </w:r>
      <w:r>
        <w:rPr>
          <w:rFonts w:hint="default" w:ascii="Arial" w:hAnsi="Arial" w:eastAsia="宋体" w:cs="Arial"/>
          <w:szCs w:val="22"/>
        </w:rPr>
        <w:tab/>
      </w:r>
      <w:r>
        <w:rPr>
          <w:rFonts w:hint="default" w:ascii="Arial" w:hAnsi="Arial" w:eastAsia="宋体" w:cs="Arial"/>
          <w:szCs w:val="22"/>
        </w:rPr>
        <w:t>(a) Compile, receive, process and send all messages in connection with the services performed by the Handling Company. The Handling Company is authorized to use Carrier’s originator code or double signature procedure</w:t>
      </w:r>
    </w:p>
    <w:p w14:paraId="1F40A34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Inform the Carrier’s representative of the contents of such messages</w:t>
      </w:r>
    </w:p>
    <w:p w14:paraId="093C0428">
      <w:pPr>
        <w:autoSpaceDE w:val="0"/>
        <w:autoSpaceDN w:val="0"/>
        <w:adjustRightInd w:val="0"/>
        <w:spacing w:after="0" w:line="240" w:lineRule="auto"/>
        <w:rPr>
          <w:rFonts w:hint="default" w:ascii="Arial" w:hAnsi="Arial" w:eastAsia="宋体" w:cs="Arial"/>
          <w:szCs w:val="22"/>
        </w:rPr>
      </w:pPr>
    </w:p>
    <w:p w14:paraId="5CDA781D">
      <w:pPr>
        <w:widowControl w:val="0"/>
        <w:ind w:left="720"/>
        <w:contextualSpacing/>
        <w:jc w:val="both"/>
        <w:rPr>
          <w:rFonts w:hint="default" w:ascii="Arial" w:hAnsi="Arial" w:eastAsia="宋体" w:cs="Arial"/>
          <w:b/>
          <w:kern w:val="2"/>
          <w:sz w:val="21"/>
          <w:szCs w:val="22"/>
          <w:lang w:val="en-US" w:eastAsia="zh-CN" w:bidi="ar-SA"/>
        </w:rPr>
      </w:pPr>
      <w:r>
        <w:rPr>
          <w:rFonts w:hint="default" w:ascii="Arial" w:hAnsi="Arial" w:eastAsia="宋体" w:cs="Arial"/>
          <w:b/>
          <w:kern w:val="2"/>
          <w:sz w:val="21"/>
          <w:szCs w:val="22"/>
          <w:lang w:val="en-US" w:eastAsia="zh-CN" w:bidi="ar-SA"/>
        </w:rPr>
        <w:t>SECTION 5: Cargo and Mail Warehouse Services</w:t>
      </w:r>
    </w:p>
    <w:p w14:paraId="2B959ED8">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5.1 </w:t>
      </w:r>
      <w:r>
        <w:rPr>
          <w:rFonts w:hint="default" w:ascii="Arial" w:hAnsi="Arial" w:eastAsia="宋体" w:cs="Arial"/>
          <w:b/>
          <w:szCs w:val="22"/>
        </w:rPr>
        <w:tab/>
      </w:r>
      <w:r>
        <w:rPr>
          <w:rFonts w:hint="default" w:ascii="Arial" w:hAnsi="Arial" w:eastAsia="宋体" w:cs="Arial"/>
          <w:b/>
          <w:szCs w:val="22"/>
        </w:rPr>
        <w:t>Cargo and Mail Handling – General</w:t>
      </w:r>
    </w:p>
    <w:p w14:paraId="18620C12">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5.1.1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09AF1193">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1 warehouse and storage facility(ies)</w:t>
      </w:r>
    </w:p>
    <w:p w14:paraId="78CA7B1C">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2 warehouse handling equipment</w:t>
      </w:r>
    </w:p>
    <w:p w14:paraId="5F3E74DE">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3 warehouse handling services</w:t>
      </w:r>
    </w:p>
    <w:p w14:paraId="6748729E">
      <w:pPr>
        <w:autoSpaceDE w:val="0"/>
        <w:autoSpaceDN w:val="0"/>
        <w:adjustRightInd w:val="0"/>
        <w:spacing w:after="0" w:line="240" w:lineRule="auto"/>
        <w:ind w:left="1440" w:firstLine="420" w:firstLineChars="200"/>
        <w:rPr>
          <w:rFonts w:hint="default" w:ascii="Arial" w:hAnsi="Arial" w:eastAsia="宋体" w:cs="Arial"/>
          <w:szCs w:val="22"/>
        </w:rPr>
      </w:pPr>
      <w:r>
        <w:rPr>
          <w:rFonts w:hint="default" w:ascii="Arial" w:hAnsi="Arial" w:eastAsia="宋体" w:cs="Arial"/>
          <w:szCs w:val="22"/>
          <w:lang w:val="en-US" w:eastAsia="zh-CN"/>
        </w:rPr>
        <w:t>for</w:t>
      </w:r>
    </w:p>
    <w:p w14:paraId="6ABA451E">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(i)  General cargo</w:t>
      </w:r>
    </w:p>
    <w:p w14:paraId="1523D26C">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(ii)  Special shipments</w:t>
      </w:r>
    </w:p>
    <w:p w14:paraId="26CF5AE2">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 xml:space="preserve">(iii) </w:t>
      </w:r>
      <w:r>
        <w:rPr>
          <w:rFonts w:hint="default" w:ascii="Arial" w:hAnsi="Arial" w:eastAsia="宋体" w:cs="Arial"/>
          <w:szCs w:val="22"/>
          <w:lang w:val="en-US" w:eastAsia="zh-CN"/>
        </w:rPr>
        <w:t xml:space="preserve"> </w:t>
      </w:r>
      <w:r>
        <w:rPr>
          <w:rFonts w:hint="default" w:ascii="Arial" w:hAnsi="Arial" w:eastAsia="宋体" w:cs="Arial"/>
          <w:szCs w:val="22"/>
        </w:rPr>
        <w:t>Specialised cargo products</w:t>
      </w:r>
    </w:p>
    <w:p w14:paraId="6B084CFE">
      <w:pPr>
        <w:autoSpaceDE w:val="0"/>
        <w:autoSpaceDN w:val="0"/>
        <w:adjustRightInd w:val="0"/>
        <w:spacing w:after="0" w:line="240" w:lineRule="auto"/>
        <w:ind w:firstLine="720"/>
        <w:rPr>
          <w:rFonts w:hint="default" w:ascii="Arial" w:hAnsi="Arial" w:eastAsia="宋体" w:cs="Arial"/>
          <w:szCs w:val="22"/>
        </w:rPr>
      </w:pPr>
    </w:p>
    <w:p w14:paraId="20FD8664">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 xml:space="preserve">(iv) </w:t>
      </w:r>
      <w:r>
        <w:rPr>
          <w:rFonts w:hint="default" w:ascii="Arial" w:hAnsi="Arial" w:eastAsia="宋体" w:cs="Arial"/>
          <w:szCs w:val="22"/>
          <w:lang w:val="en-US" w:eastAsia="zh-CN"/>
        </w:rPr>
        <w:t xml:space="preserve"> </w:t>
      </w:r>
      <w:r>
        <w:rPr>
          <w:rFonts w:hint="default" w:ascii="Arial" w:hAnsi="Arial" w:eastAsia="宋体" w:cs="Arial"/>
          <w:szCs w:val="22"/>
        </w:rPr>
        <w:t>Post office mail</w:t>
      </w:r>
    </w:p>
    <w:p w14:paraId="453A62E7">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(v)  Diplomatic mail</w:t>
      </w:r>
    </w:p>
    <w:p w14:paraId="23099AD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(vi) Diplomatic cargo</w:t>
      </w:r>
    </w:p>
    <w:p w14:paraId="0A8DF18B">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(vii) Company cargo/material</w:t>
      </w:r>
    </w:p>
    <w:p w14:paraId="4BD9AEBF">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5.1.2 </w:t>
      </w:r>
      <w:r>
        <w:rPr>
          <w:rFonts w:hint="default" w:ascii="Arial" w:hAnsi="Arial" w:eastAsia="宋体" w:cs="Arial"/>
          <w:szCs w:val="22"/>
          <w:lang w:val="en-US" w:eastAsia="zh-CN"/>
        </w:rPr>
        <w:t xml:space="preserve"> </w:t>
      </w:r>
      <w:r>
        <w:rPr>
          <w:rFonts w:hint="default" w:ascii="Arial" w:hAnsi="Arial" w:eastAsia="宋体" w:cs="Arial"/>
          <w:szCs w:val="22"/>
        </w:rPr>
        <w:t>(a) Issue</w:t>
      </w:r>
    </w:p>
    <w:p w14:paraId="68DD3912">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 xml:space="preserve">(c) Make available to Carrier </w:t>
      </w:r>
    </w:p>
    <w:p w14:paraId="36D310AF">
      <w:pPr>
        <w:autoSpaceDE w:val="0"/>
        <w:autoSpaceDN w:val="0"/>
        <w:adjustRightInd w:val="0"/>
        <w:spacing w:after="0" w:line="240" w:lineRule="auto"/>
        <w:ind w:left="720" w:firstLine="1050" w:firstLineChars="500"/>
        <w:rPr>
          <w:rFonts w:hint="default" w:ascii="Arial" w:hAnsi="Arial" w:eastAsia="宋体" w:cs="Arial"/>
          <w:szCs w:val="22"/>
        </w:rPr>
      </w:pPr>
      <w:r>
        <w:rPr>
          <w:rFonts w:hint="default" w:ascii="Arial" w:hAnsi="Arial" w:eastAsia="宋体" w:cs="Arial"/>
          <w:szCs w:val="22"/>
        </w:rPr>
        <w:t>Receipt upon delivery of cargo</w:t>
      </w:r>
    </w:p>
    <w:p w14:paraId="1BA90CD3">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5.1.3 </w:t>
      </w:r>
      <w:r>
        <w:rPr>
          <w:rFonts w:hint="default" w:ascii="Arial" w:hAnsi="Arial" w:eastAsia="宋体" w:cs="Arial"/>
          <w:szCs w:val="22"/>
          <w:lang w:val="en-US" w:eastAsia="zh-CN"/>
        </w:rPr>
        <w:t xml:space="preserve"> </w:t>
      </w:r>
      <w:r>
        <w:rPr>
          <w:rFonts w:hint="default" w:ascii="Arial" w:hAnsi="Arial" w:eastAsia="宋体" w:cs="Arial"/>
          <w:szCs w:val="22"/>
        </w:rPr>
        <w:t>Take action to</w:t>
      </w:r>
    </w:p>
    <w:p w14:paraId="27A39152">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(a) prevent theft or damage to the Carrier’s cargo and mail in custody of the Handling Company</w:t>
      </w:r>
    </w:p>
    <w:p w14:paraId="0707C0CD">
      <w:pPr>
        <w:autoSpaceDE w:val="0"/>
        <w:autoSpaceDN w:val="0"/>
        <w:adjustRightInd w:val="0"/>
        <w:spacing w:after="0" w:line="240" w:lineRule="auto"/>
        <w:ind w:left="1440" w:firstLine="0"/>
        <w:jc w:val="both"/>
        <w:rPr>
          <w:rFonts w:hint="default" w:ascii="Arial" w:hAnsi="Arial" w:eastAsia="宋体" w:cs="Arial"/>
          <w:szCs w:val="22"/>
          <w:lang w:val="en-US" w:eastAsia="zh-CN"/>
        </w:rPr>
      </w:pPr>
      <w:r>
        <w:rPr>
          <w:rFonts w:hint="default" w:ascii="Arial" w:hAnsi="Arial" w:eastAsia="宋体" w:cs="Arial"/>
          <w:szCs w:val="22"/>
        </w:rPr>
        <w:t>(b) prevent theft or unauthorised use of, or damage to the Carrier’s pallets, containers, nets, straps, tie-down rings and other material in the custody of the Handling Company. Notify the Carrier immediately of any damage to or loss of</w:t>
      </w:r>
      <w:r>
        <w:rPr>
          <w:rFonts w:hint="default" w:ascii="Arial" w:hAnsi="Arial" w:eastAsia="宋体" w:cs="Arial"/>
          <w:szCs w:val="22"/>
          <w:lang w:val="en-US" w:eastAsia="zh-CN"/>
        </w:rPr>
        <w:t xml:space="preserve"> </w:t>
      </w:r>
      <w:r>
        <w:rPr>
          <w:rFonts w:hint="default" w:ascii="Arial" w:hAnsi="Arial" w:eastAsia="宋体" w:cs="Arial"/>
          <w:szCs w:val="22"/>
        </w:rPr>
        <w:t>such items</w:t>
      </w:r>
    </w:p>
    <w:p w14:paraId="009A4E16">
      <w:pPr>
        <w:autoSpaceDE w:val="0"/>
        <w:autoSpaceDN w:val="0"/>
        <w:adjustRightInd w:val="0"/>
        <w:spacing w:after="0" w:line="240" w:lineRule="auto"/>
        <w:rPr>
          <w:rFonts w:hint="default" w:ascii="Arial" w:hAnsi="Arial" w:eastAsia="宋体" w:cs="Arial"/>
          <w:szCs w:val="22"/>
        </w:rPr>
      </w:pPr>
    </w:p>
    <w:p w14:paraId="29694036">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5.2 </w:t>
      </w:r>
      <w:r>
        <w:rPr>
          <w:rFonts w:hint="default" w:ascii="Arial" w:hAnsi="Arial" w:eastAsia="宋体" w:cs="Arial"/>
          <w:b/>
          <w:szCs w:val="22"/>
        </w:rPr>
        <w:tab/>
      </w:r>
      <w:r>
        <w:rPr>
          <w:rFonts w:hint="default" w:ascii="Arial" w:hAnsi="Arial" w:eastAsia="宋体" w:cs="Arial"/>
          <w:b/>
          <w:szCs w:val="22"/>
        </w:rPr>
        <w:t>Customs Control</w:t>
      </w:r>
    </w:p>
    <w:p w14:paraId="211B55C8">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5.2.1  (c) place cargo under Customs control</w:t>
      </w:r>
    </w:p>
    <w:p w14:paraId="3328318B">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 xml:space="preserve">(d) present to Customs cargo for physical examination </w:t>
      </w:r>
    </w:p>
    <w:p w14:paraId="55A2EE69">
      <w:pPr>
        <w:autoSpaceDE w:val="0"/>
        <w:autoSpaceDN w:val="0"/>
        <w:adjustRightInd w:val="0"/>
        <w:spacing w:after="0" w:line="240" w:lineRule="auto"/>
        <w:ind w:left="1440" w:firstLine="420" w:firstLineChars="200"/>
        <w:rPr>
          <w:rFonts w:hint="default" w:ascii="Arial" w:hAnsi="Arial" w:eastAsia="宋体" w:cs="Arial"/>
          <w:szCs w:val="22"/>
        </w:rPr>
      </w:pPr>
      <w:r>
        <w:rPr>
          <w:rFonts w:hint="default" w:ascii="Arial" w:hAnsi="Arial" w:eastAsia="宋体" w:cs="Arial"/>
          <w:szCs w:val="22"/>
        </w:rPr>
        <w:t>for</w:t>
      </w:r>
    </w:p>
    <w:p w14:paraId="34DAB905">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(1) Inbound cargo</w:t>
      </w:r>
    </w:p>
    <w:p w14:paraId="0D17118E">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(2) Outbound cargo</w:t>
      </w:r>
    </w:p>
    <w:p w14:paraId="5F411E40">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(3) Transfer cargo</w:t>
      </w:r>
    </w:p>
    <w:p w14:paraId="3A4C111D">
      <w:pPr>
        <w:autoSpaceDE w:val="0"/>
        <w:autoSpaceDN w:val="0"/>
        <w:adjustRightInd w:val="0"/>
        <w:spacing w:after="0" w:line="240" w:lineRule="auto"/>
        <w:rPr>
          <w:rFonts w:hint="default" w:ascii="Arial" w:hAnsi="Arial" w:eastAsia="宋体" w:cs="Arial"/>
          <w:szCs w:val="22"/>
        </w:rPr>
      </w:pPr>
    </w:p>
    <w:p w14:paraId="53672554">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5.3 </w:t>
      </w:r>
      <w:r>
        <w:rPr>
          <w:rFonts w:hint="default" w:ascii="Arial" w:hAnsi="Arial" w:eastAsia="宋体" w:cs="Arial"/>
          <w:b/>
          <w:szCs w:val="22"/>
        </w:rPr>
        <w:tab/>
      </w:r>
      <w:r>
        <w:rPr>
          <w:rFonts w:hint="default" w:ascii="Arial" w:hAnsi="Arial" w:eastAsia="宋体" w:cs="Arial"/>
          <w:b/>
          <w:szCs w:val="22"/>
        </w:rPr>
        <w:t>Documentation Handling</w:t>
      </w:r>
    </w:p>
    <w:p w14:paraId="745C868A">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5.3.1 </w:t>
      </w:r>
      <w:r>
        <w:rPr>
          <w:rFonts w:hint="default" w:ascii="Arial" w:hAnsi="Arial" w:eastAsia="宋体" w:cs="Arial"/>
          <w:szCs w:val="22"/>
          <w:lang w:val="en-US" w:eastAsia="zh-CN"/>
        </w:rPr>
        <w:t xml:space="preserve"> </w:t>
      </w:r>
      <w:r>
        <w:rPr>
          <w:rFonts w:hint="default" w:ascii="Arial" w:hAnsi="Arial" w:eastAsia="宋体" w:cs="Arial"/>
          <w:szCs w:val="22"/>
        </w:rPr>
        <w:t>(a) Prepare airwaybill</w:t>
      </w:r>
    </w:p>
    <w:p w14:paraId="2F4E0636">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(b) Check all documentation to ensure shipment may be carried. The check shall not include the rates charged</w:t>
      </w:r>
    </w:p>
    <w:p w14:paraId="45FD8D85">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(c) Check security status for the shipment(s) concerned and take action as per Carrier’s instructions</w:t>
      </w:r>
    </w:p>
    <w:p w14:paraId="59E33955">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(d) Obtain capacity/booking information for the Carrier’s flights</w:t>
      </w:r>
    </w:p>
    <w:p w14:paraId="07E9EA0A">
      <w:pPr>
        <w:autoSpaceDE w:val="0"/>
        <w:autoSpaceDN w:val="0"/>
        <w:adjustRightInd w:val="0"/>
        <w:spacing w:after="0" w:line="240" w:lineRule="auto"/>
        <w:ind w:left="720" w:firstLine="720"/>
        <w:jc w:val="both"/>
        <w:rPr>
          <w:rFonts w:hint="default" w:ascii="Arial" w:hAnsi="Arial" w:eastAsia="宋体" w:cs="Arial"/>
          <w:szCs w:val="22"/>
        </w:rPr>
      </w:pPr>
      <w:r>
        <w:rPr>
          <w:rFonts w:hint="default" w:ascii="Arial" w:hAnsi="Arial" w:eastAsia="宋体" w:cs="Arial"/>
          <w:szCs w:val="22"/>
        </w:rPr>
        <w:t>(e) Split airwaybill. Forward copies of manifests and air waybills to the Carrier</w:t>
      </w:r>
    </w:p>
    <w:p w14:paraId="1C92C4D7">
      <w:pPr>
        <w:autoSpaceDE w:val="0"/>
        <w:autoSpaceDN w:val="0"/>
        <w:adjustRightInd w:val="0"/>
        <w:spacing w:after="0" w:line="240" w:lineRule="auto"/>
        <w:ind w:left="720" w:firstLine="720"/>
        <w:jc w:val="both"/>
        <w:rPr>
          <w:rFonts w:hint="default" w:ascii="Arial" w:hAnsi="Arial" w:eastAsia="宋体" w:cs="Arial"/>
          <w:szCs w:val="22"/>
        </w:rPr>
      </w:pPr>
      <w:r>
        <w:rPr>
          <w:rFonts w:hint="default" w:ascii="Arial" w:hAnsi="Arial" w:eastAsia="宋体" w:cs="Arial"/>
          <w:szCs w:val="22"/>
        </w:rPr>
        <w:t>(f) Prepare cargo manifest(s)</w:t>
      </w:r>
    </w:p>
    <w:p w14:paraId="538389D3">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(g) Provide the load control unit with Special Load Notification</w:t>
      </w:r>
    </w:p>
    <w:p w14:paraId="60AC4BD4">
      <w:pPr>
        <w:autoSpaceDE w:val="0"/>
        <w:autoSpaceDN w:val="0"/>
        <w:adjustRightInd w:val="0"/>
        <w:spacing w:after="0" w:line="240" w:lineRule="auto"/>
        <w:ind w:left="1470" w:leftChars="700" w:firstLine="0" w:firstLineChars="0"/>
        <w:jc w:val="both"/>
        <w:rPr>
          <w:rFonts w:hint="default" w:ascii="Arial" w:hAnsi="Arial" w:eastAsia="宋体" w:cs="Arial"/>
          <w:szCs w:val="22"/>
        </w:rPr>
      </w:pPr>
      <w:r>
        <w:rPr>
          <w:rFonts w:hint="default" w:ascii="Arial" w:hAnsi="Arial" w:eastAsia="宋体" w:cs="Arial"/>
          <w:szCs w:val="22"/>
        </w:rPr>
        <w:t>(j) Receive and process EDI messages (FWB/FHL and e-CSD) received from Carrier or other parties.</w:t>
      </w:r>
    </w:p>
    <w:p w14:paraId="70D0F6AB">
      <w:pPr>
        <w:autoSpaceDE w:val="0"/>
        <w:autoSpaceDN w:val="0"/>
        <w:adjustRightInd w:val="0"/>
        <w:spacing w:after="0" w:line="240" w:lineRule="auto"/>
        <w:ind w:left="1365" w:leftChars="650" w:firstLine="0" w:firstLineChars="0"/>
        <w:jc w:val="both"/>
        <w:rPr>
          <w:rFonts w:hint="default" w:ascii="Arial" w:hAnsi="Arial" w:eastAsia="宋体" w:cs="Arial"/>
          <w:szCs w:val="22"/>
        </w:rPr>
      </w:pPr>
      <w:r>
        <w:rPr>
          <w:rFonts w:hint="default" w:ascii="Arial" w:hAnsi="Arial" w:eastAsia="宋体" w:cs="Arial"/>
          <w:szCs w:val="22"/>
        </w:rPr>
        <w:t>(k) Upon request from the Carrier print air waybill copies in plain paper copy or IATA Resolution 600a format.</w:t>
      </w:r>
    </w:p>
    <w:p w14:paraId="69C7EF14">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(l) Provide and transmit EDI messages in accordance with the standards of the Master Operating Plan.</w:t>
      </w:r>
    </w:p>
    <w:p w14:paraId="5A92E868">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(m) Inform airline or shipper about shipment status via FSU message in accordance with the Master Operating Plan.</w:t>
      </w:r>
    </w:p>
    <w:p w14:paraId="58D572C1">
      <w:pPr>
        <w:autoSpaceDE w:val="0"/>
        <w:autoSpaceDN w:val="0"/>
        <w:adjustRightInd w:val="0"/>
        <w:spacing w:after="0" w:line="240" w:lineRule="auto"/>
        <w:ind w:left="720" w:firstLine="0"/>
        <w:rPr>
          <w:rFonts w:hint="default" w:ascii="Arial" w:hAnsi="Arial" w:eastAsia="宋体" w:cs="Arial"/>
          <w:szCs w:val="22"/>
        </w:rPr>
      </w:pPr>
      <w:r>
        <w:rPr>
          <w:rFonts w:hint="default" w:ascii="Arial" w:hAnsi="Arial" w:eastAsia="宋体" w:cs="Arial"/>
          <w:szCs w:val="22"/>
        </w:rPr>
        <w:t xml:space="preserve">5.3.2 </w:t>
      </w:r>
      <w:r>
        <w:rPr>
          <w:rFonts w:hint="default" w:ascii="Arial" w:hAnsi="Arial" w:eastAsia="宋体" w:cs="Arial"/>
          <w:szCs w:val="22"/>
          <w:lang w:val="en-US" w:eastAsia="zh-CN"/>
        </w:rPr>
        <w:t xml:space="preserve"> </w:t>
      </w:r>
      <w:r>
        <w:rPr>
          <w:rFonts w:hint="default" w:ascii="Arial" w:hAnsi="Arial" w:eastAsia="宋体" w:cs="Arial"/>
          <w:szCs w:val="22"/>
        </w:rPr>
        <w:t>(a) Notify consignee or agent of arrival of shipments</w:t>
      </w:r>
    </w:p>
    <w:p w14:paraId="36B9F0CB">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Make available cargo documents available to consignee or agent</w:t>
      </w:r>
    </w:p>
    <w:p w14:paraId="3E2639E7">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5.3.4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13BC136B">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delivery of Cargo/Mail related documentation from/to agreed points and the aircraft</w:t>
      </w:r>
    </w:p>
    <w:p w14:paraId="6BC5A65E">
      <w:pPr>
        <w:autoSpaceDE w:val="0"/>
        <w:autoSpaceDN w:val="0"/>
        <w:adjustRightInd w:val="0"/>
        <w:spacing w:after="0" w:line="240" w:lineRule="auto"/>
        <w:rPr>
          <w:rFonts w:hint="default" w:ascii="Arial" w:hAnsi="Arial" w:eastAsia="宋体" w:cs="Arial"/>
          <w:szCs w:val="22"/>
        </w:rPr>
      </w:pPr>
    </w:p>
    <w:p w14:paraId="2D2AD777">
      <w:pPr>
        <w:widowControl w:val="0"/>
        <w:kinsoku w:val="0"/>
        <w:overflowPunct w:val="0"/>
        <w:spacing w:before="0" w:after="0" w:line="240" w:lineRule="auto"/>
        <w:ind w:left="720" w:firstLine="0"/>
        <w:jc w:val="both"/>
        <w:rPr>
          <w:rFonts w:hint="default" w:ascii="Arial" w:hAnsi="Arial" w:eastAsia="宋体" w:cs="Arial"/>
          <w:kern w:val="2"/>
          <w:sz w:val="20"/>
          <w:szCs w:val="20"/>
          <w:lang w:val="en-GB" w:eastAsia="zh-CN" w:bidi="ar-SA"/>
        </w:rPr>
      </w:pPr>
      <w:r>
        <w:rPr>
          <w:rFonts w:hint="default" w:ascii="Arial" w:hAnsi="Arial" w:eastAsia="Batang" w:cs="Arial"/>
          <w:b/>
          <w:bCs/>
          <w:kern w:val="2"/>
          <w:sz w:val="21"/>
          <w:szCs w:val="22"/>
          <w:lang w:val="en-CA" w:eastAsia="fr-FR" w:bidi="ar-SA"/>
        </w:rPr>
        <w:t>5.3.5</w:t>
      </w:r>
      <w:r>
        <w:rPr>
          <w:rFonts w:hint="default" w:ascii="Arial" w:hAnsi="Arial" w:eastAsia="宋体" w:cs="Arial"/>
          <w:b/>
          <w:bCs/>
          <w:color w:val="FF0000"/>
          <w:kern w:val="2"/>
          <w:sz w:val="21"/>
          <w:szCs w:val="22"/>
          <w:lang w:val="en-GB" w:eastAsia="zh-CN" w:bidi="ar-SA"/>
        </w:rPr>
        <w:t xml:space="preserve"> </w:t>
      </w:r>
      <w:r>
        <w:rPr>
          <w:rFonts w:hint="default" w:ascii="Arial" w:hAnsi="Arial" w:eastAsia="宋体" w:cs="Arial"/>
          <w:kern w:val="2"/>
          <w:sz w:val="21"/>
          <w:szCs w:val="22"/>
          <w:lang w:val="en-GB" w:eastAsia="zh-CN" w:bidi="ar-SA"/>
        </w:rPr>
        <w:t>Prepare additional documentation required for Dangerous Goods Transportation</w:t>
      </w:r>
      <w:r>
        <w:rPr>
          <w:rFonts w:hint="default" w:ascii="Arial" w:hAnsi="Arial" w:eastAsia="宋体" w:cs="Arial"/>
          <w:kern w:val="2"/>
          <w:sz w:val="21"/>
          <w:szCs w:val="22"/>
          <w:lang w:val="en-US" w:eastAsia="zh-CN" w:bidi="ar-SA"/>
        </w:rPr>
        <w:t xml:space="preserve"> </w:t>
      </w:r>
      <w:r>
        <w:rPr>
          <w:rFonts w:hint="default" w:ascii="Arial" w:hAnsi="Arial" w:eastAsia="宋体" w:cs="Arial"/>
          <w:kern w:val="2"/>
          <w:sz w:val="21"/>
          <w:szCs w:val="22"/>
          <w:lang w:val="en-GB" w:eastAsia="zh-CN" w:bidi="ar-SA"/>
        </w:rPr>
        <w:t>by road and/or maritime</w:t>
      </w:r>
      <w:r>
        <w:rPr>
          <w:rFonts w:hint="default" w:ascii="Arial" w:hAnsi="Arial" w:eastAsia="宋体" w:cs="Arial"/>
          <w:kern w:val="2"/>
          <w:sz w:val="20"/>
          <w:szCs w:val="20"/>
          <w:lang w:val="en-GB" w:eastAsia="zh-CN" w:bidi="ar-SA"/>
        </w:rPr>
        <w:t>.</w:t>
      </w:r>
    </w:p>
    <w:p w14:paraId="313D6B78">
      <w:pPr>
        <w:autoSpaceDE w:val="0"/>
        <w:autoSpaceDN w:val="0"/>
        <w:adjustRightInd w:val="0"/>
        <w:spacing w:after="0" w:line="240" w:lineRule="auto"/>
        <w:rPr>
          <w:rFonts w:hint="default" w:ascii="Arial" w:hAnsi="Arial" w:eastAsia="宋体" w:cs="Arial"/>
          <w:b/>
          <w:szCs w:val="22"/>
          <w:lang w:val="en-GB"/>
        </w:rPr>
      </w:pPr>
    </w:p>
    <w:p w14:paraId="04E59403">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5.4 </w:t>
      </w:r>
      <w:r>
        <w:rPr>
          <w:rFonts w:hint="default" w:ascii="Arial" w:hAnsi="Arial" w:eastAsia="宋体" w:cs="Arial"/>
          <w:b/>
          <w:szCs w:val="22"/>
        </w:rPr>
        <w:tab/>
      </w:r>
      <w:r>
        <w:rPr>
          <w:rFonts w:hint="default" w:ascii="Arial" w:hAnsi="Arial" w:eastAsia="宋体" w:cs="Arial"/>
          <w:b/>
          <w:szCs w:val="22"/>
        </w:rPr>
        <w:t>Physical Handling Outbound/Inbound</w:t>
      </w:r>
    </w:p>
    <w:p w14:paraId="7A52B889">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5.4.1 </w:t>
      </w:r>
      <w:r>
        <w:rPr>
          <w:rFonts w:hint="default" w:ascii="Arial" w:hAnsi="Arial" w:eastAsia="宋体" w:cs="Arial"/>
          <w:szCs w:val="22"/>
          <w:lang w:val="en-US" w:eastAsia="zh-CN"/>
        </w:rPr>
        <w:t xml:space="preserve"> </w:t>
      </w:r>
      <w:r>
        <w:rPr>
          <w:rFonts w:hint="default" w:ascii="Arial" w:hAnsi="Arial" w:eastAsia="宋体" w:cs="Arial"/>
          <w:szCs w:val="22"/>
        </w:rPr>
        <w:t>Accept cargo, ensuring that</w:t>
      </w:r>
    </w:p>
    <w:p w14:paraId="33A198C9">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 machine-readable cargo labels are affixed and processed</w:t>
      </w:r>
    </w:p>
    <w:p w14:paraId="2068287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manual labels are affixed and processed</w:t>
      </w:r>
    </w:p>
    <w:p w14:paraId="1E3044C4">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(c) shipments are “ready for carriage” in accordance with IATA Resolution 833</w:t>
      </w:r>
    </w:p>
    <w:p w14:paraId="55C9559A">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(d)the weight and volume and number of pieces of the shipments are  checked</w:t>
      </w:r>
    </w:p>
    <w:p w14:paraId="420BA539">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(e) the regulations for the carriage of special cargo, particularly the IATA  Dangerous Goods Regulations (DGR), IATA Live Animals Regulations (LAR), IATA Perishable Cargo Regulations (PCR), and others have been complied with.</w:t>
      </w:r>
    </w:p>
    <w:p w14:paraId="5C96A8D0">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5.4.2 </w:t>
      </w:r>
      <w:r>
        <w:rPr>
          <w:rFonts w:hint="default" w:ascii="Arial" w:hAnsi="Arial" w:eastAsia="宋体" w:cs="Arial"/>
          <w:szCs w:val="22"/>
          <w:lang w:val="en-US" w:eastAsia="zh-CN"/>
        </w:rPr>
        <w:t xml:space="preserve"> </w:t>
      </w:r>
      <w:r>
        <w:rPr>
          <w:rFonts w:hint="default" w:ascii="Arial" w:hAnsi="Arial" w:eastAsia="宋体" w:cs="Arial"/>
          <w:szCs w:val="22"/>
        </w:rPr>
        <w:t>Tally and assemble cargo for dispatch</w:t>
      </w:r>
    </w:p>
    <w:p w14:paraId="1F4D8BC6">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5.4.3</w:t>
      </w:r>
      <w:r>
        <w:rPr>
          <w:rFonts w:hint="default" w:ascii="Arial" w:hAnsi="Arial" w:eastAsia="宋体" w:cs="Arial"/>
          <w:szCs w:val="22"/>
        </w:rPr>
        <w:tab/>
      </w:r>
      <w:r>
        <w:rPr>
          <w:rFonts w:hint="default" w:ascii="Arial" w:hAnsi="Arial" w:eastAsia="宋体" w:cs="Arial"/>
          <w:szCs w:val="22"/>
        </w:rPr>
        <w:t xml:space="preserve"> </w:t>
      </w:r>
      <w:r>
        <w:rPr>
          <w:rFonts w:hint="default" w:ascii="Arial" w:hAnsi="Arial" w:eastAsia="宋体" w:cs="Arial"/>
          <w:szCs w:val="22"/>
          <w:lang w:val="en-US" w:eastAsia="zh-CN"/>
        </w:rPr>
        <w:t xml:space="preserve"> </w:t>
      </w:r>
      <w:r>
        <w:rPr>
          <w:rFonts w:hint="default" w:ascii="Arial" w:hAnsi="Arial" w:eastAsia="宋体" w:cs="Arial"/>
          <w:szCs w:val="22"/>
        </w:rPr>
        <w:t>Prepare</w:t>
      </w:r>
    </w:p>
    <w:p w14:paraId="257D9074">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 Bulk cargo</w:t>
      </w:r>
    </w:p>
    <w:p w14:paraId="415AC329">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 xml:space="preserve">(b) ULDs </w:t>
      </w:r>
    </w:p>
    <w:p w14:paraId="02769A22">
      <w:pPr>
        <w:autoSpaceDE w:val="0"/>
        <w:autoSpaceDN w:val="0"/>
        <w:adjustRightInd w:val="0"/>
        <w:spacing w:after="0" w:line="240" w:lineRule="auto"/>
        <w:ind w:left="1440" w:firstLine="420" w:firstLineChars="200"/>
        <w:rPr>
          <w:rFonts w:hint="default" w:ascii="Arial" w:hAnsi="Arial" w:eastAsia="宋体" w:cs="Arial"/>
          <w:szCs w:val="22"/>
        </w:rPr>
      </w:pPr>
      <w:r>
        <w:rPr>
          <w:rFonts w:hint="default" w:ascii="Arial" w:hAnsi="Arial" w:eastAsia="宋体" w:cs="Arial"/>
          <w:szCs w:val="22"/>
        </w:rPr>
        <w:t>using</w:t>
      </w:r>
    </w:p>
    <w:p w14:paraId="58336727">
      <w:pPr>
        <w:widowControl w:val="0"/>
        <w:numPr>
          <w:ilvl w:val="0"/>
          <w:numId w:val="3"/>
        </w:numPr>
        <w:autoSpaceDE w:val="0"/>
        <w:autoSpaceDN w:val="0"/>
        <w:adjustRightInd w:val="0"/>
        <w:spacing w:after="0" w:line="240" w:lineRule="auto"/>
        <w:ind w:left="1440"/>
        <w:contextualSpacing/>
        <w:jc w:val="both"/>
        <w:rPr>
          <w:rFonts w:hint="default" w:ascii="Arial" w:hAnsi="Arial" w:eastAsia="宋体" w:cs="Arial"/>
          <w:kern w:val="2"/>
          <w:sz w:val="21"/>
          <w:szCs w:val="22"/>
          <w:lang w:val="en-US" w:eastAsia="zh-CN" w:bidi="ar-SA"/>
        </w:rPr>
      </w:pPr>
      <w:r>
        <w:rPr>
          <w:rFonts w:hint="default" w:ascii="Arial" w:hAnsi="Arial" w:eastAsia="宋体" w:cs="Arial"/>
          <w:kern w:val="2"/>
          <w:sz w:val="21"/>
          <w:szCs w:val="22"/>
          <w:lang w:val="en-US" w:eastAsia="zh-CN" w:bidi="ar-SA"/>
        </w:rPr>
        <w:t>build up materials provided by Carrier</w:t>
      </w:r>
    </w:p>
    <w:p w14:paraId="24579645">
      <w:pPr>
        <w:widowControl w:val="0"/>
        <w:numPr>
          <w:ilvl w:val="0"/>
          <w:numId w:val="3"/>
        </w:numPr>
        <w:autoSpaceDE w:val="0"/>
        <w:autoSpaceDN w:val="0"/>
        <w:adjustRightInd w:val="0"/>
        <w:spacing w:after="0" w:line="240" w:lineRule="auto"/>
        <w:ind w:left="1440"/>
        <w:contextualSpacing/>
        <w:jc w:val="both"/>
        <w:rPr>
          <w:rFonts w:hint="default" w:ascii="Arial" w:hAnsi="Arial" w:eastAsia="宋体" w:cs="Arial"/>
          <w:kern w:val="2"/>
          <w:sz w:val="21"/>
          <w:szCs w:val="22"/>
          <w:lang w:val="en-US" w:eastAsia="zh-CN" w:bidi="ar-SA"/>
        </w:rPr>
      </w:pPr>
      <w:r>
        <w:rPr>
          <w:rFonts w:hint="default" w:ascii="Arial" w:hAnsi="Arial" w:eastAsia="宋体" w:cs="Arial"/>
          <w:kern w:val="2"/>
          <w:sz w:val="21"/>
          <w:szCs w:val="22"/>
          <w:lang w:val="en-US" w:eastAsia="zh-CN" w:bidi="ar-SA"/>
        </w:rPr>
        <w:t>build up materials provided by Handling Company</w:t>
      </w:r>
    </w:p>
    <w:p w14:paraId="3EBFD5D6">
      <w:pPr>
        <w:autoSpaceDE w:val="0"/>
        <w:autoSpaceDN w:val="0"/>
        <w:adjustRightInd w:val="0"/>
        <w:spacing w:after="0" w:line="240" w:lineRule="auto"/>
        <w:ind w:left="1440" w:firstLine="420" w:firstLineChars="200"/>
        <w:rPr>
          <w:rFonts w:hint="default" w:ascii="Arial" w:hAnsi="Arial" w:eastAsia="宋体" w:cs="Arial"/>
          <w:szCs w:val="22"/>
        </w:rPr>
      </w:pPr>
      <w:r>
        <w:rPr>
          <w:rFonts w:hint="default" w:ascii="Arial" w:hAnsi="Arial" w:eastAsia="宋体" w:cs="Arial"/>
          <w:szCs w:val="22"/>
        </w:rPr>
        <w:t>and establish</w:t>
      </w:r>
    </w:p>
    <w:p w14:paraId="5C9981F1">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(i) gross weight</w:t>
      </w:r>
    </w:p>
    <w:p w14:paraId="0749979D">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(ii) volume</w:t>
      </w:r>
    </w:p>
    <w:p w14:paraId="4049F9B5">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(iii) ULD contour</w:t>
      </w:r>
    </w:p>
    <w:p w14:paraId="792F046D">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and provide the load control unit with the information</w:t>
      </w:r>
    </w:p>
    <w:p w14:paraId="42D6550E">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5.4.4 </w:t>
      </w:r>
      <w:r>
        <w:rPr>
          <w:rFonts w:hint="default" w:ascii="Arial" w:hAnsi="Arial" w:eastAsia="宋体" w:cs="Arial"/>
          <w:szCs w:val="22"/>
          <w:lang w:val="en-US" w:eastAsia="zh-CN"/>
        </w:rPr>
        <w:t xml:space="preserve"> </w:t>
      </w:r>
      <w:r>
        <w:rPr>
          <w:rFonts w:hint="default" w:ascii="Arial" w:hAnsi="Arial" w:eastAsia="宋体" w:cs="Arial"/>
          <w:szCs w:val="22"/>
        </w:rPr>
        <w:t>Perform acceptance check on pre-built ULDs and establish, if accepted</w:t>
      </w:r>
    </w:p>
    <w:p w14:paraId="2CFCD699">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 gross weight</w:t>
      </w:r>
    </w:p>
    <w:p w14:paraId="2706D78A">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(b) volume</w:t>
      </w:r>
    </w:p>
    <w:p w14:paraId="3D1BAAF6">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(c) ULD contour</w:t>
      </w:r>
    </w:p>
    <w:p w14:paraId="3C7D473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and provide the load control unit with the information.</w:t>
      </w:r>
    </w:p>
    <w:p w14:paraId="28DE188C">
      <w:pPr>
        <w:autoSpaceDE w:val="0"/>
        <w:autoSpaceDN w:val="0"/>
        <w:adjustRightInd w:val="0"/>
        <w:spacing w:after="0" w:line="240" w:lineRule="auto"/>
        <w:ind w:left="720"/>
        <w:rPr>
          <w:rFonts w:hint="default" w:ascii="Arial" w:hAnsi="Arial" w:eastAsia="宋体" w:cs="Arial"/>
          <w:szCs w:val="22"/>
          <w:lang w:val="en-US"/>
        </w:rPr>
      </w:pPr>
      <w:r>
        <w:rPr>
          <w:rFonts w:hint="default" w:ascii="Arial" w:hAnsi="Arial" w:eastAsia="宋体" w:cs="Arial"/>
          <w:szCs w:val="22"/>
        </w:rPr>
        <w:t xml:space="preserve">5.4.5 </w:t>
      </w:r>
      <w:r>
        <w:rPr>
          <w:rFonts w:hint="default" w:ascii="Arial" w:hAnsi="Arial" w:eastAsia="宋体" w:cs="Arial"/>
          <w:szCs w:val="22"/>
          <w:lang w:val="en-US" w:eastAsia="zh-CN"/>
        </w:rPr>
        <w:t xml:space="preserve"> </w:t>
      </w:r>
      <w:r>
        <w:rPr>
          <w:rFonts w:hint="default" w:ascii="Arial" w:hAnsi="Arial" w:eastAsia="宋体" w:cs="Arial"/>
          <w:szCs w:val="22"/>
          <w:lang w:val="en-US"/>
        </w:rPr>
        <w:t>(a) Load outbound cargo on vehicles.</w:t>
      </w:r>
    </w:p>
    <w:p w14:paraId="7D737499">
      <w:pPr>
        <w:autoSpaceDE w:val="0"/>
        <w:autoSpaceDN w:val="0"/>
        <w:adjustRightInd w:val="0"/>
        <w:spacing w:after="0" w:line="240" w:lineRule="auto"/>
        <w:ind w:firstLine="1470" w:firstLineChars="700"/>
        <w:rPr>
          <w:rFonts w:hint="default" w:ascii="Arial" w:hAnsi="Arial" w:eastAsia="宋体" w:cs="Arial"/>
          <w:szCs w:val="22"/>
        </w:rPr>
      </w:pPr>
      <w:r>
        <w:rPr>
          <w:rFonts w:hint="default" w:ascii="Arial" w:hAnsi="Arial" w:eastAsia="宋体" w:cs="Arial"/>
          <w:szCs w:val="22"/>
        </w:rPr>
        <w:t>(b) Assemble cargo for delivery to the aircraft.</w:t>
      </w:r>
    </w:p>
    <w:p w14:paraId="44876F9A">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5.4.6 </w:t>
      </w:r>
      <w:r>
        <w:rPr>
          <w:rFonts w:hint="default" w:ascii="Arial" w:hAnsi="Arial" w:eastAsia="宋体" w:cs="Arial"/>
          <w:szCs w:val="22"/>
          <w:lang w:val="en-US" w:eastAsia="zh-CN"/>
        </w:rPr>
        <w:t xml:space="preserve"> </w:t>
      </w:r>
      <w:r>
        <w:rPr>
          <w:rFonts w:hint="default" w:ascii="Arial" w:hAnsi="Arial" w:eastAsia="宋体" w:cs="Arial"/>
          <w:szCs w:val="22"/>
        </w:rPr>
        <w:t>(a) Offload bulk cargo from vehicles (including pallet stacks and empty ULD’s)</w:t>
      </w:r>
    </w:p>
    <w:p w14:paraId="14CB2514">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(b) Break down ULDs</w:t>
      </w:r>
    </w:p>
    <w:p w14:paraId="057D4BF7">
      <w:pPr>
        <w:autoSpaceDE w:val="0"/>
        <w:autoSpaceDN w:val="0"/>
        <w:adjustRightInd w:val="0"/>
        <w:spacing w:after="0" w:line="240" w:lineRule="auto"/>
        <w:ind w:firstLine="1365" w:firstLineChars="650"/>
        <w:rPr>
          <w:rFonts w:hint="default" w:ascii="Arial" w:hAnsi="Arial" w:eastAsia="宋体" w:cs="Arial"/>
          <w:szCs w:val="22"/>
        </w:rPr>
      </w:pPr>
      <w:r>
        <w:rPr>
          <w:rFonts w:hint="default" w:ascii="Arial" w:hAnsi="Arial" w:eastAsia="宋体" w:cs="Arial"/>
          <w:szCs w:val="22"/>
        </w:rPr>
        <w:t>(c) Check incoming cargo against air waybills and manifests</w:t>
      </w:r>
    </w:p>
    <w:p w14:paraId="70F22BCB">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(d) Release cargo to the consignee or agent</w:t>
      </w:r>
    </w:p>
    <w:p w14:paraId="5258D389">
      <w:pPr>
        <w:autoSpaceDE w:val="0"/>
        <w:autoSpaceDN w:val="0"/>
        <w:adjustRightInd w:val="0"/>
        <w:spacing w:after="0" w:line="240" w:lineRule="auto"/>
        <w:rPr>
          <w:rFonts w:hint="default" w:ascii="Arial" w:hAnsi="Arial" w:eastAsia="宋体" w:cs="Arial"/>
          <w:szCs w:val="22"/>
        </w:rPr>
      </w:pPr>
      <w:r>
        <w:rPr>
          <w:rFonts w:hint="default" w:ascii="Arial" w:hAnsi="Arial" w:eastAsia="宋体" w:cs="Arial"/>
          <w:szCs w:val="22"/>
        </w:rPr>
        <w:tab/>
      </w:r>
      <w:r>
        <w:rPr>
          <w:rFonts w:hint="default" w:ascii="Arial" w:hAnsi="Arial" w:eastAsia="宋体" w:cs="Arial"/>
          <w:szCs w:val="22"/>
          <w:lang w:val="en-US" w:eastAsia="zh-CN"/>
        </w:rPr>
        <w:t xml:space="preserve">   </w:t>
      </w:r>
      <w:r>
        <w:rPr>
          <w:rFonts w:hint="default" w:ascii="Arial" w:hAnsi="Arial" w:eastAsia="宋体" w:cs="Arial"/>
          <w:szCs w:val="22"/>
        </w:rPr>
        <w:t xml:space="preserve">5.4.7 </w:t>
      </w:r>
      <w:r>
        <w:rPr>
          <w:rFonts w:hint="default" w:ascii="Arial" w:hAnsi="Arial" w:eastAsia="宋体" w:cs="Arial"/>
          <w:szCs w:val="22"/>
          <w:lang w:val="en-US" w:eastAsia="zh-CN"/>
        </w:rPr>
        <w:t xml:space="preserve"> </w:t>
      </w:r>
      <w:r>
        <w:rPr>
          <w:rFonts w:hint="default" w:ascii="Arial" w:hAnsi="Arial" w:eastAsia="宋体" w:cs="Arial"/>
          <w:szCs w:val="22"/>
        </w:rPr>
        <w:t>Truck service loading/off-loading</w:t>
      </w:r>
    </w:p>
    <w:p w14:paraId="3DE48651">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 Check seals are intact on inbound trucks</w:t>
      </w:r>
    </w:p>
    <w:p w14:paraId="0586A4CE">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Offload truck prior to acceptance into warehouse</w:t>
      </w:r>
    </w:p>
    <w:p w14:paraId="0A7175E1">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(c) Load truck after formal release from warehouse</w:t>
      </w:r>
    </w:p>
    <w:p w14:paraId="77226FDC">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(d) Place seals</w:t>
      </w:r>
    </w:p>
    <w:p w14:paraId="7CA764E9">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Truck operated by/or on behalf of the Carrier</w:t>
      </w:r>
    </w:p>
    <w:p w14:paraId="2A3AB8B7">
      <w:pPr>
        <w:autoSpaceDE w:val="0"/>
        <w:autoSpaceDN w:val="0"/>
        <w:adjustRightInd w:val="0"/>
        <w:spacing w:after="0" w:line="240" w:lineRule="auto"/>
        <w:rPr>
          <w:rFonts w:hint="default" w:ascii="Arial" w:hAnsi="Arial" w:eastAsia="宋体" w:cs="Arial"/>
          <w:szCs w:val="22"/>
        </w:rPr>
      </w:pPr>
    </w:p>
    <w:p w14:paraId="6DA50E6E">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5.5 </w:t>
      </w:r>
      <w:r>
        <w:rPr>
          <w:rFonts w:hint="default" w:ascii="Arial" w:hAnsi="Arial" w:eastAsia="宋体" w:cs="Arial"/>
          <w:b/>
          <w:szCs w:val="22"/>
        </w:rPr>
        <w:tab/>
      </w:r>
      <w:r>
        <w:rPr>
          <w:rFonts w:hint="default" w:ascii="Arial" w:hAnsi="Arial" w:eastAsia="宋体" w:cs="Arial"/>
          <w:b/>
          <w:szCs w:val="22"/>
        </w:rPr>
        <w:t>Transfer/Transit Cargo</w:t>
      </w:r>
    </w:p>
    <w:p w14:paraId="7946F983">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5.5.1 </w:t>
      </w:r>
      <w:r>
        <w:rPr>
          <w:rFonts w:hint="default" w:ascii="Arial" w:hAnsi="Arial" w:eastAsia="宋体" w:cs="Arial"/>
          <w:szCs w:val="22"/>
          <w:lang w:val="en-US" w:eastAsia="zh-CN"/>
        </w:rPr>
        <w:t xml:space="preserve"> </w:t>
      </w:r>
      <w:r>
        <w:rPr>
          <w:rFonts w:hint="default" w:ascii="Arial" w:hAnsi="Arial" w:eastAsia="宋体" w:cs="Arial"/>
          <w:szCs w:val="22"/>
        </w:rPr>
        <w:t>Identify transfer/transit cargo.</w:t>
      </w:r>
    </w:p>
    <w:p w14:paraId="29262B0E">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5.5.2 </w:t>
      </w:r>
      <w:r>
        <w:rPr>
          <w:rFonts w:hint="default" w:ascii="Arial" w:hAnsi="Arial" w:eastAsia="宋体" w:cs="Arial"/>
          <w:szCs w:val="22"/>
          <w:lang w:val="en-US" w:eastAsia="zh-CN"/>
        </w:rPr>
        <w:t xml:space="preserve"> </w:t>
      </w:r>
      <w:r>
        <w:rPr>
          <w:rFonts w:hint="default" w:ascii="Arial" w:hAnsi="Arial" w:eastAsia="宋体" w:cs="Arial"/>
          <w:szCs w:val="22"/>
        </w:rPr>
        <w:t>Prepare transfer manifests for cargo to be transported by another carrier</w:t>
      </w:r>
    </w:p>
    <w:p w14:paraId="6DB2D5EB">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5.5.3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6B30C7D0">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for transport to the receiving carrier’s warehouse</w:t>
      </w:r>
    </w:p>
    <w:p w14:paraId="3F9CE2F5">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(1) on airport</w:t>
      </w:r>
    </w:p>
    <w:p w14:paraId="64C2207B">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5.5.4 </w:t>
      </w:r>
      <w:r>
        <w:rPr>
          <w:rFonts w:hint="default" w:ascii="Arial" w:hAnsi="Arial" w:eastAsia="宋体" w:cs="Arial"/>
          <w:szCs w:val="22"/>
          <w:lang w:val="en-US" w:eastAsia="zh-CN"/>
        </w:rPr>
        <w:t xml:space="preserve"> </w:t>
      </w:r>
      <w:r>
        <w:rPr>
          <w:rFonts w:hint="default" w:ascii="Arial" w:hAnsi="Arial" w:eastAsia="宋体" w:cs="Arial"/>
          <w:szCs w:val="22"/>
        </w:rPr>
        <w:t>Accept/prepare</w:t>
      </w:r>
    </w:p>
    <w:p w14:paraId="42544C2C">
      <w:pPr>
        <w:autoSpaceDE w:val="0"/>
        <w:autoSpaceDN w:val="0"/>
        <w:adjustRightInd w:val="0"/>
        <w:spacing w:after="0" w:line="240" w:lineRule="auto"/>
        <w:ind w:firstLine="1470" w:firstLineChars="700"/>
        <w:rPr>
          <w:rFonts w:hint="default" w:ascii="Arial" w:hAnsi="Arial" w:eastAsia="宋体" w:cs="Arial"/>
          <w:szCs w:val="22"/>
        </w:rPr>
      </w:pPr>
      <w:r>
        <w:rPr>
          <w:rFonts w:hint="default" w:ascii="Arial" w:hAnsi="Arial" w:eastAsia="宋体" w:cs="Arial"/>
          <w:szCs w:val="22"/>
        </w:rPr>
        <w:t>(a) transfer cargo</w:t>
      </w:r>
    </w:p>
    <w:p w14:paraId="6BBC9323">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 xml:space="preserve">(b) transit cargo </w:t>
      </w:r>
    </w:p>
    <w:p w14:paraId="201111DE">
      <w:pPr>
        <w:autoSpaceDE w:val="0"/>
        <w:autoSpaceDN w:val="0"/>
        <w:adjustRightInd w:val="0"/>
        <w:spacing w:after="0" w:line="240" w:lineRule="auto"/>
        <w:ind w:left="720" w:firstLine="1050" w:firstLineChars="500"/>
        <w:rPr>
          <w:rFonts w:hint="default" w:ascii="Arial" w:hAnsi="Arial" w:eastAsia="宋体" w:cs="Arial"/>
          <w:szCs w:val="22"/>
        </w:rPr>
      </w:pPr>
      <w:r>
        <w:rPr>
          <w:rFonts w:hint="default" w:ascii="Arial" w:hAnsi="Arial" w:eastAsia="宋体" w:cs="Arial"/>
          <w:szCs w:val="22"/>
        </w:rPr>
        <w:t>for onward carriage</w:t>
      </w:r>
    </w:p>
    <w:p w14:paraId="73FF54CE">
      <w:pPr>
        <w:autoSpaceDE w:val="0"/>
        <w:autoSpaceDN w:val="0"/>
        <w:adjustRightInd w:val="0"/>
        <w:spacing w:after="0" w:line="240" w:lineRule="auto"/>
        <w:rPr>
          <w:rFonts w:hint="default" w:ascii="Arial" w:hAnsi="Arial" w:eastAsia="宋体" w:cs="Arial"/>
          <w:szCs w:val="22"/>
        </w:rPr>
      </w:pPr>
    </w:p>
    <w:p w14:paraId="39EEF63F">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5.6 </w:t>
      </w:r>
      <w:r>
        <w:rPr>
          <w:rFonts w:hint="default" w:ascii="Arial" w:hAnsi="Arial" w:eastAsia="宋体" w:cs="Arial"/>
          <w:b/>
          <w:szCs w:val="22"/>
        </w:rPr>
        <w:tab/>
      </w:r>
      <w:r>
        <w:rPr>
          <w:rFonts w:hint="default" w:ascii="Arial" w:hAnsi="Arial" w:eastAsia="宋体" w:cs="Arial"/>
          <w:b/>
          <w:szCs w:val="22"/>
        </w:rPr>
        <w:t>Post Office Mail</w:t>
      </w:r>
    </w:p>
    <w:p w14:paraId="614C84CB">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5.6.1 </w:t>
      </w:r>
      <w:r>
        <w:rPr>
          <w:rFonts w:hint="default" w:ascii="Arial" w:hAnsi="Arial" w:eastAsia="宋体" w:cs="Arial"/>
          <w:szCs w:val="22"/>
          <w:lang w:val="en-US" w:eastAsia="zh-CN"/>
        </w:rPr>
        <w:t xml:space="preserve"> </w:t>
      </w:r>
      <w:r>
        <w:rPr>
          <w:rFonts w:hint="default" w:ascii="Arial" w:hAnsi="Arial" w:eastAsia="宋体" w:cs="Arial"/>
          <w:szCs w:val="22"/>
        </w:rPr>
        <w:t>Check</w:t>
      </w:r>
    </w:p>
    <w:p w14:paraId="0E81C977">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 incoming</w:t>
      </w:r>
    </w:p>
    <w:p w14:paraId="7A94773A">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mail against Post Office mail documents</w:t>
      </w:r>
    </w:p>
    <w:p w14:paraId="48859498">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5.6.2 </w:t>
      </w:r>
      <w:r>
        <w:rPr>
          <w:rFonts w:hint="default" w:ascii="Arial" w:hAnsi="Arial" w:eastAsia="宋体" w:cs="Arial"/>
          <w:szCs w:val="22"/>
          <w:lang w:val="en-US" w:eastAsia="zh-CN"/>
        </w:rPr>
        <w:t xml:space="preserve"> </w:t>
      </w:r>
      <w:r>
        <w:rPr>
          <w:rFonts w:hint="default" w:ascii="Arial" w:hAnsi="Arial" w:eastAsia="宋体" w:cs="Arial"/>
          <w:szCs w:val="22"/>
        </w:rPr>
        <w:t>In case of missing documentation, issue substitutes</w:t>
      </w:r>
    </w:p>
    <w:p w14:paraId="21B46A92">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5.6.3 </w:t>
      </w:r>
      <w:r>
        <w:rPr>
          <w:rFonts w:hint="default" w:ascii="Arial" w:hAnsi="Arial" w:eastAsia="宋体" w:cs="Arial"/>
          <w:szCs w:val="22"/>
          <w:lang w:val="en-US" w:eastAsia="zh-CN"/>
        </w:rPr>
        <w:t xml:space="preserve"> </w:t>
      </w:r>
      <w:r>
        <w:rPr>
          <w:rFonts w:hint="default" w:ascii="Arial" w:hAnsi="Arial" w:eastAsia="宋体" w:cs="Arial"/>
          <w:szCs w:val="22"/>
        </w:rPr>
        <w:t>Transport mail from</w:t>
      </w:r>
    </w:p>
    <w:p w14:paraId="64E55CDF">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 cargo warehouse to postal facility</w:t>
      </w:r>
    </w:p>
    <w:p w14:paraId="01768D78">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(b) postal facility to cargo warehouse</w:t>
      </w:r>
    </w:p>
    <w:p w14:paraId="2466F234">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(1) on airport</w:t>
      </w:r>
    </w:p>
    <w:p w14:paraId="659ADC7D">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together with documents, against receipt from postal authorities</w:t>
      </w:r>
    </w:p>
    <w:p w14:paraId="1F86C2B8">
      <w:pPr>
        <w:autoSpaceDE w:val="0"/>
        <w:autoSpaceDN w:val="0"/>
        <w:adjustRightInd w:val="0"/>
        <w:spacing w:after="0" w:line="240" w:lineRule="auto"/>
        <w:ind w:left="720"/>
        <w:rPr>
          <w:rFonts w:hint="default" w:ascii="Arial" w:hAnsi="Arial" w:eastAsia="宋体" w:cs="Arial"/>
          <w:szCs w:val="22"/>
        </w:rPr>
      </w:pPr>
    </w:p>
    <w:p w14:paraId="6B854706">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5.6.4 </w:t>
      </w:r>
      <w:r>
        <w:rPr>
          <w:rFonts w:hint="default" w:ascii="Arial" w:hAnsi="Arial" w:eastAsia="宋体" w:cs="Arial"/>
          <w:szCs w:val="22"/>
          <w:lang w:val="en-US" w:eastAsia="zh-CN"/>
        </w:rPr>
        <w:t xml:space="preserve"> </w:t>
      </w:r>
      <w:r>
        <w:rPr>
          <w:rFonts w:hint="default" w:ascii="Arial" w:hAnsi="Arial" w:eastAsia="宋体" w:cs="Arial"/>
          <w:szCs w:val="22"/>
        </w:rPr>
        <w:t>Handle and check transfer mail against accompanying mail documents</w:t>
      </w:r>
    </w:p>
    <w:p w14:paraId="04D37F4D">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5.6.5 </w:t>
      </w:r>
      <w:r>
        <w:rPr>
          <w:rFonts w:hint="default" w:ascii="Arial" w:hAnsi="Arial" w:eastAsia="宋体" w:cs="Arial"/>
          <w:szCs w:val="22"/>
          <w:lang w:val="en-US" w:eastAsia="zh-CN"/>
        </w:rPr>
        <w:t xml:space="preserve"> </w:t>
      </w:r>
      <w:r>
        <w:rPr>
          <w:rFonts w:hint="default" w:ascii="Arial" w:hAnsi="Arial" w:eastAsia="宋体" w:cs="Arial"/>
          <w:szCs w:val="22"/>
        </w:rPr>
        <w:t>Prepare</w:t>
      </w:r>
    </w:p>
    <w:p w14:paraId="7E7A1AEB">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 Bulk mail</w:t>
      </w:r>
    </w:p>
    <w:p w14:paraId="4E971215">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 xml:space="preserve">(b) ULDs </w:t>
      </w:r>
    </w:p>
    <w:p w14:paraId="57FF9FDB">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and establish</w:t>
      </w:r>
    </w:p>
    <w:p w14:paraId="2DE5387C">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(1) gross weight</w:t>
      </w:r>
    </w:p>
    <w:p w14:paraId="6904E9F0">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(2) volume</w:t>
      </w:r>
    </w:p>
    <w:p w14:paraId="4BB2B2B7">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(3) ULD contour</w:t>
      </w:r>
    </w:p>
    <w:p w14:paraId="192B6E64">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and provide the load control unit with the information</w:t>
      </w:r>
    </w:p>
    <w:p w14:paraId="31C3F112">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5.6.6 </w:t>
      </w:r>
      <w:r>
        <w:rPr>
          <w:rFonts w:hint="default" w:ascii="Arial" w:hAnsi="Arial" w:eastAsia="宋体" w:cs="Arial"/>
          <w:szCs w:val="22"/>
          <w:lang w:val="en-US" w:eastAsia="zh-CN"/>
        </w:rPr>
        <w:t xml:space="preserve"> </w:t>
      </w:r>
      <w:r>
        <w:rPr>
          <w:rFonts w:hint="default" w:ascii="Arial" w:hAnsi="Arial" w:eastAsia="宋体" w:cs="Arial"/>
          <w:szCs w:val="22"/>
        </w:rPr>
        <w:t>Distribute incoming and/or outgoing post office mail Documents</w:t>
      </w:r>
    </w:p>
    <w:p w14:paraId="1BF72A70">
      <w:pPr>
        <w:autoSpaceDE w:val="0"/>
        <w:autoSpaceDN w:val="0"/>
        <w:adjustRightInd w:val="0"/>
        <w:spacing w:after="0" w:line="240" w:lineRule="auto"/>
        <w:ind w:firstLine="720"/>
        <w:rPr>
          <w:rFonts w:hint="default" w:ascii="Arial" w:hAnsi="Arial" w:eastAsia="宋体" w:cs="Arial"/>
          <w:b/>
          <w:szCs w:val="22"/>
        </w:rPr>
      </w:pPr>
    </w:p>
    <w:p w14:paraId="230C5A14">
      <w:pPr>
        <w:autoSpaceDE w:val="0"/>
        <w:autoSpaceDN w:val="0"/>
        <w:adjustRightInd w:val="0"/>
        <w:spacing w:after="0" w:line="240" w:lineRule="auto"/>
        <w:ind w:firstLine="0"/>
        <w:rPr>
          <w:rFonts w:hint="default" w:ascii="Arial" w:hAnsi="Arial" w:eastAsia="宋体" w:cs="Arial"/>
          <w:b/>
          <w:szCs w:val="22"/>
        </w:rPr>
      </w:pPr>
    </w:p>
    <w:p w14:paraId="4F482964">
      <w:pPr>
        <w:numPr>
          <w:ilvl w:val="0"/>
          <w:numId w:val="4"/>
        </w:numPr>
        <w:kinsoku w:val="0"/>
        <w:overflowPunct w:val="0"/>
        <w:autoSpaceDE w:val="0"/>
        <w:autoSpaceDN w:val="0"/>
        <w:adjustRightInd w:val="0"/>
        <w:spacing w:before="120" w:after="0" w:line="240" w:lineRule="auto"/>
        <w:ind w:left="1140"/>
        <w:jc w:val="both"/>
        <w:textAlignment w:val="baseline"/>
        <w:rPr>
          <w:rFonts w:hint="default" w:ascii="Arial" w:hAnsi="Arial" w:eastAsia="Batang" w:cs="Arial"/>
          <w:b/>
          <w:bCs/>
          <w:sz w:val="22"/>
          <w:szCs w:val="22"/>
          <w:lang w:val="en-US" w:eastAsia="zh-CN"/>
        </w:rPr>
      </w:pPr>
      <w:r>
        <w:rPr>
          <w:rFonts w:hint="default" w:ascii="Arial" w:hAnsi="Arial" w:eastAsia="Batang" w:cs="Arial"/>
          <w:b/>
          <w:bCs/>
          <w:sz w:val="22"/>
          <w:szCs w:val="22"/>
          <w:lang w:val="en-US" w:eastAsia="zh-CN"/>
        </w:rPr>
        <w:t>Import Mail Scanning Service</w:t>
      </w:r>
    </w:p>
    <w:p w14:paraId="00AE6389">
      <w:pPr>
        <w:numPr>
          <w:ilvl w:val="0"/>
          <w:numId w:val="5"/>
        </w:numPr>
        <w:kinsoku w:val="0"/>
        <w:overflowPunct w:val="0"/>
        <w:autoSpaceDE w:val="0"/>
        <w:autoSpaceDN w:val="0"/>
        <w:adjustRightInd w:val="0"/>
        <w:spacing w:after="0" w:line="240" w:lineRule="auto"/>
        <w:ind w:left="114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 xml:space="preserve"> The Handling Company shall provide:</w:t>
      </w:r>
    </w:p>
    <w:p w14:paraId="469456D9">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Scanning of all import mail bags and/or ULDS in accordance with the Carrier's instructions and requirements</w:t>
      </w:r>
    </w:p>
    <w:p w14:paraId="4179F8AA">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Upload mail data and update mail status on AccuCode Vmail system according to the Carrier's Manual. Input / correct mail data manually if variances occurred</w:t>
      </w:r>
    </w:p>
    <w:p w14:paraId="13DD5EA7">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Proper storage for the Carrier's scanner. Report to the Carrier if irregularities occurred</w:t>
      </w:r>
    </w:p>
    <w:p w14:paraId="07B57C58">
      <w:pPr>
        <w:numPr>
          <w:ilvl w:val="0"/>
          <w:numId w:val="5"/>
        </w:numPr>
        <w:kinsoku w:val="0"/>
        <w:overflowPunct w:val="0"/>
        <w:autoSpaceDE w:val="0"/>
        <w:autoSpaceDN w:val="0"/>
        <w:adjustRightInd w:val="0"/>
        <w:spacing w:after="0" w:line="240" w:lineRule="auto"/>
        <w:ind w:left="114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 xml:space="preserve"> The Carrier shall provide:</w:t>
      </w:r>
    </w:p>
    <w:p w14:paraId="71D523FD">
      <w:pPr>
        <w:numPr>
          <w:ilvl w:val="0"/>
          <w:numId w:val="7"/>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Bar code scanner</w:t>
      </w:r>
    </w:p>
    <w:p w14:paraId="5D521E10">
      <w:pPr>
        <w:numPr>
          <w:ilvl w:val="0"/>
          <w:numId w:val="7"/>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Initial training to the Handling Company's staff. The Handling Company shall be responsible for any additional training required due to employee turnover, course failures or expansion requirements</w:t>
      </w:r>
    </w:p>
    <w:p w14:paraId="0E42237B">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ab/>
      </w:r>
    </w:p>
    <w:p w14:paraId="1AC3746F">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5.7 </w:t>
      </w:r>
      <w:r>
        <w:rPr>
          <w:rFonts w:hint="default" w:ascii="Arial" w:hAnsi="Arial" w:eastAsia="宋体" w:cs="Arial"/>
          <w:b/>
          <w:szCs w:val="22"/>
        </w:rPr>
        <w:tab/>
      </w:r>
      <w:r>
        <w:rPr>
          <w:rFonts w:hint="default" w:ascii="Arial" w:hAnsi="Arial" w:eastAsia="宋体" w:cs="Arial"/>
          <w:b/>
          <w:szCs w:val="22"/>
        </w:rPr>
        <w:t>Irregularities Handling</w:t>
      </w:r>
    </w:p>
    <w:p w14:paraId="60417A54">
      <w:pPr>
        <w:autoSpaceDE w:val="0"/>
        <w:autoSpaceDN w:val="0"/>
        <w:adjustRightInd w:val="0"/>
        <w:spacing w:after="0" w:line="240" w:lineRule="auto"/>
        <w:ind w:left="1440" w:hanging="720"/>
        <w:jc w:val="both"/>
        <w:rPr>
          <w:rFonts w:hint="default" w:ascii="Arial" w:hAnsi="Arial" w:eastAsia="宋体" w:cs="Arial"/>
          <w:szCs w:val="22"/>
        </w:rPr>
      </w:pPr>
      <w:r>
        <w:rPr>
          <w:rFonts w:hint="default" w:ascii="Arial" w:hAnsi="Arial" w:eastAsia="宋体" w:cs="Arial"/>
          <w:szCs w:val="22"/>
        </w:rPr>
        <w:t xml:space="preserve">5.7.1 </w:t>
      </w:r>
      <w:r>
        <w:rPr>
          <w:rFonts w:hint="default" w:ascii="Arial" w:hAnsi="Arial" w:eastAsia="宋体" w:cs="Arial"/>
          <w:szCs w:val="22"/>
        </w:rPr>
        <w:tab/>
      </w:r>
      <w:r>
        <w:rPr>
          <w:rFonts w:hint="default" w:ascii="Arial" w:hAnsi="Arial" w:eastAsia="宋体" w:cs="Arial"/>
          <w:szCs w:val="22"/>
        </w:rPr>
        <w:t>Take immediate action in respect of irregularities, damage or mishandling of dangerous goods and other special shipments.</w:t>
      </w:r>
    </w:p>
    <w:p w14:paraId="144E8A77">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5.7.2 </w:t>
      </w:r>
      <w:r>
        <w:rPr>
          <w:rFonts w:hint="default" w:ascii="Arial" w:hAnsi="Arial" w:eastAsia="宋体" w:cs="Arial"/>
          <w:szCs w:val="22"/>
          <w:lang w:val="en-US" w:eastAsia="zh-CN"/>
        </w:rPr>
        <w:t xml:space="preserve"> </w:t>
      </w:r>
      <w:r>
        <w:rPr>
          <w:rFonts w:hint="default" w:ascii="Arial" w:hAnsi="Arial" w:eastAsia="宋体" w:cs="Arial"/>
          <w:szCs w:val="22"/>
        </w:rPr>
        <w:t>Report to the Carrier any irregularities discovered in</w:t>
      </w:r>
    </w:p>
    <w:p w14:paraId="232456F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 cargo</w:t>
      </w:r>
    </w:p>
    <w:p w14:paraId="553D2B34">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mail</w:t>
      </w:r>
    </w:p>
    <w:p w14:paraId="6A584654">
      <w:pPr>
        <w:autoSpaceDE w:val="0"/>
        <w:autoSpaceDN w:val="0"/>
        <w:adjustRightInd w:val="0"/>
        <w:spacing w:after="0" w:line="240" w:lineRule="auto"/>
        <w:ind w:left="0" w:firstLine="720"/>
        <w:rPr>
          <w:rFonts w:hint="default" w:ascii="Arial" w:hAnsi="Arial" w:eastAsia="宋体" w:cs="Arial"/>
          <w:szCs w:val="22"/>
        </w:rPr>
      </w:pPr>
      <w:r>
        <w:rPr>
          <w:rFonts w:hint="default" w:ascii="Arial" w:hAnsi="Arial" w:eastAsia="宋体" w:cs="Arial"/>
          <w:szCs w:val="22"/>
        </w:rPr>
        <w:t xml:space="preserve">5.7.3 </w:t>
      </w:r>
      <w:r>
        <w:rPr>
          <w:rFonts w:hint="default" w:ascii="Arial" w:hAnsi="Arial" w:eastAsia="宋体" w:cs="Arial"/>
          <w:szCs w:val="22"/>
          <w:lang w:val="en-US" w:eastAsia="zh-CN"/>
        </w:rPr>
        <w:t xml:space="preserve"> </w:t>
      </w:r>
      <w:r>
        <w:rPr>
          <w:rFonts w:hint="default" w:ascii="Arial" w:hAnsi="Arial" w:eastAsia="宋体" w:cs="Arial"/>
          <w:szCs w:val="22"/>
        </w:rPr>
        <w:t>Handle lost, found and damaged</w:t>
      </w:r>
    </w:p>
    <w:p w14:paraId="0206B091">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 cargo</w:t>
      </w:r>
    </w:p>
    <w:p w14:paraId="41109004">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mail</w:t>
      </w:r>
    </w:p>
    <w:p w14:paraId="052AC3C8">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5.7.4 </w:t>
      </w:r>
      <w:r>
        <w:rPr>
          <w:rFonts w:hint="default" w:ascii="Arial" w:hAnsi="Arial" w:eastAsia="宋体" w:cs="Arial"/>
          <w:szCs w:val="22"/>
          <w:lang w:val="en-US" w:eastAsia="zh-CN"/>
        </w:rPr>
        <w:t xml:space="preserve"> </w:t>
      </w:r>
      <w:r>
        <w:rPr>
          <w:rFonts w:hint="default" w:ascii="Arial" w:hAnsi="Arial" w:eastAsia="宋体" w:cs="Arial"/>
          <w:szCs w:val="22"/>
        </w:rPr>
        <w:t>(a) Notify the Carrier of complaints and claims.</w:t>
      </w:r>
    </w:p>
    <w:p w14:paraId="395688EA">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Process claims</w:t>
      </w:r>
    </w:p>
    <w:p w14:paraId="3E8D276D">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5.7.5 </w:t>
      </w:r>
      <w:r>
        <w:rPr>
          <w:rFonts w:hint="default" w:ascii="Arial" w:hAnsi="Arial" w:eastAsia="宋体" w:cs="Arial"/>
          <w:szCs w:val="22"/>
          <w:lang w:val="en-US" w:eastAsia="zh-CN"/>
        </w:rPr>
        <w:t xml:space="preserve"> </w:t>
      </w:r>
      <w:r>
        <w:rPr>
          <w:rFonts w:hint="default" w:ascii="Arial" w:hAnsi="Arial" w:eastAsia="宋体" w:cs="Arial"/>
          <w:szCs w:val="22"/>
        </w:rPr>
        <w:t>Take action when consignee refuses acceptance</w:t>
      </w:r>
    </w:p>
    <w:p w14:paraId="63CB3F72">
      <w:pPr>
        <w:autoSpaceDE w:val="0"/>
        <w:autoSpaceDN w:val="0"/>
        <w:adjustRightInd w:val="0"/>
        <w:spacing w:after="0" w:line="240" w:lineRule="auto"/>
        <w:ind w:firstLine="720"/>
        <w:rPr>
          <w:rFonts w:hint="default" w:ascii="Arial" w:hAnsi="Arial" w:eastAsia="宋体" w:cs="Arial"/>
          <w:szCs w:val="22"/>
        </w:rPr>
      </w:pPr>
    </w:p>
    <w:p w14:paraId="148B4384">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SECTION 6: Support Services</w:t>
      </w:r>
    </w:p>
    <w:p w14:paraId="6A725FF3">
      <w:pPr>
        <w:autoSpaceDE w:val="0"/>
        <w:autoSpaceDN w:val="0"/>
        <w:adjustRightInd w:val="0"/>
        <w:spacing w:after="0" w:line="240" w:lineRule="auto"/>
        <w:ind w:firstLine="720"/>
        <w:rPr>
          <w:rFonts w:hint="default" w:ascii="Arial" w:hAnsi="Arial" w:eastAsia="宋体" w:cs="Arial"/>
          <w:b/>
          <w:szCs w:val="22"/>
        </w:rPr>
      </w:pPr>
    </w:p>
    <w:p w14:paraId="56E15145">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6.1</w:t>
      </w:r>
      <w:r>
        <w:rPr>
          <w:rFonts w:hint="default" w:ascii="Arial" w:hAnsi="Arial" w:eastAsia="宋体" w:cs="Arial"/>
          <w:b/>
          <w:szCs w:val="22"/>
        </w:rPr>
        <w:tab/>
      </w:r>
      <w:r>
        <w:rPr>
          <w:rFonts w:hint="default" w:ascii="Arial" w:hAnsi="Arial" w:eastAsia="宋体" w:cs="Arial"/>
          <w:b/>
          <w:szCs w:val="22"/>
        </w:rPr>
        <w:t>Accommodation</w:t>
      </w:r>
    </w:p>
    <w:p w14:paraId="0F0F2C1A">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6.1.1 </w:t>
      </w:r>
      <w:r>
        <w:rPr>
          <w:rFonts w:hint="default" w:ascii="Arial" w:hAnsi="Arial" w:eastAsia="宋体" w:cs="Arial"/>
          <w:szCs w:val="22"/>
          <w:lang w:val="en-US" w:eastAsia="zh-CN"/>
        </w:rPr>
        <w:t xml:space="preserve"> </w:t>
      </w:r>
      <w:r>
        <w:rPr>
          <w:rFonts w:hint="default" w:ascii="Arial" w:hAnsi="Arial" w:eastAsia="宋体" w:cs="Arial"/>
          <w:szCs w:val="22"/>
        </w:rPr>
        <w:t>Provide the Carrier with</w:t>
      </w:r>
    </w:p>
    <w:p w14:paraId="4C0A135A">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(a) office space</w:t>
      </w:r>
    </w:p>
    <w:p w14:paraId="5A5A0341">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storage space</w:t>
      </w:r>
    </w:p>
    <w:p w14:paraId="46ECF9C1">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(c) other facilities, as specified in Annex B</w:t>
      </w:r>
    </w:p>
    <w:p w14:paraId="3F736504">
      <w:pPr>
        <w:autoSpaceDE w:val="0"/>
        <w:autoSpaceDN w:val="0"/>
        <w:adjustRightInd w:val="0"/>
        <w:spacing w:after="0" w:line="240" w:lineRule="auto"/>
        <w:ind w:firstLine="720"/>
        <w:rPr>
          <w:rFonts w:hint="default" w:ascii="Arial" w:hAnsi="Arial" w:eastAsia="宋体" w:cs="Arial"/>
          <w:szCs w:val="22"/>
        </w:rPr>
      </w:pPr>
    </w:p>
    <w:p w14:paraId="1C14083C">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6.2 </w:t>
      </w:r>
      <w:r>
        <w:rPr>
          <w:rFonts w:hint="default" w:ascii="Arial" w:hAnsi="Arial" w:eastAsia="宋体" w:cs="Arial"/>
          <w:b/>
          <w:szCs w:val="22"/>
        </w:rPr>
        <w:tab/>
      </w:r>
      <w:r>
        <w:rPr>
          <w:rFonts w:hint="default" w:ascii="Arial" w:hAnsi="Arial" w:eastAsia="宋体" w:cs="Arial"/>
          <w:b/>
          <w:szCs w:val="22"/>
        </w:rPr>
        <w:t>Automation/Computer Systems</w:t>
      </w:r>
    </w:p>
    <w:p w14:paraId="744D51F7">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6.2.1 </w:t>
      </w:r>
      <w:r>
        <w:rPr>
          <w:rFonts w:hint="default" w:ascii="Arial" w:hAnsi="Arial" w:eastAsia="宋体" w:cs="Arial"/>
          <w:szCs w:val="22"/>
          <w:lang w:val="en-US" w:eastAsia="zh-CN"/>
        </w:rPr>
        <w:t xml:space="preserve"> </w:t>
      </w:r>
      <w:r>
        <w:rPr>
          <w:rFonts w:hint="default" w:ascii="Arial" w:hAnsi="Arial" w:eastAsia="宋体" w:cs="Arial"/>
          <w:szCs w:val="22"/>
        </w:rPr>
        <w:t xml:space="preserve">(a) Provide </w:t>
      </w:r>
    </w:p>
    <w:p w14:paraId="6247824C">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(c) Operate</w:t>
      </w:r>
    </w:p>
    <w:p w14:paraId="2EBA9CC7">
      <w:pPr>
        <w:autoSpaceDE w:val="0"/>
        <w:autoSpaceDN w:val="0"/>
        <w:adjustRightInd w:val="0"/>
        <w:spacing w:after="0" w:line="240" w:lineRule="auto"/>
        <w:ind w:left="1440"/>
        <w:jc w:val="both"/>
        <w:rPr>
          <w:rFonts w:hint="default" w:ascii="Arial" w:hAnsi="Arial" w:eastAsia="宋体" w:cs="Arial"/>
          <w:szCs w:val="22"/>
        </w:rPr>
      </w:pPr>
      <w:r>
        <w:rPr>
          <w:rFonts w:hint="default" w:ascii="Arial" w:hAnsi="Arial" w:eastAsia="宋体" w:cs="Arial"/>
          <w:szCs w:val="22"/>
        </w:rPr>
        <w:t>computer hardware and other equipment (as specified in Annex B) to enable access to</w:t>
      </w:r>
    </w:p>
    <w:p w14:paraId="3D438433">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(2) Handling Company’s system</w:t>
      </w:r>
    </w:p>
    <w:p w14:paraId="28599712">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6.2.2 </w:t>
      </w:r>
      <w:r>
        <w:rPr>
          <w:rFonts w:hint="default" w:ascii="Arial" w:hAnsi="Arial" w:eastAsia="宋体" w:cs="Arial"/>
          <w:szCs w:val="22"/>
          <w:lang w:val="en-US" w:eastAsia="zh-CN"/>
        </w:rPr>
        <w:t xml:space="preserve"> </w:t>
      </w:r>
      <w:r>
        <w:rPr>
          <w:rFonts w:hint="default" w:ascii="Arial" w:hAnsi="Arial" w:eastAsia="宋体" w:cs="Arial"/>
          <w:szCs w:val="22"/>
        </w:rPr>
        <w:t>Perform the following functions in</w:t>
      </w:r>
    </w:p>
    <w:p w14:paraId="50C7A8B7">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 xml:space="preserve">(b) Handling Company’s system </w:t>
      </w:r>
    </w:p>
    <w:p w14:paraId="1391C04A">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(8) Cargo handling</w:t>
      </w:r>
    </w:p>
    <w:p w14:paraId="73652601">
      <w:pPr>
        <w:autoSpaceDE w:val="0"/>
        <w:autoSpaceDN w:val="0"/>
        <w:adjustRightInd w:val="0"/>
        <w:spacing w:after="0" w:line="240" w:lineRule="auto"/>
        <w:ind w:left="720" w:firstLine="720"/>
        <w:rPr>
          <w:rFonts w:hint="default" w:ascii="Arial" w:hAnsi="Arial" w:eastAsia="宋体" w:cs="Arial"/>
          <w:szCs w:val="22"/>
          <w:lang w:val="es-ES"/>
        </w:rPr>
      </w:pPr>
      <w:r>
        <w:rPr>
          <w:rFonts w:hint="default" w:ascii="Arial" w:hAnsi="Arial" w:eastAsia="宋体" w:cs="Arial"/>
          <w:szCs w:val="22"/>
          <w:lang w:val="es-ES"/>
        </w:rPr>
        <w:t>(9) Cargo EDI messaging (IATA cargo-imp)</w:t>
      </w:r>
    </w:p>
    <w:p w14:paraId="40A59A7C">
      <w:pPr>
        <w:autoSpaceDE w:val="0"/>
        <w:autoSpaceDN w:val="0"/>
        <w:adjustRightInd w:val="0"/>
        <w:spacing w:after="0" w:line="240" w:lineRule="auto"/>
        <w:ind w:left="720" w:firstLine="720"/>
        <w:rPr>
          <w:rFonts w:hint="default" w:ascii="Arial" w:hAnsi="Arial" w:eastAsia="宋体" w:cs="Arial"/>
          <w:szCs w:val="22"/>
          <w:lang w:val="es-ES"/>
        </w:rPr>
      </w:pPr>
    </w:p>
    <w:p w14:paraId="7ADDD6A4">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6.3 </w:t>
      </w:r>
      <w:r>
        <w:rPr>
          <w:rFonts w:hint="default" w:ascii="Arial" w:hAnsi="Arial" w:eastAsia="宋体" w:cs="Arial"/>
          <w:b/>
          <w:szCs w:val="22"/>
        </w:rPr>
        <w:tab/>
      </w:r>
      <w:r>
        <w:rPr>
          <w:rFonts w:hint="default" w:ascii="Arial" w:hAnsi="Arial" w:eastAsia="宋体" w:cs="Arial"/>
          <w:b/>
          <w:szCs w:val="22"/>
        </w:rPr>
        <w:t>Unit Load Device (ULD) Control</w:t>
      </w:r>
    </w:p>
    <w:p w14:paraId="79484AEC">
      <w:pPr>
        <w:autoSpaceDE w:val="0"/>
        <w:autoSpaceDN w:val="0"/>
        <w:adjustRightInd w:val="0"/>
        <w:spacing w:after="0" w:line="240" w:lineRule="auto"/>
        <w:ind w:firstLine="720"/>
        <w:rPr>
          <w:rFonts w:hint="default" w:ascii="Arial" w:hAnsi="Arial" w:eastAsia="宋体" w:cs="Arial"/>
          <w:szCs w:val="22"/>
        </w:rPr>
      </w:pPr>
      <w:r>
        <w:rPr>
          <w:rFonts w:hint="default" w:ascii="Arial" w:hAnsi="Arial" w:eastAsia="宋体" w:cs="Arial"/>
          <w:szCs w:val="22"/>
        </w:rPr>
        <w:t xml:space="preserve">6.3.1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13D3B56A">
      <w:pPr>
        <w:autoSpaceDE w:val="0"/>
        <w:autoSpaceDN w:val="0"/>
        <w:adjustRightInd w:val="0"/>
        <w:spacing w:after="0" w:line="240" w:lineRule="auto"/>
        <w:ind w:firstLine="720"/>
        <w:rPr>
          <w:rFonts w:hint="default" w:ascii="Arial" w:hAnsi="Arial" w:eastAsia="宋体" w:cs="Arial"/>
          <w:szCs w:val="22"/>
          <w:lang w:val="en-US"/>
        </w:rPr>
      </w:pPr>
      <w:r>
        <w:rPr>
          <w:rFonts w:hint="default" w:ascii="Arial" w:hAnsi="Arial" w:eastAsia="宋体" w:cs="Arial"/>
          <w:szCs w:val="22"/>
        </w:rPr>
        <w:tab/>
      </w:r>
      <w:r>
        <w:rPr>
          <w:rFonts w:hint="default" w:ascii="Arial" w:hAnsi="Arial" w:eastAsia="宋体" w:cs="Arial"/>
          <w:szCs w:val="22"/>
        </w:rPr>
        <w:t xml:space="preserve">     </w:t>
      </w:r>
      <w:r>
        <w:rPr>
          <w:rFonts w:hint="default" w:ascii="Arial" w:hAnsi="Arial" w:eastAsia="宋体" w:cs="Arial"/>
          <w:szCs w:val="22"/>
          <w:lang w:val="en-US" w:eastAsia="zh-CN"/>
        </w:rPr>
        <w:t xml:space="preserve">    </w:t>
      </w:r>
      <w:r>
        <w:rPr>
          <w:rFonts w:hint="default" w:ascii="Arial" w:hAnsi="Arial" w:eastAsia="宋体" w:cs="Arial"/>
          <w:szCs w:val="22"/>
        </w:rPr>
        <w:t>storage space for</w:t>
      </w:r>
    </w:p>
    <w:p w14:paraId="1DB3ADE1">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w:t>
      </w:r>
      <w:r>
        <w:rPr>
          <w:rFonts w:hint="default" w:ascii="Arial" w:hAnsi="Arial" w:eastAsia="宋体" w:cs="Arial"/>
          <w:szCs w:val="22"/>
          <w:lang w:val="en-US"/>
        </w:rPr>
        <w:t>2</w:t>
      </w:r>
      <w:r>
        <w:rPr>
          <w:rFonts w:hint="default" w:ascii="Arial" w:hAnsi="Arial" w:eastAsia="宋体" w:cs="Arial"/>
          <w:szCs w:val="22"/>
        </w:rPr>
        <w:t>) Cargo ULDs (one ship set)</w:t>
      </w:r>
    </w:p>
    <w:p w14:paraId="751DB737">
      <w:pPr>
        <w:autoSpaceDE w:val="0"/>
        <w:autoSpaceDN w:val="0"/>
        <w:adjustRightInd w:val="0"/>
        <w:spacing w:after="0" w:line="240" w:lineRule="auto"/>
        <w:ind w:left="720" w:firstLine="720" w:firstLineChars="0"/>
        <w:rPr>
          <w:rFonts w:hint="default" w:ascii="Arial" w:hAnsi="Arial" w:eastAsia="宋体" w:cs="Arial"/>
          <w:szCs w:val="22"/>
          <w:lang w:val="en-US"/>
        </w:rPr>
      </w:pPr>
      <w:r>
        <w:rPr>
          <w:rFonts w:hint="default" w:ascii="Arial" w:hAnsi="Arial" w:eastAsia="宋体" w:cs="Arial"/>
          <w:szCs w:val="22"/>
          <w:lang w:val="en-US"/>
        </w:rPr>
        <w:t>(3) Post office mail ULDs</w:t>
      </w:r>
    </w:p>
    <w:p w14:paraId="6DEB71B0">
      <w:pPr>
        <w:autoSpaceDE w:val="0"/>
        <w:autoSpaceDN w:val="0"/>
        <w:adjustRightInd w:val="0"/>
        <w:spacing w:after="0" w:line="240" w:lineRule="auto"/>
        <w:ind w:left="1440" w:hanging="720"/>
        <w:jc w:val="both"/>
        <w:rPr>
          <w:rFonts w:hint="default" w:ascii="Arial" w:hAnsi="Arial" w:eastAsia="宋体" w:cs="Arial"/>
          <w:szCs w:val="22"/>
        </w:rPr>
      </w:pPr>
      <w:r>
        <w:rPr>
          <w:rFonts w:hint="default" w:ascii="Arial" w:hAnsi="Arial" w:eastAsia="宋体" w:cs="Arial"/>
          <w:szCs w:val="22"/>
        </w:rPr>
        <w:t xml:space="preserve">6.3.2 </w:t>
      </w:r>
      <w:r>
        <w:rPr>
          <w:rFonts w:hint="default" w:ascii="Arial" w:hAnsi="Arial" w:eastAsia="宋体" w:cs="Arial"/>
          <w:szCs w:val="22"/>
        </w:rPr>
        <w:tab/>
      </w:r>
      <w:r>
        <w:rPr>
          <w:rFonts w:hint="default" w:ascii="Arial" w:hAnsi="Arial" w:eastAsia="宋体" w:cs="Arial"/>
          <w:szCs w:val="22"/>
        </w:rPr>
        <w:t>Take action to prevent damage, theft or unauthorised use of the Carrier’s ULDs in the custody of the Handling Company. Notify the Carrier immediately of any damage or loss</w:t>
      </w:r>
    </w:p>
    <w:p w14:paraId="248FFED5">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6.3.3 </w:t>
      </w:r>
      <w:r>
        <w:rPr>
          <w:rFonts w:hint="default" w:ascii="Arial" w:hAnsi="Arial" w:eastAsia="宋体" w:cs="Arial"/>
          <w:szCs w:val="22"/>
          <w:lang w:val="en-US" w:eastAsia="zh-CN"/>
        </w:rPr>
        <w:t xml:space="preserve"> </w:t>
      </w:r>
      <w:r>
        <w:rPr>
          <w:rFonts w:hint="default" w:ascii="Arial" w:hAnsi="Arial" w:eastAsia="宋体" w:cs="Arial"/>
          <w:szCs w:val="22"/>
        </w:rPr>
        <w:t>(a) Take physical inventory of ULD stock and maintain records.</w:t>
      </w:r>
    </w:p>
    <w:p w14:paraId="3F2A4D3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(b) Compile and despatch ULD control messages</w:t>
      </w:r>
    </w:p>
    <w:p w14:paraId="4022590C">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(c) Compile and dispatch ULD Stock Check Messages (SCM) at agreed timings as specified in Annex B</w:t>
      </w:r>
    </w:p>
    <w:p w14:paraId="61A10F95">
      <w:pPr>
        <w:autoSpaceDE w:val="0"/>
        <w:autoSpaceDN w:val="0"/>
        <w:adjustRightInd w:val="0"/>
        <w:spacing w:after="0" w:line="240" w:lineRule="auto"/>
        <w:ind w:left="1440" w:hanging="720"/>
        <w:jc w:val="both"/>
        <w:rPr>
          <w:rFonts w:hint="default" w:ascii="Arial" w:hAnsi="Arial" w:eastAsia="宋体" w:cs="Arial"/>
          <w:szCs w:val="22"/>
        </w:rPr>
      </w:pPr>
      <w:r>
        <w:rPr>
          <w:rFonts w:hint="default" w:ascii="Arial" w:hAnsi="Arial" w:eastAsia="宋体" w:cs="Arial"/>
          <w:szCs w:val="22"/>
        </w:rPr>
        <w:t xml:space="preserve">6.3.4 </w:t>
      </w:r>
      <w:r>
        <w:rPr>
          <w:rFonts w:hint="default" w:ascii="Arial" w:hAnsi="Arial" w:eastAsia="宋体" w:cs="Arial"/>
          <w:szCs w:val="22"/>
        </w:rPr>
        <w:tab/>
      </w:r>
      <w:r>
        <w:rPr>
          <w:rFonts w:hint="default" w:ascii="Arial" w:hAnsi="Arial" w:eastAsia="宋体" w:cs="Arial"/>
          <w:szCs w:val="22"/>
        </w:rPr>
        <w:t>Prepare ULD exchange control documentation for all transfers of ULDs and obtain signature(s) of the transferring and receiving carrier(s) or approved</w:t>
      </w:r>
      <w:r>
        <w:rPr>
          <w:rFonts w:hint="default" w:ascii="Arial" w:hAnsi="Arial" w:eastAsia="宋体" w:cs="Arial"/>
          <w:szCs w:val="22"/>
          <w:lang w:val="en-US" w:eastAsia="zh-CN"/>
        </w:rPr>
        <w:t xml:space="preserve"> </w:t>
      </w:r>
      <w:r>
        <w:rPr>
          <w:rFonts w:hint="default" w:ascii="Arial" w:hAnsi="Arial" w:eastAsia="宋体" w:cs="Arial"/>
          <w:szCs w:val="22"/>
        </w:rPr>
        <w:t>third parties and distribute copies</w:t>
      </w:r>
    </w:p>
    <w:p w14:paraId="50F813D1">
      <w:pPr>
        <w:autoSpaceDE w:val="0"/>
        <w:autoSpaceDN w:val="0"/>
        <w:adjustRightInd w:val="0"/>
        <w:spacing w:after="0" w:line="240" w:lineRule="auto"/>
        <w:ind w:left="1440" w:hanging="720"/>
        <w:jc w:val="both"/>
        <w:rPr>
          <w:rFonts w:hint="default" w:ascii="Arial" w:hAnsi="Arial" w:eastAsia="宋体" w:cs="Arial"/>
          <w:szCs w:val="22"/>
        </w:rPr>
      </w:pPr>
      <w:r>
        <w:rPr>
          <w:rFonts w:hint="default" w:ascii="Arial" w:hAnsi="Arial" w:eastAsia="宋体" w:cs="Arial"/>
          <w:szCs w:val="22"/>
        </w:rPr>
        <w:t xml:space="preserve">6.3.5 </w:t>
      </w:r>
      <w:r>
        <w:rPr>
          <w:rFonts w:hint="default" w:ascii="Arial" w:hAnsi="Arial" w:eastAsia="宋体" w:cs="Arial"/>
          <w:szCs w:val="22"/>
        </w:rPr>
        <w:tab/>
      </w:r>
      <w:r>
        <w:rPr>
          <w:rFonts w:hint="default" w:ascii="Arial" w:hAnsi="Arial" w:eastAsia="宋体" w:cs="Arial"/>
          <w:szCs w:val="22"/>
        </w:rPr>
        <w:t>Handle lost, found and damaged ULDs and notify the Carrier of such irregularities</w:t>
      </w:r>
    </w:p>
    <w:p w14:paraId="3F2E2E11">
      <w:pPr>
        <w:autoSpaceDE w:val="0"/>
        <w:autoSpaceDN w:val="0"/>
        <w:adjustRightInd w:val="0"/>
        <w:spacing w:after="0" w:line="240" w:lineRule="auto"/>
        <w:ind w:left="1440" w:hanging="720"/>
        <w:rPr>
          <w:rFonts w:hint="default" w:ascii="Arial" w:hAnsi="Arial" w:eastAsia="宋体" w:cs="Arial"/>
          <w:szCs w:val="22"/>
        </w:rPr>
      </w:pPr>
    </w:p>
    <w:p w14:paraId="0B64697D">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6.6 </w:t>
      </w:r>
      <w:r>
        <w:rPr>
          <w:rFonts w:hint="default" w:ascii="Arial" w:hAnsi="Arial" w:eastAsia="宋体" w:cs="Arial"/>
          <w:b/>
          <w:szCs w:val="22"/>
        </w:rPr>
        <w:tab/>
      </w:r>
      <w:r>
        <w:rPr>
          <w:rFonts w:hint="default" w:ascii="Arial" w:hAnsi="Arial" w:eastAsia="宋体" w:cs="Arial"/>
          <w:b/>
          <w:szCs w:val="22"/>
        </w:rPr>
        <w:t>Surface Transport</w:t>
      </w:r>
    </w:p>
    <w:p w14:paraId="39305D57">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6.6.1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5DF57A83">
      <w:pPr>
        <w:autoSpaceDE w:val="0"/>
        <w:autoSpaceDN w:val="0"/>
        <w:adjustRightInd w:val="0"/>
        <w:spacing w:after="0" w:line="240" w:lineRule="auto"/>
        <w:ind w:left="720" w:firstLine="1050" w:firstLineChars="500"/>
        <w:rPr>
          <w:rFonts w:hint="default" w:ascii="Arial" w:hAnsi="Arial" w:eastAsia="宋体" w:cs="Arial"/>
          <w:szCs w:val="22"/>
        </w:rPr>
      </w:pPr>
      <w:r>
        <w:rPr>
          <w:rFonts w:hint="default" w:ascii="Arial" w:hAnsi="Arial" w:eastAsia="宋体" w:cs="Arial"/>
          <w:szCs w:val="22"/>
        </w:rPr>
        <w:t>the transport of</w:t>
      </w:r>
    </w:p>
    <w:p w14:paraId="3E1435D1">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(3) cargo</w:t>
      </w:r>
    </w:p>
    <w:p w14:paraId="1BF0E14D">
      <w:pPr>
        <w:autoSpaceDE w:val="0"/>
        <w:autoSpaceDN w:val="0"/>
        <w:adjustRightInd w:val="0"/>
        <w:spacing w:after="0" w:line="240" w:lineRule="auto"/>
        <w:ind w:left="720" w:firstLine="720"/>
        <w:rPr>
          <w:rFonts w:hint="default" w:ascii="Arial" w:hAnsi="Arial" w:eastAsia="宋体" w:cs="Arial"/>
          <w:szCs w:val="22"/>
        </w:rPr>
      </w:pPr>
      <w:r>
        <w:rPr>
          <w:rFonts w:hint="default" w:ascii="Arial" w:hAnsi="Arial" w:eastAsia="宋体" w:cs="Arial"/>
          <w:szCs w:val="22"/>
        </w:rPr>
        <w:t>(4) Post office mail</w:t>
      </w:r>
    </w:p>
    <w:p w14:paraId="197EE895">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(5) empty ULDs</w:t>
      </w:r>
    </w:p>
    <w:p w14:paraId="31CA5C68">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 xml:space="preserve">(6) other </w:t>
      </w:r>
    </w:p>
    <w:p w14:paraId="4023FB95">
      <w:pPr>
        <w:autoSpaceDE w:val="0"/>
        <w:autoSpaceDN w:val="0"/>
        <w:adjustRightInd w:val="0"/>
        <w:spacing w:after="0" w:line="240" w:lineRule="auto"/>
        <w:ind w:left="1440" w:firstLine="420" w:firstLineChars="200"/>
        <w:rPr>
          <w:rFonts w:hint="default" w:ascii="Arial" w:hAnsi="Arial" w:eastAsia="宋体" w:cs="Arial"/>
          <w:szCs w:val="22"/>
          <w:lang w:val="en-US"/>
        </w:rPr>
      </w:pPr>
      <w:r>
        <w:rPr>
          <w:rFonts w:hint="default" w:ascii="Arial" w:hAnsi="Arial" w:eastAsia="宋体" w:cs="Arial"/>
          <w:szCs w:val="22"/>
        </w:rPr>
        <w:t>between</w:t>
      </w:r>
    </w:p>
    <w:p w14:paraId="5368B2DB">
      <w:pPr>
        <w:autoSpaceDE w:val="0"/>
        <w:autoSpaceDN w:val="0"/>
        <w:adjustRightInd w:val="0"/>
        <w:spacing w:after="0" w:line="240" w:lineRule="auto"/>
        <w:ind w:left="1440"/>
        <w:rPr>
          <w:rFonts w:hint="default" w:ascii="Arial" w:hAnsi="Arial" w:eastAsia="宋体" w:cs="Arial"/>
          <w:szCs w:val="22"/>
          <w:lang w:val="en-US"/>
        </w:rPr>
      </w:pPr>
      <w:r>
        <w:rPr>
          <w:rFonts w:hint="default" w:ascii="Arial" w:hAnsi="Arial" w:eastAsia="宋体" w:cs="Arial"/>
          <w:szCs w:val="22"/>
          <w:lang w:val="en-US"/>
        </w:rPr>
        <w:t>(ii) airport and other agreed points</w:t>
      </w:r>
    </w:p>
    <w:p w14:paraId="6E710BBF">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(iii) separate terminals at the same airport</w:t>
      </w:r>
    </w:p>
    <w:p w14:paraId="123BB5AA">
      <w:pPr>
        <w:autoSpaceDE w:val="0"/>
        <w:autoSpaceDN w:val="0"/>
        <w:adjustRightInd w:val="0"/>
        <w:spacing w:after="0" w:line="240" w:lineRule="auto"/>
        <w:ind w:firstLine="720"/>
        <w:rPr>
          <w:rFonts w:hint="default" w:ascii="Arial" w:hAnsi="Arial" w:eastAsia="宋体" w:cs="Arial"/>
          <w:szCs w:val="22"/>
        </w:rPr>
      </w:pPr>
    </w:p>
    <w:p w14:paraId="6BF40364">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SECTION 7: Security</w:t>
      </w:r>
    </w:p>
    <w:p w14:paraId="2F1E4B3A">
      <w:pPr>
        <w:autoSpaceDE w:val="0"/>
        <w:autoSpaceDN w:val="0"/>
        <w:adjustRightInd w:val="0"/>
        <w:spacing w:after="0" w:line="240" w:lineRule="auto"/>
        <w:ind w:firstLine="720"/>
        <w:rPr>
          <w:rFonts w:hint="default" w:ascii="Arial" w:hAnsi="Arial" w:eastAsia="宋体" w:cs="Arial"/>
          <w:b/>
          <w:szCs w:val="22"/>
        </w:rPr>
      </w:pPr>
    </w:p>
    <w:p w14:paraId="7CDAF5E3">
      <w:pPr>
        <w:autoSpaceDE w:val="0"/>
        <w:autoSpaceDN w:val="0"/>
        <w:adjustRightInd w:val="0"/>
        <w:spacing w:after="0" w:line="240" w:lineRule="auto"/>
        <w:ind w:firstLine="720"/>
        <w:rPr>
          <w:rFonts w:hint="default" w:ascii="Arial" w:hAnsi="Arial" w:eastAsia="宋体" w:cs="Arial"/>
          <w:b/>
          <w:szCs w:val="22"/>
        </w:rPr>
      </w:pPr>
      <w:r>
        <w:rPr>
          <w:rFonts w:hint="default" w:ascii="Arial" w:hAnsi="Arial" w:eastAsia="宋体" w:cs="Arial"/>
          <w:b/>
          <w:szCs w:val="22"/>
        </w:rPr>
        <w:t xml:space="preserve">7.2 </w:t>
      </w:r>
      <w:r>
        <w:rPr>
          <w:rFonts w:hint="default" w:ascii="Arial" w:hAnsi="Arial" w:eastAsia="宋体" w:cs="Arial"/>
          <w:b/>
          <w:szCs w:val="22"/>
        </w:rPr>
        <w:tab/>
      </w:r>
      <w:r>
        <w:rPr>
          <w:rFonts w:hint="default" w:ascii="Arial" w:hAnsi="Arial" w:eastAsia="宋体" w:cs="Arial"/>
          <w:b/>
          <w:szCs w:val="22"/>
        </w:rPr>
        <w:t>Cargo and Post Office Mail</w:t>
      </w:r>
    </w:p>
    <w:p w14:paraId="00696C10">
      <w:pPr>
        <w:autoSpaceDE w:val="0"/>
        <w:autoSpaceDN w:val="0"/>
        <w:adjustRightInd w:val="0"/>
        <w:spacing w:after="0" w:line="240" w:lineRule="auto"/>
        <w:ind w:left="720"/>
        <w:rPr>
          <w:rFonts w:hint="default" w:ascii="Arial" w:hAnsi="Arial" w:eastAsia="宋体" w:cs="Arial"/>
          <w:szCs w:val="22"/>
        </w:rPr>
      </w:pPr>
      <w:r>
        <w:rPr>
          <w:rFonts w:hint="default" w:ascii="Arial" w:hAnsi="Arial" w:eastAsia="宋体" w:cs="Arial"/>
          <w:szCs w:val="22"/>
        </w:rPr>
        <w:t xml:space="preserve">7.2.1 </w:t>
      </w:r>
      <w:r>
        <w:rPr>
          <w:rFonts w:hint="default" w:ascii="Arial" w:hAnsi="Arial" w:eastAsia="宋体" w:cs="Arial"/>
          <w:szCs w:val="22"/>
          <w:lang w:val="en-US" w:eastAsia="zh-CN"/>
        </w:rPr>
        <w:t xml:space="preserve"> </w:t>
      </w:r>
      <w:r>
        <w:rPr>
          <w:rFonts w:hint="default" w:ascii="Arial" w:hAnsi="Arial" w:eastAsia="宋体" w:cs="Arial"/>
          <w:szCs w:val="22"/>
        </w:rPr>
        <w:t>(a) Provide</w:t>
      </w:r>
    </w:p>
    <w:p w14:paraId="3108D2AC">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(1) control of access to the cargo facilities</w:t>
      </w:r>
    </w:p>
    <w:p w14:paraId="55F4E972">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(2) screening of cargo and/or mail</w:t>
      </w:r>
    </w:p>
    <w:p w14:paraId="27882C59">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(3) physical examination of cargo</w:t>
      </w:r>
    </w:p>
    <w:p w14:paraId="3D3BDAAA">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(4) holding of cargo and/or mail for variable periods</w:t>
      </w:r>
    </w:p>
    <w:p w14:paraId="1FCC9BD6">
      <w:pPr>
        <w:autoSpaceDE w:val="0"/>
        <w:autoSpaceDN w:val="0"/>
        <w:adjustRightInd w:val="0"/>
        <w:spacing w:after="0" w:line="240" w:lineRule="auto"/>
        <w:ind w:left="1440"/>
        <w:rPr>
          <w:rFonts w:hint="default" w:ascii="Arial" w:hAnsi="Arial" w:eastAsia="宋体" w:cs="Arial"/>
          <w:szCs w:val="22"/>
        </w:rPr>
      </w:pPr>
      <w:r>
        <w:rPr>
          <w:rFonts w:hint="default" w:ascii="Arial" w:hAnsi="Arial" w:eastAsia="宋体" w:cs="Arial"/>
          <w:szCs w:val="22"/>
        </w:rPr>
        <w:t>(5) secure storage of cargo and/or mail</w:t>
      </w:r>
    </w:p>
    <w:p w14:paraId="27510FAE">
      <w:pPr>
        <w:rPr>
          <w:rFonts w:hint="default" w:ascii="Arial" w:hAnsi="Arial" w:eastAsia="宋体" w:cs="Arial"/>
          <w:szCs w:val="22"/>
        </w:rPr>
      </w:pPr>
    </w:p>
    <w:p w14:paraId="632A52E6">
      <w:pPr>
        <w:rPr>
          <w:rFonts w:hint="default" w:ascii="Arial" w:hAnsi="Arial" w:eastAsia="宋体" w:cs="Arial"/>
          <w:szCs w:val="22"/>
        </w:rPr>
      </w:pPr>
      <w:r>
        <w:rPr>
          <w:rFonts w:hint="default" w:ascii="Arial" w:hAnsi="Arial" w:eastAsia="宋体" w:cs="Arial"/>
          <w:szCs w:val="22"/>
        </w:rPr>
        <w:br w:type="page"/>
      </w:r>
    </w:p>
    <w:p w14:paraId="1C66C0D7">
      <w:pPr>
        <w:pageBreakBefore/>
        <w:numPr>
          <w:ilvl w:val="0"/>
          <w:numId w:val="0"/>
        </w:numPr>
        <w:spacing w:before="157" w:beforeLines="50" w:after="157" w:afterLines="50" w:line="502" w:lineRule="exact"/>
        <w:ind w:firstLine="2209" w:firstLineChars="500"/>
        <w:jc w:val="both"/>
        <w:outlineLvl w:val="0"/>
        <w:rPr>
          <w:rStyle w:val="23"/>
          <w:color w:val="auto"/>
          <w:highlight w:val="none"/>
        </w:rPr>
      </w:pPr>
      <w:bookmarkStart w:id="83" w:name="_Toc24134"/>
      <w:bookmarkStart w:id="84" w:name="_Toc1142892184"/>
      <w:bookmarkStart w:id="85" w:name="_Toc2723"/>
      <w:bookmarkStart w:id="86" w:name="_Toc24903"/>
      <w:bookmarkStart w:id="87" w:name="_Toc19993"/>
      <w:bookmarkStart w:id="88" w:name="_Toc25175"/>
      <w:r>
        <w:rPr>
          <w:rStyle w:val="23"/>
          <w:rFonts w:hint="eastAsia"/>
          <w:color w:val="auto"/>
          <w:highlight w:val="none"/>
          <w:lang w:val="en-US" w:eastAsia="zh-CN"/>
        </w:rPr>
        <w:t>第四章</w:t>
      </w:r>
      <w:r>
        <w:rPr>
          <w:rStyle w:val="23"/>
          <w:rFonts w:hint="eastAsia"/>
          <w:color w:val="auto"/>
          <w:highlight w:val="none"/>
        </w:rPr>
        <w:t xml:space="preserve"> </w:t>
      </w:r>
      <w:r>
        <w:rPr>
          <w:rStyle w:val="23"/>
          <w:color w:val="auto"/>
          <w:highlight w:val="none"/>
        </w:rPr>
        <w:t>合同条款及格式</w:t>
      </w:r>
      <w:bookmarkEnd w:id="83"/>
      <w:bookmarkEnd w:id="84"/>
    </w:p>
    <w:bookmarkEnd w:id="85"/>
    <w:bookmarkEnd w:id="86"/>
    <w:bookmarkEnd w:id="87"/>
    <w:bookmarkEnd w:id="88"/>
    <w:p w14:paraId="0272A467">
      <w:pPr>
        <w:rPr>
          <w:rFonts w:hint="eastAsia"/>
          <w:highlight w:val="none"/>
          <w:lang w:val="en-US" w:eastAsia="zh-CN"/>
        </w:rPr>
      </w:pPr>
      <w:r>
        <w:rPr>
          <w:rFonts w:hint="eastAsia"/>
          <w:highlight w:val="none"/>
          <w:lang w:eastAsia="zh-CN"/>
        </w:rPr>
        <w:t>主合同：详情见</w:t>
      </w:r>
      <w:r>
        <w:rPr>
          <w:rFonts w:hint="eastAsia"/>
          <w:highlight w:val="none"/>
          <w:lang w:val="en-US" w:eastAsia="zh-CN"/>
        </w:rPr>
        <w:t>IATA 国际航协主协议（SGHA）1998、2002、2008、2013、2018、2023版协议内容。</w:t>
      </w:r>
    </w:p>
    <w:p w14:paraId="650D95EE">
      <w:pPr>
        <w:rPr>
          <w:rFonts w:hint="eastAsia"/>
          <w:highlight w:val="none"/>
          <w:lang w:val="en-US" w:eastAsia="zh-CN"/>
        </w:rPr>
      </w:pPr>
    </w:p>
    <w:p w14:paraId="07111FAA">
      <w:pPr>
        <w:keepNext w:val="0"/>
        <w:keepLines w:val="0"/>
        <w:pageBreakBefore w:val="0"/>
        <w:widowControl/>
        <w:kinsoku/>
        <w:wordWrap/>
        <w:overflowPunct/>
        <w:topLinePunct w:val="0"/>
        <w:autoSpaceDE/>
        <w:autoSpaceDN/>
        <w:bidi w:val="0"/>
        <w:adjustRightInd/>
        <w:snapToGrid/>
        <w:spacing w:beforeLines="-2147483648" w:afterLines="-2147483648" w:line="240" w:lineRule="auto"/>
        <w:ind w:left="0" w:leftChars="0" w:right="0" w:rightChars="0" w:firstLine="0" w:firstLineChars="0"/>
        <w:jc w:val="left"/>
        <w:textAlignment w:val="auto"/>
        <w:outlineLvl w:val="9"/>
        <w:rPr>
          <w:rFonts w:hint="eastAsia"/>
          <w:highlight w:val="none"/>
          <w:lang w:val="en-US" w:eastAsia="zh-CN"/>
        </w:rPr>
      </w:pPr>
      <w:r>
        <w:rPr>
          <w:rFonts w:hint="eastAsia"/>
          <w:highlight w:val="none"/>
          <w:lang w:val="en-US" w:eastAsia="zh-CN"/>
        </w:rPr>
        <w:t>合同附件详见附件文本：</w:t>
      </w:r>
    </w:p>
    <w:p w14:paraId="61FCF945">
      <w:pPr>
        <w:rPr>
          <w:rFonts w:hint="eastAsia"/>
          <w:highlight w:val="none"/>
          <w:lang w:val="en-US" w:eastAsia="zh-CN"/>
        </w:rPr>
      </w:pPr>
      <w:r>
        <w:rPr>
          <w:rFonts w:hint="eastAsia"/>
          <w:highlight w:val="none"/>
          <w:lang w:val="en-US" w:eastAsia="zh-CN"/>
        </w:rPr>
        <w:t>SERVICE LEVEL AGREEMENT（服务质量标准协议）</w:t>
      </w:r>
    </w:p>
    <w:p w14:paraId="1D629753">
      <w:pPr>
        <w:rPr>
          <w:rFonts w:hint="default"/>
          <w:highlight w:val="none"/>
          <w:lang w:val="en-US" w:eastAsia="zh-CN"/>
        </w:rPr>
      </w:pPr>
      <w:r>
        <w:rPr>
          <w:rFonts w:hint="default"/>
          <w:highlight w:val="none"/>
          <w:lang w:val="en-US" w:eastAsia="zh-CN"/>
        </w:rPr>
        <w:t>Service Evaluation and Reward Agreement</w:t>
      </w:r>
      <w:r>
        <w:rPr>
          <w:rFonts w:hint="eastAsia"/>
          <w:highlight w:val="none"/>
          <w:lang w:val="en-US" w:eastAsia="zh-CN"/>
        </w:rPr>
        <w:t>（服务考评协议）</w:t>
      </w:r>
    </w:p>
    <w:p w14:paraId="345B940E">
      <w:pPr>
        <w:rPr>
          <w:rFonts w:hint="default"/>
          <w:highlight w:val="none"/>
          <w:lang w:val="en-US" w:eastAsia="zh-CN"/>
        </w:rPr>
      </w:pPr>
      <w:r>
        <w:rPr>
          <w:rFonts w:hint="default"/>
          <w:highlight w:val="none"/>
          <w:lang w:val="en-US" w:eastAsia="zh-CN"/>
        </w:rPr>
        <w:t>Agreement of Honest Cooperation</w:t>
      </w:r>
      <w:r>
        <w:rPr>
          <w:rFonts w:hint="eastAsia"/>
          <w:highlight w:val="none"/>
          <w:lang w:val="en-US" w:eastAsia="zh-CN"/>
        </w:rPr>
        <w:t>（廉洁合作承诺书）</w:t>
      </w:r>
      <w:r>
        <w:rPr>
          <w:rFonts w:hint="default"/>
          <w:highlight w:val="none"/>
          <w:lang w:val="en-US" w:eastAsia="zh-CN"/>
        </w:rPr>
        <w:br w:type="page"/>
      </w:r>
    </w:p>
    <w:p w14:paraId="40A85570">
      <w:pPr>
        <w:widowControl/>
        <w:jc w:val="left"/>
        <w:outlineLvl w:val="9"/>
        <w:rPr>
          <w:rFonts w:hint="default"/>
          <w:highlight w:val="none"/>
          <w:lang w:val="en-US" w:eastAsia="zh-CN"/>
        </w:rPr>
      </w:pPr>
    </w:p>
    <w:p w14:paraId="1CE06707">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0"/>
        <w:rPr>
          <w:rStyle w:val="23"/>
          <w:color w:val="auto"/>
          <w:highlight w:val="none"/>
          <w:lang w:val="en-US" w:eastAsia="zh-CN"/>
        </w:rPr>
      </w:pPr>
      <w:bookmarkStart w:id="89" w:name="_Toc6318"/>
      <w:bookmarkStart w:id="90" w:name="_Toc323808138"/>
      <w:r>
        <w:rPr>
          <w:rStyle w:val="23"/>
          <w:rFonts w:hint="eastAsia"/>
          <w:color w:val="auto"/>
          <w:highlight w:val="none"/>
          <w:lang w:val="en-US" w:eastAsia="zh-CN"/>
        </w:rPr>
        <w:t>第五章 响应文件格式</w:t>
      </w:r>
      <w:bookmarkEnd w:id="89"/>
      <w:bookmarkEnd w:id="90"/>
    </w:p>
    <w:p w14:paraId="51AF9E68">
      <w:pPr>
        <w:rPr>
          <w:rFonts w:hint="default"/>
          <w:highlight w:val="none"/>
          <w:lang w:val="en-US" w:eastAsia="zh-CN"/>
        </w:rPr>
      </w:pPr>
    </w:p>
    <w:p w14:paraId="59B449C5">
      <w:pPr>
        <w:rPr>
          <w:highlight w:val="none"/>
        </w:rPr>
      </w:pPr>
    </w:p>
    <w:p w14:paraId="2DEAB21F">
      <w:pPr>
        <w:numPr>
          <w:ilvl w:val="0"/>
          <w:numId w:val="8"/>
        </w:numPr>
        <w:rPr>
          <w:rFonts w:hint="eastAsia" w:ascii="Arial" w:hAnsi="Arial" w:cs="Arial"/>
          <w:color w:val="auto"/>
          <w:sz w:val="32"/>
          <w:szCs w:val="32"/>
          <w:highlight w:val="none"/>
          <w:lang w:val="en-US" w:eastAsia="zh-CN"/>
        </w:rPr>
      </w:pPr>
      <w:r>
        <w:rPr>
          <w:rFonts w:hint="eastAsia" w:ascii="Arial" w:hAnsi="Arial" w:cs="Arial"/>
          <w:color w:val="auto"/>
          <w:sz w:val="32"/>
          <w:szCs w:val="32"/>
          <w:highlight w:val="none"/>
          <w:lang w:val="en-US" w:eastAsia="zh-CN"/>
        </w:rPr>
        <w:t>合法有效的营业执照、公司商事登记证明或证书扫描件（详见供应商资格要求）</w:t>
      </w:r>
    </w:p>
    <w:p w14:paraId="68C566AE">
      <w:pPr>
        <w:numPr>
          <w:ilvl w:val="0"/>
          <w:numId w:val="8"/>
        </w:numPr>
        <w:rPr>
          <w:rFonts w:hint="eastAsia" w:ascii="Arial" w:hAnsi="Arial" w:cs="Arial"/>
          <w:color w:val="auto"/>
          <w:sz w:val="32"/>
          <w:szCs w:val="32"/>
          <w:highlight w:val="none"/>
          <w:lang w:val="en-US" w:eastAsia="zh-CN"/>
        </w:rPr>
      </w:pPr>
      <w:r>
        <w:rPr>
          <w:rFonts w:hint="eastAsia" w:ascii="Arial" w:hAnsi="Arial" w:cs="Arial"/>
          <w:color w:val="auto"/>
          <w:sz w:val="32"/>
          <w:szCs w:val="32"/>
          <w:highlight w:val="none"/>
        </w:rPr>
        <w:t>操作能力调查问卷</w:t>
      </w:r>
    </w:p>
    <w:p w14:paraId="6390D0DC">
      <w:pPr>
        <w:numPr>
          <w:ilvl w:val="0"/>
          <w:numId w:val="8"/>
        </w:numPr>
        <w:rPr>
          <w:rFonts w:hint="eastAsia" w:ascii="Arial" w:hAnsi="Arial" w:cs="Arial"/>
          <w:color w:val="auto"/>
          <w:sz w:val="32"/>
          <w:szCs w:val="32"/>
          <w:highlight w:val="none"/>
          <w:lang w:val="en-US" w:eastAsia="zh-CN"/>
        </w:rPr>
      </w:pPr>
      <w:r>
        <w:rPr>
          <w:rFonts w:hint="eastAsia" w:ascii="Arial" w:hAnsi="Arial" w:cs="Arial"/>
          <w:color w:val="auto"/>
          <w:sz w:val="32"/>
          <w:szCs w:val="32"/>
          <w:highlight w:val="none"/>
          <w:lang w:val="en-US" w:eastAsia="zh-CN"/>
        </w:rPr>
        <w:t>合同及相关附件（SGHA含报价、</w:t>
      </w:r>
      <w:r>
        <w:rPr>
          <w:rFonts w:hint="eastAsia" w:ascii="Arial" w:hAnsi="Arial" w:cs="Arial"/>
          <w:color w:val="auto"/>
          <w:sz w:val="32"/>
          <w:szCs w:val="32"/>
          <w:highlight w:val="none"/>
          <w:lang w:eastAsia="zh-CN"/>
        </w:rPr>
        <w:t>服务质量标准协议、</w:t>
      </w:r>
      <w:bookmarkStart w:id="91" w:name="OLE_LINK9"/>
      <w:r>
        <w:rPr>
          <w:rFonts w:hint="eastAsia" w:ascii="Arial" w:hAnsi="Arial" w:cs="Arial"/>
          <w:color w:val="auto"/>
          <w:sz w:val="32"/>
          <w:szCs w:val="32"/>
          <w:highlight w:val="none"/>
          <w:lang w:eastAsia="zh-CN"/>
        </w:rPr>
        <w:t>服务考评协议、</w:t>
      </w:r>
      <w:r>
        <w:rPr>
          <w:rFonts w:hint="eastAsia" w:ascii="Arial" w:hAnsi="Arial" w:cs="Arial"/>
          <w:color w:val="auto"/>
          <w:sz w:val="32"/>
          <w:szCs w:val="32"/>
          <w:highlight w:val="none"/>
          <w:lang w:val="en-US" w:eastAsia="zh-CN"/>
        </w:rPr>
        <w:t>廉洁合作承诺书</w:t>
      </w:r>
      <w:bookmarkEnd w:id="91"/>
      <w:r>
        <w:rPr>
          <w:rFonts w:hint="eastAsia" w:ascii="Arial" w:hAnsi="Arial" w:cs="Arial"/>
          <w:color w:val="auto"/>
          <w:sz w:val="32"/>
          <w:szCs w:val="32"/>
          <w:highlight w:val="none"/>
          <w:lang w:val="en-US" w:eastAsia="zh-CN"/>
        </w:rPr>
        <w:t>）</w:t>
      </w:r>
    </w:p>
    <w:p w14:paraId="475F1361">
      <w:pPr>
        <w:numPr>
          <w:ilvl w:val="0"/>
          <w:numId w:val="8"/>
        </w:numPr>
        <w:rPr>
          <w:rFonts w:hint="eastAsia" w:ascii="Arial" w:hAnsi="Arial" w:cs="Arial"/>
          <w:color w:val="auto"/>
          <w:sz w:val="32"/>
          <w:szCs w:val="32"/>
          <w:highlight w:val="none"/>
          <w:lang w:val="en-US" w:eastAsia="zh-CN"/>
        </w:rPr>
      </w:pPr>
      <w:r>
        <w:rPr>
          <w:rFonts w:hint="eastAsia" w:ascii="Arial" w:hAnsi="Arial" w:cs="Arial"/>
          <w:color w:val="auto"/>
          <w:sz w:val="32"/>
          <w:szCs w:val="32"/>
          <w:highlight w:val="none"/>
        </w:rPr>
        <w:t>供应商异议/投诉承诺及程序指引</w:t>
      </w:r>
      <w:r>
        <w:rPr>
          <w:rFonts w:hint="eastAsia" w:ascii="Arial" w:hAnsi="Arial" w:cs="Arial"/>
          <w:color w:val="auto"/>
          <w:sz w:val="32"/>
          <w:szCs w:val="32"/>
          <w:highlight w:val="none"/>
          <w:lang w:val="en-US" w:eastAsia="zh-CN"/>
        </w:rPr>
        <w:t>(详见格式一)</w:t>
      </w:r>
    </w:p>
    <w:p w14:paraId="750C9D52">
      <w:pPr>
        <w:numPr>
          <w:ilvl w:val="0"/>
          <w:numId w:val="8"/>
        </w:numPr>
        <w:rPr>
          <w:rFonts w:hint="eastAsia" w:ascii="Arial" w:hAnsi="Arial" w:cs="Arial"/>
          <w:color w:val="auto"/>
          <w:sz w:val="32"/>
          <w:szCs w:val="32"/>
          <w:highlight w:val="none"/>
          <w:lang w:val="en-US" w:eastAsia="zh-CN"/>
        </w:rPr>
      </w:pPr>
      <w:r>
        <w:rPr>
          <w:rFonts w:hint="eastAsia" w:ascii="Arial" w:hAnsi="Arial" w:cs="Arial"/>
          <w:color w:val="auto"/>
          <w:sz w:val="32"/>
          <w:szCs w:val="32"/>
          <w:highlight w:val="none"/>
        </w:rPr>
        <w:t>限制交易供应商名单制度告知书</w:t>
      </w:r>
      <w:r>
        <w:rPr>
          <w:rFonts w:hint="eastAsia" w:ascii="Arial" w:hAnsi="Arial" w:cs="Arial"/>
          <w:color w:val="auto"/>
          <w:sz w:val="32"/>
          <w:szCs w:val="32"/>
          <w:highlight w:val="none"/>
          <w:lang w:eastAsia="zh-CN"/>
        </w:rPr>
        <w:t>（详见格式二）</w:t>
      </w:r>
    </w:p>
    <w:p w14:paraId="3B8C8CD3">
      <w:pPr>
        <w:numPr>
          <w:ilvl w:val="0"/>
          <w:numId w:val="0"/>
        </w:numPr>
        <w:rPr>
          <w:rFonts w:hint="eastAsia" w:ascii="Arial" w:hAnsi="Arial" w:cs="Arial"/>
          <w:color w:val="auto"/>
          <w:sz w:val="32"/>
          <w:szCs w:val="32"/>
          <w:highlight w:val="none"/>
          <w:lang w:val="en-US" w:eastAsia="zh-CN"/>
        </w:rPr>
      </w:pPr>
    </w:p>
    <w:p w14:paraId="0C5EC9B0">
      <w:pPr>
        <w:rPr>
          <w:rFonts w:hint="default"/>
          <w:highlight w:val="none"/>
          <w:lang w:val="en-US" w:eastAsia="zh-CN"/>
        </w:rPr>
      </w:pPr>
      <w:r>
        <w:rPr>
          <w:rFonts w:hint="default"/>
          <w:highlight w:val="none"/>
          <w:lang w:val="en-US" w:eastAsia="zh-CN"/>
        </w:rPr>
        <w:br w:type="page"/>
      </w:r>
    </w:p>
    <w:p w14:paraId="5471A621">
      <w:pPr>
        <w:pStyle w:val="3"/>
        <w:pageBreakBefore/>
        <w:spacing w:before="156" w:beforeLines="50" w:after="156" w:afterLines="50" w:line="360" w:lineRule="auto"/>
        <w:ind w:left="0"/>
        <w:jc w:val="center"/>
        <w:rPr>
          <w:rFonts w:cs="宋体"/>
          <w:b/>
        </w:rPr>
      </w:pPr>
      <w:bookmarkStart w:id="92" w:name="_Toc22147"/>
      <w:bookmarkStart w:id="93" w:name="_Toc109142358"/>
      <w:bookmarkStart w:id="94" w:name="_Toc504657632"/>
      <w:bookmarkStart w:id="95" w:name="_Toc29409"/>
      <w:bookmarkStart w:id="96" w:name="_Toc8256"/>
      <w:bookmarkStart w:id="97" w:name="_Toc13671"/>
      <w:bookmarkStart w:id="98" w:name="_Toc1500"/>
      <w:bookmarkStart w:id="99" w:name="_Toc14116"/>
      <w:bookmarkStart w:id="100" w:name="_Toc504657644"/>
      <w:bookmarkStart w:id="101" w:name="_Toc2025"/>
      <w:bookmarkStart w:id="102" w:name="_Toc6795"/>
      <w:bookmarkStart w:id="103" w:name="_Toc17794"/>
      <w:bookmarkStart w:id="104" w:name="_Toc25832"/>
      <w:bookmarkStart w:id="105" w:name="_Toc7591"/>
      <w:bookmarkStart w:id="106" w:name="_Toc26711"/>
      <w:bookmarkStart w:id="107" w:name="_Toc12795"/>
      <w:bookmarkStart w:id="108" w:name="_Toc4799"/>
      <w:bookmarkStart w:id="109" w:name="_Toc23781"/>
      <w:bookmarkStart w:id="110" w:name="_Toc504657645"/>
      <w:bookmarkStart w:id="111" w:name="_Toc74"/>
      <w:bookmarkStart w:id="112" w:name="_Toc7017"/>
      <w:r>
        <w:rPr>
          <w:b/>
        </w:rPr>
        <w:t xml:space="preserve">Format </w:t>
      </w:r>
      <w:r>
        <w:rPr>
          <w:rFonts w:hint="eastAsia"/>
          <w:b/>
        </w:rPr>
        <w:t>Ⅰ</w:t>
      </w:r>
      <w:r>
        <w:rPr>
          <w:b/>
        </w:rPr>
        <w:t>Commitment and Procedure Guidelines for Supplier Objection/Complaint</w:t>
      </w:r>
      <w:bookmarkEnd w:id="92"/>
      <w:bookmarkEnd w:id="93"/>
    </w:p>
    <w:p w14:paraId="5FEEB2E8">
      <w:pPr>
        <w:spacing w:line="360" w:lineRule="auto"/>
        <w:ind w:firstLine="420" w:firstLineChars="200"/>
        <w:rPr>
          <w:rFonts w:cs="宋体"/>
          <w:szCs w:val="21"/>
        </w:rPr>
      </w:pPr>
      <w:r>
        <w:t>The term "objection" as mentioned in the Guidelines refers to the questions or requests put forward to the purchaser by the participating suppliers who have evidence or materials to prove that the purchaser is unfair or impartial in the procurement process. "Complaint" refers to a complaint filed by a supplier who raises an objection to the complaint acceptance department of the purchaser without receiving a reply from the purchaser or is dissatisfied with the reply.</w:t>
      </w:r>
    </w:p>
    <w:p w14:paraId="4EA0593D">
      <w:pPr>
        <w:spacing w:line="360" w:lineRule="auto"/>
        <w:ind w:firstLine="422" w:firstLineChars="200"/>
        <w:rPr>
          <w:rFonts w:cs="宋体"/>
          <w:szCs w:val="21"/>
        </w:rPr>
      </w:pPr>
      <w:r>
        <w:rPr>
          <w:b/>
        </w:rPr>
        <w:t xml:space="preserve">I. Subject of Objection/Complaint </w:t>
      </w:r>
    </w:p>
    <w:p w14:paraId="38428968">
      <w:pPr>
        <w:spacing w:line="360" w:lineRule="auto"/>
        <w:ind w:firstLine="420" w:firstLineChars="200"/>
        <w:rPr>
          <w:rFonts w:cs="宋体"/>
          <w:szCs w:val="21"/>
        </w:rPr>
      </w:pPr>
      <w:r>
        <w:t>1.1 The subject of an objection/complaint (hereinafter referred to as the "proposer") must be a supplier involved in a specific procurement project.</w:t>
      </w:r>
    </w:p>
    <w:p w14:paraId="413434C7">
      <w:pPr>
        <w:spacing w:line="360" w:lineRule="auto"/>
        <w:ind w:firstLine="420" w:firstLineChars="200"/>
        <w:rPr>
          <w:rFonts w:cs="宋体"/>
          <w:szCs w:val="21"/>
        </w:rPr>
      </w:pPr>
      <w:r>
        <w:t>1.2 Objections/complaints must be filed with real names, otherwise they will be deemed invalid and will not be accepted.</w:t>
      </w:r>
    </w:p>
    <w:p w14:paraId="1D7C9572">
      <w:pPr>
        <w:spacing w:line="360" w:lineRule="auto"/>
        <w:ind w:firstLine="420" w:firstLineChars="200"/>
        <w:rPr>
          <w:rFonts w:cs="宋体"/>
          <w:szCs w:val="21"/>
        </w:rPr>
      </w:pPr>
      <w:r>
        <w:t>1.3 Complaints shall be made after objections, otherwise they will not be accepted. The principle of "whoever claims shall provide evidence" shall be implemented for objections/complaints. The proposer shall clearly propose the matters and requests of objections/complaints and provide necessary supporting materials, laws, regulations and factual basis. False and malicious objections/complaints shall not be made, otherwise, the objections/complaints are invalid.</w:t>
      </w:r>
    </w:p>
    <w:p w14:paraId="257F3A34">
      <w:pPr>
        <w:spacing w:line="360" w:lineRule="auto"/>
        <w:ind w:firstLine="422" w:firstLineChars="200"/>
        <w:rPr>
          <w:rFonts w:cs="宋体"/>
          <w:b/>
          <w:bCs/>
          <w:szCs w:val="21"/>
        </w:rPr>
      </w:pPr>
      <w:r>
        <w:rPr>
          <w:b/>
        </w:rPr>
        <w:t>II. Time Limit</w:t>
      </w:r>
    </w:p>
    <w:p w14:paraId="4A136C84">
      <w:pPr>
        <w:spacing w:line="360" w:lineRule="auto"/>
        <w:ind w:firstLine="420" w:firstLineChars="200"/>
        <w:rPr>
          <w:rFonts w:cs="宋体"/>
          <w:szCs w:val="21"/>
        </w:rPr>
      </w:pPr>
      <w:r>
        <w:t>If proposers believe that the announcement, prequalification documents, procurement document, review results, etc. have damaged their legitimate rights and interests, they may put forward objections according to the objection channel and objection guidelines provided in the documents from the date when they know or should know that their rights and interests have been damaged and within the validity period. If they are not satisfied with the reply to the objection, a complaint can be filed within the validity period from the date of receiving the reply to the objection. Paper materials can be submitted in person within the validity period or delivered by mail. Any objection/complaint beyond the validity period is invalid, and the specific agreement on the validity period is as follows:</w:t>
      </w:r>
    </w:p>
    <w:p w14:paraId="6B5DC11D">
      <w:pPr>
        <w:spacing w:line="360" w:lineRule="auto"/>
        <w:ind w:firstLine="420" w:firstLineChars="200"/>
        <w:rPr>
          <w:rFonts w:cs="宋体"/>
        </w:rPr>
      </w:pPr>
      <w:r>
        <w:t>2.1 Procurement announcement release and prequalification stage. Proposers who believe that the prequalification documents have an obvious tendency or unreasonable terms may raise objections 48 hours before the deadline for submission of prequalification application documents; If the proposers are dissatisfied with the reply to the objection or the acceptor fails to reply within the prescribed time limit, the proposers may file a complaint within 2 working days from the date of receiving the reply to the objection or the expiration of the handling period.</w:t>
      </w:r>
    </w:p>
    <w:p w14:paraId="581747FD">
      <w:pPr>
        <w:spacing w:line="360" w:lineRule="auto"/>
        <w:ind w:firstLine="420" w:firstLineChars="200"/>
        <w:rPr>
          <w:rFonts w:cs="宋体"/>
          <w:szCs w:val="21"/>
        </w:rPr>
      </w:pPr>
      <w:r>
        <w:t>2.2 Procurement document release stage. If proposers believe that the procurement document issued by the purchaser is unreasonable, unfair or tendentious, they shall raise objections 24 hours before the deadline for submission of response documents; If the proposers are dissatisfied with the reply to the objection or the acceptor fails to reply within the prescribed time limit, the proposers may file a complaint within 2 working days from the date of receiving the reply to the objection or the expiration of the handling period.</w:t>
      </w:r>
    </w:p>
    <w:p w14:paraId="45D1D052">
      <w:pPr>
        <w:spacing w:line="360" w:lineRule="auto"/>
        <w:ind w:firstLine="420" w:firstLineChars="200"/>
        <w:rPr>
          <w:rFonts w:cs="宋体"/>
          <w:szCs w:val="21"/>
        </w:rPr>
      </w:pPr>
      <w:r>
        <w:t>2.3 Publicity stage of procurement review results. If proposers think that there are problems in the review process or procurement results, they may raise an objection within the publicity period of the review results; if the reply to the objection is not satisfactory or the acceptor fails to reply within the specified time limit, they may file a complaint within 2 working days from the date of receiving the reply to the objection or the expiration of the handling period.</w:t>
      </w:r>
    </w:p>
    <w:p w14:paraId="46DD287A">
      <w:pPr>
        <w:spacing w:line="360" w:lineRule="auto"/>
        <w:ind w:firstLine="420" w:firstLineChars="200"/>
        <w:rPr>
          <w:rFonts w:cs="宋体"/>
          <w:szCs w:val="21"/>
        </w:rPr>
      </w:pPr>
      <w:r>
        <w:t>The time nodes of objection/complaint are irreversible, that is, when the procurement process proceeds to the next stage, no objection/complaint can be raised for the matters that results have been passed in the previous stage and exceeded the time node.</w:t>
      </w:r>
    </w:p>
    <w:p w14:paraId="03E3C7B0">
      <w:pPr>
        <w:spacing w:line="360" w:lineRule="auto"/>
        <w:ind w:firstLine="422" w:firstLineChars="200"/>
        <w:rPr>
          <w:rFonts w:cs="宋体"/>
          <w:b/>
          <w:bCs/>
          <w:szCs w:val="21"/>
        </w:rPr>
      </w:pPr>
      <w:r>
        <w:rPr>
          <w:b/>
        </w:rPr>
        <w:t>III. Material Submission</w:t>
      </w:r>
    </w:p>
    <w:p w14:paraId="243CE0B8">
      <w:pPr>
        <w:spacing w:line="360" w:lineRule="auto"/>
        <w:ind w:firstLine="420" w:firstLineChars="200"/>
        <w:rPr>
          <w:rFonts w:cs="宋体"/>
          <w:szCs w:val="21"/>
        </w:rPr>
      </w:pPr>
      <w:r>
        <w:t>3.1 If a proposer raises an objection/complaint against the procurement project, a paper objection/complaint letter shall be prepared. After the legal representative signs his/her name (or stamps his/her name seal) and affixes the official seal of the unit, the original objection letter shall be mailed to the contact address of the purchaser, and the original complaint letter shall be mailed to the complaint acceptance department. The objection letter/complaint letter shall include the following main contents:</w:t>
      </w:r>
    </w:p>
    <w:p w14:paraId="73A52BBC">
      <w:pPr>
        <w:spacing w:line="360" w:lineRule="auto"/>
        <w:ind w:firstLine="420" w:firstLineChars="200"/>
        <w:rPr>
          <w:rFonts w:cs="宋体"/>
          <w:szCs w:val="21"/>
        </w:rPr>
      </w:pPr>
      <w:r>
        <w:t>a) Proposer name, address, postal code, valid contact person and contact information (mobile phone, landline, fax, email address);</w:t>
      </w:r>
    </w:p>
    <w:p w14:paraId="1F6F8F94">
      <w:pPr>
        <w:spacing w:line="360" w:lineRule="auto"/>
        <w:ind w:firstLine="420" w:firstLineChars="200"/>
        <w:rPr>
          <w:rFonts w:cs="宋体"/>
          <w:szCs w:val="21"/>
        </w:rPr>
      </w:pPr>
      <w:r>
        <w:t>b) Full names of the objected/complained person and the parties related to the objection/complaint;</w:t>
      </w:r>
    </w:p>
    <w:p w14:paraId="47C03696">
      <w:pPr>
        <w:spacing w:line="360" w:lineRule="auto"/>
        <w:ind w:firstLine="420" w:firstLineChars="200"/>
        <w:rPr>
          <w:rFonts w:cs="宋体"/>
          <w:szCs w:val="21"/>
        </w:rPr>
      </w:pPr>
      <w:r>
        <w:t>c) Name and number of the procurement project involved in the objection/complaint;</w:t>
      </w:r>
    </w:p>
    <w:p w14:paraId="38D96B97">
      <w:pPr>
        <w:spacing w:line="360" w:lineRule="auto"/>
        <w:ind w:firstLine="420" w:firstLineChars="200"/>
        <w:rPr>
          <w:rFonts w:cs="宋体"/>
          <w:szCs w:val="21"/>
        </w:rPr>
      </w:pPr>
      <w:r>
        <w:t>d) Basic information and specific matters of the objection/complaint, including but not limited to requests and claims, facts, reasons and legal basis;</w:t>
      </w:r>
    </w:p>
    <w:p w14:paraId="000A8C1A">
      <w:pPr>
        <w:spacing w:line="360" w:lineRule="auto"/>
        <w:ind w:firstLine="420" w:firstLineChars="200"/>
        <w:rPr>
          <w:rFonts w:cs="宋体"/>
          <w:szCs w:val="21"/>
        </w:rPr>
      </w:pPr>
      <w:r>
        <w:t>e) Valid and legal clues and evidence materials;</w:t>
      </w:r>
    </w:p>
    <w:p w14:paraId="427D87BB">
      <w:pPr>
        <w:spacing w:line="360" w:lineRule="auto"/>
        <w:ind w:firstLine="420" w:firstLineChars="200"/>
        <w:rPr>
          <w:rFonts w:cs="宋体"/>
          <w:szCs w:val="21"/>
        </w:rPr>
      </w:pPr>
      <w:r>
        <w:t>f) Signature. If the proposer is a legal person, the legal representative shall sign and stamp with the official seal of the company, and a copy of the industrial and commercial business license shall be provided. If an unincorporated organization or individual raises an objection, the objection letter/complaint letter shall be signed by the person in charge or the proposer himself/herself, and copies of valid identity documents shall be attached;</w:t>
      </w:r>
    </w:p>
    <w:p w14:paraId="73F758F8">
      <w:pPr>
        <w:spacing w:line="360" w:lineRule="auto"/>
        <w:ind w:firstLine="420" w:firstLineChars="200"/>
        <w:rPr>
          <w:rFonts w:cs="宋体"/>
          <w:szCs w:val="21"/>
        </w:rPr>
      </w:pPr>
      <w:r>
        <w:t>g) Date of objection/complaint.</w:t>
      </w:r>
    </w:p>
    <w:p w14:paraId="2E819D8F">
      <w:pPr>
        <w:spacing w:line="360" w:lineRule="auto"/>
        <w:ind w:firstLine="420" w:firstLineChars="200"/>
        <w:rPr>
          <w:rFonts w:cs="宋体"/>
          <w:szCs w:val="21"/>
        </w:rPr>
      </w:pPr>
      <w:r>
        <w:t>h) For complaints, the previous objections, replies to the objections and relevant materials shall be provided;</w:t>
      </w:r>
    </w:p>
    <w:p w14:paraId="417B5C29">
      <w:pPr>
        <w:spacing w:line="360" w:lineRule="auto"/>
        <w:ind w:firstLine="420" w:firstLineChars="200"/>
        <w:rPr>
          <w:rFonts w:cs="宋体"/>
          <w:szCs w:val="21"/>
        </w:rPr>
      </w:pPr>
      <w:r>
        <w:t>i) The objection letter/complaint letter in foreign languages shall be accompanied by a Chinese translation, and the explanation materials shall be subject to the Chinese translation;</w:t>
      </w:r>
    </w:p>
    <w:p w14:paraId="6823591D">
      <w:pPr>
        <w:spacing w:line="360" w:lineRule="auto"/>
        <w:ind w:firstLine="420" w:firstLineChars="200"/>
        <w:rPr>
          <w:rFonts w:cs="宋体"/>
          <w:szCs w:val="21"/>
        </w:rPr>
      </w:pPr>
      <w:r>
        <w:t>j) Other contents to be explained. 　　</w:t>
      </w:r>
    </w:p>
    <w:p w14:paraId="0F94CFFD">
      <w:pPr>
        <w:spacing w:line="360" w:lineRule="auto"/>
        <w:ind w:firstLine="420" w:firstLineChars="200"/>
        <w:rPr>
          <w:rFonts w:cs="宋体"/>
          <w:szCs w:val="21"/>
        </w:rPr>
      </w:pPr>
      <w:r>
        <w:t>3.2 An objection letter/complaint letter can only raise an objection/complaint against one procurement project. If the proposer needs to raise an objection/complaint against two or more projects, he/she shall submit an objection letter/complaint letter separately.</w:t>
      </w:r>
    </w:p>
    <w:p w14:paraId="3706ABD5">
      <w:pPr>
        <w:spacing w:line="360" w:lineRule="auto"/>
        <w:rPr>
          <w:rFonts w:cs="宋体"/>
          <w:szCs w:val="21"/>
        </w:rPr>
      </w:pPr>
      <w:r>
        <w:t>3.3 If the proposer needs to modify or supplement the objection letter/complaint letter, he/she shall submit the modified or supplementary information within the validity period of the objection/complaint.</w:t>
      </w:r>
    </w:p>
    <w:p w14:paraId="37F82C11">
      <w:pPr>
        <w:spacing w:line="360" w:lineRule="auto"/>
        <w:ind w:firstLine="422"/>
        <w:rPr>
          <w:rFonts w:cs="宋体"/>
          <w:b/>
          <w:bCs/>
          <w:szCs w:val="21"/>
        </w:rPr>
      </w:pPr>
      <w:r>
        <w:rPr>
          <w:b/>
        </w:rPr>
        <w:t>IV. Acceptance</w:t>
      </w:r>
    </w:p>
    <w:p w14:paraId="02DEFD7B">
      <w:pPr>
        <w:spacing w:line="360" w:lineRule="auto"/>
        <w:ind w:firstLine="420" w:firstLineChars="200"/>
        <w:rPr>
          <w:rFonts w:cs="宋体"/>
          <w:szCs w:val="21"/>
        </w:rPr>
      </w:pPr>
      <w:r>
        <w:t>4.1 The Purchaser is the subject of acceptance and handling of objections; the complaint acceptance department is the subject of acceptance and handling of complaints.</w:t>
      </w:r>
    </w:p>
    <w:p w14:paraId="4B8202E3">
      <w:pPr>
        <w:spacing w:line="360" w:lineRule="auto"/>
        <w:ind w:firstLine="420" w:firstLineChars="200"/>
        <w:rPr>
          <w:rFonts w:cs="宋体"/>
          <w:szCs w:val="21"/>
        </w:rPr>
      </w:pPr>
      <w:r>
        <w:t>4.2 After receiving the paper materials from the proposer, the purchaser or the complaint acceptance department shall review the objection/complaint. If the acceptance conditions are met, the proposer shall be informed that the objection/complaint has been accepted and is being handled; if the acceptance conditions are not met, the proposer shall be informed in writing that the objection/complaint will not be accepted.</w:t>
      </w:r>
    </w:p>
    <w:p w14:paraId="3BF68741">
      <w:pPr>
        <w:spacing w:line="360" w:lineRule="auto"/>
        <w:ind w:firstLine="420" w:firstLineChars="200"/>
        <w:rPr>
          <w:rFonts w:cs="宋体"/>
          <w:szCs w:val="21"/>
        </w:rPr>
      </w:pPr>
      <w:r>
        <w:t>4.3 Objections/complaints under any of the following circumstances shall not be accepted:</w:t>
      </w:r>
    </w:p>
    <w:p w14:paraId="57C25001">
      <w:pPr>
        <w:spacing w:line="360" w:lineRule="auto"/>
        <w:ind w:firstLine="420" w:firstLineChars="200"/>
        <w:rPr>
          <w:rFonts w:cs="宋体"/>
          <w:szCs w:val="21"/>
        </w:rPr>
      </w:pPr>
      <w:r>
        <w:t>a) The proposer is not a supplier who has participated in the procurement project;</w:t>
      </w:r>
    </w:p>
    <w:p w14:paraId="56CE5256">
      <w:pPr>
        <w:spacing w:line="360" w:lineRule="auto"/>
        <w:ind w:firstLine="420" w:firstLineChars="200"/>
        <w:rPr>
          <w:rFonts w:cs="宋体"/>
          <w:szCs w:val="21"/>
        </w:rPr>
      </w:pPr>
      <w:r>
        <w:t>b) Not proposed within the validity period of the objection/complaint;</w:t>
      </w:r>
    </w:p>
    <w:p w14:paraId="0EF1162B">
      <w:pPr>
        <w:spacing w:line="360" w:lineRule="auto"/>
        <w:ind w:firstLine="420" w:firstLineChars="200"/>
        <w:rPr>
          <w:rFonts w:cs="宋体"/>
          <w:szCs w:val="21"/>
        </w:rPr>
      </w:pPr>
      <w:r>
        <w:t>c) The objection letter/complaint letter is not signed according to Item f) of Clause 3.1 of Article 3;</w:t>
      </w:r>
    </w:p>
    <w:p w14:paraId="7D6F074E">
      <w:pPr>
        <w:spacing w:line="360" w:lineRule="auto"/>
        <w:ind w:firstLine="420" w:firstLineChars="200"/>
        <w:rPr>
          <w:rFonts w:cs="宋体"/>
          <w:szCs w:val="21"/>
        </w:rPr>
      </w:pPr>
      <w:r>
        <w:t>d) One objection letter/complaint letter is against multiple procurement projects at the same time;</w:t>
      </w:r>
    </w:p>
    <w:p w14:paraId="491CEFE2">
      <w:pPr>
        <w:spacing w:line="360" w:lineRule="auto"/>
        <w:ind w:firstLine="420" w:firstLineChars="200"/>
        <w:rPr>
          <w:rFonts w:cs="宋体"/>
          <w:szCs w:val="21"/>
        </w:rPr>
      </w:pPr>
      <w:r>
        <w:t>e) The objection/complaint has been handled and replied to, and the proposer raises an objection/complaint on the same matter again within the validity period of the objection/complaint without providing new valid evidence;</w:t>
      </w:r>
    </w:p>
    <w:p w14:paraId="3C77DEC7">
      <w:pPr>
        <w:spacing w:line="360" w:lineRule="auto"/>
        <w:ind w:firstLine="420" w:firstLineChars="200"/>
        <w:rPr>
          <w:rFonts w:cs="宋体"/>
          <w:szCs w:val="21"/>
        </w:rPr>
      </w:pPr>
      <w:r>
        <w:t>f) Filing complaints directly on matters without objection procedures;</w:t>
      </w:r>
    </w:p>
    <w:p w14:paraId="15EF2171">
      <w:pPr>
        <w:spacing w:line="360" w:lineRule="auto"/>
        <w:ind w:firstLine="420" w:firstLineChars="200"/>
        <w:rPr>
          <w:rFonts w:cs="宋体"/>
          <w:szCs w:val="21"/>
        </w:rPr>
      </w:pPr>
      <w:r>
        <w:t>g) Other circumstances that do not meet the acceptance conditions.</w:t>
      </w:r>
    </w:p>
    <w:p w14:paraId="2A67E575">
      <w:pPr>
        <w:spacing w:line="360" w:lineRule="auto"/>
        <w:ind w:firstLine="422" w:firstLineChars="200"/>
        <w:rPr>
          <w:rFonts w:cs="宋体"/>
          <w:szCs w:val="21"/>
        </w:rPr>
      </w:pPr>
      <w:r>
        <w:rPr>
          <w:b/>
        </w:rPr>
        <w:t>V. Handling</w:t>
      </w:r>
    </w:p>
    <w:p w14:paraId="43AFD4A2">
      <w:pPr>
        <w:spacing w:line="360" w:lineRule="auto"/>
        <w:ind w:firstLine="420" w:firstLineChars="200"/>
        <w:rPr>
          <w:rFonts w:cs="宋体"/>
        </w:rPr>
      </w:pPr>
      <w:r>
        <w:t>5.1 After the objection review, the objection shall be rejected in any of the following circumstances:</w:t>
      </w:r>
    </w:p>
    <w:p w14:paraId="55C61FBA">
      <w:pPr>
        <w:spacing w:line="360" w:lineRule="auto"/>
        <w:ind w:firstLine="420" w:firstLineChars="200"/>
        <w:rPr>
          <w:rFonts w:cs="宋体"/>
          <w:szCs w:val="21"/>
        </w:rPr>
      </w:pPr>
      <w:r>
        <w:t>a) Lack of facts, legal basis or illegal and insufficient evidence materials;</w:t>
      </w:r>
    </w:p>
    <w:p w14:paraId="3070E4BE">
      <w:pPr>
        <w:spacing w:line="360" w:lineRule="auto"/>
        <w:ind w:firstLine="420" w:firstLineChars="200"/>
        <w:rPr>
          <w:rFonts w:cs="宋体"/>
          <w:szCs w:val="21"/>
        </w:rPr>
      </w:pPr>
      <w:r>
        <w:t>b) Fabricate facts and provide false materials;</w:t>
      </w:r>
    </w:p>
    <w:p w14:paraId="58A65E41">
      <w:pPr>
        <w:spacing w:line="360" w:lineRule="auto"/>
        <w:ind w:firstLine="420" w:firstLineChars="200"/>
        <w:rPr>
          <w:rFonts w:cs="宋体"/>
          <w:szCs w:val="21"/>
        </w:rPr>
      </w:pPr>
      <w:r>
        <w:t>c) Other circumstances that should be rejected according to relevant laws and regulations.</w:t>
      </w:r>
    </w:p>
    <w:p w14:paraId="763924B6">
      <w:pPr>
        <w:spacing w:line="360" w:lineRule="auto"/>
        <w:ind w:firstLine="420" w:firstLineChars="200"/>
        <w:rPr>
          <w:rFonts w:cs="宋体"/>
          <w:szCs w:val="21"/>
        </w:rPr>
      </w:pPr>
      <w:r>
        <w:t>5.2 Complaints lack of facts or false or malicious complaints shall be rejected.</w:t>
      </w:r>
    </w:p>
    <w:p w14:paraId="5C051518">
      <w:pPr>
        <w:spacing w:line="360" w:lineRule="auto"/>
        <w:ind w:firstLine="420" w:firstLineChars="200"/>
        <w:rPr>
          <w:rFonts w:cs="宋体"/>
        </w:rPr>
      </w:pPr>
      <w:r>
        <w:t>5.3 After the objection/complaint handling is completed, the purchaser or the complaint acceptance department shall issue the Notice of Objection Handling Results or the Complaint Handling Decision, and send it to the proposer by e-mail after scanning. The paper version shall be kept by the purchaser or the complaint acceptance department for future reference.</w:t>
      </w:r>
    </w:p>
    <w:p w14:paraId="2F33A75C">
      <w:pPr>
        <w:spacing w:line="360" w:lineRule="auto"/>
        <w:ind w:firstLine="420" w:firstLineChars="200"/>
        <w:rPr>
          <w:rFonts w:cs="宋体"/>
          <w:szCs w:val="21"/>
        </w:rPr>
      </w:pPr>
      <w:r>
        <w:t>5.4 In the process of objection/complaint handling, the purchaser or the complaint acceptance department may organize relevant parties to communicate and explain. In principle, written review shall be adopted for handling objections/complaints. When the purchaser or the complaint acceptance department deems it necessary, it may conduct investigation and evidence collection, or organize the proposer and the objected/complained person to conduct face-to-face cross-examination. . If the proposer refuses to cooperate with the investigation, the objection/complaint shall be automatically withdrawn. If the objected/complained person fails to submit relevant evidence, basis and other relevant materials, it shall be deemed as a waiver of the right to explain and approval of the objection/complaint.</w:t>
      </w:r>
    </w:p>
    <w:p w14:paraId="3178777A">
      <w:pPr>
        <w:spacing w:line="360" w:lineRule="auto"/>
        <w:ind w:firstLine="420" w:firstLineChars="200"/>
        <w:rPr>
          <w:rFonts w:cs="宋体"/>
          <w:szCs w:val="21"/>
        </w:rPr>
      </w:pPr>
      <w:r>
        <w:t>5.5 In the process of objection/complaint handling, the relevant parties shall cooperate with the objection/complaint handling, abide by the order and discipline of objection review and complaint handling, truthfully reflect the situation, and provide relevant materials required for objection/complaint handling.</w:t>
      </w:r>
    </w:p>
    <w:p w14:paraId="34FBB897">
      <w:pPr>
        <w:spacing w:line="360" w:lineRule="auto"/>
        <w:ind w:firstLine="420" w:firstLineChars="200"/>
        <w:rPr>
          <w:rFonts w:cs="宋体"/>
          <w:szCs w:val="21"/>
        </w:rPr>
      </w:pPr>
      <w:r>
        <w:t>5.6 During the handling of complaints, the complaint acceptance department may notify the objected/complained person in writing to suspend the procurement activity according to the specific situation, and the suspension time shall not exceed 30 working days. The objected/complained person shall suspend the procurement activity immediately after receiving the notice, and shall not carry out the procurement activity before the end of the suspension period or before the complaint acceptance department issues a notice to resume the procurement activity.</w:t>
      </w:r>
    </w:p>
    <w:p w14:paraId="3510E48E">
      <w:pPr>
        <w:spacing w:line="360" w:lineRule="auto"/>
        <w:ind w:firstLine="420" w:firstLineChars="200"/>
        <w:rPr>
          <w:rFonts w:cs="宋体"/>
          <w:szCs w:val="21"/>
        </w:rPr>
      </w:pPr>
      <w:r>
        <w:t>5.7 In the process of objection handling, if the proposer requests to withdraw the objection, a written objection cancellation letter shall be submitted, and the legal representative shall sign his/her name (or seal his/her name) and affix the official seal of the unit. After receiving the objection cancellation letter, the purchaser has the right to decide whether to terminate the objection handling work according to the specific situation.</w:t>
      </w:r>
    </w:p>
    <w:p w14:paraId="3EA0F8E6">
      <w:pPr>
        <w:spacing w:line="360" w:lineRule="auto"/>
        <w:ind w:firstLine="420" w:firstLineChars="200"/>
        <w:rPr>
          <w:rFonts w:cs="宋体"/>
          <w:szCs w:val="21"/>
        </w:rPr>
      </w:pPr>
      <w:r>
        <w:t>5.8 If the proposer withdraws the complaint, it shall be handled as a termination of the complaint.</w:t>
      </w:r>
    </w:p>
    <w:p w14:paraId="43F17C18">
      <w:pPr>
        <w:spacing w:line="360" w:lineRule="auto"/>
        <w:ind w:firstLine="420" w:firstLineChars="200"/>
        <w:rPr>
          <w:rFonts w:cs="宋体"/>
        </w:rPr>
      </w:pPr>
      <w:r>
        <w:t>5.9 If the procurement project is handled as a failed bid during the objection/complaint handling period, it shall be handled as a termination of the objection/complaint.</w:t>
      </w:r>
    </w:p>
    <w:p w14:paraId="20ED6511">
      <w:pPr>
        <w:spacing w:line="360" w:lineRule="auto"/>
        <w:ind w:firstLine="422"/>
        <w:rPr>
          <w:rFonts w:cs="宋体"/>
          <w:b/>
          <w:bCs/>
          <w:szCs w:val="21"/>
        </w:rPr>
      </w:pPr>
      <w:r>
        <w:rPr>
          <w:b/>
        </w:rPr>
        <w:t>VI. Behavior Record</w:t>
      </w:r>
    </w:p>
    <w:p w14:paraId="026078A0">
      <w:pPr>
        <w:spacing w:line="360" w:lineRule="auto"/>
        <w:ind w:firstLine="420" w:firstLineChars="200"/>
        <w:rPr>
          <w:rFonts w:cs="宋体"/>
          <w:szCs w:val="21"/>
        </w:rPr>
      </w:pPr>
      <w:r>
        <w:t>6.1 If the proposer has bad behaviors, the purchaser has the right to include it in the List of Suppliers Restricted Transaction.</w:t>
      </w:r>
    </w:p>
    <w:p w14:paraId="05640B30">
      <w:pPr>
        <w:spacing w:line="360" w:lineRule="auto"/>
        <w:ind w:firstLine="420" w:firstLineChars="200"/>
        <w:rPr>
          <w:rFonts w:cs="宋体"/>
          <w:szCs w:val="21"/>
        </w:rPr>
      </w:pPr>
      <w:r>
        <w:t>6.2 When the proposer raises an objection or complaint, it is bad behavior if:</w:t>
      </w:r>
    </w:p>
    <w:p w14:paraId="44727F49">
      <w:pPr>
        <w:spacing w:line="360" w:lineRule="auto"/>
        <w:ind w:firstLine="420" w:firstLineChars="200"/>
        <w:rPr>
          <w:rFonts w:cs="宋体"/>
          <w:szCs w:val="21"/>
        </w:rPr>
      </w:pPr>
      <w:r>
        <w:t>a) The proposer refuses to accept the Notice of Objection Handling Results or Complaint Handling Decision for no reason;</w:t>
      </w:r>
    </w:p>
    <w:p w14:paraId="5FD846A2">
      <w:pPr>
        <w:spacing w:line="360" w:lineRule="auto"/>
        <w:ind w:firstLine="420" w:firstLineChars="200"/>
        <w:rPr>
          <w:rFonts w:cs="宋体"/>
          <w:szCs w:val="21"/>
        </w:rPr>
      </w:pPr>
      <w:r>
        <w:t>b) Fabricate facts or provide false information or materials;</w:t>
      </w:r>
    </w:p>
    <w:p w14:paraId="089D1802">
      <w:pPr>
        <w:spacing w:line="360" w:lineRule="auto"/>
        <w:ind w:firstLine="420" w:firstLineChars="200"/>
        <w:rPr>
          <w:rFonts w:cs="宋体"/>
          <w:szCs w:val="21"/>
        </w:rPr>
      </w:pPr>
      <w:r>
        <w:t>c) Refuse to provide relevant materials required for objection/complaint handling;</w:t>
      </w:r>
    </w:p>
    <w:p w14:paraId="23EED53A">
      <w:pPr>
        <w:spacing w:line="360" w:lineRule="auto"/>
        <w:ind w:firstLine="420" w:firstLineChars="200"/>
        <w:rPr>
          <w:rFonts w:cs="宋体"/>
          <w:szCs w:val="21"/>
        </w:rPr>
      </w:pPr>
      <w:r>
        <w:t>d) More than 3 complaints within one year are found to be unsubstantiated;</w:t>
      </w:r>
    </w:p>
    <w:p w14:paraId="293B3E28">
      <w:pPr>
        <w:spacing w:line="360" w:lineRule="auto"/>
        <w:ind w:firstLine="420" w:firstLineChars="200"/>
        <w:rPr>
          <w:rFonts w:cs="宋体"/>
          <w:szCs w:val="21"/>
        </w:rPr>
      </w:pPr>
      <w:r>
        <w:t>e) Fail to make objections/complaints according to this commitment and procedure guidelines, resulting in serious consequences.</w:t>
      </w:r>
    </w:p>
    <w:p w14:paraId="51DFE032">
      <w:pPr>
        <w:spacing w:line="360" w:lineRule="auto"/>
        <w:ind w:firstLine="420" w:firstLineChars="200"/>
        <w:rPr>
          <w:rFonts w:cs="宋体"/>
          <w:szCs w:val="21"/>
        </w:rPr>
      </w:pPr>
      <w:r>
        <w:t>f) Other behaviors that do not cooperate with objection/complaint handling.</w:t>
      </w:r>
    </w:p>
    <w:p w14:paraId="63805A2E">
      <w:pPr>
        <w:spacing w:line="360" w:lineRule="auto"/>
        <w:ind w:firstLine="422"/>
        <w:rPr>
          <w:rFonts w:cs="宋体"/>
          <w:b/>
          <w:bCs/>
          <w:szCs w:val="21"/>
        </w:rPr>
      </w:pPr>
      <w:r>
        <w:rPr>
          <w:b/>
        </w:rPr>
        <w:t>VII. Cost Bearing</w:t>
      </w:r>
    </w:p>
    <w:p w14:paraId="7512AFB7">
      <w:pPr>
        <w:widowControl/>
        <w:spacing w:line="360" w:lineRule="auto"/>
        <w:ind w:firstLine="420" w:firstLineChars="200"/>
        <w:rPr>
          <w:rFonts w:cs="宋体"/>
          <w:b/>
          <w:bCs/>
        </w:rPr>
      </w:pPr>
      <w:r>
        <w:t xml:space="preserve">The purchaser or the complaint acceptance department will not charge any fees for accepting and handling the objection/complaint from the proposer and the objected/complained person, </w:t>
      </w:r>
      <w:r>
        <w:rPr>
          <w:b/>
        </w:rPr>
        <w:t>but the testing and appraisal fees incurred for handling the complaint shall be borne by the party at fault in accordance with the principle of "whoever is at fault shall bear".; If both the proposer and the objected/complained person are at fault, both parties shall reasonably share the cost.</w:t>
      </w:r>
    </w:p>
    <w:p w14:paraId="6CFD02AB">
      <w:pPr>
        <w:spacing w:line="360" w:lineRule="auto"/>
        <w:ind w:firstLine="422"/>
        <w:rPr>
          <w:rFonts w:cs="宋体"/>
          <w:b/>
          <w:bCs/>
          <w:szCs w:val="21"/>
        </w:rPr>
      </w:pPr>
      <w:r>
        <w:rPr>
          <w:b/>
        </w:rPr>
        <w:t>VIII. Confidentiality</w:t>
      </w:r>
    </w:p>
    <w:p w14:paraId="21EF4383">
      <w:pPr>
        <w:spacing w:line="360" w:lineRule="auto"/>
        <w:ind w:firstLine="420" w:firstLineChars="200"/>
        <w:rPr>
          <w:rFonts w:cs="宋体"/>
          <w:szCs w:val="21"/>
        </w:rPr>
      </w:pPr>
      <w:r>
        <w:t>For trade secrets and personal privacy known during the handling of objections/complaints, all parties involved shall strictly keep confidential and abide by the confidentiality regulations related to procurement.</w:t>
      </w:r>
    </w:p>
    <w:tbl>
      <w:tblPr>
        <w:tblStyle w:val="18"/>
        <w:tblpPr w:leftFromText="180" w:rightFromText="180" w:vertAnchor="text" w:horzAnchor="page" w:tblpX="217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0"/>
      </w:tblGrid>
      <w:tr w14:paraId="5AC4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0" w:type="dxa"/>
          </w:tcPr>
          <w:p w14:paraId="0D60E07D">
            <w:pPr>
              <w:widowControl/>
              <w:spacing w:line="460" w:lineRule="exact"/>
              <w:ind w:left="315" w:hanging="315" w:hangingChars="150"/>
              <w:jc w:val="left"/>
            </w:pPr>
            <w:r>
              <w:t xml:space="preserve">Only address for handling objection materials: </w:t>
            </w:r>
            <w:r>
              <w:rPr>
                <w:rFonts w:hint="eastAsia"/>
              </w:rPr>
              <w:t>No.27 Hangyunnan Street, Baiyun District, Guangzhou , P.R.China</w:t>
            </w:r>
          </w:p>
          <w:p w14:paraId="3E235CAB">
            <w:pPr>
              <w:widowControl/>
              <w:spacing w:line="460" w:lineRule="exact"/>
              <w:ind w:left="315" w:hanging="315" w:hangingChars="150"/>
              <w:rPr>
                <w:highlight w:val="none"/>
              </w:rPr>
            </w:pPr>
            <w:r>
              <w:rPr>
                <w:highlight w:val="none"/>
              </w:rPr>
              <w:t xml:space="preserve">Contact person: </w:t>
            </w:r>
            <w:r>
              <w:rPr>
                <w:rFonts w:hint="eastAsia" w:eastAsia="宋体"/>
                <w:highlight w:val="none"/>
                <w:lang w:val="en-US" w:eastAsia="zh-CN"/>
              </w:rPr>
              <w:t xml:space="preserve">Ms. </w:t>
            </w:r>
            <w:r>
              <w:rPr>
                <w:rFonts w:hint="eastAsia"/>
                <w:highlight w:val="none"/>
                <w:lang w:val="en-US" w:eastAsia="zh-CN"/>
              </w:rPr>
              <w:t>Liao</w:t>
            </w:r>
            <w:r>
              <w:rPr>
                <w:highlight w:val="none"/>
              </w:rPr>
              <w:t xml:space="preserve"> </w:t>
            </w:r>
          </w:p>
          <w:p w14:paraId="6EE90D20">
            <w:pPr>
              <w:widowControl/>
              <w:spacing w:line="460" w:lineRule="exact"/>
              <w:ind w:left="315" w:hanging="315" w:hangingChars="150"/>
              <w:rPr>
                <w:rFonts w:hint="default"/>
                <w:highlight w:val="none"/>
                <w:lang w:val="en-US"/>
              </w:rPr>
            </w:pPr>
            <w:r>
              <w:rPr>
                <w:highlight w:val="none"/>
              </w:rPr>
              <w:t xml:space="preserve">Tel.: </w:t>
            </w:r>
            <w:r>
              <w:rPr>
                <w:rFonts w:hint="eastAsia"/>
                <w:highlight w:val="none"/>
                <w:lang w:val="en-US" w:eastAsia="zh-CN"/>
              </w:rPr>
              <w:t>020-28283564</w:t>
            </w:r>
          </w:p>
          <w:p w14:paraId="2BD61930">
            <w:pPr>
              <w:widowControl/>
              <w:spacing w:before="156" w:beforeLines="50" w:after="156" w:afterLines="50" w:line="460" w:lineRule="exact"/>
            </w:pPr>
            <w:r>
              <w:t>If the proposer is dissatisfied with the reply to the objection or believes that the procurement activity violates laws, regulations or rules, he/she may make a real-name complaint through the following channels within 2 working days after receiving the reply to the objection:</w:t>
            </w:r>
          </w:p>
          <w:p w14:paraId="1CAE3EF2">
            <w:pPr>
              <w:widowControl/>
              <w:spacing w:line="360" w:lineRule="auto"/>
              <w:ind w:left="315" w:hanging="315" w:hangingChars="150"/>
              <w:rPr>
                <w:rFonts w:hint="eastAsia"/>
              </w:rPr>
            </w:pPr>
            <w:r>
              <w:t xml:space="preserve">Complaint acceptance department: </w:t>
            </w:r>
            <w:r>
              <w:rPr>
                <w:rFonts w:hint="eastAsia"/>
              </w:rPr>
              <w:t>China Southern Air Logistics Company Limitied</w:t>
            </w:r>
          </w:p>
          <w:p w14:paraId="64D308A5">
            <w:pPr>
              <w:widowControl/>
              <w:spacing w:line="360" w:lineRule="auto"/>
              <w:ind w:left="315" w:hanging="315" w:hangingChars="150"/>
            </w:pPr>
            <w:r>
              <w:t xml:space="preserve">Address: </w:t>
            </w:r>
            <w:r>
              <w:rPr>
                <w:rFonts w:hint="eastAsia"/>
              </w:rPr>
              <w:t>No.27 Hangyunnan Street</w:t>
            </w:r>
            <w:r>
              <w:t xml:space="preserve">, Baiyun District, Guangzhou , </w:t>
            </w:r>
            <w:r>
              <w:rPr>
                <w:rFonts w:hint="eastAsia"/>
              </w:rPr>
              <w:t xml:space="preserve">P.R.China </w:t>
            </w:r>
          </w:p>
          <w:p w14:paraId="6AEEB365">
            <w:pPr>
              <w:widowControl/>
              <w:spacing w:line="360" w:lineRule="auto"/>
              <w:ind w:left="315" w:hanging="315" w:hangingChars="150"/>
            </w:pPr>
            <w:r>
              <w:t xml:space="preserve">Contact persons: Mr. </w:t>
            </w:r>
            <w:r>
              <w:rPr>
                <w:rFonts w:hint="eastAsia" w:eastAsia="宋体"/>
                <w:lang w:val="en-US" w:eastAsia="zh-CN"/>
              </w:rPr>
              <w:t>Wang</w:t>
            </w:r>
          </w:p>
          <w:p w14:paraId="3BCF6A68">
            <w:pPr>
              <w:widowControl/>
              <w:spacing w:line="360" w:lineRule="auto"/>
              <w:ind w:left="315" w:hanging="315" w:hangingChars="150"/>
              <w:rPr>
                <w:rFonts w:cs="宋体"/>
                <w:kern w:val="0"/>
                <w:szCs w:val="21"/>
              </w:rPr>
            </w:pPr>
            <w:r>
              <w:t>Tel.: 020-861</w:t>
            </w:r>
            <w:r>
              <w:rPr>
                <w:rFonts w:hint="eastAsia" w:eastAsia="宋体"/>
                <w:lang w:val="en-US" w:eastAsia="zh-CN"/>
              </w:rPr>
              <w:t>13565</w:t>
            </w:r>
          </w:p>
        </w:tc>
      </w:tr>
    </w:tbl>
    <w:p w14:paraId="68EC05D4">
      <w:pPr>
        <w:ind w:firstLine="420" w:firstLineChars="200"/>
        <w:rPr>
          <w:rFonts w:cs="宋体"/>
          <w:szCs w:val="21"/>
        </w:rPr>
      </w:pPr>
    </w:p>
    <w:p w14:paraId="4DDB4A61">
      <w:pPr>
        <w:spacing w:line="360" w:lineRule="auto"/>
        <w:ind w:firstLine="420" w:firstLineChars="200"/>
      </w:pPr>
    </w:p>
    <w:p w14:paraId="2A26F8FF">
      <w:pPr>
        <w:spacing w:line="360" w:lineRule="auto"/>
        <w:ind w:firstLine="420" w:firstLineChars="200"/>
      </w:pPr>
    </w:p>
    <w:p w14:paraId="3D459DDA">
      <w:pPr>
        <w:spacing w:line="360" w:lineRule="auto"/>
        <w:ind w:firstLine="420" w:firstLineChars="200"/>
      </w:pPr>
    </w:p>
    <w:p w14:paraId="57CD4293">
      <w:pPr>
        <w:spacing w:line="360" w:lineRule="auto"/>
        <w:ind w:firstLine="420" w:firstLineChars="200"/>
        <w:rPr>
          <w:rFonts w:cs="宋体"/>
          <w:szCs w:val="21"/>
        </w:rPr>
      </w:pPr>
      <w:r>
        <w:t>The company (supplier) is aware of and willing to comply with the above objection/complaint procedures and relevant regulations. We promise that in this procurement activity, if there are any losses, adverse consequences and legal liabilities caused by the bad behaviors mentioned in the Guidelines, we (the supplier) will bear them.</w:t>
      </w:r>
    </w:p>
    <w:p w14:paraId="095E0458">
      <w:pPr>
        <w:widowControl/>
        <w:spacing w:line="360" w:lineRule="auto"/>
        <w:rPr>
          <w:rFonts w:cs="宋体"/>
          <w:kern w:val="0"/>
          <w:szCs w:val="21"/>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305470E5">
      <w:pPr>
        <w:keepNext/>
        <w:pageBreakBefore/>
        <w:widowControl w:val="0"/>
        <w:spacing w:before="156" w:beforeLines="50" w:after="156" w:afterLines="50" w:line="360" w:lineRule="auto"/>
        <w:ind w:left="0"/>
        <w:jc w:val="center"/>
        <w:outlineLvl w:val="1"/>
        <w:rPr>
          <w:rFonts w:ascii="Times New Roman" w:hAnsi="Times New Roman" w:eastAsia="Times New Roman" w:cs="宋体"/>
          <w:b/>
          <w:kern w:val="2"/>
          <w:sz w:val="28"/>
          <w:szCs w:val="20"/>
          <w:lang w:val="en-US" w:eastAsia="zh-CN" w:bidi="ar-SA"/>
        </w:rPr>
      </w:pPr>
      <w:bookmarkStart w:id="113" w:name="_Toc109142359"/>
      <w:r>
        <w:rPr>
          <w:rFonts w:ascii="Times New Roman" w:hAnsi="Times New Roman" w:eastAsia="Times New Roman" w:cs="Times New Roman"/>
          <w:b/>
          <w:kern w:val="2"/>
          <w:sz w:val="28"/>
          <w:szCs w:val="20"/>
          <w:lang w:val="en-US" w:eastAsia="zh-CN" w:bidi="ar-SA"/>
        </w:rPr>
        <w:t xml:space="preserve">Format </w:t>
      </w:r>
      <w:r>
        <w:rPr>
          <w:rFonts w:hint="eastAsia" w:ascii="Times New Roman" w:hAnsi="Times New Roman" w:eastAsia="Times New Roman" w:cs="Times New Roman"/>
          <w:b/>
          <w:kern w:val="2"/>
          <w:sz w:val="28"/>
          <w:szCs w:val="20"/>
          <w:lang w:val="en-US" w:eastAsia="zh-CN" w:bidi="ar-SA"/>
        </w:rPr>
        <w:t>Ⅱ</w:t>
      </w:r>
      <w:r>
        <w:rPr>
          <w:rFonts w:ascii="Times New Roman" w:hAnsi="Times New Roman" w:eastAsia="Times New Roman" w:cs="Times New Roman"/>
          <w:b/>
          <w:kern w:val="2"/>
          <w:sz w:val="28"/>
          <w:szCs w:val="20"/>
          <w:lang w:val="en-US" w:eastAsia="zh-CN" w:bidi="ar-SA"/>
        </w:rPr>
        <w:t xml:space="preserve"> Notice on List System of Suppliers Restricted Transaction</w:t>
      </w:r>
      <w:bookmarkEnd w:id="113"/>
    </w:p>
    <w:p w14:paraId="0C034573">
      <w:pPr>
        <w:widowControl/>
        <w:spacing w:line="500" w:lineRule="exact"/>
        <w:ind w:left="315" w:hanging="315" w:hangingChars="150"/>
        <w:jc w:val="left"/>
        <w:rPr>
          <w:rFonts w:ascii="Times New Roman" w:hAnsi="Times New Roman" w:eastAsia="Times New Roman" w:cs="宋体"/>
          <w:kern w:val="0"/>
          <w:szCs w:val="21"/>
        </w:rPr>
      </w:pPr>
      <w:r>
        <w:rPr>
          <w:rFonts w:ascii="Times New Roman" w:hAnsi="Times New Roman" w:eastAsia="Times New Roman" w:cs="Times New Roman"/>
        </w:rPr>
        <w:t>Suppliers:</w:t>
      </w:r>
    </w:p>
    <w:p w14:paraId="631DD7BB">
      <w:pPr>
        <w:spacing w:line="500" w:lineRule="exact"/>
        <w:ind w:firstLine="420" w:firstLineChars="200"/>
        <w:rPr>
          <w:rFonts w:ascii="Times New Roman" w:hAnsi="Times New Roman" w:eastAsia="Times New Roman" w:cs="宋体"/>
          <w:b/>
          <w:bCs/>
          <w:szCs w:val="21"/>
        </w:rPr>
      </w:pPr>
      <w:r>
        <w:rPr>
          <w:rFonts w:ascii="Times New Roman" w:hAnsi="Times New Roman" w:eastAsia="Times New Roman" w:cs="Times New Roman"/>
          <w:b/>
        </w:rPr>
        <w:t>I. In case of any of the following circumstances, suppliers will be listed as a Class</w:t>
      </w:r>
      <w:r>
        <w:rPr>
          <w:rFonts w:hint="eastAsia" w:ascii="宋体" w:hAnsi="宋体" w:eastAsia="Times New Roman" w:cs="宋体"/>
          <w:b/>
        </w:rPr>
        <w:t>Ⅰ</w:t>
      </w:r>
      <w:r>
        <w:rPr>
          <w:rFonts w:ascii="Times New Roman" w:hAnsi="Times New Roman" w:eastAsia="Times New Roman" w:cs="Times New Roman"/>
          <w:b/>
        </w:rPr>
        <w:t>supplier restricted transaction, and the restricted access period is 1 year:</w:t>
      </w:r>
    </w:p>
    <w:p w14:paraId="53E6C207">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1. Suppliers who collude with each other or with the purchaser and procurement-related parties in the procurement activity (including but not limited to negotiating substantial contents such as quotation, agreeing with the winner and some suppliers to give up participating in procurement or winning the bid, collaborative bidding according to the requirements of the same group, association, chamber of commerce and other organizations, joint action to seek for winning or rejecting specific suppliers, illegal acquisition of base price or information on review committee members, etc.) that may affect the final bid price and cause a loss of less than RMB 1 million (exclusive) to China Southern Airlines; Or the relevant personnel of China Southern Airlines is given punishments below serious warning due to supplier collusion and other behaviors;</w:t>
      </w:r>
    </w:p>
    <w:p w14:paraId="622498D0">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2. Suppliers whose non-conforming product quality, delayed delivery, failure of service personnel to be in place in time according to the contract requirements, poor technical guidance or poor after-sales service cause China Southern Airlines to suffer great losses or to be held accountable;</w:t>
      </w:r>
    </w:p>
    <w:p w14:paraId="17F4CFBD">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3. Suppliers who are held accountable for failing to supply brands and components or raw materials with specific parameters according to commitments; Or those whose unqualified products and services after acceptance are still unqualified after rectification, which causes serious adverse effects or large losses;</w:t>
      </w:r>
    </w:p>
    <w:p w14:paraId="5A06231D">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4. Suppliers that refuse or fail to cooperate with inspection without justifiable reasons, causing serious adverse effects as determined by relevant departments. Including failure to provide the originals of project response documents as required for inspection; refusal to accept the inspection of production equipment, facilities as well as personnel qualifications; refusal to reply to the company's check or inspection requirements, etc.;</w:t>
      </w:r>
    </w:p>
    <w:p w14:paraId="1F638469">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5. Suppliers whose registration, filing documents and data are verified to be fraudulent; or those are verified to be fraudulent in the project response documents and data, with minor circumstances, which has no great impact on the project review results;</w:t>
      </w:r>
    </w:p>
    <w:p w14:paraId="3B996F0F">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6. Suppliers who breach the contract to subcontract cargos less than 30% of the procurement quantity, with relatively minor circumstances;</w:t>
      </w:r>
    </w:p>
    <w:p w14:paraId="14D5193D">
      <w:pPr>
        <w:spacing w:line="500" w:lineRule="exact"/>
        <w:ind w:firstLine="420"/>
        <w:rPr>
          <w:rFonts w:ascii="Times New Roman" w:hAnsi="Times New Roman" w:eastAsia="Times New Roman" w:cs="宋体"/>
          <w:szCs w:val="21"/>
        </w:rPr>
      </w:pPr>
      <w:r>
        <w:rPr>
          <w:rFonts w:ascii="Times New Roman" w:hAnsi="Times New Roman" w:eastAsia="Times New Roman" w:cs="Times New Roman"/>
        </w:rPr>
        <w:t>7. Other circumstances identified as Class</w:t>
      </w:r>
      <w:r>
        <w:rPr>
          <w:rFonts w:hint="eastAsia" w:ascii="宋体" w:hAnsi="宋体" w:eastAsia="Times New Roman" w:cs="宋体"/>
        </w:rPr>
        <w:t>Ⅰ</w:t>
      </w:r>
      <w:r>
        <w:rPr>
          <w:rFonts w:ascii="Times New Roman" w:hAnsi="Times New Roman" w:eastAsia="Times New Roman" w:cs="Times New Roman"/>
        </w:rPr>
        <w:t>bad behavior by the procurement leading group.</w:t>
      </w:r>
    </w:p>
    <w:p w14:paraId="7D3CACCC">
      <w:pPr>
        <w:spacing w:line="500" w:lineRule="exact"/>
        <w:ind w:firstLine="420" w:firstLineChars="200"/>
        <w:rPr>
          <w:rFonts w:ascii="Times New Roman" w:hAnsi="Times New Roman" w:eastAsia="Times New Roman" w:cs="宋体"/>
          <w:b/>
          <w:bCs/>
          <w:szCs w:val="21"/>
        </w:rPr>
      </w:pPr>
      <w:r>
        <w:rPr>
          <w:rFonts w:ascii="Times New Roman" w:hAnsi="Times New Roman" w:eastAsia="Times New Roman" w:cs="Times New Roman"/>
          <w:b/>
        </w:rPr>
        <w:t xml:space="preserve">II. In case of any of the following circumstances, suppliers will be listed as a Class </w:t>
      </w:r>
      <w:r>
        <w:rPr>
          <w:rFonts w:hint="eastAsia" w:ascii="宋体" w:hAnsi="宋体" w:eastAsia="Times New Roman" w:cs="宋体"/>
          <w:b/>
        </w:rPr>
        <w:t>Ⅱ</w:t>
      </w:r>
      <w:r>
        <w:rPr>
          <w:rFonts w:ascii="Times New Roman" w:hAnsi="Times New Roman" w:eastAsia="Times New Roman" w:cs="Times New Roman"/>
          <w:b/>
        </w:rPr>
        <w:t xml:space="preserve"> supplier restricted transaction, and the restricted access period are 2 years:</w:t>
      </w:r>
    </w:p>
    <w:p w14:paraId="3A769468">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1. Suppliers who collude with each other or with the purchaser and procurement-related parties in the procurement activity that may affect the final bid price and cause a loss of more than RMB 1 million (inclusive) and less than RMB 2 million (exclusive) to China Southern Airlines;</w:t>
      </w:r>
    </w:p>
    <w:p w14:paraId="21FBBDD2">
      <w:pPr>
        <w:spacing w:line="500" w:lineRule="exact"/>
        <w:ind w:firstLine="315" w:firstLineChars="150"/>
        <w:rPr>
          <w:rFonts w:ascii="Times New Roman" w:hAnsi="Times New Roman" w:eastAsia="Times New Roman" w:cs="Times New Roman"/>
        </w:rPr>
      </w:pPr>
      <w:r>
        <w:rPr>
          <w:rFonts w:ascii="Times New Roman" w:hAnsi="Times New Roman" w:eastAsia="Times New Roman" w:cs="Times New Roman"/>
        </w:rPr>
        <w:t>2. Suppliers who collude with procurement personnel, reviewers, etc. to seek winning project transactions under minor circumstances; Or relevant personnel of China Southern Airlines is given administrative and disciplinary punishments above serious warning (inclusive) due to supplier collusion;</w:t>
      </w:r>
    </w:p>
    <w:p w14:paraId="16B26FF3">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3. Suppliers that falsely and maliciously complaint and object, which have been identified by relevant departments as causing adverse effects; False and malicious complaints and objections include: false materials are provided; more than 3 (inclusive) complaints and objections are made without conforming to the procedures specified by the company within 3 years, and the complaints and objections are invalid; more than 3 (inclusive) complaints and objections are unsubstantiated within 3 years; After the complaints and objections have been verified and reasonably replied, the complainant and objector still repeatedly complain and object about the same problem for more than 3 times (inclusive); Complainants and objectors refuse to cooperate in relevant investigations;</w:t>
      </w:r>
    </w:p>
    <w:p w14:paraId="797EAF6F">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4. Suppliers who refuse to sign the contract after receiving the Letter of Acceptance or Notification of Award, or unilaterally request to waive the qualification of winning the bid; Or unilaterally request to terminate or cancel the contract after signing the contract; Or there is a dispute during the performance of the contract, malicious litigation or false litigation is adopted without negotiation, which is determined by relevant units to have caused adverse effects; Or suppliers fail to perform as agreed in the contract, which is deemed as a serious circumstance by the competent unit of the contract;</w:t>
      </w:r>
    </w:p>
    <w:p w14:paraId="649805C6">
      <w:pPr>
        <w:spacing w:line="500" w:lineRule="exact"/>
        <w:ind w:firstLine="210" w:firstLineChars="100"/>
        <w:rPr>
          <w:rFonts w:ascii="Times New Roman" w:hAnsi="Times New Roman" w:eastAsia="Times New Roman" w:cs="宋体"/>
          <w:szCs w:val="21"/>
        </w:rPr>
      </w:pPr>
      <w:r>
        <w:rPr>
          <w:rFonts w:ascii="Times New Roman" w:hAnsi="Times New Roman" w:eastAsia="Times New Roman" w:cs="Times New Roman"/>
        </w:rPr>
        <w:t>5. Suppliers who breach the contract to subcontract cargos more than 30% (inclusive) but less than 50% of the procurement quantity, with serious circumstances;</w:t>
      </w:r>
    </w:p>
    <w:p w14:paraId="1A21F543">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 xml:space="preserve">6. Other circumstances of Class </w:t>
      </w:r>
      <w:r>
        <w:rPr>
          <w:rFonts w:hint="eastAsia" w:ascii="宋体" w:hAnsi="宋体" w:eastAsia="Times New Roman" w:cs="宋体"/>
        </w:rPr>
        <w:t>Ⅱ</w:t>
      </w:r>
      <w:r>
        <w:rPr>
          <w:rFonts w:ascii="Times New Roman" w:hAnsi="Times New Roman" w:eastAsia="Times New Roman" w:cs="Times New Roman"/>
        </w:rPr>
        <w:t xml:space="preserve"> bad behavior identified by the procurement leading group.</w:t>
      </w:r>
    </w:p>
    <w:p w14:paraId="7F160F69">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b/>
        </w:rPr>
        <w:t xml:space="preserve">III. In case of any of the following circumstances, suppliers will be listed as a Class </w:t>
      </w:r>
      <w:r>
        <w:rPr>
          <w:rFonts w:hint="eastAsia" w:ascii="宋体" w:hAnsi="宋体" w:eastAsia="Times New Roman" w:cs="宋体"/>
          <w:b/>
        </w:rPr>
        <w:t>Ⅲ</w:t>
      </w:r>
      <w:r>
        <w:rPr>
          <w:rFonts w:ascii="Times New Roman" w:hAnsi="Times New Roman" w:eastAsia="Times New Roman" w:cs="Times New Roman"/>
          <w:b/>
        </w:rPr>
        <w:t xml:space="preserve"> supplier restricted transaction, and the restricted access period are 3 years:</w:t>
      </w:r>
    </w:p>
    <w:p w14:paraId="37DCA53D">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1. Suppliers who collude with each other or with the purchaser and procurement-related parties in the procurement activity that may affect the final bid price and cause a loss of more than RMB 2 million (inclusive) to China Southern Airlines; Or bid collusion occurs again in project procurement activities;</w:t>
      </w:r>
    </w:p>
    <w:p w14:paraId="12414400">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2. Suppliers who collude with procurement personnel, reviewers, etc. to seek winning project transactions, under serious circumstances; Or the relevant personnel of China Southern Airlines commit a crime and are investigated for criminal responsibility due to supplier collusion and other acts;</w:t>
      </w:r>
    </w:p>
    <w:p w14:paraId="20A8F080">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3. The key data of project response documents (such as financial status, business qualification, contract performance, product test report, etc.) are verified to be fraudulent;</w:t>
      </w:r>
    </w:p>
    <w:p w14:paraId="7E4B2A61">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4. Suppliers who breach the contract to subcontract cargos more than 50% (inclusive) of the procurement quantity, under serious circumstances;</w:t>
      </w:r>
    </w:p>
    <w:p w14:paraId="6015D076">
      <w:pPr>
        <w:spacing w:line="500" w:lineRule="exact"/>
        <w:ind w:firstLine="420" w:firstLineChars="200"/>
        <w:rPr>
          <w:rFonts w:ascii="Times New Roman" w:hAnsi="Times New Roman" w:eastAsia="Times New Roman" w:cs="宋体"/>
          <w:szCs w:val="21"/>
        </w:rPr>
      </w:pPr>
      <w:r>
        <w:rPr>
          <w:rFonts w:ascii="Times New Roman" w:hAnsi="Times New Roman" w:eastAsia="Times New Roman" w:cs="Times New Roman"/>
        </w:rPr>
        <w:t xml:space="preserve">5. Other circumstances of Class </w:t>
      </w:r>
      <w:r>
        <w:rPr>
          <w:rFonts w:hint="eastAsia" w:ascii="宋体" w:hAnsi="宋体" w:eastAsia="Times New Roman" w:cs="宋体"/>
        </w:rPr>
        <w:t>Ⅲ</w:t>
      </w:r>
      <w:r>
        <w:rPr>
          <w:rFonts w:ascii="Times New Roman" w:hAnsi="Times New Roman" w:eastAsia="Times New Roman" w:cs="Times New Roman"/>
        </w:rPr>
        <w:t xml:space="preserve"> bad behavior identified by the procurement leading group.</w:t>
      </w:r>
    </w:p>
    <w:p w14:paraId="08186A4D">
      <w:pPr>
        <w:spacing w:line="500" w:lineRule="exact"/>
        <w:ind w:firstLine="420" w:firstLineChars="200"/>
        <w:rPr>
          <w:rFonts w:ascii="Times New Roman" w:hAnsi="Times New Roman" w:eastAsia="Times New Roman" w:cs="宋体"/>
          <w:b/>
          <w:bCs/>
          <w:szCs w:val="21"/>
        </w:rPr>
      </w:pPr>
      <w:r>
        <w:rPr>
          <w:rFonts w:ascii="Times New Roman" w:hAnsi="Times New Roman" w:eastAsia="Times New Roman" w:cs="Times New Roman"/>
          <w:b/>
        </w:rPr>
        <w:t>Suppliers that have been included in the List of Suppliers Restricted Transaction are not allowed to participate in all procurement projects within the scope of China Southern Airlines during the restricted period. If a supplier's employees engage in bribery, benefits transfer and other acts against China Southern Airlines, and relevant evidence materials prove that their acts are related to the supplier's bid winning, transaction opportunities or competitive advantages, the briber shall not have business dealings with China Southern Airlines again, and the unit to which the briber belongs shall be prohibited from participating in all procurement projects within the scope of China Southern Airlines Group.</w:t>
      </w:r>
    </w:p>
    <w:p w14:paraId="14147C08">
      <w:pPr>
        <w:widowControl/>
        <w:spacing w:line="360" w:lineRule="auto"/>
        <w:ind w:firstLine="420" w:firstLineChars="150"/>
        <w:jc w:val="left"/>
        <w:rPr>
          <w:rFonts w:ascii="Times New Roman" w:hAnsi="Times New Roman" w:eastAsia="Times New Roman" w:cs="宋体"/>
          <w:b/>
          <w:bCs/>
          <w:kern w:val="0"/>
          <w:sz w:val="28"/>
          <w:szCs w:val="28"/>
        </w:rPr>
      </w:pPr>
    </w:p>
    <w:p w14:paraId="5A561602">
      <w:pPr>
        <w:widowControl/>
        <w:spacing w:line="360" w:lineRule="auto"/>
        <w:ind w:firstLine="420" w:firstLineChars="150"/>
        <w:jc w:val="left"/>
        <w:rPr>
          <w:rFonts w:ascii="Times New Roman" w:hAnsi="Times New Roman" w:eastAsia="Times New Roman" w:cs="宋体"/>
          <w:b/>
          <w:bCs/>
          <w:kern w:val="0"/>
          <w:sz w:val="28"/>
          <w:szCs w:val="28"/>
        </w:rPr>
      </w:pPr>
      <w:r>
        <w:rPr>
          <w:rFonts w:ascii="Times New Roman" w:hAnsi="Times New Roman" w:eastAsia="Times New Roman" w:cs="Times New Roman"/>
          <w:b/>
          <w:sz w:val="28"/>
        </w:rPr>
        <w:t>The supplier has known the above contents and agrees to be bound by relevant systems.</w:t>
      </w:r>
    </w:p>
    <w:p w14:paraId="0E3AE109">
      <w:pPr>
        <w:pStyle w:val="2"/>
        <w:outlineLvl w:val="9"/>
        <w:rPr>
          <w:rFonts w:hint="default"/>
          <w:lang w:val="en-US" w:eastAsia="zh-CN"/>
        </w:rPr>
      </w:pPr>
    </w:p>
    <w:sectPr>
      <w:headerReference r:id="rId3" w:type="default"/>
      <w:footerReference r:id="rId4" w:type="default"/>
      <w:pgSz w:w="11906" w:h="16838"/>
      <w:pgMar w:top="1440" w:right="1519" w:bottom="1327" w:left="151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Univers">
    <w:altName w:val="国标宋体-超大字符集"/>
    <w:panose1 w:val="00000000000000000000"/>
    <w:charset w:val="00"/>
    <w:family w:val="swiss"/>
    <w:pitch w:val="default"/>
    <w:sig w:usb0="00000000" w:usb1="00000000" w:usb2="00000000" w:usb3="00000000" w:csb0="0000000F" w:csb1="00000000"/>
  </w:font>
  <w:font w:name="国标宋体-超大字符集">
    <w:panose1 w:val="03000509000000000000"/>
    <w:charset w:val="86"/>
    <w:family w:val="auto"/>
    <w:pitch w:val="default"/>
    <w:sig w:usb0="00000001" w:usb1="08000000" w:usb2="00000000"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DLH Helvetica Light">
    <w:altName w:val="Arial"/>
    <w:panose1 w:val="00000000000000000000"/>
    <w:charset w:val="00"/>
    <w:family w:val="swiss"/>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C7F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2D4AC1">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B2D4AC1">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C298">
    <w:pPr>
      <w:pStyle w:val="12"/>
      <w:pBdr>
        <w:bottom w:val="single" w:color="auto" w:sz="4" w:space="1"/>
      </w:pBdr>
      <w:jc w:val="left"/>
      <w:rPr>
        <w:rFonts w:hint="eastAsia" w:eastAsia="宋体"/>
        <w:highlight w:val="none"/>
        <w:lang w:eastAsia="zh-CN"/>
      </w:rPr>
    </w:pPr>
    <w:r>
      <w:rPr>
        <w:rFonts w:hint="eastAsia"/>
        <w:lang w:eastAsia="zh-CN"/>
      </w:rPr>
      <w:t>中国南方航空股份有限公司</w:t>
    </w:r>
    <w:r>
      <w:rPr>
        <w:rFonts w:hint="eastAsia"/>
        <w:lang w:val="en-US" w:eastAsia="zh-CN"/>
      </w:rPr>
      <w:t>谈判采购项目</w:t>
    </w:r>
    <w:r>
      <w:rPr>
        <w:rFonts w:hint="eastAsia"/>
        <w:lang w:eastAsia="zh-CN"/>
      </w:rPr>
      <w:t>文件</w:t>
    </w:r>
    <w:r>
      <w:rPr>
        <w:rFonts w:hint="eastAsia"/>
        <w:lang w:val="en-US" w:eastAsia="zh-CN"/>
      </w:rPr>
      <w:t xml:space="preserve">                                （项目编号：</w:t>
    </w:r>
    <w:r>
      <w:rPr>
        <w:rFonts w:hint="eastAsia"/>
        <w:highlight w:val="none"/>
        <w:lang w:val="en-US" w:eastAsia="zh-CN"/>
      </w:rPr>
      <w:t>CZ2024009467）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91D27"/>
    <w:multiLevelType w:val="singleLevel"/>
    <w:tmpl w:val="9A291D27"/>
    <w:lvl w:ilvl="0" w:tentative="0">
      <w:start w:val="1"/>
      <w:numFmt w:val="lowerLetter"/>
      <w:lvlText w:val="%1."/>
      <w:lvlJc w:val="left"/>
      <w:pPr>
        <w:tabs>
          <w:tab w:val="left" w:pos="420"/>
        </w:tabs>
        <w:ind w:left="845" w:hanging="425"/>
      </w:pPr>
      <w:rPr>
        <w:rFonts w:hint="default"/>
      </w:rPr>
    </w:lvl>
  </w:abstractNum>
  <w:abstractNum w:abstractNumId="1">
    <w:nsid w:val="EC82058B"/>
    <w:multiLevelType w:val="singleLevel"/>
    <w:tmpl w:val="EC82058B"/>
    <w:lvl w:ilvl="0" w:tentative="0">
      <w:start w:val="1"/>
      <w:numFmt w:val="chineseCounting"/>
      <w:suff w:val="nothing"/>
      <w:lvlText w:val="%1、"/>
      <w:lvlJc w:val="left"/>
      <w:rPr>
        <w:rFonts w:hint="eastAsia"/>
      </w:rPr>
    </w:lvl>
  </w:abstractNum>
  <w:abstractNum w:abstractNumId="2">
    <w:nsid w:val="09B18601"/>
    <w:multiLevelType w:val="singleLevel"/>
    <w:tmpl w:val="09B18601"/>
    <w:lvl w:ilvl="0" w:tentative="0">
      <w:start w:val="1"/>
      <w:numFmt w:val="bullet"/>
      <w:lvlText w:val=""/>
      <w:lvlJc w:val="left"/>
      <w:pPr>
        <w:ind w:left="420" w:hanging="420"/>
      </w:pPr>
      <w:rPr>
        <w:rFonts w:hint="default" w:ascii="Wingdings" w:hAnsi="Wingdings"/>
      </w:rPr>
    </w:lvl>
  </w:abstractNum>
  <w:abstractNum w:abstractNumId="3">
    <w:nsid w:val="0C42B4E1"/>
    <w:multiLevelType w:val="singleLevel"/>
    <w:tmpl w:val="0C42B4E1"/>
    <w:lvl w:ilvl="0" w:tentative="0">
      <w:start w:val="1"/>
      <w:numFmt w:val="lowerLetter"/>
      <w:lvlText w:val="%1."/>
      <w:lvlJc w:val="left"/>
      <w:pPr>
        <w:tabs>
          <w:tab w:val="left" w:pos="420"/>
        </w:tabs>
        <w:ind w:left="845" w:hanging="425"/>
      </w:pPr>
      <w:rPr>
        <w:rFonts w:hint="default"/>
      </w:rPr>
    </w:lvl>
  </w:abstractNum>
  <w:abstractNum w:abstractNumId="4">
    <w:nsid w:val="12280D55"/>
    <w:multiLevelType w:val="singleLevel"/>
    <w:tmpl w:val="12280D55"/>
    <w:lvl w:ilvl="0" w:tentative="0">
      <w:start w:val="1"/>
      <w:numFmt w:val="decimal"/>
      <w:lvlText w:val="%1."/>
      <w:lvlJc w:val="left"/>
      <w:pPr>
        <w:ind w:left="425" w:hanging="425"/>
      </w:pPr>
      <w:rPr>
        <w:rFonts w:hint="default"/>
      </w:rPr>
    </w:lvl>
  </w:abstractNum>
  <w:abstractNum w:abstractNumId="5">
    <w:nsid w:val="54701EFE"/>
    <w:multiLevelType w:val="multilevel"/>
    <w:tmpl w:val="54701EFE"/>
    <w:lvl w:ilvl="0" w:tentative="0">
      <w:start w:val="1"/>
      <w:numFmt w:val="decimal"/>
      <w:lvlText w:val="(%1)"/>
      <w:lvlJc w:val="left"/>
      <w:pPr>
        <w:ind w:left="1800" w:hanging="36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6">
    <w:nsid w:val="5C405CD1"/>
    <w:multiLevelType w:val="multilevel"/>
    <w:tmpl w:val="5C405CD1"/>
    <w:lvl w:ilvl="0" w:tentative="0">
      <w:start w:val="1"/>
      <w:numFmt w:val="decimal"/>
      <w:lvlText w:val="%1"/>
      <w:lvlJc w:val="left"/>
      <w:pPr>
        <w:ind w:left="370" w:hanging="370"/>
      </w:pPr>
      <w:rPr>
        <w:rFonts w:hint="default"/>
      </w:rPr>
    </w:lvl>
    <w:lvl w:ilvl="1" w:tentative="0">
      <w:start w:val="1"/>
      <w:numFmt w:val="decimal"/>
      <w:lvlText w:val="%1.%2"/>
      <w:lvlJc w:val="left"/>
      <w:pPr>
        <w:ind w:left="1090" w:hanging="37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7">
    <w:nsid w:val="6301A1BC"/>
    <w:multiLevelType w:val="multilevel"/>
    <w:tmpl w:val="6301A1BC"/>
    <w:lvl w:ilvl="0" w:tentative="0">
      <w:start w:val="9"/>
      <w:numFmt w:val="lowerLetter"/>
      <w:lvlText w:val="(%1)"/>
      <w:lvlJc w:val="left"/>
      <w:pPr>
        <w:tabs>
          <w:tab w:val="left" w:pos="1317"/>
        </w:tabs>
        <w:ind w:left="1800" w:hanging="360"/>
      </w:pPr>
      <w:rPr>
        <w:rFonts w:hint="default" w:ascii="Arial" w:hAnsi="Arial" w:cs="Arial"/>
        <w:b w:val="0"/>
        <w:bCs w:val="0"/>
        <w:spacing w:val="-1"/>
        <w:w w:val="100"/>
        <w:sz w:val="22"/>
        <w:szCs w:val="20"/>
      </w:rPr>
    </w:lvl>
    <w:lvl w:ilvl="1" w:tentative="0">
      <w:start w:val="0"/>
      <w:numFmt w:val="bullet"/>
      <w:lvlText w:val="•"/>
      <w:lvlJc w:val="left"/>
      <w:pPr>
        <w:tabs>
          <w:tab w:val="left" w:pos="1317"/>
        </w:tabs>
        <w:ind w:left="2753" w:hanging="360"/>
      </w:pPr>
    </w:lvl>
    <w:lvl w:ilvl="2" w:tentative="0">
      <w:start w:val="0"/>
      <w:numFmt w:val="bullet"/>
      <w:lvlText w:val="•"/>
      <w:lvlJc w:val="left"/>
      <w:pPr>
        <w:tabs>
          <w:tab w:val="left" w:pos="1317"/>
        </w:tabs>
        <w:ind w:left="3709" w:hanging="360"/>
      </w:pPr>
    </w:lvl>
    <w:lvl w:ilvl="3" w:tentative="0">
      <w:start w:val="0"/>
      <w:numFmt w:val="bullet"/>
      <w:lvlText w:val="•"/>
      <w:lvlJc w:val="left"/>
      <w:pPr>
        <w:tabs>
          <w:tab w:val="left" w:pos="1317"/>
        </w:tabs>
        <w:ind w:left="4665" w:hanging="360"/>
      </w:pPr>
    </w:lvl>
    <w:lvl w:ilvl="4" w:tentative="0">
      <w:start w:val="0"/>
      <w:numFmt w:val="bullet"/>
      <w:lvlText w:val="•"/>
      <w:lvlJc w:val="left"/>
      <w:pPr>
        <w:tabs>
          <w:tab w:val="left" w:pos="1317"/>
        </w:tabs>
        <w:ind w:left="5621" w:hanging="360"/>
      </w:pPr>
    </w:lvl>
    <w:lvl w:ilvl="5" w:tentative="0">
      <w:start w:val="0"/>
      <w:numFmt w:val="bullet"/>
      <w:lvlText w:val="•"/>
      <w:lvlJc w:val="left"/>
      <w:pPr>
        <w:tabs>
          <w:tab w:val="left" w:pos="1317"/>
        </w:tabs>
        <w:ind w:left="6577" w:hanging="360"/>
      </w:pPr>
    </w:lvl>
    <w:lvl w:ilvl="6" w:tentative="0">
      <w:start w:val="0"/>
      <w:numFmt w:val="bullet"/>
      <w:lvlText w:val="•"/>
      <w:lvlJc w:val="left"/>
      <w:pPr>
        <w:tabs>
          <w:tab w:val="left" w:pos="1317"/>
        </w:tabs>
        <w:ind w:left="7533" w:hanging="360"/>
      </w:pPr>
    </w:lvl>
    <w:lvl w:ilvl="7" w:tentative="0">
      <w:start w:val="0"/>
      <w:numFmt w:val="bullet"/>
      <w:lvlText w:val="•"/>
      <w:lvlJc w:val="left"/>
      <w:pPr>
        <w:tabs>
          <w:tab w:val="left" w:pos="1317"/>
        </w:tabs>
        <w:ind w:left="8489" w:hanging="360"/>
      </w:pPr>
    </w:lvl>
    <w:lvl w:ilvl="8" w:tentative="0">
      <w:start w:val="0"/>
      <w:numFmt w:val="bullet"/>
      <w:lvlText w:val="•"/>
      <w:lvlJc w:val="left"/>
      <w:pPr>
        <w:tabs>
          <w:tab w:val="left" w:pos="1317"/>
        </w:tabs>
        <w:ind w:left="9445" w:hanging="360"/>
      </w:pPr>
    </w:lvl>
  </w:abstractNum>
  <w:num w:numId="1">
    <w:abstractNumId w:val="6"/>
  </w:num>
  <w:num w:numId="2">
    <w:abstractNumId w:val="7"/>
  </w:num>
  <w:num w:numId="3">
    <w:abstractNumId w:val="5"/>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D2562"/>
    <w:rsid w:val="00077CEF"/>
    <w:rsid w:val="00210947"/>
    <w:rsid w:val="002B6FC2"/>
    <w:rsid w:val="003E2476"/>
    <w:rsid w:val="00455389"/>
    <w:rsid w:val="0065064A"/>
    <w:rsid w:val="006E2747"/>
    <w:rsid w:val="00921F00"/>
    <w:rsid w:val="036C3B04"/>
    <w:rsid w:val="049802CA"/>
    <w:rsid w:val="05460F6A"/>
    <w:rsid w:val="05485099"/>
    <w:rsid w:val="05B64EE1"/>
    <w:rsid w:val="068650C0"/>
    <w:rsid w:val="07BB0F05"/>
    <w:rsid w:val="07E63BA8"/>
    <w:rsid w:val="08AB1A18"/>
    <w:rsid w:val="08AB6CC1"/>
    <w:rsid w:val="08C94687"/>
    <w:rsid w:val="09D12FB0"/>
    <w:rsid w:val="0A956499"/>
    <w:rsid w:val="0AE531D0"/>
    <w:rsid w:val="0B0667DF"/>
    <w:rsid w:val="0B47495F"/>
    <w:rsid w:val="0BDC4A0B"/>
    <w:rsid w:val="0BE44BAC"/>
    <w:rsid w:val="0C85560D"/>
    <w:rsid w:val="0C8E5E01"/>
    <w:rsid w:val="0CAA665C"/>
    <w:rsid w:val="0CB4190E"/>
    <w:rsid w:val="0CF544AE"/>
    <w:rsid w:val="0D4D40F2"/>
    <w:rsid w:val="0D6B65A9"/>
    <w:rsid w:val="0E19600D"/>
    <w:rsid w:val="0EB80FC9"/>
    <w:rsid w:val="0ED57198"/>
    <w:rsid w:val="0F8E651F"/>
    <w:rsid w:val="0FB932B2"/>
    <w:rsid w:val="0FF63E13"/>
    <w:rsid w:val="10C3255D"/>
    <w:rsid w:val="10DA324E"/>
    <w:rsid w:val="10F677E1"/>
    <w:rsid w:val="11737D22"/>
    <w:rsid w:val="1182525A"/>
    <w:rsid w:val="11886D50"/>
    <w:rsid w:val="11894491"/>
    <w:rsid w:val="11DB1BB6"/>
    <w:rsid w:val="122A3B5F"/>
    <w:rsid w:val="123C04DB"/>
    <w:rsid w:val="1292749D"/>
    <w:rsid w:val="129B1196"/>
    <w:rsid w:val="12E62938"/>
    <w:rsid w:val="136640E1"/>
    <w:rsid w:val="1474514E"/>
    <w:rsid w:val="14CD2D95"/>
    <w:rsid w:val="14CF4E53"/>
    <w:rsid w:val="15442C2E"/>
    <w:rsid w:val="15FC2FFC"/>
    <w:rsid w:val="16087C7F"/>
    <w:rsid w:val="16525F9C"/>
    <w:rsid w:val="169155C4"/>
    <w:rsid w:val="17233A97"/>
    <w:rsid w:val="17A926FA"/>
    <w:rsid w:val="187B413A"/>
    <w:rsid w:val="18D77D80"/>
    <w:rsid w:val="18EB78DC"/>
    <w:rsid w:val="19C74176"/>
    <w:rsid w:val="1A815C54"/>
    <w:rsid w:val="1AA577C9"/>
    <w:rsid w:val="1AEA4F44"/>
    <w:rsid w:val="1BFC7CFC"/>
    <w:rsid w:val="1C517F83"/>
    <w:rsid w:val="1C843801"/>
    <w:rsid w:val="1CBE5D01"/>
    <w:rsid w:val="1D153A59"/>
    <w:rsid w:val="1D972FA9"/>
    <w:rsid w:val="1DC74387"/>
    <w:rsid w:val="1DE246AD"/>
    <w:rsid w:val="1ED22DCF"/>
    <w:rsid w:val="1EF9465E"/>
    <w:rsid w:val="1F9E4F37"/>
    <w:rsid w:val="20370CFE"/>
    <w:rsid w:val="20C22534"/>
    <w:rsid w:val="21874CB4"/>
    <w:rsid w:val="219043E0"/>
    <w:rsid w:val="221413BC"/>
    <w:rsid w:val="227010EE"/>
    <w:rsid w:val="233325F5"/>
    <w:rsid w:val="23664E6B"/>
    <w:rsid w:val="23B37820"/>
    <w:rsid w:val="23C6058D"/>
    <w:rsid w:val="23E761AB"/>
    <w:rsid w:val="23FB97E4"/>
    <w:rsid w:val="24082418"/>
    <w:rsid w:val="24D814EB"/>
    <w:rsid w:val="24DF150B"/>
    <w:rsid w:val="2677168A"/>
    <w:rsid w:val="26E443E0"/>
    <w:rsid w:val="26FA5933"/>
    <w:rsid w:val="2788146A"/>
    <w:rsid w:val="27B57970"/>
    <w:rsid w:val="28066ECC"/>
    <w:rsid w:val="282059D6"/>
    <w:rsid w:val="283A2664"/>
    <w:rsid w:val="28FC46C0"/>
    <w:rsid w:val="28FF2B46"/>
    <w:rsid w:val="29953E12"/>
    <w:rsid w:val="299F2802"/>
    <w:rsid w:val="29D0F9FC"/>
    <w:rsid w:val="29FA7BCF"/>
    <w:rsid w:val="2A0F69C0"/>
    <w:rsid w:val="2A3235C6"/>
    <w:rsid w:val="2A3F4E5B"/>
    <w:rsid w:val="2A932366"/>
    <w:rsid w:val="2C3D6B07"/>
    <w:rsid w:val="2C911334"/>
    <w:rsid w:val="2CA36C78"/>
    <w:rsid w:val="2CA86761"/>
    <w:rsid w:val="2DA87EEE"/>
    <w:rsid w:val="2DC44EEC"/>
    <w:rsid w:val="2E6B21DC"/>
    <w:rsid w:val="2EAB0719"/>
    <w:rsid w:val="2F763D0A"/>
    <w:rsid w:val="2F815DF0"/>
    <w:rsid w:val="2FA07530"/>
    <w:rsid w:val="2FDB4F13"/>
    <w:rsid w:val="30856CE8"/>
    <w:rsid w:val="32D05EAC"/>
    <w:rsid w:val="32D310D6"/>
    <w:rsid w:val="34733CA3"/>
    <w:rsid w:val="34BB5C9F"/>
    <w:rsid w:val="353F3C69"/>
    <w:rsid w:val="37643A74"/>
    <w:rsid w:val="377712E1"/>
    <w:rsid w:val="37874C29"/>
    <w:rsid w:val="37A07F50"/>
    <w:rsid w:val="37AE9C8D"/>
    <w:rsid w:val="37B652AF"/>
    <w:rsid w:val="38ED59F4"/>
    <w:rsid w:val="390603F9"/>
    <w:rsid w:val="39121ECC"/>
    <w:rsid w:val="395B39FF"/>
    <w:rsid w:val="39BC5082"/>
    <w:rsid w:val="39BE29AE"/>
    <w:rsid w:val="39D879B0"/>
    <w:rsid w:val="39F11629"/>
    <w:rsid w:val="3AC90DAB"/>
    <w:rsid w:val="3BB67640"/>
    <w:rsid w:val="3BD9D0D3"/>
    <w:rsid w:val="3C184199"/>
    <w:rsid w:val="3C1E32AD"/>
    <w:rsid w:val="3E863F64"/>
    <w:rsid w:val="3E9C3D7C"/>
    <w:rsid w:val="3FAF179B"/>
    <w:rsid w:val="40AC76B2"/>
    <w:rsid w:val="41116500"/>
    <w:rsid w:val="41B0573C"/>
    <w:rsid w:val="42992DCD"/>
    <w:rsid w:val="42F44D40"/>
    <w:rsid w:val="431B0904"/>
    <w:rsid w:val="436263D1"/>
    <w:rsid w:val="43797181"/>
    <w:rsid w:val="438949C4"/>
    <w:rsid w:val="43D55E57"/>
    <w:rsid w:val="44451663"/>
    <w:rsid w:val="44C74E51"/>
    <w:rsid w:val="450B0200"/>
    <w:rsid w:val="457568C4"/>
    <w:rsid w:val="46A63F01"/>
    <w:rsid w:val="46E128AA"/>
    <w:rsid w:val="46FE14E4"/>
    <w:rsid w:val="47434026"/>
    <w:rsid w:val="476E2902"/>
    <w:rsid w:val="47B63E45"/>
    <w:rsid w:val="47F40E1A"/>
    <w:rsid w:val="48572C12"/>
    <w:rsid w:val="48B337D7"/>
    <w:rsid w:val="48C17E9F"/>
    <w:rsid w:val="49486249"/>
    <w:rsid w:val="4955555E"/>
    <w:rsid w:val="49567499"/>
    <w:rsid w:val="49A74A01"/>
    <w:rsid w:val="49F55786"/>
    <w:rsid w:val="4A2D2562"/>
    <w:rsid w:val="4A800BE6"/>
    <w:rsid w:val="4AA33C9E"/>
    <w:rsid w:val="4AE00F2C"/>
    <w:rsid w:val="4B0C6E2E"/>
    <w:rsid w:val="4B804CCD"/>
    <w:rsid w:val="4B907FC0"/>
    <w:rsid w:val="4BAD0C30"/>
    <w:rsid w:val="4C14672D"/>
    <w:rsid w:val="4CEF130B"/>
    <w:rsid w:val="4D2D012D"/>
    <w:rsid w:val="4D9C05A8"/>
    <w:rsid w:val="4E7F4257"/>
    <w:rsid w:val="502A589B"/>
    <w:rsid w:val="519575AD"/>
    <w:rsid w:val="52021149"/>
    <w:rsid w:val="52E10F88"/>
    <w:rsid w:val="52F23F7D"/>
    <w:rsid w:val="533E51F2"/>
    <w:rsid w:val="54D46FC1"/>
    <w:rsid w:val="55017D13"/>
    <w:rsid w:val="55435ED1"/>
    <w:rsid w:val="55445EA5"/>
    <w:rsid w:val="561228B7"/>
    <w:rsid w:val="563F73F1"/>
    <w:rsid w:val="56B02E25"/>
    <w:rsid w:val="57A11498"/>
    <w:rsid w:val="57CA16F3"/>
    <w:rsid w:val="57EE4CC3"/>
    <w:rsid w:val="58341CB6"/>
    <w:rsid w:val="58CE7AC1"/>
    <w:rsid w:val="597C685E"/>
    <w:rsid w:val="59C07D70"/>
    <w:rsid w:val="59F562F0"/>
    <w:rsid w:val="5A6362BA"/>
    <w:rsid w:val="5B49396E"/>
    <w:rsid w:val="5B5154DF"/>
    <w:rsid w:val="5BBE73DF"/>
    <w:rsid w:val="5BE4245C"/>
    <w:rsid w:val="5C1E6F0D"/>
    <w:rsid w:val="5C233085"/>
    <w:rsid w:val="5C6C0FCA"/>
    <w:rsid w:val="5D385380"/>
    <w:rsid w:val="5DF94139"/>
    <w:rsid w:val="5DFB4A14"/>
    <w:rsid w:val="5E121478"/>
    <w:rsid w:val="5E85440F"/>
    <w:rsid w:val="5E9C7564"/>
    <w:rsid w:val="5EBC54FC"/>
    <w:rsid w:val="5EDE4FE0"/>
    <w:rsid w:val="5F2C2A71"/>
    <w:rsid w:val="5F5F6FFC"/>
    <w:rsid w:val="5F8C2351"/>
    <w:rsid w:val="5FB86A49"/>
    <w:rsid w:val="5FF40908"/>
    <w:rsid w:val="6013374F"/>
    <w:rsid w:val="628E36C8"/>
    <w:rsid w:val="62F367FA"/>
    <w:rsid w:val="646C0D0F"/>
    <w:rsid w:val="649B546E"/>
    <w:rsid w:val="651D1CF3"/>
    <w:rsid w:val="65F32C4F"/>
    <w:rsid w:val="660E127B"/>
    <w:rsid w:val="663D3BF9"/>
    <w:rsid w:val="668B794B"/>
    <w:rsid w:val="66B92C98"/>
    <w:rsid w:val="66E04CA6"/>
    <w:rsid w:val="66FF5376"/>
    <w:rsid w:val="680C49B6"/>
    <w:rsid w:val="68A03534"/>
    <w:rsid w:val="68A36AB1"/>
    <w:rsid w:val="68C83A75"/>
    <w:rsid w:val="69665AFA"/>
    <w:rsid w:val="697F4AA0"/>
    <w:rsid w:val="69D0152B"/>
    <w:rsid w:val="6A790E3A"/>
    <w:rsid w:val="6A953FED"/>
    <w:rsid w:val="6AAB396F"/>
    <w:rsid w:val="6BBC4102"/>
    <w:rsid w:val="6CB94115"/>
    <w:rsid w:val="6CCBF66F"/>
    <w:rsid w:val="6CED1E88"/>
    <w:rsid w:val="6D0E4EE5"/>
    <w:rsid w:val="6D4F215C"/>
    <w:rsid w:val="6DE774EC"/>
    <w:rsid w:val="6DE84140"/>
    <w:rsid w:val="6E094E2E"/>
    <w:rsid w:val="6EB17CB4"/>
    <w:rsid w:val="6F4B14CE"/>
    <w:rsid w:val="6F893950"/>
    <w:rsid w:val="6FD76E4B"/>
    <w:rsid w:val="702D1BD4"/>
    <w:rsid w:val="703561A8"/>
    <w:rsid w:val="70682B79"/>
    <w:rsid w:val="70834044"/>
    <w:rsid w:val="70B04F4F"/>
    <w:rsid w:val="712F350B"/>
    <w:rsid w:val="715611F1"/>
    <w:rsid w:val="71C400BD"/>
    <w:rsid w:val="723656A9"/>
    <w:rsid w:val="72693AD7"/>
    <w:rsid w:val="72D005E5"/>
    <w:rsid w:val="731C5FFF"/>
    <w:rsid w:val="735F1B2C"/>
    <w:rsid w:val="736F6A45"/>
    <w:rsid w:val="7373556B"/>
    <w:rsid w:val="73A9260A"/>
    <w:rsid w:val="74407717"/>
    <w:rsid w:val="7599003E"/>
    <w:rsid w:val="75EC446C"/>
    <w:rsid w:val="762223E8"/>
    <w:rsid w:val="77A91A42"/>
    <w:rsid w:val="77AE2745"/>
    <w:rsid w:val="77DE1F54"/>
    <w:rsid w:val="78193F8A"/>
    <w:rsid w:val="78627FB0"/>
    <w:rsid w:val="78BB6A79"/>
    <w:rsid w:val="794F88CA"/>
    <w:rsid w:val="79CE7FF6"/>
    <w:rsid w:val="79E024D4"/>
    <w:rsid w:val="79F53F55"/>
    <w:rsid w:val="7AF153BF"/>
    <w:rsid w:val="7AF81C4F"/>
    <w:rsid w:val="7B1F3DF0"/>
    <w:rsid w:val="7B662072"/>
    <w:rsid w:val="7B9A7F42"/>
    <w:rsid w:val="7C3F1894"/>
    <w:rsid w:val="7C7FB5E7"/>
    <w:rsid w:val="7CF8613C"/>
    <w:rsid w:val="7D6464C5"/>
    <w:rsid w:val="7D7820B5"/>
    <w:rsid w:val="7D960D1F"/>
    <w:rsid w:val="7D984564"/>
    <w:rsid w:val="7DDA27E4"/>
    <w:rsid w:val="7DFFD7E4"/>
    <w:rsid w:val="7E4D4BF3"/>
    <w:rsid w:val="7E5E68A8"/>
    <w:rsid w:val="7EA04C70"/>
    <w:rsid w:val="7EA97225"/>
    <w:rsid w:val="7EEFCBC6"/>
    <w:rsid w:val="7EF26A30"/>
    <w:rsid w:val="7EFF510B"/>
    <w:rsid w:val="7FCB108D"/>
    <w:rsid w:val="85BEEC22"/>
    <w:rsid w:val="BBF64177"/>
    <w:rsid w:val="BBFECABE"/>
    <w:rsid w:val="BCFDD372"/>
    <w:rsid w:val="CEFF43E7"/>
    <w:rsid w:val="CFFF983F"/>
    <w:rsid w:val="D4C79D3A"/>
    <w:rsid w:val="DBEF48AD"/>
    <w:rsid w:val="DFBB4856"/>
    <w:rsid w:val="DFDF9429"/>
    <w:rsid w:val="DFF3FC83"/>
    <w:rsid w:val="DFFF2B72"/>
    <w:rsid w:val="EF730ECA"/>
    <w:rsid w:val="EFEE95DF"/>
    <w:rsid w:val="F7FF63B7"/>
    <w:rsid w:val="F9BBFB98"/>
    <w:rsid w:val="FBDFF549"/>
    <w:rsid w:val="FCDFC536"/>
    <w:rsid w:val="FCF775FF"/>
    <w:rsid w:val="FD772743"/>
    <w:rsid w:val="FEDF6E57"/>
    <w:rsid w:val="FF6A3CF7"/>
    <w:rsid w:val="FF7B289B"/>
    <w:rsid w:val="FF7E5893"/>
    <w:rsid w:val="FF7F537F"/>
    <w:rsid w:val="FFBEA30A"/>
    <w:rsid w:val="FFF2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24"/>
    <w:qFormat/>
    <w:uiPriority w:val="9"/>
    <w:pPr>
      <w:keepNext/>
      <w:ind w:left="990"/>
      <w:outlineLvl w:val="1"/>
    </w:pPr>
    <w:rPr>
      <w:sz w:val="28"/>
      <w:szCs w:val="20"/>
    </w:rPr>
  </w:style>
  <w:style w:type="paragraph" w:styleId="5">
    <w:name w:val="heading 3"/>
    <w:basedOn w:val="1"/>
    <w:next w:val="1"/>
    <w:unhideWhenUsed/>
    <w:qFormat/>
    <w:uiPriority w:val="0"/>
    <w:pPr>
      <w:keepNext/>
      <w:widowControl w:val="0"/>
      <w:tabs>
        <w:tab w:val="left" w:pos="-720"/>
      </w:tabs>
      <w:suppressAutoHyphens/>
      <w:autoSpaceDE w:val="0"/>
      <w:autoSpaceDN w:val="0"/>
      <w:adjustRightInd w:val="0"/>
      <w:spacing w:after="0" w:line="288" w:lineRule="atLeast"/>
      <w:jc w:val="both"/>
      <w:outlineLvl w:val="2"/>
    </w:pPr>
    <w:rPr>
      <w:rFonts w:ascii="Times New Roman" w:hAnsi="Times New Roman" w:eastAsia="Times New Roman" w:cs="Times New Roman"/>
      <w:color w:val="FF0000"/>
      <w:spacing w:val="-3"/>
      <w:sz w:val="24"/>
      <w:szCs w:val="24"/>
    </w:rPr>
  </w:style>
  <w:style w:type="paragraph" w:styleId="6">
    <w:name w:val="heading 4"/>
    <w:basedOn w:val="1"/>
    <w:next w:val="1"/>
    <w:qFormat/>
    <w:uiPriority w:val="1"/>
    <w:pPr>
      <w:spacing w:before="54"/>
      <w:ind w:left="423"/>
      <w:outlineLvl w:val="3"/>
    </w:pPr>
    <w:rPr>
      <w:b/>
      <w:bCs/>
      <w:sz w:val="17"/>
      <w:szCs w:val="17"/>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link w:val="25"/>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unhideWhenUsed/>
    <w:qFormat/>
    <w:uiPriority w:val="99"/>
    <w:rPr>
      <w:sz w:val="28"/>
    </w:rPr>
  </w:style>
  <w:style w:type="paragraph" w:styleId="9">
    <w:name w:val="Body Text Indent"/>
    <w:basedOn w:val="1"/>
    <w:unhideWhenUsed/>
    <w:qFormat/>
    <w:uiPriority w:val="99"/>
    <w:pPr>
      <w:ind w:left="540" w:leftChars="257" w:firstLine="20" w:firstLineChars="7"/>
    </w:pPr>
    <w:rPr>
      <w:sz w:val="28"/>
    </w:rPr>
  </w:style>
  <w:style w:type="paragraph" w:styleId="10">
    <w:name w:val="Plain Text"/>
    <w:basedOn w:val="1"/>
    <w:unhideWhenUsed/>
    <w:qFormat/>
    <w:uiPriority w:val="99"/>
    <w:rPr>
      <w:rFonts w:ascii="宋体" w:hAnsi="Courier New"/>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0"/>
    <w:pPr>
      <w:spacing w:after="0" w:line="240" w:lineRule="auto"/>
      <w:jc w:val="center"/>
    </w:pPr>
    <w:rPr>
      <w:rFonts w:ascii="Times New Roman" w:hAnsi="Times New Roman" w:eastAsia="宋体" w:cs="Times New Roman"/>
      <w:b/>
      <w:bCs/>
      <w:sz w:val="24"/>
      <w:szCs w:val="24"/>
    </w:rPr>
  </w:style>
  <w:style w:type="paragraph" w:styleId="17">
    <w:name w:val="Body Text First Indent"/>
    <w:basedOn w:val="8"/>
    <w:next w:val="1"/>
    <w:unhideWhenUsed/>
    <w:qFormat/>
    <w:uiPriority w:val="99"/>
    <w:pPr>
      <w:ind w:firstLine="420" w:firstLineChars="100"/>
    </w:p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semiHidden/>
    <w:qFormat/>
    <w:uiPriority w:val="99"/>
    <w:rPr>
      <w:sz w:val="16"/>
      <w:szCs w:val="16"/>
    </w:rPr>
  </w:style>
  <w:style w:type="paragraph" w:customStyle="1" w:styleId="22">
    <w:name w:val="_Style 4"/>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23">
    <w:name w:val="标题 1 Char"/>
    <w:link w:val="2"/>
    <w:qFormat/>
    <w:uiPriority w:val="9"/>
    <w:rPr>
      <w:b/>
      <w:bCs/>
      <w:kern w:val="44"/>
      <w:sz w:val="44"/>
      <w:szCs w:val="44"/>
    </w:rPr>
  </w:style>
  <w:style w:type="character" w:customStyle="1" w:styleId="24">
    <w:name w:val="标题 2 Char1"/>
    <w:link w:val="3"/>
    <w:qFormat/>
    <w:uiPriority w:val="0"/>
    <w:rPr>
      <w:sz w:val="28"/>
      <w:szCs w:val="20"/>
    </w:rPr>
  </w:style>
  <w:style w:type="character" w:customStyle="1" w:styleId="25">
    <w:name w:val="正文缩进 Char"/>
    <w:link w:val="4"/>
    <w:qFormat/>
    <w:uiPriority w:val="99"/>
  </w:style>
  <w:style w:type="paragraph" w:customStyle="1" w:styleId="26">
    <w:name w:val="1"/>
    <w:basedOn w:val="1"/>
    <w:next w:val="10"/>
    <w:qFormat/>
    <w:uiPriority w:val="0"/>
    <w:pPr>
      <w:widowControl w:val="0"/>
      <w:jc w:val="both"/>
    </w:pPr>
    <w:rPr>
      <w:rFonts w:ascii="宋体" w:hAnsi="Courier New"/>
      <w:kern w:val="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spacing w:after="160" w:line="259" w:lineRule="auto"/>
    </w:pPr>
    <w:rPr>
      <w:rFonts w:ascii="Univers" w:hAnsi="Univers" w:eastAsia="Times New Roman" w:cs="Univers"/>
      <w:color w:val="000000"/>
      <w:kern w:val="0"/>
      <w:sz w:val="24"/>
      <w:szCs w:val="24"/>
      <w:lang w:val="en-US" w:eastAsia="en-US" w:bidi="ar-SA"/>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Body Text2"/>
    <w:qFormat/>
    <w:uiPriority w:val="99"/>
    <w:pPr>
      <w:tabs>
        <w:tab w:val="left" w:pos="1320"/>
      </w:tabs>
      <w:overflowPunct w:val="0"/>
      <w:autoSpaceDE w:val="0"/>
      <w:autoSpaceDN w:val="0"/>
      <w:adjustRightInd w:val="0"/>
      <w:spacing w:before="120"/>
      <w:ind w:left="965" w:hanging="965"/>
      <w:jc w:val="both"/>
      <w:textAlignment w:val="baseline"/>
    </w:pPr>
    <w:rPr>
      <w:rFonts w:ascii="Arial" w:hAnsi="Arial" w:eastAsia="Batang" w:cs="Times New Roman"/>
      <w:sz w:val="22"/>
      <w:szCs w:val="20"/>
      <w:lang w:val="en-GB" w:eastAsia="en-US" w:bidi="ar-SA"/>
    </w:rPr>
  </w:style>
  <w:style w:type="character" w:customStyle="1" w:styleId="31">
    <w:name w:val="font01"/>
    <w:basedOn w:val="19"/>
    <w:qFormat/>
    <w:uiPriority w:val="0"/>
    <w:rPr>
      <w:rFonts w:hint="eastAsia" w:ascii="宋体" w:hAnsi="宋体" w:eastAsia="宋体" w:cs="宋体"/>
      <w:color w:val="000000"/>
      <w:sz w:val="28"/>
      <w:szCs w:val="28"/>
      <w:u w:val="none"/>
    </w:rPr>
  </w:style>
  <w:style w:type="character" w:customStyle="1" w:styleId="32">
    <w:name w:val="font51"/>
    <w:basedOn w:val="19"/>
    <w:qFormat/>
    <w:uiPriority w:val="0"/>
    <w:rPr>
      <w:rFonts w:hint="eastAsia" w:ascii="宋体" w:hAnsi="宋体" w:eastAsia="宋体" w:cs="宋体"/>
      <w:color w:val="FF0000"/>
      <w:sz w:val="28"/>
      <w:szCs w:val="28"/>
      <w:u w:val="none"/>
    </w:rPr>
  </w:style>
  <w:style w:type="character" w:customStyle="1" w:styleId="33">
    <w:name w:val="font21"/>
    <w:basedOn w:val="19"/>
    <w:qFormat/>
    <w:uiPriority w:val="0"/>
    <w:rPr>
      <w:rFonts w:hint="eastAsia" w:ascii="宋体" w:hAnsi="宋体" w:eastAsia="宋体" w:cs="宋体"/>
      <w:color w:val="000000"/>
      <w:sz w:val="28"/>
      <w:szCs w:val="28"/>
      <w:u w:val="none"/>
    </w:rPr>
  </w:style>
  <w:style w:type="character" w:customStyle="1" w:styleId="34">
    <w:name w:val="font11"/>
    <w:basedOn w:val="19"/>
    <w:qFormat/>
    <w:uiPriority w:val="0"/>
    <w:rPr>
      <w:rFonts w:hint="eastAsia" w:ascii="宋体" w:hAnsi="宋体" w:eastAsia="宋体" w:cs="宋体"/>
      <w:color w:val="FF0000"/>
      <w:sz w:val="28"/>
      <w:szCs w:val="28"/>
      <w:u w:val="none"/>
    </w:rPr>
  </w:style>
  <w:style w:type="paragraph" w:customStyle="1" w:styleId="35">
    <w:name w:val="样式1"/>
    <w:basedOn w:val="1"/>
    <w:qFormat/>
    <w:uiPriority w:val="0"/>
  </w:style>
  <w:style w:type="paragraph" w:customStyle="1" w:styleId="36">
    <w:name w:val="Pa3"/>
    <w:next w:val="1"/>
    <w:qFormat/>
    <w:uiPriority w:val="99"/>
    <w:pPr>
      <w:widowControl w:val="0"/>
      <w:autoSpaceDE w:val="0"/>
      <w:autoSpaceDN w:val="0"/>
      <w:adjustRightInd w:val="0"/>
      <w:spacing w:line="141" w:lineRule="atLeast"/>
      <w:jc w:val="both"/>
    </w:pPr>
    <w:rPr>
      <w:rFonts w:ascii="DLH Helvetica Light" w:hAnsi="DLH Helvetica Light" w:eastAsia="宋体" w:cs="Times New Roman"/>
      <w:color w:val="auto"/>
      <w:kern w:val="2"/>
      <w:sz w:val="24"/>
      <w:szCs w:val="24"/>
      <w:lang w:val="en-US" w:eastAsia="de-DE" w:bidi="ar-SA"/>
    </w:rPr>
  </w:style>
  <w:style w:type="paragraph" w:customStyle="1" w:styleId="37">
    <w:name w:val="Pa10"/>
    <w:next w:val="1"/>
    <w:qFormat/>
    <w:uiPriority w:val="99"/>
    <w:pPr>
      <w:widowControl w:val="0"/>
      <w:autoSpaceDE w:val="0"/>
      <w:autoSpaceDN w:val="0"/>
      <w:adjustRightInd w:val="0"/>
      <w:spacing w:line="141" w:lineRule="atLeast"/>
      <w:jc w:val="both"/>
    </w:pPr>
    <w:rPr>
      <w:rFonts w:ascii="DLH Helvetica Light" w:hAnsi="DLH Helvetica Light" w:eastAsia="宋体" w:cs="Times New Roman"/>
      <w:color w:val="auto"/>
      <w:kern w:val="2"/>
      <w:sz w:val="24"/>
      <w:szCs w:val="24"/>
      <w:lang w:val="en-US" w:eastAsia="de-DE"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8812</Words>
  <Characters>27962</Characters>
  <Lines>1</Lines>
  <Paragraphs>1</Paragraphs>
  <TotalTime>2</TotalTime>
  <ScaleCrop>false</ScaleCrop>
  <LinksUpToDate>false</LinksUpToDate>
  <CharactersWithSpaces>31961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2021-04-21T16:14:00Z</dcterms:created>
  <dc:creator>邓怡平</dc:creator>
  <cp:lastModifiedBy>Sandy Liao</cp:lastModifiedBy>
  <dcterms:modified xsi:type="dcterms:W3CDTF">2025-09-29T16:09:42Z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3B4D10AC75954568A18ADFC16F56C6E5_13</vt:lpwstr>
  </property>
</Properties>
</file>