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橡塑件公司物流运输服务项目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9</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23693"/>
      <w:bookmarkStart w:id="1" w:name="_Toc29994"/>
      <w:bookmarkStart w:id="2" w:name="_Toc5202"/>
      <w:bookmarkStart w:id="3" w:name="_Toc22242"/>
      <w:bookmarkStart w:id="4" w:name="_Toc15480"/>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项目名称：橡塑件公司物流运输服务项目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 FSCZB2025090061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橡塑件公司物流运输及配货分拣项目业务主要针对各主机单位及各备配件进出口等产品件运输及配货分拣，运输线路如下：橡塑-党家庄、集团公司大厦、特种车、章丘工业园，莱芜工厂、济宁商用车，聊城中通等物流方向运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杨磊</w:t>
            </w:r>
          </w:p>
          <w:p>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17860600396</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邮箱：1637580695@qq.com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1934.41</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9%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1.符合以下条件的投标人即为合格的投标人，合格的投标人将具有参与评审的资格。</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bookmarkStart w:id="7" w:name="_Toc129697429"/>
            <w:r>
              <w:rPr>
                <w:rFonts w:hint="default" w:ascii="宋体" w:hAnsi="宋体" w:eastAsia="宋体" w:cs="宋体"/>
                <w:b w:val="0"/>
                <w:bCs w:val="0"/>
                <w:sz w:val="24"/>
                <w:szCs w:val="24"/>
                <w:highlight w:val="none"/>
                <w:lang w:val="en-US" w:eastAsia="zh-CN"/>
              </w:rPr>
              <w:t>（1）投标人须遵守《中华人民共和国招标投标法》、《中华人民共和国民法典》及其它有关的法律和法规；为中华人民共和国境内注册的独立法人机构，具有独立承担民事责任的能力；经营范围满足竞价项目需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（2）注册资金不少于500万（现供方不受该条件限制），投标人须于投标时提供具有统一社会信用代码的三证合一的营业执照副本原件及复印件(加盖公章)，；</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（3）投标人需提供：</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①《道路运输经营许可证》原件及复印件(加盖公章)，并保证行政许可在有效期内；</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③应提供中文版本的审计报告或财务报表；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④企业最近半年完税证明、信用证明材料（中国人民银行信用代码证+征信报告）；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⑤年度纳税信用评价信息（可从电子税务局查询截图，需加盖公章）；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⑥企业对外担保说明（写明贵单位对外有无对外担保和质押业务，需加盖公章）；</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（5）投标人竞价承运商应能提供其正在或曾经从事过类似相关行业产品或服务经历的从业证明（可使用正在或曾经从事过的服务合同文本原件或复印件加盖公章加以证明）；</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（6）具有健全的财务会计制度，财务状况和市场行为良好。没有处于被有权机关吊销营业执照、吊销资质、停业整顿、取消投标资格以及财产被接管、冻结或进入破产程序等，资信良好；</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（8）投标人须提供法人授权委托书原件（在投标文件副本中可用复印件并加盖公章）及投标单位的法定代表人或授权代表的身份证原件；法人到场的，提供法定代表人身份证；</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（9）投标人须具有履行合同所必须的设备、财务、技术、服务等方面的资质和能力，并具有以投标人的名义开具正规运输业务增值税专用发票的资质（税率 9%）；</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（10）投标人须具有完全履行招标文件的所有要求的能力；</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（11）投标人须负责提供合理的便于运输的包装物，并承担相关费用；</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（12）投标人须认可相关权属公司（业务单位）的工作指令，包括节假日能正常开展工作的要求；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（13）投标人须认可相关权属公司（业务单位）终止合同后 3个月无息退还履约保证金的招标要求；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（14）投标人必须是最终投标、签订合同的单位，不得以任何理由将已中标项目以任何形式转包给其他单位；</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（15）本次招标项目不接受联合体投标；</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（16）投标人需承诺严格在运输过程中对运输产品的安全及相关权属公司（业务单位）的形象负责，不做任何有损相关权属公司（业务单位）形象的事情；</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（17）投标人须按要求缴纳投标保证金；</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18）投标人须于招标人中标结果发出三日内与招标人指定联系人沟通合同签订事宜，二十日内完成合同签订，并应当按照合同约定的履约责任，于合同签订前向相关权属公司（业务单位）缴纳履约保证金：标的额的 5%，最多不超过 200 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2.如出现因投标人漏报或少报而造成的一切经济后果，由投标人自行负责。</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4．投标人须具有独立的法人资格、良好的商业信誉、优质的服务态度和认真负责的工作作风，有应付特殊情况的反应能力，可提供365天</w:t>
            </w:r>
            <m:oMath>
              <m:r>
                <m:rPr>
                  <m:sty m:val="p"/>
                </m:rPr>
                <w:rPr>
                  <w:rFonts w:hint="default" w:ascii="Cambria Math" w:hAnsi="Cambria Math" w:eastAsia="宋体" w:cs="宋体"/>
                  <w:sz w:val="24"/>
                  <w:szCs w:val="24"/>
                  <w:highlight w:val="none"/>
                  <w:lang w:val="en-US" w:eastAsia="zh-CN"/>
                </w:rPr>
                <m:t>×</m:t>
              </m:r>
            </m:oMath>
            <w:r>
              <w:rPr>
                <w:rFonts w:hint="default" w:ascii="宋体" w:hAnsi="宋体" w:eastAsia="宋体" w:cs="宋体"/>
                <w:b w:val="0"/>
                <w:bCs w:val="0"/>
                <w:sz w:val="24"/>
                <w:szCs w:val="24"/>
                <w:highlight w:val="none"/>
                <w:lang w:val="en-US" w:eastAsia="zh-CN"/>
              </w:rPr>
              <w:t>24小时服务，包括节假日，有专职人员负责业务联络。</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6.投标人应视需要至招标人处详细了解与本次招标项目有关的全部文件及制度，并同意运输协议中各项条款。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7.投标人应承担其在投标准备、编制、递交投标文件和签订合同协议的整个过程的一切费用而不论其投标结果如何。</w:t>
            </w:r>
          </w:p>
          <w:p>
            <w:pPr>
              <w:pStyle w:val="172"/>
              <w:widowControl w:val="0"/>
              <w:numPr>
                <w:ilvl w:val="0"/>
                <w:numId w:val="0"/>
              </w:numPr>
              <w:spacing w:line="360" w:lineRule="auto"/>
              <w:ind w:leftChars="0"/>
              <w:jc w:val="both"/>
              <w:outlineLvl w:val="1"/>
              <w:rPr>
                <w:rFonts w:hint="eastAsia" w:ascii="仿宋_GB2312" w:hAnsi="仿宋_GB2312" w:eastAsia="仿宋_GB2312" w:cs="仿宋_GB2312"/>
                <w:color w:val="000000"/>
                <w:sz w:val="24"/>
                <w:szCs w:val="24"/>
              </w:rPr>
            </w:pPr>
            <w:r>
              <w:rPr>
                <w:rFonts w:hint="default" w:ascii="宋体" w:hAnsi="宋体" w:eastAsia="宋体" w:cs="宋体"/>
                <w:b w:val="0"/>
                <w:bCs w:val="0"/>
                <w:sz w:val="24"/>
                <w:szCs w:val="24"/>
                <w:highlight w:val="none"/>
                <w:lang w:val="en-US" w:eastAsia="zh-CN"/>
              </w:rPr>
              <w:t>8.投标人须配合招标人数据要求，在合同签订后完成数据集成，数据集成对接工作和合同期内数据使用免费：发出快递后，推送快递单号、重量、体积、费用、收发人及收发人地点等运单信息；运输途中，实时推送在途节点信息，包含运单号、途径路由名称、时间、运输状态及签收状态等运输信息。</w:t>
            </w:r>
            <w:bookmarkEnd w:id="7"/>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yellow"/>
                <w:lang w:val="en-US" w:eastAsia="zh-CN"/>
              </w:rPr>
              <w:t>2025年9月30日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yellow"/>
                <w:lang w:val="en-US" w:eastAsia="zh-CN"/>
              </w:rPr>
              <w:t>2025年11月4日17：00前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yellow"/>
                <w:lang w:val="en-US" w:eastAsia="zh-CN"/>
              </w:rPr>
              <w:t>2025年11月4日17：00前</w:t>
            </w:r>
            <w:r>
              <w:rPr>
                <w:rFonts w:hint="eastAsia" w:ascii="仿宋_GB2312" w:hAnsi="仿宋_GB2312" w:eastAsia="仿宋_GB2312" w:cs="仿宋_GB2312"/>
                <w:b/>
                <w:snapToGrid w:val="0"/>
                <w:kern w:val="0"/>
                <w:sz w:val="24"/>
                <w:szCs w:val="24"/>
                <w:highlight w:val="none"/>
              </w:rPr>
              <w:t>。</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yellow"/>
                <w:lang w:val="en-US" w:eastAsia="zh-CN"/>
              </w:rPr>
              <w:t>2025年10月12日17：00前</w:t>
            </w:r>
            <w:r>
              <w:rPr>
                <w:rFonts w:hint="eastAsia" w:ascii="仿宋_GB2312" w:hAnsi="仿宋_GB2312" w:eastAsia="仿宋_GB2312" w:cs="仿宋_GB2312"/>
                <w:b/>
                <w:snapToGrid w:val="0"/>
                <w:kern w:val="0"/>
                <w:sz w:val="24"/>
                <w:szCs w:val="24"/>
                <w:highlight w:val="none"/>
              </w:rPr>
              <w:t>。</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yellow"/>
                <w:lang w:val="en-US" w:eastAsia="zh-CN"/>
              </w:rPr>
              <w:t>2025年11月4日17：00前</w:t>
            </w:r>
            <w:r>
              <w:rPr>
                <w:rFonts w:hint="eastAsia" w:ascii="仿宋_GB2312" w:hAnsi="仿宋_GB2312" w:eastAsia="仿宋_GB2312" w:cs="仿宋_GB2312"/>
                <w:b/>
                <w:snapToGrid w:val="0"/>
                <w:kern w:val="0"/>
                <w:sz w:val="24"/>
                <w:szCs w:val="24"/>
                <w:highlight w:val="none"/>
              </w:rPr>
              <w:t>。</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yellow"/>
                <w:lang w:val="en-US" w:eastAsia="zh-CN"/>
              </w:rPr>
              <w:t>2025年11月4日17：00前</w:t>
            </w:r>
            <w:r>
              <w:rPr>
                <w:rFonts w:hint="eastAsia" w:ascii="仿宋_GB2312" w:hAnsi="仿宋_GB2312" w:eastAsia="仿宋_GB2312" w:cs="仿宋_GB2312"/>
                <w:b/>
                <w:snapToGrid w:val="0"/>
                <w:kern w:val="0"/>
                <w:sz w:val="24"/>
                <w:szCs w:val="24"/>
                <w:highlight w:val="none"/>
              </w:rPr>
              <w:t>。</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yellow"/>
                <w:lang w:val="en-US" w:eastAsia="zh-CN"/>
              </w:rPr>
              <w:t>2025年11月5日09：00（暂定，若有改动另行通知）</w:t>
            </w:r>
            <w:r>
              <w:rPr>
                <w:rFonts w:hint="eastAsia" w:ascii="仿宋_GB2312" w:hAnsi="仿宋_GB2312" w:eastAsia="仿宋_GB2312" w:cs="仿宋_GB2312"/>
                <w:b/>
                <w:snapToGrid w:val="0"/>
                <w:kern w:val="0"/>
                <w:sz w:val="24"/>
                <w:szCs w:val="24"/>
                <w:highlight w:val="none"/>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宋体" w:eastAsia="宋体" w:cs="Times New Roman"/>
                <w:b w:val="0"/>
                <w:bCs w:val="0"/>
                <w:kern w:val="2"/>
                <w:sz w:val="21"/>
                <w:highlight w:val="yellow"/>
                <w:lang w:val="en-US" w:eastAsia="zh-CN" w:bidi="ar-SA"/>
              </w:rPr>
              <w:t>济南市高新区华奥路777号重汽科技大厦三楼会议室（具体地点另行通知）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现场参与开标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color w:val="000000"/>
                <w:kern w:val="2"/>
                <w:sz w:val="24"/>
                <w:szCs w:val="24"/>
                <w:lang w:val="en-US" w:eastAsia="zh-CN" w:bidi="ar-SA"/>
              </w:rPr>
              <w:t>以中国重汽集团济南橡塑件有限公司要求为准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pStyle w:val="131"/>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2"/>
        <w:numPr>
          <w:ilvl w:val="0"/>
          <w:numId w:val="4"/>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8" w:name="_Toc427"/>
      <w:bookmarkStart w:id="9" w:name="_Toc19183"/>
      <w:bookmarkStart w:id="10" w:name="_Toc27087"/>
      <w:bookmarkStart w:id="11" w:name="_Toc11216"/>
      <w:bookmarkStart w:id="12" w:name="_Toc9448"/>
      <w:bookmarkStart w:id="13" w:name="_Toc6577"/>
      <w:r>
        <w:rPr>
          <w:rFonts w:hint="eastAsia" w:ascii="仿宋_GB2312" w:hAnsi="仿宋_GB2312" w:eastAsia="仿宋_GB2312" w:cs="仿宋_GB2312"/>
          <w:sz w:val="44"/>
        </w:rPr>
        <w:t>第二部分 投标须知</w:t>
      </w:r>
      <w:bookmarkEnd w:id="8"/>
      <w:bookmarkEnd w:id="9"/>
      <w:bookmarkEnd w:id="10"/>
      <w:bookmarkEnd w:id="11"/>
      <w:bookmarkEnd w:id="12"/>
      <w:bookmarkEnd w:id="13"/>
    </w:p>
    <w:p>
      <w:pPr>
        <w:pStyle w:val="5"/>
        <w:rPr>
          <w:rFonts w:hint="eastAsia" w:ascii="仿宋_GB2312" w:hAnsi="仿宋_GB2312" w:eastAsia="仿宋_GB2312" w:cs="仿宋_GB2312"/>
          <w:sz w:val="36"/>
          <w:szCs w:val="36"/>
        </w:rPr>
      </w:pPr>
      <w:bookmarkStart w:id="14" w:name="_Toc18045"/>
      <w:r>
        <w:rPr>
          <w:rFonts w:hint="eastAsia" w:ascii="仿宋_GB2312" w:hAnsi="仿宋_GB2312" w:eastAsia="仿宋_GB2312" w:cs="仿宋_GB2312"/>
          <w:sz w:val="36"/>
          <w:szCs w:val="36"/>
        </w:rPr>
        <w:t>一、项目名称</w:t>
      </w:r>
      <w:bookmarkEnd w:id="14"/>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5" w:name="OLE_LINK1"/>
      <w:r>
        <w:rPr>
          <w:rFonts w:hint="eastAsia" w:ascii="仿宋_GB2312" w:hAnsi="仿宋_GB2312" w:eastAsia="仿宋_GB2312" w:cs="仿宋_GB2312"/>
          <w:color w:val="000000"/>
          <w:sz w:val="24"/>
          <w:szCs w:val="24"/>
        </w:rPr>
        <w:t>见《投标须知前附表》。</w:t>
      </w:r>
    </w:p>
    <w:bookmarkEnd w:id="15"/>
    <w:p>
      <w:pPr>
        <w:pStyle w:val="5"/>
        <w:rPr>
          <w:rFonts w:hint="eastAsia" w:ascii="仿宋_GB2312" w:hAnsi="仿宋_GB2312" w:eastAsia="仿宋_GB2312" w:cs="仿宋_GB2312"/>
          <w:sz w:val="36"/>
          <w:szCs w:val="36"/>
        </w:rPr>
      </w:pPr>
      <w:bookmarkStart w:id="16" w:name="_Toc30471"/>
      <w:r>
        <w:rPr>
          <w:rFonts w:hint="eastAsia" w:ascii="仿宋_GB2312" w:hAnsi="仿宋_GB2312" w:eastAsia="仿宋_GB2312" w:cs="仿宋_GB2312"/>
          <w:sz w:val="36"/>
          <w:szCs w:val="36"/>
        </w:rPr>
        <w:t>二、招标内容及形式</w:t>
      </w:r>
      <w:bookmarkEnd w:id="16"/>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7" w:name="_Toc24346"/>
      <w:r>
        <w:rPr>
          <w:rFonts w:hint="eastAsia" w:ascii="仿宋_GB2312" w:hAnsi="仿宋_GB2312" w:eastAsia="仿宋_GB2312" w:cs="仿宋_GB2312"/>
          <w:sz w:val="36"/>
          <w:szCs w:val="36"/>
        </w:rPr>
        <w:t>三、交货及付款</w:t>
      </w:r>
      <w:bookmarkEnd w:id="17"/>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8" w:name="_Toc4476"/>
      <w:r>
        <w:rPr>
          <w:rFonts w:hint="eastAsia" w:ascii="仿宋_GB2312" w:hAnsi="仿宋_GB2312" w:eastAsia="仿宋_GB2312" w:cs="仿宋_GB2312"/>
          <w:sz w:val="36"/>
          <w:szCs w:val="36"/>
        </w:rPr>
        <w:t>四、投标说明</w:t>
      </w:r>
      <w:bookmarkEnd w:id="18"/>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5"/>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9" w:name="_Toc29561"/>
      <w:r>
        <w:rPr>
          <w:rFonts w:hint="eastAsia" w:ascii="仿宋_GB2312" w:hAnsi="仿宋_GB2312" w:eastAsia="仿宋_GB2312" w:cs="仿宋_GB2312"/>
          <w:sz w:val="36"/>
          <w:szCs w:val="36"/>
        </w:rPr>
        <w:t>五、议程安排</w:t>
      </w:r>
      <w:bookmarkEnd w:id="19"/>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p>
    <w:p>
      <w:pPr>
        <w:pStyle w:val="5"/>
        <w:rPr>
          <w:rFonts w:hint="eastAsia" w:ascii="仿宋_GB2312" w:hAnsi="仿宋_GB2312" w:eastAsia="仿宋_GB2312" w:cs="仿宋_GB2312"/>
          <w:sz w:val="36"/>
          <w:szCs w:val="36"/>
        </w:rPr>
      </w:pPr>
      <w:bookmarkStart w:id="20" w:name="_Toc33266950"/>
      <w:bookmarkStart w:id="21" w:name="_Toc33265752"/>
      <w:bookmarkStart w:id="22" w:name="_Toc33267001"/>
      <w:bookmarkStart w:id="23" w:name="_Toc33266914"/>
      <w:bookmarkStart w:id="24" w:name="_Toc33265653"/>
      <w:bookmarkStart w:id="25" w:name="_Toc33266627"/>
      <w:bookmarkStart w:id="26" w:name="_Toc30534"/>
      <w:bookmarkStart w:id="27" w:name="_Toc33285487"/>
      <w:r>
        <w:rPr>
          <w:rFonts w:hint="eastAsia" w:ascii="仿宋_GB2312" w:hAnsi="仿宋_GB2312" w:eastAsia="仿宋_GB2312" w:cs="仿宋_GB2312"/>
          <w:sz w:val="36"/>
          <w:szCs w:val="36"/>
        </w:rPr>
        <w:t>六、评价原则</w:t>
      </w:r>
      <w:bookmarkEnd w:id="20"/>
      <w:bookmarkEnd w:id="21"/>
      <w:bookmarkEnd w:id="22"/>
      <w:bookmarkEnd w:id="23"/>
      <w:bookmarkEnd w:id="24"/>
      <w:bookmarkEnd w:id="25"/>
      <w:bookmarkEnd w:id="26"/>
      <w:bookmarkEnd w:id="27"/>
      <w:bookmarkStart w:id="28" w:name="_Toc395116633"/>
    </w:p>
    <w:bookmarkEnd w:id="28"/>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9" w:name="_Toc33267002"/>
      <w:bookmarkStart w:id="30" w:name="_Toc33266951"/>
      <w:bookmarkStart w:id="31" w:name="_Toc33265753"/>
      <w:bookmarkStart w:id="32" w:name="_Toc33285489"/>
      <w:bookmarkStart w:id="33" w:name="_Toc33266915"/>
      <w:bookmarkStart w:id="34" w:name="_Toc33266628"/>
      <w:bookmarkStart w:id="35" w:name="_Toc33265654"/>
      <w:bookmarkStart w:id="36" w:name="_Toc395116634"/>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9"/>
    <w:bookmarkEnd w:id="30"/>
    <w:bookmarkEnd w:id="31"/>
    <w:bookmarkEnd w:id="32"/>
    <w:bookmarkEnd w:id="33"/>
    <w:bookmarkEnd w:id="34"/>
    <w:bookmarkEnd w:id="35"/>
    <w:bookmarkEnd w:id="36"/>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8"/>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0"/>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37" w:name="_Toc28416"/>
      <w:r>
        <w:rPr>
          <w:rFonts w:hint="eastAsia" w:ascii="仿宋_GB2312" w:hAnsi="仿宋_GB2312" w:eastAsia="仿宋_GB2312" w:cs="仿宋_GB2312"/>
          <w:sz w:val="36"/>
          <w:szCs w:val="36"/>
        </w:rPr>
        <w:t>七、合同签订</w:t>
      </w:r>
      <w:bookmarkEnd w:id="3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8" w:name="_Toc15650"/>
      <w:r>
        <w:rPr>
          <w:rFonts w:hint="eastAsia" w:ascii="仿宋_GB2312" w:hAnsi="仿宋_GB2312" w:eastAsia="仿宋_GB2312" w:cs="仿宋_GB2312"/>
          <w:sz w:val="36"/>
          <w:szCs w:val="36"/>
        </w:rPr>
        <w:t>八、废标及终止招标</w:t>
      </w:r>
      <w:bookmarkEnd w:id="38"/>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9" w:name="OLE_LINK29"/>
      <w:bookmarkStart w:id="40" w:name="OLE_LINK28"/>
      <w:bookmarkStart w:id="41" w:name="OLE_LINK26"/>
      <w:bookmarkStart w:id="42" w:name="OLE_LINK25"/>
      <w:bookmarkStart w:id="43" w:name="OLE_LINK27"/>
      <w:r>
        <w:rPr>
          <w:rFonts w:hint="eastAsia" w:ascii="仿宋_GB2312" w:hAnsi="仿宋_GB2312" w:eastAsia="仿宋_GB2312" w:cs="仿宋_GB2312"/>
          <w:bCs/>
          <w:sz w:val="24"/>
          <w:szCs w:val="24"/>
        </w:rPr>
        <w:t>；</w:t>
      </w:r>
      <w:bookmarkEnd w:id="39"/>
      <w:bookmarkEnd w:id="40"/>
      <w:bookmarkEnd w:id="41"/>
      <w:bookmarkEnd w:id="42"/>
      <w:bookmarkEnd w:id="43"/>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4" w:name="_Toc14012"/>
      <w:r>
        <w:rPr>
          <w:rFonts w:hint="eastAsia" w:ascii="仿宋_GB2312" w:hAnsi="仿宋_GB2312" w:eastAsia="仿宋_GB2312" w:cs="仿宋_GB2312"/>
          <w:sz w:val="36"/>
          <w:szCs w:val="36"/>
        </w:rPr>
        <w:t>九、本次招标最终解释权归中国重汽集团济南动力有限公司。</w:t>
      </w:r>
      <w:bookmarkEnd w:id="44"/>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5" w:name="_Toc31869"/>
      <w:bookmarkStart w:id="46" w:name="_Toc2363"/>
      <w:bookmarkStart w:id="47" w:name="_Toc21022"/>
      <w:bookmarkStart w:id="48" w:name="_Toc762"/>
      <w:bookmarkStart w:id="49" w:name="_Toc13479"/>
      <w:bookmarkStart w:id="50" w:name="_Toc13002"/>
      <w:r>
        <w:rPr>
          <w:rFonts w:hint="eastAsia" w:ascii="仿宋_GB2312" w:hAnsi="仿宋_GB2312" w:eastAsia="仿宋_GB2312" w:cs="仿宋_GB2312"/>
          <w:sz w:val="44"/>
        </w:rPr>
        <w:t>第三部分 投标文件编制</w:t>
      </w:r>
      <w:bookmarkEnd w:id="45"/>
      <w:bookmarkEnd w:id="46"/>
      <w:bookmarkEnd w:id="47"/>
      <w:bookmarkEnd w:id="48"/>
      <w:bookmarkEnd w:id="49"/>
      <w:bookmarkEnd w:id="50"/>
    </w:p>
    <w:p>
      <w:pPr>
        <w:pStyle w:val="5"/>
        <w:rPr>
          <w:rFonts w:hint="eastAsia" w:ascii="仿宋_GB2312" w:hAnsi="仿宋_GB2312" w:eastAsia="仿宋_GB2312" w:cs="仿宋_GB2312"/>
          <w:sz w:val="36"/>
          <w:szCs w:val="36"/>
        </w:rPr>
      </w:pPr>
      <w:bookmarkStart w:id="51" w:name="_Toc2771"/>
      <w:r>
        <w:rPr>
          <w:rFonts w:hint="eastAsia" w:ascii="仿宋_GB2312" w:hAnsi="仿宋_GB2312" w:eastAsia="仿宋_GB2312" w:cs="仿宋_GB2312"/>
          <w:sz w:val="36"/>
          <w:szCs w:val="36"/>
        </w:rPr>
        <w:t>一、投标文件的编制</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2" w:name="_Toc5592"/>
      <w:r>
        <w:rPr>
          <w:rFonts w:hint="eastAsia" w:ascii="仿宋_GB2312" w:hAnsi="仿宋_GB2312" w:eastAsia="仿宋_GB2312" w:cs="仿宋_GB2312"/>
          <w:sz w:val="36"/>
          <w:szCs w:val="36"/>
        </w:rPr>
        <w:t>二、投标文件资料</w:t>
      </w:r>
      <w:bookmarkEnd w:id="5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3" w:name="_Toc5199"/>
      <w:r>
        <w:rPr>
          <w:rFonts w:hint="eastAsia" w:ascii="仿宋_GB2312" w:hAnsi="仿宋_GB2312" w:eastAsia="仿宋_GB2312" w:cs="仿宋_GB2312"/>
          <w:sz w:val="36"/>
          <w:szCs w:val="36"/>
        </w:rPr>
        <w:t>三、投标文件的组成</w:t>
      </w:r>
      <w:bookmarkEnd w:id="53"/>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bookmarkStart w:id="54" w:name="_Toc212369515"/>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highlight w:val="yellow"/>
        </w:rPr>
        <w:t>具有统一社会信用代码的三证合一的营业执照副本复印件(加盖公章)、《道路运输经营许可证》复印件(加盖公章)</w:t>
      </w:r>
      <w:r>
        <w:rPr>
          <w:rFonts w:hint="eastAsia" w:ascii="仿宋_GB2312" w:hAnsi="仿宋_GB2312" w:eastAsia="仿宋_GB2312" w:cs="仿宋_GB2312"/>
          <w:color w:val="000000"/>
          <w:sz w:val="24"/>
          <w:szCs w:val="24"/>
        </w:rPr>
        <w:t>，并保证行政许可在有效期内；</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2投标函（附件）；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7企业信用证明材料（信用报告）；</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8代理商投标要携带生产商的授权书、原厂售后服务承诺书，根据实际情况提供即可，无格式限制（包括所代理品牌针对项目的唯一授权书）；</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9企业最近半年的完税证明，年度纳税信用评价信息（可从电子税务局查询截图，</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10企业对外担保说明（写明贵单位对外有无对外担保和质押业务，需加盖公章）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11保密承诺函（附件）；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 2022年1月1日至今，企业近三年同类项目业绩证明；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13 投标保证金缴纳凭证。</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4"/>
    </w:p>
    <w:p>
      <w:pPr>
        <w:spacing w:line="360" w:lineRule="auto"/>
        <w:ind w:firstLine="480"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根据技术标书写一个初步的运输规划，阐述自身优势。</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设备质量承诺函（附件7）；</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5"/>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13605"/>
      <w:bookmarkStart w:id="59" w:name="_Toc18805"/>
      <w:bookmarkStart w:id="60" w:name="_Toc30738"/>
      <w:bookmarkStart w:id="61" w:name="_Toc12714"/>
      <w:bookmarkStart w:id="62" w:name="_Toc13555"/>
      <w:bookmarkStart w:id="63" w:name="_Toc4483"/>
      <w:bookmarkStart w:id="64" w:name="_Toc18182"/>
      <w:bookmarkStart w:id="65" w:name="_Toc4532"/>
      <w:bookmarkStart w:id="66" w:name="_Toc12563"/>
      <w:bookmarkStart w:id="67" w:name="_Toc13988"/>
      <w:bookmarkStart w:id="68" w:name="_Toc20467"/>
      <w:bookmarkStart w:id="69" w:name="_Toc6957"/>
      <w:bookmarkStart w:id="70" w:name="_Toc19672"/>
      <w:bookmarkStart w:id="71" w:name="_Toc1884"/>
      <w:bookmarkStart w:id="72" w:name="_Toc7110"/>
      <w:bookmarkStart w:id="73" w:name="_Toc23870"/>
      <w:bookmarkStart w:id="74" w:name="_Toc11355"/>
      <w:bookmarkStart w:id="75" w:name="_Toc32378"/>
      <w:bookmarkStart w:id="76" w:name="_Toc14517"/>
      <w:bookmarkStart w:id="77" w:name="_Toc3565"/>
      <w:bookmarkStart w:id="78" w:name="_Toc28236"/>
      <w:bookmarkStart w:id="79" w:name="_Toc18606"/>
      <w:bookmarkStart w:id="80" w:name="_Toc4194"/>
      <w:bookmarkStart w:id="81" w:name="_Toc6346"/>
      <w:bookmarkStart w:id="82" w:name="_Toc133783966"/>
      <w:bookmarkStart w:id="83" w:name="_Toc12552"/>
      <w:bookmarkStart w:id="84" w:name="_Toc22649"/>
      <w:bookmarkStart w:id="85" w:name="_Toc4029"/>
      <w:bookmarkStart w:id="86" w:name="_Toc16358"/>
      <w:bookmarkStart w:id="87" w:name="_Toc13562"/>
      <w:bookmarkStart w:id="88" w:name="_Toc24913"/>
      <w:bookmarkStart w:id="89" w:name="_Toc21497"/>
      <w:bookmarkStart w:id="90" w:name="_Toc7511"/>
      <w:bookmarkStart w:id="91" w:name="_Toc24964"/>
      <w:bookmarkStart w:id="92" w:name="_Toc3372"/>
      <w:bookmarkStart w:id="93" w:name="_Toc8202"/>
      <w:bookmarkStart w:id="94" w:name="_Toc8032"/>
      <w:bookmarkStart w:id="95" w:name="_Toc20272"/>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4"/>
        <w:numPr>
          <w:ilvl w:val="0"/>
          <w:numId w:val="11"/>
        </w:numPr>
        <w:spacing w:line="360" w:lineRule="auto"/>
        <w:rPr>
          <w:rFonts w:hint="eastAsia" w:ascii="仿宋_GB2312" w:hAnsi="仿宋_GB2312" w:eastAsia="仿宋_GB2312" w:cs="仿宋_GB2312"/>
          <w:sz w:val="44"/>
          <w:highlight w:val="none"/>
        </w:rPr>
      </w:pPr>
      <w:bookmarkStart w:id="96" w:name="_Toc10008"/>
      <w:r>
        <w:rPr>
          <w:rFonts w:hint="eastAsia" w:ascii="仿宋_GB2312" w:hAnsi="仿宋_GB2312" w:eastAsia="仿宋_GB2312" w:cs="仿宋_GB2312"/>
          <w:sz w:val="44"/>
          <w:highlight w:val="none"/>
        </w:rPr>
        <w:t>技术标书</w:t>
      </w:r>
      <w:bookmarkEnd w:id="96"/>
    </w:p>
    <w:p>
      <w:pPr>
        <w:pStyle w:val="22"/>
      </w:pPr>
    </w:p>
    <w:p>
      <w:r>
        <w:br w:type="page"/>
      </w:r>
    </w:p>
    <w:p>
      <w:pPr>
        <w:pStyle w:val="5"/>
        <w:bidi w:val="0"/>
        <w:jc w:val="center"/>
        <w:rPr>
          <w:rFonts w:hint="eastAsia"/>
          <w:sz w:val="32"/>
          <w:szCs w:val="40"/>
          <w:lang w:eastAsia="zh-CN"/>
        </w:rPr>
      </w:pPr>
      <w:r>
        <w:rPr>
          <w:rFonts w:hint="eastAsia"/>
          <w:sz w:val="32"/>
          <w:szCs w:val="40"/>
        </w:rPr>
        <w:t>招标项目内容及</w:t>
      </w:r>
      <w:r>
        <w:rPr>
          <w:rFonts w:hint="eastAsia"/>
          <w:sz w:val="32"/>
          <w:szCs w:val="40"/>
          <w:lang w:eastAsia="zh-CN"/>
        </w:rPr>
        <w:t>技术要求</w:t>
      </w:r>
    </w:p>
    <w:p>
      <w:pPr>
        <w:rPr>
          <w:rFonts w:hint="eastAsia"/>
          <w:lang w:val="en-US" w:eastAsia="zh-CN"/>
        </w:rPr>
      </w:pPr>
    </w:p>
    <w:p>
      <w:pPr>
        <w:pStyle w:val="5"/>
        <w:numPr>
          <w:ilvl w:val="0"/>
          <w:numId w:val="0"/>
        </w:numPr>
        <w:spacing w:before="0" w:beforeLines="0"/>
        <w:ind w:left="576" w:hanging="576"/>
        <w:rPr>
          <w:rFonts w:hint="eastAsia" w:ascii="黑体" w:hAnsi="黑体" w:eastAsia="黑体" w:cs="黑体"/>
          <w:color w:val="auto"/>
          <w:sz w:val="28"/>
          <w:szCs w:val="28"/>
          <w:highlight w:val="none"/>
        </w:rPr>
      </w:pPr>
      <w:bookmarkStart w:id="97" w:name="_Toc3139"/>
      <w:bookmarkStart w:id="98" w:name="_Toc20368"/>
      <w:bookmarkStart w:id="99" w:name="_Toc21490"/>
      <w:bookmarkStart w:id="100" w:name="_Toc11209"/>
      <w:bookmarkStart w:id="101" w:name="_Toc32438"/>
      <w:bookmarkStart w:id="102" w:name="_Toc16289"/>
      <w:bookmarkStart w:id="103" w:name="_Toc29584"/>
      <w:bookmarkStart w:id="104" w:name="_Toc25824"/>
      <w:bookmarkStart w:id="105" w:name="_Toc12948"/>
      <w:bookmarkStart w:id="106" w:name="_Toc2060"/>
      <w:r>
        <w:rPr>
          <w:rFonts w:hint="eastAsia" w:ascii="黑体" w:hAnsi="黑体" w:eastAsia="黑体" w:cs="黑体"/>
          <w:color w:val="auto"/>
          <w:sz w:val="28"/>
          <w:szCs w:val="28"/>
          <w:highlight w:val="none"/>
          <w:lang w:val="en-US" w:eastAsia="zh-CN"/>
        </w:rPr>
        <w:t>4</w:t>
      </w:r>
      <w:r>
        <w:rPr>
          <w:rFonts w:hint="eastAsia" w:ascii="黑体" w:hAnsi="黑体" w:eastAsia="黑体" w:cs="黑体"/>
          <w:color w:val="auto"/>
          <w:sz w:val="28"/>
          <w:szCs w:val="28"/>
          <w:highlight w:val="none"/>
        </w:rPr>
        <w:t>.1项目内容</w:t>
      </w:r>
      <w:bookmarkEnd w:id="97"/>
      <w:bookmarkEnd w:id="98"/>
      <w:bookmarkEnd w:id="99"/>
      <w:bookmarkEnd w:id="100"/>
      <w:bookmarkEnd w:id="101"/>
      <w:bookmarkEnd w:id="102"/>
      <w:bookmarkEnd w:id="103"/>
      <w:bookmarkEnd w:id="104"/>
      <w:bookmarkEnd w:id="105"/>
      <w:bookmarkEnd w:id="106"/>
    </w:p>
    <w:p>
      <w:pPr>
        <w:tabs>
          <w:tab w:val="left" w:pos="452"/>
        </w:tabs>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中国重汽集团济南橡塑件公司2025年-2026年物流运输服务项目</w:t>
      </w:r>
    </w:p>
    <w:p>
      <w:pPr>
        <w:pStyle w:val="5"/>
        <w:numPr>
          <w:ilvl w:val="0"/>
          <w:numId w:val="0"/>
        </w:numPr>
        <w:spacing w:before="0" w:beforeLines="0"/>
        <w:ind w:left="576" w:hanging="576"/>
        <w:rPr>
          <w:rFonts w:hint="eastAsia" w:ascii="黑体" w:hAnsi="黑体" w:eastAsia="黑体" w:cs="黑体"/>
          <w:color w:val="auto"/>
          <w:sz w:val="28"/>
          <w:szCs w:val="28"/>
          <w:highlight w:val="none"/>
          <w:lang w:eastAsia="zh-CN"/>
        </w:rPr>
      </w:pPr>
      <w:bookmarkStart w:id="107" w:name="_Toc10838"/>
      <w:bookmarkStart w:id="108" w:name="_Toc2555"/>
      <w:bookmarkStart w:id="109" w:name="_Toc32191"/>
      <w:bookmarkStart w:id="110" w:name="_Toc15690"/>
      <w:bookmarkStart w:id="111" w:name="_Toc9701"/>
      <w:bookmarkStart w:id="112" w:name="_Toc1248"/>
      <w:bookmarkStart w:id="113" w:name="_Toc9825"/>
      <w:bookmarkStart w:id="114" w:name="_Toc28933"/>
      <w:bookmarkStart w:id="115" w:name="_Toc13864"/>
      <w:bookmarkStart w:id="116" w:name="_Toc8581"/>
      <w:r>
        <w:rPr>
          <w:rFonts w:hint="eastAsia" w:ascii="黑体" w:hAnsi="黑体" w:eastAsia="黑体" w:cs="黑体"/>
          <w:color w:val="auto"/>
          <w:sz w:val="28"/>
          <w:szCs w:val="28"/>
          <w:highlight w:val="none"/>
          <w:lang w:val="en-US" w:eastAsia="zh-CN"/>
        </w:rPr>
        <w:t>4</w:t>
      </w:r>
      <w:r>
        <w:rPr>
          <w:rFonts w:hint="eastAsia" w:ascii="黑体" w:hAnsi="黑体" w:eastAsia="黑体" w:cs="黑体"/>
          <w:color w:val="auto"/>
          <w:sz w:val="28"/>
          <w:szCs w:val="28"/>
          <w:highlight w:val="none"/>
        </w:rPr>
        <w:t>.2项目路线划分</w:t>
      </w:r>
      <w:bookmarkEnd w:id="107"/>
      <w:bookmarkEnd w:id="108"/>
      <w:bookmarkEnd w:id="109"/>
      <w:bookmarkEnd w:id="110"/>
      <w:bookmarkEnd w:id="111"/>
      <w:bookmarkEnd w:id="112"/>
      <w:bookmarkEnd w:id="113"/>
      <w:bookmarkEnd w:id="114"/>
      <w:bookmarkEnd w:id="115"/>
      <w:bookmarkEnd w:id="116"/>
      <w:r>
        <w:rPr>
          <w:rFonts w:hint="eastAsia" w:ascii="黑体" w:hAnsi="黑体" w:eastAsia="黑体" w:cs="黑体"/>
          <w:color w:val="auto"/>
          <w:sz w:val="28"/>
          <w:szCs w:val="28"/>
          <w:highlight w:val="none"/>
          <w:lang w:eastAsia="zh-CN"/>
        </w:rPr>
        <w:t>及配货分拣内容</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橡塑件公司-党家庄、特种车、章丘工业园、莱芜工厂、集团大厦</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橡塑件公司-济宁商用车、聊城中通客车</w:t>
      </w:r>
    </w:p>
    <w:p>
      <w:pPr>
        <w:tabs>
          <w:tab w:val="left" w:pos="452"/>
        </w:tabs>
        <w:spacing w:line="360" w:lineRule="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橡塑件公司物流运输产品件配货及分拣</w:t>
      </w:r>
    </w:p>
    <w:p>
      <w:pPr>
        <w:pStyle w:val="13"/>
        <w:ind w:left="0" w:leftChars="0" w:firstLine="0" w:firstLineChars="0"/>
        <w:rPr>
          <w:rFonts w:hint="eastAsia" w:ascii="宋体" w:hAnsi="宋体" w:cs="宋体"/>
          <w:color w:val="auto"/>
          <w:sz w:val="24"/>
          <w:szCs w:val="24"/>
          <w:highlight w:val="none"/>
          <w:lang w:val="en-US" w:eastAsia="zh-CN"/>
        </w:rPr>
      </w:pPr>
    </w:p>
    <w:p>
      <w:pPr>
        <w:pStyle w:val="13"/>
        <w:ind w:left="0" w:leftChars="0"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具体内容如下：</w:t>
      </w:r>
    </w:p>
    <w:p>
      <w:pPr>
        <w:tabs>
          <w:tab w:val="left" w:pos="452"/>
        </w:tabs>
        <w:spacing w:line="360" w:lineRule="auto"/>
        <w:rPr>
          <w:rFonts w:hint="eastAsia" w:ascii="宋体" w:hAnsi="宋体" w:eastAsia="宋体" w:cs="宋体"/>
          <w:color w:val="auto"/>
          <w:sz w:val="24"/>
          <w:szCs w:val="24"/>
          <w:highlight w:val="none"/>
          <w:lang w:val="en-US" w:eastAsia="zh-CN"/>
        </w:rPr>
      </w:pP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一、线路简介</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1.1、橡塑-党家庄方向；本线路主要针对卡车公司及中邮物流的运输，产品件主要是橡塑件公司所有产品件，包括油箱类、座椅卧铺类、橡胶密封件缓冲件及橡胶支撑、支座、线束类、塑料注塑件、空调暖风机、防冻液等小件杂件。2025年预估业务量整车下线约4.</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1.2、橡塑-卡车公司莱芜工厂方向；本线路主要针对卡车公司莱芜工厂所需橡塑件公司的产品件。产品件与卡车公司所需产品件相同。2025年预估业务量整车下线约10.</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1.3、橡塑-章丘工业园；本线路主要针对章丘工业园园区内各二级公司，包括商用车、轻卡、动力、车桥及工业园附近的重汽所属的各配件部、进出口和海西收件库等所在地，产品均为橡塑件公司产品件。济南商用车2025年预估业务量整车下线约</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1.4、橡塑-特种车方向；本线路主要针对济南特种车公司所需的橡塑件公司产品件，包括座椅油箱、线束、橡胶支撑、支座、暖风空调、及橡胶密封件缓冲件杂件等。2025年预估业务量整车下线约</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1.5、橡塑-济宁商用车公司；本线路主要针对济宁商用车公司所需的橡塑件公司产品件，产品内容包含所有橡塑件公司所有产品。2025年预估业务量整车下线约5.</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二、零部件防护要求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2.1、物流公司运送座椅油箱及其它散件的车辆必须按要求做好防护，车厢要铺好橡胶皮垫,侧马槽面要用加厚软布料或毛毡粘贴好，达到防护要求。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2.2、油箱装车时必须套防护套，不得裸露油箱壳体，油箱支架及传感器要单独作防护，隔离，避免磕碰损坏。需要使用器具装载的严格执行器具装载规定要求。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2.3、线束装车有专用的器具使用并发交，</w:t>
      </w:r>
      <w:r>
        <w:rPr>
          <w:rFonts w:ascii="宋体" w:hAnsi="宋体" w:eastAsia="宋体" w:cs="宋体"/>
          <w:sz w:val="24"/>
          <w:szCs w:val="24"/>
        </w:rPr>
        <w:t>发交线束产品时，线束产品必须使用包装袋进行第1层防护，使用铁框进行第2层防护，并套上防雨罩，才能进行发交，绝不能在无防护条件下发交线束产品。拆包线束需要重新进行包装发交，莱芜方向和商用车方向线束分拣至工位器具时，需要按照主机厂要求分类进行分拣。</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2.4、雨天装车，所有运输车辆必须加盖篷布防水，避免产品进水，影响主机单位使用。其它装散件的车辆也应该根据要求增加防护。</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2.5、暖风机.空调及各种塑料件在装车时必须要有专用的工位器具，橡胶支撑和支座等件同样严格执行此规定。</w:t>
      </w:r>
    </w:p>
    <w:p>
      <w:pPr>
        <w:tabs>
          <w:tab w:val="left" w:pos="452"/>
        </w:tabs>
        <w:spacing w:line="360" w:lineRule="auto"/>
        <w:rPr>
          <w:rFonts w:hint="eastAsia" w:ascii="宋体" w:hAnsi="宋体" w:eastAsia="宋体" w:cs="宋体"/>
          <w:sz w:val="24"/>
          <w:szCs w:val="24"/>
          <w:lang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2.6、座椅卧铺类运输车辆必须用箱货或者做好防雨措施的高栏，装车严格执行质量部制定的产品防护要求，装车时叠放数量不得超过3层座椅，</w:t>
      </w:r>
      <w:r>
        <w:rPr>
          <w:rFonts w:ascii="宋体" w:hAnsi="宋体" w:eastAsia="宋体" w:cs="宋体"/>
          <w:sz w:val="24"/>
          <w:szCs w:val="24"/>
        </w:rPr>
        <w:t>莱芜方向座椅需要按照主机厂的上线顺序进行顺引排序：总一、总二、试制座椅分开器具拣货；主座椅、副座椅分开器具拣货；根据顺引顺序每个器具保证优先使用的放到上层</w:t>
      </w:r>
      <w:r>
        <w:rPr>
          <w:rFonts w:hint="eastAsia" w:ascii="宋体" w:hAnsi="宋体" w:eastAsia="宋体" w:cs="宋体"/>
          <w:sz w:val="24"/>
          <w:szCs w:val="24"/>
          <w:lang w:eastAsia="zh-CN"/>
        </w:rPr>
        <w:t>。</w:t>
      </w:r>
    </w:p>
    <w:p>
      <w:pPr>
        <w:tabs>
          <w:tab w:val="left" w:pos="452"/>
        </w:tabs>
        <w:spacing w:line="360" w:lineRule="auto"/>
        <w:rPr>
          <w:rFonts w:hint="eastAsia" w:ascii="宋体" w:hAnsi="宋体" w:eastAsia="宋体" w:cs="宋体"/>
          <w:sz w:val="24"/>
          <w:szCs w:val="24"/>
          <w:lang w:val="en-US" w:eastAsia="zh-CN"/>
        </w:rPr>
      </w:pP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三、作业场地等要求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根据目前橡塑件公司园区现状，各类产品件装卸区域面积较小，物流公司必须按照装车作业规范标准装车。</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四、本单位相关联业务</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无</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五、考核要求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按照合同执行各项考核规定，同时执行集团及橡塑件公司对物流公司下发的各项考核</w:t>
      </w:r>
      <w:r>
        <w:rPr>
          <w:rFonts w:hint="eastAsia" w:ascii="宋体" w:hAnsi="宋体" w:cs="宋体"/>
          <w:color w:val="auto"/>
          <w:sz w:val="24"/>
          <w:szCs w:val="24"/>
          <w:highlight w:val="none"/>
          <w:lang w:val="en-US" w:eastAsia="zh-CN"/>
        </w:rPr>
        <w:t>如下：</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5.1、物流人员统一穿着本单位服装，佩戴本公司工牌。</w:t>
      </w:r>
      <w:r>
        <w:rPr>
          <w:rFonts w:hint="eastAsia" w:ascii="宋体" w:hAnsi="宋体" w:eastAsia="宋体" w:cs="宋体"/>
          <w:color w:val="auto"/>
          <w:sz w:val="24"/>
          <w:szCs w:val="24"/>
          <w:highlight w:val="none"/>
          <w:lang w:val="zh-CN" w:eastAsia="zh-CN"/>
        </w:rPr>
        <w:t>穿露脚的凉鞋、不能穿露腿的短裤和短裙、不能穿露肩和露背的衣服，每</w:t>
      </w:r>
      <w:r>
        <w:rPr>
          <w:rFonts w:hint="eastAsia" w:ascii="宋体" w:hAnsi="宋体" w:eastAsia="宋体" w:cs="宋体"/>
          <w:color w:val="auto"/>
          <w:sz w:val="24"/>
          <w:szCs w:val="24"/>
          <w:highlight w:val="none"/>
          <w:lang w:val="en-US" w:eastAsia="zh-CN"/>
        </w:rPr>
        <w:t>发现1人次，对物流运输公司考核200元。禁止在园区内抽烟</w:t>
      </w:r>
      <w:r>
        <w:rPr>
          <w:rFonts w:hint="eastAsia" w:ascii="宋体" w:hAnsi="宋体" w:eastAsia="宋体" w:cs="宋体"/>
          <w:color w:val="auto"/>
          <w:sz w:val="24"/>
          <w:szCs w:val="24"/>
          <w:highlight w:val="none"/>
          <w:lang w:val="zh-CN" w:eastAsia="zh-CN"/>
        </w:rPr>
        <w:t>，每</w:t>
      </w:r>
      <w:r>
        <w:rPr>
          <w:rFonts w:hint="eastAsia" w:ascii="宋体" w:hAnsi="宋体" w:eastAsia="宋体" w:cs="宋体"/>
          <w:color w:val="auto"/>
          <w:sz w:val="24"/>
          <w:szCs w:val="24"/>
          <w:highlight w:val="none"/>
          <w:lang w:val="en-US" w:eastAsia="zh-CN"/>
        </w:rPr>
        <w:t>发现1人次，对物流运输公司考核5000元。</w:t>
      </w:r>
    </w:p>
    <w:p>
      <w:pPr>
        <w:tabs>
          <w:tab w:val="left" w:pos="452"/>
        </w:tabs>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5.2、物流司机要</w:t>
      </w:r>
      <w:r>
        <w:rPr>
          <w:rFonts w:hint="eastAsia" w:ascii="宋体" w:hAnsi="宋体" w:eastAsia="宋体" w:cs="宋体"/>
          <w:color w:val="auto"/>
          <w:sz w:val="24"/>
          <w:szCs w:val="24"/>
          <w:highlight w:val="none"/>
          <w:lang w:val="zh-CN" w:eastAsia="zh-CN"/>
        </w:rPr>
        <w:t>按照停放规定在</w:t>
      </w:r>
      <w:r>
        <w:rPr>
          <w:rFonts w:hint="eastAsia" w:ascii="宋体" w:hAnsi="宋体" w:eastAsia="宋体" w:cs="宋体"/>
          <w:color w:val="auto"/>
          <w:sz w:val="24"/>
          <w:szCs w:val="24"/>
          <w:highlight w:val="none"/>
          <w:lang w:val="en-US" w:eastAsia="zh-CN"/>
        </w:rPr>
        <w:t>指定道路和区域</w:t>
      </w:r>
      <w:r>
        <w:rPr>
          <w:rFonts w:hint="eastAsia" w:ascii="宋体" w:hAnsi="宋体" w:eastAsia="宋体" w:cs="宋体"/>
          <w:color w:val="auto"/>
          <w:sz w:val="24"/>
          <w:szCs w:val="24"/>
          <w:highlight w:val="none"/>
          <w:lang w:val="zh-CN" w:eastAsia="zh-CN"/>
        </w:rPr>
        <w:t>停放，车辆避免遮挡消防器材，保持物流通道的有序畅通。每</w:t>
      </w:r>
      <w:r>
        <w:rPr>
          <w:rFonts w:hint="eastAsia" w:ascii="宋体" w:hAnsi="宋体" w:eastAsia="宋体" w:cs="宋体"/>
          <w:color w:val="auto"/>
          <w:sz w:val="24"/>
          <w:szCs w:val="24"/>
          <w:highlight w:val="none"/>
          <w:lang w:val="en-US" w:eastAsia="zh-CN"/>
        </w:rPr>
        <w:t>发现1人次，对物流运输公司考核200元。</w:t>
      </w:r>
    </w:p>
    <w:p>
      <w:pPr>
        <w:tabs>
          <w:tab w:val="left" w:pos="452"/>
        </w:tabs>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lang w:val="zh-CN" w:eastAsia="zh-CN"/>
        </w:rPr>
        <w:t>使用人力叉车，半自动液压车等设备时，按照设备的操作规定进行作业，保证物流作业的安全；人力叉车，半自动液压车使用之后，需要按照</w:t>
      </w:r>
      <w:r>
        <w:rPr>
          <w:rFonts w:hint="eastAsia" w:ascii="宋体" w:hAnsi="宋体" w:eastAsia="宋体" w:cs="宋体"/>
          <w:color w:val="auto"/>
          <w:sz w:val="24"/>
          <w:szCs w:val="24"/>
          <w:highlight w:val="none"/>
          <w:lang w:val="en-US" w:eastAsia="zh-CN"/>
        </w:rPr>
        <w:t>规定位置</w:t>
      </w:r>
      <w:r>
        <w:rPr>
          <w:rFonts w:hint="eastAsia" w:ascii="宋体" w:hAnsi="宋体" w:eastAsia="宋体" w:cs="宋体"/>
          <w:color w:val="auto"/>
          <w:sz w:val="24"/>
          <w:szCs w:val="24"/>
          <w:highlight w:val="none"/>
          <w:lang w:val="zh-CN" w:eastAsia="zh-CN"/>
        </w:rPr>
        <w:t>摆放，保证仓库的定置化管理。每</w:t>
      </w:r>
      <w:r>
        <w:rPr>
          <w:rFonts w:hint="eastAsia" w:ascii="宋体" w:hAnsi="宋体" w:eastAsia="宋体" w:cs="宋体"/>
          <w:color w:val="auto"/>
          <w:sz w:val="24"/>
          <w:szCs w:val="24"/>
          <w:highlight w:val="none"/>
          <w:lang w:val="en-US" w:eastAsia="zh-CN"/>
        </w:rPr>
        <w:t>发现1人次，对物流运输公司考核200元。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5.4运输过程中造成产品磕碰划伤等质量问题，按照发交价格的30%进行考核，如产品损坏无法使用，按照发交价进行赔偿。物流运输方要根据要求进行装车，不准野蛮装卸，对野蛮装卸造成货物损坏或工位器具损坏，除按价赔偿外，每发现一例，罚款500－1000元。由于自身车辆及装卸而造成经济损失的，应按价赔偿。如发现有故意损坏、丢弃或偷盗产品及物资的行为。一经发现，除按价赔偿外，应交纳5－10倍的罚款。</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5.5、物流公司要保证有足够的运输保证能力，任何时间、任何情况下都满足发交运输任务。如因运输能力影响了发交任务，每次罚款1000－5000元。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5.6、物流公司必须固定驾驶人员，司机不准随意调换或变更，如因特殊原因需要临时调换司机，必须事前以书面形式上报物流室，新换驾驶员必须经过培训，方可上岗；如随意调换司机但又未上报物流室，每发现一次对乙方罚款300－500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cs="宋体"/>
          <w:color w:val="auto"/>
          <w:sz w:val="24"/>
          <w:szCs w:val="24"/>
          <w:highlight w:val="none"/>
          <w:lang w:val="en-US" w:eastAsia="zh-CN"/>
        </w:rPr>
        <w:t>5.7、</w:t>
      </w:r>
      <w:r>
        <w:rPr>
          <w:rFonts w:hint="eastAsia" w:ascii="宋体" w:hAnsi="宋体" w:eastAsia="宋体" w:cs="宋体"/>
          <w:color w:val="auto"/>
          <w:sz w:val="24"/>
          <w:szCs w:val="24"/>
          <w:highlight w:val="none"/>
          <w:lang w:val="en-US" w:eastAsia="zh-CN"/>
        </w:rPr>
        <w:t>物流公司在发交运输的工作场点必须有专职的管理人员，负责管理调度车辆，严格遵守发交作业时间和节拍，进行发交运输，保证发交产品按时按量100%的交付到客户手中。不准擅自变更发交计划、时间与地点，如因物流原因，延误了产品的发交与交付，每次罚款500－3000元。如受到集团、主机厂考核，追偿一定的考核额。</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、厂区内行车速度不准超过5公里/小时。如有违者，按园区管理规定处罚。</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、因物流运输原因造成的考核，全部由物流公司承担，并从当月运费中扣除。</w:t>
      </w:r>
    </w:p>
    <w:p>
      <w:pPr>
        <w:spacing w:line="360" w:lineRule="auto"/>
        <w:rPr>
          <w:rFonts w:hint="eastAsia" w:ascii="黑体" w:hAnsi="黑体" w:eastAsia="黑体" w:cs="黑体"/>
          <w:b/>
          <w:color w:val="auto"/>
          <w:kern w:val="2"/>
          <w:sz w:val="28"/>
          <w:szCs w:val="28"/>
          <w:highlight w:val="none"/>
          <w:lang w:val="en-US" w:eastAsia="zh-CN" w:bidi="ar-SA"/>
        </w:rPr>
      </w:pPr>
    </w:p>
    <w:p>
      <w:pPr>
        <w:spacing w:line="360" w:lineRule="auto"/>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4.3各分包线路基价表及配货分拣内容</w:t>
      </w:r>
    </w:p>
    <w:p>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见附件-橡塑物流运输及配货分拣招标基价</w:t>
      </w:r>
    </w:p>
    <w:p>
      <w:pPr>
        <w:pStyle w:val="5"/>
        <w:numPr>
          <w:ilvl w:val="0"/>
          <w:numId w:val="0"/>
        </w:numPr>
        <w:spacing w:before="0" w:beforeLines="0" w:line="360" w:lineRule="auto"/>
        <w:rPr>
          <w:rFonts w:hint="eastAsia" w:ascii="黑体" w:hAnsi="黑体" w:eastAsia="黑体" w:cs="黑体"/>
          <w:b/>
          <w:color w:val="auto"/>
          <w:kern w:val="2"/>
          <w:sz w:val="28"/>
          <w:szCs w:val="28"/>
          <w:highlight w:val="none"/>
          <w:lang w:val="en-US" w:eastAsia="zh-CN" w:bidi="ar-SA"/>
        </w:rPr>
      </w:pPr>
      <w:bookmarkStart w:id="121" w:name="_GoBack"/>
      <w:bookmarkEnd w:id="121"/>
      <w:r>
        <w:rPr>
          <w:rFonts w:hint="eastAsia" w:ascii="黑体" w:hAnsi="黑体" w:eastAsia="黑体" w:cs="黑体"/>
          <w:b/>
          <w:color w:val="auto"/>
          <w:kern w:val="2"/>
          <w:sz w:val="28"/>
          <w:szCs w:val="28"/>
          <w:highlight w:val="none"/>
          <w:lang w:val="en-US" w:eastAsia="zh-CN" w:bidi="ar-SA"/>
        </w:rPr>
        <w:t>4.4项目招标合同期限</w:t>
      </w:r>
    </w:p>
    <w:p>
      <w:pPr>
        <w:pStyle w:val="5"/>
        <w:numPr>
          <w:ilvl w:val="0"/>
          <w:numId w:val="0"/>
        </w:numPr>
        <w:spacing w:before="0" w:beforeLines="0" w:line="360" w:lineRule="auto"/>
        <w:ind w:left="0" w:firstLine="0"/>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本次招标合同期限为一年</w:t>
      </w:r>
    </w:p>
    <w:p>
      <w:pPr>
        <w:rPr>
          <w:rFonts w:hint="eastAsia" w:ascii="宋体" w:hAnsi="宋体" w:cs="宋体"/>
          <w:b w:val="0"/>
          <w:bCs/>
          <w:color w:val="auto"/>
          <w:sz w:val="24"/>
          <w:szCs w:val="24"/>
          <w:highlight w:val="none"/>
          <w:lang w:val="en-US" w:eastAsia="zh-CN"/>
        </w:rPr>
      </w:pPr>
    </w:p>
    <w:p>
      <w:pPr>
        <w:pStyle w:val="2"/>
        <w:rPr>
          <w:rFonts w:hint="eastAsia" w:ascii="宋体" w:hAnsi="宋体" w:cs="宋体"/>
          <w:b w:val="0"/>
          <w:bCs/>
          <w:color w:val="auto"/>
          <w:sz w:val="24"/>
          <w:szCs w:val="24"/>
          <w:highlight w:val="none"/>
          <w:lang w:val="en-US" w:eastAsia="zh-CN"/>
        </w:rPr>
      </w:pPr>
    </w:p>
    <w:p>
      <w:pPr>
        <w:pStyle w:val="3"/>
        <w:rPr>
          <w:rFonts w:hint="eastAsia" w:ascii="宋体" w:hAnsi="宋体" w:cs="宋体"/>
          <w:b w:val="0"/>
          <w:bCs/>
          <w:color w:val="auto"/>
          <w:sz w:val="24"/>
          <w:szCs w:val="24"/>
          <w:highlight w:val="none"/>
          <w:lang w:val="en-US" w:eastAsia="zh-CN"/>
        </w:rPr>
      </w:pPr>
    </w:p>
    <w:p>
      <w:pPr>
        <w:rPr>
          <w:rFonts w:hint="eastAsia" w:ascii="宋体" w:hAnsi="宋体" w:cs="宋体"/>
          <w:b w:val="0"/>
          <w:bCs/>
          <w:color w:val="auto"/>
          <w:sz w:val="24"/>
          <w:szCs w:val="24"/>
          <w:highlight w:val="none"/>
          <w:lang w:val="en-US" w:eastAsia="zh-CN"/>
        </w:rPr>
      </w:pPr>
    </w:p>
    <w:p>
      <w:pPr>
        <w:pStyle w:val="2"/>
        <w:rPr>
          <w:rFonts w:hint="eastAsia" w:ascii="宋体" w:hAnsi="宋体" w:cs="宋体"/>
          <w:b w:val="0"/>
          <w:bCs/>
          <w:color w:val="auto"/>
          <w:sz w:val="24"/>
          <w:szCs w:val="24"/>
          <w:highlight w:val="none"/>
          <w:lang w:val="en-US" w:eastAsia="zh-CN"/>
        </w:rPr>
      </w:pPr>
    </w:p>
    <w:p>
      <w:pPr>
        <w:pStyle w:val="3"/>
        <w:rPr>
          <w:rFonts w:hint="default"/>
          <w:lang w:val="en-US" w:eastAsia="zh-CN"/>
        </w:rPr>
      </w:pPr>
    </w:p>
    <w:p/>
    <w:p>
      <w:pPr>
        <w:pStyle w:val="22"/>
      </w:pPr>
    </w:p>
    <w:p>
      <w:pPr>
        <w:spacing w:line="360" w:lineRule="auto"/>
        <w:jc w:val="center"/>
        <w:outlineLvl w:val="0"/>
        <w:rPr>
          <w:rFonts w:ascii="宋体" w:hAnsi="Calibri" w:eastAsia="宋体" w:cs="Times New Roman"/>
          <w:b/>
          <w:sz w:val="36"/>
          <w:szCs w:val="36"/>
        </w:rPr>
      </w:pPr>
      <w:bookmarkStart w:id="117"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7"/>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bidi w:val="0"/>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rPr>
          <w:rFonts w:hint="eastAsia"/>
        </w:rPr>
      </w:pP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18" w:name="_Toc8509"/>
      <w:bookmarkStart w:id="119" w:name="_Toc20872"/>
      <w:bookmarkStart w:id="120"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8"/>
      <w:bookmarkEnd w:id="119"/>
      <w:bookmarkEnd w:id="120"/>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3"/>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5"/>
              <w:numPr>
                <w:ilvl w:val="0"/>
                <w:numId w:val="13"/>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Cambria Math">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56D20133"/>
    <w:multiLevelType w:val="multilevel"/>
    <w:tmpl w:val="56D20133"/>
    <w:lvl w:ilvl="0" w:tentative="0">
      <w:start w:val="1"/>
      <w:numFmt w:val="chineseCountingThousand"/>
      <w:pStyle w:val="171"/>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56A6EAE"/>
    <w:multiLevelType w:val="multilevel"/>
    <w:tmpl w:val="656A6EAE"/>
    <w:lvl w:ilvl="0" w:tentative="0">
      <w:start w:val="1"/>
      <w:numFmt w:val="chineseCountingThousand"/>
      <w:pStyle w:val="1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8"/>
  </w:num>
  <w:num w:numId="3">
    <w:abstractNumId w:val="10"/>
  </w:num>
  <w:num w:numId="4">
    <w:abstractNumId w:val="11"/>
  </w:num>
  <w:num w:numId="5">
    <w:abstractNumId w:val="12"/>
  </w:num>
  <w:num w:numId="6">
    <w:abstractNumId w:val="5"/>
  </w:num>
  <w:num w:numId="7">
    <w:abstractNumId w:val="3"/>
  </w:num>
  <w:num w:numId="8">
    <w:abstractNumId w:val="7"/>
  </w:num>
  <w:num w:numId="9">
    <w:abstractNumId w:val="2"/>
  </w:num>
  <w:num w:numId="10">
    <w:abstractNumId w:val="6"/>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567F9"/>
    <w:rsid w:val="02184C85"/>
    <w:rsid w:val="02451546"/>
    <w:rsid w:val="02524699"/>
    <w:rsid w:val="027408EE"/>
    <w:rsid w:val="02963F39"/>
    <w:rsid w:val="02B66382"/>
    <w:rsid w:val="02BA7274"/>
    <w:rsid w:val="02CB01CA"/>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5C1AB8"/>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2183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0F375E8"/>
    <w:rsid w:val="212C13E3"/>
    <w:rsid w:val="21545FA4"/>
    <w:rsid w:val="2176507C"/>
    <w:rsid w:val="219E32F8"/>
    <w:rsid w:val="21BA10C4"/>
    <w:rsid w:val="21BB6E31"/>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0F4C79"/>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352E3"/>
    <w:rsid w:val="2EE95803"/>
    <w:rsid w:val="2EF75A9F"/>
    <w:rsid w:val="2EFB1B0E"/>
    <w:rsid w:val="2F521E67"/>
    <w:rsid w:val="2F5C684F"/>
    <w:rsid w:val="2F7B3E4B"/>
    <w:rsid w:val="2FB67DA1"/>
    <w:rsid w:val="2FE45F3B"/>
    <w:rsid w:val="2FF40AC8"/>
    <w:rsid w:val="301461DC"/>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85441A"/>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FE0080"/>
    <w:rsid w:val="43315D2E"/>
    <w:rsid w:val="43824A1C"/>
    <w:rsid w:val="4390486D"/>
    <w:rsid w:val="4399333D"/>
    <w:rsid w:val="43B2241F"/>
    <w:rsid w:val="43C3013B"/>
    <w:rsid w:val="43CE64CC"/>
    <w:rsid w:val="43D110E1"/>
    <w:rsid w:val="43E873C9"/>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7526E9"/>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3A62CE"/>
    <w:rsid w:val="4E535EF2"/>
    <w:rsid w:val="4E56234E"/>
    <w:rsid w:val="4E9F3F1A"/>
    <w:rsid w:val="4EF11A75"/>
    <w:rsid w:val="4F08773C"/>
    <w:rsid w:val="4F31409F"/>
    <w:rsid w:val="4F5C0D3C"/>
    <w:rsid w:val="4F5E670E"/>
    <w:rsid w:val="4F830A4B"/>
    <w:rsid w:val="4F846A83"/>
    <w:rsid w:val="4F9F566B"/>
    <w:rsid w:val="4FE52410"/>
    <w:rsid w:val="50070E2C"/>
    <w:rsid w:val="500A4514"/>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387F5C"/>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3352F"/>
    <w:rsid w:val="60177697"/>
    <w:rsid w:val="602329DB"/>
    <w:rsid w:val="602C13CC"/>
    <w:rsid w:val="603C30B0"/>
    <w:rsid w:val="60736DCB"/>
    <w:rsid w:val="607777D6"/>
    <w:rsid w:val="607B63D6"/>
    <w:rsid w:val="607D4389"/>
    <w:rsid w:val="60911000"/>
    <w:rsid w:val="60996A4F"/>
    <w:rsid w:val="60BC76A1"/>
    <w:rsid w:val="60E30A0F"/>
    <w:rsid w:val="61021EFD"/>
    <w:rsid w:val="610B7637"/>
    <w:rsid w:val="612631A2"/>
    <w:rsid w:val="615F5624"/>
    <w:rsid w:val="61720EED"/>
    <w:rsid w:val="61BE4076"/>
    <w:rsid w:val="61C70B52"/>
    <w:rsid w:val="61D215CF"/>
    <w:rsid w:val="622A5268"/>
    <w:rsid w:val="622C5484"/>
    <w:rsid w:val="623C3E38"/>
    <w:rsid w:val="624049E0"/>
    <w:rsid w:val="625C563D"/>
    <w:rsid w:val="626A1704"/>
    <w:rsid w:val="626E2BB7"/>
    <w:rsid w:val="628C1BC6"/>
    <w:rsid w:val="62AD7E76"/>
    <w:rsid w:val="62B362C8"/>
    <w:rsid w:val="62B97A94"/>
    <w:rsid w:val="62C1330E"/>
    <w:rsid w:val="62FD6475"/>
    <w:rsid w:val="630B4162"/>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415399"/>
    <w:rsid w:val="656B2909"/>
    <w:rsid w:val="658E0D2D"/>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8875EE"/>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A64288"/>
    <w:rsid w:val="6AB57116"/>
    <w:rsid w:val="6AD83C99"/>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24AE8"/>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1"/>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二）级标题"/>
    <w:basedOn w:val="22"/>
    <w:qFormat/>
    <w:uiPriority w:val="2"/>
    <w:pPr>
      <w:numPr>
        <w:ilvl w:val="0"/>
        <w:numId w:val="2"/>
      </w:numPr>
      <w:spacing w:line="360" w:lineRule="auto"/>
      <w:outlineLvl w:val="2"/>
    </w:pPr>
    <w:rPr>
      <w:b/>
    </w:rPr>
  </w:style>
  <w:style w:type="paragraph" w:customStyle="1" w:styleId="172">
    <w:name w:val="一级标题"/>
    <w:basedOn w:val="22"/>
    <w:qFormat/>
    <w:uiPriority w:val="1"/>
    <w:pPr>
      <w:numPr>
        <w:ilvl w:val="0"/>
        <w:numId w:val="3"/>
      </w:numPr>
      <w:spacing w:line="360" w:lineRule="auto"/>
      <w:ind w:left="420"/>
      <w:outlineLvl w:val="1"/>
    </w:pPr>
    <w:rPr>
      <w:rFonts w:ascii="黑体" w:eastAsia="黑体"/>
      <w:b/>
      <w:bCs/>
      <w:sz w:val="28"/>
    </w:rPr>
  </w:style>
  <w:style w:type="character" w:customStyle="1" w:styleId="173">
    <w:name w:val="font121"/>
    <w:basedOn w:val="43"/>
    <w:uiPriority w:val="0"/>
    <w:rPr>
      <w:rFonts w:hint="eastAsia" w:ascii="微软雅黑 Light" w:hAnsi="微软雅黑 Light" w:eastAsia="微软雅黑 Light" w:cs="微软雅黑 Light"/>
      <w:b/>
      <w:bCs/>
      <w:color w:val="000000"/>
      <w:sz w:val="18"/>
      <w:szCs w:val="18"/>
      <w:u w:val="none"/>
    </w:rPr>
  </w:style>
  <w:style w:type="character" w:customStyle="1" w:styleId="174">
    <w:name w:val="font112"/>
    <w:basedOn w:val="43"/>
    <w:uiPriority w:val="0"/>
    <w:rPr>
      <w:rFonts w:hint="eastAsia" w:ascii="宋体" w:hAnsi="宋体" w:eastAsia="宋体" w:cs="宋体"/>
      <w:b/>
      <w:bCs/>
      <w:color w:val="000000"/>
      <w:sz w:val="22"/>
      <w:szCs w:val="22"/>
      <w:u w:val="none"/>
    </w:rPr>
  </w:style>
  <w:style w:type="character" w:customStyle="1" w:styleId="175">
    <w:name w:val="font81"/>
    <w:basedOn w:val="43"/>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64</Pages>
  <Words>9726</Words>
  <Characters>10320</Characters>
  <Lines>371</Lines>
  <Paragraphs>104</Paragraphs>
  <TotalTime>18</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2025-09-30T08:03:39Z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