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9DE51CB">
      <w:pPr>
        <w:rPr>
          <w:rFonts w:ascii="宋体" w:hAnsi="宋体" w:cs="宋体"/>
        </w:rPr>
      </w:pPr>
    </w:p>
    <w:p w14:paraId="552A086D">
      <w:pPr>
        <w:pStyle w:val="23"/>
        <w:rPr>
          <w:rFonts w:ascii="宋体" w:hAnsi="宋体" w:eastAsia="宋体" w:cs="宋体"/>
        </w:rPr>
      </w:pPr>
    </w:p>
    <w:p w14:paraId="65D2F821">
      <w:pPr>
        <w:rPr>
          <w:rFonts w:ascii="宋体" w:hAnsi="宋体" w:cs="宋体"/>
        </w:rPr>
      </w:pPr>
    </w:p>
    <w:p w14:paraId="4F41B6BA">
      <w:pPr>
        <w:spacing w:line="700" w:lineRule="exact"/>
        <w:jc w:val="center"/>
        <w:rPr>
          <w:rFonts w:ascii="宋体" w:hAnsi="宋体" w:cs="宋体"/>
          <w:sz w:val="52"/>
          <w:szCs w:val="52"/>
        </w:rPr>
      </w:pPr>
      <w:bookmarkStart w:id="0" w:name="_Toc17587"/>
      <w:r>
        <w:rPr>
          <w:rFonts w:hint="eastAsia" w:ascii="宋体" w:hAnsi="宋体" w:cs="宋体"/>
          <w:sz w:val="52"/>
          <w:szCs w:val="52"/>
        </w:rPr>
        <w:t>竞争性比选文件</w:t>
      </w:r>
      <w:bookmarkEnd w:id="0"/>
    </w:p>
    <w:p w14:paraId="130BACE8">
      <w:pPr>
        <w:pStyle w:val="23"/>
        <w:rPr>
          <w:rFonts w:ascii="宋体" w:hAnsi="宋体" w:eastAsia="宋体" w:cs="宋体"/>
        </w:rPr>
      </w:pPr>
    </w:p>
    <w:p w14:paraId="40312047">
      <w:pPr>
        <w:rPr>
          <w:rFonts w:ascii="宋体" w:hAnsi="宋体" w:cs="宋体"/>
        </w:rPr>
      </w:pPr>
    </w:p>
    <w:p w14:paraId="7FC2D877">
      <w:pPr>
        <w:spacing w:line="700" w:lineRule="exact"/>
        <w:jc w:val="center"/>
        <w:rPr>
          <w:rFonts w:ascii="宋体" w:hAnsi="宋体" w:cs="宋体"/>
          <w:sz w:val="32"/>
        </w:rPr>
      </w:pPr>
    </w:p>
    <w:p w14:paraId="34C473E4">
      <w:pPr>
        <w:spacing w:line="700" w:lineRule="exact"/>
        <w:jc w:val="center"/>
        <w:rPr>
          <w:rFonts w:ascii="宋体" w:hAnsi="宋体" w:cs="宋体"/>
          <w:sz w:val="32"/>
        </w:rPr>
      </w:pPr>
    </w:p>
    <w:p w14:paraId="1495736E">
      <w:pPr>
        <w:spacing w:line="700" w:lineRule="exact"/>
        <w:jc w:val="center"/>
        <w:rPr>
          <w:rFonts w:ascii="宋体" w:hAnsi="宋体" w:cs="宋体"/>
          <w:sz w:val="32"/>
        </w:rPr>
      </w:pPr>
    </w:p>
    <w:p w14:paraId="309E1845">
      <w:pPr>
        <w:spacing w:line="500" w:lineRule="exact"/>
        <w:jc w:val="center"/>
        <w:rPr>
          <w:rFonts w:ascii="宋体" w:hAnsi="宋体" w:cs="宋体"/>
          <w:sz w:val="36"/>
          <w:szCs w:val="36"/>
        </w:rPr>
      </w:pPr>
      <w:r>
        <w:rPr>
          <w:rFonts w:hint="eastAsia" w:ascii="宋体" w:hAnsi="宋体" w:cs="宋体"/>
          <w:sz w:val="36"/>
          <w:szCs w:val="36"/>
        </w:rPr>
        <w:t>项目名称：</w:t>
      </w:r>
      <w:bookmarkStart w:id="460" w:name="_GoBack"/>
      <w:r>
        <w:rPr>
          <w:rFonts w:hint="eastAsia" w:ascii="宋体" w:hAnsi="宋体" w:cs="宋体"/>
          <w:sz w:val="36"/>
          <w:szCs w:val="36"/>
        </w:rPr>
        <w:t>重庆市盛景实业有限公司</w:t>
      </w:r>
    </w:p>
    <w:p w14:paraId="0CC33FF1">
      <w:pPr>
        <w:spacing w:line="500" w:lineRule="exact"/>
        <w:jc w:val="center"/>
        <w:rPr>
          <w:rFonts w:ascii="宋体" w:hAnsi="宋体" w:cs="宋体"/>
          <w:sz w:val="36"/>
          <w:szCs w:val="36"/>
        </w:rPr>
      </w:pPr>
      <w:r>
        <w:rPr>
          <w:rFonts w:hint="eastAsia" w:ascii="宋体" w:hAnsi="宋体" w:cs="宋体"/>
          <w:sz w:val="36"/>
          <w:szCs w:val="36"/>
        </w:rPr>
        <w:t>大宗物品及配送服务采购</w:t>
      </w:r>
      <w:bookmarkEnd w:id="460"/>
    </w:p>
    <w:p w14:paraId="754D177B">
      <w:pPr>
        <w:spacing w:line="700" w:lineRule="exact"/>
        <w:ind w:left="2158" w:leftChars="128" w:hanging="1800" w:hangingChars="500"/>
        <w:rPr>
          <w:rFonts w:ascii="宋体" w:hAnsi="宋体" w:cs="宋体"/>
          <w:sz w:val="36"/>
          <w:szCs w:val="36"/>
        </w:rPr>
      </w:pPr>
    </w:p>
    <w:p w14:paraId="19C5BBA7">
      <w:pPr>
        <w:spacing w:line="700" w:lineRule="exact"/>
        <w:ind w:firstLine="1749" w:firstLineChars="486"/>
        <w:rPr>
          <w:rFonts w:ascii="宋体" w:hAnsi="宋体" w:cs="宋体"/>
          <w:sz w:val="36"/>
          <w:szCs w:val="36"/>
        </w:rPr>
      </w:pPr>
    </w:p>
    <w:p w14:paraId="075EC779">
      <w:pPr>
        <w:spacing w:line="700" w:lineRule="exact"/>
        <w:ind w:firstLine="1749" w:firstLineChars="486"/>
        <w:rPr>
          <w:rFonts w:ascii="宋体" w:hAnsi="宋体" w:cs="宋体"/>
          <w:sz w:val="36"/>
          <w:szCs w:val="36"/>
        </w:rPr>
      </w:pPr>
    </w:p>
    <w:p w14:paraId="29639F81">
      <w:pPr>
        <w:pStyle w:val="23"/>
        <w:rPr>
          <w:rFonts w:ascii="宋体" w:hAnsi="宋体" w:eastAsia="宋体" w:cs="宋体"/>
          <w:sz w:val="36"/>
          <w:szCs w:val="36"/>
        </w:rPr>
      </w:pPr>
    </w:p>
    <w:p w14:paraId="41239918">
      <w:pPr>
        <w:rPr>
          <w:rFonts w:ascii="宋体" w:hAnsi="宋体" w:cs="宋体"/>
          <w:sz w:val="36"/>
          <w:szCs w:val="36"/>
        </w:rPr>
      </w:pPr>
    </w:p>
    <w:p w14:paraId="0A64A09C">
      <w:pPr>
        <w:pStyle w:val="23"/>
        <w:rPr>
          <w:rFonts w:ascii="宋体" w:hAnsi="宋体" w:eastAsia="宋体" w:cs="宋体"/>
        </w:rPr>
      </w:pPr>
    </w:p>
    <w:p w14:paraId="385A7B0C">
      <w:pPr>
        <w:rPr>
          <w:rFonts w:ascii="宋体" w:hAnsi="宋体" w:cs="宋体"/>
        </w:rPr>
      </w:pPr>
    </w:p>
    <w:p w14:paraId="2F6080EC">
      <w:pPr>
        <w:spacing w:line="700" w:lineRule="exact"/>
        <w:rPr>
          <w:rFonts w:ascii="宋体" w:hAnsi="宋体" w:cs="宋体"/>
          <w:sz w:val="36"/>
          <w:szCs w:val="36"/>
        </w:rPr>
      </w:pPr>
    </w:p>
    <w:p w14:paraId="35676B34">
      <w:pPr>
        <w:spacing w:line="360" w:lineRule="auto"/>
        <w:ind w:firstLine="1677" w:firstLineChars="466"/>
        <w:jc w:val="left"/>
        <w:rPr>
          <w:rFonts w:ascii="宋体" w:hAnsi="宋体" w:cs="宋体"/>
          <w:sz w:val="36"/>
          <w:szCs w:val="36"/>
        </w:rPr>
      </w:pPr>
      <w:r>
        <w:rPr>
          <w:rFonts w:hint="eastAsia" w:ascii="宋体" w:hAnsi="宋体" w:cs="宋体"/>
          <w:sz w:val="36"/>
          <w:szCs w:val="36"/>
        </w:rPr>
        <w:t>比选人：重庆市盛景实业有限公司</w:t>
      </w:r>
    </w:p>
    <w:p w14:paraId="2CB0157C">
      <w:pPr>
        <w:snapToGrid w:val="0"/>
        <w:spacing w:line="360" w:lineRule="auto"/>
        <w:ind w:left="76" w:leftChars="27" w:firstLine="1602" w:firstLineChars="445"/>
        <w:rPr>
          <w:rFonts w:ascii="宋体" w:hAnsi="宋体" w:cs="宋体"/>
          <w:sz w:val="36"/>
          <w:szCs w:val="36"/>
        </w:rPr>
      </w:pPr>
      <w:r>
        <w:rPr>
          <w:rFonts w:hint="eastAsia" w:ascii="宋体" w:hAnsi="宋体" w:cs="宋体"/>
          <w:sz w:val="36"/>
          <w:szCs w:val="36"/>
        </w:rPr>
        <w:t>比选代理机构：重庆天骄工程项目管理有限公司</w:t>
      </w:r>
    </w:p>
    <w:p w14:paraId="21DBDF5F">
      <w:pPr>
        <w:snapToGrid w:val="0"/>
        <w:spacing w:line="360" w:lineRule="auto"/>
        <w:rPr>
          <w:rFonts w:ascii="宋体" w:hAnsi="宋体" w:cs="宋体"/>
          <w:sz w:val="36"/>
          <w:szCs w:val="36"/>
        </w:rPr>
      </w:pPr>
    </w:p>
    <w:p w14:paraId="42FE65CF">
      <w:pPr>
        <w:snapToGrid w:val="0"/>
        <w:spacing w:line="500" w:lineRule="exact"/>
        <w:ind w:left="80" w:leftChars="-100" w:hanging="360" w:hangingChars="100"/>
        <w:jc w:val="center"/>
        <w:rPr>
          <w:rFonts w:ascii="宋体" w:hAnsi="宋体" w:cs="宋体"/>
          <w:sz w:val="32"/>
          <w:szCs w:val="32"/>
        </w:rPr>
      </w:pPr>
      <w:r>
        <w:rPr>
          <w:rFonts w:hint="eastAsia" w:ascii="宋体" w:hAnsi="宋体" w:cs="宋体"/>
          <w:sz w:val="36"/>
          <w:szCs w:val="36"/>
        </w:rPr>
        <w:t>二〇二五年十月</w:t>
      </w:r>
    </w:p>
    <w:p w14:paraId="06885610">
      <w:pPr>
        <w:jc w:val="center"/>
        <w:rPr>
          <w:rFonts w:ascii="宋体" w:hAnsi="宋体" w:cs="宋体"/>
          <w:sz w:val="24"/>
        </w:rPr>
        <w:sectPr>
          <w:headerReference r:id="rId4" w:type="first"/>
          <w:footerReference r:id="rId6" w:type="first"/>
          <w:headerReference r:id="rId3" w:type="default"/>
          <w:footerReference r:id="rId5" w:type="even"/>
          <w:pgSz w:w="11907" w:h="16840"/>
          <w:pgMar w:top="1417" w:right="1417" w:bottom="1417" w:left="1417" w:header="283" w:footer="964" w:gutter="0"/>
          <w:pgNumType w:fmt="numberInDash" w:start="1"/>
          <w:cols w:space="720" w:num="1"/>
          <w:docGrid w:linePitch="381" w:charSpace="0"/>
        </w:sectPr>
      </w:pPr>
    </w:p>
    <w:p w14:paraId="3BA54E8D">
      <w:pPr>
        <w:spacing w:line="480" w:lineRule="exact"/>
        <w:jc w:val="center"/>
        <w:rPr>
          <w:rFonts w:ascii="宋体" w:hAnsi="宋体" w:cs="宋体"/>
          <w:szCs w:val="21"/>
        </w:rPr>
      </w:pPr>
      <w:bookmarkStart w:id="1" w:name="_Toc25705"/>
      <w:bookmarkStart w:id="2" w:name="_Toc22159"/>
      <w:bookmarkStart w:id="3" w:name="_Toc13034"/>
      <w:r>
        <w:rPr>
          <w:rFonts w:hint="eastAsia" w:ascii="宋体" w:hAnsi="宋体" w:cs="宋体"/>
          <w:sz w:val="44"/>
          <w:szCs w:val="28"/>
        </w:rPr>
        <w:t>目   录</w:t>
      </w:r>
      <w:bookmarkEnd w:id="1"/>
      <w:bookmarkEnd w:id="2"/>
      <w:bookmarkEnd w:id="3"/>
    </w:p>
    <w:p w14:paraId="3DF38D6F">
      <w:pPr>
        <w:pStyle w:val="38"/>
        <w:keepNext w:val="0"/>
        <w:keepLines w:val="0"/>
        <w:pageBreakBefore w:val="0"/>
        <w:widowControl w:val="0"/>
        <w:tabs>
          <w:tab w:val="right" w:leader="dot" w:pos="9073"/>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18"/>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sz w:val="28"/>
          <w:szCs w:val="24"/>
        </w:rPr>
        <w:fldChar w:fldCharType="begin"/>
      </w:r>
      <w:r>
        <w:rPr>
          <w:rFonts w:hint="eastAsia" w:ascii="宋体" w:hAnsi="宋体" w:eastAsia="宋体" w:cs="宋体"/>
          <w:sz w:val="28"/>
          <w:szCs w:val="24"/>
        </w:rPr>
        <w:instrText xml:space="preserve"> HYPERLINK \l _Toc11921 </w:instrText>
      </w:r>
      <w:r>
        <w:rPr>
          <w:rFonts w:hint="eastAsia" w:ascii="宋体" w:hAnsi="宋体" w:eastAsia="宋体" w:cs="宋体"/>
          <w:sz w:val="28"/>
          <w:szCs w:val="24"/>
        </w:rPr>
        <w:fldChar w:fldCharType="separate"/>
      </w:r>
      <w:r>
        <w:rPr>
          <w:rFonts w:hint="eastAsia" w:ascii="宋体" w:hAnsi="宋体" w:eastAsia="宋体" w:cs="宋体"/>
          <w:sz w:val="28"/>
          <w:szCs w:val="18"/>
        </w:rPr>
        <w:t>第一篇 比选邀请书</w:t>
      </w:r>
      <w:r>
        <w:rPr>
          <w:rFonts w:hint="eastAsia" w:ascii="宋体" w:hAnsi="宋体" w:eastAsia="宋体" w:cs="宋体"/>
          <w:sz w:val="28"/>
          <w:szCs w:val="18"/>
        </w:rPr>
        <w:tab/>
      </w:r>
      <w:r>
        <w:rPr>
          <w:rFonts w:hint="eastAsia" w:ascii="宋体" w:hAnsi="宋体" w:eastAsia="宋体" w:cs="宋体"/>
          <w:sz w:val="28"/>
          <w:szCs w:val="18"/>
        </w:rPr>
        <w:fldChar w:fldCharType="begin"/>
      </w:r>
      <w:r>
        <w:rPr>
          <w:rFonts w:hint="eastAsia" w:ascii="宋体" w:hAnsi="宋体" w:eastAsia="宋体" w:cs="宋体"/>
          <w:sz w:val="28"/>
          <w:szCs w:val="18"/>
        </w:rPr>
        <w:instrText xml:space="preserve"> PAGEREF _Toc11921 \h </w:instrText>
      </w:r>
      <w:r>
        <w:rPr>
          <w:rFonts w:hint="eastAsia" w:ascii="宋体" w:hAnsi="宋体" w:eastAsia="宋体" w:cs="宋体"/>
          <w:sz w:val="28"/>
          <w:szCs w:val="18"/>
        </w:rPr>
        <w:fldChar w:fldCharType="separate"/>
      </w:r>
      <w:r>
        <w:rPr>
          <w:rFonts w:hint="eastAsia" w:ascii="宋体" w:hAnsi="宋体" w:eastAsia="宋体" w:cs="宋体"/>
          <w:sz w:val="28"/>
          <w:szCs w:val="18"/>
        </w:rPr>
        <w:t>1</w:t>
      </w:r>
      <w:r>
        <w:rPr>
          <w:rFonts w:hint="eastAsia" w:ascii="宋体" w:hAnsi="宋体" w:eastAsia="宋体" w:cs="宋体"/>
          <w:sz w:val="28"/>
          <w:szCs w:val="18"/>
        </w:rPr>
        <w:fldChar w:fldCharType="end"/>
      </w:r>
      <w:r>
        <w:rPr>
          <w:rFonts w:hint="eastAsia" w:ascii="宋体" w:hAnsi="宋体" w:eastAsia="宋体" w:cs="宋体"/>
          <w:sz w:val="28"/>
          <w:szCs w:val="24"/>
        </w:rPr>
        <w:fldChar w:fldCharType="end"/>
      </w:r>
    </w:p>
    <w:p w14:paraId="44B935A9">
      <w:pPr>
        <w:pStyle w:val="38"/>
        <w:keepNext w:val="0"/>
        <w:keepLines w:val="0"/>
        <w:pageBreakBefore w:val="0"/>
        <w:widowControl w:val="0"/>
        <w:tabs>
          <w:tab w:val="right" w:leader="dot" w:pos="9073"/>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18"/>
        </w:rPr>
      </w:pPr>
      <w:r>
        <w:rPr>
          <w:rFonts w:hint="eastAsia" w:ascii="宋体" w:hAnsi="宋体" w:eastAsia="宋体" w:cs="宋体"/>
          <w:sz w:val="28"/>
          <w:szCs w:val="24"/>
        </w:rPr>
        <w:fldChar w:fldCharType="begin"/>
      </w:r>
      <w:r>
        <w:rPr>
          <w:rFonts w:hint="eastAsia" w:ascii="宋体" w:hAnsi="宋体" w:eastAsia="宋体" w:cs="宋体"/>
          <w:sz w:val="28"/>
          <w:szCs w:val="24"/>
        </w:rPr>
        <w:instrText xml:space="preserve"> HYPERLINK \l _Toc7021 </w:instrText>
      </w:r>
      <w:r>
        <w:rPr>
          <w:rFonts w:hint="eastAsia" w:ascii="宋体" w:hAnsi="宋体" w:eastAsia="宋体" w:cs="宋体"/>
          <w:sz w:val="28"/>
          <w:szCs w:val="24"/>
        </w:rPr>
        <w:fldChar w:fldCharType="separate"/>
      </w:r>
      <w:r>
        <w:rPr>
          <w:rFonts w:hint="eastAsia" w:ascii="宋体" w:hAnsi="宋体" w:eastAsia="宋体" w:cs="宋体"/>
          <w:bCs/>
          <w:sz w:val="28"/>
          <w:szCs w:val="28"/>
        </w:rPr>
        <w:t>第二篇  项目服务需求</w:t>
      </w:r>
      <w:r>
        <w:rPr>
          <w:rFonts w:hint="eastAsia" w:ascii="宋体" w:hAnsi="宋体" w:eastAsia="宋体" w:cs="宋体"/>
          <w:sz w:val="28"/>
          <w:szCs w:val="18"/>
        </w:rPr>
        <w:tab/>
      </w:r>
      <w:r>
        <w:rPr>
          <w:rFonts w:hint="eastAsia" w:ascii="宋体" w:hAnsi="宋体" w:eastAsia="宋体" w:cs="宋体"/>
          <w:sz w:val="28"/>
          <w:szCs w:val="18"/>
        </w:rPr>
        <w:fldChar w:fldCharType="begin"/>
      </w:r>
      <w:r>
        <w:rPr>
          <w:rFonts w:hint="eastAsia" w:ascii="宋体" w:hAnsi="宋体" w:eastAsia="宋体" w:cs="宋体"/>
          <w:sz w:val="28"/>
          <w:szCs w:val="18"/>
        </w:rPr>
        <w:instrText xml:space="preserve"> PAGEREF _Toc7021 \h </w:instrText>
      </w:r>
      <w:r>
        <w:rPr>
          <w:rFonts w:hint="eastAsia" w:ascii="宋体" w:hAnsi="宋体" w:eastAsia="宋体" w:cs="宋体"/>
          <w:sz w:val="28"/>
          <w:szCs w:val="18"/>
        </w:rPr>
        <w:fldChar w:fldCharType="separate"/>
      </w:r>
      <w:r>
        <w:rPr>
          <w:rFonts w:hint="eastAsia" w:ascii="宋体" w:hAnsi="宋体" w:eastAsia="宋体" w:cs="宋体"/>
          <w:sz w:val="28"/>
          <w:szCs w:val="18"/>
        </w:rPr>
        <w:t>4</w:t>
      </w:r>
      <w:r>
        <w:rPr>
          <w:rFonts w:hint="eastAsia" w:ascii="宋体" w:hAnsi="宋体" w:eastAsia="宋体" w:cs="宋体"/>
          <w:sz w:val="28"/>
          <w:szCs w:val="18"/>
        </w:rPr>
        <w:fldChar w:fldCharType="end"/>
      </w:r>
      <w:r>
        <w:rPr>
          <w:rFonts w:hint="eastAsia" w:ascii="宋体" w:hAnsi="宋体" w:eastAsia="宋体" w:cs="宋体"/>
          <w:sz w:val="28"/>
          <w:szCs w:val="24"/>
        </w:rPr>
        <w:fldChar w:fldCharType="end"/>
      </w:r>
    </w:p>
    <w:p w14:paraId="4D9E2156">
      <w:pPr>
        <w:pStyle w:val="38"/>
        <w:keepNext w:val="0"/>
        <w:keepLines w:val="0"/>
        <w:pageBreakBefore w:val="0"/>
        <w:widowControl w:val="0"/>
        <w:tabs>
          <w:tab w:val="right" w:leader="dot" w:pos="9073"/>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18"/>
        </w:rPr>
      </w:pPr>
      <w:r>
        <w:rPr>
          <w:rFonts w:hint="eastAsia" w:ascii="宋体" w:hAnsi="宋体" w:eastAsia="宋体" w:cs="宋体"/>
          <w:sz w:val="28"/>
          <w:szCs w:val="24"/>
        </w:rPr>
        <w:fldChar w:fldCharType="begin"/>
      </w:r>
      <w:r>
        <w:rPr>
          <w:rFonts w:hint="eastAsia" w:ascii="宋体" w:hAnsi="宋体" w:eastAsia="宋体" w:cs="宋体"/>
          <w:sz w:val="28"/>
          <w:szCs w:val="24"/>
        </w:rPr>
        <w:instrText xml:space="preserve"> HYPERLINK \l _Toc31472 </w:instrText>
      </w:r>
      <w:r>
        <w:rPr>
          <w:rFonts w:hint="eastAsia" w:ascii="宋体" w:hAnsi="宋体" w:eastAsia="宋体" w:cs="宋体"/>
          <w:sz w:val="28"/>
          <w:szCs w:val="24"/>
        </w:rPr>
        <w:fldChar w:fldCharType="separate"/>
      </w:r>
      <w:r>
        <w:rPr>
          <w:rFonts w:hint="eastAsia" w:ascii="宋体" w:hAnsi="宋体" w:eastAsia="宋体" w:cs="宋体"/>
          <w:bCs/>
          <w:sz w:val="28"/>
          <w:szCs w:val="28"/>
        </w:rPr>
        <w:t>第三篇  项目商务需求</w:t>
      </w:r>
      <w:r>
        <w:rPr>
          <w:rFonts w:hint="eastAsia" w:ascii="宋体" w:hAnsi="宋体" w:eastAsia="宋体" w:cs="宋体"/>
          <w:sz w:val="28"/>
          <w:szCs w:val="18"/>
        </w:rPr>
        <w:tab/>
      </w:r>
      <w:r>
        <w:rPr>
          <w:rFonts w:hint="eastAsia" w:ascii="宋体" w:hAnsi="宋体" w:eastAsia="宋体" w:cs="宋体"/>
          <w:sz w:val="28"/>
          <w:szCs w:val="18"/>
        </w:rPr>
        <w:fldChar w:fldCharType="begin"/>
      </w:r>
      <w:r>
        <w:rPr>
          <w:rFonts w:hint="eastAsia" w:ascii="宋体" w:hAnsi="宋体" w:eastAsia="宋体" w:cs="宋体"/>
          <w:sz w:val="28"/>
          <w:szCs w:val="18"/>
        </w:rPr>
        <w:instrText xml:space="preserve"> PAGEREF _Toc31472 \h </w:instrText>
      </w:r>
      <w:r>
        <w:rPr>
          <w:rFonts w:hint="eastAsia" w:ascii="宋体" w:hAnsi="宋体" w:eastAsia="宋体" w:cs="宋体"/>
          <w:sz w:val="28"/>
          <w:szCs w:val="18"/>
        </w:rPr>
        <w:fldChar w:fldCharType="separate"/>
      </w:r>
      <w:r>
        <w:rPr>
          <w:rFonts w:hint="eastAsia" w:ascii="宋体" w:hAnsi="宋体" w:eastAsia="宋体" w:cs="宋体"/>
          <w:sz w:val="28"/>
          <w:szCs w:val="18"/>
        </w:rPr>
        <w:t>9</w:t>
      </w:r>
      <w:r>
        <w:rPr>
          <w:rFonts w:hint="eastAsia" w:ascii="宋体" w:hAnsi="宋体" w:eastAsia="宋体" w:cs="宋体"/>
          <w:sz w:val="28"/>
          <w:szCs w:val="18"/>
        </w:rPr>
        <w:fldChar w:fldCharType="end"/>
      </w:r>
      <w:r>
        <w:rPr>
          <w:rFonts w:hint="eastAsia" w:ascii="宋体" w:hAnsi="宋体" w:eastAsia="宋体" w:cs="宋体"/>
          <w:sz w:val="28"/>
          <w:szCs w:val="24"/>
        </w:rPr>
        <w:fldChar w:fldCharType="end"/>
      </w:r>
    </w:p>
    <w:p w14:paraId="72715135">
      <w:pPr>
        <w:pStyle w:val="38"/>
        <w:keepNext w:val="0"/>
        <w:keepLines w:val="0"/>
        <w:pageBreakBefore w:val="0"/>
        <w:widowControl w:val="0"/>
        <w:tabs>
          <w:tab w:val="right" w:leader="dot" w:pos="9073"/>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18"/>
        </w:rPr>
      </w:pPr>
      <w:r>
        <w:rPr>
          <w:rFonts w:hint="eastAsia" w:ascii="宋体" w:hAnsi="宋体" w:eastAsia="宋体" w:cs="宋体"/>
          <w:sz w:val="28"/>
          <w:szCs w:val="24"/>
        </w:rPr>
        <w:fldChar w:fldCharType="begin"/>
      </w:r>
      <w:r>
        <w:rPr>
          <w:rFonts w:hint="eastAsia" w:ascii="宋体" w:hAnsi="宋体" w:eastAsia="宋体" w:cs="宋体"/>
          <w:sz w:val="28"/>
          <w:szCs w:val="24"/>
        </w:rPr>
        <w:instrText xml:space="preserve"> HYPERLINK \l _Toc15509 </w:instrText>
      </w:r>
      <w:r>
        <w:rPr>
          <w:rFonts w:hint="eastAsia" w:ascii="宋体" w:hAnsi="宋体" w:eastAsia="宋体" w:cs="宋体"/>
          <w:sz w:val="28"/>
          <w:szCs w:val="24"/>
        </w:rPr>
        <w:fldChar w:fldCharType="separate"/>
      </w:r>
      <w:r>
        <w:rPr>
          <w:rFonts w:hint="eastAsia" w:ascii="宋体" w:hAnsi="宋体" w:eastAsia="宋体" w:cs="宋体"/>
          <w:bCs/>
          <w:sz w:val="28"/>
          <w:szCs w:val="28"/>
        </w:rPr>
        <w:t>第四篇  比选程序及方法、评审标准、无效比选申请和比选终止</w:t>
      </w:r>
      <w:r>
        <w:rPr>
          <w:rFonts w:hint="eastAsia" w:ascii="宋体" w:hAnsi="宋体" w:eastAsia="宋体" w:cs="宋体"/>
          <w:sz w:val="28"/>
          <w:szCs w:val="18"/>
        </w:rPr>
        <w:tab/>
      </w:r>
      <w:r>
        <w:rPr>
          <w:rFonts w:hint="eastAsia" w:ascii="宋体" w:hAnsi="宋体" w:eastAsia="宋体" w:cs="宋体"/>
          <w:sz w:val="28"/>
          <w:szCs w:val="18"/>
        </w:rPr>
        <w:fldChar w:fldCharType="begin"/>
      </w:r>
      <w:r>
        <w:rPr>
          <w:rFonts w:hint="eastAsia" w:ascii="宋体" w:hAnsi="宋体" w:eastAsia="宋体" w:cs="宋体"/>
          <w:sz w:val="28"/>
          <w:szCs w:val="18"/>
        </w:rPr>
        <w:instrText xml:space="preserve"> PAGEREF _Toc15509 \h </w:instrText>
      </w:r>
      <w:r>
        <w:rPr>
          <w:rFonts w:hint="eastAsia" w:ascii="宋体" w:hAnsi="宋体" w:eastAsia="宋体" w:cs="宋体"/>
          <w:sz w:val="28"/>
          <w:szCs w:val="18"/>
        </w:rPr>
        <w:fldChar w:fldCharType="separate"/>
      </w:r>
      <w:r>
        <w:rPr>
          <w:rFonts w:hint="eastAsia" w:ascii="宋体" w:hAnsi="宋体" w:eastAsia="宋体" w:cs="宋体"/>
          <w:sz w:val="28"/>
          <w:szCs w:val="18"/>
        </w:rPr>
        <w:t>13</w:t>
      </w:r>
      <w:r>
        <w:rPr>
          <w:rFonts w:hint="eastAsia" w:ascii="宋体" w:hAnsi="宋体" w:eastAsia="宋体" w:cs="宋体"/>
          <w:sz w:val="28"/>
          <w:szCs w:val="18"/>
        </w:rPr>
        <w:fldChar w:fldCharType="end"/>
      </w:r>
      <w:r>
        <w:rPr>
          <w:rFonts w:hint="eastAsia" w:ascii="宋体" w:hAnsi="宋体" w:eastAsia="宋体" w:cs="宋体"/>
          <w:sz w:val="28"/>
          <w:szCs w:val="24"/>
        </w:rPr>
        <w:fldChar w:fldCharType="end"/>
      </w:r>
    </w:p>
    <w:p w14:paraId="4248FA04">
      <w:pPr>
        <w:pStyle w:val="38"/>
        <w:keepNext w:val="0"/>
        <w:keepLines w:val="0"/>
        <w:pageBreakBefore w:val="0"/>
        <w:widowControl w:val="0"/>
        <w:tabs>
          <w:tab w:val="right" w:leader="dot" w:pos="9073"/>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18"/>
        </w:rPr>
      </w:pPr>
      <w:r>
        <w:rPr>
          <w:rFonts w:hint="eastAsia" w:ascii="宋体" w:hAnsi="宋体" w:eastAsia="宋体" w:cs="宋体"/>
          <w:sz w:val="28"/>
          <w:szCs w:val="24"/>
        </w:rPr>
        <w:fldChar w:fldCharType="begin"/>
      </w:r>
      <w:r>
        <w:rPr>
          <w:rFonts w:hint="eastAsia" w:ascii="宋体" w:hAnsi="宋体" w:eastAsia="宋体" w:cs="宋体"/>
          <w:sz w:val="28"/>
          <w:szCs w:val="24"/>
        </w:rPr>
        <w:instrText xml:space="preserve"> HYPERLINK \l _Toc13445 </w:instrText>
      </w:r>
      <w:r>
        <w:rPr>
          <w:rFonts w:hint="eastAsia" w:ascii="宋体" w:hAnsi="宋体" w:eastAsia="宋体" w:cs="宋体"/>
          <w:sz w:val="28"/>
          <w:szCs w:val="24"/>
        </w:rPr>
        <w:fldChar w:fldCharType="separate"/>
      </w:r>
      <w:r>
        <w:rPr>
          <w:rFonts w:hint="eastAsia" w:ascii="宋体" w:hAnsi="宋体" w:eastAsia="宋体" w:cs="宋体"/>
          <w:sz w:val="28"/>
          <w:szCs w:val="28"/>
        </w:rPr>
        <w:t>第五篇  比选申请人须知</w:t>
      </w:r>
      <w:r>
        <w:rPr>
          <w:rFonts w:hint="eastAsia" w:ascii="宋体" w:hAnsi="宋体" w:eastAsia="宋体" w:cs="宋体"/>
          <w:sz w:val="28"/>
          <w:szCs w:val="18"/>
        </w:rPr>
        <w:tab/>
      </w:r>
      <w:r>
        <w:rPr>
          <w:rFonts w:hint="eastAsia" w:ascii="宋体" w:hAnsi="宋体" w:eastAsia="宋体" w:cs="宋体"/>
          <w:sz w:val="28"/>
          <w:szCs w:val="18"/>
        </w:rPr>
        <w:fldChar w:fldCharType="begin"/>
      </w:r>
      <w:r>
        <w:rPr>
          <w:rFonts w:hint="eastAsia" w:ascii="宋体" w:hAnsi="宋体" w:eastAsia="宋体" w:cs="宋体"/>
          <w:sz w:val="28"/>
          <w:szCs w:val="18"/>
        </w:rPr>
        <w:instrText xml:space="preserve"> PAGEREF _Toc13445 \h </w:instrText>
      </w:r>
      <w:r>
        <w:rPr>
          <w:rFonts w:hint="eastAsia" w:ascii="宋体" w:hAnsi="宋体" w:eastAsia="宋体" w:cs="宋体"/>
          <w:sz w:val="28"/>
          <w:szCs w:val="18"/>
        </w:rPr>
        <w:fldChar w:fldCharType="separate"/>
      </w:r>
      <w:r>
        <w:rPr>
          <w:rFonts w:hint="eastAsia" w:ascii="宋体" w:hAnsi="宋体" w:eastAsia="宋体" w:cs="宋体"/>
          <w:sz w:val="28"/>
          <w:szCs w:val="18"/>
        </w:rPr>
        <w:t>- 18 -</w:t>
      </w:r>
      <w:r>
        <w:rPr>
          <w:rFonts w:hint="eastAsia" w:ascii="宋体" w:hAnsi="宋体" w:eastAsia="宋体" w:cs="宋体"/>
          <w:sz w:val="28"/>
          <w:szCs w:val="18"/>
        </w:rPr>
        <w:fldChar w:fldCharType="end"/>
      </w:r>
      <w:r>
        <w:rPr>
          <w:rFonts w:hint="eastAsia" w:ascii="宋体" w:hAnsi="宋体" w:eastAsia="宋体" w:cs="宋体"/>
          <w:sz w:val="28"/>
          <w:szCs w:val="24"/>
        </w:rPr>
        <w:fldChar w:fldCharType="end"/>
      </w:r>
    </w:p>
    <w:p w14:paraId="21A264BC">
      <w:pPr>
        <w:pStyle w:val="47"/>
        <w:keepNext w:val="0"/>
        <w:keepLines w:val="0"/>
        <w:pageBreakBefore w:val="0"/>
        <w:widowControl w:val="0"/>
        <w:tabs>
          <w:tab w:val="right" w:leader="dot" w:pos="9073"/>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8"/>
          <w:szCs w:val="20"/>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_Toc10282 </w:instrText>
      </w:r>
      <w:r>
        <w:rPr>
          <w:rFonts w:hint="eastAsia" w:ascii="宋体" w:hAnsi="宋体" w:eastAsia="宋体" w:cs="宋体"/>
          <w:sz w:val="28"/>
          <w:szCs w:val="28"/>
        </w:rPr>
        <w:fldChar w:fldCharType="separate"/>
      </w:r>
      <w:r>
        <w:rPr>
          <w:rFonts w:hint="eastAsia" w:ascii="宋体" w:hAnsi="宋体" w:eastAsia="宋体" w:cs="宋体"/>
          <w:sz w:val="28"/>
          <w:szCs w:val="32"/>
        </w:rPr>
        <w:t>第六篇 比选申请文件编制要求</w:t>
      </w:r>
      <w:r>
        <w:rPr>
          <w:rFonts w:hint="eastAsia" w:ascii="宋体" w:hAnsi="宋体" w:eastAsia="宋体" w:cs="宋体"/>
          <w:sz w:val="28"/>
          <w:szCs w:val="20"/>
        </w:rPr>
        <w:tab/>
      </w:r>
      <w:r>
        <w:rPr>
          <w:rFonts w:hint="eastAsia" w:ascii="宋体" w:hAnsi="宋体" w:eastAsia="宋体" w:cs="宋体"/>
          <w:sz w:val="28"/>
          <w:szCs w:val="20"/>
        </w:rPr>
        <w:fldChar w:fldCharType="begin"/>
      </w:r>
      <w:r>
        <w:rPr>
          <w:rFonts w:hint="eastAsia" w:ascii="宋体" w:hAnsi="宋体" w:eastAsia="宋体" w:cs="宋体"/>
          <w:sz w:val="28"/>
          <w:szCs w:val="20"/>
        </w:rPr>
        <w:instrText xml:space="preserve"> PAGEREF _Toc10282 \h </w:instrText>
      </w:r>
      <w:r>
        <w:rPr>
          <w:rFonts w:hint="eastAsia" w:ascii="宋体" w:hAnsi="宋体" w:eastAsia="宋体" w:cs="宋体"/>
          <w:sz w:val="28"/>
          <w:szCs w:val="20"/>
        </w:rPr>
        <w:fldChar w:fldCharType="separate"/>
      </w:r>
      <w:r>
        <w:rPr>
          <w:rFonts w:hint="eastAsia" w:ascii="宋体" w:hAnsi="宋体" w:eastAsia="宋体" w:cs="宋体"/>
          <w:sz w:val="28"/>
          <w:szCs w:val="20"/>
        </w:rPr>
        <w:t>- 21 -</w:t>
      </w:r>
      <w:r>
        <w:rPr>
          <w:rFonts w:hint="eastAsia" w:ascii="宋体" w:hAnsi="宋体" w:eastAsia="宋体" w:cs="宋体"/>
          <w:sz w:val="28"/>
          <w:szCs w:val="20"/>
        </w:rPr>
        <w:fldChar w:fldCharType="end"/>
      </w:r>
      <w:r>
        <w:rPr>
          <w:rFonts w:hint="eastAsia" w:ascii="宋体" w:hAnsi="宋体" w:eastAsia="宋体" w:cs="宋体"/>
          <w:sz w:val="28"/>
          <w:szCs w:val="28"/>
        </w:rPr>
        <w:fldChar w:fldCharType="end"/>
      </w:r>
    </w:p>
    <w:p w14:paraId="27A62980">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color w:val="0000FF"/>
          <w:szCs w:val="28"/>
        </w:rPr>
        <w:sectPr>
          <w:footerReference r:id="rId7" w:type="default"/>
          <w:pgSz w:w="11907" w:h="16840"/>
          <w:pgMar w:top="1417" w:right="1417" w:bottom="1417" w:left="1417" w:header="283" w:footer="964" w:gutter="0"/>
          <w:pgNumType w:start="1"/>
          <w:cols w:space="720" w:num="1"/>
          <w:docGrid w:linePitch="381" w:charSpace="0"/>
        </w:sectPr>
      </w:pPr>
      <w:r>
        <w:rPr>
          <w:rFonts w:hint="eastAsia" w:ascii="宋体" w:hAnsi="宋体" w:eastAsia="宋体" w:cs="宋体"/>
          <w:sz w:val="24"/>
          <w:szCs w:val="24"/>
        </w:rPr>
        <w:fldChar w:fldCharType="end"/>
      </w:r>
    </w:p>
    <w:p w14:paraId="559C00D2">
      <w:pPr>
        <w:pStyle w:val="2"/>
        <w:tabs>
          <w:tab w:val="left" w:pos="3360"/>
        </w:tabs>
        <w:spacing w:line="360" w:lineRule="auto"/>
        <w:ind w:firstLine="3092" w:firstLineChars="1100"/>
        <w:rPr>
          <w:rFonts w:hAnsi="宋体" w:cs="宋体"/>
          <w:b/>
        </w:rPr>
      </w:pPr>
      <w:bookmarkStart w:id="4" w:name="_Toc5896"/>
      <w:bookmarkStart w:id="5" w:name="_Toc21693"/>
      <w:bookmarkStart w:id="6" w:name="_Toc5284"/>
      <w:bookmarkStart w:id="7" w:name="_Toc6967"/>
      <w:bookmarkStart w:id="8" w:name="_Toc11921"/>
      <w:bookmarkStart w:id="9" w:name="_Toc1386"/>
      <w:bookmarkStart w:id="10" w:name="_Toc75793495"/>
      <w:bookmarkStart w:id="11" w:name="_Toc19468"/>
      <w:bookmarkStart w:id="12" w:name="_Toc339"/>
      <w:bookmarkStart w:id="13" w:name="_Toc21468"/>
      <w:bookmarkStart w:id="14" w:name="_Toc21631"/>
      <w:bookmarkStart w:id="15" w:name="_Toc106030371"/>
      <w:bookmarkStart w:id="16" w:name="_Toc14366"/>
      <w:bookmarkStart w:id="17" w:name="_Toc10432"/>
      <w:bookmarkStart w:id="18" w:name="_Toc31300"/>
      <w:bookmarkStart w:id="19" w:name="_Toc2977"/>
      <w:bookmarkStart w:id="20" w:name="_Toc4502"/>
      <w:bookmarkStart w:id="21" w:name="_Toc16178"/>
      <w:bookmarkStart w:id="22" w:name="_Toc25832"/>
      <w:bookmarkStart w:id="23" w:name="_Toc12866"/>
      <w:bookmarkStart w:id="24" w:name="_Toc11049"/>
      <w:bookmarkStart w:id="25" w:name="_Toc10008"/>
      <w:bookmarkStart w:id="26" w:name="_Toc405"/>
      <w:bookmarkStart w:id="27" w:name="_Toc9206"/>
      <w:bookmarkStart w:id="28" w:name="_Toc76462319"/>
      <w:bookmarkStart w:id="29" w:name="_Toc317775178"/>
      <w:bookmarkStart w:id="30" w:name="_Toc373860293"/>
      <w:r>
        <w:rPr>
          <w:rFonts w:hint="eastAsia" w:hAnsi="宋体" w:cs="宋体"/>
          <w:b/>
        </w:rPr>
        <w:t>第一篇 比选邀请书</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F6CF19D">
      <w:pPr>
        <w:snapToGrid w:val="0"/>
        <w:spacing w:line="400" w:lineRule="exact"/>
        <w:ind w:firstLine="480" w:firstLineChars="200"/>
        <w:rPr>
          <w:rFonts w:ascii="宋体" w:hAnsi="宋体" w:cs="宋体"/>
          <w:sz w:val="24"/>
          <w:szCs w:val="24"/>
        </w:rPr>
      </w:pPr>
      <w:r>
        <w:rPr>
          <w:rFonts w:hint="eastAsia" w:ascii="宋体" w:hAnsi="宋体" w:cs="宋体"/>
          <w:sz w:val="24"/>
          <w:szCs w:val="24"/>
        </w:rPr>
        <w:t>重庆天骄工程项目管理有限公司（以下简称：比选代理机构）受重庆市盛景实业有限公司（</w:t>
      </w:r>
      <w:r>
        <w:rPr>
          <w:rFonts w:hint="eastAsia" w:ascii="宋体" w:hAnsi="宋体" w:cs="宋体"/>
          <w:sz w:val="24"/>
          <w:szCs w:val="24"/>
          <w:lang w:eastAsia="zh-CN"/>
        </w:rPr>
        <w:t>比选人</w:t>
      </w:r>
      <w:r>
        <w:rPr>
          <w:rFonts w:hint="eastAsia" w:ascii="宋体" w:hAnsi="宋体" w:cs="宋体"/>
          <w:sz w:val="24"/>
          <w:szCs w:val="24"/>
        </w:rPr>
        <w:t>名称）（以下简称：</w:t>
      </w:r>
      <w:r>
        <w:rPr>
          <w:rFonts w:hint="eastAsia" w:ascii="宋体" w:hAnsi="宋体" w:cs="宋体"/>
          <w:sz w:val="24"/>
          <w:szCs w:val="24"/>
          <w:lang w:eastAsia="zh-CN"/>
        </w:rPr>
        <w:t>比选人</w:t>
      </w:r>
      <w:r>
        <w:rPr>
          <w:rFonts w:hint="eastAsia" w:ascii="宋体" w:hAnsi="宋体" w:cs="宋体"/>
          <w:sz w:val="24"/>
          <w:szCs w:val="24"/>
        </w:rPr>
        <w:t>）的委托，对重庆市盛景实业有限公司大宗物品及配送服务采购项目进行比选，欢迎有资格的比选申请人参加比选。</w:t>
      </w:r>
    </w:p>
    <w:p w14:paraId="2E9157A5">
      <w:pPr>
        <w:pStyle w:val="3"/>
        <w:spacing w:line="400" w:lineRule="exact"/>
        <w:ind w:firstLine="482" w:firstLineChars="200"/>
        <w:rPr>
          <w:rFonts w:ascii="宋体" w:hAnsi="宋体" w:eastAsia="宋体" w:cs="宋体"/>
          <w:sz w:val="24"/>
        </w:rPr>
      </w:pPr>
      <w:bookmarkStart w:id="31" w:name="_Toc75793496"/>
      <w:bookmarkStart w:id="32" w:name="_Toc12440"/>
      <w:bookmarkStart w:id="33" w:name="_Toc398"/>
      <w:bookmarkStart w:id="34" w:name="_Toc11858"/>
      <w:bookmarkStart w:id="35" w:name="_Toc25391"/>
      <w:bookmarkStart w:id="36" w:name="_Toc14081"/>
      <w:bookmarkStart w:id="37" w:name="_Toc8806"/>
      <w:bookmarkStart w:id="38" w:name="_Toc10092"/>
      <w:bookmarkStart w:id="39" w:name="_Toc2284"/>
      <w:bookmarkStart w:id="40" w:name="_Toc11828"/>
      <w:bookmarkStart w:id="41" w:name="_Toc23261"/>
      <w:bookmarkStart w:id="42" w:name="_Toc19219"/>
      <w:bookmarkStart w:id="43" w:name="_Toc16810"/>
      <w:bookmarkStart w:id="44" w:name="_Toc27035"/>
      <w:bookmarkStart w:id="45" w:name="_Toc19082"/>
      <w:bookmarkStart w:id="46" w:name="_Toc9233"/>
      <w:bookmarkStart w:id="47" w:name="_Toc9774"/>
      <w:bookmarkStart w:id="48" w:name="_Toc106030372"/>
      <w:bookmarkStart w:id="49" w:name="_Toc19648"/>
      <w:bookmarkStart w:id="50" w:name="_Toc31641"/>
      <w:r>
        <w:rPr>
          <w:rFonts w:hint="eastAsia" w:ascii="宋体" w:hAnsi="宋体" w:eastAsia="宋体" w:cs="宋体"/>
          <w:sz w:val="24"/>
        </w:rPr>
        <w:t>一、比选项目内容</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tbl>
      <w:tblPr>
        <w:tblStyle w:val="59"/>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251"/>
        <w:gridCol w:w="1473"/>
        <w:gridCol w:w="3713"/>
      </w:tblGrid>
      <w:tr w14:paraId="4569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5" w:type="dxa"/>
            <w:vAlign w:val="center"/>
          </w:tcPr>
          <w:p w14:paraId="51F9C132">
            <w:pPr>
              <w:pStyle w:val="24"/>
              <w:spacing w:line="240" w:lineRule="auto"/>
              <w:ind w:left="0"/>
              <w:jc w:val="center"/>
              <w:outlineLvl w:val="0"/>
              <w:rPr>
                <w:rFonts w:ascii="宋体" w:hAnsi="宋体" w:cs="宋体"/>
                <w:b/>
                <w:sz w:val="21"/>
                <w:szCs w:val="21"/>
              </w:rPr>
            </w:pPr>
            <w:bookmarkStart w:id="51" w:name="_Toc30641"/>
            <w:bookmarkStart w:id="52" w:name="_Toc6753"/>
            <w:bookmarkStart w:id="53" w:name="_Toc7197"/>
            <w:r>
              <w:rPr>
                <w:rFonts w:hint="eastAsia" w:ascii="宋体" w:hAnsi="宋体" w:cs="宋体"/>
                <w:b/>
                <w:sz w:val="21"/>
                <w:szCs w:val="21"/>
              </w:rPr>
              <w:t>名称</w:t>
            </w:r>
            <w:bookmarkEnd w:id="51"/>
            <w:bookmarkEnd w:id="52"/>
            <w:bookmarkEnd w:id="53"/>
          </w:p>
        </w:tc>
        <w:tc>
          <w:tcPr>
            <w:tcW w:w="2251" w:type="dxa"/>
            <w:vAlign w:val="center"/>
          </w:tcPr>
          <w:p w14:paraId="23D264B9">
            <w:pPr>
              <w:pStyle w:val="24"/>
              <w:spacing w:line="240" w:lineRule="auto"/>
              <w:ind w:left="0"/>
              <w:jc w:val="center"/>
              <w:outlineLvl w:val="0"/>
              <w:rPr>
                <w:rFonts w:ascii="宋体" w:hAnsi="宋体" w:cs="宋体"/>
                <w:b/>
                <w:sz w:val="21"/>
                <w:szCs w:val="21"/>
              </w:rPr>
            </w:pPr>
            <w:bookmarkStart w:id="54" w:name="_Toc1372"/>
            <w:bookmarkStart w:id="55" w:name="_Toc23318"/>
            <w:bookmarkStart w:id="56" w:name="_Toc31311"/>
            <w:r>
              <w:rPr>
                <w:rFonts w:hint="eastAsia" w:ascii="宋体" w:hAnsi="宋体" w:cs="宋体"/>
                <w:b/>
                <w:sz w:val="21"/>
                <w:szCs w:val="21"/>
              </w:rPr>
              <w:t>比选申请保证金</w:t>
            </w:r>
            <w:bookmarkEnd w:id="54"/>
            <w:bookmarkEnd w:id="55"/>
            <w:bookmarkEnd w:id="56"/>
          </w:p>
          <w:p w14:paraId="2DE79A15">
            <w:pPr>
              <w:pStyle w:val="24"/>
              <w:spacing w:line="240" w:lineRule="auto"/>
              <w:ind w:left="0"/>
              <w:jc w:val="center"/>
              <w:outlineLvl w:val="0"/>
              <w:rPr>
                <w:rFonts w:ascii="宋体" w:hAnsi="宋体" w:cs="宋体"/>
                <w:b/>
                <w:sz w:val="21"/>
                <w:szCs w:val="21"/>
              </w:rPr>
            </w:pPr>
            <w:bookmarkStart w:id="57" w:name="_Toc31748"/>
            <w:bookmarkStart w:id="58" w:name="_Toc30438"/>
            <w:bookmarkStart w:id="59" w:name="_Toc23427"/>
            <w:r>
              <w:rPr>
                <w:rFonts w:hint="eastAsia" w:ascii="宋体" w:hAnsi="宋体" w:cs="宋体"/>
                <w:b/>
                <w:sz w:val="21"/>
                <w:szCs w:val="21"/>
              </w:rPr>
              <w:t>（万元）</w:t>
            </w:r>
            <w:bookmarkEnd w:id="57"/>
            <w:bookmarkEnd w:id="58"/>
            <w:bookmarkEnd w:id="59"/>
          </w:p>
        </w:tc>
        <w:tc>
          <w:tcPr>
            <w:tcW w:w="1473" w:type="dxa"/>
            <w:vAlign w:val="center"/>
          </w:tcPr>
          <w:p w14:paraId="05446C1E">
            <w:pPr>
              <w:pStyle w:val="24"/>
              <w:spacing w:line="240" w:lineRule="auto"/>
              <w:ind w:left="0"/>
              <w:jc w:val="center"/>
              <w:outlineLvl w:val="0"/>
              <w:rPr>
                <w:rFonts w:ascii="宋体" w:hAnsi="宋体" w:cs="宋体"/>
                <w:b/>
                <w:sz w:val="21"/>
                <w:szCs w:val="21"/>
              </w:rPr>
            </w:pPr>
            <w:bookmarkStart w:id="60" w:name="_Toc7264"/>
            <w:bookmarkStart w:id="61" w:name="_Toc2006"/>
            <w:bookmarkStart w:id="62" w:name="_Toc23443"/>
            <w:r>
              <w:rPr>
                <w:rFonts w:hint="eastAsia" w:ascii="宋体" w:hAnsi="宋体" w:cs="宋体"/>
                <w:b/>
                <w:sz w:val="21"/>
                <w:szCs w:val="21"/>
              </w:rPr>
              <w:t>中选人数量（名）</w:t>
            </w:r>
            <w:bookmarkEnd w:id="60"/>
            <w:bookmarkEnd w:id="61"/>
            <w:bookmarkEnd w:id="62"/>
          </w:p>
        </w:tc>
        <w:tc>
          <w:tcPr>
            <w:tcW w:w="3713" w:type="dxa"/>
            <w:vAlign w:val="center"/>
          </w:tcPr>
          <w:p w14:paraId="5B2F2E46">
            <w:pPr>
              <w:pStyle w:val="24"/>
              <w:spacing w:line="240" w:lineRule="auto"/>
              <w:ind w:left="0"/>
              <w:jc w:val="center"/>
              <w:outlineLvl w:val="0"/>
              <w:rPr>
                <w:rFonts w:ascii="宋体" w:hAnsi="宋体" w:cs="宋体"/>
                <w:b/>
                <w:sz w:val="21"/>
                <w:szCs w:val="21"/>
              </w:rPr>
            </w:pPr>
            <w:bookmarkStart w:id="63" w:name="_Toc29516"/>
            <w:bookmarkStart w:id="64" w:name="_Toc25802"/>
            <w:bookmarkStart w:id="65" w:name="_Toc17615"/>
            <w:r>
              <w:rPr>
                <w:rFonts w:hint="eastAsia" w:ascii="宋体" w:hAnsi="宋体" w:cs="宋体"/>
                <w:b/>
                <w:bCs/>
                <w:kern w:val="0"/>
                <w:sz w:val="21"/>
                <w:szCs w:val="24"/>
              </w:rPr>
              <w:t>备注</w:t>
            </w:r>
            <w:bookmarkEnd w:id="63"/>
            <w:bookmarkEnd w:id="64"/>
            <w:bookmarkEnd w:id="65"/>
          </w:p>
        </w:tc>
      </w:tr>
      <w:tr w14:paraId="605C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115" w:type="dxa"/>
            <w:vAlign w:val="center"/>
          </w:tcPr>
          <w:p w14:paraId="33106C75">
            <w:pPr>
              <w:pStyle w:val="16"/>
              <w:spacing w:line="240" w:lineRule="auto"/>
              <w:ind w:firstLine="0"/>
              <w:outlineLvl w:val="0"/>
              <w:rPr>
                <w:rFonts w:ascii="宋体" w:hAnsi="宋体" w:cs="宋体"/>
                <w:sz w:val="21"/>
                <w:szCs w:val="21"/>
              </w:rPr>
            </w:pPr>
            <w:bookmarkStart w:id="66" w:name="_Toc13887"/>
            <w:bookmarkStart w:id="67" w:name="_Toc7484"/>
            <w:bookmarkStart w:id="68" w:name="_Toc7074"/>
            <w:r>
              <w:rPr>
                <w:rFonts w:hint="eastAsia" w:ascii="宋体" w:hAnsi="宋体" w:cs="宋体"/>
                <w:sz w:val="21"/>
                <w:szCs w:val="21"/>
              </w:rPr>
              <w:t>重庆市盛景实业有限公司大宗物品及配送服务采购项目</w:t>
            </w:r>
            <w:bookmarkEnd w:id="66"/>
            <w:bookmarkEnd w:id="67"/>
            <w:bookmarkEnd w:id="68"/>
          </w:p>
        </w:tc>
        <w:tc>
          <w:tcPr>
            <w:tcW w:w="2251" w:type="dxa"/>
            <w:vAlign w:val="center"/>
          </w:tcPr>
          <w:p w14:paraId="3E17773D">
            <w:pPr>
              <w:pStyle w:val="16"/>
              <w:spacing w:line="240" w:lineRule="auto"/>
              <w:ind w:firstLine="0"/>
              <w:jc w:val="center"/>
              <w:outlineLvl w:val="0"/>
              <w:rPr>
                <w:rFonts w:hint="default" w:ascii="宋体" w:hAnsi="宋体" w:eastAsia="宋体" w:cs="宋体"/>
                <w:sz w:val="21"/>
                <w:szCs w:val="21"/>
                <w:lang w:val="en-US" w:eastAsia="zh-CN"/>
              </w:rPr>
            </w:pPr>
            <w:bookmarkStart w:id="69" w:name="_Toc23565"/>
            <w:r>
              <w:rPr>
                <w:rFonts w:hint="eastAsia" w:ascii="宋体" w:hAnsi="宋体" w:cs="宋体"/>
                <w:sz w:val="21"/>
                <w:szCs w:val="21"/>
                <w:lang w:val="en-US" w:eastAsia="zh-CN"/>
              </w:rPr>
              <w:t>1.9</w:t>
            </w:r>
            <w:bookmarkEnd w:id="69"/>
          </w:p>
        </w:tc>
        <w:tc>
          <w:tcPr>
            <w:tcW w:w="1473" w:type="dxa"/>
            <w:vAlign w:val="center"/>
          </w:tcPr>
          <w:p w14:paraId="26C00DA4">
            <w:pPr>
              <w:pStyle w:val="16"/>
              <w:spacing w:line="240" w:lineRule="auto"/>
              <w:ind w:firstLine="0"/>
              <w:jc w:val="center"/>
              <w:outlineLvl w:val="0"/>
              <w:rPr>
                <w:rFonts w:ascii="宋体" w:hAnsi="宋体" w:cs="宋体"/>
                <w:sz w:val="21"/>
                <w:szCs w:val="21"/>
              </w:rPr>
            </w:pPr>
            <w:bookmarkStart w:id="70" w:name="_Toc13940"/>
            <w:bookmarkStart w:id="71" w:name="_Toc5816"/>
            <w:bookmarkStart w:id="72" w:name="_Toc30709"/>
            <w:r>
              <w:rPr>
                <w:rFonts w:hint="eastAsia" w:ascii="宋体" w:hAnsi="宋体" w:cs="宋体"/>
                <w:sz w:val="21"/>
                <w:szCs w:val="21"/>
              </w:rPr>
              <w:t>1</w:t>
            </w:r>
            <w:bookmarkEnd w:id="70"/>
            <w:bookmarkEnd w:id="71"/>
            <w:bookmarkEnd w:id="72"/>
          </w:p>
        </w:tc>
        <w:tc>
          <w:tcPr>
            <w:tcW w:w="3713" w:type="dxa"/>
            <w:vAlign w:val="center"/>
          </w:tcPr>
          <w:p w14:paraId="3153EA84">
            <w:pPr>
              <w:pStyle w:val="16"/>
              <w:spacing w:line="240" w:lineRule="auto"/>
              <w:ind w:firstLine="0"/>
              <w:jc w:val="left"/>
              <w:outlineLvl w:val="0"/>
              <w:rPr>
                <w:rFonts w:ascii="宋体" w:hAnsi="宋体" w:cs="宋体"/>
                <w:sz w:val="21"/>
                <w:szCs w:val="21"/>
              </w:rPr>
            </w:pPr>
            <w:bookmarkStart w:id="73" w:name="_Toc30906"/>
            <w:bookmarkStart w:id="74" w:name="_Toc14947"/>
            <w:bookmarkStart w:id="75" w:name="_Toc7342"/>
            <w:r>
              <w:rPr>
                <w:rFonts w:hint="eastAsia" w:ascii="宋体" w:hAnsi="宋体" w:cs="宋体"/>
                <w:sz w:val="21"/>
                <w:szCs w:val="21"/>
              </w:rPr>
              <w:t>本项目所采购货物必须为中国大陆境内生产。禽、肉类货物必须为经过检疫部门检验合格。</w:t>
            </w:r>
            <w:bookmarkEnd w:id="73"/>
            <w:bookmarkEnd w:id="74"/>
            <w:bookmarkEnd w:id="75"/>
          </w:p>
        </w:tc>
      </w:tr>
    </w:tbl>
    <w:p w14:paraId="5BA6D02E">
      <w:pPr>
        <w:pStyle w:val="3"/>
        <w:spacing w:line="400" w:lineRule="exact"/>
        <w:ind w:firstLine="482" w:firstLineChars="200"/>
        <w:rPr>
          <w:rFonts w:ascii="宋体" w:hAnsi="宋体" w:eastAsia="宋体" w:cs="宋体"/>
          <w:sz w:val="24"/>
        </w:rPr>
      </w:pPr>
      <w:bookmarkStart w:id="76" w:name="_Toc22549"/>
      <w:bookmarkStart w:id="77" w:name="_Toc31390"/>
      <w:bookmarkStart w:id="78" w:name="_Toc22327"/>
      <w:bookmarkStart w:id="79" w:name="_Toc15272"/>
      <w:bookmarkStart w:id="80" w:name="_Toc31180"/>
      <w:bookmarkStart w:id="81" w:name="_Toc7121"/>
      <w:bookmarkStart w:id="82" w:name="_Toc15878"/>
      <w:bookmarkStart w:id="83" w:name="_Toc856"/>
      <w:bookmarkStart w:id="84" w:name="_Toc26507"/>
      <w:bookmarkStart w:id="85" w:name="_Toc26540"/>
      <w:bookmarkStart w:id="86" w:name="_Toc75793497"/>
      <w:bookmarkStart w:id="87" w:name="_Toc106030373"/>
      <w:bookmarkStart w:id="88" w:name="_Toc7083"/>
      <w:bookmarkStart w:id="89" w:name="_Toc19287"/>
      <w:bookmarkStart w:id="90" w:name="_Toc29240"/>
      <w:bookmarkStart w:id="91" w:name="_Toc12298"/>
      <w:bookmarkStart w:id="92" w:name="_Toc9736"/>
      <w:bookmarkStart w:id="93" w:name="_Toc26284"/>
      <w:bookmarkStart w:id="94" w:name="_Toc15664"/>
      <w:bookmarkStart w:id="95" w:name="_Toc17316"/>
      <w:r>
        <w:rPr>
          <w:rFonts w:hint="eastAsia" w:ascii="宋体" w:hAnsi="宋体" w:eastAsia="宋体" w:cs="宋体"/>
          <w:sz w:val="24"/>
        </w:rPr>
        <w:t>二、资金来源</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447A2A71">
      <w:pPr>
        <w:spacing w:line="400" w:lineRule="exact"/>
        <w:ind w:firstLine="480" w:firstLineChars="200"/>
        <w:rPr>
          <w:rFonts w:ascii="宋体" w:hAnsi="宋体" w:cs="宋体"/>
          <w:sz w:val="24"/>
          <w:szCs w:val="24"/>
        </w:rPr>
      </w:pPr>
      <w:r>
        <w:rPr>
          <w:rFonts w:hint="eastAsia" w:ascii="宋体" w:hAnsi="宋体" w:cs="宋体"/>
          <w:sz w:val="24"/>
          <w:szCs w:val="24"/>
        </w:rPr>
        <w:t>单位自筹资金，年采购预算暂估约190 万元，最终以服务期内实际采购金额据实结算。</w:t>
      </w:r>
    </w:p>
    <w:p w14:paraId="555128D5">
      <w:pPr>
        <w:pStyle w:val="3"/>
        <w:adjustRightInd w:val="0"/>
        <w:snapToGrid w:val="0"/>
        <w:spacing w:before="0" w:after="0" w:line="240" w:lineRule="auto"/>
        <w:ind w:firstLine="562" w:firstLineChars="200"/>
        <w:rPr>
          <w:rFonts w:ascii="宋体" w:hAnsi="宋体" w:eastAsia="宋体" w:cs="宋体"/>
          <w:sz w:val="28"/>
          <w:szCs w:val="21"/>
        </w:rPr>
      </w:pPr>
      <w:bookmarkStart w:id="96" w:name="_Toc26788"/>
      <w:bookmarkStart w:id="97" w:name="_Toc27170"/>
      <w:bookmarkStart w:id="98" w:name="_Toc25386"/>
      <w:r>
        <w:rPr>
          <w:rFonts w:hint="eastAsia" w:ascii="宋体" w:hAnsi="宋体" w:eastAsia="宋体" w:cs="宋体"/>
          <w:sz w:val="28"/>
          <w:szCs w:val="21"/>
        </w:rPr>
        <w:t>三、比选申请人资格条件</w:t>
      </w:r>
      <w:bookmarkEnd w:id="23"/>
      <w:bookmarkEnd w:id="24"/>
      <w:bookmarkEnd w:id="25"/>
      <w:bookmarkEnd w:id="26"/>
      <w:bookmarkEnd w:id="27"/>
      <w:bookmarkEnd w:id="28"/>
      <w:bookmarkEnd w:id="96"/>
      <w:bookmarkEnd w:id="97"/>
      <w:bookmarkEnd w:id="98"/>
    </w:p>
    <w:p w14:paraId="273B1978">
      <w:pPr>
        <w:spacing w:line="400" w:lineRule="exact"/>
        <w:ind w:firstLine="480" w:firstLineChars="200"/>
        <w:rPr>
          <w:rFonts w:ascii="宋体" w:hAnsi="宋体" w:cs="宋体"/>
          <w:sz w:val="24"/>
          <w:szCs w:val="24"/>
        </w:rPr>
      </w:pPr>
      <w:r>
        <w:rPr>
          <w:rFonts w:hint="eastAsia" w:ascii="宋体" w:hAnsi="宋体" w:cs="宋体"/>
          <w:sz w:val="24"/>
          <w:szCs w:val="24"/>
        </w:rPr>
        <w:t>（一）基本资格条件</w:t>
      </w:r>
    </w:p>
    <w:p w14:paraId="0C90E9B9">
      <w:pPr>
        <w:snapToGrid w:val="0"/>
        <w:spacing w:line="400" w:lineRule="exact"/>
        <w:ind w:firstLine="480" w:firstLineChars="200"/>
        <w:rPr>
          <w:rFonts w:ascii="宋体" w:hAnsi="宋体" w:cs="宋体"/>
          <w:sz w:val="24"/>
          <w:szCs w:val="24"/>
        </w:rPr>
      </w:pPr>
      <w:r>
        <w:rPr>
          <w:rFonts w:hint="eastAsia" w:ascii="宋体" w:hAnsi="宋体" w:cs="宋体"/>
          <w:sz w:val="24"/>
          <w:szCs w:val="24"/>
        </w:rPr>
        <w:t>1.具有独立承担民事责任的能力；</w:t>
      </w:r>
    </w:p>
    <w:p w14:paraId="6452451D">
      <w:pPr>
        <w:snapToGrid w:val="0"/>
        <w:spacing w:line="400" w:lineRule="exact"/>
        <w:ind w:firstLine="480" w:firstLineChars="200"/>
        <w:rPr>
          <w:rFonts w:ascii="宋体" w:hAnsi="宋体" w:cs="宋体"/>
          <w:sz w:val="24"/>
          <w:szCs w:val="24"/>
        </w:rPr>
      </w:pPr>
      <w:r>
        <w:rPr>
          <w:rFonts w:hint="eastAsia" w:ascii="宋体" w:hAnsi="宋体" w:cs="宋体"/>
          <w:sz w:val="24"/>
          <w:szCs w:val="24"/>
        </w:rPr>
        <w:t>2.具有良好的商业信誉和健全的财务会计制度；</w:t>
      </w:r>
    </w:p>
    <w:p w14:paraId="4F4EAC8A">
      <w:pPr>
        <w:snapToGrid w:val="0"/>
        <w:spacing w:line="400" w:lineRule="exact"/>
        <w:ind w:firstLine="480" w:firstLineChars="200"/>
        <w:rPr>
          <w:rFonts w:ascii="宋体" w:hAnsi="宋体" w:cs="宋体"/>
          <w:sz w:val="24"/>
          <w:szCs w:val="24"/>
        </w:rPr>
      </w:pPr>
      <w:r>
        <w:rPr>
          <w:rFonts w:hint="eastAsia" w:ascii="宋体" w:hAnsi="宋体" w:cs="宋体"/>
          <w:sz w:val="24"/>
          <w:szCs w:val="24"/>
        </w:rPr>
        <w:t>3.具有履行合同所必需的设备和专业技术能力；</w:t>
      </w:r>
    </w:p>
    <w:p w14:paraId="38A20173">
      <w:pPr>
        <w:snapToGrid w:val="0"/>
        <w:spacing w:line="400" w:lineRule="exact"/>
        <w:ind w:firstLine="480" w:firstLineChars="200"/>
        <w:rPr>
          <w:rFonts w:ascii="宋体" w:hAnsi="宋体" w:cs="宋体"/>
          <w:sz w:val="24"/>
          <w:szCs w:val="24"/>
        </w:rPr>
      </w:pPr>
      <w:r>
        <w:rPr>
          <w:rFonts w:hint="eastAsia" w:ascii="宋体" w:hAnsi="宋体" w:cs="宋体"/>
          <w:sz w:val="24"/>
          <w:szCs w:val="24"/>
        </w:rPr>
        <w:t>4.有依法缴纳税收和社会保障资金的良好记录；</w:t>
      </w:r>
    </w:p>
    <w:p w14:paraId="0299442C">
      <w:pPr>
        <w:spacing w:line="400" w:lineRule="exact"/>
        <w:ind w:firstLine="480" w:firstLineChars="200"/>
        <w:rPr>
          <w:rFonts w:ascii="宋体" w:hAnsi="宋体" w:cs="宋体"/>
          <w:sz w:val="24"/>
          <w:szCs w:val="24"/>
        </w:rPr>
      </w:pPr>
      <w:r>
        <w:rPr>
          <w:rFonts w:hint="eastAsia" w:ascii="宋体" w:hAnsi="宋体" w:cs="宋体"/>
          <w:sz w:val="24"/>
          <w:szCs w:val="24"/>
        </w:rPr>
        <w:t>5.参加采购活动前三年内，在经营活动中没有重大违法记录；</w:t>
      </w:r>
    </w:p>
    <w:p w14:paraId="6B952284">
      <w:pPr>
        <w:spacing w:line="400" w:lineRule="exact"/>
        <w:ind w:firstLine="480" w:firstLineChars="200"/>
        <w:rPr>
          <w:rFonts w:ascii="宋体" w:hAnsi="宋体" w:cs="宋体"/>
          <w:sz w:val="24"/>
          <w:szCs w:val="24"/>
        </w:rPr>
      </w:pPr>
      <w:r>
        <w:rPr>
          <w:rFonts w:hint="eastAsia" w:ascii="宋体" w:hAnsi="宋体" w:cs="宋体"/>
          <w:sz w:val="24"/>
          <w:szCs w:val="24"/>
        </w:rPr>
        <w:t>6.法律、行政法规规定的其他条件。</w:t>
      </w:r>
    </w:p>
    <w:p w14:paraId="29474959">
      <w:pPr>
        <w:spacing w:line="400" w:lineRule="exact"/>
        <w:ind w:firstLine="480" w:firstLineChars="200"/>
        <w:rPr>
          <w:rFonts w:ascii="宋体" w:hAnsi="宋体" w:cs="宋体"/>
          <w:sz w:val="24"/>
          <w:szCs w:val="24"/>
        </w:rPr>
      </w:pPr>
      <w:r>
        <w:rPr>
          <w:rFonts w:hint="eastAsia" w:ascii="宋体" w:hAnsi="宋体" w:cs="宋体"/>
          <w:sz w:val="24"/>
          <w:szCs w:val="24"/>
        </w:rPr>
        <w:t>（二）特定资格条件</w:t>
      </w:r>
    </w:p>
    <w:p w14:paraId="7010C5ED">
      <w:pPr>
        <w:snapToGrid w:val="0"/>
        <w:spacing w:line="400" w:lineRule="exact"/>
        <w:ind w:firstLine="480" w:firstLineChars="200"/>
        <w:rPr>
          <w:rFonts w:ascii="宋体" w:hAnsi="宋体" w:cs="宋体"/>
          <w:sz w:val="24"/>
          <w:szCs w:val="24"/>
        </w:rPr>
      </w:pPr>
      <w:r>
        <w:rPr>
          <w:rFonts w:hint="eastAsia" w:ascii="宋体" w:hAnsi="宋体" w:cs="宋体"/>
          <w:sz w:val="24"/>
          <w:szCs w:val="24"/>
        </w:rPr>
        <w:t>1.比选申请人须具备有效的《食品生产许可证》和《食品经营许可证》，提供证书复印件加盖比选申请人公章。</w:t>
      </w:r>
    </w:p>
    <w:p w14:paraId="794BB4CB">
      <w:pPr>
        <w:snapToGrid w:val="0"/>
        <w:spacing w:line="400" w:lineRule="exact"/>
        <w:ind w:firstLine="480" w:firstLineChars="200"/>
        <w:rPr>
          <w:rFonts w:ascii="宋体" w:hAnsi="宋体" w:cs="宋体"/>
          <w:sz w:val="24"/>
          <w:szCs w:val="24"/>
        </w:rPr>
      </w:pPr>
    </w:p>
    <w:bookmarkEnd w:id="29"/>
    <w:bookmarkEnd w:id="30"/>
    <w:p w14:paraId="1FD2131A">
      <w:pPr>
        <w:pStyle w:val="3"/>
        <w:adjustRightInd w:val="0"/>
        <w:snapToGrid w:val="0"/>
        <w:spacing w:before="0" w:after="0" w:line="240" w:lineRule="auto"/>
        <w:ind w:firstLine="562" w:firstLineChars="200"/>
        <w:rPr>
          <w:rFonts w:ascii="宋体" w:hAnsi="宋体" w:eastAsia="宋体" w:cs="宋体"/>
          <w:sz w:val="28"/>
          <w:szCs w:val="21"/>
        </w:rPr>
      </w:pPr>
      <w:bookmarkStart w:id="99" w:name="_Toc30708"/>
      <w:bookmarkStart w:id="100" w:name="_Toc14412"/>
      <w:bookmarkStart w:id="101" w:name="_Toc10793"/>
      <w:bookmarkStart w:id="102" w:name="_Toc17261"/>
      <w:bookmarkStart w:id="103" w:name="_Toc7636"/>
      <w:bookmarkStart w:id="104" w:name="_Toc22723"/>
      <w:bookmarkStart w:id="105" w:name="_Toc31094"/>
      <w:bookmarkStart w:id="106" w:name="_Toc21326"/>
      <w:bookmarkStart w:id="107" w:name="_Toc18204"/>
      <w:bookmarkStart w:id="108" w:name="_Toc3065"/>
      <w:bookmarkStart w:id="109" w:name="_Toc76462324"/>
      <w:r>
        <w:rPr>
          <w:rFonts w:hint="eastAsia" w:ascii="宋体" w:hAnsi="宋体" w:eastAsia="宋体" w:cs="宋体"/>
          <w:sz w:val="28"/>
          <w:szCs w:val="21"/>
        </w:rPr>
        <w:t>四、比选有关说明</w:t>
      </w:r>
      <w:bookmarkEnd w:id="99"/>
      <w:bookmarkEnd w:id="100"/>
      <w:bookmarkEnd w:id="101"/>
      <w:bookmarkEnd w:id="102"/>
      <w:bookmarkEnd w:id="103"/>
      <w:bookmarkEnd w:id="104"/>
      <w:bookmarkEnd w:id="105"/>
      <w:bookmarkEnd w:id="106"/>
      <w:bookmarkEnd w:id="107"/>
      <w:bookmarkEnd w:id="108"/>
    </w:p>
    <w:p w14:paraId="6E6E3C9C">
      <w:pPr>
        <w:wordWrap w:val="0"/>
        <w:snapToGrid w:val="0"/>
        <w:spacing w:line="360" w:lineRule="auto"/>
        <w:ind w:firstLine="480" w:firstLineChars="200"/>
        <w:rPr>
          <w:rFonts w:ascii="宋体" w:hAnsi="宋体" w:cs="宋体"/>
          <w:sz w:val="24"/>
          <w:szCs w:val="24"/>
        </w:rPr>
      </w:pPr>
      <w:bookmarkStart w:id="110" w:name="_Toc373860294"/>
      <w:bookmarkStart w:id="111" w:name="_Toc2010"/>
      <w:bookmarkStart w:id="112" w:name="_Toc19157"/>
      <w:r>
        <w:rPr>
          <w:rFonts w:hint="eastAsia" w:ascii="宋体" w:hAnsi="宋体" w:cs="宋体"/>
          <w:sz w:val="24"/>
          <w:szCs w:val="24"/>
        </w:rPr>
        <w:t>（一）凡有意参加比选的比选申请人，请在“行采家”（https://www.gec123.com/）网上下载本项目竞争性比选文件以及</w:t>
      </w:r>
      <w:r>
        <w:rPr>
          <w:rFonts w:hint="eastAsia" w:ascii="宋体" w:hAnsi="宋体" w:cs="宋体"/>
          <w:sz w:val="24"/>
          <w:szCs w:val="24"/>
          <w:lang w:val="en-US" w:eastAsia="zh-CN"/>
        </w:rPr>
        <w:t>答疑</w:t>
      </w:r>
      <w:r>
        <w:rPr>
          <w:rFonts w:hint="eastAsia" w:ascii="宋体" w:hAnsi="宋体" w:cs="宋体"/>
          <w:sz w:val="24"/>
          <w:szCs w:val="24"/>
        </w:rPr>
        <w:t>补遗等项目资料，无论比选申请人下载与否，均视为已知晓所有比选实质性要求内容。</w:t>
      </w:r>
    </w:p>
    <w:p w14:paraId="295D9824">
      <w:pPr>
        <w:wordWrap w:val="0"/>
        <w:snapToGrid w:val="0"/>
        <w:spacing w:line="360" w:lineRule="auto"/>
        <w:ind w:firstLine="480" w:firstLineChars="200"/>
        <w:rPr>
          <w:rFonts w:ascii="宋体" w:hAnsi="宋体" w:cs="宋体"/>
          <w:sz w:val="24"/>
          <w:szCs w:val="24"/>
        </w:rPr>
      </w:pPr>
      <w:r>
        <w:rPr>
          <w:rFonts w:hint="eastAsia" w:ascii="宋体" w:hAnsi="宋体" w:cs="宋体"/>
          <w:sz w:val="24"/>
          <w:szCs w:val="24"/>
        </w:rPr>
        <w:t>（二）竞争性比选文件发售</w:t>
      </w:r>
    </w:p>
    <w:p w14:paraId="6A639540">
      <w:pPr>
        <w:wordWrap w:val="0"/>
        <w:snapToGrid w:val="0"/>
        <w:spacing w:line="360" w:lineRule="auto"/>
        <w:ind w:firstLine="480" w:firstLineChars="200"/>
        <w:rPr>
          <w:rFonts w:ascii="宋体" w:hAnsi="宋体" w:cs="宋体"/>
          <w:sz w:val="24"/>
          <w:szCs w:val="24"/>
        </w:rPr>
      </w:pPr>
      <w:r>
        <w:rPr>
          <w:rFonts w:hint="eastAsia" w:ascii="宋体" w:hAnsi="宋体" w:cs="宋体"/>
          <w:sz w:val="24"/>
          <w:szCs w:val="24"/>
        </w:rPr>
        <w:t>1.时间：2025年10月</w:t>
      </w:r>
      <w:r>
        <w:rPr>
          <w:rFonts w:hint="eastAsia" w:ascii="宋体" w:hAnsi="宋体" w:cs="宋体"/>
          <w:sz w:val="24"/>
          <w:szCs w:val="24"/>
          <w:lang w:val="en-US" w:eastAsia="zh-CN"/>
        </w:rPr>
        <w:t>15</w:t>
      </w:r>
      <w:r>
        <w:rPr>
          <w:rFonts w:hint="eastAsia" w:ascii="宋体" w:hAnsi="宋体" w:cs="宋体"/>
          <w:sz w:val="24"/>
          <w:szCs w:val="24"/>
        </w:rPr>
        <w:t>日-2025年10月</w:t>
      </w:r>
      <w:r>
        <w:rPr>
          <w:rFonts w:hint="eastAsia" w:ascii="宋体" w:hAnsi="宋体" w:cs="宋体"/>
          <w:sz w:val="24"/>
          <w:szCs w:val="24"/>
          <w:lang w:val="en-US" w:eastAsia="zh-CN"/>
        </w:rPr>
        <w:t>23</w:t>
      </w:r>
      <w:r>
        <w:rPr>
          <w:rFonts w:hint="eastAsia" w:ascii="宋体" w:hAnsi="宋体" w:cs="宋体"/>
          <w:sz w:val="24"/>
          <w:szCs w:val="24"/>
        </w:rPr>
        <w:t>日09时00分</w:t>
      </w:r>
    </w:p>
    <w:p w14:paraId="1261B97B">
      <w:pPr>
        <w:wordWrap w:val="0"/>
        <w:snapToGrid w:val="0"/>
        <w:spacing w:line="360" w:lineRule="auto"/>
        <w:ind w:firstLine="480" w:firstLineChars="200"/>
        <w:rPr>
          <w:rFonts w:ascii="宋体" w:hAnsi="宋体" w:cs="宋体"/>
          <w:sz w:val="24"/>
          <w:szCs w:val="24"/>
        </w:rPr>
      </w:pPr>
      <w:r>
        <w:rPr>
          <w:rFonts w:hint="eastAsia" w:ascii="宋体" w:hAnsi="宋体" w:cs="宋体"/>
          <w:sz w:val="24"/>
          <w:szCs w:val="24"/>
        </w:rPr>
        <w:t>2.售价：人民币500元/份（售后不退）（注:该费用线下递交比选申请文件时递交）</w:t>
      </w:r>
    </w:p>
    <w:p w14:paraId="5E15A457">
      <w:pPr>
        <w:snapToGrid w:val="0"/>
        <w:spacing w:line="360" w:lineRule="auto"/>
        <w:ind w:firstLine="480" w:firstLineChars="200"/>
        <w:rPr>
          <w:rFonts w:hint="eastAsia" w:ascii="宋体" w:hAnsi="宋体" w:cs="宋体"/>
          <w:sz w:val="24"/>
          <w:szCs w:val="24"/>
        </w:rPr>
      </w:pPr>
      <w:bookmarkStart w:id="113" w:name="_Toc493506282"/>
      <w:bookmarkStart w:id="114" w:name="_Toc24881"/>
      <w:bookmarkStart w:id="115" w:name="_Toc22233"/>
      <w:bookmarkStart w:id="116" w:name="_Toc31488"/>
      <w:r>
        <w:rPr>
          <w:rFonts w:hint="eastAsia" w:ascii="宋体" w:hAnsi="宋体" w:cs="宋体"/>
          <w:sz w:val="24"/>
          <w:szCs w:val="24"/>
        </w:rPr>
        <w:t>（三）比选申请人</w:t>
      </w:r>
      <w:r>
        <w:rPr>
          <w:rFonts w:hint="eastAsia" w:ascii="宋体" w:hAnsi="宋体" w:cs="宋体"/>
          <w:sz w:val="24"/>
          <w:szCs w:val="24"/>
          <w:lang w:val="en-US" w:eastAsia="zh-CN"/>
        </w:rPr>
        <w:t>如</w:t>
      </w:r>
      <w:r>
        <w:rPr>
          <w:rFonts w:hint="eastAsia" w:ascii="宋体" w:hAnsi="宋体" w:cs="宋体"/>
          <w:sz w:val="24"/>
          <w:szCs w:val="24"/>
        </w:rPr>
        <w:t>有疑问请于2025年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17</w:t>
      </w:r>
      <w:r>
        <w:rPr>
          <w:rFonts w:hint="eastAsia" w:ascii="宋体" w:hAnsi="宋体" w:cs="宋体"/>
          <w:sz w:val="24"/>
          <w:szCs w:val="24"/>
        </w:rPr>
        <w:t>日09时00分前将质疑内容匿名发送至比选代理机构邮箱中（邮箱号258626924@qq.com）。2025年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17</w:t>
      </w:r>
      <w:r>
        <w:rPr>
          <w:rFonts w:hint="eastAsia" w:ascii="宋体" w:hAnsi="宋体" w:cs="宋体"/>
          <w:sz w:val="24"/>
          <w:szCs w:val="24"/>
        </w:rPr>
        <w:t>日09时00分后，若比选申请人仍有质疑，可通过上述邮箱提交至比选代理机构，比选人将视情况决定是否作答；</w:t>
      </w:r>
    </w:p>
    <w:p w14:paraId="1B140967">
      <w:pPr>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）比选人应于2025年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20</w:t>
      </w:r>
      <w:r>
        <w:rPr>
          <w:rFonts w:hint="eastAsia" w:ascii="宋体" w:hAnsi="宋体" w:cs="宋体"/>
          <w:sz w:val="24"/>
          <w:szCs w:val="24"/>
        </w:rPr>
        <w:t>日18时00分（北京时间）前在行采家（https://www.gec123.com/）发布答疑或补遗。</w:t>
      </w:r>
    </w:p>
    <w:p w14:paraId="649C3DD5">
      <w:pPr>
        <w:snapToGrid w:val="0"/>
        <w:spacing w:line="360" w:lineRule="auto"/>
        <w:ind w:firstLine="480" w:firstLineChars="200"/>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五</w:t>
      </w:r>
      <w:r>
        <w:rPr>
          <w:rFonts w:hint="eastAsia" w:ascii="宋体" w:hAnsi="宋体" w:cs="宋体"/>
          <w:sz w:val="24"/>
          <w:szCs w:val="24"/>
        </w:rPr>
        <w:t>）比选申请文件上传要求</w:t>
      </w:r>
    </w:p>
    <w:p w14:paraId="210F7EB9">
      <w:pPr>
        <w:snapToGrid w:val="0"/>
        <w:spacing w:line="440" w:lineRule="exact"/>
        <w:ind w:firstLine="482" w:firstLineChars="200"/>
        <w:rPr>
          <w:rFonts w:ascii="宋体" w:hAnsi="宋体" w:cs="宋体"/>
          <w:b/>
          <w:bCs/>
          <w:sz w:val="24"/>
          <w:szCs w:val="24"/>
        </w:rPr>
      </w:pPr>
      <w:r>
        <w:rPr>
          <w:rFonts w:hint="eastAsia" w:ascii="宋体" w:hAnsi="宋体" w:cs="宋体"/>
          <w:b/>
          <w:bCs/>
          <w:sz w:val="24"/>
          <w:szCs w:val="24"/>
        </w:rPr>
        <w:t>比选申请人须按本项目规定时间在“行采家”网站（https://www.gec123.com/）按要求上传签字盖章齐全的比选申请文件扫描件，未按要求提供的为无效比选申请人。</w:t>
      </w:r>
    </w:p>
    <w:p w14:paraId="27944477">
      <w:pPr>
        <w:snapToGrid w:val="0"/>
        <w:spacing w:line="440" w:lineRule="exact"/>
        <w:ind w:firstLine="480" w:firstLineChars="200"/>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六</w:t>
      </w:r>
      <w:r>
        <w:rPr>
          <w:rFonts w:hint="eastAsia" w:ascii="宋体" w:hAnsi="宋体" w:cs="宋体"/>
          <w:sz w:val="24"/>
          <w:szCs w:val="24"/>
        </w:rPr>
        <w:t>）比选申请人须知</w:t>
      </w:r>
    </w:p>
    <w:p w14:paraId="69155204">
      <w:pPr>
        <w:snapToGrid w:val="0"/>
        <w:spacing w:line="440" w:lineRule="exact"/>
        <w:ind w:firstLine="480" w:firstLineChars="200"/>
        <w:rPr>
          <w:rFonts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本项目采取</w:t>
      </w:r>
      <w:r>
        <w:rPr>
          <w:rFonts w:hint="eastAsia" w:ascii="宋体" w:hAnsi="宋体" w:cs="宋体"/>
          <w:b/>
          <w:bCs/>
          <w:sz w:val="24"/>
          <w:szCs w:val="24"/>
        </w:rPr>
        <w:t>线上线下相结合</w:t>
      </w:r>
      <w:r>
        <w:rPr>
          <w:rFonts w:hint="eastAsia" w:ascii="宋体" w:hAnsi="宋体" w:cs="宋体"/>
          <w:sz w:val="24"/>
          <w:szCs w:val="24"/>
        </w:rPr>
        <w:t>的方式进行比选申请报价，比选申请人须在规定时间内完成线上及线下比选申请文件的提交，且线上线下递交的比选申请文件内容须保持一致，如不一致以纸质文件正本为准。</w:t>
      </w:r>
    </w:p>
    <w:p w14:paraId="5787DFD1">
      <w:pPr>
        <w:snapToGrid w:val="0"/>
        <w:spacing w:line="44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2.线上报价时间：2025年10月23日09时00分-11时00分（北京时间）。</w:t>
      </w:r>
    </w:p>
    <w:p w14:paraId="16C11A33">
      <w:pPr>
        <w:snapToGrid w:val="0"/>
        <w:spacing w:line="440" w:lineRule="exact"/>
        <w:ind w:firstLine="480" w:firstLineChars="200"/>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线下比选地点：重庆天骄工程项目管理有限公司会议室</w:t>
      </w:r>
    </w:p>
    <w:p w14:paraId="6321268D">
      <w:pPr>
        <w:snapToGrid w:val="0"/>
        <w:spacing w:line="440" w:lineRule="exact"/>
        <w:ind w:left="476" w:leftChars="170"/>
        <w:rPr>
          <w:rFonts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线下比选申请文件递交时间：2025年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23</w:t>
      </w:r>
      <w:r>
        <w:rPr>
          <w:rFonts w:hint="eastAsia" w:ascii="宋体" w:hAnsi="宋体" w:cs="宋体"/>
          <w:sz w:val="24"/>
          <w:szCs w:val="24"/>
        </w:rPr>
        <w:t>日北京时间14:00至14:30。</w:t>
      </w:r>
      <w:r>
        <w:rPr>
          <w:rFonts w:hint="eastAsia" w:ascii="宋体" w:hAnsi="宋体" w:cs="宋体"/>
          <w:sz w:val="24"/>
          <w:szCs w:val="24"/>
        </w:rPr>
        <w:br w:type="textWrapping"/>
      </w:r>
      <w:r>
        <w:rPr>
          <w:rFonts w:hint="eastAsia" w:ascii="宋体" w:hAnsi="宋体" w:cs="宋体"/>
          <w:sz w:val="24"/>
          <w:szCs w:val="24"/>
          <w:lang w:val="en-US" w:eastAsia="zh-CN"/>
        </w:rPr>
        <w:t>5.</w:t>
      </w:r>
      <w:r>
        <w:rPr>
          <w:rFonts w:hint="eastAsia" w:ascii="宋体" w:hAnsi="宋体" w:cs="宋体"/>
          <w:sz w:val="24"/>
          <w:szCs w:val="24"/>
        </w:rPr>
        <w:t>线下比选申请截止时间：2025年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23</w:t>
      </w:r>
      <w:r>
        <w:rPr>
          <w:rFonts w:hint="eastAsia" w:ascii="宋体" w:hAnsi="宋体" w:cs="宋体"/>
          <w:sz w:val="24"/>
          <w:szCs w:val="24"/>
        </w:rPr>
        <w:t>日北京时间14:30。</w:t>
      </w:r>
    </w:p>
    <w:p w14:paraId="6F0A9C6E">
      <w:pPr>
        <w:snapToGrid w:val="0"/>
        <w:spacing w:line="440" w:lineRule="exact"/>
        <w:ind w:firstLine="480" w:firstLineChars="200"/>
        <w:rPr>
          <w:rFonts w:ascii="宋体" w:hAnsi="宋体" w:cs="宋体"/>
          <w:sz w:val="24"/>
          <w:szCs w:val="24"/>
        </w:rPr>
      </w:pPr>
      <w:r>
        <w:rPr>
          <w:rFonts w:hint="eastAsia" w:ascii="宋体" w:hAnsi="宋体" w:cs="宋体"/>
          <w:sz w:val="24"/>
          <w:szCs w:val="24"/>
          <w:lang w:val="en-US" w:eastAsia="zh-CN"/>
        </w:rPr>
        <w:t>6.</w:t>
      </w:r>
      <w:r>
        <w:rPr>
          <w:rFonts w:hint="eastAsia" w:ascii="宋体" w:hAnsi="宋体" w:cs="宋体"/>
          <w:sz w:val="24"/>
          <w:szCs w:val="24"/>
        </w:rPr>
        <w:t>线下开标时间：2025年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23</w:t>
      </w:r>
      <w:r>
        <w:rPr>
          <w:rFonts w:hint="eastAsia" w:ascii="宋体" w:hAnsi="宋体" w:cs="宋体"/>
          <w:sz w:val="24"/>
          <w:szCs w:val="24"/>
        </w:rPr>
        <w:t xml:space="preserve"> 日北京时间14:30。</w:t>
      </w:r>
    </w:p>
    <w:p w14:paraId="4A909168">
      <w:pPr>
        <w:snapToGrid w:val="0"/>
        <w:spacing w:line="440" w:lineRule="exact"/>
        <w:ind w:firstLine="480" w:firstLineChars="200"/>
        <w:rPr>
          <w:rFonts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线下开标地点：同线下比选地点。</w:t>
      </w:r>
    </w:p>
    <w:bookmarkEnd w:id="110"/>
    <w:bookmarkEnd w:id="111"/>
    <w:bookmarkEnd w:id="112"/>
    <w:bookmarkEnd w:id="113"/>
    <w:bookmarkEnd w:id="114"/>
    <w:bookmarkEnd w:id="115"/>
    <w:bookmarkEnd w:id="116"/>
    <w:p w14:paraId="227525A5">
      <w:pPr>
        <w:pStyle w:val="3"/>
        <w:adjustRightInd w:val="0"/>
        <w:snapToGrid w:val="0"/>
        <w:spacing w:before="0" w:after="0" w:line="240" w:lineRule="auto"/>
        <w:ind w:firstLine="562" w:firstLineChars="200"/>
        <w:rPr>
          <w:rFonts w:hint="eastAsia" w:ascii="宋体" w:hAnsi="宋体" w:eastAsia="宋体" w:cs="宋体"/>
          <w:sz w:val="28"/>
          <w:szCs w:val="21"/>
        </w:rPr>
      </w:pPr>
      <w:bookmarkStart w:id="117" w:name="_Toc12929"/>
      <w:bookmarkStart w:id="118" w:name="_Toc4952"/>
      <w:bookmarkStart w:id="119" w:name="_Toc6688"/>
      <w:bookmarkStart w:id="120" w:name="_Toc4278"/>
      <w:bookmarkStart w:id="121" w:name="_Toc14143"/>
      <w:bookmarkStart w:id="122" w:name="_Toc480466699"/>
      <w:bookmarkStart w:id="123" w:name="_Toc21629"/>
      <w:bookmarkStart w:id="124" w:name="_Toc18027"/>
      <w:bookmarkStart w:id="125" w:name="_Toc14251"/>
      <w:bookmarkStart w:id="126" w:name="_Toc480466700"/>
      <w:bookmarkStart w:id="127" w:name="_Toc20210"/>
      <w:bookmarkStart w:id="128" w:name="_Toc20881"/>
      <w:r>
        <w:rPr>
          <w:rFonts w:hint="eastAsia" w:ascii="宋体" w:hAnsi="宋体" w:eastAsia="宋体" w:cs="宋体"/>
          <w:sz w:val="28"/>
          <w:szCs w:val="21"/>
        </w:rPr>
        <w:t>五、比选申请保证金</w:t>
      </w:r>
      <w:bookmarkEnd w:id="117"/>
    </w:p>
    <w:p w14:paraId="5075E64A">
      <w:pPr>
        <w:spacing w:line="360" w:lineRule="auto"/>
        <w:ind w:firstLine="360" w:firstLineChars="150"/>
        <w:rPr>
          <w:rFonts w:ascii="宋体" w:hAnsi="宋体" w:cs="宋体"/>
          <w:sz w:val="24"/>
          <w:szCs w:val="24"/>
        </w:rPr>
      </w:pPr>
      <w:r>
        <w:rPr>
          <w:rFonts w:hint="eastAsia" w:ascii="宋体" w:hAnsi="宋体" w:cs="宋体"/>
          <w:sz w:val="24"/>
          <w:szCs w:val="24"/>
        </w:rPr>
        <w:t>（一）比选申请保证金递交</w:t>
      </w:r>
    </w:p>
    <w:p w14:paraId="2C82F8EF">
      <w:pPr>
        <w:spacing w:line="360" w:lineRule="auto"/>
        <w:ind w:firstLine="360" w:firstLineChars="150"/>
        <w:rPr>
          <w:rFonts w:ascii="宋体" w:hAnsi="宋体" w:cs="宋体"/>
          <w:sz w:val="24"/>
          <w:szCs w:val="24"/>
        </w:rPr>
      </w:pPr>
      <w:r>
        <w:rPr>
          <w:rFonts w:hint="eastAsia" w:ascii="宋体" w:hAnsi="宋体" w:cs="宋体"/>
          <w:sz w:val="24"/>
          <w:szCs w:val="24"/>
        </w:rPr>
        <w:t>1.转账方式</w:t>
      </w:r>
    </w:p>
    <w:p w14:paraId="7D631C44">
      <w:pPr>
        <w:spacing w:line="360" w:lineRule="auto"/>
        <w:ind w:firstLine="360" w:firstLineChars="150"/>
        <w:rPr>
          <w:rFonts w:ascii="宋体" w:hAnsi="宋体" w:cs="宋体"/>
          <w:sz w:val="24"/>
          <w:szCs w:val="24"/>
        </w:rPr>
      </w:pPr>
      <w:r>
        <w:rPr>
          <w:rFonts w:hint="eastAsia" w:ascii="宋体" w:hAnsi="宋体" w:cs="宋体"/>
          <w:sz w:val="24"/>
          <w:szCs w:val="24"/>
        </w:rPr>
        <w:t>1.1供应商应足额交纳比选申请保证金（保证金金额详见本篇，一、比选项目内容），并汇至所投包对应的以下账户，比选申请保证金的到账截止时间2025年10月</w:t>
      </w:r>
      <w:r>
        <w:rPr>
          <w:rFonts w:hint="eastAsia" w:ascii="宋体" w:hAnsi="宋体" w:cs="宋体"/>
          <w:sz w:val="24"/>
          <w:szCs w:val="24"/>
          <w:lang w:val="en-US" w:eastAsia="zh-CN"/>
        </w:rPr>
        <w:t>23</w:t>
      </w:r>
      <w:r>
        <w:rPr>
          <w:rFonts w:hint="eastAsia" w:ascii="宋体" w:hAnsi="宋体" w:cs="宋体"/>
          <w:sz w:val="24"/>
          <w:szCs w:val="24"/>
        </w:rPr>
        <w:t>日11时00分（北京时间）。</w:t>
      </w:r>
    </w:p>
    <w:p w14:paraId="1AB0D87C">
      <w:pPr>
        <w:spacing w:line="360" w:lineRule="auto"/>
        <w:ind w:firstLine="360" w:firstLineChars="150"/>
        <w:rPr>
          <w:rFonts w:ascii="宋体" w:hAnsi="宋体" w:cs="宋体"/>
          <w:sz w:val="24"/>
          <w:szCs w:val="24"/>
        </w:rPr>
      </w:pPr>
      <w:r>
        <w:rPr>
          <w:rFonts w:hint="eastAsia" w:ascii="宋体" w:hAnsi="宋体" w:cs="宋体"/>
          <w:sz w:val="24"/>
          <w:szCs w:val="24"/>
        </w:rPr>
        <w:t>比选申请保证金账户：113007549798</w:t>
      </w:r>
    </w:p>
    <w:p w14:paraId="21CB0AC2">
      <w:pPr>
        <w:spacing w:line="360" w:lineRule="auto"/>
        <w:ind w:firstLine="360" w:firstLineChars="150"/>
        <w:rPr>
          <w:rFonts w:ascii="宋体" w:hAnsi="宋体" w:cs="宋体"/>
          <w:sz w:val="24"/>
          <w:szCs w:val="24"/>
        </w:rPr>
      </w:pPr>
      <w:r>
        <w:rPr>
          <w:rFonts w:hint="eastAsia" w:ascii="宋体" w:hAnsi="宋体" w:cs="宋体"/>
          <w:sz w:val="24"/>
          <w:szCs w:val="24"/>
        </w:rPr>
        <w:t>户  名：重庆天骄工程项目管理有限公司</w:t>
      </w:r>
    </w:p>
    <w:p w14:paraId="0B219510">
      <w:pPr>
        <w:spacing w:line="360" w:lineRule="auto"/>
        <w:ind w:firstLine="360" w:firstLineChars="150"/>
        <w:rPr>
          <w:rFonts w:ascii="宋体" w:hAnsi="宋体" w:cs="宋体"/>
          <w:sz w:val="24"/>
          <w:szCs w:val="24"/>
        </w:rPr>
      </w:pPr>
      <w:r>
        <w:rPr>
          <w:rFonts w:hint="eastAsia" w:ascii="宋体" w:hAnsi="宋体" w:cs="宋体"/>
          <w:sz w:val="24"/>
          <w:szCs w:val="24"/>
        </w:rPr>
        <w:t>开户行：中国银行重庆鹅岭支行</w:t>
      </w:r>
    </w:p>
    <w:p w14:paraId="05CC5DAA">
      <w:pPr>
        <w:spacing w:line="360" w:lineRule="auto"/>
        <w:ind w:firstLine="360" w:firstLineChars="150"/>
        <w:rPr>
          <w:rFonts w:ascii="宋体" w:hAnsi="宋体" w:cs="宋体"/>
          <w:sz w:val="24"/>
          <w:szCs w:val="24"/>
        </w:rPr>
      </w:pPr>
      <w:r>
        <w:rPr>
          <w:rFonts w:hint="eastAsia" w:ascii="宋体" w:hAnsi="宋体" w:cs="宋体"/>
          <w:sz w:val="24"/>
          <w:szCs w:val="24"/>
        </w:rPr>
        <w:t>1.2各供应商在银行转账（电汇）时，须充分考虑银行转账（电汇）的时间差风险，如同城转账、异地转账或汇款、跨行转账或电汇的时间要求。</w:t>
      </w:r>
    </w:p>
    <w:p w14:paraId="3CB3CE7B">
      <w:pPr>
        <w:spacing w:line="360" w:lineRule="auto"/>
        <w:ind w:firstLine="360" w:firstLineChars="150"/>
        <w:rPr>
          <w:rFonts w:ascii="宋体" w:hAnsi="宋体" w:cs="宋体"/>
          <w:sz w:val="24"/>
          <w:szCs w:val="24"/>
        </w:rPr>
      </w:pPr>
      <w:r>
        <w:rPr>
          <w:rFonts w:hint="eastAsia" w:ascii="宋体" w:hAnsi="宋体" w:cs="宋体"/>
          <w:sz w:val="24"/>
          <w:szCs w:val="24"/>
        </w:rPr>
        <w:t>（二）保证金退还方式</w:t>
      </w:r>
    </w:p>
    <w:p w14:paraId="3251FCAD">
      <w:pPr>
        <w:spacing w:line="360" w:lineRule="auto"/>
        <w:ind w:firstLine="360" w:firstLineChars="150"/>
        <w:rPr>
          <w:rFonts w:ascii="宋体" w:hAnsi="宋体" w:cs="宋体"/>
          <w:sz w:val="24"/>
          <w:szCs w:val="24"/>
        </w:rPr>
      </w:pPr>
      <w:r>
        <w:rPr>
          <w:rFonts w:hint="eastAsia" w:ascii="宋体" w:hAnsi="宋体" w:cs="宋体"/>
          <w:sz w:val="24"/>
          <w:szCs w:val="24"/>
        </w:rPr>
        <w:t>1.未中选供应商的保证金，在中选通知书发放后，在五个工作日内按来款渠道直接退还。</w:t>
      </w:r>
    </w:p>
    <w:p w14:paraId="18472BB4">
      <w:pPr>
        <w:spacing w:line="360" w:lineRule="auto"/>
        <w:ind w:firstLine="360" w:firstLineChars="150"/>
        <w:rPr>
          <w:rFonts w:ascii="宋体" w:hAnsi="宋体" w:cs="宋体"/>
          <w:sz w:val="24"/>
          <w:szCs w:val="24"/>
        </w:rPr>
      </w:pPr>
      <w:r>
        <w:rPr>
          <w:rFonts w:hint="eastAsia" w:ascii="宋体" w:hAnsi="宋体" w:cs="宋体"/>
          <w:sz w:val="24"/>
          <w:szCs w:val="24"/>
        </w:rPr>
        <w:t>2.中选供应商的比选申请保证金，在中选人与比选人签订合同后，在五个工作日内按资金来款渠道直接退还。</w:t>
      </w:r>
    </w:p>
    <w:p w14:paraId="57A51026">
      <w:pPr>
        <w:pStyle w:val="3"/>
        <w:adjustRightInd w:val="0"/>
        <w:snapToGrid w:val="0"/>
        <w:spacing w:before="0" w:after="0" w:line="360" w:lineRule="auto"/>
        <w:rPr>
          <w:rFonts w:ascii="宋体" w:hAnsi="宋体" w:eastAsia="宋体" w:cs="宋体"/>
          <w:sz w:val="28"/>
          <w:szCs w:val="21"/>
        </w:rPr>
      </w:pPr>
      <w:bookmarkStart w:id="129" w:name="_Toc18301"/>
      <w:bookmarkStart w:id="130" w:name="_Toc8916"/>
      <w:bookmarkStart w:id="131" w:name="_Toc12795"/>
      <w:r>
        <w:rPr>
          <w:rFonts w:hint="eastAsia" w:ascii="宋体" w:hAnsi="宋体" w:eastAsia="宋体" w:cs="宋体"/>
          <w:sz w:val="28"/>
          <w:szCs w:val="21"/>
        </w:rPr>
        <w:t>六、其它有关规定</w:t>
      </w:r>
      <w:bookmarkEnd w:id="118"/>
      <w:bookmarkEnd w:id="119"/>
      <w:bookmarkEnd w:id="120"/>
      <w:bookmarkEnd w:id="121"/>
      <w:bookmarkEnd w:id="122"/>
      <w:bookmarkEnd w:id="123"/>
      <w:bookmarkEnd w:id="124"/>
      <w:bookmarkEnd w:id="125"/>
      <w:bookmarkEnd w:id="129"/>
      <w:bookmarkEnd w:id="130"/>
      <w:bookmarkEnd w:id="131"/>
    </w:p>
    <w:p w14:paraId="5BF42C14">
      <w:pPr>
        <w:snapToGrid w:val="0"/>
        <w:spacing w:line="360" w:lineRule="auto"/>
        <w:ind w:firstLine="360" w:firstLineChars="150"/>
        <w:rPr>
          <w:rFonts w:ascii="宋体" w:hAnsi="宋体" w:cs="宋体"/>
          <w:sz w:val="24"/>
          <w:szCs w:val="24"/>
        </w:rPr>
      </w:pPr>
      <w:r>
        <w:rPr>
          <w:rFonts w:hint="eastAsia" w:ascii="宋体" w:hAnsi="宋体" w:cs="宋体"/>
          <w:sz w:val="24"/>
          <w:szCs w:val="24"/>
        </w:rPr>
        <w:t>（一）单位负责人为同一人或者存在直接控股、管理关系的不同比选申请人，不得参加同一合同项（包）下的采购活动，否则均为无效比选申请。</w:t>
      </w:r>
    </w:p>
    <w:p w14:paraId="6CF5BBC7">
      <w:pPr>
        <w:snapToGrid w:val="0"/>
        <w:spacing w:line="360" w:lineRule="auto"/>
        <w:ind w:firstLine="360" w:firstLineChars="150"/>
        <w:rPr>
          <w:rFonts w:ascii="宋体" w:hAnsi="宋体" w:cs="宋体"/>
          <w:sz w:val="24"/>
          <w:szCs w:val="24"/>
        </w:rPr>
      </w:pPr>
      <w:r>
        <w:rPr>
          <w:rFonts w:hint="eastAsia" w:ascii="宋体" w:hAnsi="宋体" w:cs="宋体"/>
          <w:sz w:val="24"/>
          <w:szCs w:val="24"/>
        </w:rPr>
        <w:t>（二）为采购项目提供规范编制或者项目管理、监理、检测等服务的比选申请人，不得再参加该采购项目的其他采购活动。</w:t>
      </w:r>
    </w:p>
    <w:p w14:paraId="063C3C00">
      <w:pPr>
        <w:snapToGrid w:val="0"/>
        <w:spacing w:line="360" w:lineRule="auto"/>
        <w:ind w:firstLine="360" w:firstLineChars="150"/>
        <w:rPr>
          <w:rFonts w:ascii="宋体" w:hAnsi="宋体" w:cs="宋体"/>
          <w:sz w:val="24"/>
          <w:szCs w:val="24"/>
        </w:rPr>
      </w:pPr>
      <w:r>
        <w:rPr>
          <w:rFonts w:hint="eastAsia" w:ascii="宋体" w:hAnsi="宋体" w:cs="宋体"/>
          <w:sz w:val="24"/>
          <w:szCs w:val="24"/>
        </w:rPr>
        <w:t>（三）本项目的澄清文件（如果有）一律在“行采家”（https://www.gec123.com/）网站上发布，请各比选申请人注意下载；无论比选申请人下载与否，均视同比选申请人已知晓本项目澄清文件（如果有）的内容。</w:t>
      </w:r>
    </w:p>
    <w:p w14:paraId="1E3E7429">
      <w:pPr>
        <w:snapToGrid w:val="0"/>
        <w:spacing w:line="360" w:lineRule="auto"/>
        <w:ind w:firstLine="360" w:firstLineChars="150"/>
        <w:rPr>
          <w:rFonts w:ascii="宋体" w:hAnsi="宋体" w:cs="宋体"/>
          <w:sz w:val="24"/>
          <w:szCs w:val="24"/>
        </w:rPr>
      </w:pPr>
      <w:r>
        <w:rPr>
          <w:rFonts w:hint="eastAsia" w:ascii="宋体" w:hAnsi="宋体" w:cs="宋体"/>
          <w:sz w:val="24"/>
          <w:szCs w:val="24"/>
        </w:rPr>
        <w:t>（四）超过比选申请文件截止时间递交的比选申请文件，恕不接收。</w:t>
      </w:r>
    </w:p>
    <w:p w14:paraId="5835B828">
      <w:pPr>
        <w:snapToGrid w:val="0"/>
        <w:spacing w:line="360" w:lineRule="auto"/>
        <w:ind w:firstLine="360" w:firstLineChars="150"/>
        <w:rPr>
          <w:rFonts w:ascii="宋体" w:hAnsi="宋体" w:cs="宋体"/>
          <w:sz w:val="24"/>
          <w:szCs w:val="24"/>
        </w:rPr>
      </w:pPr>
      <w:r>
        <w:rPr>
          <w:rFonts w:hint="eastAsia" w:ascii="宋体" w:hAnsi="宋体" w:cs="宋体"/>
          <w:sz w:val="24"/>
          <w:szCs w:val="24"/>
        </w:rPr>
        <w:t>（五）比选费用：无论比选结果如何，比选申请人参与本项目比选的所有费用均应由比选申请人自行承担。</w:t>
      </w:r>
    </w:p>
    <w:p w14:paraId="39D4019F">
      <w:pPr>
        <w:snapToGrid w:val="0"/>
        <w:spacing w:line="360" w:lineRule="auto"/>
        <w:ind w:firstLine="360" w:firstLineChars="150"/>
        <w:rPr>
          <w:rFonts w:ascii="宋体" w:hAnsi="宋体" w:cs="宋体"/>
          <w:b/>
          <w:sz w:val="24"/>
          <w:szCs w:val="24"/>
        </w:rPr>
      </w:pPr>
      <w:r>
        <w:rPr>
          <w:rFonts w:hint="eastAsia" w:ascii="宋体" w:hAnsi="宋体" w:cs="宋体"/>
          <w:sz w:val="24"/>
          <w:szCs w:val="24"/>
        </w:rPr>
        <w:t>（六）</w:t>
      </w:r>
      <w:r>
        <w:rPr>
          <w:rFonts w:hint="eastAsia" w:ascii="宋体" w:hAnsi="宋体" w:cs="宋体"/>
          <w:b/>
          <w:sz w:val="24"/>
          <w:szCs w:val="24"/>
        </w:rPr>
        <w:t>本项目不接受联合体参与比选。</w:t>
      </w:r>
    </w:p>
    <w:p w14:paraId="4AFE81C3">
      <w:pPr>
        <w:snapToGrid w:val="0"/>
        <w:spacing w:line="360" w:lineRule="auto"/>
        <w:ind w:firstLine="360" w:firstLineChars="150"/>
        <w:rPr>
          <w:rFonts w:ascii="宋体" w:hAnsi="宋体" w:cs="宋体"/>
          <w:sz w:val="24"/>
          <w:szCs w:val="24"/>
        </w:rPr>
      </w:pPr>
      <w:r>
        <w:rPr>
          <w:rFonts w:hint="eastAsia" w:ascii="宋体" w:hAnsi="宋体" w:cs="宋体"/>
          <w:sz w:val="24"/>
          <w:szCs w:val="24"/>
        </w:rPr>
        <w:t>（七）</w:t>
      </w:r>
      <w:r>
        <w:rPr>
          <w:rFonts w:hint="eastAsia" w:ascii="宋体" w:hAnsi="宋体" w:cs="宋体"/>
          <w:b/>
          <w:sz w:val="24"/>
          <w:szCs w:val="24"/>
        </w:rPr>
        <w:t>本项目不接受合同分包。</w:t>
      </w:r>
    </w:p>
    <w:p w14:paraId="3A7A6909">
      <w:pPr>
        <w:snapToGrid w:val="0"/>
        <w:spacing w:line="360" w:lineRule="auto"/>
        <w:ind w:firstLine="360" w:firstLineChars="150"/>
        <w:rPr>
          <w:rFonts w:ascii="宋体" w:hAnsi="宋体" w:cs="宋体"/>
          <w:sz w:val="24"/>
          <w:szCs w:val="24"/>
        </w:rPr>
      </w:pPr>
      <w:r>
        <w:rPr>
          <w:rFonts w:hint="eastAsia" w:ascii="宋体" w:hAnsi="宋体" w:cs="宋体"/>
          <w:sz w:val="24"/>
          <w:szCs w:val="24"/>
        </w:rPr>
        <w:t>（八）比选申请人列入失信被执行人、重大税收违法案件当事人名单、政府采购严重违法失信行为记录名单及其他不符合竞争性比选文件规定条件的比选申请人，将拒绝其参与本次采购活动。</w:t>
      </w:r>
    </w:p>
    <w:p w14:paraId="343B1FEC">
      <w:pPr>
        <w:pStyle w:val="3"/>
        <w:adjustRightInd w:val="0"/>
        <w:snapToGrid w:val="0"/>
        <w:spacing w:before="0" w:after="0" w:line="360" w:lineRule="auto"/>
        <w:rPr>
          <w:rFonts w:ascii="宋体" w:hAnsi="宋体" w:eastAsia="宋体" w:cs="宋体"/>
          <w:sz w:val="28"/>
          <w:szCs w:val="21"/>
        </w:rPr>
      </w:pPr>
      <w:bookmarkStart w:id="132" w:name="_Toc20887"/>
      <w:bookmarkStart w:id="133" w:name="_Toc15720"/>
      <w:bookmarkStart w:id="134" w:name="_Toc29083"/>
      <w:bookmarkStart w:id="135" w:name="_Toc10385"/>
      <w:bookmarkStart w:id="136" w:name="_Toc29726"/>
      <w:bookmarkStart w:id="137" w:name="_Toc28214"/>
      <w:bookmarkStart w:id="138" w:name="_Toc6968"/>
      <w:bookmarkStart w:id="139" w:name="_Toc29524"/>
      <w:r>
        <w:rPr>
          <w:rFonts w:hint="eastAsia" w:ascii="宋体" w:hAnsi="宋体" w:eastAsia="宋体" w:cs="宋体"/>
          <w:sz w:val="28"/>
          <w:szCs w:val="21"/>
        </w:rPr>
        <w:t>七、联系方式</w:t>
      </w:r>
      <w:bookmarkEnd w:id="126"/>
      <w:bookmarkEnd w:id="127"/>
      <w:bookmarkEnd w:id="128"/>
      <w:bookmarkEnd w:id="132"/>
      <w:bookmarkEnd w:id="133"/>
      <w:bookmarkEnd w:id="134"/>
      <w:bookmarkEnd w:id="135"/>
      <w:bookmarkEnd w:id="136"/>
      <w:bookmarkEnd w:id="137"/>
      <w:bookmarkEnd w:id="138"/>
      <w:bookmarkEnd w:id="139"/>
    </w:p>
    <w:p w14:paraId="17405536">
      <w:pPr>
        <w:snapToGrid w:val="0"/>
        <w:spacing w:line="360" w:lineRule="auto"/>
        <w:ind w:firstLine="360" w:firstLineChars="150"/>
        <w:rPr>
          <w:rFonts w:ascii="宋体" w:hAnsi="宋体" w:cs="宋体"/>
          <w:sz w:val="24"/>
          <w:szCs w:val="24"/>
        </w:rPr>
      </w:pPr>
      <w:bookmarkStart w:id="140" w:name="_Toc5477"/>
      <w:bookmarkStart w:id="141" w:name="_Toc26804"/>
      <w:r>
        <w:rPr>
          <w:rFonts w:hint="eastAsia" w:ascii="宋体" w:hAnsi="宋体" w:cs="宋体"/>
          <w:sz w:val="24"/>
          <w:szCs w:val="24"/>
        </w:rPr>
        <w:t>（一）比选人：重庆市盛景实业有限公司</w:t>
      </w:r>
    </w:p>
    <w:p w14:paraId="1EB3D70E">
      <w:pPr>
        <w:snapToGrid w:val="0"/>
        <w:spacing w:line="360" w:lineRule="auto"/>
        <w:ind w:firstLine="360" w:firstLineChars="150"/>
        <w:rPr>
          <w:rFonts w:hint="eastAsia" w:ascii="宋体" w:hAnsi="宋体" w:eastAsia="宋体" w:cs="宋体"/>
          <w:sz w:val="24"/>
          <w:szCs w:val="24"/>
          <w:highlight w:val="yellow"/>
          <w:lang w:eastAsia="zh-CN"/>
        </w:rPr>
      </w:pPr>
      <w:r>
        <w:rPr>
          <w:rFonts w:hint="eastAsia" w:ascii="宋体" w:hAnsi="宋体" w:cs="宋体"/>
          <w:sz w:val="24"/>
          <w:szCs w:val="24"/>
        </w:rPr>
        <w:t>联系人：</w:t>
      </w:r>
      <w:r>
        <w:rPr>
          <w:rFonts w:hint="eastAsia" w:ascii="宋体" w:hAnsi="宋体" w:cs="宋体"/>
          <w:sz w:val="24"/>
          <w:szCs w:val="24"/>
          <w:highlight w:val="none"/>
          <w:lang w:val="en-US" w:eastAsia="zh-CN"/>
        </w:rPr>
        <w:t>谭老师</w:t>
      </w:r>
    </w:p>
    <w:p w14:paraId="6A25222E">
      <w:pPr>
        <w:snapToGrid w:val="0"/>
        <w:spacing w:line="360" w:lineRule="auto"/>
        <w:ind w:firstLine="360" w:firstLineChars="150"/>
        <w:rPr>
          <w:rFonts w:ascii="宋体" w:hAnsi="宋体" w:cs="宋体"/>
          <w:sz w:val="24"/>
          <w:szCs w:val="24"/>
          <w:highlight w:val="none"/>
        </w:rPr>
      </w:pPr>
      <w:r>
        <w:rPr>
          <w:rFonts w:hint="eastAsia" w:ascii="宋体" w:hAnsi="宋体" w:cs="宋体"/>
          <w:sz w:val="24"/>
          <w:szCs w:val="24"/>
          <w:highlight w:val="none"/>
        </w:rPr>
        <w:t>电  话：13527528299</w:t>
      </w:r>
    </w:p>
    <w:p w14:paraId="31082C66">
      <w:pPr>
        <w:snapToGrid w:val="0"/>
        <w:spacing w:line="360" w:lineRule="auto"/>
        <w:ind w:firstLine="360" w:firstLineChars="150"/>
        <w:rPr>
          <w:rFonts w:ascii="宋体" w:hAnsi="宋体" w:cs="宋体"/>
          <w:sz w:val="24"/>
          <w:szCs w:val="24"/>
        </w:rPr>
      </w:pPr>
      <w:r>
        <w:rPr>
          <w:rFonts w:hint="eastAsia" w:ascii="宋体" w:hAnsi="宋体" w:cs="宋体"/>
          <w:sz w:val="24"/>
          <w:szCs w:val="24"/>
        </w:rPr>
        <w:t>地  址：重庆市江北区山水天成小区7号附2号2-1</w:t>
      </w:r>
    </w:p>
    <w:p w14:paraId="008295BA">
      <w:pPr>
        <w:snapToGrid w:val="0"/>
        <w:spacing w:line="360" w:lineRule="auto"/>
        <w:ind w:firstLine="360" w:firstLineChars="150"/>
        <w:rPr>
          <w:rFonts w:ascii="宋体" w:hAnsi="宋体" w:cs="宋体"/>
          <w:sz w:val="24"/>
          <w:szCs w:val="24"/>
        </w:rPr>
      </w:pPr>
      <w:r>
        <w:rPr>
          <w:rFonts w:hint="eastAsia" w:ascii="宋体" w:hAnsi="宋体" w:cs="宋体"/>
          <w:sz w:val="24"/>
          <w:szCs w:val="24"/>
        </w:rPr>
        <w:t>（二）比选代理机构：重庆天骄工程项目管理有限公司</w:t>
      </w:r>
    </w:p>
    <w:p w14:paraId="5260CB97">
      <w:pPr>
        <w:snapToGrid w:val="0"/>
        <w:spacing w:line="360" w:lineRule="auto"/>
        <w:ind w:firstLine="360" w:firstLineChars="150"/>
        <w:rPr>
          <w:rFonts w:ascii="宋体" w:hAnsi="宋体" w:cs="宋体"/>
          <w:sz w:val="24"/>
          <w:szCs w:val="24"/>
        </w:rPr>
      </w:pPr>
      <w:r>
        <w:rPr>
          <w:rFonts w:hint="eastAsia" w:ascii="宋体" w:hAnsi="宋体" w:cs="宋体"/>
          <w:sz w:val="24"/>
          <w:szCs w:val="24"/>
        </w:rPr>
        <w:t>联系人：陈老师</w:t>
      </w:r>
    </w:p>
    <w:p w14:paraId="77FAD775">
      <w:pPr>
        <w:snapToGrid w:val="0"/>
        <w:spacing w:line="360" w:lineRule="auto"/>
        <w:ind w:firstLine="360" w:firstLineChars="150"/>
        <w:rPr>
          <w:rFonts w:ascii="宋体" w:hAnsi="宋体" w:cs="宋体"/>
          <w:sz w:val="24"/>
          <w:szCs w:val="24"/>
        </w:rPr>
      </w:pPr>
      <w:r>
        <w:rPr>
          <w:rFonts w:hint="eastAsia" w:ascii="宋体" w:hAnsi="宋体" w:cs="宋体"/>
          <w:sz w:val="24"/>
          <w:szCs w:val="24"/>
        </w:rPr>
        <w:t>电  话：023-63677374</w:t>
      </w:r>
    </w:p>
    <w:p w14:paraId="4A1E4297">
      <w:pPr>
        <w:snapToGrid w:val="0"/>
        <w:spacing w:line="360" w:lineRule="auto"/>
        <w:ind w:firstLine="360" w:firstLineChars="150"/>
        <w:rPr>
          <w:rFonts w:ascii="宋体" w:hAnsi="宋体" w:cs="宋体"/>
          <w:sz w:val="24"/>
          <w:szCs w:val="24"/>
        </w:rPr>
      </w:pPr>
      <w:r>
        <w:rPr>
          <w:rFonts w:hint="eastAsia" w:ascii="宋体" w:hAnsi="宋体" w:cs="宋体"/>
          <w:sz w:val="24"/>
          <w:szCs w:val="24"/>
        </w:rPr>
        <w:t>地  址：渝中区长江一路61号地产大厦1号楼9楼</w:t>
      </w:r>
    </w:p>
    <w:p w14:paraId="42F5FC6A">
      <w:pPr>
        <w:pStyle w:val="2"/>
        <w:spacing w:line="360" w:lineRule="auto"/>
        <w:jc w:val="center"/>
        <w:rPr>
          <w:rFonts w:hAnsi="宋体" w:cs="宋体"/>
          <w:b/>
          <w:bCs/>
          <w:sz w:val="36"/>
          <w:szCs w:val="30"/>
        </w:rPr>
      </w:pPr>
      <w:r>
        <w:rPr>
          <w:rFonts w:hint="eastAsia" w:hAnsi="宋体" w:cs="宋体"/>
          <w:color w:val="0000FF"/>
          <w:sz w:val="36"/>
          <w:szCs w:val="30"/>
        </w:rPr>
        <w:br w:type="page"/>
      </w:r>
      <w:bookmarkStart w:id="142" w:name="_Toc2708"/>
      <w:bookmarkStart w:id="143" w:name="_Toc7021"/>
      <w:bookmarkStart w:id="144" w:name="_Toc27359"/>
      <w:bookmarkStart w:id="145" w:name="_Toc27619"/>
      <w:r>
        <w:rPr>
          <w:rFonts w:hint="eastAsia" w:hAnsi="宋体" w:cs="宋体"/>
          <w:b/>
          <w:bCs/>
          <w:sz w:val="36"/>
          <w:szCs w:val="30"/>
        </w:rPr>
        <w:t>第二篇  项目服务需求</w:t>
      </w:r>
      <w:bookmarkEnd w:id="109"/>
      <w:bookmarkEnd w:id="140"/>
      <w:bookmarkEnd w:id="141"/>
      <w:bookmarkEnd w:id="142"/>
      <w:bookmarkEnd w:id="143"/>
      <w:bookmarkEnd w:id="144"/>
      <w:bookmarkEnd w:id="145"/>
    </w:p>
    <w:p w14:paraId="45A29C37">
      <w:pPr>
        <w:snapToGrid w:val="0"/>
        <w:spacing w:line="360" w:lineRule="auto"/>
        <w:outlineLvl w:val="1"/>
        <w:rPr>
          <w:rFonts w:ascii="宋体" w:hAnsi="宋体" w:cs="宋体"/>
          <w:b/>
          <w:szCs w:val="28"/>
        </w:rPr>
      </w:pPr>
      <w:bookmarkStart w:id="146" w:name="_Toc24062"/>
      <w:bookmarkStart w:id="147" w:name="_Toc19516"/>
      <w:r>
        <w:rPr>
          <w:rFonts w:hint="eastAsia" w:ascii="宋体" w:hAnsi="宋体" w:cs="宋体"/>
          <w:b/>
          <w:szCs w:val="28"/>
        </w:rPr>
        <w:t>说明：本篇“※”标注的项目服务需求为符合性审查中的实质性要求，若不满足按否决比选申请处理。</w:t>
      </w:r>
      <w:bookmarkEnd w:id="146"/>
      <w:bookmarkEnd w:id="147"/>
    </w:p>
    <w:p w14:paraId="0511B9C5">
      <w:pPr>
        <w:pStyle w:val="3"/>
        <w:adjustRightInd w:val="0"/>
        <w:snapToGrid w:val="0"/>
        <w:spacing w:before="0" w:after="0" w:line="240" w:lineRule="auto"/>
        <w:rPr>
          <w:rFonts w:hint="eastAsia" w:ascii="宋体" w:hAnsi="宋体" w:eastAsia="宋体" w:cs="宋体"/>
          <w:sz w:val="28"/>
          <w:szCs w:val="21"/>
        </w:rPr>
      </w:pPr>
      <w:bookmarkStart w:id="148" w:name="_Toc22140"/>
      <w:bookmarkStart w:id="149" w:name="_Toc24190"/>
      <w:bookmarkStart w:id="150" w:name="_Toc11644"/>
      <w:bookmarkStart w:id="151" w:name="_Toc30442"/>
      <w:bookmarkStart w:id="152" w:name="_Toc27785"/>
      <w:bookmarkStart w:id="153" w:name="_Toc7067"/>
      <w:bookmarkStart w:id="154" w:name="_Toc12789058"/>
      <w:bookmarkStart w:id="155" w:name="_Toc76462327"/>
      <w:r>
        <w:rPr>
          <w:rFonts w:hint="eastAsia" w:ascii="宋体" w:hAnsi="宋体" w:eastAsia="宋体" w:cs="宋体"/>
          <w:sz w:val="28"/>
          <w:szCs w:val="21"/>
        </w:rPr>
        <w:t>※一、</w:t>
      </w:r>
      <w:bookmarkEnd w:id="148"/>
      <w:r>
        <w:rPr>
          <w:rFonts w:hint="eastAsia" w:ascii="宋体" w:hAnsi="宋体" w:eastAsia="宋体" w:cs="宋体"/>
          <w:sz w:val="28"/>
          <w:szCs w:val="21"/>
        </w:rPr>
        <w:t>项目基本概况介绍</w:t>
      </w:r>
      <w:bookmarkEnd w:id="149"/>
      <w:bookmarkEnd w:id="150"/>
      <w:bookmarkEnd w:id="151"/>
      <w:bookmarkEnd w:id="152"/>
      <w:bookmarkEnd w:id="153"/>
      <w:bookmarkStart w:id="156" w:name="_Toc8306"/>
    </w:p>
    <w:p w14:paraId="34E73DA5">
      <w:pPr>
        <w:tabs>
          <w:tab w:val="left" w:pos="0"/>
        </w:tabs>
        <w:spacing w:line="480" w:lineRule="exact"/>
        <w:ind w:firstLine="480" w:firstLineChars="200"/>
        <w:rPr>
          <w:rFonts w:hint="eastAsia" w:ascii="宋体" w:hAnsi="宋体" w:cs="宋体"/>
          <w:sz w:val="24"/>
          <w:szCs w:val="24"/>
        </w:rPr>
      </w:pPr>
      <w:r>
        <w:rPr>
          <w:rFonts w:hint="eastAsia" w:ascii="宋体" w:hAnsi="宋体" w:cs="宋体"/>
          <w:sz w:val="24"/>
          <w:szCs w:val="24"/>
        </w:rPr>
        <w:t>本项目比选人为重庆市盛景实业有限公司，本次通过</w:t>
      </w:r>
      <w:r>
        <w:rPr>
          <w:rFonts w:hint="eastAsia" w:ascii="宋体" w:hAnsi="宋体" w:cs="宋体"/>
          <w:sz w:val="24"/>
          <w:szCs w:val="24"/>
          <w:lang w:val="en-US" w:eastAsia="zh-CN"/>
        </w:rPr>
        <w:t>比选</w:t>
      </w:r>
      <w:r>
        <w:rPr>
          <w:rFonts w:hint="eastAsia" w:ascii="宋体" w:hAnsi="宋体" w:cs="宋体"/>
          <w:sz w:val="24"/>
          <w:szCs w:val="24"/>
        </w:rPr>
        <w:t>方式对所需大宗物品及配送服务进行采购，采购内容为肉类（含家禽、水产、冻品）、蔬菜、水果、米面粮油、干副调料、蛋类、饮料奶制品、预包装食品及其配送服务。</w:t>
      </w:r>
    </w:p>
    <w:p w14:paraId="18269F74">
      <w:pPr>
        <w:pStyle w:val="3"/>
        <w:adjustRightInd w:val="0"/>
        <w:snapToGrid w:val="0"/>
        <w:spacing w:before="0" w:after="0" w:line="240" w:lineRule="auto"/>
        <w:rPr>
          <w:rFonts w:ascii="宋体" w:hAnsi="宋体" w:eastAsia="宋体" w:cs="宋体"/>
          <w:sz w:val="28"/>
          <w:szCs w:val="21"/>
        </w:rPr>
      </w:pPr>
      <w:bookmarkStart w:id="157" w:name="_Toc1826"/>
      <w:bookmarkStart w:id="158" w:name="_Toc13776"/>
      <w:bookmarkStart w:id="159" w:name="_Toc27573"/>
      <w:bookmarkStart w:id="160" w:name="_Toc14811"/>
      <w:bookmarkStart w:id="161" w:name="_Toc32473"/>
      <w:r>
        <w:rPr>
          <w:rFonts w:hint="eastAsia" w:ascii="宋体" w:hAnsi="宋体" w:eastAsia="宋体" w:cs="宋体"/>
          <w:sz w:val="28"/>
          <w:szCs w:val="21"/>
        </w:rPr>
        <w:t>※二、定价基本原则及方式</w:t>
      </w:r>
      <w:bookmarkEnd w:id="157"/>
      <w:bookmarkEnd w:id="158"/>
      <w:bookmarkEnd w:id="159"/>
    </w:p>
    <w:p w14:paraId="2113048D">
      <w:pPr>
        <w:tabs>
          <w:tab w:val="left" w:pos="0"/>
        </w:tabs>
        <w:spacing w:line="480" w:lineRule="exact"/>
        <w:ind w:firstLine="480" w:firstLineChars="200"/>
        <w:rPr>
          <w:rFonts w:ascii="宋体" w:hAnsi="宋体" w:cs="宋体"/>
          <w:sz w:val="24"/>
          <w:szCs w:val="24"/>
        </w:rPr>
      </w:pPr>
      <w:r>
        <w:rPr>
          <w:rFonts w:hint="eastAsia" w:ascii="宋体" w:hAnsi="宋体" w:cs="宋体"/>
          <w:sz w:val="24"/>
          <w:szCs w:val="24"/>
        </w:rPr>
        <w:t>（一）定价基本原则</w:t>
      </w:r>
    </w:p>
    <w:p w14:paraId="40749376">
      <w:pPr>
        <w:tabs>
          <w:tab w:val="left" w:pos="0"/>
        </w:tabs>
        <w:spacing w:line="480" w:lineRule="exact"/>
        <w:ind w:firstLine="480" w:firstLineChars="200"/>
        <w:rPr>
          <w:rFonts w:ascii="宋体" w:hAnsi="宋体" w:cs="宋体"/>
          <w:sz w:val="24"/>
          <w:szCs w:val="24"/>
        </w:rPr>
      </w:pPr>
      <w:r>
        <w:rPr>
          <w:rFonts w:hint="eastAsia" w:ascii="宋体" w:hAnsi="宋体" w:cs="宋体"/>
          <w:sz w:val="24"/>
          <w:szCs w:val="24"/>
        </w:rPr>
        <w:t>报价依据如下：</w:t>
      </w:r>
      <w:r>
        <w:rPr>
          <w:rFonts w:hint="eastAsia" w:ascii="宋体" w:hAnsi="宋体" w:cs="宋体"/>
          <w:sz w:val="24"/>
          <w:szCs w:val="24"/>
          <w:lang w:val="en-US" w:eastAsia="zh-CN"/>
        </w:rPr>
        <w:t>参照</w:t>
      </w:r>
      <w:r>
        <w:rPr>
          <w:rFonts w:hint="eastAsia" w:ascii="宋体" w:hAnsi="宋体" w:cs="宋体"/>
          <w:sz w:val="24"/>
          <w:szCs w:val="24"/>
        </w:rPr>
        <w:t>江北区新世纪超市同类产品当日的挂牌价（不含活动折扣价）为基准价，所有商品以该商场12点以前的最低市场零售价（特价商品除外）为基准价。</w:t>
      </w:r>
    </w:p>
    <w:p w14:paraId="0E0CB087">
      <w:pPr>
        <w:tabs>
          <w:tab w:val="left" w:pos="0"/>
        </w:tabs>
        <w:spacing w:line="480" w:lineRule="exact"/>
        <w:ind w:firstLine="480" w:firstLineChars="200"/>
        <w:rPr>
          <w:rFonts w:ascii="宋体" w:hAnsi="宋体" w:cs="宋体"/>
          <w:sz w:val="24"/>
          <w:szCs w:val="24"/>
        </w:rPr>
      </w:pPr>
      <w:r>
        <w:rPr>
          <w:rFonts w:hint="eastAsia" w:ascii="宋体" w:hAnsi="宋体" w:cs="宋体"/>
          <w:sz w:val="24"/>
          <w:szCs w:val="24"/>
        </w:rPr>
        <w:t>（二）定价周期</w:t>
      </w:r>
    </w:p>
    <w:p w14:paraId="51FD6BB1">
      <w:pPr>
        <w:tabs>
          <w:tab w:val="left" w:pos="0"/>
        </w:tabs>
        <w:spacing w:line="480" w:lineRule="exact"/>
        <w:ind w:firstLine="480" w:firstLineChars="200"/>
        <w:rPr>
          <w:rFonts w:ascii="宋体" w:hAnsi="宋体" w:cs="宋体"/>
          <w:sz w:val="24"/>
          <w:szCs w:val="24"/>
        </w:rPr>
      </w:pPr>
      <w:r>
        <w:rPr>
          <w:rFonts w:hint="eastAsia" w:ascii="宋体" w:hAnsi="宋体" w:cs="宋体"/>
          <w:sz w:val="24"/>
          <w:szCs w:val="24"/>
        </w:rPr>
        <w:t>中选人每日随货提交当日所供物品的基准价清单，比选人有权不定时核查中选人所提供基准价的真实性，若中选人未提供所供物品的基准价清单或核查出基准价与当日依据定价基本原则确定的基准价不一致的情况，比选人有权按当日依据定价基本原则确定的基准价进行结算。</w:t>
      </w:r>
    </w:p>
    <w:p w14:paraId="27D9E86B">
      <w:pPr>
        <w:tabs>
          <w:tab w:val="left" w:pos="0"/>
        </w:tabs>
        <w:spacing w:line="360" w:lineRule="auto"/>
        <w:ind w:firstLine="480" w:firstLineChars="200"/>
        <w:rPr>
          <w:rFonts w:hint="eastAsia" w:ascii="宋体" w:hAnsi="宋体" w:cs="宋体"/>
          <w:sz w:val="24"/>
          <w:szCs w:val="24"/>
        </w:rPr>
      </w:pPr>
      <w:r>
        <w:rPr>
          <w:rFonts w:hint="eastAsia" w:ascii="宋体" w:hAnsi="宋体" w:cs="宋体"/>
          <w:sz w:val="24"/>
          <w:szCs w:val="24"/>
        </w:rPr>
        <w:t>（三）物品供应的执行价包含但不限于：</w:t>
      </w:r>
      <w:r>
        <w:rPr>
          <w:rFonts w:hint="default" w:ascii="宋体" w:hAnsi="宋体" w:cs="宋体"/>
          <w:sz w:val="24"/>
          <w:szCs w:val="24"/>
          <w:lang w:val="en-US"/>
        </w:rPr>
        <w:t>物品</w:t>
      </w:r>
      <w:r>
        <w:rPr>
          <w:rFonts w:hint="eastAsia" w:ascii="宋体" w:hAnsi="宋体" w:cs="宋体"/>
          <w:sz w:val="24"/>
          <w:szCs w:val="24"/>
        </w:rPr>
        <w:t>成本、包装费、材料加工费、运输费、装卸费、搬运费、检测费、人工费、宰杀费、保险费、车辆费、交易服务费、利润、税金等配送服务的一切费用，执行价格在定价周期内原则上不作调整，包括但不限于市场价格波动风险等所有风险由乙方自行承担。</w:t>
      </w:r>
      <w:bookmarkStart w:id="162" w:name="_Toc17777"/>
      <w:bookmarkStart w:id="163" w:name="_Toc13242"/>
    </w:p>
    <w:p w14:paraId="21584A35">
      <w:pPr>
        <w:tabs>
          <w:tab w:val="left" w:pos="0"/>
        </w:tabs>
        <w:spacing w:line="360" w:lineRule="auto"/>
        <w:ind w:firstLine="480" w:firstLineChars="200"/>
        <w:rPr>
          <w:rFonts w:ascii="宋体" w:hAnsi="宋体" w:eastAsia="宋体" w:cs="宋体"/>
          <w:sz w:val="28"/>
          <w:szCs w:val="21"/>
        </w:rPr>
      </w:pPr>
      <w:r>
        <w:rPr>
          <w:rFonts w:hint="eastAsia" w:ascii="宋体" w:hAnsi="宋体" w:eastAsia="宋体" w:cs="宋体"/>
          <w:b w:val="0"/>
          <w:sz w:val="24"/>
          <w:szCs w:val="24"/>
        </w:rPr>
        <w:t>（四）中选人在收到</w:t>
      </w:r>
      <w:r>
        <w:rPr>
          <w:rFonts w:hint="eastAsia" w:ascii="宋体" w:hAnsi="宋体" w:cs="宋体"/>
          <w:b w:val="0"/>
          <w:sz w:val="24"/>
          <w:szCs w:val="24"/>
          <w:lang w:eastAsia="zh-CN"/>
        </w:rPr>
        <w:t>比选人</w:t>
      </w:r>
      <w:r>
        <w:rPr>
          <w:rFonts w:hint="eastAsia" w:ascii="宋体" w:hAnsi="宋体" w:eastAsia="宋体" w:cs="宋体"/>
          <w:b w:val="0"/>
          <w:sz w:val="24"/>
          <w:szCs w:val="24"/>
        </w:rPr>
        <w:t>的采购单后，应按采购单的品种、数量、收货地址、供货时间等，将商品按要求准时配送到达，不得以单批次数量多少或无货、缺货为由延迟供货，中选人应具有足够能力和措施保障供货任务的完成。因市场特殊原因，个别食材品种不能及时提供，中选人应主动与</w:t>
      </w:r>
      <w:r>
        <w:rPr>
          <w:rFonts w:hint="eastAsia" w:ascii="宋体" w:hAnsi="宋体" w:cs="宋体"/>
          <w:b w:val="0"/>
          <w:sz w:val="24"/>
          <w:szCs w:val="24"/>
          <w:lang w:eastAsia="zh-CN"/>
        </w:rPr>
        <w:t>比选人</w:t>
      </w:r>
      <w:r>
        <w:rPr>
          <w:rFonts w:hint="eastAsia" w:ascii="宋体" w:hAnsi="宋体" w:eastAsia="宋体" w:cs="宋体"/>
          <w:b w:val="0"/>
          <w:sz w:val="24"/>
          <w:szCs w:val="24"/>
        </w:rPr>
        <w:t>沟通协调，满足</w:t>
      </w:r>
      <w:r>
        <w:rPr>
          <w:rFonts w:hint="eastAsia" w:ascii="宋体" w:hAnsi="宋体" w:cs="宋体"/>
          <w:b w:val="0"/>
          <w:sz w:val="24"/>
          <w:szCs w:val="24"/>
          <w:lang w:eastAsia="zh-CN"/>
        </w:rPr>
        <w:t>比选人</w:t>
      </w:r>
      <w:r>
        <w:rPr>
          <w:rFonts w:hint="eastAsia" w:ascii="宋体" w:hAnsi="宋体" w:eastAsia="宋体" w:cs="宋体"/>
          <w:b w:val="0"/>
          <w:sz w:val="24"/>
          <w:szCs w:val="24"/>
        </w:rPr>
        <w:t>需要。如遇</w:t>
      </w:r>
      <w:r>
        <w:rPr>
          <w:rFonts w:hint="eastAsia" w:ascii="宋体" w:hAnsi="宋体" w:cs="宋体"/>
          <w:b w:val="0"/>
          <w:sz w:val="24"/>
          <w:szCs w:val="24"/>
          <w:lang w:eastAsia="zh-CN"/>
        </w:rPr>
        <w:t>比选人</w:t>
      </w:r>
      <w:r>
        <w:rPr>
          <w:rFonts w:hint="eastAsia" w:ascii="宋体" w:hAnsi="宋体" w:eastAsia="宋体" w:cs="宋体"/>
          <w:b w:val="0"/>
          <w:sz w:val="24"/>
          <w:szCs w:val="24"/>
        </w:rPr>
        <w:t>因不可抗力导致取消订单，由中选人自行承担相关损失。</w:t>
      </w:r>
      <w:bookmarkEnd w:id="162"/>
      <w:bookmarkEnd w:id="163"/>
    </w:p>
    <w:p w14:paraId="4D77F865">
      <w:pPr>
        <w:pStyle w:val="3"/>
        <w:adjustRightInd w:val="0"/>
        <w:snapToGrid w:val="0"/>
        <w:spacing w:before="0" w:after="0" w:line="240" w:lineRule="auto"/>
        <w:ind w:firstLine="562" w:firstLineChars="200"/>
        <w:rPr>
          <w:rFonts w:ascii="宋体" w:hAnsi="宋体" w:eastAsia="宋体" w:cs="宋体"/>
          <w:sz w:val="28"/>
          <w:szCs w:val="21"/>
        </w:rPr>
      </w:pPr>
      <w:bookmarkStart w:id="164" w:name="_Toc17182"/>
      <w:bookmarkStart w:id="165" w:name="_Toc4584"/>
      <w:bookmarkStart w:id="166" w:name="_Toc18912"/>
      <w:r>
        <w:rPr>
          <w:rFonts w:hint="eastAsia" w:ascii="宋体" w:hAnsi="宋体" w:eastAsia="宋体" w:cs="宋体"/>
          <w:sz w:val="28"/>
          <w:szCs w:val="21"/>
        </w:rPr>
        <w:t>※三、服务范围、质量要求及标准</w:t>
      </w:r>
      <w:bookmarkEnd w:id="156"/>
      <w:bookmarkEnd w:id="160"/>
      <w:bookmarkEnd w:id="161"/>
      <w:bookmarkEnd w:id="164"/>
      <w:bookmarkEnd w:id="165"/>
      <w:bookmarkEnd w:id="166"/>
    </w:p>
    <w:p w14:paraId="683C2640">
      <w:pPr>
        <w:numPr>
          <w:ilvl w:val="0"/>
          <w:numId w:val="13"/>
        </w:numPr>
        <w:snapToGrid w:val="0"/>
        <w:spacing w:line="360" w:lineRule="auto"/>
        <w:ind w:firstLine="480" w:firstLineChars="200"/>
        <w:rPr>
          <w:rFonts w:ascii="宋体" w:hAnsi="宋体" w:cs="宋体"/>
          <w:sz w:val="24"/>
          <w:szCs w:val="24"/>
        </w:rPr>
      </w:pPr>
      <w:r>
        <w:rPr>
          <w:rFonts w:hint="eastAsia" w:ascii="宋体" w:hAnsi="宋体" w:cs="宋体"/>
          <w:sz w:val="24"/>
          <w:szCs w:val="24"/>
        </w:rPr>
        <w:t>服务范围、要求及标准</w:t>
      </w:r>
    </w:p>
    <w:p w14:paraId="1958A7F8">
      <w:pPr>
        <w:snapToGrid w:val="0"/>
        <w:spacing w:line="360" w:lineRule="auto"/>
        <w:ind w:firstLine="480" w:firstLineChars="200"/>
        <w:rPr>
          <w:rFonts w:ascii="宋体" w:hAnsi="宋体" w:cs="宋体"/>
          <w:sz w:val="24"/>
          <w:szCs w:val="24"/>
        </w:rPr>
      </w:pPr>
      <w:r>
        <w:rPr>
          <w:rFonts w:hint="eastAsia" w:ascii="宋体" w:hAnsi="宋体" w:cs="宋体"/>
          <w:sz w:val="24"/>
          <w:szCs w:val="24"/>
        </w:rPr>
        <w:t>提供重庆市盛景实业有限公司大宗物品及配送服务采购所需肉类（含家禽、水产、冻品）、蔬菜、水果、米面粮油、干副调料、蛋类、饮料奶制品、预包装食品等采购与配送服务。</w:t>
      </w:r>
    </w:p>
    <w:p w14:paraId="103A9A47">
      <w:pPr>
        <w:numPr>
          <w:ilvl w:val="0"/>
          <w:numId w:val="14"/>
        </w:numPr>
        <w:snapToGrid w:val="0"/>
        <w:spacing w:line="360" w:lineRule="auto"/>
        <w:ind w:firstLine="420"/>
        <w:rPr>
          <w:rFonts w:ascii="宋体" w:hAnsi="宋体" w:cs="宋体"/>
          <w:sz w:val="24"/>
          <w:szCs w:val="24"/>
        </w:rPr>
      </w:pPr>
      <w:bookmarkStart w:id="167" w:name="_Toc25906"/>
      <w:r>
        <w:rPr>
          <w:rFonts w:hint="eastAsia" w:ascii="宋体" w:hAnsi="宋体" w:cs="宋体"/>
          <w:sz w:val="24"/>
          <w:szCs w:val="24"/>
        </w:rPr>
        <w:t>服务范围：重庆市盛景实业有限公司大宗物品及配送服务、</w:t>
      </w:r>
    </w:p>
    <w:p w14:paraId="3AD87D80">
      <w:pPr>
        <w:numPr>
          <w:ilvl w:val="0"/>
          <w:numId w:val="14"/>
        </w:numPr>
        <w:snapToGrid w:val="0"/>
        <w:spacing w:line="360" w:lineRule="auto"/>
        <w:ind w:firstLine="420"/>
        <w:rPr>
          <w:rFonts w:ascii="宋体" w:hAnsi="宋体" w:cs="宋体"/>
          <w:sz w:val="24"/>
          <w:szCs w:val="24"/>
        </w:rPr>
      </w:pPr>
      <w:r>
        <w:rPr>
          <w:rFonts w:hint="eastAsia" w:ascii="宋体" w:hAnsi="宋体" w:cs="宋体"/>
          <w:sz w:val="24"/>
          <w:szCs w:val="24"/>
        </w:rPr>
        <w:t>服务要求：提供肉类（含家禽、水产、冻品）、蔬菜、水果、米面粮油、干副调料、蛋类、饮料奶制品、预包装食品，并按约定时间送达指定地点；</w:t>
      </w:r>
    </w:p>
    <w:p w14:paraId="43987BC5">
      <w:pPr>
        <w:snapToGrid w:val="0"/>
        <w:spacing w:line="360" w:lineRule="auto"/>
        <w:ind w:firstLine="420"/>
        <w:rPr>
          <w:rFonts w:ascii="宋体" w:hAnsi="宋体" w:cs="宋体"/>
          <w:color w:val="0000FF"/>
          <w:sz w:val="24"/>
          <w:szCs w:val="24"/>
        </w:rPr>
      </w:pPr>
      <w:r>
        <w:rPr>
          <w:rFonts w:hint="eastAsia" w:ascii="宋体" w:hAnsi="宋体" w:cs="宋体"/>
          <w:sz w:val="24"/>
          <w:szCs w:val="24"/>
        </w:rPr>
        <w:t>3、服务标准：按本竞争性比选文件“第二篇 项目服务需求”中的“服务范围、质量要求及标准”。</w:t>
      </w:r>
    </w:p>
    <w:p w14:paraId="33EF13AF">
      <w:pPr>
        <w:snapToGrid w:val="0"/>
        <w:spacing w:line="360" w:lineRule="auto"/>
        <w:ind w:firstLine="420"/>
        <w:rPr>
          <w:rFonts w:ascii="宋体" w:hAnsi="宋体" w:cs="宋体"/>
          <w:sz w:val="24"/>
          <w:szCs w:val="24"/>
        </w:rPr>
      </w:pPr>
      <w:r>
        <w:rPr>
          <w:rFonts w:hint="eastAsia" w:ascii="宋体" w:hAnsi="宋体" w:cs="宋体"/>
          <w:sz w:val="24"/>
          <w:szCs w:val="24"/>
        </w:rPr>
        <w:t>（二）质量要求</w:t>
      </w:r>
      <w:bookmarkEnd w:id="167"/>
    </w:p>
    <w:p w14:paraId="2AA70507">
      <w:pPr>
        <w:snapToGrid w:val="0"/>
        <w:spacing w:line="360" w:lineRule="auto"/>
        <w:ind w:firstLine="480" w:firstLineChars="200"/>
        <w:rPr>
          <w:rFonts w:ascii="宋体" w:hAnsi="宋体" w:cs="宋体"/>
          <w:sz w:val="24"/>
          <w:szCs w:val="24"/>
        </w:rPr>
      </w:pPr>
      <w:r>
        <w:rPr>
          <w:rFonts w:hint="eastAsia" w:ascii="宋体" w:hAnsi="宋体" w:cs="宋体"/>
          <w:sz w:val="24"/>
          <w:szCs w:val="24"/>
        </w:rPr>
        <w:t>比选申请人应按要求向比选人提供符合国家卫生和安全标准的已核价品牌（或样品）相应规格要求的优质、新鲜货物。配送产品必须</w:t>
      </w:r>
      <w:r>
        <w:rPr>
          <w:rFonts w:hint="eastAsia" w:ascii="宋体" w:hAnsi="宋体" w:cs="宋体"/>
          <w:sz w:val="24"/>
          <w:szCs w:val="24"/>
          <w:lang w:val="en-US" w:eastAsia="zh-CN"/>
        </w:rPr>
        <w:t>满足相关国家法律法规的要求</w:t>
      </w:r>
      <w:r>
        <w:rPr>
          <w:rFonts w:hint="eastAsia" w:ascii="宋体" w:hAnsi="宋体" w:cs="宋体"/>
          <w:sz w:val="24"/>
          <w:szCs w:val="24"/>
        </w:rPr>
        <w:t>，同时要求</w:t>
      </w:r>
      <w:r>
        <w:rPr>
          <w:rFonts w:hint="eastAsia" w:ascii="宋体" w:hAnsi="宋体" w:cs="宋体"/>
          <w:sz w:val="24"/>
          <w:szCs w:val="24"/>
          <w:lang w:val="en-US" w:eastAsia="zh-CN"/>
        </w:rPr>
        <w:t>具有</w:t>
      </w:r>
      <w:r>
        <w:rPr>
          <w:rFonts w:hint="eastAsia" w:ascii="宋体" w:hAnsi="宋体" w:cs="宋体"/>
          <w:sz w:val="24"/>
          <w:szCs w:val="24"/>
        </w:rPr>
        <w:t>质量检验报告。未列入生产许可目录的食材应符合国家有关生产卫生标准要求。</w:t>
      </w:r>
    </w:p>
    <w:p w14:paraId="7C606FC4">
      <w:pPr>
        <w:snapToGrid w:val="0"/>
        <w:spacing w:line="360" w:lineRule="auto"/>
        <w:ind w:firstLine="480" w:firstLineChars="200"/>
        <w:rPr>
          <w:rFonts w:ascii="宋体" w:hAnsi="宋体" w:cs="宋体"/>
          <w:sz w:val="24"/>
          <w:szCs w:val="24"/>
        </w:rPr>
      </w:pPr>
      <w:r>
        <w:rPr>
          <w:rFonts w:hint="eastAsia" w:ascii="宋体" w:hAnsi="宋体" w:cs="宋体"/>
          <w:sz w:val="24"/>
          <w:szCs w:val="24"/>
        </w:rPr>
        <w:t>1.肉类（含家禽、水产、冻品）</w:t>
      </w:r>
    </w:p>
    <w:p w14:paraId="0E0F7135">
      <w:pPr>
        <w:snapToGrid w:val="0"/>
        <w:spacing w:line="360" w:lineRule="auto"/>
        <w:ind w:firstLine="480" w:firstLineChars="200"/>
        <w:rPr>
          <w:rFonts w:ascii="宋体" w:hAnsi="宋体" w:cs="宋体"/>
          <w:sz w:val="24"/>
          <w:szCs w:val="24"/>
        </w:rPr>
      </w:pPr>
      <w:r>
        <w:rPr>
          <w:rFonts w:hint="eastAsia" w:ascii="宋体" w:hAnsi="宋体" w:cs="宋体"/>
          <w:sz w:val="24"/>
          <w:szCs w:val="24"/>
        </w:rPr>
        <w:t>肉质有弹性，手指轻按，凹陷地方马上恢复，脂肪为白色或乳白色，整体色泽光润，切面红色、微微湿润但不粘手；具有猪（牛、羊等）肉固有气味，无异味；无淤血、无注水，无寄生虫。配送的鲜肉类必须在定点屠宰场(或宰杀店)宰杀加工，并经动物卫生检疫机构检疫合格，加盖检疫合格印章和屠宰场印章，并</w:t>
      </w:r>
      <w:r>
        <w:rPr>
          <w:rFonts w:hint="eastAsia" w:ascii="宋体" w:hAnsi="宋体" w:cs="宋体"/>
          <w:sz w:val="24"/>
          <w:szCs w:val="24"/>
          <w:lang w:val="en-US" w:eastAsia="zh-CN"/>
        </w:rPr>
        <w:t>具有</w:t>
      </w:r>
      <w:r>
        <w:rPr>
          <w:rFonts w:hint="eastAsia" w:ascii="宋体" w:hAnsi="宋体" w:cs="宋体"/>
          <w:sz w:val="24"/>
          <w:szCs w:val="24"/>
        </w:rPr>
        <w:t>《动物产品(B)检疫合格证明》。</w:t>
      </w:r>
    </w:p>
    <w:p w14:paraId="0D855985">
      <w:pPr>
        <w:snapToGrid w:val="0"/>
        <w:spacing w:line="360" w:lineRule="auto"/>
        <w:ind w:firstLine="480" w:firstLineChars="200"/>
        <w:rPr>
          <w:rFonts w:ascii="宋体" w:hAnsi="宋体" w:cs="宋体"/>
          <w:sz w:val="24"/>
          <w:szCs w:val="24"/>
        </w:rPr>
      </w:pPr>
      <w:r>
        <w:rPr>
          <w:rFonts w:hint="eastAsia" w:ascii="宋体" w:hAnsi="宋体" w:cs="宋体"/>
          <w:sz w:val="24"/>
          <w:szCs w:val="24"/>
        </w:rPr>
        <w:t>1.1家禽类</w:t>
      </w:r>
    </w:p>
    <w:p w14:paraId="38D8D227">
      <w:pPr>
        <w:snapToGrid w:val="0"/>
        <w:spacing w:line="360" w:lineRule="auto"/>
        <w:ind w:firstLine="480" w:firstLineChars="200"/>
        <w:rPr>
          <w:rFonts w:ascii="宋体" w:hAnsi="宋体" w:cs="宋体"/>
          <w:sz w:val="24"/>
          <w:szCs w:val="24"/>
        </w:rPr>
      </w:pPr>
      <w:r>
        <w:rPr>
          <w:rFonts w:hint="eastAsia" w:ascii="宋体" w:hAnsi="宋体" w:cs="宋体"/>
          <w:sz w:val="24"/>
          <w:szCs w:val="24"/>
        </w:rPr>
        <w:t>1.1.1鲜鸡肉类</w:t>
      </w:r>
    </w:p>
    <w:p w14:paraId="5F65E6A4">
      <w:pPr>
        <w:snapToGrid w:val="0"/>
        <w:spacing w:line="360" w:lineRule="auto"/>
        <w:ind w:firstLine="480" w:firstLineChars="200"/>
        <w:rPr>
          <w:rFonts w:ascii="宋体" w:hAnsi="宋体" w:cs="宋体"/>
          <w:sz w:val="24"/>
          <w:szCs w:val="24"/>
        </w:rPr>
      </w:pPr>
      <w:r>
        <w:rPr>
          <w:rFonts w:hint="eastAsia" w:ascii="宋体" w:hAnsi="宋体" w:cs="宋体"/>
          <w:sz w:val="24"/>
          <w:szCs w:val="24"/>
        </w:rPr>
        <w:t>眼球饱满，皮肤有光泽，淡黄或灰白色，肌肉切而发亮。外表微干或微湿，不粘手，弹性良好，指压后凹陷立即恢复，正常气味。无长毛及毛、毛根、口腔及宰杀刀口无血污杂质，无紫斑瘀血净腔禽腹内无过多脂肪，腹下刀口，不过长刀口整齐，重量≥0.85KG鲜鸡当天杀当天送，并具有《动物产品(B)检疫合格证明》，且符合食品安全国家标准鲜（冻）畜、禽产品GB2707-2016相关检查标准。</w:t>
      </w:r>
    </w:p>
    <w:p w14:paraId="278A15ED">
      <w:pPr>
        <w:snapToGrid w:val="0"/>
        <w:spacing w:line="360" w:lineRule="auto"/>
        <w:ind w:firstLine="480" w:firstLineChars="200"/>
        <w:rPr>
          <w:rFonts w:ascii="宋体" w:hAnsi="宋体" w:cs="宋体"/>
          <w:sz w:val="24"/>
          <w:szCs w:val="24"/>
        </w:rPr>
      </w:pPr>
      <w:r>
        <w:rPr>
          <w:rFonts w:hint="eastAsia" w:ascii="宋体" w:hAnsi="宋体" w:cs="宋体"/>
          <w:sz w:val="24"/>
          <w:szCs w:val="24"/>
        </w:rPr>
        <w:t>1.1.2鹅/鸭类</w:t>
      </w:r>
    </w:p>
    <w:p w14:paraId="1120A429">
      <w:pPr>
        <w:snapToGrid w:val="0"/>
        <w:spacing w:line="360" w:lineRule="auto"/>
        <w:ind w:firstLine="480" w:firstLineChars="200"/>
        <w:rPr>
          <w:rFonts w:ascii="宋体" w:hAnsi="宋体" w:cs="宋体"/>
          <w:sz w:val="24"/>
          <w:szCs w:val="24"/>
        </w:rPr>
      </w:pPr>
      <w:r>
        <w:rPr>
          <w:rFonts w:hint="eastAsia" w:ascii="宋体" w:hAnsi="宋体" w:cs="宋体"/>
          <w:sz w:val="24"/>
          <w:szCs w:val="24"/>
        </w:rPr>
        <w:t>眼球平坦，皮肤有光泽，乳白或淡红色，肌肉切而有光泽。外表稍湿润，不粘手，指压后凹陷立即恢复。鸭固有的正常气味，无长毛及绒毛，毛根口腔及宰杀刀口失血污、无紫斑瘀血、净膛、腹内无过多脂肪、腹下刀口，不过长，刀口齐整，土鸭重5-6斤左右，并具有《动物产品(B)检疫合格证明》。且符合食品安全国家标准鲜（冻）畜、禽产品GB 2707-2016相关检查标准。</w:t>
      </w:r>
    </w:p>
    <w:p w14:paraId="0746864A">
      <w:pPr>
        <w:snapToGrid w:val="0"/>
        <w:spacing w:line="360" w:lineRule="auto"/>
        <w:ind w:firstLine="480" w:firstLineChars="200"/>
        <w:rPr>
          <w:rFonts w:ascii="宋体" w:hAnsi="宋体" w:cs="宋体"/>
          <w:sz w:val="24"/>
          <w:szCs w:val="24"/>
        </w:rPr>
      </w:pPr>
      <w:r>
        <w:rPr>
          <w:rFonts w:hint="eastAsia" w:ascii="宋体" w:hAnsi="宋体" w:cs="宋体"/>
          <w:sz w:val="24"/>
          <w:szCs w:val="24"/>
        </w:rPr>
        <w:t>1.2水产类</w:t>
      </w:r>
    </w:p>
    <w:p w14:paraId="47F95CA2">
      <w:pPr>
        <w:snapToGrid w:val="0"/>
        <w:spacing w:line="360" w:lineRule="auto"/>
        <w:ind w:firstLine="480" w:firstLineChars="200"/>
        <w:rPr>
          <w:rFonts w:ascii="宋体" w:hAnsi="宋体" w:cs="宋体"/>
          <w:sz w:val="24"/>
          <w:szCs w:val="24"/>
        </w:rPr>
      </w:pPr>
      <w:r>
        <w:rPr>
          <w:rFonts w:hint="eastAsia" w:ascii="宋体" w:hAnsi="宋体" w:cs="宋体"/>
          <w:sz w:val="24"/>
          <w:szCs w:val="24"/>
        </w:rPr>
        <w:t>1.2.1鱼类</w:t>
      </w:r>
    </w:p>
    <w:p w14:paraId="09086506">
      <w:pPr>
        <w:snapToGrid w:val="0"/>
        <w:spacing w:line="360" w:lineRule="auto"/>
        <w:ind w:firstLine="480" w:firstLineChars="200"/>
        <w:rPr>
          <w:rFonts w:ascii="宋体" w:hAnsi="宋体" w:cs="宋体"/>
          <w:sz w:val="24"/>
          <w:szCs w:val="24"/>
        </w:rPr>
      </w:pPr>
      <w:r>
        <w:rPr>
          <w:rFonts w:hint="eastAsia" w:ascii="宋体" w:hAnsi="宋体" w:cs="宋体"/>
          <w:sz w:val="24"/>
          <w:szCs w:val="24"/>
        </w:rPr>
        <w:t>游水生猛，对外界刺激敏感，无翻肚；无嘴烂及其它外表损伤。鱼鳞完整有光泽，不易脱落，眼隔膜有光泽、透明，眼球突出；腹部坚实不膨胀，肛门内部洁净无异常红尾。大小均匀。</w:t>
      </w:r>
    </w:p>
    <w:p w14:paraId="26AFF90C">
      <w:pPr>
        <w:snapToGrid w:val="0"/>
        <w:spacing w:line="360" w:lineRule="auto"/>
        <w:ind w:firstLine="480" w:firstLineChars="200"/>
        <w:rPr>
          <w:rFonts w:ascii="宋体" w:hAnsi="宋体" w:cs="宋体"/>
          <w:sz w:val="24"/>
          <w:szCs w:val="24"/>
        </w:rPr>
      </w:pPr>
      <w:r>
        <w:rPr>
          <w:rFonts w:hint="eastAsia" w:ascii="宋体" w:hAnsi="宋体" w:cs="宋体"/>
          <w:sz w:val="24"/>
          <w:szCs w:val="24"/>
        </w:rPr>
        <w:t>1.2.2虾类</w:t>
      </w:r>
    </w:p>
    <w:p w14:paraId="45B164EA">
      <w:pPr>
        <w:snapToGrid w:val="0"/>
        <w:spacing w:line="360" w:lineRule="auto"/>
        <w:ind w:firstLine="480" w:firstLineChars="200"/>
        <w:rPr>
          <w:rFonts w:ascii="宋体" w:hAnsi="宋体" w:cs="宋体"/>
          <w:sz w:val="24"/>
          <w:szCs w:val="24"/>
        </w:rPr>
      </w:pPr>
      <w:r>
        <w:rPr>
          <w:rFonts w:hint="eastAsia" w:ascii="宋体" w:hAnsi="宋体" w:cs="宋体"/>
          <w:sz w:val="24"/>
          <w:szCs w:val="24"/>
        </w:rPr>
        <w:t>游水快，对外界刺激敏感；头尾完整，有一定弯曲度；虾眼突起，虾身较挺，肉质坚实；虾壳发亮、发硬，呈青绿色或青白色。</w:t>
      </w:r>
    </w:p>
    <w:p w14:paraId="34CF16AC">
      <w:pPr>
        <w:snapToGrid w:val="0"/>
        <w:spacing w:line="360" w:lineRule="auto"/>
        <w:ind w:firstLine="480" w:firstLineChars="200"/>
        <w:rPr>
          <w:rFonts w:ascii="宋体" w:hAnsi="宋体" w:cs="宋体"/>
          <w:sz w:val="24"/>
          <w:szCs w:val="24"/>
        </w:rPr>
      </w:pPr>
      <w:r>
        <w:rPr>
          <w:rFonts w:hint="eastAsia" w:ascii="宋体" w:hAnsi="宋体" w:cs="宋体"/>
          <w:sz w:val="24"/>
          <w:szCs w:val="24"/>
        </w:rPr>
        <w:t>1.2.3蛙类</w:t>
      </w:r>
    </w:p>
    <w:p w14:paraId="720D7CB2">
      <w:pPr>
        <w:snapToGrid w:val="0"/>
        <w:spacing w:line="360" w:lineRule="auto"/>
        <w:ind w:firstLine="480" w:firstLineChars="200"/>
        <w:rPr>
          <w:rFonts w:ascii="宋体" w:hAnsi="宋体" w:cs="宋体"/>
          <w:sz w:val="24"/>
          <w:szCs w:val="24"/>
        </w:rPr>
      </w:pPr>
      <w:r>
        <w:rPr>
          <w:rFonts w:hint="eastAsia" w:ascii="宋体" w:hAnsi="宋体" w:cs="宋体"/>
          <w:sz w:val="24"/>
          <w:szCs w:val="24"/>
        </w:rPr>
        <w:t>大小均匀，没有伤痕，没有异味，表皮光滑，有较强的跳动活力。</w:t>
      </w:r>
    </w:p>
    <w:p w14:paraId="4F6F8D07">
      <w:pPr>
        <w:snapToGrid w:val="0"/>
        <w:spacing w:line="360" w:lineRule="auto"/>
        <w:ind w:firstLine="480" w:firstLineChars="200"/>
        <w:rPr>
          <w:rFonts w:ascii="宋体" w:hAnsi="宋体" w:cs="宋体"/>
          <w:sz w:val="24"/>
          <w:szCs w:val="24"/>
        </w:rPr>
      </w:pPr>
      <w:r>
        <w:rPr>
          <w:rFonts w:hint="eastAsia" w:ascii="宋体" w:hAnsi="宋体" w:cs="宋体"/>
          <w:sz w:val="24"/>
          <w:szCs w:val="24"/>
        </w:rPr>
        <w:t>1.2.4黄鳝</w:t>
      </w:r>
    </w:p>
    <w:p w14:paraId="6BD678B4">
      <w:pPr>
        <w:snapToGrid w:val="0"/>
        <w:spacing w:line="360" w:lineRule="auto"/>
        <w:ind w:firstLine="480" w:firstLineChars="200"/>
        <w:rPr>
          <w:rFonts w:ascii="宋体" w:hAnsi="宋体" w:cs="宋体"/>
          <w:sz w:val="24"/>
          <w:szCs w:val="24"/>
        </w:rPr>
      </w:pPr>
      <w:r>
        <w:rPr>
          <w:rFonts w:hint="eastAsia" w:ascii="宋体" w:hAnsi="宋体" w:cs="宋体"/>
          <w:sz w:val="24"/>
          <w:szCs w:val="24"/>
        </w:rPr>
        <w:t>体色正常，体态完整，在水中头朝上直立，捞离水后，挣扎有力，身上黏度较多，个体较大。</w:t>
      </w:r>
    </w:p>
    <w:p w14:paraId="2D62E375">
      <w:pPr>
        <w:snapToGrid w:val="0"/>
        <w:spacing w:line="360" w:lineRule="auto"/>
        <w:ind w:firstLine="480" w:firstLineChars="200"/>
        <w:rPr>
          <w:rFonts w:ascii="宋体" w:hAnsi="宋体" w:cs="宋体"/>
          <w:sz w:val="24"/>
          <w:szCs w:val="24"/>
        </w:rPr>
      </w:pPr>
      <w:r>
        <w:rPr>
          <w:rFonts w:hint="eastAsia" w:ascii="宋体" w:hAnsi="宋体" w:cs="宋体"/>
          <w:sz w:val="24"/>
          <w:szCs w:val="24"/>
        </w:rPr>
        <w:t>1.2.5贝类</w:t>
      </w:r>
    </w:p>
    <w:p w14:paraId="77A312D8">
      <w:pPr>
        <w:snapToGrid w:val="0"/>
        <w:spacing w:line="360" w:lineRule="auto"/>
        <w:ind w:firstLine="480" w:firstLineChars="200"/>
        <w:rPr>
          <w:rFonts w:ascii="宋体" w:hAnsi="宋体" w:cs="宋体"/>
          <w:sz w:val="24"/>
          <w:szCs w:val="24"/>
        </w:rPr>
      </w:pPr>
      <w:r>
        <w:rPr>
          <w:rFonts w:hint="eastAsia" w:ascii="宋体" w:hAnsi="宋体" w:cs="宋体"/>
          <w:sz w:val="24"/>
          <w:szCs w:val="24"/>
        </w:rPr>
        <w:t>肉质新鲜，无臭味，两贝壳相碰发出实响，且响声均匀，在静水中会伸出触角；表面清洁完整，无寄生物，外观完美，有光泽。</w:t>
      </w:r>
    </w:p>
    <w:p w14:paraId="37F2AE77">
      <w:pPr>
        <w:snapToGrid w:val="0"/>
        <w:spacing w:line="360" w:lineRule="auto"/>
        <w:ind w:firstLine="480" w:firstLineChars="200"/>
        <w:rPr>
          <w:rFonts w:ascii="宋体" w:hAnsi="宋体" w:cs="宋体"/>
          <w:sz w:val="24"/>
          <w:szCs w:val="24"/>
        </w:rPr>
      </w:pPr>
      <w:r>
        <w:rPr>
          <w:rFonts w:hint="eastAsia" w:ascii="宋体" w:hAnsi="宋体" w:cs="宋体"/>
          <w:sz w:val="24"/>
          <w:szCs w:val="24"/>
        </w:rPr>
        <w:t>1.3冻品类</w:t>
      </w:r>
    </w:p>
    <w:p w14:paraId="3C2E45B7">
      <w:pPr>
        <w:snapToGrid w:val="0"/>
        <w:spacing w:line="360" w:lineRule="auto"/>
        <w:ind w:firstLine="480" w:firstLineChars="200"/>
        <w:rPr>
          <w:rFonts w:ascii="宋体" w:hAnsi="宋体" w:cs="宋体"/>
          <w:sz w:val="24"/>
          <w:szCs w:val="24"/>
        </w:rPr>
      </w:pPr>
      <w:r>
        <w:rPr>
          <w:rFonts w:hint="eastAsia" w:ascii="宋体" w:hAnsi="宋体" w:cs="宋体"/>
          <w:sz w:val="24"/>
          <w:szCs w:val="24"/>
        </w:rPr>
        <w:t>无杂质、异味，冻品物资包装完整，生产日期、保质期、生产厂家和</w:t>
      </w:r>
      <w:r>
        <w:rPr>
          <w:rFonts w:hint="eastAsia" w:ascii="宋体" w:hAnsi="宋体" w:cs="宋体"/>
          <w:sz w:val="24"/>
          <w:szCs w:val="24"/>
          <w:lang w:val="en-US" w:eastAsia="zh-CN"/>
        </w:rPr>
        <w:t>相关</w:t>
      </w:r>
      <w:r>
        <w:rPr>
          <w:rFonts w:hint="eastAsia" w:ascii="宋体" w:hAnsi="宋体" w:cs="宋体"/>
          <w:sz w:val="24"/>
          <w:szCs w:val="24"/>
        </w:rPr>
        <w:t>标识齐全明晰。符合国家及行业相关标准，符合食品安全国家标准鲜（冻）畜、禽产品GB2707-2016相关检查标准。</w:t>
      </w:r>
    </w:p>
    <w:p w14:paraId="61E959D1">
      <w:pPr>
        <w:snapToGrid w:val="0"/>
        <w:spacing w:line="360" w:lineRule="auto"/>
        <w:ind w:firstLine="480" w:firstLineChars="200"/>
        <w:rPr>
          <w:rFonts w:ascii="宋体" w:hAnsi="宋体" w:cs="宋体"/>
          <w:sz w:val="24"/>
          <w:szCs w:val="24"/>
        </w:rPr>
      </w:pPr>
      <w:r>
        <w:rPr>
          <w:rFonts w:hint="eastAsia" w:ascii="宋体" w:hAnsi="宋体" w:cs="宋体"/>
          <w:sz w:val="24"/>
          <w:szCs w:val="24"/>
        </w:rPr>
        <w:t>2.蔬菜类</w:t>
      </w:r>
    </w:p>
    <w:p w14:paraId="6BD43CB7">
      <w:pPr>
        <w:snapToGrid w:val="0"/>
        <w:spacing w:line="360" w:lineRule="auto"/>
        <w:ind w:firstLine="480" w:firstLineChars="200"/>
        <w:rPr>
          <w:rFonts w:ascii="宋体" w:hAnsi="宋体" w:cs="宋体"/>
          <w:sz w:val="24"/>
          <w:szCs w:val="24"/>
        </w:rPr>
      </w:pPr>
      <w:r>
        <w:rPr>
          <w:rFonts w:hint="eastAsia" w:ascii="宋体" w:hAnsi="宋体" w:cs="宋体"/>
          <w:sz w:val="24"/>
          <w:szCs w:val="24"/>
        </w:rPr>
        <w:t>成熟适度、新鲜脆嫩、无虫、无黄叶、无杂质、无农药残留超标，符合食品安全卫生要求和国家标准，</w:t>
      </w:r>
      <w:r>
        <w:rPr>
          <w:rFonts w:hint="eastAsia" w:ascii="宋体" w:hAnsi="宋体" w:cs="宋体"/>
          <w:sz w:val="24"/>
          <w:szCs w:val="24"/>
          <w:lang w:val="en-US" w:eastAsia="zh-CN"/>
        </w:rPr>
        <w:t>具有</w:t>
      </w:r>
      <w:r>
        <w:rPr>
          <w:rFonts w:hint="eastAsia" w:ascii="宋体" w:hAnsi="宋体" w:cs="宋体"/>
          <w:sz w:val="24"/>
          <w:szCs w:val="24"/>
        </w:rPr>
        <w:t>农残检测（检验）报告。</w:t>
      </w:r>
    </w:p>
    <w:p w14:paraId="3FC1BA23">
      <w:pPr>
        <w:snapToGrid w:val="0"/>
        <w:spacing w:line="360" w:lineRule="auto"/>
        <w:ind w:firstLine="480" w:firstLineChars="200"/>
        <w:rPr>
          <w:rFonts w:ascii="宋体" w:hAnsi="宋体" w:cs="宋体"/>
          <w:sz w:val="24"/>
          <w:szCs w:val="24"/>
        </w:rPr>
      </w:pPr>
      <w:r>
        <w:rPr>
          <w:rFonts w:hint="eastAsia" w:ascii="宋体" w:hAnsi="宋体" w:cs="宋体"/>
          <w:sz w:val="24"/>
          <w:szCs w:val="24"/>
        </w:rPr>
        <w:t>3.水果类</w:t>
      </w:r>
    </w:p>
    <w:p w14:paraId="2DA952CC">
      <w:pPr>
        <w:snapToGrid w:val="0"/>
        <w:spacing w:line="360" w:lineRule="auto"/>
        <w:ind w:firstLine="480" w:firstLineChars="200"/>
        <w:rPr>
          <w:rFonts w:ascii="宋体" w:hAnsi="宋体" w:cs="宋体"/>
          <w:sz w:val="24"/>
          <w:szCs w:val="24"/>
        </w:rPr>
      </w:pPr>
      <w:r>
        <w:rPr>
          <w:rFonts w:hint="eastAsia" w:ascii="宋体" w:hAnsi="宋体" w:cs="宋体"/>
          <w:sz w:val="24"/>
          <w:szCs w:val="24"/>
        </w:rPr>
        <w:t>成熟适度、新鲜脆嫩、外形色泽良好清洁、无影响使用的病虫害、无机械损伤。农药残留限量满足国家及行业相关标准，农药残留不得超标。</w:t>
      </w:r>
    </w:p>
    <w:p w14:paraId="4AB7229B">
      <w:pPr>
        <w:snapToGrid w:val="0"/>
        <w:spacing w:line="360" w:lineRule="auto"/>
        <w:ind w:firstLine="480" w:firstLineChars="200"/>
        <w:rPr>
          <w:rFonts w:ascii="宋体" w:hAnsi="宋体" w:cs="宋体"/>
          <w:sz w:val="24"/>
          <w:szCs w:val="24"/>
        </w:rPr>
      </w:pPr>
      <w:r>
        <w:rPr>
          <w:rFonts w:hint="eastAsia" w:ascii="宋体" w:hAnsi="宋体" w:cs="宋体"/>
          <w:sz w:val="24"/>
          <w:szCs w:val="24"/>
        </w:rPr>
        <w:t>4.米面粮油</w:t>
      </w:r>
    </w:p>
    <w:p w14:paraId="335E7CB1">
      <w:pPr>
        <w:snapToGrid w:val="0"/>
        <w:spacing w:line="360" w:lineRule="auto"/>
        <w:ind w:firstLine="480" w:firstLineChars="200"/>
        <w:rPr>
          <w:rFonts w:ascii="宋体" w:hAnsi="宋体" w:cs="宋体"/>
          <w:sz w:val="24"/>
          <w:szCs w:val="24"/>
        </w:rPr>
      </w:pPr>
      <w:r>
        <w:rPr>
          <w:rFonts w:hint="eastAsia" w:ascii="宋体" w:hAnsi="宋体" w:cs="宋体"/>
          <w:sz w:val="24"/>
          <w:szCs w:val="24"/>
        </w:rPr>
        <w:t>4.1大米为一级粳米、包装上必须注明生产日期、保质期、最佳食用期、规格、生产地等相关内容，外观应颗粒饱满，大小均匀，不含非食品用化学物质，不掺假，无虫害及霉变，无杂质，无陈米、酸败及其它异味，包装完整，符合GB/T 1354-2018相关国家标准。</w:t>
      </w:r>
      <w:r>
        <w:rPr>
          <w:rFonts w:hint="eastAsia" w:ascii="宋体" w:hAnsi="宋体" w:cs="宋体"/>
          <w:sz w:val="24"/>
          <w:szCs w:val="24"/>
          <w:lang w:val="en-US" w:eastAsia="zh-CN"/>
        </w:rPr>
        <w:t>具有</w:t>
      </w:r>
      <w:r>
        <w:rPr>
          <w:rFonts w:hint="eastAsia" w:ascii="宋体" w:hAnsi="宋体" w:cs="宋体"/>
          <w:sz w:val="24"/>
          <w:szCs w:val="24"/>
        </w:rPr>
        <w:t>同批次产品出厂检验合格报告或合格证明文件。</w:t>
      </w:r>
    </w:p>
    <w:p w14:paraId="6FE6F875">
      <w:pPr>
        <w:snapToGrid w:val="0"/>
        <w:spacing w:line="360" w:lineRule="auto"/>
        <w:ind w:firstLine="480" w:firstLineChars="200"/>
        <w:rPr>
          <w:rFonts w:ascii="宋体" w:hAnsi="宋体" w:cs="宋体"/>
          <w:sz w:val="24"/>
          <w:szCs w:val="24"/>
        </w:rPr>
      </w:pPr>
      <w:r>
        <w:rPr>
          <w:rFonts w:hint="eastAsia" w:ascii="宋体" w:hAnsi="宋体" w:cs="宋体"/>
          <w:sz w:val="24"/>
          <w:szCs w:val="24"/>
        </w:rPr>
        <w:t>4.2面粉为优质特制一等（精制级）小麦粉，包装上必须注明生产日期、保质期、规格、生产地等相关内容，应符合GB1355-1986《小麦粉》的国家强制性标准，卫生指标应符合GB2715-2016《食品安全国家标准粮食》。具有同批次产品出厂检验合格报告或合格证明文件。</w:t>
      </w:r>
    </w:p>
    <w:p w14:paraId="0B10FB02">
      <w:pPr>
        <w:snapToGrid w:val="0"/>
        <w:spacing w:line="360" w:lineRule="auto"/>
        <w:ind w:firstLine="480" w:firstLineChars="200"/>
        <w:rPr>
          <w:rFonts w:ascii="宋体" w:hAnsi="宋体" w:cs="宋体"/>
          <w:sz w:val="24"/>
          <w:szCs w:val="24"/>
        </w:rPr>
      </w:pPr>
      <w:r>
        <w:rPr>
          <w:rFonts w:hint="eastAsia" w:ascii="宋体" w:hAnsi="宋体" w:cs="宋体"/>
          <w:sz w:val="24"/>
          <w:szCs w:val="24"/>
        </w:rPr>
        <w:t>4.3食用油为非转基因菜籽油、香菜油、调味麻油（参照或相当于金龙鱼、红蜻蜓、鲁花、福临门同档次品牌），包装上必须注明生产日期、保质期、规格、生产地址等相关内容，产品应具有色泽及透明度、气味，无焦臭、酸败及其他异味状态，无正常视力见的异物杂质、残渣，符合国家食用植物油GB 2716-2018相关检测标准，具有同批次产品出厂检验合格报告或合格证明文件。</w:t>
      </w:r>
    </w:p>
    <w:p w14:paraId="22B3CB55">
      <w:pPr>
        <w:snapToGrid w:val="0"/>
        <w:spacing w:line="360" w:lineRule="auto"/>
        <w:ind w:firstLine="480" w:firstLineChars="200"/>
        <w:rPr>
          <w:rFonts w:ascii="宋体" w:hAnsi="宋体" w:cs="宋体"/>
          <w:sz w:val="24"/>
          <w:szCs w:val="24"/>
        </w:rPr>
      </w:pPr>
      <w:r>
        <w:rPr>
          <w:rFonts w:hint="eastAsia" w:ascii="宋体" w:hAnsi="宋体" w:cs="宋体"/>
          <w:sz w:val="24"/>
          <w:szCs w:val="24"/>
        </w:rPr>
        <w:t>5.干副调料类</w:t>
      </w:r>
    </w:p>
    <w:p w14:paraId="55C04AB3">
      <w:pPr>
        <w:snapToGrid w:val="0"/>
        <w:spacing w:line="360" w:lineRule="auto"/>
        <w:ind w:firstLine="480" w:firstLineChars="200"/>
        <w:rPr>
          <w:rFonts w:ascii="宋体" w:hAnsi="宋体" w:cs="宋体"/>
          <w:sz w:val="24"/>
          <w:szCs w:val="24"/>
        </w:rPr>
      </w:pPr>
      <w:r>
        <w:rPr>
          <w:rFonts w:hint="eastAsia" w:ascii="宋体" w:hAnsi="宋体" w:cs="宋体"/>
          <w:sz w:val="24"/>
          <w:szCs w:val="24"/>
        </w:rPr>
        <w:t>5.1干副调料品包装上应注明的生产日期、保质期、规格、生产地等相关内容。干菜、大料、干货等散装的料品是否有发霉、变质的现象。</w:t>
      </w:r>
    </w:p>
    <w:p w14:paraId="670D024D">
      <w:pPr>
        <w:snapToGrid w:val="0"/>
        <w:spacing w:line="360" w:lineRule="auto"/>
        <w:ind w:firstLine="480" w:firstLineChars="200"/>
        <w:rPr>
          <w:rFonts w:ascii="宋体" w:hAnsi="宋体" w:cs="宋体"/>
          <w:sz w:val="24"/>
          <w:szCs w:val="24"/>
        </w:rPr>
      </w:pPr>
      <w:r>
        <w:rPr>
          <w:rFonts w:hint="eastAsia" w:ascii="宋体" w:hAnsi="宋体" w:cs="宋体"/>
          <w:sz w:val="24"/>
          <w:szCs w:val="24"/>
        </w:rPr>
        <w:t>5.2干副调料、生粉豆制品、半成品、调味品（食盐、味精、酱油、醋、糖等）等生产制造商必须取得《食品生产许可证》，相关产品具有产品质检报告，包装上具有</w:t>
      </w:r>
      <w:r>
        <w:rPr>
          <w:rFonts w:hint="eastAsia" w:ascii="宋体" w:hAnsi="宋体" w:cs="宋体"/>
          <w:sz w:val="24"/>
          <w:szCs w:val="24"/>
          <w:lang w:val="en-US" w:eastAsia="zh-CN"/>
        </w:rPr>
        <w:t>相关法律法规要求的</w:t>
      </w:r>
      <w:r>
        <w:rPr>
          <w:rFonts w:hint="eastAsia" w:ascii="宋体" w:hAnsi="宋体" w:cs="宋体"/>
          <w:sz w:val="24"/>
          <w:szCs w:val="24"/>
        </w:rPr>
        <w:t>标志。</w:t>
      </w:r>
    </w:p>
    <w:p w14:paraId="49B5E17E">
      <w:pPr>
        <w:snapToGrid w:val="0"/>
        <w:spacing w:line="360" w:lineRule="auto"/>
        <w:ind w:firstLine="480" w:firstLineChars="200"/>
        <w:rPr>
          <w:rFonts w:ascii="宋体" w:hAnsi="宋体" w:cs="宋体"/>
          <w:sz w:val="24"/>
          <w:szCs w:val="24"/>
        </w:rPr>
      </w:pPr>
      <w:r>
        <w:rPr>
          <w:rFonts w:hint="eastAsia" w:ascii="宋体" w:hAnsi="宋体" w:cs="宋体"/>
          <w:sz w:val="24"/>
          <w:szCs w:val="24"/>
        </w:rPr>
        <w:t>6.蛋类</w:t>
      </w:r>
    </w:p>
    <w:p w14:paraId="365F9CE9">
      <w:pPr>
        <w:snapToGrid w:val="0"/>
        <w:spacing w:line="360" w:lineRule="auto"/>
        <w:ind w:firstLine="480" w:firstLineChars="200"/>
        <w:rPr>
          <w:rFonts w:ascii="宋体" w:hAnsi="宋体" w:cs="宋体"/>
          <w:sz w:val="24"/>
          <w:szCs w:val="24"/>
        </w:rPr>
      </w:pPr>
      <w:r>
        <w:rPr>
          <w:rFonts w:hint="eastAsia" w:ascii="宋体" w:hAnsi="宋体" w:cs="宋体"/>
          <w:sz w:val="24"/>
          <w:szCs w:val="24"/>
        </w:rPr>
        <w:t>外壳完整、洁净，将鲜蛋打开之后，蛋壳内部应为纯白蛋，不能有斑点或污浊，卵白透明，卵黄膜不破裂，卵黄卵白分明，不能有血管形成，不能有腐败等异臭味。光照试验：右手持蛋，左手遮盖光线透视，新鲜蛋整个呈微红色，陈蛋有暗影，腐蛋暗影更多或不透明。振荡试验：将蛋握在手中，使其摇动，新鲜蛋无哑板声，内容物无流动感，无活动声；陈旧蛋由于水分蒸发，内容物缩小，有振荡声。</w:t>
      </w:r>
    </w:p>
    <w:p w14:paraId="5C517906">
      <w:pPr>
        <w:snapToGrid w:val="0"/>
        <w:spacing w:line="360" w:lineRule="auto"/>
        <w:ind w:firstLine="480" w:firstLineChars="200"/>
        <w:rPr>
          <w:rFonts w:ascii="宋体" w:hAnsi="宋体" w:cs="宋体"/>
          <w:sz w:val="24"/>
          <w:szCs w:val="24"/>
        </w:rPr>
      </w:pPr>
      <w:r>
        <w:rPr>
          <w:rFonts w:hint="eastAsia" w:ascii="宋体" w:hAnsi="宋体" w:cs="宋体"/>
          <w:sz w:val="24"/>
          <w:szCs w:val="24"/>
        </w:rPr>
        <w:t>7.饮料奶制品类</w:t>
      </w:r>
    </w:p>
    <w:p w14:paraId="2F128DED">
      <w:pPr>
        <w:snapToGrid w:val="0"/>
        <w:spacing w:line="360" w:lineRule="auto"/>
        <w:ind w:firstLine="480" w:firstLineChars="200"/>
        <w:rPr>
          <w:rFonts w:ascii="宋体" w:hAnsi="宋体" w:cs="宋体"/>
          <w:sz w:val="24"/>
          <w:szCs w:val="24"/>
        </w:rPr>
      </w:pPr>
      <w:r>
        <w:rPr>
          <w:rFonts w:hint="eastAsia" w:ascii="宋体" w:hAnsi="宋体" w:cs="宋体"/>
          <w:sz w:val="24"/>
          <w:szCs w:val="24"/>
        </w:rPr>
        <w:t>商品质量符合国家相关法律法规规定，外包装完好无损，常规饮料及常温奶剩余质保期不低于质保期的1/2，冷藏型酸奶、鲜奶不超过出厂日期后三日。</w:t>
      </w:r>
    </w:p>
    <w:p w14:paraId="62AECA13">
      <w:pPr>
        <w:snapToGrid w:val="0"/>
        <w:spacing w:line="360" w:lineRule="auto"/>
        <w:ind w:firstLine="480" w:firstLineChars="200"/>
        <w:rPr>
          <w:rFonts w:ascii="宋体" w:hAnsi="宋体" w:cs="宋体"/>
          <w:sz w:val="24"/>
          <w:szCs w:val="24"/>
        </w:rPr>
      </w:pPr>
      <w:r>
        <w:rPr>
          <w:rFonts w:hint="eastAsia" w:ascii="宋体" w:hAnsi="宋体" w:cs="宋体"/>
          <w:sz w:val="24"/>
          <w:szCs w:val="24"/>
        </w:rPr>
        <w:t>8.预包装食品</w:t>
      </w:r>
    </w:p>
    <w:p w14:paraId="2274CA89">
      <w:pPr>
        <w:snapToGrid w:val="0"/>
        <w:spacing w:line="360" w:lineRule="auto"/>
        <w:ind w:firstLine="480" w:firstLineChars="200"/>
        <w:rPr>
          <w:rFonts w:ascii="宋体" w:hAnsi="宋体" w:cs="宋体"/>
          <w:sz w:val="24"/>
          <w:szCs w:val="24"/>
        </w:rPr>
      </w:pPr>
      <w:r>
        <w:rPr>
          <w:rFonts w:hint="eastAsia" w:ascii="宋体" w:hAnsi="宋体" w:cs="宋体"/>
          <w:sz w:val="24"/>
          <w:szCs w:val="24"/>
        </w:rPr>
        <w:t>商品质量符合国家相关法律法规规定，外包装完好无损，剩余质保期不低于质保期的2/3。</w:t>
      </w:r>
    </w:p>
    <w:p w14:paraId="7E141DDC">
      <w:pPr>
        <w:outlineLvl w:val="1"/>
        <w:rPr>
          <w:rFonts w:ascii="宋体" w:hAnsi="宋体" w:cs="宋体"/>
          <w:b/>
          <w:szCs w:val="21"/>
        </w:rPr>
      </w:pPr>
      <w:bookmarkStart w:id="168" w:name="_Toc23334"/>
      <w:bookmarkStart w:id="169" w:name="_Toc26812"/>
      <w:bookmarkStart w:id="170" w:name="_Toc25482"/>
      <w:bookmarkStart w:id="171" w:name="_Toc11491"/>
      <w:r>
        <w:rPr>
          <w:rFonts w:hint="eastAsia" w:ascii="宋体" w:hAnsi="宋体" w:cs="宋体"/>
          <w:b/>
          <w:szCs w:val="21"/>
        </w:rPr>
        <w:t>※四、食品安全</w:t>
      </w:r>
      <w:bookmarkEnd w:id="168"/>
      <w:bookmarkEnd w:id="169"/>
      <w:bookmarkEnd w:id="170"/>
      <w:bookmarkEnd w:id="171"/>
    </w:p>
    <w:p w14:paraId="1B0D8382">
      <w:pPr>
        <w:snapToGrid w:val="0"/>
        <w:spacing w:line="360" w:lineRule="auto"/>
        <w:ind w:firstLine="480" w:firstLineChars="200"/>
        <w:rPr>
          <w:rFonts w:ascii="宋体" w:hAnsi="宋体" w:cs="宋体"/>
          <w:sz w:val="24"/>
          <w:szCs w:val="24"/>
        </w:rPr>
      </w:pPr>
      <w:r>
        <w:rPr>
          <w:rFonts w:hint="eastAsia" w:ascii="宋体" w:hAnsi="宋体" w:cs="宋体"/>
          <w:sz w:val="24"/>
          <w:szCs w:val="24"/>
        </w:rPr>
        <w:t>（一）比选申请人依据产品质量监督检验所提供的质量标准，提供的产品必须是经过质量监督管理部门检验并取得合格证明的产品，每批次产品具有物资质量合格证明、产品质量检测合格报告或检疫报告复印件（其中配送肉、禽类具有《动物检疫合格证明》；蔬菜具有《食品安全检验报告》）。中选人应保证食材品质，做好食品安全管控，保证食品的安全性，不得有腐烂、变质、发霉、过期食材。</w:t>
      </w:r>
    </w:p>
    <w:p w14:paraId="0DEFDBA5">
      <w:pPr>
        <w:snapToGrid w:val="0"/>
        <w:spacing w:line="360" w:lineRule="auto"/>
        <w:ind w:firstLine="480" w:firstLineChars="200"/>
        <w:rPr>
          <w:rFonts w:ascii="宋体" w:hAnsi="宋体" w:cs="宋体"/>
          <w:sz w:val="24"/>
          <w:szCs w:val="24"/>
        </w:rPr>
      </w:pPr>
      <w:r>
        <w:rPr>
          <w:rFonts w:hint="eastAsia" w:ascii="宋体" w:hAnsi="宋体" w:cs="宋体"/>
          <w:sz w:val="24"/>
          <w:szCs w:val="24"/>
        </w:rPr>
        <w:t>（二）比选申请人应保证及时提供数量准确、合格安全的产品。一旦发现伪劣假冒产品、以次充好产品或替代产品，比选人立即封存报经市场监管、卫生健康等相关部门依照相关的法律法规进行质量监测认证后，由比选申请人承担一切民事赔偿、行政处罚和刑事责任，比选人有权单方解除合同并要求比选申请人赔偿所造成的所有损失，同时列入比选人采购黑名单，若造成刑事责任，移送司法机关处理。</w:t>
      </w:r>
    </w:p>
    <w:p w14:paraId="61CA35D1">
      <w:pPr>
        <w:snapToGrid w:val="0"/>
        <w:spacing w:line="360" w:lineRule="auto"/>
        <w:ind w:firstLine="482" w:firstLineChars="200"/>
        <w:rPr>
          <w:rFonts w:ascii="宋体" w:hAnsi="宋体" w:cs="宋体"/>
          <w:b/>
          <w:bCs/>
          <w:sz w:val="24"/>
          <w:szCs w:val="24"/>
        </w:rPr>
      </w:pPr>
      <w:r>
        <w:rPr>
          <w:rFonts w:hint="eastAsia" w:ascii="宋体" w:hAnsi="宋体" w:cs="宋体"/>
          <w:b/>
          <w:bCs/>
          <w:sz w:val="24"/>
          <w:szCs w:val="24"/>
        </w:rPr>
        <w:t>（三）中选人对配送期间的食品安</w:t>
      </w:r>
      <w:r>
        <w:rPr>
          <w:rFonts w:hint="eastAsia" w:ascii="宋体" w:hAnsi="宋体" w:cs="宋体"/>
          <w:b/>
          <w:bCs/>
          <w:sz w:val="24"/>
          <w:szCs w:val="24"/>
          <w:highlight w:val="none"/>
        </w:rPr>
        <w:t>全负责，必须与比选人签订《食品安全</w:t>
      </w:r>
      <w:r>
        <w:rPr>
          <w:rFonts w:hint="eastAsia" w:ascii="宋体" w:hAnsi="宋体" w:cs="宋体"/>
          <w:b/>
          <w:bCs/>
          <w:sz w:val="24"/>
          <w:szCs w:val="24"/>
        </w:rPr>
        <w:t>协议书》。</w:t>
      </w:r>
    </w:p>
    <w:p w14:paraId="6FD3C6AC">
      <w:pPr>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rPr>
        <w:t>（四）对于质量有问题的食品要保证退货，并及时更换符合质量标准的食品。比选申请人要努力提高有关工作人员的服务水平，不得强制向比选人配送不符质量标准的食品。如发生配送食品质量引发食品安全事故，除比选人按合同约定取消配送资格外，比选申请人需承担相应法律责任和因此造成的经济损失。因配送食材质量低于配送标准，例如：漏送、缺斤少两、质量不合格等 ，对照考核细则，由验收人员及膳食管理人员核定，一个月超过三次（含三次），全年累计超过六次（含六次），按合同约定取消配送资格</w:t>
      </w:r>
      <w:r>
        <w:rPr>
          <w:rFonts w:hint="eastAsia" w:ascii="宋体" w:hAnsi="宋体" w:cs="宋体"/>
          <w:sz w:val="24"/>
          <w:szCs w:val="24"/>
          <w:lang w:eastAsia="zh-CN"/>
        </w:rPr>
        <w:t>，</w:t>
      </w:r>
      <w:r>
        <w:rPr>
          <w:rFonts w:hint="eastAsia" w:ascii="宋体" w:hAnsi="宋体" w:cs="宋体"/>
          <w:sz w:val="24"/>
          <w:szCs w:val="24"/>
          <w:lang w:val="en-US" w:eastAsia="zh-CN"/>
        </w:rPr>
        <w:t>合同终止并由中选人承担相应违约责任。</w:t>
      </w:r>
    </w:p>
    <w:p w14:paraId="1C4959C3">
      <w:pPr>
        <w:outlineLvl w:val="1"/>
        <w:rPr>
          <w:rFonts w:ascii="宋体" w:hAnsi="宋体" w:cs="宋体"/>
          <w:b/>
          <w:szCs w:val="21"/>
        </w:rPr>
      </w:pPr>
      <w:bookmarkStart w:id="172" w:name="_Toc3665"/>
      <w:bookmarkStart w:id="173" w:name="_Toc20289"/>
      <w:bookmarkStart w:id="174" w:name="_Toc2772"/>
      <w:bookmarkStart w:id="175" w:name="_Toc15607"/>
      <w:r>
        <w:rPr>
          <w:rFonts w:hint="eastAsia" w:ascii="宋体" w:hAnsi="宋体" w:cs="宋体"/>
          <w:b/>
          <w:szCs w:val="21"/>
        </w:rPr>
        <w:t>※五、其他</w:t>
      </w:r>
      <w:bookmarkEnd w:id="172"/>
      <w:bookmarkEnd w:id="173"/>
      <w:bookmarkEnd w:id="174"/>
      <w:bookmarkEnd w:id="175"/>
    </w:p>
    <w:p w14:paraId="31715F0B">
      <w:pPr>
        <w:spacing w:line="400" w:lineRule="exact"/>
        <w:ind w:firstLine="480" w:firstLineChars="200"/>
        <w:rPr>
          <w:rFonts w:ascii="宋体" w:hAnsi="宋体" w:cs="宋体"/>
          <w:sz w:val="24"/>
          <w:szCs w:val="24"/>
        </w:rPr>
      </w:pPr>
      <w:r>
        <w:rPr>
          <w:rFonts w:hint="eastAsia" w:ascii="宋体" w:hAnsi="宋体" w:cs="宋体"/>
          <w:sz w:val="24"/>
          <w:szCs w:val="24"/>
        </w:rPr>
        <w:t>（一）临时需要的少量原材料配送，比选申请人在接到比选人送货要求后，按比选人要求及时配送到位。</w:t>
      </w:r>
    </w:p>
    <w:p w14:paraId="1D1F70D9">
      <w:pPr>
        <w:spacing w:line="400" w:lineRule="exact"/>
        <w:ind w:firstLine="480" w:firstLineChars="200"/>
        <w:rPr>
          <w:rFonts w:ascii="宋体" w:hAnsi="宋体" w:cs="宋体"/>
          <w:sz w:val="24"/>
          <w:szCs w:val="24"/>
        </w:rPr>
      </w:pPr>
      <w:r>
        <w:rPr>
          <w:rFonts w:hint="eastAsia" w:ascii="宋体" w:hAnsi="宋体" w:cs="宋体"/>
          <w:sz w:val="24"/>
          <w:szCs w:val="24"/>
        </w:rPr>
        <w:t>（二）比选申请人所提供的食材应当符合《中华人民共和国食品安全法》的相关规定。</w:t>
      </w:r>
    </w:p>
    <w:p w14:paraId="1B5F0385">
      <w:pPr>
        <w:spacing w:line="400" w:lineRule="exact"/>
        <w:ind w:firstLine="480" w:firstLineChars="200"/>
        <w:rPr>
          <w:rFonts w:ascii="宋体" w:hAnsi="宋体" w:cs="宋体"/>
          <w:sz w:val="24"/>
          <w:szCs w:val="24"/>
        </w:rPr>
      </w:pPr>
      <w:r>
        <w:rPr>
          <w:rFonts w:hint="eastAsia" w:ascii="宋体" w:hAnsi="宋体" w:cs="宋体"/>
          <w:sz w:val="24"/>
          <w:szCs w:val="24"/>
        </w:rPr>
        <w:t>（三）比选申请人所提供的食材应当符合国家及行业的相关标准。</w:t>
      </w:r>
    </w:p>
    <w:p w14:paraId="3E6903C4">
      <w:pPr>
        <w:spacing w:line="400" w:lineRule="exact"/>
        <w:ind w:firstLine="480" w:firstLineChars="200"/>
        <w:rPr>
          <w:rFonts w:ascii="宋体" w:hAnsi="宋体" w:cs="宋体"/>
          <w:sz w:val="24"/>
          <w:szCs w:val="24"/>
        </w:rPr>
      </w:pPr>
      <w:r>
        <w:rPr>
          <w:rFonts w:hint="eastAsia" w:ascii="宋体" w:hAnsi="宋体" w:cs="宋体"/>
          <w:sz w:val="24"/>
          <w:szCs w:val="24"/>
        </w:rPr>
        <w:t>（四）比选申请人须配备满足本项目服务需求的人员和运输设备。</w:t>
      </w:r>
    </w:p>
    <w:p w14:paraId="1F57A56F">
      <w:pPr>
        <w:spacing w:line="400" w:lineRule="exact"/>
        <w:ind w:firstLine="480" w:firstLineChars="200"/>
        <w:rPr>
          <w:rFonts w:ascii="宋体" w:hAnsi="宋体" w:cs="宋体"/>
          <w:sz w:val="24"/>
          <w:szCs w:val="24"/>
        </w:rPr>
      </w:pPr>
      <w:r>
        <w:rPr>
          <w:rFonts w:hint="eastAsia" w:ascii="宋体" w:hAnsi="宋体" w:cs="宋体"/>
          <w:sz w:val="24"/>
          <w:szCs w:val="24"/>
        </w:rPr>
        <w:t>（五）比选申请人须具有完整的配送体系以及内部管理制度，确保配送质量和突发事件的应对。</w:t>
      </w:r>
    </w:p>
    <w:p w14:paraId="08890E17">
      <w:pPr>
        <w:pStyle w:val="2"/>
        <w:spacing w:line="360" w:lineRule="auto"/>
        <w:jc w:val="center"/>
        <w:rPr>
          <w:rFonts w:hAnsi="宋体" w:cs="宋体"/>
          <w:b/>
          <w:bCs/>
          <w:sz w:val="36"/>
          <w:szCs w:val="30"/>
        </w:rPr>
      </w:pPr>
      <w:r>
        <w:rPr>
          <w:rFonts w:hint="eastAsia" w:hAnsi="宋体" w:cs="宋体"/>
          <w:color w:val="0000FF"/>
          <w:sz w:val="24"/>
          <w:szCs w:val="24"/>
        </w:rPr>
        <w:br w:type="page"/>
      </w:r>
      <w:bookmarkStart w:id="176" w:name="_Toc31472"/>
      <w:bookmarkStart w:id="177" w:name="_Toc11819"/>
      <w:bookmarkStart w:id="178" w:name="_Toc26086"/>
      <w:bookmarkStart w:id="179" w:name="_Toc12375"/>
      <w:bookmarkStart w:id="180" w:name="_Toc10645"/>
      <w:bookmarkStart w:id="181" w:name="_Toc21418"/>
      <w:r>
        <w:rPr>
          <w:rFonts w:hint="eastAsia" w:hAnsi="宋体" w:cs="宋体"/>
          <w:b/>
          <w:bCs/>
          <w:sz w:val="36"/>
          <w:szCs w:val="30"/>
        </w:rPr>
        <w:t xml:space="preserve">第三篇  </w:t>
      </w:r>
      <w:bookmarkEnd w:id="154"/>
      <w:r>
        <w:rPr>
          <w:rFonts w:hint="eastAsia" w:hAnsi="宋体" w:cs="宋体"/>
          <w:b/>
          <w:bCs/>
          <w:sz w:val="36"/>
          <w:szCs w:val="30"/>
        </w:rPr>
        <w:t>项目商务需求</w:t>
      </w:r>
      <w:bookmarkEnd w:id="155"/>
      <w:bookmarkEnd w:id="176"/>
      <w:bookmarkEnd w:id="177"/>
      <w:bookmarkEnd w:id="178"/>
      <w:bookmarkEnd w:id="179"/>
      <w:bookmarkEnd w:id="180"/>
      <w:bookmarkEnd w:id="181"/>
    </w:p>
    <w:p w14:paraId="46F6313B">
      <w:pPr>
        <w:snapToGrid w:val="0"/>
        <w:spacing w:line="360" w:lineRule="auto"/>
        <w:outlineLvl w:val="1"/>
        <w:rPr>
          <w:rFonts w:ascii="宋体" w:hAnsi="宋体" w:cs="宋体"/>
          <w:b/>
          <w:szCs w:val="28"/>
        </w:rPr>
      </w:pPr>
      <w:bookmarkStart w:id="182" w:name="_Toc10708"/>
      <w:bookmarkStart w:id="183" w:name="_Toc3757"/>
      <w:bookmarkStart w:id="184" w:name="_Toc7413"/>
      <w:bookmarkStart w:id="185" w:name="_Toc29694"/>
      <w:bookmarkStart w:id="186" w:name="_Toc2968"/>
      <w:bookmarkStart w:id="187" w:name="_Toc12003"/>
      <w:bookmarkStart w:id="188" w:name="_Toc1708"/>
      <w:bookmarkStart w:id="189" w:name="_Toc18693"/>
      <w:bookmarkStart w:id="190" w:name="_Toc15718"/>
      <w:bookmarkStart w:id="191" w:name="_Toc76462331"/>
      <w:bookmarkStart w:id="192" w:name="_Toc24286"/>
      <w:bookmarkStart w:id="193" w:name="_Toc76462330"/>
      <w:bookmarkStart w:id="194" w:name="_Toc15425"/>
      <w:bookmarkStart w:id="195" w:name="_Toc112837393"/>
      <w:bookmarkStart w:id="196" w:name="_Toc20023"/>
      <w:bookmarkStart w:id="197" w:name="_Toc32370"/>
      <w:bookmarkStart w:id="198" w:name="_Toc23982"/>
      <w:bookmarkStart w:id="199" w:name="_Toc26665"/>
      <w:bookmarkStart w:id="200" w:name="_Toc26054"/>
      <w:bookmarkStart w:id="201" w:name="_Toc21588"/>
      <w:bookmarkStart w:id="202" w:name="_Toc344475122"/>
      <w:bookmarkStart w:id="203" w:name="_Toc17737"/>
      <w:bookmarkStart w:id="204" w:name="_Toc5382"/>
      <w:bookmarkStart w:id="205" w:name="_Toc13097"/>
      <w:bookmarkStart w:id="206" w:name="_Toc24677"/>
      <w:bookmarkStart w:id="207" w:name="_Toc4925"/>
      <w:bookmarkStart w:id="208" w:name="_Toc12836"/>
      <w:bookmarkStart w:id="209" w:name="_Toc5219"/>
      <w:bookmarkStart w:id="210" w:name="_Toc31384"/>
      <w:bookmarkStart w:id="211" w:name="_Toc344475124"/>
      <w:r>
        <w:rPr>
          <w:rFonts w:hint="eastAsia" w:ascii="宋体" w:hAnsi="宋体" w:cs="宋体"/>
          <w:b/>
          <w:szCs w:val="28"/>
        </w:rPr>
        <w:t>说明：本篇“※”标注的项目商务需求为符合性审查中的实质性要求，若不满足按否决比选申请处理。</w:t>
      </w:r>
      <w:bookmarkEnd w:id="182"/>
      <w:bookmarkEnd w:id="183"/>
    </w:p>
    <w:p w14:paraId="346F84CE">
      <w:pPr>
        <w:snapToGrid w:val="0"/>
        <w:spacing w:line="360" w:lineRule="auto"/>
        <w:ind w:firstLine="562" w:firstLineChars="200"/>
        <w:outlineLvl w:val="1"/>
        <w:rPr>
          <w:rFonts w:ascii="宋体" w:hAnsi="宋体" w:cs="宋体"/>
          <w:b/>
          <w:szCs w:val="28"/>
        </w:rPr>
      </w:pPr>
      <w:bookmarkStart w:id="212" w:name="_Toc2159"/>
      <w:bookmarkStart w:id="213" w:name="_Toc8002"/>
      <w:r>
        <w:rPr>
          <w:rFonts w:hint="eastAsia" w:ascii="宋体" w:hAnsi="宋体" w:cs="宋体"/>
          <w:b/>
          <w:szCs w:val="28"/>
        </w:rPr>
        <w:t>※一、服务时间、地点</w:t>
      </w:r>
      <w:bookmarkEnd w:id="184"/>
      <w:bookmarkEnd w:id="185"/>
      <w:bookmarkEnd w:id="186"/>
      <w:bookmarkEnd w:id="212"/>
      <w:bookmarkEnd w:id="213"/>
    </w:p>
    <w:p w14:paraId="17E6BBDA">
      <w:pPr>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cs="宋体"/>
          <w:bCs/>
          <w:sz w:val="24"/>
          <w:szCs w:val="24"/>
        </w:rPr>
        <w:t>（一）服务时间：1年。</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注：如因政策变动发生国有企业合并导致比选人无法继续按合同履约的情况，比选人将提前10个工作日告知中选单位，对已采购货物据实结算并有权单方面终止合同不承担由此带来的违约责任。各潜在比选人自行评估因此可能导致的风险，在此基础上决定是否参与本次比选。</w:t>
      </w:r>
      <w:r>
        <w:rPr>
          <w:rFonts w:hint="eastAsia" w:ascii="宋体" w:hAnsi="宋体" w:cs="宋体"/>
          <w:b/>
          <w:bCs w:val="0"/>
          <w:sz w:val="24"/>
          <w:szCs w:val="24"/>
          <w:lang w:eastAsia="zh-CN"/>
        </w:rPr>
        <w:t>）</w:t>
      </w:r>
    </w:p>
    <w:p w14:paraId="3F87D1FC">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（二）实施地点：</w:t>
      </w:r>
      <w:r>
        <w:rPr>
          <w:rFonts w:hint="eastAsia" w:ascii="宋体" w:hAnsi="宋体" w:cs="宋体"/>
          <w:sz w:val="24"/>
          <w:szCs w:val="28"/>
        </w:rPr>
        <w:t>重庆市江北区山水天成小区7号附2号2-1（具体以</w:t>
      </w:r>
      <w:r>
        <w:rPr>
          <w:rFonts w:hint="eastAsia" w:ascii="宋体" w:hAnsi="宋体" w:cs="宋体"/>
          <w:sz w:val="24"/>
          <w:szCs w:val="28"/>
          <w:lang w:eastAsia="zh-CN"/>
        </w:rPr>
        <w:t>比选人</w:t>
      </w:r>
      <w:r>
        <w:rPr>
          <w:rFonts w:hint="eastAsia" w:ascii="宋体" w:hAnsi="宋体" w:cs="宋体"/>
          <w:sz w:val="24"/>
          <w:szCs w:val="28"/>
        </w:rPr>
        <w:t>确认为准。在服务期限内，</w:t>
      </w:r>
      <w:r>
        <w:rPr>
          <w:rFonts w:hint="eastAsia" w:ascii="宋体" w:hAnsi="宋体" w:cs="宋体"/>
          <w:sz w:val="24"/>
          <w:szCs w:val="28"/>
          <w:lang w:eastAsia="zh-CN"/>
        </w:rPr>
        <w:t>比选人</w:t>
      </w:r>
      <w:r>
        <w:rPr>
          <w:rFonts w:hint="eastAsia" w:ascii="宋体" w:hAnsi="宋体" w:cs="宋体"/>
          <w:sz w:val="24"/>
          <w:szCs w:val="28"/>
        </w:rPr>
        <w:t>有权根据采购需求的实际情况调整服务范围及服务地址）</w:t>
      </w:r>
      <w:r>
        <w:rPr>
          <w:rFonts w:hint="eastAsia" w:ascii="宋体" w:hAnsi="宋体" w:cs="宋体"/>
          <w:bCs/>
          <w:sz w:val="24"/>
          <w:szCs w:val="24"/>
        </w:rPr>
        <w:t>。</w:t>
      </w:r>
    </w:p>
    <w:p w14:paraId="0E4D7D9F">
      <w:pPr>
        <w:snapToGrid w:val="0"/>
        <w:spacing w:line="360" w:lineRule="auto"/>
        <w:ind w:firstLine="562" w:firstLineChars="200"/>
        <w:outlineLvl w:val="1"/>
        <w:rPr>
          <w:rFonts w:ascii="宋体" w:hAnsi="宋体" w:cs="宋体"/>
          <w:b/>
          <w:szCs w:val="28"/>
        </w:rPr>
      </w:pPr>
      <w:bookmarkStart w:id="214" w:name="_Toc16472"/>
      <w:bookmarkStart w:id="215" w:name="_Toc31160"/>
      <w:bookmarkStart w:id="216" w:name="_Toc23342"/>
      <w:bookmarkStart w:id="217" w:name="_Toc25816"/>
      <w:bookmarkStart w:id="218" w:name="_Toc2300"/>
      <w:r>
        <w:rPr>
          <w:rFonts w:hint="eastAsia" w:ascii="宋体" w:hAnsi="宋体" w:cs="宋体"/>
          <w:b/>
          <w:szCs w:val="28"/>
        </w:rPr>
        <w:t>※二、配送要求</w:t>
      </w:r>
      <w:bookmarkEnd w:id="214"/>
      <w:bookmarkEnd w:id="215"/>
      <w:bookmarkEnd w:id="216"/>
      <w:bookmarkEnd w:id="217"/>
      <w:bookmarkEnd w:id="218"/>
    </w:p>
    <w:p w14:paraId="221C97DC">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1、供应方式：中选人按照比选人预约的货物数量、质量、时间按时配送至比选人指定地点。由比选人相关人员组织现场复称、验收、签字登记后入库。</w:t>
      </w:r>
    </w:p>
    <w:p w14:paraId="0C203D56">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2、供货时间：中选人应保持相对稳定的进货渠道和充足的货源。一般情况下，比选人应提前8小时将所需货物的数量通知中选人，中选人按比选人规定的时间将所需货物送达比选人指定地点。如遇紧急情况，中选人应在20分钟内将所需物资品名、数量配送至比选人指定地点，中选人不得以任何理由拒绝或推迟供应比选人所需货物。中选人应按比选人指定时间，将比选人所需食品配送到指定地点。（通常情况下是每天早上8点验货）</w:t>
      </w:r>
    </w:p>
    <w:p w14:paraId="7171DF6C">
      <w:pPr>
        <w:snapToGrid w:val="0"/>
        <w:spacing w:line="360" w:lineRule="auto"/>
        <w:ind w:firstLine="562" w:firstLineChars="200"/>
        <w:outlineLvl w:val="1"/>
        <w:rPr>
          <w:rFonts w:ascii="宋体" w:hAnsi="宋体" w:cs="宋体"/>
          <w:b/>
          <w:szCs w:val="28"/>
          <w:highlight w:val="none"/>
        </w:rPr>
      </w:pPr>
      <w:bookmarkStart w:id="219" w:name="_Toc840"/>
      <w:bookmarkStart w:id="220" w:name="_Toc20926"/>
      <w:bookmarkStart w:id="221" w:name="_Toc2818"/>
      <w:bookmarkStart w:id="222" w:name="_Toc10772"/>
      <w:bookmarkStart w:id="223" w:name="_Toc25352"/>
      <w:r>
        <w:rPr>
          <w:rFonts w:hint="eastAsia" w:ascii="宋体" w:hAnsi="宋体" w:cs="宋体"/>
          <w:b/>
          <w:szCs w:val="28"/>
        </w:rPr>
        <w:t>※三、报价要求</w:t>
      </w:r>
      <w:bookmarkEnd w:id="219"/>
      <w:bookmarkEnd w:id="220"/>
      <w:bookmarkEnd w:id="221"/>
      <w:bookmarkEnd w:id="222"/>
      <w:bookmarkEnd w:id="223"/>
    </w:p>
    <w:p w14:paraId="1397FBB3">
      <w:pPr>
        <w:snapToGrid w:val="0"/>
        <w:spacing w:line="36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1、本次比选申请报价按照</w:t>
      </w:r>
      <w:r>
        <w:rPr>
          <w:rFonts w:hint="eastAsia" w:ascii="宋体" w:hAnsi="宋体" w:cs="宋体"/>
          <w:bCs/>
          <w:sz w:val="24"/>
          <w:szCs w:val="24"/>
          <w:highlight w:val="none"/>
          <w:lang w:val="en-US" w:eastAsia="zh-CN"/>
        </w:rPr>
        <w:t>固定费率</w:t>
      </w:r>
      <w:r>
        <w:rPr>
          <w:rFonts w:hint="eastAsia" w:ascii="宋体" w:hAnsi="宋体" w:cs="宋体"/>
          <w:bCs/>
          <w:sz w:val="24"/>
          <w:szCs w:val="24"/>
          <w:highlight w:val="none"/>
        </w:rPr>
        <w:t>形式进行填报，</w:t>
      </w:r>
      <w:r>
        <w:rPr>
          <w:rFonts w:hint="eastAsia" w:ascii="宋体" w:hAnsi="宋体" w:cs="宋体"/>
          <w:bCs/>
          <w:sz w:val="24"/>
          <w:szCs w:val="24"/>
          <w:highlight w:val="none"/>
          <w:lang w:val="en-US" w:eastAsia="zh-CN"/>
        </w:rPr>
        <w:t>固定费率范围</w:t>
      </w:r>
      <w:r>
        <w:rPr>
          <w:rFonts w:hint="eastAsia" w:ascii="宋体" w:hAnsi="宋体" w:cs="宋体"/>
          <w:bCs/>
          <w:sz w:val="24"/>
          <w:szCs w:val="24"/>
          <w:highlight w:val="none"/>
        </w:rPr>
        <w:t>在0%——100%之间填报，否则其比选申请将被否决。</w:t>
      </w:r>
    </w:p>
    <w:p w14:paraId="4A150378">
      <w:pPr>
        <w:snapToGrid w:val="0"/>
        <w:spacing w:line="36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2、中选后结算以各种品目的基准价为基础按照其中选固定费率进行计算（所有食材均以此中选固定费率计算。如中选固定费率为90%，某食材当日基准价为10元，比选人与中选人就该食材的实际结算价格应为10×90%=9元；其它食材也应按固定费率90%计算实际结算价格。）</w:t>
      </w:r>
    </w:p>
    <w:p w14:paraId="6BEA88C6">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3、比选申请报价应包括完成本项目所需的</w:t>
      </w:r>
      <w:r>
        <w:rPr>
          <w:rFonts w:hint="eastAsia" w:ascii="宋体" w:hAnsi="宋体" w:cs="宋体"/>
          <w:bCs/>
          <w:sz w:val="24"/>
          <w:szCs w:val="24"/>
          <w:lang w:val="en-US" w:eastAsia="zh-CN"/>
        </w:rPr>
        <w:t>物品</w:t>
      </w:r>
      <w:r>
        <w:rPr>
          <w:rFonts w:hint="eastAsia" w:ascii="宋体" w:hAnsi="宋体" w:cs="宋体"/>
          <w:bCs/>
          <w:sz w:val="24"/>
          <w:szCs w:val="24"/>
        </w:rPr>
        <w:t>成本、包装费、材料加工费、运输费、装卸费、搬运费、检测费、人工费、宰杀费、保险费、车辆费、交易服务费、利润、税金等配送服务的一切费用。因比选申请人自身原因造成漏报、少报皆由其自行承担责任，比选人不再补偿。合同期内所有采购品目均采用相同的固定费率。若比选申请时出现了多个固定费率，其比选申请将被否决。</w:t>
      </w:r>
    </w:p>
    <w:p w14:paraId="24A3CC4F">
      <w:pPr>
        <w:snapToGrid w:val="0"/>
        <w:spacing w:line="360" w:lineRule="auto"/>
        <w:ind w:firstLine="562" w:firstLineChars="200"/>
        <w:outlineLvl w:val="1"/>
        <w:rPr>
          <w:rFonts w:ascii="宋体" w:hAnsi="宋体" w:cs="宋体"/>
          <w:b/>
          <w:szCs w:val="28"/>
        </w:rPr>
      </w:pPr>
      <w:bookmarkStart w:id="224" w:name="_Toc4460"/>
      <w:bookmarkStart w:id="225" w:name="_Toc28146"/>
      <w:bookmarkStart w:id="226" w:name="_Toc7462"/>
      <w:bookmarkStart w:id="227" w:name="_Toc3199"/>
      <w:bookmarkStart w:id="228" w:name="_Toc15078"/>
      <w:r>
        <w:rPr>
          <w:rFonts w:hint="eastAsia" w:ascii="宋体" w:hAnsi="宋体" w:cs="宋体"/>
          <w:b/>
          <w:szCs w:val="28"/>
        </w:rPr>
        <w:t>※四、验收方式</w:t>
      </w:r>
      <w:bookmarkEnd w:id="224"/>
      <w:bookmarkEnd w:id="225"/>
      <w:bookmarkEnd w:id="226"/>
      <w:bookmarkEnd w:id="227"/>
      <w:bookmarkEnd w:id="228"/>
    </w:p>
    <w:p w14:paraId="1848BE40">
      <w:pPr>
        <w:snapToGrid w:val="0"/>
        <w:spacing w:line="360" w:lineRule="auto"/>
        <w:ind w:firstLine="480" w:firstLineChars="200"/>
        <w:rPr>
          <w:rFonts w:ascii="宋体" w:hAnsi="宋体" w:cs="宋体"/>
          <w:sz w:val="24"/>
          <w:szCs w:val="24"/>
        </w:rPr>
      </w:pPr>
      <w:r>
        <w:rPr>
          <w:rFonts w:hint="eastAsia" w:ascii="宋体" w:hAnsi="宋体" w:cs="宋体"/>
          <w:sz w:val="24"/>
          <w:szCs w:val="24"/>
        </w:rPr>
        <w:t>（一）货物到达现场后，比选人和中选人应现场检查验收，若产品质量不能达到收货标准，比选人有权拒收配送物资，中选人应无条件在1小时内补充合格产品，不得影响比选人正常开餐。对符合要求的产品当场作出记录，双方签字确认。比选人有权要求中选人对所提供产品进行送检，并按比选文件要求的标准提供该批次产品的检验合格报告。</w:t>
      </w:r>
    </w:p>
    <w:p w14:paraId="7C402B31">
      <w:pPr>
        <w:snapToGrid w:val="0"/>
        <w:spacing w:line="360" w:lineRule="auto"/>
        <w:ind w:firstLine="480" w:firstLineChars="200"/>
        <w:rPr>
          <w:rFonts w:ascii="宋体" w:hAnsi="宋体" w:cs="宋体"/>
          <w:sz w:val="24"/>
          <w:szCs w:val="24"/>
        </w:rPr>
      </w:pPr>
      <w:r>
        <w:rPr>
          <w:rFonts w:hint="eastAsia" w:ascii="宋体" w:hAnsi="宋体" w:cs="宋体"/>
          <w:sz w:val="24"/>
          <w:szCs w:val="24"/>
        </w:rPr>
        <w:t>（二）提供货物未达到比选文件规定要求，且对比选人造成损失的，由中选人承担一切责任，并赔偿所造成损失。</w:t>
      </w:r>
    </w:p>
    <w:p w14:paraId="3A805772">
      <w:pPr>
        <w:snapToGrid w:val="0"/>
        <w:spacing w:line="360" w:lineRule="auto"/>
        <w:ind w:firstLine="480" w:firstLineChars="200"/>
        <w:rPr>
          <w:rFonts w:ascii="宋体" w:hAnsi="宋体" w:cs="宋体"/>
          <w:sz w:val="24"/>
          <w:szCs w:val="24"/>
        </w:rPr>
      </w:pPr>
      <w:r>
        <w:rPr>
          <w:rFonts w:hint="eastAsia" w:ascii="宋体" w:hAnsi="宋体" w:cs="宋体"/>
          <w:sz w:val="24"/>
          <w:szCs w:val="24"/>
        </w:rPr>
        <w:t>（三）中选人除对检验不合格产品无条件退、换货外，其它需按双方约定予以处理。</w:t>
      </w:r>
    </w:p>
    <w:p w14:paraId="3D2FC271">
      <w:pPr>
        <w:snapToGrid w:val="0"/>
        <w:spacing w:line="360" w:lineRule="auto"/>
        <w:ind w:firstLine="480" w:firstLineChars="200"/>
        <w:rPr>
          <w:rFonts w:ascii="宋体" w:hAnsi="宋体" w:cs="宋体"/>
          <w:sz w:val="24"/>
          <w:szCs w:val="24"/>
        </w:rPr>
      </w:pPr>
      <w:r>
        <w:rPr>
          <w:rFonts w:hint="eastAsia" w:ascii="宋体" w:hAnsi="宋体" w:cs="宋体"/>
          <w:sz w:val="24"/>
          <w:szCs w:val="24"/>
        </w:rPr>
        <w:t>（四）因验收货物时不能直接判断质量的，在使用过程中发现不合格商品，比选申请人应作无条件退换货处理。</w:t>
      </w:r>
    </w:p>
    <w:p w14:paraId="226FCA26">
      <w:pPr>
        <w:snapToGrid w:val="0"/>
        <w:spacing w:line="360" w:lineRule="auto"/>
        <w:ind w:firstLine="480" w:firstLineChars="200"/>
        <w:rPr>
          <w:rFonts w:ascii="宋体" w:hAnsi="宋体" w:cs="宋体"/>
          <w:sz w:val="24"/>
          <w:szCs w:val="24"/>
        </w:rPr>
      </w:pPr>
      <w:r>
        <w:rPr>
          <w:rFonts w:hint="eastAsia" w:ascii="宋体" w:hAnsi="宋体" w:cs="宋体"/>
          <w:sz w:val="24"/>
          <w:szCs w:val="24"/>
        </w:rPr>
        <w:t>（五）凡按重量计量物资，均以物品净重方式计量结算。</w:t>
      </w:r>
    </w:p>
    <w:p w14:paraId="67FA4097">
      <w:pPr>
        <w:snapToGrid w:val="0"/>
        <w:spacing w:line="360" w:lineRule="auto"/>
        <w:ind w:firstLine="562" w:firstLineChars="200"/>
        <w:outlineLvl w:val="1"/>
        <w:rPr>
          <w:rFonts w:ascii="宋体" w:hAnsi="宋体" w:cs="宋体"/>
          <w:b/>
          <w:szCs w:val="28"/>
        </w:rPr>
      </w:pPr>
      <w:bookmarkStart w:id="229" w:name="_Toc340"/>
      <w:bookmarkStart w:id="230" w:name="_Toc22090"/>
      <w:bookmarkStart w:id="231" w:name="_Toc21688"/>
      <w:bookmarkStart w:id="232" w:name="_Toc31193"/>
      <w:bookmarkStart w:id="233" w:name="_Toc112"/>
      <w:r>
        <w:rPr>
          <w:rFonts w:hint="eastAsia" w:ascii="宋体" w:hAnsi="宋体" w:cs="宋体"/>
          <w:b/>
          <w:szCs w:val="28"/>
        </w:rPr>
        <w:t>※五、责任事故的处罚</w:t>
      </w:r>
      <w:bookmarkEnd w:id="229"/>
      <w:bookmarkEnd w:id="230"/>
      <w:bookmarkEnd w:id="231"/>
      <w:bookmarkEnd w:id="232"/>
      <w:bookmarkEnd w:id="233"/>
    </w:p>
    <w:p w14:paraId="7B5F00E4">
      <w:pPr>
        <w:numPr>
          <w:ilvl w:val="0"/>
          <w:numId w:val="15"/>
        </w:num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成交供应商工作不负责或达不到合同约定内容和要求，月扣款金额合计超过5000元，当月采购费用暂不支付，次月扣款合计未超过5000元，与次月采购费用一并支付；两月扣款金额均超过5000元，两月采购费用暂不支付，第三月扣款金额未超过5000元的，与第三月采购费用一并支付；连续三个月扣款金额均超过5000元，</w:t>
      </w:r>
      <w:r>
        <w:rPr>
          <w:rFonts w:hint="eastAsia" w:ascii="宋体" w:hAnsi="宋体" w:cs="宋体"/>
          <w:sz w:val="24"/>
          <w:szCs w:val="24"/>
          <w:lang w:eastAsia="zh-CN"/>
        </w:rPr>
        <w:t>比选人</w:t>
      </w:r>
      <w:r>
        <w:rPr>
          <w:rFonts w:hint="eastAsia" w:ascii="宋体" w:hAnsi="宋体" w:cs="宋体"/>
          <w:sz w:val="24"/>
          <w:szCs w:val="24"/>
        </w:rPr>
        <w:t>有权单方面解除合同，不支付相应月份的采购费用，并要求成交供应商承担相应损失。</w:t>
      </w:r>
    </w:p>
    <w:p w14:paraId="33E90ADC">
      <w:pPr>
        <w:numPr>
          <w:ilvl w:val="0"/>
          <w:numId w:val="15"/>
        </w:numPr>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因中选人供应的货物有食品质量问题造成比选人食用人员身体出现不良反应或食物中毒的一切损失由中选人承担。</w:t>
      </w:r>
    </w:p>
    <w:p w14:paraId="790E5A2D">
      <w:pPr>
        <w:numPr>
          <w:ilvl w:val="0"/>
          <w:numId w:val="15"/>
        </w:numPr>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比选人采购工作组有权对采购、验收过程进行监督，若发现未按指定的时间交货，发现一次扣款200元；若发现配送的食品原材料质量不达标，以次充好，发现一次扣款500元；若发现配送的食品原材料过期，发现一次扣款500元；若发现无法提供需方要求的食品原材料，发现一次扣款200元；若发现对食品原材料的质量不合格不加以控制，一个月内连续出现质量不达标三次以上，扣款5000元；若发现服务态度差，需多次催促才愿意配合，扣款500元；若发现配送食品原材料生熟混装，野蛮搬运，发现一次扣款500 元；若发现经二次退换货后，提供的食材仍无法满足生产需求，发现一次扣款200元；若发现存在虚高报价的情况，发现一次扣款2000元，且按照市场参考价折扣后结算；若发现提供的基准价清单与当日依据定价基本原则确定的基准价不一致的情况，发现一次扣款5000 元。</w:t>
      </w:r>
    </w:p>
    <w:p w14:paraId="187347B4">
      <w:pPr>
        <w:snapToGrid w:val="0"/>
        <w:spacing w:line="360" w:lineRule="auto"/>
        <w:ind w:firstLine="480" w:firstLineChars="200"/>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）在供应过程中，中选人不得以任何形式转包、若有违反，比选人有权终止合同。</w:t>
      </w:r>
    </w:p>
    <w:p w14:paraId="574F3BF4">
      <w:pPr>
        <w:snapToGrid w:val="0"/>
        <w:spacing w:line="360" w:lineRule="auto"/>
        <w:ind w:firstLine="562" w:firstLineChars="200"/>
        <w:outlineLvl w:val="1"/>
        <w:rPr>
          <w:rFonts w:ascii="宋体" w:hAnsi="宋体" w:cs="宋体"/>
          <w:b/>
          <w:szCs w:val="28"/>
        </w:rPr>
      </w:pPr>
      <w:bookmarkStart w:id="234" w:name="_Toc13325"/>
      <w:bookmarkStart w:id="235" w:name="_Toc12781"/>
      <w:bookmarkStart w:id="236" w:name="_Toc7166"/>
      <w:bookmarkStart w:id="237" w:name="_Toc21882"/>
      <w:bookmarkStart w:id="238" w:name="_Toc44"/>
      <w:r>
        <w:rPr>
          <w:rFonts w:hint="eastAsia" w:ascii="宋体" w:hAnsi="宋体" w:cs="宋体"/>
          <w:b/>
          <w:szCs w:val="28"/>
        </w:rPr>
        <w:t>※六、产品质量保证</w:t>
      </w:r>
      <w:bookmarkEnd w:id="234"/>
      <w:bookmarkEnd w:id="235"/>
      <w:bookmarkEnd w:id="236"/>
      <w:bookmarkEnd w:id="237"/>
      <w:bookmarkEnd w:id="238"/>
    </w:p>
    <w:p w14:paraId="2F47120E">
      <w:pPr>
        <w:snapToGrid w:val="0"/>
        <w:spacing w:line="360" w:lineRule="auto"/>
        <w:ind w:firstLine="480" w:firstLineChars="200"/>
        <w:rPr>
          <w:rFonts w:ascii="宋体" w:hAnsi="宋体" w:cs="宋体"/>
          <w:sz w:val="24"/>
          <w:szCs w:val="24"/>
        </w:rPr>
      </w:pPr>
      <w:r>
        <w:rPr>
          <w:rFonts w:hint="eastAsia" w:ascii="宋体" w:hAnsi="宋体" w:cs="宋体"/>
          <w:sz w:val="24"/>
          <w:szCs w:val="24"/>
        </w:rPr>
        <w:t>1、所提供产品质量必须要符合行业标准要求，不得有掺假、变质、变味、过期等现象出现，严禁供应伪劣、假冒、无证不合格物品。所有商品因验收货物时不能直接判断质量的，在使用过程中发现不合格商品，中选人应作退货处理。</w:t>
      </w:r>
    </w:p>
    <w:p w14:paraId="3F3C898F">
      <w:pPr>
        <w:snapToGrid w:val="0"/>
        <w:spacing w:line="360" w:lineRule="auto"/>
        <w:ind w:firstLine="480" w:firstLineChars="200"/>
        <w:rPr>
          <w:rFonts w:ascii="宋体" w:hAnsi="宋体" w:cs="宋体"/>
          <w:sz w:val="24"/>
          <w:szCs w:val="24"/>
        </w:rPr>
      </w:pPr>
      <w:r>
        <w:rPr>
          <w:rFonts w:hint="eastAsia" w:ascii="宋体" w:hAnsi="宋体" w:cs="宋体"/>
          <w:sz w:val="24"/>
          <w:szCs w:val="24"/>
        </w:rPr>
        <w:t>2、所提供产品必须满足食品安全的要求，并能够提供相应的印证材料。因质量问题发生的食品安全事故、食物中毒等事故，由比选申请人承担经济赔偿责任以及全部法律责任。</w:t>
      </w:r>
    </w:p>
    <w:p w14:paraId="10DA1ED3">
      <w:pPr>
        <w:snapToGrid w:val="0"/>
        <w:spacing w:line="360" w:lineRule="auto"/>
        <w:ind w:firstLine="480" w:firstLineChars="200"/>
        <w:rPr>
          <w:rFonts w:ascii="宋体" w:hAnsi="宋体" w:cs="宋体"/>
          <w:sz w:val="24"/>
          <w:szCs w:val="24"/>
        </w:rPr>
      </w:pPr>
      <w:r>
        <w:rPr>
          <w:rFonts w:hint="eastAsia" w:ascii="宋体" w:hAnsi="宋体" w:cs="宋体"/>
          <w:sz w:val="24"/>
          <w:szCs w:val="24"/>
        </w:rPr>
        <w:t>3、质量保证期内的服务内容</w:t>
      </w:r>
    </w:p>
    <w:p w14:paraId="14ADFF6D">
      <w:pPr>
        <w:snapToGrid w:val="0"/>
        <w:spacing w:line="360" w:lineRule="auto"/>
        <w:ind w:firstLine="480" w:firstLineChars="200"/>
        <w:rPr>
          <w:rFonts w:ascii="宋体" w:hAnsi="宋体" w:cs="宋体"/>
          <w:sz w:val="24"/>
          <w:szCs w:val="24"/>
        </w:rPr>
      </w:pPr>
      <w:r>
        <w:rPr>
          <w:rFonts w:hint="eastAsia" w:ascii="宋体" w:hAnsi="宋体" w:cs="宋体"/>
          <w:sz w:val="24"/>
          <w:szCs w:val="24"/>
        </w:rPr>
        <w:t>（1）因市场特殊原因，个别食材品种不能及时提供，中选人应主动与比选人沟通协调，更换品种，满足需要。</w:t>
      </w:r>
    </w:p>
    <w:p w14:paraId="54825084">
      <w:pPr>
        <w:snapToGrid w:val="0"/>
        <w:spacing w:line="360" w:lineRule="auto"/>
        <w:ind w:firstLine="480" w:firstLineChars="200"/>
        <w:rPr>
          <w:rFonts w:ascii="宋体" w:hAnsi="宋体" w:cs="宋体"/>
          <w:sz w:val="24"/>
          <w:szCs w:val="24"/>
        </w:rPr>
      </w:pPr>
      <w:r>
        <w:rPr>
          <w:rFonts w:hint="eastAsia" w:ascii="宋体" w:hAnsi="宋体" w:cs="宋体"/>
          <w:sz w:val="24"/>
          <w:szCs w:val="24"/>
        </w:rPr>
        <w:t>（2）物资验收中不合格产品，中选人按照比选人规定时间内调换，不得影响正常工作。</w:t>
      </w:r>
    </w:p>
    <w:p w14:paraId="37C4004F">
      <w:pPr>
        <w:snapToGrid w:val="0"/>
        <w:spacing w:line="360" w:lineRule="auto"/>
        <w:ind w:firstLine="562" w:firstLineChars="200"/>
        <w:outlineLvl w:val="1"/>
        <w:rPr>
          <w:rFonts w:ascii="宋体" w:hAnsi="宋体" w:cs="宋体"/>
          <w:b/>
          <w:szCs w:val="28"/>
        </w:rPr>
      </w:pPr>
      <w:bookmarkStart w:id="239" w:name="_Toc29904"/>
      <w:bookmarkStart w:id="240" w:name="_Toc18361"/>
      <w:bookmarkStart w:id="241" w:name="_Toc30751"/>
      <w:bookmarkStart w:id="242" w:name="_Toc8772"/>
      <w:bookmarkStart w:id="243" w:name="_Toc30665"/>
      <w:r>
        <w:rPr>
          <w:rFonts w:hint="eastAsia" w:ascii="宋体" w:hAnsi="宋体" w:cs="宋体"/>
          <w:b/>
          <w:szCs w:val="28"/>
        </w:rPr>
        <w:t>※七、付款方式及结算方式</w:t>
      </w:r>
      <w:bookmarkEnd w:id="239"/>
      <w:bookmarkEnd w:id="240"/>
      <w:bookmarkEnd w:id="241"/>
      <w:bookmarkEnd w:id="242"/>
      <w:bookmarkEnd w:id="243"/>
    </w:p>
    <w:p w14:paraId="364578DD">
      <w:pPr>
        <w:snapToGrid w:val="0"/>
        <w:spacing w:line="360" w:lineRule="auto"/>
        <w:ind w:firstLine="480" w:firstLineChars="200"/>
        <w:rPr>
          <w:rFonts w:ascii="宋体" w:hAnsi="宋体" w:cs="宋体"/>
          <w:sz w:val="24"/>
          <w:szCs w:val="24"/>
        </w:rPr>
      </w:pPr>
      <w:r>
        <w:rPr>
          <w:rFonts w:hint="eastAsia" w:ascii="宋体" w:hAnsi="宋体" w:cs="宋体"/>
          <w:sz w:val="24"/>
          <w:szCs w:val="24"/>
        </w:rPr>
        <w:t>（一）付款方式：由比选人付款，比选人根据中选人中选固定费率、每日基准价和采购量按月据实结算。</w:t>
      </w:r>
    </w:p>
    <w:p w14:paraId="4141A7C8">
      <w:pPr>
        <w:snapToGrid w:val="0"/>
        <w:spacing w:line="360" w:lineRule="auto"/>
        <w:ind w:firstLine="480" w:firstLineChars="200"/>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二</w:t>
      </w:r>
      <w:r>
        <w:rPr>
          <w:rFonts w:hint="eastAsia" w:ascii="宋体" w:hAnsi="宋体" w:cs="宋体"/>
          <w:sz w:val="24"/>
          <w:szCs w:val="24"/>
        </w:rPr>
        <w:t>）结算</w:t>
      </w:r>
    </w:p>
    <w:p w14:paraId="769233D9">
      <w:pPr>
        <w:keepNext/>
        <w:keepLines/>
        <w:adjustRightInd w:val="0"/>
        <w:snapToGrid w:val="0"/>
        <w:spacing w:line="400" w:lineRule="exact"/>
        <w:ind w:firstLine="480" w:firstLineChars="200"/>
        <w:outlineLvl w:val="1"/>
        <w:rPr>
          <w:rFonts w:ascii="宋体" w:hAnsi="宋体" w:cs="宋体"/>
          <w:sz w:val="24"/>
          <w:szCs w:val="28"/>
        </w:rPr>
      </w:pPr>
      <w:bookmarkStart w:id="244" w:name="_Toc8115"/>
      <w:bookmarkStart w:id="245" w:name="_Toc24014"/>
      <w:bookmarkStart w:id="246" w:name="_Toc27986"/>
      <w:bookmarkStart w:id="247" w:name="_Toc20730"/>
      <w:r>
        <w:rPr>
          <w:rFonts w:hint="eastAsia" w:ascii="宋体" w:hAnsi="宋体" w:cs="宋体"/>
          <w:sz w:val="24"/>
          <w:szCs w:val="28"/>
        </w:rPr>
        <w:t>月结：1.</w:t>
      </w:r>
      <w:r>
        <w:rPr>
          <w:rFonts w:hint="eastAsia" w:ascii="宋体" w:hAnsi="宋体" w:cs="宋体"/>
          <w:sz w:val="24"/>
          <w:szCs w:val="28"/>
          <w:lang w:eastAsia="zh-CN"/>
        </w:rPr>
        <w:t>比选人</w:t>
      </w:r>
      <w:r>
        <w:rPr>
          <w:rFonts w:hint="eastAsia" w:ascii="宋体" w:hAnsi="宋体" w:cs="宋体"/>
          <w:sz w:val="24"/>
          <w:szCs w:val="28"/>
        </w:rPr>
        <w:t>重庆市盛景实业有限公司与中选人每月结算一次，按照实际供货量结算，商品基准价以定价基本原则确定的基准价为准。中选人每月在完成</w:t>
      </w:r>
      <w:r>
        <w:rPr>
          <w:rFonts w:hint="eastAsia" w:ascii="宋体" w:hAnsi="宋体" w:cs="宋体"/>
          <w:sz w:val="24"/>
          <w:szCs w:val="28"/>
          <w:lang w:eastAsia="zh-CN"/>
        </w:rPr>
        <w:t>比选人</w:t>
      </w:r>
      <w:r>
        <w:rPr>
          <w:rFonts w:hint="eastAsia" w:ascii="宋体" w:hAnsi="宋体" w:cs="宋体"/>
          <w:sz w:val="24"/>
          <w:szCs w:val="28"/>
        </w:rPr>
        <w:t>所要求的货物供应后，凭经双方确认后的商品基准价及送货清单，由</w:t>
      </w:r>
      <w:r>
        <w:rPr>
          <w:rFonts w:hint="eastAsia" w:ascii="宋体" w:hAnsi="宋体" w:cs="宋体"/>
          <w:sz w:val="24"/>
          <w:szCs w:val="28"/>
          <w:lang w:eastAsia="zh-CN"/>
        </w:rPr>
        <w:t>比选人</w:t>
      </w:r>
      <w:r>
        <w:rPr>
          <w:rFonts w:hint="eastAsia" w:ascii="宋体" w:hAnsi="宋体" w:cs="宋体"/>
          <w:sz w:val="24"/>
          <w:szCs w:val="28"/>
        </w:rPr>
        <w:t>按</w:t>
      </w:r>
      <w:r>
        <w:rPr>
          <w:rFonts w:hint="eastAsia" w:ascii="宋体" w:hAnsi="宋体" w:cs="宋体"/>
          <w:sz w:val="24"/>
          <w:szCs w:val="28"/>
          <w:lang w:val="en-US" w:eastAsia="zh-CN"/>
        </w:rPr>
        <w:t>结算价格</w:t>
      </w:r>
      <w:r>
        <w:rPr>
          <w:rFonts w:hint="eastAsia" w:ascii="宋体" w:hAnsi="宋体" w:cs="宋体"/>
          <w:sz w:val="24"/>
          <w:szCs w:val="28"/>
        </w:rPr>
        <w:t>予以支付。</w:t>
      </w:r>
      <w:bookmarkEnd w:id="244"/>
      <w:bookmarkEnd w:id="245"/>
      <w:bookmarkEnd w:id="246"/>
      <w:bookmarkEnd w:id="247"/>
    </w:p>
    <w:p w14:paraId="21DA2D27">
      <w:pPr>
        <w:keepNext/>
        <w:keepLines/>
        <w:adjustRightInd w:val="0"/>
        <w:snapToGrid w:val="0"/>
        <w:spacing w:line="360" w:lineRule="auto"/>
        <w:ind w:firstLine="480" w:firstLineChars="200"/>
        <w:outlineLvl w:val="1"/>
        <w:rPr>
          <w:rFonts w:ascii="宋体" w:hAnsi="宋体" w:cs="宋体"/>
          <w:sz w:val="24"/>
          <w:szCs w:val="28"/>
        </w:rPr>
      </w:pPr>
      <w:bookmarkStart w:id="248" w:name="_Toc680"/>
      <w:bookmarkStart w:id="249" w:name="_Toc30897"/>
      <w:bookmarkStart w:id="250" w:name="_Toc27132"/>
      <w:bookmarkStart w:id="251" w:name="_Toc14585"/>
      <w:r>
        <w:rPr>
          <w:rFonts w:hint="eastAsia" w:ascii="宋体" w:hAnsi="宋体" w:cs="宋体"/>
          <w:sz w:val="24"/>
          <w:szCs w:val="28"/>
        </w:rPr>
        <w:t>2.结算价格=Σ中选固定费率*每日各品类商品基准价*每日</w:t>
      </w:r>
      <w:bookmarkEnd w:id="248"/>
      <w:r>
        <w:rPr>
          <w:rFonts w:hint="eastAsia" w:ascii="宋体" w:hAnsi="宋体" w:cs="宋体"/>
          <w:sz w:val="24"/>
          <w:szCs w:val="28"/>
        </w:rPr>
        <w:t>各品类实际配送数量-Σ扣款-Σ违约金</w:t>
      </w:r>
      <w:bookmarkEnd w:id="249"/>
      <w:bookmarkEnd w:id="250"/>
      <w:bookmarkEnd w:id="251"/>
    </w:p>
    <w:p w14:paraId="2F6F5D97">
      <w:pPr>
        <w:snapToGrid w:val="0"/>
        <w:spacing w:line="360" w:lineRule="auto"/>
        <w:ind w:firstLine="480" w:firstLineChars="200"/>
        <w:rPr>
          <w:rFonts w:ascii="宋体" w:hAnsi="宋体" w:cs="宋体"/>
          <w:sz w:val="24"/>
          <w:szCs w:val="28"/>
        </w:rPr>
      </w:pPr>
      <w:r>
        <w:rPr>
          <w:rFonts w:hint="eastAsia" w:ascii="宋体" w:hAnsi="宋体" w:cs="宋体"/>
          <w:sz w:val="24"/>
          <w:szCs w:val="28"/>
        </w:rPr>
        <w:t>3.合同履行期间</w:t>
      </w:r>
      <w:r>
        <w:rPr>
          <w:rFonts w:hint="eastAsia" w:ascii="宋体" w:hAnsi="宋体" w:cs="宋体"/>
          <w:sz w:val="24"/>
          <w:szCs w:val="28"/>
          <w:lang w:eastAsia="zh-CN"/>
        </w:rPr>
        <w:t>比选人</w:t>
      </w:r>
      <w:r>
        <w:rPr>
          <w:rFonts w:hint="eastAsia" w:ascii="宋体" w:hAnsi="宋体" w:cs="宋体"/>
          <w:sz w:val="24"/>
          <w:szCs w:val="28"/>
        </w:rPr>
        <w:t>对中选人的服务进行月度考核。</w:t>
      </w:r>
    </w:p>
    <w:p w14:paraId="4198A7A3">
      <w:pPr>
        <w:snapToGrid w:val="0"/>
        <w:spacing w:line="360" w:lineRule="auto"/>
        <w:ind w:firstLine="480" w:firstLineChars="200"/>
        <w:rPr>
          <w:rFonts w:ascii="宋体" w:hAnsi="宋体" w:cs="宋体"/>
          <w:sz w:val="24"/>
          <w:szCs w:val="24"/>
        </w:rPr>
      </w:pPr>
      <w:r>
        <w:rPr>
          <w:rFonts w:hint="eastAsia" w:ascii="宋体" w:hAnsi="宋体" w:cs="宋体"/>
          <w:sz w:val="24"/>
          <w:szCs w:val="24"/>
        </w:rPr>
        <w:t>4.中选人对结算价格有异议的，由双方共同超市询价对价格复核。</w:t>
      </w:r>
    </w:p>
    <w:p w14:paraId="54C352CE">
      <w:pPr>
        <w:snapToGrid w:val="0"/>
        <w:spacing w:line="360" w:lineRule="auto"/>
        <w:ind w:firstLine="480" w:firstLineChars="200"/>
        <w:rPr>
          <w:rFonts w:ascii="宋体" w:hAnsi="宋体" w:cs="宋体"/>
          <w:sz w:val="24"/>
          <w:szCs w:val="24"/>
        </w:rPr>
      </w:pPr>
      <w:r>
        <w:rPr>
          <w:rFonts w:hint="eastAsia" w:ascii="宋体" w:hAnsi="宋体" w:cs="宋体"/>
          <w:sz w:val="24"/>
          <w:szCs w:val="24"/>
        </w:rPr>
        <w:t>5.个别在超市无法询价的品种，由双方在合同中商定，酌情处理。</w:t>
      </w:r>
    </w:p>
    <w:p w14:paraId="11F5F4B9">
      <w:pPr>
        <w:snapToGrid w:val="0"/>
        <w:spacing w:line="360" w:lineRule="auto"/>
        <w:ind w:firstLine="480" w:firstLineChars="200"/>
        <w:rPr>
          <w:rFonts w:ascii="宋体" w:hAnsi="宋体" w:cs="宋体"/>
          <w:sz w:val="24"/>
          <w:szCs w:val="24"/>
        </w:rPr>
      </w:pPr>
      <w:r>
        <w:rPr>
          <w:rFonts w:hint="eastAsia" w:ascii="宋体" w:hAnsi="宋体" w:cs="宋体"/>
          <w:sz w:val="24"/>
          <w:szCs w:val="24"/>
        </w:rPr>
        <w:t>（四）结算方式</w:t>
      </w:r>
    </w:p>
    <w:p w14:paraId="4F983F58">
      <w:pPr>
        <w:snapToGrid w:val="0"/>
        <w:spacing w:line="360" w:lineRule="auto"/>
        <w:ind w:firstLine="480" w:firstLineChars="200"/>
        <w:rPr>
          <w:rFonts w:ascii="宋体" w:hAnsi="宋体" w:cs="宋体"/>
          <w:sz w:val="24"/>
          <w:szCs w:val="24"/>
        </w:rPr>
      </w:pPr>
      <w:r>
        <w:rPr>
          <w:rFonts w:hint="eastAsia" w:ascii="宋体" w:hAnsi="宋体" w:cs="宋体"/>
          <w:sz w:val="24"/>
          <w:szCs w:val="24"/>
        </w:rPr>
        <w:t>1.中选人按照采购合同交货后，比选人验收人在供货单上签字确认；</w:t>
      </w:r>
    </w:p>
    <w:p w14:paraId="709B3A7A">
      <w:pPr>
        <w:snapToGrid w:val="0"/>
        <w:spacing w:line="360" w:lineRule="auto"/>
        <w:ind w:firstLine="480" w:firstLineChars="200"/>
        <w:rPr>
          <w:rFonts w:ascii="宋体" w:hAnsi="宋体" w:cs="宋体"/>
          <w:sz w:val="24"/>
          <w:szCs w:val="24"/>
        </w:rPr>
      </w:pPr>
      <w:r>
        <w:rPr>
          <w:rFonts w:hint="eastAsia" w:ascii="宋体" w:hAnsi="宋体" w:cs="宋体"/>
          <w:sz w:val="24"/>
          <w:szCs w:val="24"/>
        </w:rPr>
        <w:t>2.中选人送货当日开具送货单，每个月向比选人申请付款（包含双方签字的供货单、基准价确认单和对应发票）；</w:t>
      </w:r>
    </w:p>
    <w:p w14:paraId="3EF6BB4B">
      <w:pPr>
        <w:snapToGrid w:val="0"/>
        <w:spacing w:line="360" w:lineRule="auto"/>
        <w:ind w:firstLine="480" w:firstLineChars="200"/>
        <w:rPr>
          <w:rFonts w:ascii="宋体" w:hAnsi="宋体" w:cs="宋体"/>
          <w:sz w:val="24"/>
          <w:szCs w:val="24"/>
        </w:rPr>
      </w:pPr>
      <w:r>
        <w:rPr>
          <w:rFonts w:hint="eastAsia" w:ascii="宋体" w:hAnsi="宋体" w:cs="宋体"/>
          <w:sz w:val="24"/>
          <w:szCs w:val="24"/>
        </w:rPr>
        <w:t>3.比选人对中选人提供的付款资料审核通过后以转账方式向中选人支付采购资金；</w:t>
      </w:r>
    </w:p>
    <w:p w14:paraId="1115E0AA">
      <w:pPr>
        <w:snapToGrid w:val="0"/>
        <w:spacing w:line="360" w:lineRule="auto"/>
        <w:ind w:firstLine="480" w:firstLineChars="200"/>
        <w:rPr>
          <w:rFonts w:ascii="宋体" w:hAnsi="宋体" w:cs="宋体"/>
          <w:sz w:val="24"/>
          <w:szCs w:val="24"/>
        </w:rPr>
      </w:pPr>
      <w:r>
        <w:rPr>
          <w:rFonts w:hint="eastAsia" w:ascii="宋体" w:hAnsi="宋体" w:cs="宋体"/>
          <w:sz w:val="24"/>
          <w:szCs w:val="24"/>
        </w:rPr>
        <w:t>4.所使用货币币制如未作特别说明均为人民币。</w:t>
      </w:r>
    </w:p>
    <w:p w14:paraId="56C18F48">
      <w:pPr>
        <w:snapToGrid w:val="0"/>
        <w:spacing w:line="360" w:lineRule="auto"/>
        <w:ind w:firstLine="562" w:firstLineChars="200"/>
        <w:outlineLvl w:val="1"/>
        <w:rPr>
          <w:rFonts w:ascii="宋体" w:hAnsi="宋体" w:cs="宋体"/>
          <w:b/>
          <w:szCs w:val="28"/>
        </w:rPr>
      </w:pPr>
      <w:bookmarkStart w:id="252" w:name="_Toc20040"/>
      <w:bookmarkStart w:id="253" w:name="_Toc4421"/>
      <w:bookmarkStart w:id="254" w:name="_Toc20114"/>
      <w:bookmarkStart w:id="255" w:name="_Toc10558"/>
      <w:bookmarkStart w:id="256" w:name="_Toc2731"/>
      <w:r>
        <w:rPr>
          <w:rFonts w:hint="eastAsia" w:ascii="宋体" w:hAnsi="宋体" w:cs="宋体"/>
          <w:b/>
          <w:szCs w:val="28"/>
        </w:rPr>
        <w:t>※八、其他</w:t>
      </w:r>
      <w:bookmarkEnd w:id="252"/>
      <w:bookmarkEnd w:id="253"/>
      <w:bookmarkEnd w:id="254"/>
      <w:bookmarkEnd w:id="255"/>
      <w:bookmarkEnd w:id="256"/>
    </w:p>
    <w:p w14:paraId="52904DFA">
      <w:pPr>
        <w:snapToGrid w:val="0"/>
        <w:spacing w:line="360" w:lineRule="auto"/>
        <w:ind w:firstLine="480" w:firstLineChars="200"/>
        <w:rPr>
          <w:rFonts w:ascii="宋体" w:hAnsi="宋体" w:cs="宋体"/>
          <w:b/>
          <w:bCs/>
          <w:sz w:val="24"/>
          <w:szCs w:val="24"/>
        </w:rPr>
      </w:pPr>
      <w:r>
        <w:rPr>
          <w:rFonts w:hint="eastAsia" w:ascii="宋体" w:hAnsi="宋体" w:cs="宋体"/>
          <w:sz w:val="24"/>
          <w:szCs w:val="24"/>
        </w:rPr>
        <w:t>（一）其他未尽事宜由供需双方在合同中详细约定。</w:t>
      </w:r>
    </w:p>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569E1CF6">
      <w:pPr>
        <w:spacing w:line="400" w:lineRule="atLeast"/>
        <w:rPr>
          <w:rFonts w:ascii="宋体" w:hAnsi="宋体" w:cs="宋体"/>
          <w:b/>
          <w:bCs/>
          <w:color w:val="0000FF"/>
          <w:sz w:val="24"/>
          <w:szCs w:val="24"/>
        </w:rPr>
      </w:pPr>
      <w:bookmarkStart w:id="257" w:name="_Toc76462332"/>
    </w:p>
    <w:p w14:paraId="0393AA85">
      <w:pPr>
        <w:spacing w:line="400" w:lineRule="atLeast"/>
        <w:rPr>
          <w:rFonts w:ascii="宋体" w:hAnsi="宋体" w:cs="宋体"/>
          <w:b/>
          <w:bCs/>
          <w:color w:val="0000FF"/>
          <w:sz w:val="24"/>
          <w:szCs w:val="24"/>
        </w:rPr>
      </w:pPr>
    </w:p>
    <w:p w14:paraId="4DB10EA0">
      <w:pPr>
        <w:pStyle w:val="2"/>
        <w:pageBreakBefore/>
        <w:spacing w:line="360" w:lineRule="auto"/>
        <w:jc w:val="center"/>
        <w:rPr>
          <w:rFonts w:hAnsi="宋体" w:cs="宋体"/>
          <w:b/>
          <w:bCs/>
          <w:sz w:val="32"/>
          <w:szCs w:val="32"/>
        </w:rPr>
      </w:pPr>
      <w:bookmarkStart w:id="258" w:name="_Toc14741"/>
      <w:bookmarkStart w:id="259" w:name="_Toc22683"/>
      <w:bookmarkStart w:id="260" w:name="_Toc7717"/>
      <w:bookmarkStart w:id="261" w:name="_Toc15509"/>
      <w:bookmarkStart w:id="262" w:name="_Toc12425"/>
      <w:bookmarkStart w:id="263" w:name="_Toc8420"/>
      <w:r>
        <w:rPr>
          <w:rFonts w:hint="eastAsia" w:hAnsi="宋体" w:cs="宋体"/>
          <w:b/>
          <w:bCs/>
          <w:sz w:val="32"/>
          <w:szCs w:val="32"/>
        </w:rPr>
        <w:t>第四篇  比选程序及方法、评审标准、无效比选申请和比选终止</w:t>
      </w:r>
      <w:bookmarkEnd w:id="257"/>
      <w:bookmarkEnd w:id="258"/>
      <w:bookmarkEnd w:id="259"/>
      <w:bookmarkEnd w:id="260"/>
      <w:bookmarkEnd w:id="261"/>
      <w:bookmarkEnd w:id="262"/>
      <w:bookmarkEnd w:id="263"/>
    </w:p>
    <w:p w14:paraId="57653011">
      <w:pPr>
        <w:pStyle w:val="3"/>
        <w:adjustRightInd w:val="0"/>
        <w:snapToGrid w:val="0"/>
        <w:spacing w:before="0" w:after="0" w:line="400" w:lineRule="exact"/>
        <w:ind w:firstLine="482" w:firstLineChars="200"/>
        <w:rPr>
          <w:rFonts w:ascii="宋体" w:hAnsi="宋体" w:eastAsia="宋体" w:cs="宋体"/>
          <w:sz w:val="24"/>
        </w:rPr>
      </w:pPr>
      <w:bookmarkStart w:id="264" w:name="_Toc76462333"/>
      <w:bookmarkStart w:id="265" w:name="_Toc26461"/>
      <w:bookmarkStart w:id="266" w:name="_Toc20132"/>
      <w:bookmarkStart w:id="267" w:name="_Toc14910"/>
      <w:bookmarkStart w:id="268" w:name="_Toc14467"/>
      <w:bookmarkStart w:id="269" w:name="_Toc4634"/>
      <w:bookmarkStart w:id="270" w:name="_Toc17652"/>
      <w:bookmarkStart w:id="271" w:name="_Toc31474"/>
      <w:bookmarkStart w:id="272" w:name="_Toc32452"/>
      <w:r>
        <w:rPr>
          <w:rFonts w:hint="eastAsia" w:ascii="宋体" w:hAnsi="宋体" w:eastAsia="宋体" w:cs="宋体"/>
          <w:sz w:val="24"/>
        </w:rPr>
        <w:t>一、比选程序及方法</w:t>
      </w:r>
      <w:bookmarkEnd w:id="264"/>
      <w:bookmarkEnd w:id="265"/>
      <w:bookmarkEnd w:id="266"/>
      <w:bookmarkEnd w:id="267"/>
      <w:bookmarkEnd w:id="268"/>
      <w:bookmarkEnd w:id="269"/>
      <w:bookmarkEnd w:id="270"/>
      <w:bookmarkEnd w:id="271"/>
      <w:bookmarkEnd w:id="272"/>
    </w:p>
    <w:p w14:paraId="152E8112">
      <w:pPr>
        <w:ind w:firstLine="480" w:firstLineChars="200"/>
        <w:rPr>
          <w:rFonts w:ascii="宋体" w:hAnsi="宋体" w:cs="宋体"/>
          <w:sz w:val="24"/>
          <w:szCs w:val="24"/>
        </w:rPr>
      </w:pPr>
      <w:r>
        <w:rPr>
          <w:rFonts w:hint="eastAsia" w:ascii="宋体" w:hAnsi="宋体" w:cs="宋体"/>
          <w:sz w:val="24"/>
          <w:szCs w:val="24"/>
        </w:rPr>
        <w:t>（一）由比选人依法组建的竞争性比选小组（以下简称比选小组）对各比选申请人进行评审。</w:t>
      </w:r>
    </w:p>
    <w:p w14:paraId="6EFB540E">
      <w:pPr>
        <w:spacing w:line="400" w:lineRule="exact"/>
        <w:ind w:firstLine="480" w:firstLineChars="200"/>
        <w:rPr>
          <w:rFonts w:ascii="宋体" w:hAnsi="宋体" w:cs="宋体"/>
          <w:sz w:val="24"/>
          <w:szCs w:val="24"/>
        </w:rPr>
      </w:pPr>
      <w:r>
        <w:rPr>
          <w:rFonts w:hint="eastAsia" w:ascii="宋体" w:hAnsi="宋体" w:cs="宋体"/>
          <w:sz w:val="24"/>
          <w:szCs w:val="24"/>
        </w:rPr>
        <w:t>（二）比选小组对各比选申请人的资格条件、比选申请文件的有效性、完整性和响应程度进行审查。各比选申请人只有在完全符合要求的前提下，才能参与正式比选。</w:t>
      </w:r>
    </w:p>
    <w:p w14:paraId="711C62C7">
      <w:pPr>
        <w:snapToGrid w:val="0"/>
        <w:spacing w:line="400" w:lineRule="exact"/>
        <w:ind w:firstLine="480" w:firstLineChars="200"/>
        <w:rPr>
          <w:rFonts w:ascii="宋体" w:hAnsi="宋体" w:cs="宋体"/>
          <w:kern w:val="0"/>
          <w:sz w:val="24"/>
          <w:szCs w:val="24"/>
        </w:rPr>
      </w:pPr>
      <w:r>
        <w:rPr>
          <w:rFonts w:hint="eastAsia" w:ascii="宋体" w:hAnsi="宋体" w:cs="宋体"/>
          <w:sz w:val="24"/>
          <w:szCs w:val="24"/>
        </w:rPr>
        <w:t>1.</w:t>
      </w:r>
      <w:r>
        <w:rPr>
          <w:rFonts w:hint="eastAsia" w:ascii="宋体" w:hAnsi="宋体" w:cs="宋体"/>
          <w:kern w:val="0"/>
          <w:sz w:val="24"/>
          <w:szCs w:val="24"/>
        </w:rPr>
        <w:t>资格性审查。依据法律法规和竞争性比选文件的规定，对比选申请文件中的资格证明、等进行审查，以确定比选申请人是否具备比选资格。资格性审查资料表如下：</w:t>
      </w:r>
    </w:p>
    <w:tbl>
      <w:tblPr>
        <w:tblStyle w:val="59"/>
        <w:tblW w:w="4998" w:type="pct"/>
        <w:tblInd w:w="0" w:type="dxa"/>
        <w:tblLayout w:type="autofit"/>
        <w:tblCellMar>
          <w:top w:w="0" w:type="dxa"/>
          <w:left w:w="10" w:type="dxa"/>
          <w:bottom w:w="0" w:type="dxa"/>
          <w:right w:w="10" w:type="dxa"/>
        </w:tblCellMar>
      </w:tblPr>
      <w:tblGrid>
        <w:gridCol w:w="676"/>
        <w:gridCol w:w="704"/>
        <w:gridCol w:w="3527"/>
        <w:gridCol w:w="4378"/>
      </w:tblGrid>
      <w:tr w14:paraId="043C5E1D">
        <w:tblPrEx>
          <w:tblCellMar>
            <w:top w:w="0" w:type="dxa"/>
            <w:left w:w="10" w:type="dxa"/>
            <w:bottom w:w="0" w:type="dxa"/>
            <w:right w:w="10" w:type="dxa"/>
          </w:tblCellMar>
        </w:tblPrEx>
        <w:tc>
          <w:tcPr>
            <w:tcW w:w="364"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16662EB">
            <w:pPr>
              <w:jc w:val="center"/>
              <w:rPr>
                <w:rFonts w:ascii="宋体" w:hAnsi="宋体" w:cs="宋体"/>
                <w:sz w:val="22"/>
              </w:rPr>
            </w:pPr>
            <w:r>
              <w:rPr>
                <w:rFonts w:hint="eastAsia" w:ascii="宋体" w:hAnsi="宋体" w:cs="宋体"/>
                <w:b/>
                <w:sz w:val="22"/>
              </w:rPr>
              <w:t>序号</w:t>
            </w:r>
          </w:p>
        </w:tc>
        <w:tc>
          <w:tcPr>
            <w:tcW w:w="2278" w:type="pct"/>
            <w:gridSpan w:val="2"/>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C0CA4B9">
            <w:pPr>
              <w:jc w:val="center"/>
              <w:rPr>
                <w:rFonts w:ascii="宋体" w:hAnsi="宋体" w:cs="宋体"/>
                <w:sz w:val="22"/>
              </w:rPr>
            </w:pPr>
            <w:r>
              <w:rPr>
                <w:rFonts w:hint="eastAsia" w:ascii="宋体" w:hAnsi="宋体" w:cs="宋体"/>
                <w:b/>
                <w:sz w:val="22"/>
              </w:rPr>
              <w:t>检查因素</w:t>
            </w:r>
          </w:p>
        </w:tc>
        <w:tc>
          <w:tcPr>
            <w:tcW w:w="2357"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FFD0CD7">
            <w:pPr>
              <w:jc w:val="center"/>
              <w:rPr>
                <w:rFonts w:ascii="宋体" w:hAnsi="宋体" w:cs="宋体"/>
                <w:sz w:val="22"/>
              </w:rPr>
            </w:pPr>
            <w:r>
              <w:rPr>
                <w:rFonts w:hint="eastAsia" w:ascii="宋体" w:hAnsi="宋体" w:cs="宋体"/>
                <w:b/>
                <w:sz w:val="22"/>
              </w:rPr>
              <w:t>检查内容</w:t>
            </w:r>
          </w:p>
        </w:tc>
      </w:tr>
      <w:tr w14:paraId="62D45E35">
        <w:tblPrEx>
          <w:tblCellMar>
            <w:top w:w="0" w:type="dxa"/>
            <w:left w:w="10" w:type="dxa"/>
            <w:bottom w:w="0" w:type="dxa"/>
            <w:right w:w="10" w:type="dxa"/>
          </w:tblCellMar>
        </w:tblPrEx>
        <w:trPr>
          <w:cantSplit/>
        </w:trPr>
        <w:tc>
          <w:tcPr>
            <w:tcW w:w="364"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528A2596">
            <w:pPr>
              <w:jc w:val="center"/>
              <w:rPr>
                <w:rFonts w:ascii="宋体" w:hAnsi="宋体" w:cs="宋体"/>
                <w:sz w:val="22"/>
              </w:rPr>
            </w:pPr>
            <w:r>
              <w:rPr>
                <w:rFonts w:hint="eastAsia" w:ascii="宋体" w:hAnsi="宋体" w:cs="宋体"/>
                <w:sz w:val="22"/>
              </w:rPr>
              <w:t>1</w:t>
            </w:r>
          </w:p>
        </w:tc>
        <w:tc>
          <w:tcPr>
            <w:tcW w:w="379" w:type="pct"/>
            <w:vMerge w:val="restar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EE828A5">
            <w:pPr>
              <w:rPr>
                <w:rFonts w:ascii="宋体" w:hAnsi="宋体" w:cs="宋体"/>
                <w:sz w:val="22"/>
              </w:rPr>
            </w:pPr>
            <w:r>
              <w:rPr>
                <w:rFonts w:hint="eastAsia" w:ascii="宋体" w:hAnsi="宋体" w:cs="宋体"/>
                <w:sz w:val="22"/>
              </w:rPr>
              <w:t>比选申请人应符合的基本资格条件</w:t>
            </w:r>
          </w:p>
        </w:tc>
        <w:tc>
          <w:tcPr>
            <w:tcW w:w="1898"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25AEA0E">
            <w:pPr>
              <w:rPr>
                <w:rFonts w:ascii="宋体" w:hAnsi="宋体" w:cs="宋体"/>
                <w:sz w:val="22"/>
              </w:rPr>
            </w:pPr>
            <w:r>
              <w:rPr>
                <w:rFonts w:hint="eastAsia" w:ascii="宋体" w:hAnsi="宋体" w:cs="宋体"/>
                <w:sz w:val="22"/>
              </w:rPr>
              <w:t>（1）具有独立承担民事责任的能力</w:t>
            </w:r>
          </w:p>
        </w:tc>
        <w:tc>
          <w:tcPr>
            <w:tcW w:w="2357"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051D436">
            <w:pPr>
              <w:rPr>
                <w:rFonts w:ascii="宋体" w:hAnsi="宋体" w:cs="宋体"/>
                <w:sz w:val="22"/>
              </w:rPr>
            </w:pPr>
            <w:r>
              <w:rPr>
                <w:rFonts w:hint="eastAsia" w:ascii="宋体" w:hAnsi="宋体" w:cs="宋体"/>
                <w:sz w:val="22"/>
              </w:rPr>
              <w:t xml:space="preserve">1.比选申请人法人营业执照（副本）或事业单位法人证书（副本）或个体工商户营业执照或有效的自然人身份证明复印件； </w:t>
            </w:r>
          </w:p>
          <w:p w14:paraId="3684C21E">
            <w:pPr>
              <w:rPr>
                <w:rFonts w:ascii="宋体" w:hAnsi="宋体" w:cs="宋体"/>
                <w:sz w:val="22"/>
              </w:rPr>
            </w:pPr>
            <w:r>
              <w:rPr>
                <w:rFonts w:hint="eastAsia" w:ascii="宋体" w:hAnsi="宋体" w:cs="宋体"/>
                <w:sz w:val="22"/>
              </w:rPr>
              <w:t>2.比选申请人法定代表人身份证明和法定代表人授权托书；</w:t>
            </w:r>
          </w:p>
        </w:tc>
      </w:tr>
      <w:tr w14:paraId="33E1660E">
        <w:tblPrEx>
          <w:tblCellMar>
            <w:top w:w="0" w:type="dxa"/>
            <w:left w:w="10" w:type="dxa"/>
            <w:bottom w:w="0" w:type="dxa"/>
            <w:right w:w="10" w:type="dxa"/>
          </w:tblCellMar>
        </w:tblPrEx>
        <w:tc>
          <w:tcPr>
            <w:tcW w:w="364"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8FACD34">
            <w:pPr>
              <w:spacing w:after="200" w:line="276" w:lineRule="auto"/>
              <w:jc w:val="left"/>
              <w:rPr>
                <w:rFonts w:ascii="宋体" w:hAnsi="宋体" w:cs="宋体"/>
                <w:sz w:val="22"/>
              </w:rPr>
            </w:pPr>
          </w:p>
        </w:tc>
        <w:tc>
          <w:tcPr>
            <w:tcW w:w="379"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DD89E88">
            <w:pPr>
              <w:spacing w:after="200" w:line="276" w:lineRule="auto"/>
              <w:jc w:val="left"/>
              <w:rPr>
                <w:rFonts w:ascii="宋体" w:hAnsi="宋体" w:cs="宋体"/>
                <w:sz w:val="22"/>
              </w:rPr>
            </w:pPr>
          </w:p>
        </w:tc>
        <w:tc>
          <w:tcPr>
            <w:tcW w:w="1898"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C44C484">
            <w:pPr>
              <w:rPr>
                <w:rFonts w:ascii="宋体" w:hAnsi="宋体" w:cs="宋体"/>
                <w:sz w:val="22"/>
              </w:rPr>
            </w:pPr>
            <w:r>
              <w:rPr>
                <w:rFonts w:hint="eastAsia" w:ascii="宋体" w:hAnsi="宋体" w:cs="宋体"/>
                <w:sz w:val="22"/>
              </w:rPr>
              <w:t>（2）具有良好的商业信誉和健全的财务会计制度</w:t>
            </w:r>
          </w:p>
        </w:tc>
        <w:tc>
          <w:tcPr>
            <w:tcW w:w="2357" w:type="pct"/>
            <w:vMerge w:val="restart"/>
            <w:tcBorders>
              <w:top w:val="single" w:color="000000" w:sz="4" w:space="0"/>
              <w:left w:val="single" w:color="000000" w:sz="4" w:space="0"/>
              <w:right w:val="single" w:color="000000" w:sz="4" w:space="0"/>
            </w:tcBorders>
            <w:tcMar>
              <w:left w:w="108" w:type="dxa"/>
              <w:right w:w="108" w:type="dxa"/>
            </w:tcMar>
            <w:vAlign w:val="center"/>
          </w:tcPr>
          <w:p w14:paraId="1972E8F4">
            <w:pPr>
              <w:rPr>
                <w:rFonts w:ascii="宋体" w:hAnsi="宋体" w:cs="宋体"/>
                <w:sz w:val="22"/>
              </w:rPr>
            </w:pPr>
            <w:r>
              <w:rPr>
                <w:rFonts w:hint="eastAsia" w:ascii="宋体" w:hAnsi="宋体" w:cs="宋体"/>
                <w:sz w:val="22"/>
              </w:rPr>
              <w:t>提供基本资格条件承诺函（格式附后）</w:t>
            </w:r>
          </w:p>
        </w:tc>
      </w:tr>
      <w:tr w14:paraId="294F7C1D">
        <w:tblPrEx>
          <w:tblCellMar>
            <w:top w:w="0" w:type="dxa"/>
            <w:left w:w="10" w:type="dxa"/>
            <w:bottom w:w="0" w:type="dxa"/>
            <w:right w:w="10" w:type="dxa"/>
          </w:tblCellMar>
        </w:tblPrEx>
        <w:tc>
          <w:tcPr>
            <w:tcW w:w="364"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15331939">
            <w:pPr>
              <w:spacing w:after="200" w:line="276" w:lineRule="auto"/>
              <w:jc w:val="left"/>
              <w:rPr>
                <w:rFonts w:ascii="宋体" w:hAnsi="宋体" w:cs="宋体"/>
                <w:sz w:val="22"/>
              </w:rPr>
            </w:pPr>
          </w:p>
        </w:tc>
        <w:tc>
          <w:tcPr>
            <w:tcW w:w="379"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1262E9B">
            <w:pPr>
              <w:spacing w:after="200" w:line="276" w:lineRule="auto"/>
              <w:jc w:val="left"/>
              <w:rPr>
                <w:rFonts w:ascii="宋体" w:hAnsi="宋体" w:cs="宋体"/>
                <w:sz w:val="22"/>
              </w:rPr>
            </w:pPr>
          </w:p>
        </w:tc>
        <w:tc>
          <w:tcPr>
            <w:tcW w:w="1898"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565A9CA">
            <w:pPr>
              <w:rPr>
                <w:rFonts w:ascii="宋体" w:hAnsi="宋体" w:cs="宋体"/>
                <w:sz w:val="22"/>
              </w:rPr>
            </w:pPr>
            <w:r>
              <w:rPr>
                <w:rFonts w:hint="eastAsia" w:ascii="宋体" w:hAnsi="宋体" w:cs="宋体"/>
                <w:sz w:val="22"/>
              </w:rPr>
              <w:t>（3）具有履行合同所必需的设备和专业技术能力</w:t>
            </w:r>
          </w:p>
        </w:tc>
        <w:tc>
          <w:tcPr>
            <w:tcW w:w="2357" w:type="pct"/>
            <w:vMerge w:val="continue"/>
            <w:tcBorders>
              <w:left w:val="single" w:color="000000" w:sz="4" w:space="0"/>
              <w:right w:val="single" w:color="000000" w:sz="4" w:space="0"/>
            </w:tcBorders>
            <w:tcMar>
              <w:left w:w="108" w:type="dxa"/>
              <w:right w:w="108" w:type="dxa"/>
            </w:tcMar>
            <w:vAlign w:val="center"/>
          </w:tcPr>
          <w:p w14:paraId="2991CD30">
            <w:pPr>
              <w:rPr>
                <w:rFonts w:ascii="宋体" w:hAnsi="宋体" w:cs="宋体"/>
                <w:sz w:val="22"/>
              </w:rPr>
            </w:pPr>
          </w:p>
        </w:tc>
      </w:tr>
      <w:tr w14:paraId="6E57F639">
        <w:tblPrEx>
          <w:tblCellMar>
            <w:top w:w="0" w:type="dxa"/>
            <w:left w:w="10" w:type="dxa"/>
            <w:bottom w:w="0" w:type="dxa"/>
            <w:right w:w="10" w:type="dxa"/>
          </w:tblCellMar>
        </w:tblPrEx>
        <w:tc>
          <w:tcPr>
            <w:tcW w:w="364"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26092386">
            <w:pPr>
              <w:spacing w:after="200" w:line="276" w:lineRule="auto"/>
              <w:jc w:val="left"/>
              <w:rPr>
                <w:rFonts w:ascii="宋体" w:hAnsi="宋体" w:cs="宋体"/>
                <w:sz w:val="22"/>
              </w:rPr>
            </w:pPr>
          </w:p>
        </w:tc>
        <w:tc>
          <w:tcPr>
            <w:tcW w:w="379"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CA4CC96">
            <w:pPr>
              <w:spacing w:after="200" w:line="276" w:lineRule="auto"/>
              <w:jc w:val="left"/>
              <w:rPr>
                <w:rFonts w:ascii="宋体" w:hAnsi="宋体" w:cs="宋体"/>
                <w:sz w:val="22"/>
              </w:rPr>
            </w:pPr>
          </w:p>
        </w:tc>
        <w:tc>
          <w:tcPr>
            <w:tcW w:w="1898"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31DB044A">
            <w:pPr>
              <w:rPr>
                <w:rFonts w:ascii="宋体" w:hAnsi="宋体" w:cs="宋体"/>
                <w:sz w:val="22"/>
              </w:rPr>
            </w:pPr>
            <w:r>
              <w:rPr>
                <w:rFonts w:hint="eastAsia" w:ascii="宋体" w:hAnsi="宋体" w:cs="宋体"/>
                <w:sz w:val="22"/>
              </w:rPr>
              <w:t>（4）有依法缴纳税收和社会保障金的良好记录</w:t>
            </w:r>
          </w:p>
        </w:tc>
        <w:tc>
          <w:tcPr>
            <w:tcW w:w="2357" w:type="pct"/>
            <w:vMerge w:val="continue"/>
            <w:tcBorders>
              <w:left w:val="single" w:color="000000" w:sz="4" w:space="0"/>
              <w:right w:val="single" w:color="000000" w:sz="4" w:space="0"/>
            </w:tcBorders>
            <w:tcMar>
              <w:left w:w="108" w:type="dxa"/>
              <w:right w:w="108" w:type="dxa"/>
            </w:tcMar>
            <w:vAlign w:val="center"/>
          </w:tcPr>
          <w:p w14:paraId="73E4C9A3">
            <w:pPr>
              <w:rPr>
                <w:rFonts w:ascii="宋体" w:hAnsi="宋体" w:cs="宋体"/>
                <w:sz w:val="22"/>
              </w:rPr>
            </w:pPr>
          </w:p>
        </w:tc>
      </w:tr>
      <w:tr w14:paraId="76D4D8E3">
        <w:tblPrEx>
          <w:tblCellMar>
            <w:top w:w="0" w:type="dxa"/>
            <w:left w:w="10" w:type="dxa"/>
            <w:bottom w:w="0" w:type="dxa"/>
            <w:right w:w="10" w:type="dxa"/>
          </w:tblCellMar>
        </w:tblPrEx>
        <w:tc>
          <w:tcPr>
            <w:tcW w:w="364"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6F7356A1">
            <w:pPr>
              <w:spacing w:after="200" w:line="276" w:lineRule="auto"/>
              <w:jc w:val="left"/>
              <w:rPr>
                <w:rFonts w:ascii="宋体" w:hAnsi="宋体" w:cs="宋体"/>
                <w:sz w:val="22"/>
              </w:rPr>
            </w:pPr>
          </w:p>
        </w:tc>
        <w:tc>
          <w:tcPr>
            <w:tcW w:w="379" w:type="pct"/>
            <w:vMerge w:val="continue"/>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72C3CC13">
            <w:pPr>
              <w:spacing w:after="200" w:line="276" w:lineRule="auto"/>
              <w:jc w:val="left"/>
              <w:rPr>
                <w:rFonts w:ascii="宋体" w:hAnsi="宋体" w:cs="宋体"/>
                <w:sz w:val="22"/>
              </w:rPr>
            </w:pPr>
          </w:p>
        </w:tc>
        <w:tc>
          <w:tcPr>
            <w:tcW w:w="1898" w:type="pct"/>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14:paraId="06D12B29">
            <w:pPr>
              <w:rPr>
                <w:rFonts w:ascii="宋体" w:hAnsi="宋体" w:cs="宋体"/>
              </w:rPr>
            </w:pPr>
            <w:r>
              <w:rPr>
                <w:rFonts w:hint="eastAsia" w:ascii="宋体" w:hAnsi="宋体" w:cs="宋体"/>
                <w:sz w:val="22"/>
              </w:rPr>
              <w:t>（5）参加采购活动前三年内，在经营活动中没有重大违法记录(</w:t>
            </w:r>
            <w:r>
              <w:rPr>
                <w:rFonts w:hint="eastAsia" w:ascii="宋体" w:hAnsi="宋体" w:cs="宋体"/>
                <w:sz w:val="20"/>
              </w:rPr>
              <w:t>注</w:t>
            </w:r>
            <w:r>
              <w:rPr>
                <w:rFonts w:hint="eastAsia" w:ascii="宋体" w:hAnsi="宋体" w:cs="宋体"/>
                <w:kern w:val="0"/>
                <w:sz w:val="24"/>
                <w:szCs w:val="24"/>
              </w:rPr>
              <w:fldChar w:fldCharType="begin"/>
            </w:r>
            <w:r>
              <w:rPr>
                <w:rFonts w:hint="eastAsia" w:ascii="宋体" w:hAnsi="宋体" w:cs="宋体"/>
                <w:kern w:val="0"/>
                <w:sz w:val="24"/>
                <w:szCs w:val="24"/>
              </w:rPr>
              <w:instrText xml:space="preserve"> eq \o\ac(○,</w:instrText>
            </w:r>
            <w:r>
              <w:rPr>
                <w:rFonts w:hint="eastAsia" w:ascii="宋体" w:hAnsi="宋体" w:cs="宋体"/>
                <w:kern w:val="0"/>
                <w:position w:val="3"/>
                <w:sz w:val="16"/>
                <w:szCs w:val="24"/>
              </w:rPr>
              <w:instrText xml:space="preserve">1</w:instrText>
            </w:r>
            <w:r>
              <w:rPr>
                <w:rFonts w:hint="eastAsia" w:ascii="宋体" w:hAnsi="宋体" w:cs="宋体"/>
                <w:kern w:val="0"/>
                <w:sz w:val="24"/>
                <w:szCs w:val="24"/>
              </w:rPr>
              <w:instrText xml:space="preserve">)</w:instrText>
            </w:r>
            <w:r>
              <w:rPr>
                <w:rFonts w:hint="eastAsia" w:ascii="宋体" w:hAnsi="宋体" w:cs="宋体"/>
                <w:kern w:val="0"/>
                <w:sz w:val="24"/>
                <w:szCs w:val="24"/>
              </w:rPr>
              <w:fldChar w:fldCharType="end"/>
            </w:r>
            <w:r>
              <w:rPr>
                <w:rFonts w:hint="eastAsia" w:ascii="宋体" w:hAnsi="宋体" w:cs="宋体"/>
                <w:sz w:val="22"/>
              </w:rPr>
              <w:t>)</w:t>
            </w:r>
            <w:r>
              <w:rPr>
                <w:rFonts w:hint="eastAsia" w:ascii="宋体" w:hAnsi="宋体" w:cs="宋体"/>
                <w:sz w:val="24"/>
              </w:rPr>
              <w:t xml:space="preserve"> </w:t>
            </w:r>
          </w:p>
        </w:tc>
        <w:tc>
          <w:tcPr>
            <w:tcW w:w="2357" w:type="pct"/>
            <w:vMerge w:val="continue"/>
            <w:tcBorders>
              <w:left w:val="single" w:color="000000" w:sz="4" w:space="0"/>
              <w:bottom w:val="single" w:color="000000" w:sz="4" w:space="0"/>
              <w:right w:val="single" w:color="000000" w:sz="4" w:space="0"/>
            </w:tcBorders>
            <w:tcMar>
              <w:left w:w="108" w:type="dxa"/>
              <w:right w:w="108" w:type="dxa"/>
            </w:tcMar>
            <w:vAlign w:val="center"/>
          </w:tcPr>
          <w:p w14:paraId="07D1D905">
            <w:pPr>
              <w:rPr>
                <w:rFonts w:ascii="宋体" w:hAnsi="宋体" w:cs="宋体"/>
                <w:sz w:val="22"/>
              </w:rPr>
            </w:pPr>
          </w:p>
        </w:tc>
      </w:tr>
      <w:tr w14:paraId="4198BCD9">
        <w:tblPrEx>
          <w:tblCellMar>
            <w:top w:w="0" w:type="dxa"/>
            <w:left w:w="10" w:type="dxa"/>
            <w:bottom w:w="0" w:type="dxa"/>
            <w:right w:w="10" w:type="dxa"/>
          </w:tblCellMar>
        </w:tblPrEx>
        <w:trPr>
          <w:trHeight w:val="842" w:hRule="atLeast"/>
        </w:trPr>
        <w:tc>
          <w:tcPr>
            <w:tcW w:w="364" w:type="pct"/>
            <w:vMerge w:val="continue"/>
            <w:tcBorders>
              <w:top w:val="single" w:color="000000" w:sz="4" w:space="0"/>
              <w:left w:val="single" w:color="000000" w:sz="4" w:space="0"/>
              <w:bottom w:val="single" w:color="auto" w:sz="4" w:space="0"/>
              <w:right w:val="single" w:color="000000" w:sz="4" w:space="0"/>
            </w:tcBorders>
            <w:tcMar>
              <w:left w:w="108" w:type="dxa"/>
              <w:right w:w="108" w:type="dxa"/>
            </w:tcMar>
            <w:vAlign w:val="center"/>
          </w:tcPr>
          <w:p w14:paraId="599E218E">
            <w:pPr>
              <w:spacing w:after="200" w:line="276" w:lineRule="auto"/>
              <w:jc w:val="left"/>
              <w:rPr>
                <w:rFonts w:ascii="宋体" w:hAnsi="宋体" w:cs="宋体"/>
                <w:sz w:val="22"/>
              </w:rPr>
            </w:pPr>
          </w:p>
        </w:tc>
        <w:tc>
          <w:tcPr>
            <w:tcW w:w="379" w:type="pct"/>
            <w:vMerge w:val="continue"/>
            <w:tcBorders>
              <w:top w:val="single" w:color="000000" w:sz="4" w:space="0"/>
              <w:left w:val="single" w:color="000000" w:sz="4" w:space="0"/>
              <w:bottom w:val="single" w:color="auto" w:sz="4" w:space="0"/>
              <w:right w:val="single" w:color="000000" w:sz="4" w:space="0"/>
            </w:tcBorders>
            <w:tcMar>
              <w:left w:w="108" w:type="dxa"/>
              <w:right w:w="108" w:type="dxa"/>
            </w:tcMar>
            <w:vAlign w:val="center"/>
          </w:tcPr>
          <w:p w14:paraId="047C5706">
            <w:pPr>
              <w:spacing w:after="200" w:line="276" w:lineRule="auto"/>
              <w:jc w:val="left"/>
              <w:rPr>
                <w:rFonts w:ascii="宋体" w:hAnsi="宋体" w:cs="宋体"/>
                <w:sz w:val="22"/>
              </w:rPr>
            </w:pPr>
          </w:p>
        </w:tc>
        <w:tc>
          <w:tcPr>
            <w:tcW w:w="1898" w:type="pct"/>
            <w:tcBorders>
              <w:top w:val="single" w:color="000000" w:sz="4" w:space="0"/>
              <w:left w:val="single" w:color="000000" w:sz="4" w:space="0"/>
              <w:bottom w:val="single" w:color="auto" w:sz="4" w:space="0"/>
              <w:right w:val="single" w:color="000000" w:sz="4" w:space="0"/>
            </w:tcBorders>
            <w:tcMar>
              <w:left w:w="108" w:type="dxa"/>
              <w:right w:w="108" w:type="dxa"/>
            </w:tcMar>
            <w:vAlign w:val="center"/>
          </w:tcPr>
          <w:p w14:paraId="7B3EED9D">
            <w:pPr>
              <w:rPr>
                <w:rFonts w:ascii="宋体" w:hAnsi="宋体" w:cs="宋体"/>
                <w:sz w:val="22"/>
              </w:rPr>
            </w:pPr>
            <w:r>
              <w:rPr>
                <w:rFonts w:hint="eastAsia" w:ascii="宋体" w:hAnsi="宋体" w:cs="宋体"/>
                <w:sz w:val="22"/>
              </w:rPr>
              <w:t>（6）法律、行政法规规定的其他条件</w:t>
            </w:r>
          </w:p>
        </w:tc>
        <w:tc>
          <w:tcPr>
            <w:tcW w:w="2357" w:type="pct"/>
            <w:tcBorders>
              <w:top w:val="single" w:color="000000" w:sz="4" w:space="0"/>
              <w:left w:val="single" w:color="000000" w:sz="4" w:space="0"/>
              <w:bottom w:val="single" w:color="auto" w:sz="4" w:space="0"/>
              <w:right w:val="single" w:color="000000" w:sz="4" w:space="0"/>
            </w:tcBorders>
            <w:tcMar>
              <w:left w:w="108" w:type="dxa"/>
              <w:right w:w="108" w:type="dxa"/>
            </w:tcMar>
            <w:vAlign w:val="center"/>
          </w:tcPr>
          <w:p w14:paraId="4E18DF73">
            <w:pPr>
              <w:rPr>
                <w:rFonts w:ascii="宋体" w:hAnsi="宋体" w:cs="宋体"/>
                <w:sz w:val="22"/>
              </w:rPr>
            </w:pPr>
          </w:p>
        </w:tc>
      </w:tr>
      <w:tr w14:paraId="1021DEFF">
        <w:tblPrEx>
          <w:tblCellMar>
            <w:top w:w="0" w:type="dxa"/>
            <w:left w:w="10" w:type="dxa"/>
            <w:bottom w:w="0" w:type="dxa"/>
            <w:right w:w="10" w:type="dxa"/>
          </w:tblCellMar>
        </w:tblPrEx>
        <w:trPr>
          <w:trHeight w:val="258" w:hRule="atLeast"/>
        </w:trPr>
        <w:tc>
          <w:tcPr>
            <w:tcW w:w="364" w:type="pct"/>
            <w:tcBorders>
              <w:top w:val="single" w:color="auto" w:sz="4" w:space="0"/>
              <w:left w:val="single" w:color="000000" w:sz="4" w:space="0"/>
              <w:bottom w:val="single" w:color="auto" w:sz="4" w:space="0"/>
              <w:right w:val="single" w:color="000000" w:sz="4" w:space="0"/>
            </w:tcBorders>
            <w:tcMar>
              <w:left w:w="108" w:type="dxa"/>
              <w:right w:w="108" w:type="dxa"/>
            </w:tcMar>
            <w:vAlign w:val="center"/>
          </w:tcPr>
          <w:p w14:paraId="6A64A41E">
            <w:pPr>
              <w:jc w:val="center"/>
              <w:rPr>
                <w:rFonts w:ascii="宋体" w:hAnsi="宋体" w:cs="宋体"/>
                <w:sz w:val="22"/>
              </w:rPr>
            </w:pPr>
            <w:r>
              <w:rPr>
                <w:rFonts w:hint="eastAsia" w:ascii="宋体" w:hAnsi="宋体" w:cs="宋体"/>
                <w:sz w:val="22"/>
              </w:rPr>
              <w:t>2</w:t>
            </w:r>
          </w:p>
        </w:tc>
        <w:tc>
          <w:tcPr>
            <w:tcW w:w="2278" w:type="pct"/>
            <w:gridSpan w:val="2"/>
            <w:tcBorders>
              <w:top w:val="single" w:color="auto" w:sz="4" w:space="0"/>
              <w:left w:val="single" w:color="000000" w:sz="4" w:space="0"/>
              <w:bottom w:val="single" w:color="auto" w:sz="4" w:space="0"/>
              <w:right w:val="single" w:color="000000" w:sz="4" w:space="0"/>
            </w:tcBorders>
            <w:tcMar>
              <w:left w:w="108" w:type="dxa"/>
              <w:right w:w="108" w:type="dxa"/>
            </w:tcMar>
            <w:vAlign w:val="center"/>
          </w:tcPr>
          <w:p w14:paraId="07D9B0AB">
            <w:pPr>
              <w:rPr>
                <w:rFonts w:ascii="宋体" w:hAnsi="宋体" w:cs="宋体"/>
                <w:sz w:val="22"/>
              </w:rPr>
            </w:pPr>
            <w:r>
              <w:rPr>
                <w:rFonts w:hint="eastAsia" w:ascii="宋体" w:hAnsi="宋体" w:cs="宋体"/>
                <w:sz w:val="22"/>
              </w:rPr>
              <w:t>特定资格条件</w:t>
            </w:r>
          </w:p>
        </w:tc>
        <w:tc>
          <w:tcPr>
            <w:tcW w:w="2357" w:type="pct"/>
            <w:tcBorders>
              <w:top w:val="single" w:color="auto" w:sz="4" w:space="0"/>
              <w:left w:val="single" w:color="000000" w:sz="4" w:space="0"/>
              <w:bottom w:val="single" w:color="auto" w:sz="4" w:space="0"/>
              <w:right w:val="single" w:color="000000" w:sz="4" w:space="0"/>
            </w:tcBorders>
            <w:tcMar>
              <w:left w:w="108" w:type="dxa"/>
              <w:right w:w="108" w:type="dxa"/>
            </w:tcMar>
            <w:vAlign w:val="center"/>
          </w:tcPr>
          <w:p w14:paraId="619688F7">
            <w:pPr>
              <w:rPr>
                <w:rFonts w:ascii="宋体" w:hAnsi="宋体" w:cs="宋体"/>
                <w:sz w:val="22"/>
              </w:rPr>
            </w:pPr>
            <w:r>
              <w:rPr>
                <w:rFonts w:hint="eastAsia" w:ascii="宋体" w:hAnsi="宋体" w:cs="宋体"/>
                <w:sz w:val="22"/>
              </w:rPr>
              <w:t>按第一篇“三、比选申请人资格条件（二）本项目的特定资格要求”的要求提交</w:t>
            </w:r>
          </w:p>
        </w:tc>
      </w:tr>
      <w:tr w14:paraId="1A401F9B">
        <w:tblPrEx>
          <w:tblCellMar>
            <w:top w:w="0" w:type="dxa"/>
            <w:left w:w="10" w:type="dxa"/>
            <w:bottom w:w="0" w:type="dxa"/>
            <w:right w:w="10" w:type="dxa"/>
          </w:tblCellMar>
        </w:tblPrEx>
        <w:trPr>
          <w:trHeight w:val="90" w:hRule="atLeast"/>
        </w:trPr>
        <w:tc>
          <w:tcPr>
            <w:tcW w:w="364" w:type="pct"/>
            <w:tcBorders>
              <w:top w:val="single" w:color="auto" w:sz="4" w:space="0"/>
              <w:left w:val="single" w:color="000000" w:sz="4" w:space="0"/>
              <w:bottom w:val="single" w:color="000000" w:sz="4" w:space="0"/>
              <w:right w:val="single" w:color="000000" w:sz="4" w:space="0"/>
            </w:tcBorders>
            <w:tcMar>
              <w:left w:w="108" w:type="dxa"/>
              <w:right w:w="108" w:type="dxa"/>
            </w:tcMar>
            <w:vAlign w:val="center"/>
          </w:tcPr>
          <w:p w14:paraId="0EA27E52">
            <w:pPr>
              <w:jc w:val="center"/>
              <w:rPr>
                <w:rFonts w:ascii="宋体" w:hAnsi="宋体" w:cs="宋体"/>
                <w:sz w:val="22"/>
              </w:rPr>
            </w:pPr>
            <w:r>
              <w:rPr>
                <w:rFonts w:hint="eastAsia" w:ascii="宋体" w:hAnsi="宋体" w:cs="宋体"/>
                <w:sz w:val="22"/>
              </w:rPr>
              <w:t>3</w:t>
            </w:r>
          </w:p>
        </w:tc>
        <w:tc>
          <w:tcPr>
            <w:tcW w:w="2278" w:type="pct"/>
            <w:gridSpan w:val="2"/>
            <w:tcBorders>
              <w:top w:val="single" w:color="auto" w:sz="4" w:space="0"/>
              <w:left w:val="single" w:color="000000" w:sz="4" w:space="0"/>
              <w:bottom w:val="single" w:color="000000" w:sz="4" w:space="0"/>
              <w:right w:val="single" w:color="000000" w:sz="4" w:space="0"/>
            </w:tcBorders>
            <w:tcMar>
              <w:left w:w="108" w:type="dxa"/>
              <w:right w:w="108" w:type="dxa"/>
            </w:tcMar>
            <w:vAlign w:val="center"/>
          </w:tcPr>
          <w:p w14:paraId="24B001FA">
            <w:pPr>
              <w:rPr>
                <w:rFonts w:ascii="宋体" w:hAnsi="宋体" w:cs="宋体"/>
                <w:sz w:val="22"/>
              </w:rPr>
            </w:pPr>
            <w:r>
              <w:rPr>
                <w:rFonts w:hint="eastAsia" w:ascii="宋体" w:hAnsi="宋体" w:cs="宋体"/>
                <w:sz w:val="22"/>
              </w:rPr>
              <w:t>比选申请保证金</w:t>
            </w:r>
          </w:p>
        </w:tc>
        <w:tc>
          <w:tcPr>
            <w:tcW w:w="2357" w:type="pct"/>
            <w:tcBorders>
              <w:top w:val="single" w:color="auto" w:sz="4" w:space="0"/>
              <w:left w:val="single" w:color="000000" w:sz="4" w:space="0"/>
              <w:bottom w:val="single" w:color="000000" w:sz="4" w:space="0"/>
              <w:right w:val="single" w:color="000000" w:sz="4" w:space="0"/>
            </w:tcBorders>
            <w:tcMar>
              <w:left w:w="108" w:type="dxa"/>
              <w:right w:w="108" w:type="dxa"/>
            </w:tcMar>
            <w:vAlign w:val="center"/>
          </w:tcPr>
          <w:p w14:paraId="60918F67">
            <w:pPr>
              <w:rPr>
                <w:rFonts w:ascii="宋体" w:hAnsi="宋体" w:cs="宋体"/>
                <w:sz w:val="22"/>
              </w:rPr>
            </w:pPr>
            <w:r>
              <w:rPr>
                <w:rFonts w:hint="eastAsia" w:ascii="宋体" w:hAnsi="宋体" w:cs="宋体"/>
                <w:sz w:val="22"/>
              </w:rPr>
              <w:t>按照比选文件要求足额交纳比选申请保证金。</w:t>
            </w:r>
          </w:p>
        </w:tc>
      </w:tr>
    </w:tbl>
    <w:p w14:paraId="5C5806E9">
      <w:pPr>
        <w:snapToGrid w:val="0"/>
        <w:spacing w:line="400" w:lineRule="exact"/>
        <w:ind w:firstLine="480" w:firstLineChars="200"/>
        <w:rPr>
          <w:rFonts w:ascii="宋体" w:hAnsi="宋体" w:cs="宋体"/>
          <w:kern w:val="0"/>
          <w:sz w:val="24"/>
          <w:szCs w:val="24"/>
        </w:rPr>
      </w:pPr>
      <w:r>
        <w:rPr>
          <w:rFonts w:hint="eastAsia" w:ascii="宋体" w:hAnsi="宋体" w:cs="宋体"/>
          <w:kern w:val="0"/>
          <w:sz w:val="24"/>
          <w:szCs w:val="24"/>
        </w:rPr>
        <w:t>注：</w:t>
      </w:r>
    </w:p>
    <w:p w14:paraId="33876D19">
      <w:pPr>
        <w:snapToGrid w:val="0"/>
        <w:spacing w:line="400" w:lineRule="exact"/>
        <w:ind w:firstLine="480" w:firstLineChars="200"/>
        <w:rPr>
          <w:rFonts w:ascii="宋体" w:hAnsi="宋体" w:cs="宋体"/>
          <w:kern w:val="0"/>
          <w:sz w:val="24"/>
          <w:szCs w:val="24"/>
        </w:rPr>
      </w:pPr>
      <w:r>
        <w:rPr>
          <w:rFonts w:hint="eastAsia" w:ascii="宋体" w:hAnsi="宋体" w:cs="宋体"/>
          <w:kern w:val="0"/>
          <w:sz w:val="24"/>
          <w:szCs w:val="24"/>
        </w:rPr>
        <w:fldChar w:fldCharType="begin"/>
      </w:r>
      <w:r>
        <w:rPr>
          <w:rFonts w:hint="eastAsia" w:ascii="宋体" w:hAnsi="宋体" w:cs="宋体"/>
          <w:kern w:val="0"/>
          <w:sz w:val="24"/>
          <w:szCs w:val="24"/>
        </w:rPr>
        <w:instrText xml:space="preserve"> eq \o\ac(○,</w:instrText>
      </w:r>
      <w:r>
        <w:rPr>
          <w:rFonts w:hint="eastAsia" w:ascii="宋体" w:hAnsi="宋体" w:cs="宋体"/>
          <w:kern w:val="0"/>
          <w:position w:val="3"/>
          <w:sz w:val="16"/>
          <w:szCs w:val="24"/>
        </w:rPr>
        <w:instrText xml:space="preserve">1</w:instrText>
      </w:r>
      <w:r>
        <w:rPr>
          <w:rFonts w:hint="eastAsia" w:ascii="宋体" w:hAnsi="宋体" w:cs="宋体"/>
          <w:kern w:val="0"/>
          <w:sz w:val="24"/>
          <w:szCs w:val="24"/>
        </w:rPr>
        <w:instrText xml:space="preserve">)</w:instrText>
      </w:r>
      <w:r>
        <w:rPr>
          <w:rFonts w:hint="eastAsia" w:ascii="宋体" w:hAnsi="宋体" w:cs="宋体"/>
          <w:kern w:val="0"/>
          <w:sz w:val="24"/>
          <w:szCs w:val="24"/>
        </w:rPr>
        <w:fldChar w:fldCharType="end"/>
      </w:r>
      <w:r>
        <w:rPr>
          <w:rFonts w:hint="eastAsia" w:ascii="宋体" w:hAnsi="宋体" w:cs="宋体"/>
          <w:kern w:val="0"/>
          <w:sz w:val="24"/>
          <w:szCs w:val="24"/>
        </w:rPr>
        <w:t>“参加采购活动前三年内，在经营活动中没有重大违法记录”中“重大违法记录”，是指比选申请人因违法经营受到刑事处罚或者责令停产停业、吊销许可证或者执照、较大数额罚款等行政处罚。行政处罚中“较大数额”的认定标准，参照“财政部关于《中华人民共和国政府采购法实施条例》第十九条第一款“较大数额罚款”具体适用问题的意见（财库〔2022〕3 号）”执行。比选申请人可于比选申请文件递交截止时间前通过 “信用中国”网站(www.creditchina.gov.cn)、"中国政府采购网"(www.ccgp.gov.cn)等渠道查询信用记录。</w:t>
      </w:r>
    </w:p>
    <w:p w14:paraId="7031499B">
      <w:pPr>
        <w:snapToGrid w:val="0"/>
        <w:spacing w:line="400" w:lineRule="exact"/>
        <w:ind w:firstLine="480" w:firstLineChars="200"/>
        <w:rPr>
          <w:rFonts w:ascii="宋体" w:hAnsi="宋体" w:cs="宋体"/>
          <w:kern w:val="0"/>
          <w:sz w:val="24"/>
          <w:szCs w:val="24"/>
        </w:rPr>
      </w:pPr>
      <w:r>
        <w:rPr>
          <w:rFonts w:hint="eastAsia" w:ascii="宋体" w:hAnsi="宋体" w:cs="宋体"/>
          <w:kern w:val="0"/>
          <w:sz w:val="24"/>
          <w:szCs w:val="24"/>
        </w:rPr>
        <w:t>2.符合性审查。依据竞争性比选文件的规定，从比选申请文件的有效性、完整性和对竞争性比选文件的响应程度进行审查，以确定是否对竞争性比选文件的实质性要求作出响应。符合性审查资料表如下：</w:t>
      </w:r>
    </w:p>
    <w:tbl>
      <w:tblPr>
        <w:tblStyle w:val="59"/>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14:paraId="1C404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14:paraId="7A5C2D0C">
            <w:pPr>
              <w:jc w:val="center"/>
              <w:rPr>
                <w:rFonts w:ascii="宋体" w:hAnsi="宋体" w:cs="宋体"/>
                <w:b/>
                <w:kern w:val="0"/>
                <w:sz w:val="21"/>
                <w:szCs w:val="21"/>
              </w:rPr>
            </w:pPr>
            <w:r>
              <w:rPr>
                <w:rFonts w:hint="eastAsia" w:ascii="宋体" w:hAnsi="宋体" w:cs="宋体"/>
                <w:b/>
                <w:kern w:val="0"/>
                <w:sz w:val="21"/>
                <w:szCs w:val="21"/>
              </w:rPr>
              <w:t>序号</w:t>
            </w:r>
          </w:p>
        </w:tc>
        <w:tc>
          <w:tcPr>
            <w:tcW w:w="3544" w:type="dxa"/>
            <w:gridSpan w:val="2"/>
            <w:vAlign w:val="center"/>
          </w:tcPr>
          <w:p w14:paraId="21F63447">
            <w:pPr>
              <w:jc w:val="center"/>
              <w:rPr>
                <w:rFonts w:ascii="宋体" w:hAnsi="宋体" w:cs="宋体"/>
                <w:b/>
                <w:kern w:val="0"/>
                <w:sz w:val="21"/>
                <w:szCs w:val="21"/>
              </w:rPr>
            </w:pPr>
            <w:r>
              <w:rPr>
                <w:rFonts w:hint="eastAsia" w:ascii="宋体" w:hAnsi="宋体" w:cs="宋体"/>
                <w:b/>
                <w:kern w:val="0"/>
                <w:sz w:val="21"/>
                <w:szCs w:val="21"/>
              </w:rPr>
              <w:t>评审因素</w:t>
            </w:r>
          </w:p>
        </w:tc>
        <w:tc>
          <w:tcPr>
            <w:tcW w:w="5409" w:type="dxa"/>
            <w:vAlign w:val="center"/>
          </w:tcPr>
          <w:p w14:paraId="25CB2A7D">
            <w:pPr>
              <w:jc w:val="center"/>
              <w:rPr>
                <w:rFonts w:ascii="宋体" w:hAnsi="宋体" w:cs="宋体"/>
                <w:b/>
                <w:kern w:val="0"/>
                <w:sz w:val="21"/>
                <w:szCs w:val="21"/>
              </w:rPr>
            </w:pPr>
            <w:r>
              <w:rPr>
                <w:rFonts w:hint="eastAsia" w:ascii="宋体" w:hAnsi="宋体" w:cs="宋体"/>
                <w:b/>
                <w:kern w:val="0"/>
                <w:sz w:val="21"/>
                <w:szCs w:val="21"/>
              </w:rPr>
              <w:t>评审标准</w:t>
            </w:r>
          </w:p>
        </w:tc>
      </w:tr>
      <w:tr w14:paraId="7BE2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14:paraId="59DCFC1E">
            <w:pPr>
              <w:jc w:val="center"/>
              <w:rPr>
                <w:rFonts w:ascii="宋体" w:hAnsi="宋体" w:cs="宋体"/>
                <w:kern w:val="0"/>
                <w:sz w:val="21"/>
                <w:szCs w:val="21"/>
              </w:rPr>
            </w:pPr>
            <w:r>
              <w:rPr>
                <w:rFonts w:hint="eastAsia" w:ascii="宋体" w:hAnsi="宋体" w:cs="宋体"/>
                <w:kern w:val="0"/>
                <w:sz w:val="21"/>
                <w:szCs w:val="21"/>
              </w:rPr>
              <w:t>1</w:t>
            </w:r>
          </w:p>
        </w:tc>
        <w:tc>
          <w:tcPr>
            <w:tcW w:w="1560" w:type="dxa"/>
            <w:vMerge w:val="restart"/>
            <w:vAlign w:val="center"/>
          </w:tcPr>
          <w:p w14:paraId="437BF0E7">
            <w:pPr>
              <w:rPr>
                <w:rFonts w:ascii="宋体" w:hAnsi="宋体" w:cs="宋体"/>
                <w:kern w:val="0"/>
                <w:sz w:val="21"/>
                <w:szCs w:val="21"/>
              </w:rPr>
            </w:pPr>
            <w:r>
              <w:rPr>
                <w:rFonts w:hint="eastAsia" w:ascii="宋体" w:hAnsi="宋体" w:cs="宋体"/>
                <w:kern w:val="0"/>
                <w:sz w:val="21"/>
                <w:szCs w:val="21"/>
              </w:rPr>
              <w:t>有效性审查</w:t>
            </w:r>
          </w:p>
        </w:tc>
        <w:tc>
          <w:tcPr>
            <w:tcW w:w="1984" w:type="dxa"/>
            <w:vAlign w:val="center"/>
          </w:tcPr>
          <w:p w14:paraId="649CE6DD">
            <w:pPr>
              <w:rPr>
                <w:rFonts w:ascii="宋体" w:hAnsi="宋体" w:cs="宋体"/>
                <w:kern w:val="0"/>
                <w:sz w:val="21"/>
                <w:szCs w:val="21"/>
              </w:rPr>
            </w:pPr>
            <w:r>
              <w:rPr>
                <w:rFonts w:hint="eastAsia" w:ascii="宋体" w:hAnsi="宋体" w:cs="宋体"/>
                <w:sz w:val="21"/>
                <w:szCs w:val="21"/>
              </w:rPr>
              <w:t>比选申请文件签署或盖章</w:t>
            </w:r>
          </w:p>
        </w:tc>
        <w:tc>
          <w:tcPr>
            <w:tcW w:w="5409" w:type="dxa"/>
            <w:vAlign w:val="center"/>
          </w:tcPr>
          <w:p w14:paraId="2EA900D4">
            <w:pPr>
              <w:rPr>
                <w:rFonts w:ascii="宋体" w:hAnsi="宋体" w:cs="宋体"/>
                <w:kern w:val="0"/>
                <w:sz w:val="21"/>
                <w:szCs w:val="21"/>
              </w:rPr>
            </w:pPr>
            <w:r>
              <w:rPr>
                <w:rFonts w:hint="eastAsia" w:ascii="宋体" w:hAnsi="宋体" w:cs="宋体"/>
                <w:sz w:val="21"/>
                <w:szCs w:val="21"/>
              </w:rPr>
              <w:t>按竞争性比选文件“</w:t>
            </w:r>
            <w:r>
              <w:rPr>
                <w:rFonts w:hint="eastAsia" w:ascii="宋体" w:hAnsi="宋体" w:cs="宋体"/>
                <w:sz w:val="21"/>
                <w:szCs w:val="21"/>
                <w:lang w:eastAsia="zh-CN"/>
              </w:rPr>
              <w:t>第六篇</w:t>
            </w:r>
            <w:r>
              <w:rPr>
                <w:rFonts w:hint="eastAsia" w:ascii="宋体" w:hAnsi="宋体" w:cs="宋体"/>
                <w:sz w:val="21"/>
                <w:szCs w:val="21"/>
              </w:rPr>
              <w:t>比选申请文件编制要求”要求签署或盖章。</w:t>
            </w:r>
          </w:p>
        </w:tc>
      </w:tr>
      <w:tr w14:paraId="73ADC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14:paraId="0801DA7F">
            <w:pPr>
              <w:jc w:val="center"/>
              <w:rPr>
                <w:rFonts w:ascii="宋体" w:hAnsi="宋体" w:cs="宋体"/>
                <w:kern w:val="0"/>
                <w:sz w:val="21"/>
                <w:szCs w:val="21"/>
              </w:rPr>
            </w:pPr>
          </w:p>
        </w:tc>
        <w:tc>
          <w:tcPr>
            <w:tcW w:w="1560" w:type="dxa"/>
            <w:vMerge w:val="continue"/>
            <w:vAlign w:val="center"/>
          </w:tcPr>
          <w:p w14:paraId="083AE207">
            <w:pPr>
              <w:rPr>
                <w:rFonts w:ascii="宋体" w:hAnsi="宋体" w:cs="宋体"/>
                <w:kern w:val="0"/>
                <w:sz w:val="21"/>
                <w:szCs w:val="21"/>
              </w:rPr>
            </w:pPr>
          </w:p>
        </w:tc>
        <w:tc>
          <w:tcPr>
            <w:tcW w:w="1984" w:type="dxa"/>
            <w:vAlign w:val="center"/>
          </w:tcPr>
          <w:p w14:paraId="1B646CF0">
            <w:pPr>
              <w:rPr>
                <w:rFonts w:ascii="宋体" w:hAnsi="宋体" w:cs="宋体"/>
                <w:sz w:val="21"/>
                <w:szCs w:val="21"/>
              </w:rPr>
            </w:pPr>
            <w:r>
              <w:rPr>
                <w:rFonts w:hint="eastAsia" w:ascii="宋体" w:hAnsi="宋体" w:cs="宋体"/>
                <w:sz w:val="21"/>
                <w:szCs w:val="21"/>
              </w:rPr>
              <w:t>法定代表人身份证明及授权委托书</w:t>
            </w:r>
          </w:p>
        </w:tc>
        <w:tc>
          <w:tcPr>
            <w:tcW w:w="5409" w:type="dxa"/>
            <w:vAlign w:val="center"/>
          </w:tcPr>
          <w:p w14:paraId="3D6FD3F2">
            <w:pPr>
              <w:rPr>
                <w:rFonts w:ascii="宋体" w:hAnsi="宋体" w:cs="宋体"/>
                <w:sz w:val="21"/>
                <w:szCs w:val="21"/>
              </w:rPr>
            </w:pPr>
            <w:r>
              <w:rPr>
                <w:rFonts w:hint="eastAsia" w:ascii="宋体" w:hAnsi="宋体" w:cs="宋体"/>
                <w:sz w:val="21"/>
                <w:szCs w:val="21"/>
              </w:rPr>
              <w:t>法定代表人身份证明及授权委托书有效，符合竞争性比选文件规定的格式，签署或盖章齐全。</w:t>
            </w:r>
          </w:p>
        </w:tc>
      </w:tr>
      <w:tr w14:paraId="4077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14:paraId="730CA0E0">
            <w:pPr>
              <w:jc w:val="center"/>
              <w:rPr>
                <w:rFonts w:ascii="宋体" w:hAnsi="宋体" w:cs="宋体"/>
                <w:kern w:val="0"/>
                <w:sz w:val="21"/>
                <w:szCs w:val="21"/>
              </w:rPr>
            </w:pPr>
          </w:p>
        </w:tc>
        <w:tc>
          <w:tcPr>
            <w:tcW w:w="1560" w:type="dxa"/>
            <w:vMerge w:val="continue"/>
            <w:vAlign w:val="center"/>
          </w:tcPr>
          <w:p w14:paraId="67D1DAD3">
            <w:pPr>
              <w:rPr>
                <w:rFonts w:ascii="宋体" w:hAnsi="宋体" w:cs="宋体"/>
                <w:kern w:val="0"/>
                <w:sz w:val="21"/>
                <w:szCs w:val="21"/>
              </w:rPr>
            </w:pPr>
          </w:p>
        </w:tc>
        <w:tc>
          <w:tcPr>
            <w:tcW w:w="1984" w:type="dxa"/>
            <w:vAlign w:val="center"/>
          </w:tcPr>
          <w:p w14:paraId="68A5305F">
            <w:pPr>
              <w:rPr>
                <w:rFonts w:ascii="宋体" w:hAnsi="宋体" w:cs="宋体"/>
                <w:sz w:val="21"/>
                <w:szCs w:val="21"/>
                <w:lang w:val="zh-CN"/>
              </w:rPr>
            </w:pPr>
            <w:r>
              <w:rPr>
                <w:rFonts w:hint="eastAsia" w:ascii="宋体" w:hAnsi="宋体" w:cs="宋体"/>
                <w:sz w:val="21"/>
                <w:szCs w:val="21"/>
              </w:rPr>
              <w:t>响应</w:t>
            </w:r>
            <w:r>
              <w:rPr>
                <w:rFonts w:hint="eastAsia" w:ascii="宋体" w:hAnsi="宋体" w:cs="宋体"/>
                <w:sz w:val="21"/>
                <w:szCs w:val="21"/>
                <w:lang w:val="zh-CN"/>
              </w:rPr>
              <w:t>方案</w:t>
            </w:r>
          </w:p>
        </w:tc>
        <w:tc>
          <w:tcPr>
            <w:tcW w:w="5409" w:type="dxa"/>
            <w:vAlign w:val="center"/>
          </w:tcPr>
          <w:p w14:paraId="0F27B858">
            <w:pPr>
              <w:rPr>
                <w:rFonts w:ascii="宋体" w:hAnsi="宋体" w:cs="宋体"/>
                <w:kern w:val="0"/>
                <w:sz w:val="21"/>
                <w:szCs w:val="21"/>
              </w:rPr>
            </w:pPr>
            <w:r>
              <w:rPr>
                <w:rFonts w:hint="eastAsia" w:ascii="宋体" w:hAnsi="宋体" w:cs="宋体"/>
                <w:sz w:val="21"/>
                <w:szCs w:val="21"/>
                <w:lang w:val="zh-CN"/>
              </w:rPr>
              <w:t>每个包只能有一个</w:t>
            </w:r>
            <w:r>
              <w:rPr>
                <w:rFonts w:hint="eastAsia" w:ascii="宋体" w:hAnsi="宋体" w:cs="宋体"/>
                <w:sz w:val="21"/>
                <w:szCs w:val="21"/>
              </w:rPr>
              <w:t>响应</w:t>
            </w:r>
            <w:r>
              <w:rPr>
                <w:rFonts w:hint="eastAsia" w:ascii="宋体" w:hAnsi="宋体" w:cs="宋体"/>
                <w:sz w:val="21"/>
                <w:szCs w:val="21"/>
                <w:lang w:val="zh-CN"/>
              </w:rPr>
              <w:t>方案。</w:t>
            </w:r>
          </w:p>
        </w:tc>
      </w:tr>
      <w:tr w14:paraId="778F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vAlign w:val="center"/>
          </w:tcPr>
          <w:p w14:paraId="68108581">
            <w:pPr>
              <w:jc w:val="center"/>
              <w:rPr>
                <w:rFonts w:ascii="宋体" w:hAnsi="宋体" w:cs="宋体"/>
                <w:kern w:val="0"/>
                <w:sz w:val="21"/>
                <w:szCs w:val="21"/>
              </w:rPr>
            </w:pPr>
          </w:p>
        </w:tc>
        <w:tc>
          <w:tcPr>
            <w:tcW w:w="1560" w:type="dxa"/>
            <w:vMerge w:val="continue"/>
            <w:vAlign w:val="center"/>
          </w:tcPr>
          <w:p w14:paraId="591A3134">
            <w:pPr>
              <w:rPr>
                <w:rFonts w:ascii="宋体" w:hAnsi="宋体" w:cs="宋体"/>
                <w:kern w:val="0"/>
                <w:sz w:val="21"/>
                <w:szCs w:val="21"/>
              </w:rPr>
            </w:pPr>
          </w:p>
        </w:tc>
        <w:tc>
          <w:tcPr>
            <w:tcW w:w="1984" w:type="dxa"/>
            <w:vAlign w:val="center"/>
          </w:tcPr>
          <w:p w14:paraId="593B9866">
            <w:pPr>
              <w:rPr>
                <w:rFonts w:ascii="宋体" w:hAnsi="宋体" w:cs="宋体"/>
                <w:sz w:val="21"/>
                <w:szCs w:val="21"/>
                <w:lang w:val="zh-CN"/>
              </w:rPr>
            </w:pPr>
            <w:r>
              <w:rPr>
                <w:rFonts w:hint="eastAsia" w:ascii="宋体" w:hAnsi="宋体" w:cs="宋体"/>
                <w:sz w:val="21"/>
                <w:szCs w:val="21"/>
              </w:rPr>
              <w:t>报价唯一</w:t>
            </w:r>
          </w:p>
        </w:tc>
        <w:tc>
          <w:tcPr>
            <w:tcW w:w="5409" w:type="dxa"/>
            <w:vAlign w:val="center"/>
          </w:tcPr>
          <w:p w14:paraId="3A1E0DA7">
            <w:pPr>
              <w:rPr>
                <w:rFonts w:ascii="宋体" w:hAnsi="宋体" w:cs="宋体"/>
                <w:kern w:val="0"/>
                <w:sz w:val="21"/>
                <w:szCs w:val="21"/>
              </w:rPr>
            </w:pPr>
            <w:r>
              <w:rPr>
                <w:rFonts w:hint="eastAsia" w:ascii="宋体" w:hAnsi="宋体" w:cs="宋体"/>
                <w:sz w:val="21"/>
                <w:szCs w:val="21"/>
              </w:rPr>
              <w:t>只能有一个有效报价，不得超过最高限价，不得提交选择性报价。</w:t>
            </w:r>
          </w:p>
        </w:tc>
      </w:tr>
      <w:tr w14:paraId="28C3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Align w:val="center"/>
          </w:tcPr>
          <w:p w14:paraId="6A51BA54">
            <w:pPr>
              <w:jc w:val="center"/>
              <w:rPr>
                <w:rFonts w:ascii="宋体" w:hAnsi="宋体" w:cs="宋体"/>
                <w:kern w:val="0"/>
                <w:sz w:val="21"/>
                <w:szCs w:val="21"/>
              </w:rPr>
            </w:pPr>
            <w:r>
              <w:rPr>
                <w:rFonts w:hint="eastAsia" w:ascii="宋体" w:hAnsi="宋体" w:cs="宋体"/>
                <w:kern w:val="0"/>
                <w:sz w:val="21"/>
                <w:szCs w:val="21"/>
              </w:rPr>
              <w:t>2</w:t>
            </w:r>
          </w:p>
        </w:tc>
        <w:tc>
          <w:tcPr>
            <w:tcW w:w="1560" w:type="dxa"/>
            <w:vAlign w:val="center"/>
          </w:tcPr>
          <w:p w14:paraId="041280FC">
            <w:pPr>
              <w:rPr>
                <w:rFonts w:ascii="宋体" w:hAnsi="宋体" w:cs="宋体"/>
                <w:kern w:val="0"/>
                <w:sz w:val="21"/>
                <w:szCs w:val="21"/>
              </w:rPr>
            </w:pPr>
            <w:r>
              <w:rPr>
                <w:rFonts w:hint="eastAsia" w:ascii="宋体" w:hAnsi="宋体" w:cs="宋体"/>
                <w:kern w:val="0"/>
                <w:sz w:val="21"/>
                <w:szCs w:val="21"/>
              </w:rPr>
              <w:t>完整性审查</w:t>
            </w:r>
          </w:p>
        </w:tc>
        <w:tc>
          <w:tcPr>
            <w:tcW w:w="1984" w:type="dxa"/>
            <w:vAlign w:val="center"/>
          </w:tcPr>
          <w:p w14:paraId="00C607DA">
            <w:pPr>
              <w:rPr>
                <w:rFonts w:ascii="宋体" w:hAnsi="宋体" w:cs="宋体"/>
                <w:kern w:val="0"/>
                <w:sz w:val="21"/>
                <w:szCs w:val="21"/>
              </w:rPr>
            </w:pPr>
            <w:r>
              <w:rPr>
                <w:rFonts w:hint="eastAsia" w:ascii="宋体" w:hAnsi="宋体" w:cs="宋体"/>
                <w:kern w:val="0"/>
                <w:sz w:val="21"/>
                <w:szCs w:val="21"/>
              </w:rPr>
              <w:t>比选申请</w:t>
            </w:r>
            <w:r>
              <w:rPr>
                <w:rFonts w:hint="eastAsia" w:ascii="宋体" w:hAnsi="宋体" w:cs="宋体"/>
                <w:sz w:val="21"/>
                <w:szCs w:val="21"/>
                <w:lang w:val="zh-CN"/>
              </w:rPr>
              <w:t>文件份数</w:t>
            </w:r>
          </w:p>
        </w:tc>
        <w:tc>
          <w:tcPr>
            <w:tcW w:w="5409" w:type="dxa"/>
            <w:vAlign w:val="center"/>
          </w:tcPr>
          <w:p w14:paraId="6806DB1D">
            <w:pPr>
              <w:rPr>
                <w:rFonts w:ascii="宋体" w:hAnsi="宋体" w:cs="宋体"/>
                <w:kern w:val="0"/>
                <w:sz w:val="21"/>
                <w:szCs w:val="21"/>
              </w:rPr>
            </w:pPr>
            <w:r>
              <w:rPr>
                <w:rFonts w:hint="eastAsia" w:ascii="宋体" w:hAnsi="宋体" w:cs="宋体"/>
                <w:kern w:val="0"/>
                <w:sz w:val="21"/>
                <w:szCs w:val="21"/>
              </w:rPr>
              <w:t>比选申请</w:t>
            </w:r>
            <w:r>
              <w:rPr>
                <w:rFonts w:hint="eastAsia" w:ascii="宋体" w:hAnsi="宋体" w:cs="宋体"/>
                <w:sz w:val="21"/>
                <w:szCs w:val="21"/>
                <w:lang w:val="zh-CN"/>
              </w:rPr>
              <w:t>文件正、副本数量（含电子文档）符合</w:t>
            </w:r>
            <w:r>
              <w:rPr>
                <w:rFonts w:hint="eastAsia" w:ascii="宋体" w:hAnsi="宋体" w:cs="宋体"/>
                <w:sz w:val="21"/>
                <w:szCs w:val="21"/>
              </w:rPr>
              <w:t>竞争性比选文件</w:t>
            </w:r>
            <w:r>
              <w:rPr>
                <w:rFonts w:hint="eastAsia" w:ascii="宋体" w:hAnsi="宋体" w:cs="宋体"/>
                <w:sz w:val="21"/>
                <w:szCs w:val="21"/>
                <w:lang w:val="zh-CN"/>
              </w:rPr>
              <w:t>要求。</w:t>
            </w:r>
          </w:p>
        </w:tc>
      </w:tr>
      <w:tr w14:paraId="0819C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75" w:type="dxa"/>
            <w:vMerge w:val="restart"/>
            <w:vAlign w:val="center"/>
          </w:tcPr>
          <w:p w14:paraId="538E1F36">
            <w:pPr>
              <w:jc w:val="center"/>
              <w:rPr>
                <w:rFonts w:ascii="宋体" w:hAnsi="宋体" w:cs="宋体"/>
                <w:kern w:val="0"/>
                <w:sz w:val="21"/>
                <w:szCs w:val="21"/>
              </w:rPr>
            </w:pPr>
            <w:r>
              <w:rPr>
                <w:rFonts w:hint="eastAsia" w:ascii="宋体" w:hAnsi="宋体" w:cs="宋体"/>
                <w:kern w:val="0"/>
                <w:sz w:val="21"/>
                <w:szCs w:val="21"/>
              </w:rPr>
              <w:t>3</w:t>
            </w:r>
          </w:p>
        </w:tc>
        <w:tc>
          <w:tcPr>
            <w:tcW w:w="1560" w:type="dxa"/>
            <w:vMerge w:val="restart"/>
            <w:vAlign w:val="center"/>
          </w:tcPr>
          <w:p w14:paraId="0B5D6D2F">
            <w:pPr>
              <w:rPr>
                <w:rFonts w:ascii="宋体" w:hAnsi="宋体" w:cs="宋体"/>
                <w:sz w:val="21"/>
                <w:szCs w:val="21"/>
                <w:lang w:val="zh-CN"/>
              </w:rPr>
            </w:pPr>
            <w:r>
              <w:rPr>
                <w:rFonts w:hint="eastAsia" w:ascii="宋体" w:hAnsi="宋体" w:cs="宋体"/>
                <w:kern w:val="0"/>
                <w:sz w:val="21"/>
                <w:szCs w:val="21"/>
              </w:rPr>
              <w:t>响应程度审查</w:t>
            </w:r>
          </w:p>
        </w:tc>
        <w:tc>
          <w:tcPr>
            <w:tcW w:w="1984" w:type="dxa"/>
            <w:vMerge w:val="restart"/>
            <w:vAlign w:val="center"/>
          </w:tcPr>
          <w:p w14:paraId="47F33713">
            <w:pPr>
              <w:rPr>
                <w:rFonts w:ascii="宋体" w:hAnsi="宋体" w:cs="宋体"/>
                <w:kern w:val="0"/>
                <w:sz w:val="21"/>
                <w:szCs w:val="21"/>
              </w:rPr>
            </w:pPr>
            <w:r>
              <w:rPr>
                <w:rFonts w:hint="eastAsia" w:ascii="宋体" w:hAnsi="宋体" w:cs="宋体"/>
                <w:kern w:val="0"/>
                <w:sz w:val="21"/>
                <w:szCs w:val="21"/>
              </w:rPr>
              <w:t>实质性响应</w:t>
            </w:r>
          </w:p>
        </w:tc>
        <w:tc>
          <w:tcPr>
            <w:tcW w:w="5409" w:type="dxa"/>
            <w:vAlign w:val="center"/>
          </w:tcPr>
          <w:p w14:paraId="668396DD">
            <w:pPr>
              <w:rPr>
                <w:rFonts w:ascii="宋体" w:hAnsi="宋体" w:cs="宋体"/>
                <w:kern w:val="0"/>
                <w:sz w:val="21"/>
                <w:szCs w:val="21"/>
              </w:rPr>
            </w:pPr>
            <w:r>
              <w:rPr>
                <w:rFonts w:hint="eastAsia" w:ascii="宋体" w:hAnsi="宋体" w:cs="宋体"/>
                <w:kern w:val="0"/>
                <w:sz w:val="21"/>
                <w:szCs w:val="21"/>
              </w:rPr>
              <w:t>本招标文件第二篇中（※）号标注的部分。</w:t>
            </w:r>
          </w:p>
        </w:tc>
      </w:tr>
      <w:tr w14:paraId="12A69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vMerge w:val="continue"/>
            <w:vAlign w:val="center"/>
          </w:tcPr>
          <w:p w14:paraId="52FDBAD2">
            <w:pPr>
              <w:jc w:val="center"/>
              <w:rPr>
                <w:rFonts w:ascii="宋体" w:hAnsi="宋体" w:cs="宋体"/>
                <w:kern w:val="0"/>
                <w:sz w:val="21"/>
                <w:szCs w:val="21"/>
              </w:rPr>
            </w:pPr>
          </w:p>
        </w:tc>
        <w:tc>
          <w:tcPr>
            <w:tcW w:w="1560" w:type="dxa"/>
            <w:vMerge w:val="continue"/>
            <w:vAlign w:val="center"/>
          </w:tcPr>
          <w:p w14:paraId="39D5A27D">
            <w:pPr>
              <w:rPr>
                <w:rFonts w:ascii="宋体" w:hAnsi="宋体" w:cs="宋体"/>
                <w:sz w:val="21"/>
                <w:szCs w:val="21"/>
                <w:lang w:val="zh-CN"/>
              </w:rPr>
            </w:pPr>
          </w:p>
        </w:tc>
        <w:tc>
          <w:tcPr>
            <w:tcW w:w="1984" w:type="dxa"/>
            <w:vMerge w:val="continue"/>
            <w:vAlign w:val="center"/>
          </w:tcPr>
          <w:p w14:paraId="08534282">
            <w:pPr>
              <w:rPr>
                <w:rFonts w:ascii="宋体" w:hAnsi="宋体" w:cs="宋体"/>
                <w:kern w:val="0"/>
                <w:sz w:val="21"/>
                <w:szCs w:val="21"/>
              </w:rPr>
            </w:pPr>
          </w:p>
        </w:tc>
        <w:tc>
          <w:tcPr>
            <w:tcW w:w="5409" w:type="dxa"/>
            <w:vAlign w:val="center"/>
          </w:tcPr>
          <w:p w14:paraId="6BB30640">
            <w:pPr>
              <w:rPr>
                <w:rFonts w:ascii="宋体" w:hAnsi="宋体" w:cs="宋体"/>
                <w:kern w:val="0"/>
                <w:sz w:val="21"/>
                <w:szCs w:val="21"/>
              </w:rPr>
            </w:pPr>
            <w:r>
              <w:rPr>
                <w:rFonts w:hint="eastAsia" w:ascii="宋体" w:hAnsi="宋体" w:cs="宋体"/>
                <w:kern w:val="0"/>
                <w:sz w:val="21"/>
                <w:szCs w:val="21"/>
              </w:rPr>
              <w:t>本招标文件第三篇中（※）号标注的部分。</w:t>
            </w:r>
          </w:p>
        </w:tc>
      </w:tr>
      <w:tr w14:paraId="5F766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vMerge w:val="continue"/>
            <w:vAlign w:val="center"/>
          </w:tcPr>
          <w:p w14:paraId="73E2E3BD">
            <w:pPr>
              <w:jc w:val="center"/>
              <w:rPr>
                <w:rFonts w:ascii="宋体" w:hAnsi="宋体" w:cs="宋体"/>
                <w:kern w:val="0"/>
                <w:sz w:val="21"/>
                <w:szCs w:val="21"/>
              </w:rPr>
            </w:pPr>
          </w:p>
        </w:tc>
        <w:tc>
          <w:tcPr>
            <w:tcW w:w="1560" w:type="dxa"/>
            <w:vMerge w:val="continue"/>
            <w:vAlign w:val="center"/>
          </w:tcPr>
          <w:p w14:paraId="62F61049">
            <w:pPr>
              <w:rPr>
                <w:rFonts w:ascii="宋体" w:hAnsi="宋体" w:cs="宋体"/>
                <w:sz w:val="21"/>
                <w:szCs w:val="21"/>
                <w:lang w:val="zh-CN"/>
              </w:rPr>
            </w:pPr>
          </w:p>
        </w:tc>
        <w:tc>
          <w:tcPr>
            <w:tcW w:w="1984" w:type="dxa"/>
            <w:vAlign w:val="center"/>
          </w:tcPr>
          <w:p w14:paraId="4F905098">
            <w:pPr>
              <w:rPr>
                <w:rFonts w:ascii="宋体" w:hAnsi="宋体" w:cs="宋体"/>
                <w:kern w:val="0"/>
                <w:sz w:val="21"/>
                <w:szCs w:val="21"/>
              </w:rPr>
            </w:pPr>
            <w:r>
              <w:rPr>
                <w:rFonts w:hint="eastAsia" w:ascii="宋体" w:hAnsi="宋体" w:cs="宋体"/>
                <w:kern w:val="0"/>
                <w:sz w:val="21"/>
                <w:szCs w:val="21"/>
              </w:rPr>
              <w:t>比选有效期</w:t>
            </w:r>
          </w:p>
        </w:tc>
        <w:tc>
          <w:tcPr>
            <w:tcW w:w="5409" w:type="dxa"/>
            <w:vAlign w:val="center"/>
          </w:tcPr>
          <w:p w14:paraId="17125EEB">
            <w:pPr>
              <w:rPr>
                <w:rFonts w:ascii="宋体" w:hAnsi="宋体" w:cs="宋体"/>
                <w:kern w:val="0"/>
                <w:sz w:val="21"/>
                <w:szCs w:val="21"/>
              </w:rPr>
            </w:pPr>
            <w:r>
              <w:rPr>
                <w:rFonts w:hint="eastAsia" w:ascii="宋体" w:hAnsi="宋体" w:cs="宋体"/>
                <w:kern w:val="0"/>
                <w:sz w:val="21"/>
                <w:szCs w:val="21"/>
              </w:rPr>
              <w:t>比选申请文件及有关承诺文件有效期为提交比选申请文件截止时间起90天。</w:t>
            </w:r>
          </w:p>
        </w:tc>
      </w:tr>
      <w:tr w14:paraId="40396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vMerge w:val="continue"/>
            <w:vAlign w:val="center"/>
          </w:tcPr>
          <w:p w14:paraId="6995B17F">
            <w:pPr>
              <w:jc w:val="center"/>
              <w:rPr>
                <w:rFonts w:ascii="宋体" w:hAnsi="宋体" w:cs="宋体"/>
                <w:kern w:val="0"/>
                <w:sz w:val="21"/>
                <w:szCs w:val="21"/>
              </w:rPr>
            </w:pPr>
          </w:p>
        </w:tc>
        <w:tc>
          <w:tcPr>
            <w:tcW w:w="1560" w:type="dxa"/>
            <w:vMerge w:val="continue"/>
            <w:vAlign w:val="center"/>
          </w:tcPr>
          <w:p w14:paraId="1C145A81">
            <w:pPr>
              <w:rPr>
                <w:rFonts w:ascii="宋体" w:hAnsi="宋体" w:cs="宋体"/>
                <w:sz w:val="21"/>
                <w:szCs w:val="21"/>
                <w:lang w:val="zh-CN"/>
              </w:rPr>
            </w:pPr>
          </w:p>
        </w:tc>
        <w:tc>
          <w:tcPr>
            <w:tcW w:w="1984" w:type="dxa"/>
            <w:vAlign w:val="center"/>
          </w:tcPr>
          <w:p w14:paraId="4F9BE812">
            <w:pPr>
              <w:rPr>
                <w:rFonts w:hint="eastAsia" w:ascii="宋体" w:hAnsi="宋体" w:cs="宋体"/>
                <w:kern w:val="0"/>
                <w:sz w:val="21"/>
                <w:szCs w:val="21"/>
              </w:rPr>
            </w:pPr>
            <w:r>
              <w:rPr>
                <w:rFonts w:hint="eastAsia" w:ascii="宋体" w:hAnsi="宋体" w:cs="宋体"/>
                <w:kern w:val="0"/>
                <w:sz w:val="21"/>
                <w:szCs w:val="21"/>
              </w:rPr>
              <w:t>其他要求</w:t>
            </w:r>
          </w:p>
        </w:tc>
        <w:tc>
          <w:tcPr>
            <w:tcW w:w="5409" w:type="dxa"/>
            <w:vAlign w:val="center"/>
          </w:tcPr>
          <w:p w14:paraId="63F286DE">
            <w:pPr>
              <w:rPr>
                <w:rFonts w:hint="eastAsia" w:ascii="宋体" w:hAnsi="宋体" w:cs="宋体"/>
                <w:kern w:val="0"/>
                <w:sz w:val="21"/>
                <w:szCs w:val="21"/>
                <w:highlight w:val="yellow"/>
              </w:rPr>
            </w:pPr>
            <w:r>
              <w:rPr>
                <w:rFonts w:hint="eastAsia" w:ascii="宋体" w:hAnsi="宋体" w:cs="宋体"/>
                <w:kern w:val="0"/>
                <w:sz w:val="21"/>
                <w:szCs w:val="21"/>
                <w:highlight w:val="none"/>
              </w:rPr>
              <w:t>符合比选文件的其他要求。</w:t>
            </w:r>
          </w:p>
        </w:tc>
      </w:tr>
    </w:tbl>
    <w:p w14:paraId="1F91124A">
      <w:pPr>
        <w:pStyle w:val="3"/>
        <w:adjustRightInd w:val="0"/>
        <w:snapToGrid w:val="0"/>
        <w:spacing w:before="0" w:after="0" w:line="400" w:lineRule="exact"/>
        <w:ind w:firstLine="482" w:firstLineChars="200"/>
        <w:rPr>
          <w:rFonts w:ascii="宋体" w:hAnsi="宋体" w:eastAsia="宋体" w:cs="宋体"/>
          <w:sz w:val="24"/>
        </w:rPr>
      </w:pPr>
      <w:bookmarkStart w:id="273" w:name="_Toc22464"/>
      <w:bookmarkStart w:id="274" w:name="_Toc6627"/>
      <w:bookmarkStart w:id="275" w:name="_Toc10355"/>
      <w:bookmarkStart w:id="276" w:name="_Toc76462334"/>
      <w:bookmarkStart w:id="277" w:name="_Toc22705"/>
      <w:bookmarkStart w:id="278" w:name="_Toc23860"/>
      <w:bookmarkStart w:id="279" w:name="_Toc4515"/>
      <w:bookmarkStart w:id="280" w:name="_Toc28387"/>
      <w:bookmarkStart w:id="281" w:name="_Toc9231"/>
      <w:bookmarkStart w:id="282" w:name="_Toc102227320"/>
      <w:bookmarkStart w:id="283" w:name="_Toc342913394"/>
      <w:r>
        <w:rPr>
          <w:rFonts w:hint="eastAsia" w:ascii="宋体" w:hAnsi="宋体" w:eastAsia="宋体" w:cs="宋体"/>
          <w:sz w:val="24"/>
        </w:rPr>
        <w:t>二、评审标准</w:t>
      </w:r>
      <w:bookmarkEnd w:id="273"/>
      <w:bookmarkEnd w:id="274"/>
      <w:bookmarkEnd w:id="275"/>
      <w:bookmarkEnd w:id="276"/>
      <w:bookmarkEnd w:id="277"/>
      <w:bookmarkEnd w:id="278"/>
      <w:bookmarkEnd w:id="279"/>
      <w:bookmarkEnd w:id="280"/>
      <w:bookmarkEnd w:id="281"/>
    </w:p>
    <w:p w14:paraId="6A0484CA">
      <w:pPr>
        <w:ind w:firstLine="480" w:firstLineChars="200"/>
        <w:rPr>
          <w:rFonts w:ascii="宋体" w:hAnsi="宋体" w:cs="宋体"/>
          <w:sz w:val="24"/>
          <w:szCs w:val="24"/>
        </w:rPr>
      </w:pPr>
      <w:r>
        <w:rPr>
          <w:rFonts w:hint="eastAsia" w:ascii="宋体" w:hAnsi="宋体" w:cs="宋体"/>
          <w:sz w:val="24"/>
          <w:szCs w:val="24"/>
        </w:rPr>
        <w:t>本项目采用综合评分法进行评标。</w:t>
      </w:r>
    </w:p>
    <w:p w14:paraId="2C00C928">
      <w:pPr>
        <w:ind w:firstLine="480" w:firstLineChars="200"/>
        <w:rPr>
          <w:rFonts w:ascii="宋体" w:hAnsi="宋体" w:cs="宋体"/>
          <w:sz w:val="24"/>
          <w:szCs w:val="24"/>
        </w:rPr>
      </w:pPr>
      <w:r>
        <w:rPr>
          <w:rFonts w:hint="eastAsia" w:ascii="宋体" w:hAnsi="宋体" w:cs="宋体"/>
          <w:sz w:val="24"/>
          <w:szCs w:val="24"/>
        </w:rPr>
        <w:t>综合评分法，是指比选申请文件满足竞争性比选文件全部实质性要求且按照评审因素的量化指标评审得分最高的比选申请人为中选人的评标方法。比选申请人总得分为报价、服务、商务等评定因素分别按照相应权重值计算分项得分后相加，满分为100分。</w:t>
      </w:r>
    </w:p>
    <w:p w14:paraId="15EBB7E2">
      <w:pPr>
        <w:ind w:firstLine="480" w:firstLineChars="200"/>
        <w:rPr>
          <w:rFonts w:ascii="宋体" w:hAnsi="宋体" w:cs="宋体"/>
          <w:sz w:val="24"/>
          <w:szCs w:val="24"/>
        </w:rPr>
      </w:pPr>
      <w:r>
        <w:rPr>
          <w:rFonts w:hint="eastAsia" w:ascii="宋体" w:hAnsi="宋体" w:cs="宋体"/>
          <w:sz w:val="24"/>
          <w:szCs w:val="24"/>
        </w:rPr>
        <w:t>澄清有关问题。对比选申请文件中含义不明确、同类问题表述不一致或者有明显文字和计算错误的内容，比选小组可以书面形式（应当由比选小组成员签字）要求比选申请人作出必要澄清、说明或者纠正。比选申请人的澄清、说明或者补正应当采用书面形式，由其法定代表人（或其授权代表）或自然人（比选申请人为自然人）签字，其澄清的内容不得超出比选申请文件的范围或者改变比选申请文件的实质性内容。</w:t>
      </w:r>
    </w:p>
    <w:p w14:paraId="6986F7DD">
      <w:pPr>
        <w:ind w:firstLine="480" w:firstLineChars="200"/>
        <w:rPr>
          <w:rFonts w:ascii="宋体" w:hAnsi="宋体" w:cs="宋体"/>
          <w:sz w:val="24"/>
          <w:szCs w:val="24"/>
        </w:rPr>
      </w:pPr>
      <w:r>
        <w:rPr>
          <w:rFonts w:hint="eastAsia" w:ascii="宋体" w:hAnsi="宋体" w:cs="宋体"/>
          <w:sz w:val="24"/>
          <w:szCs w:val="24"/>
        </w:rPr>
        <w:t>（一）比较与评价。按竞争性比选文件中规定的评标方法和标准，对资格审查和符合性审查合格的比选申请文件进行报价、服务部分和商务部分进行评审。</w:t>
      </w:r>
    </w:p>
    <w:p w14:paraId="12011F08">
      <w:pPr>
        <w:ind w:firstLine="480" w:firstLineChars="200"/>
        <w:rPr>
          <w:rFonts w:ascii="宋体" w:hAnsi="宋体" w:cs="宋体"/>
          <w:sz w:val="24"/>
          <w:szCs w:val="24"/>
        </w:rPr>
      </w:pPr>
      <w:r>
        <w:rPr>
          <w:rFonts w:hint="eastAsia" w:ascii="宋体" w:hAnsi="宋体" w:cs="宋体"/>
          <w:sz w:val="24"/>
          <w:szCs w:val="24"/>
        </w:rPr>
        <w:t>比选小组各成员独立对每个有效比选申请人（通过资格审查、符合性审查的比选申请人）的比选申请文件进行评价、打分，然后由比选小组对各成员打分情况进行核查及复核，个别成员对同一比选申请人同一评分项的打分偏离较大的，应对比选申请人的比选申请文件进行再次核对，确属打分有误的，应及时进行修正。</w:t>
      </w:r>
    </w:p>
    <w:p w14:paraId="2D2E93B4">
      <w:pPr>
        <w:ind w:firstLine="480" w:firstLineChars="200"/>
        <w:rPr>
          <w:rFonts w:ascii="宋体" w:hAnsi="宋体" w:cs="宋体"/>
          <w:sz w:val="24"/>
          <w:szCs w:val="24"/>
        </w:rPr>
      </w:pPr>
      <w:r>
        <w:rPr>
          <w:rFonts w:hint="eastAsia" w:ascii="宋体" w:hAnsi="宋体" w:cs="宋体"/>
          <w:sz w:val="24"/>
          <w:szCs w:val="24"/>
        </w:rPr>
        <w:t>复核后，比选小组汇总每个比选申请人每项评分因素的得分。</w:t>
      </w:r>
    </w:p>
    <w:p w14:paraId="2EEF4B8E">
      <w:pPr>
        <w:ind w:firstLine="480" w:firstLineChars="200"/>
        <w:rPr>
          <w:rFonts w:ascii="宋体" w:hAnsi="宋体" w:cs="宋体"/>
          <w:sz w:val="24"/>
          <w:szCs w:val="24"/>
        </w:rPr>
      </w:pPr>
      <w:r>
        <w:rPr>
          <w:rFonts w:hint="eastAsia" w:ascii="宋体" w:hAnsi="宋体" w:cs="宋体"/>
          <w:sz w:val="24"/>
          <w:szCs w:val="24"/>
        </w:rPr>
        <w:t>（二）推荐中选候选人名单。</w:t>
      </w:r>
    </w:p>
    <w:p w14:paraId="5762948F">
      <w:pPr>
        <w:ind w:firstLine="480" w:firstLineChars="200"/>
        <w:rPr>
          <w:rFonts w:ascii="宋体" w:hAnsi="宋体" w:cs="宋体"/>
          <w:sz w:val="24"/>
          <w:szCs w:val="24"/>
        </w:rPr>
      </w:pPr>
      <w:r>
        <w:rPr>
          <w:rFonts w:hint="eastAsia" w:ascii="宋体" w:hAnsi="宋体" w:cs="宋体"/>
          <w:sz w:val="24"/>
          <w:szCs w:val="24"/>
        </w:rPr>
        <w:t>按评审后得分由高到低的排列顺序推荐综合得分排名前三的比选申请人为本包（项目）中选候选人，排名第一的为第一中选候选人。得分相同的，按比选申请报价</w:t>
      </w:r>
      <w:r>
        <w:rPr>
          <w:rFonts w:hint="eastAsia" w:ascii="宋体" w:hAnsi="宋体" w:cs="宋体"/>
          <w:sz w:val="24"/>
          <w:szCs w:val="24"/>
          <w:lang w:val="en-US" w:eastAsia="zh-CN"/>
        </w:rPr>
        <w:t>得分</w:t>
      </w:r>
      <w:r>
        <w:rPr>
          <w:rFonts w:hint="eastAsia" w:ascii="宋体" w:hAnsi="宋体" w:cs="宋体"/>
          <w:sz w:val="24"/>
          <w:szCs w:val="24"/>
        </w:rPr>
        <w:t>由低到高顺序排列。得分且比选申请报价相同的</w:t>
      </w:r>
      <w:r>
        <w:rPr>
          <w:rFonts w:hint="eastAsia" w:ascii="宋体" w:hAnsi="宋体" w:cs="宋体"/>
          <w:sz w:val="24"/>
          <w:szCs w:val="24"/>
          <w:lang w:val="en-US" w:eastAsia="zh-CN"/>
        </w:rPr>
        <w:t>按技术部分得分由低到高顺序排列</w:t>
      </w:r>
      <w:r>
        <w:rPr>
          <w:rFonts w:hint="eastAsia" w:ascii="宋体" w:hAnsi="宋体" w:cs="宋体"/>
          <w:sz w:val="24"/>
          <w:szCs w:val="24"/>
        </w:rPr>
        <w:t>。</w:t>
      </w:r>
    </w:p>
    <w:p w14:paraId="01D301C6">
      <w:pPr>
        <w:ind w:firstLine="480" w:firstLineChars="200"/>
        <w:rPr>
          <w:rFonts w:ascii="宋体" w:hAnsi="宋体" w:cs="宋体"/>
        </w:rPr>
      </w:pPr>
      <w:r>
        <w:rPr>
          <w:rFonts w:hint="eastAsia" w:ascii="宋体" w:hAnsi="宋体" w:cs="宋体"/>
          <w:sz w:val="24"/>
          <w:szCs w:val="24"/>
        </w:rPr>
        <w:t>（三）评审因素</w:t>
      </w:r>
    </w:p>
    <w:p w14:paraId="4E0716F3">
      <w:pPr>
        <w:rPr>
          <w:rFonts w:ascii="宋体" w:hAnsi="宋体" w:cs="宋体"/>
          <w:b/>
          <w:bCs/>
        </w:rPr>
      </w:pPr>
      <w:bookmarkStart w:id="284" w:name="_Toc18023"/>
      <w:bookmarkStart w:id="285" w:name="_Toc76462335"/>
      <w:bookmarkStart w:id="286" w:name="_Toc15286"/>
      <w:bookmarkStart w:id="287" w:name="_Toc1516"/>
      <w:r>
        <w:rPr>
          <w:rFonts w:hint="eastAsia" w:ascii="宋体" w:hAnsi="宋体" w:cs="宋体"/>
          <w:b/>
          <w:bCs/>
          <w:sz w:val="24"/>
        </w:rPr>
        <w:t>包1：</w:t>
      </w:r>
    </w:p>
    <w:tbl>
      <w:tblPr>
        <w:tblStyle w:val="59"/>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227"/>
        <w:gridCol w:w="1115"/>
        <w:gridCol w:w="3618"/>
        <w:gridCol w:w="3033"/>
      </w:tblGrid>
      <w:tr w14:paraId="37013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14:paraId="72CDE8F4">
            <w:pPr>
              <w:ind w:firstLine="28"/>
              <w:jc w:val="center"/>
              <w:rPr>
                <w:rFonts w:ascii="宋体" w:hAnsi="宋体" w:cs="宋体"/>
                <w:b/>
                <w:sz w:val="21"/>
                <w:szCs w:val="21"/>
              </w:rPr>
            </w:pPr>
            <w:r>
              <w:rPr>
                <w:rFonts w:hint="eastAsia" w:ascii="宋体" w:hAnsi="宋体" w:cs="宋体"/>
                <w:b/>
                <w:sz w:val="21"/>
                <w:szCs w:val="21"/>
              </w:rPr>
              <w:t>序号</w:t>
            </w:r>
          </w:p>
        </w:tc>
        <w:tc>
          <w:tcPr>
            <w:tcW w:w="1227" w:type="dxa"/>
            <w:vAlign w:val="center"/>
          </w:tcPr>
          <w:p w14:paraId="7415E3EA">
            <w:pPr>
              <w:ind w:firstLine="28"/>
              <w:jc w:val="center"/>
              <w:rPr>
                <w:rFonts w:ascii="宋体" w:hAnsi="宋体" w:cs="宋体"/>
                <w:b/>
                <w:sz w:val="21"/>
                <w:szCs w:val="21"/>
              </w:rPr>
            </w:pPr>
            <w:r>
              <w:rPr>
                <w:rFonts w:hint="eastAsia" w:ascii="宋体" w:hAnsi="宋体" w:cs="宋体"/>
                <w:b/>
                <w:sz w:val="21"/>
                <w:szCs w:val="21"/>
              </w:rPr>
              <w:t>评分因素及权值</w:t>
            </w:r>
          </w:p>
        </w:tc>
        <w:tc>
          <w:tcPr>
            <w:tcW w:w="1115" w:type="dxa"/>
            <w:vAlign w:val="center"/>
          </w:tcPr>
          <w:p w14:paraId="62F0528C">
            <w:pPr>
              <w:ind w:firstLine="28"/>
              <w:jc w:val="center"/>
              <w:rPr>
                <w:rFonts w:ascii="宋体" w:hAnsi="宋体" w:cs="宋体"/>
                <w:b/>
                <w:sz w:val="21"/>
                <w:szCs w:val="21"/>
              </w:rPr>
            </w:pPr>
            <w:r>
              <w:rPr>
                <w:rFonts w:hint="eastAsia" w:ascii="宋体" w:hAnsi="宋体" w:cs="宋体"/>
                <w:b/>
                <w:sz w:val="21"/>
                <w:szCs w:val="21"/>
              </w:rPr>
              <w:t>分值</w:t>
            </w:r>
          </w:p>
        </w:tc>
        <w:tc>
          <w:tcPr>
            <w:tcW w:w="3618" w:type="dxa"/>
            <w:vAlign w:val="center"/>
          </w:tcPr>
          <w:p w14:paraId="7BF9F26A">
            <w:pPr>
              <w:ind w:firstLine="28"/>
              <w:jc w:val="center"/>
              <w:rPr>
                <w:rFonts w:ascii="宋体" w:hAnsi="宋体" w:cs="宋体"/>
                <w:b/>
                <w:sz w:val="21"/>
                <w:szCs w:val="21"/>
              </w:rPr>
            </w:pPr>
            <w:r>
              <w:rPr>
                <w:rFonts w:hint="eastAsia" w:ascii="宋体" w:hAnsi="宋体" w:cs="宋体"/>
                <w:b/>
                <w:sz w:val="21"/>
                <w:szCs w:val="21"/>
              </w:rPr>
              <w:t>评分标准</w:t>
            </w:r>
          </w:p>
        </w:tc>
        <w:tc>
          <w:tcPr>
            <w:tcW w:w="3033" w:type="dxa"/>
            <w:vAlign w:val="center"/>
          </w:tcPr>
          <w:p w14:paraId="5E1DDD9B">
            <w:pPr>
              <w:pStyle w:val="230"/>
              <w:spacing w:before="0" w:after="0" w:line="240" w:lineRule="auto"/>
              <w:ind w:left="1540" w:hanging="420"/>
              <w:jc w:val="both"/>
              <w:rPr>
                <w:rFonts w:ascii="宋体" w:hAnsi="宋体" w:eastAsia="宋体" w:cs="宋体"/>
                <w:sz w:val="21"/>
                <w:szCs w:val="21"/>
                <w:highlight w:val="yellow"/>
              </w:rPr>
            </w:pPr>
            <w:r>
              <w:rPr>
                <w:rFonts w:hint="eastAsia" w:ascii="宋体" w:hAnsi="宋体" w:eastAsia="宋体" w:cs="宋体"/>
                <w:sz w:val="21"/>
                <w:szCs w:val="21"/>
                <w:highlight w:val="none"/>
              </w:rPr>
              <w:t>说明</w:t>
            </w:r>
          </w:p>
        </w:tc>
      </w:tr>
      <w:tr w14:paraId="5B9C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14:paraId="77BBC69B">
            <w:pPr>
              <w:ind w:firstLine="28"/>
              <w:jc w:val="center"/>
              <w:rPr>
                <w:rFonts w:ascii="宋体" w:hAnsi="宋体" w:cs="宋体"/>
                <w:sz w:val="21"/>
                <w:szCs w:val="21"/>
              </w:rPr>
            </w:pPr>
            <w:r>
              <w:rPr>
                <w:rFonts w:hint="eastAsia" w:ascii="宋体" w:hAnsi="宋体" w:cs="宋体"/>
                <w:sz w:val="21"/>
                <w:szCs w:val="21"/>
              </w:rPr>
              <w:t>1</w:t>
            </w:r>
          </w:p>
        </w:tc>
        <w:tc>
          <w:tcPr>
            <w:tcW w:w="1227" w:type="dxa"/>
            <w:vAlign w:val="center"/>
          </w:tcPr>
          <w:p w14:paraId="7EAEB48C">
            <w:pPr>
              <w:ind w:firstLine="28"/>
              <w:jc w:val="center"/>
              <w:rPr>
                <w:rFonts w:ascii="宋体" w:hAnsi="宋体" w:cs="宋体"/>
                <w:sz w:val="21"/>
                <w:szCs w:val="21"/>
              </w:rPr>
            </w:pPr>
            <w:r>
              <w:rPr>
                <w:rFonts w:hint="eastAsia" w:ascii="宋体" w:hAnsi="宋体" w:cs="宋体"/>
                <w:sz w:val="21"/>
                <w:szCs w:val="21"/>
              </w:rPr>
              <w:t>比选申请报价</w:t>
            </w:r>
          </w:p>
          <w:p w14:paraId="204E44FB">
            <w:pPr>
              <w:ind w:firstLine="28"/>
              <w:jc w:val="center"/>
              <w:rPr>
                <w:rFonts w:ascii="宋体" w:hAnsi="宋体" w:cs="宋体"/>
                <w:sz w:val="21"/>
                <w:szCs w:val="21"/>
              </w:rPr>
            </w:pPr>
            <w:r>
              <w:rPr>
                <w:rFonts w:hint="eastAsia" w:ascii="宋体" w:hAnsi="宋体" w:cs="宋体"/>
                <w:sz w:val="21"/>
                <w:szCs w:val="21"/>
              </w:rPr>
              <w:t>（30%）</w:t>
            </w:r>
          </w:p>
        </w:tc>
        <w:tc>
          <w:tcPr>
            <w:tcW w:w="1115" w:type="dxa"/>
            <w:vAlign w:val="center"/>
          </w:tcPr>
          <w:p w14:paraId="5C72726A">
            <w:pPr>
              <w:ind w:firstLine="28"/>
              <w:jc w:val="center"/>
              <w:rPr>
                <w:rFonts w:ascii="宋体" w:hAnsi="宋体" w:cs="宋体"/>
                <w:sz w:val="21"/>
                <w:szCs w:val="21"/>
              </w:rPr>
            </w:pPr>
            <w:r>
              <w:rPr>
                <w:rFonts w:hint="eastAsia" w:ascii="宋体" w:hAnsi="宋体" w:cs="宋体"/>
                <w:sz w:val="21"/>
                <w:szCs w:val="21"/>
              </w:rPr>
              <w:t>30分</w:t>
            </w:r>
          </w:p>
        </w:tc>
        <w:tc>
          <w:tcPr>
            <w:tcW w:w="3618" w:type="dxa"/>
            <w:vAlign w:val="center"/>
          </w:tcPr>
          <w:p w14:paraId="636CE7A1">
            <w:pPr>
              <w:ind w:firstLine="210" w:firstLineChars="100"/>
              <w:rPr>
                <w:rFonts w:ascii="宋体" w:hAnsi="宋体" w:cs="宋体"/>
                <w:color w:val="000000"/>
                <w:sz w:val="21"/>
                <w:szCs w:val="21"/>
              </w:rPr>
            </w:pPr>
            <w:r>
              <w:rPr>
                <w:rFonts w:hint="eastAsia" w:ascii="宋体" w:hAnsi="宋体" w:cs="宋体"/>
                <w:color w:val="000000"/>
                <w:sz w:val="21"/>
                <w:szCs w:val="21"/>
              </w:rPr>
              <w:t>有效的比选申请报价中的</w:t>
            </w:r>
            <w:r>
              <w:rPr>
                <w:rFonts w:hint="eastAsia" w:ascii="宋体" w:hAnsi="宋体" w:cs="宋体"/>
                <w:color w:val="000000"/>
                <w:sz w:val="21"/>
                <w:szCs w:val="21"/>
                <w:lang w:val="en-US" w:eastAsia="zh-CN"/>
              </w:rPr>
              <w:t>固定费率</w:t>
            </w:r>
            <w:r>
              <w:rPr>
                <w:rFonts w:hint="eastAsia" w:ascii="宋体" w:hAnsi="宋体" w:cs="宋体"/>
                <w:color w:val="000000"/>
                <w:sz w:val="21"/>
                <w:szCs w:val="21"/>
              </w:rPr>
              <w:t>最低为评标基准价，其价格分为满分。其他比选申请人的价格分统一按照下列公式计算：</w:t>
            </w:r>
          </w:p>
          <w:p w14:paraId="4A3952E3">
            <w:pPr>
              <w:ind w:firstLine="210" w:firstLineChars="100"/>
              <w:rPr>
                <w:rFonts w:ascii="宋体" w:hAnsi="宋体" w:cs="宋体"/>
                <w:color w:val="000000"/>
                <w:sz w:val="21"/>
                <w:szCs w:val="21"/>
              </w:rPr>
            </w:pPr>
            <w:r>
              <w:rPr>
                <w:rFonts w:hint="eastAsia" w:ascii="宋体" w:hAnsi="宋体" w:cs="宋体"/>
                <w:color w:val="000000"/>
                <w:sz w:val="21"/>
                <w:szCs w:val="21"/>
              </w:rPr>
              <w:t>比选申请报价得分＝（评标基准价/比选申请报价）×价格权重×100。</w:t>
            </w:r>
          </w:p>
        </w:tc>
        <w:tc>
          <w:tcPr>
            <w:tcW w:w="3033" w:type="dxa"/>
            <w:vAlign w:val="center"/>
          </w:tcPr>
          <w:p w14:paraId="60030E73">
            <w:pPr>
              <w:ind w:firstLine="210" w:firstLineChars="100"/>
              <w:rPr>
                <w:rFonts w:ascii="宋体" w:hAnsi="宋体" w:cs="宋体"/>
                <w:color w:val="000000"/>
                <w:sz w:val="21"/>
                <w:szCs w:val="21"/>
                <w:highlight w:val="yellow"/>
              </w:rPr>
            </w:pPr>
            <w:r>
              <w:rPr>
                <w:rFonts w:hint="eastAsia" w:ascii="宋体" w:hAnsi="宋体" w:cs="宋体"/>
                <w:color w:val="000000"/>
                <w:sz w:val="21"/>
                <w:szCs w:val="21"/>
                <w:highlight w:val="none"/>
                <w:lang w:val="en-US" w:eastAsia="zh-CN"/>
              </w:rPr>
              <w:t>固定费率在0%-100%之外的报价</w:t>
            </w:r>
            <w:r>
              <w:rPr>
                <w:rFonts w:hint="eastAsia" w:ascii="宋体" w:hAnsi="宋体" w:cs="宋体"/>
                <w:color w:val="000000"/>
                <w:sz w:val="21"/>
                <w:szCs w:val="21"/>
                <w:highlight w:val="none"/>
              </w:rPr>
              <w:t>为无效报价。计算结果保留小数点后两位，第三位四舍五入。</w:t>
            </w:r>
          </w:p>
        </w:tc>
      </w:tr>
      <w:tr w14:paraId="2F451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Merge w:val="restart"/>
            <w:vAlign w:val="center"/>
          </w:tcPr>
          <w:p w14:paraId="131C829D">
            <w:pPr>
              <w:ind w:firstLine="28"/>
              <w:jc w:val="center"/>
              <w:rPr>
                <w:rFonts w:ascii="宋体" w:hAnsi="宋体" w:cs="宋体"/>
                <w:sz w:val="21"/>
                <w:szCs w:val="21"/>
              </w:rPr>
            </w:pPr>
            <w:r>
              <w:rPr>
                <w:rFonts w:hint="eastAsia" w:ascii="宋体" w:hAnsi="宋体" w:cs="宋体"/>
                <w:sz w:val="21"/>
                <w:szCs w:val="21"/>
              </w:rPr>
              <w:t>2</w:t>
            </w:r>
          </w:p>
        </w:tc>
        <w:tc>
          <w:tcPr>
            <w:tcW w:w="1227" w:type="dxa"/>
            <w:vMerge w:val="restart"/>
            <w:vAlign w:val="center"/>
          </w:tcPr>
          <w:p w14:paraId="5089479C">
            <w:pPr>
              <w:ind w:firstLine="28"/>
              <w:jc w:val="center"/>
              <w:rPr>
                <w:rFonts w:ascii="宋体" w:hAnsi="宋体" w:cs="宋体"/>
                <w:sz w:val="21"/>
                <w:szCs w:val="21"/>
              </w:rPr>
            </w:pPr>
            <w:r>
              <w:rPr>
                <w:rFonts w:hint="eastAsia" w:ascii="宋体" w:hAnsi="宋体" w:cs="宋体"/>
                <w:sz w:val="21"/>
                <w:szCs w:val="21"/>
              </w:rPr>
              <w:t>技术部分</w:t>
            </w:r>
          </w:p>
          <w:p w14:paraId="6543317D">
            <w:pPr>
              <w:ind w:firstLine="28"/>
              <w:jc w:val="center"/>
              <w:rPr>
                <w:rFonts w:ascii="宋体" w:hAnsi="宋体" w:cs="宋体"/>
                <w:sz w:val="21"/>
                <w:szCs w:val="21"/>
              </w:rPr>
            </w:pPr>
            <w:r>
              <w:rPr>
                <w:rFonts w:hint="eastAsia" w:ascii="宋体" w:hAnsi="宋体" w:cs="宋体"/>
                <w:sz w:val="21"/>
                <w:szCs w:val="21"/>
              </w:rPr>
              <w:t>（40%）</w:t>
            </w:r>
          </w:p>
        </w:tc>
        <w:tc>
          <w:tcPr>
            <w:tcW w:w="1115" w:type="dxa"/>
            <w:tcBorders>
              <w:bottom w:val="single" w:color="auto" w:sz="4" w:space="0"/>
            </w:tcBorders>
            <w:vAlign w:val="center"/>
          </w:tcPr>
          <w:p w14:paraId="793B7DDD">
            <w:pPr>
              <w:ind w:firstLine="28"/>
              <w:jc w:val="center"/>
              <w:rPr>
                <w:rFonts w:ascii="宋体" w:hAnsi="宋体" w:cs="宋体"/>
                <w:sz w:val="21"/>
                <w:szCs w:val="21"/>
              </w:rPr>
            </w:pPr>
            <w:r>
              <w:rPr>
                <w:rFonts w:hint="eastAsia" w:ascii="宋体" w:hAnsi="宋体" w:cs="宋体"/>
                <w:sz w:val="21"/>
                <w:szCs w:val="21"/>
              </w:rPr>
              <w:t>配送方案（8分）</w:t>
            </w:r>
          </w:p>
        </w:tc>
        <w:tc>
          <w:tcPr>
            <w:tcW w:w="3618" w:type="dxa"/>
            <w:tcBorders>
              <w:bottom w:val="single" w:color="auto" w:sz="4" w:space="0"/>
            </w:tcBorders>
            <w:vAlign w:val="center"/>
          </w:tcPr>
          <w:p w14:paraId="5D86D152">
            <w:pPr>
              <w:rPr>
                <w:rFonts w:ascii="宋体" w:hAnsi="宋体" w:cs="宋体"/>
                <w:sz w:val="21"/>
                <w:szCs w:val="21"/>
              </w:rPr>
            </w:pPr>
            <w:r>
              <w:rPr>
                <w:rFonts w:hint="eastAsia" w:ascii="宋体" w:hAnsi="宋体" w:cs="宋体"/>
                <w:sz w:val="21"/>
                <w:szCs w:val="21"/>
              </w:rPr>
              <w:t>比选小组根据比选申请人提供的配送方案进行评审，配送方案内容至少包括但不限于以下内容：①供货流程；②配送计划；③配送设施设备；④配送食材管理。</w:t>
            </w:r>
          </w:p>
          <w:p w14:paraId="7FFBB05E">
            <w:pPr>
              <w:rPr>
                <w:rFonts w:ascii="宋体" w:hAnsi="宋体" w:cs="宋体"/>
                <w:sz w:val="21"/>
                <w:szCs w:val="21"/>
              </w:rPr>
            </w:pPr>
            <w:r>
              <w:rPr>
                <w:rFonts w:hint="eastAsia" w:ascii="宋体" w:hAnsi="宋体" w:cs="宋体"/>
                <w:sz w:val="21"/>
                <w:szCs w:val="21"/>
              </w:rPr>
              <w:t>阐述内容不存在瑕疵得8分；</w:t>
            </w:r>
          </w:p>
          <w:p w14:paraId="6D4D48F0">
            <w:pPr>
              <w:rPr>
                <w:rFonts w:ascii="宋体" w:hAnsi="宋体" w:cs="宋体"/>
                <w:sz w:val="21"/>
                <w:szCs w:val="21"/>
              </w:rPr>
            </w:pPr>
            <w:r>
              <w:rPr>
                <w:rFonts w:hint="eastAsia" w:ascii="宋体" w:hAnsi="宋体" w:cs="宋体"/>
                <w:sz w:val="21"/>
                <w:szCs w:val="21"/>
              </w:rPr>
              <w:t>阐述内容存在1处瑕疵得6分；</w:t>
            </w:r>
          </w:p>
          <w:p w14:paraId="1D453C29">
            <w:pPr>
              <w:rPr>
                <w:rFonts w:ascii="宋体" w:hAnsi="宋体" w:cs="宋体"/>
                <w:sz w:val="21"/>
                <w:szCs w:val="21"/>
              </w:rPr>
            </w:pPr>
            <w:r>
              <w:rPr>
                <w:rFonts w:hint="eastAsia" w:ascii="宋体" w:hAnsi="宋体" w:cs="宋体"/>
                <w:sz w:val="21"/>
                <w:szCs w:val="21"/>
              </w:rPr>
              <w:t>存在2处瑕疵得4分；</w:t>
            </w:r>
          </w:p>
          <w:p w14:paraId="2776C551">
            <w:pPr>
              <w:rPr>
                <w:rFonts w:ascii="宋体" w:hAnsi="宋体" w:cs="宋体"/>
                <w:sz w:val="21"/>
                <w:szCs w:val="21"/>
              </w:rPr>
            </w:pPr>
            <w:r>
              <w:rPr>
                <w:rFonts w:hint="eastAsia" w:ascii="宋体" w:hAnsi="宋体" w:cs="宋体"/>
                <w:sz w:val="21"/>
                <w:szCs w:val="21"/>
              </w:rPr>
              <w:t>存在3处瑕疵得1分；</w:t>
            </w:r>
          </w:p>
          <w:p w14:paraId="743C85F6">
            <w:pPr>
              <w:rPr>
                <w:rFonts w:ascii="宋体" w:hAnsi="宋体" w:cs="宋体"/>
                <w:sz w:val="21"/>
                <w:szCs w:val="21"/>
              </w:rPr>
            </w:pPr>
            <w:r>
              <w:rPr>
                <w:rFonts w:hint="eastAsia" w:ascii="宋体" w:hAnsi="宋体" w:cs="宋体"/>
                <w:sz w:val="21"/>
                <w:szCs w:val="21"/>
              </w:rPr>
              <w:t>存在4处及以上瑕疵或未提供方案得0分。</w:t>
            </w:r>
          </w:p>
        </w:tc>
        <w:tc>
          <w:tcPr>
            <w:tcW w:w="3033" w:type="dxa"/>
            <w:vMerge w:val="restart"/>
            <w:vAlign w:val="center"/>
          </w:tcPr>
          <w:p w14:paraId="614356D0">
            <w:pPr>
              <w:rPr>
                <w:rFonts w:ascii="宋体" w:hAnsi="宋体" w:cs="宋体"/>
                <w:sz w:val="21"/>
                <w:szCs w:val="21"/>
              </w:rPr>
            </w:pPr>
            <w:r>
              <w:rPr>
                <w:rFonts w:hint="eastAsia" w:ascii="宋体" w:hAnsi="宋体" w:cs="宋体"/>
                <w:sz w:val="21"/>
                <w:szCs w:val="21"/>
              </w:rPr>
              <w:t>1.根据供应商提供的方案进行评分。</w:t>
            </w:r>
          </w:p>
          <w:p w14:paraId="240192E5">
            <w:pPr>
              <w:rPr>
                <w:rFonts w:ascii="宋体" w:hAnsi="宋体" w:cs="宋体"/>
                <w:sz w:val="21"/>
                <w:szCs w:val="21"/>
              </w:rPr>
            </w:pPr>
            <w:r>
              <w:rPr>
                <w:rFonts w:hint="eastAsia" w:ascii="宋体" w:hAnsi="宋体" w:cs="宋体"/>
                <w:sz w:val="21"/>
                <w:szCs w:val="21"/>
              </w:rPr>
              <w:t>2.评分标准中所称的“瑕疵”指以下任意一种情形：</w:t>
            </w:r>
          </w:p>
          <w:p w14:paraId="07A0DF10">
            <w:pPr>
              <w:rPr>
                <w:rFonts w:ascii="宋体" w:hAnsi="宋体" w:cs="宋体"/>
                <w:sz w:val="21"/>
                <w:szCs w:val="21"/>
              </w:rPr>
            </w:pPr>
            <w:r>
              <w:rPr>
                <w:rFonts w:hint="eastAsia" w:ascii="宋体" w:hAnsi="宋体" w:cs="宋体"/>
                <w:sz w:val="21"/>
                <w:szCs w:val="21"/>
              </w:rPr>
              <w:t>①内容表述不完整或仅有标题而无实质意义叙述；</w:t>
            </w:r>
          </w:p>
          <w:p w14:paraId="2E6AEC70">
            <w:pPr>
              <w:rPr>
                <w:rFonts w:ascii="宋体" w:hAnsi="宋体" w:cs="宋体"/>
                <w:sz w:val="21"/>
                <w:szCs w:val="21"/>
              </w:rPr>
            </w:pPr>
            <w:r>
              <w:rPr>
                <w:rFonts w:hint="eastAsia" w:ascii="宋体" w:hAnsi="宋体" w:cs="宋体"/>
                <w:sz w:val="21"/>
                <w:szCs w:val="21"/>
              </w:rPr>
              <w:t>②计划及措施不科学合理；</w:t>
            </w:r>
          </w:p>
          <w:p w14:paraId="577BB12B">
            <w:pPr>
              <w:rPr>
                <w:rFonts w:ascii="宋体" w:hAnsi="宋体" w:cs="宋体"/>
                <w:sz w:val="21"/>
                <w:szCs w:val="21"/>
              </w:rPr>
            </w:pPr>
            <w:r>
              <w:rPr>
                <w:rFonts w:hint="eastAsia" w:ascii="宋体" w:hAnsi="宋体" w:cs="宋体"/>
                <w:sz w:val="21"/>
                <w:szCs w:val="21"/>
              </w:rPr>
              <w:t>③内容表述前后矛盾、无连贯性、内容存在逻辑漏洞；</w:t>
            </w:r>
          </w:p>
          <w:p w14:paraId="0D943E02">
            <w:pPr>
              <w:rPr>
                <w:rFonts w:ascii="宋体" w:hAnsi="宋体" w:cs="宋体"/>
                <w:sz w:val="21"/>
                <w:szCs w:val="21"/>
              </w:rPr>
            </w:pPr>
            <w:r>
              <w:rPr>
                <w:rFonts w:hint="eastAsia" w:ascii="宋体" w:hAnsi="宋体" w:cs="宋体"/>
                <w:sz w:val="21"/>
                <w:szCs w:val="21"/>
              </w:rPr>
              <w:t>④常识性错误；</w:t>
            </w:r>
          </w:p>
          <w:p w14:paraId="0FA7CA86">
            <w:pPr>
              <w:rPr>
                <w:rFonts w:ascii="宋体" w:hAnsi="宋体" w:cs="宋体"/>
                <w:sz w:val="21"/>
                <w:szCs w:val="21"/>
              </w:rPr>
            </w:pPr>
            <w:r>
              <w:rPr>
                <w:rFonts w:hint="eastAsia" w:ascii="宋体" w:hAnsi="宋体" w:cs="宋体"/>
                <w:sz w:val="21"/>
                <w:szCs w:val="21"/>
              </w:rPr>
              <w:t>⑤措施安排并不适用本项目特性；</w:t>
            </w:r>
          </w:p>
          <w:p w14:paraId="46BE61F5">
            <w:pPr>
              <w:rPr>
                <w:rFonts w:ascii="宋体" w:hAnsi="宋体" w:cs="宋体"/>
                <w:sz w:val="21"/>
                <w:szCs w:val="21"/>
              </w:rPr>
            </w:pPr>
            <w:r>
              <w:rPr>
                <w:rFonts w:hint="eastAsia" w:ascii="宋体" w:hAnsi="宋体" w:cs="宋体"/>
                <w:sz w:val="21"/>
                <w:szCs w:val="21"/>
              </w:rPr>
              <w:t>⑥方案中提出的措施举措不利于本项目目标的实现；</w:t>
            </w:r>
          </w:p>
          <w:p w14:paraId="29E9A68D">
            <w:pPr>
              <w:rPr>
                <w:rFonts w:ascii="宋体" w:hAnsi="宋体" w:cs="宋体"/>
                <w:sz w:val="21"/>
                <w:szCs w:val="21"/>
              </w:rPr>
            </w:pPr>
            <w:r>
              <w:rPr>
                <w:rFonts w:hint="eastAsia" w:ascii="宋体" w:hAnsi="宋体" w:cs="宋体"/>
                <w:sz w:val="21"/>
                <w:szCs w:val="21"/>
              </w:rPr>
              <w:t>⑦现有技术条件下不可能实现采购目标。</w:t>
            </w:r>
          </w:p>
          <w:p w14:paraId="6567A758">
            <w:pPr>
              <w:rPr>
                <w:rFonts w:ascii="宋体" w:hAnsi="宋体" w:cs="宋体"/>
                <w:sz w:val="21"/>
                <w:szCs w:val="21"/>
              </w:rPr>
            </w:pPr>
            <w:r>
              <w:rPr>
                <w:rFonts w:hint="eastAsia" w:ascii="宋体" w:hAnsi="宋体" w:cs="宋体"/>
                <w:sz w:val="21"/>
                <w:szCs w:val="21"/>
              </w:rPr>
              <w:t>2、由评委独立打分，供应商该项最终得分取各评委评分的平均值（保留小数点后2位）</w:t>
            </w:r>
          </w:p>
        </w:tc>
      </w:tr>
      <w:tr w14:paraId="30A0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743" w:type="dxa"/>
            <w:vMerge w:val="continue"/>
            <w:vAlign w:val="center"/>
          </w:tcPr>
          <w:p w14:paraId="339C0AA6">
            <w:pPr>
              <w:ind w:firstLine="28"/>
              <w:jc w:val="center"/>
              <w:rPr>
                <w:rFonts w:ascii="宋体" w:hAnsi="宋体" w:cs="宋体"/>
                <w:sz w:val="21"/>
                <w:szCs w:val="21"/>
              </w:rPr>
            </w:pPr>
          </w:p>
        </w:tc>
        <w:tc>
          <w:tcPr>
            <w:tcW w:w="1227" w:type="dxa"/>
            <w:vMerge w:val="continue"/>
            <w:vAlign w:val="center"/>
          </w:tcPr>
          <w:p w14:paraId="14B81368">
            <w:pPr>
              <w:ind w:firstLine="28"/>
              <w:jc w:val="center"/>
              <w:rPr>
                <w:rFonts w:ascii="宋体" w:hAnsi="宋体" w:cs="宋体"/>
                <w:sz w:val="21"/>
                <w:szCs w:val="21"/>
              </w:rPr>
            </w:pPr>
          </w:p>
        </w:tc>
        <w:tc>
          <w:tcPr>
            <w:tcW w:w="1115" w:type="dxa"/>
            <w:tcBorders>
              <w:bottom w:val="single" w:color="auto" w:sz="4" w:space="0"/>
            </w:tcBorders>
            <w:vAlign w:val="center"/>
          </w:tcPr>
          <w:p w14:paraId="5CAF81A0">
            <w:pPr>
              <w:ind w:firstLine="28"/>
              <w:jc w:val="center"/>
              <w:rPr>
                <w:rFonts w:ascii="宋体" w:hAnsi="宋体" w:cs="宋体"/>
                <w:sz w:val="21"/>
                <w:szCs w:val="21"/>
              </w:rPr>
            </w:pPr>
            <w:r>
              <w:rPr>
                <w:rFonts w:hint="eastAsia" w:ascii="宋体" w:hAnsi="宋体" w:cs="宋体"/>
                <w:sz w:val="21"/>
                <w:szCs w:val="21"/>
              </w:rPr>
              <w:t>企业管理</w:t>
            </w:r>
          </w:p>
          <w:p w14:paraId="00D143BC">
            <w:pPr>
              <w:ind w:firstLine="28"/>
              <w:jc w:val="center"/>
              <w:rPr>
                <w:rFonts w:ascii="宋体" w:hAnsi="宋体" w:cs="宋体"/>
                <w:sz w:val="21"/>
                <w:szCs w:val="21"/>
              </w:rPr>
            </w:pPr>
            <w:r>
              <w:rPr>
                <w:rFonts w:hint="eastAsia" w:ascii="宋体" w:hAnsi="宋体" w:cs="宋体"/>
                <w:sz w:val="21"/>
                <w:szCs w:val="21"/>
              </w:rPr>
              <w:t>（8分）</w:t>
            </w:r>
          </w:p>
        </w:tc>
        <w:tc>
          <w:tcPr>
            <w:tcW w:w="3618" w:type="dxa"/>
            <w:tcBorders>
              <w:bottom w:val="single" w:color="auto" w:sz="4" w:space="0"/>
            </w:tcBorders>
            <w:vAlign w:val="center"/>
          </w:tcPr>
          <w:p w14:paraId="1B1CB089">
            <w:pPr>
              <w:rPr>
                <w:rFonts w:ascii="宋体" w:hAnsi="宋体" w:cs="宋体"/>
                <w:sz w:val="21"/>
                <w:szCs w:val="21"/>
              </w:rPr>
            </w:pPr>
            <w:r>
              <w:rPr>
                <w:rFonts w:hint="eastAsia" w:ascii="宋体" w:hAnsi="宋体" w:cs="宋体"/>
                <w:sz w:val="21"/>
                <w:szCs w:val="21"/>
              </w:rPr>
              <w:t>比选小组根据比选申请人提供的企业管理方案进行</w:t>
            </w:r>
          </w:p>
          <w:p w14:paraId="6CEC37BA">
            <w:pPr>
              <w:rPr>
                <w:rFonts w:ascii="宋体" w:hAnsi="宋体" w:cs="宋体"/>
                <w:sz w:val="21"/>
                <w:szCs w:val="21"/>
              </w:rPr>
            </w:pPr>
            <w:r>
              <w:rPr>
                <w:rFonts w:hint="eastAsia" w:ascii="宋体" w:hAnsi="宋体" w:cs="宋体"/>
                <w:sz w:val="21"/>
                <w:szCs w:val="21"/>
              </w:rPr>
              <w:t>评审，企业管理方案内容至少包括但不限于以下内容：①企业管理制度；②培训机制；③文明服务制度；④售后管理。</w:t>
            </w:r>
          </w:p>
          <w:p w14:paraId="075460AF">
            <w:pPr>
              <w:rPr>
                <w:rFonts w:ascii="宋体" w:hAnsi="宋体" w:cs="宋体"/>
                <w:sz w:val="21"/>
                <w:szCs w:val="21"/>
              </w:rPr>
            </w:pPr>
            <w:r>
              <w:rPr>
                <w:rFonts w:hint="eastAsia" w:ascii="宋体" w:hAnsi="宋体" w:cs="宋体"/>
                <w:sz w:val="21"/>
                <w:szCs w:val="21"/>
              </w:rPr>
              <w:t>阐述内容不存在瑕疵得8分；</w:t>
            </w:r>
          </w:p>
          <w:p w14:paraId="288D21AF">
            <w:pPr>
              <w:rPr>
                <w:rFonts w:ascii="宋体" w:hAnsi="宋体" w:cs="宋体"/>
                <w:sz w:val="21"/>
                <w:szCs w:val="21"/>
              </w:rPr>
            </w:pPr>
            <w:r>
              <w:rPr>
                <w:rFonts w:hint="eastAsia" w:ascii="宋体" w:hAnsi="宋体" w:cs="宋体"/>
                <w:sz w:val="21"/>
                <w:szCs w:val="21"/>
              </w:rPr>
              <w:t>阐述内容存在1处瑕疵得6分；</w:t>
            </w:r>
          </w:p>
          <w:p w14:paraId="7B2A83C1">
            <w:pPr>
              <w:rPr>
                <w:rFonts w:ascii="宋体" w:hAnsi="宋体" w:cs="宋体"/>
                <w:sz w:val="21"/>
                <w:szCs w:val="21"/>
              </w:rPr>
            </w:pPr>
            <w:r>
              <w:rPr>
                <w:rFonts w:hint="eastAsia" w:ascii="宋体" w:hAnsi="宋体" w:cs="宋体"/>
                <w:sz w:val="21"/>
                <w:szCs w:val="21"/>
              </w:rPr>
              <w:t>存在2处瑕疵得4分；</w:t>
            </w:r>
          </w:p>
          <w:p w14:paraId="3F8A2EB5">
            <w:pPr>
              <w:rPr>
                <w:rFonts w:ascii="宋体" w:hAnsi="宋体" w:cs="宋体"/>
                <w:sz w:val="21"/>
                <w:szCs w:val="21"/>
              </w:rPr>
            </w:pPr>
            <w:r>
              <w:rPr>
                <w:rFonts w:hint="eastAsia" w:ascii="宋体" w:hAnsi="宋体" w:cs="宋体"/>
                <w:sz w:val="21"/>
                <w:szCs w:val="21"/>
              </w:rPr>
              <w:t>存在3处瑕疵得1分；</w:t>
            </w:r>
          </w:p>
          <w:p w14:paraId="48FC7F1E">
            <w:pPr>
              <w:rPr>
                <w:rFonts w:ascii="宋体" w:hAnsi="宋体" w:cs="宋体"/>
                <w:sz w:val="21"/>
                <w:szCs w:val="21"/>
              </w:rPr>
            </w:pPr>
            <w:r>
              <w:rPr>
                <w:rFonts w:hint="eastAsia" w:ascii="宋体" w:hAnsi="宋体" w:cs="宋体"/>
                <w:sz w:val="21"/>
                <w:szCs w:val="21"/>
              </w:rPr>
              <w:t>存在4处及以上瑕疵或未提供方案得0分。</w:t>
            </w:r>
          </w:p>
        </w:tc>
        <w:tc>
          <w:tcPr>
            <w:tcW w:w="3033" w:type="dxa"/>
            <w:vMerge w:val="continue"/>
            <w:vAlign w:val="center"/>
          </w:tcPr>
          <w:p w14:paraId="51199F6B">
            <w:pPr>
              <w:rPr>
                <w:rFonts w:ascii="宋体" w:hAnsi="宋体" w:cs="宋体"/>
                <w:sz w:val="21"/>
                <w:szCs w:val="21"/>
              </w:rPr>
            </w:pPr>
          </w:p>
        </w:tc>
      </w:tr>
      <w:tr w14:paraId="103F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43" w:type="dxa"/>
            <w:vMerge w:val="continue"/>
            <w:vAlign w:val="center"/>
          </w:tcPr>
          <w:p w14:paraId="66AB6BE0">
            <w:pPr>
              <w:ind w:firstLine="28"/>
              <w:jc w:val="center"/>
              <w:rPr>
                <w:rFonts w:ascii="宋体" w:hAnsi="宋体" w:cs="宋体"/>
                <w:sz w:val="21"/>
                <w:szCs w:val="21"/>
              </w:rPr>
            </w:pPr>
          </w:p>
        </w:tc>
        <w:tc>
          <w:tcPr>
            <w:tcW w:w="1227" w:type="dxa"/>
            <w:vMerge w:val="continue"/>
            <w:vAlign w:val="center"/>
          </w:tcPr>
          <w:p w14:paraId="0A19E14E">
            <w:pPr>
              <w:ind w:firstLine="28"/>
              <w:jc w:val="center"/>
              <w:rPr>
                <w:rFonts w:ascii="宋体" w:hAnsi="宋体" w:cs="宋体"/>
                <w:sz w:val="21"/>
                <w:szCs w:val="21"/>
              </w:rPr>
            </w:pPr>
          </w:p>
        </w:tc>
        <w:tc>
          <w:tcPr>
            <w:tcW w:w="1115" w:type="dxa"/>
            <w:tcBorders>
              <w:bottom w:val="single" w:color="auto" w:sz="4" w:space="0"/>
            </w:tcBorders>
            <w:vAlign w:val="center"/>
          </w:tcPr>
          <w:p w14:paraId="4DAE4AA6">
            <w:pPr>
              <w:ind w:firstLine="28"/>
              <w:jc w:val="center"/>
              <w:rPr>
                <w:rFonts w:ascii="宋体" w:hAnsi="宋体" w:cs="宋体"/>
                <w:sz w:val="21"/>
                <w:szCs w:val="21"/>
              </w:rPr>
            </w:pPr>
            <w:r>
              <w:rPr>
                <w:rFonts w:hint="eastAsia" w:ascii="宋体" w:hAnsi="宋体" w:cs="宋体"/>
                <w:sz w:val="21"/>
                <w:szCs w:val="21"/>
              </w:rPr>
              <w:t>人员配备（8分）</w:t>
            </w:r>
          </w:p>
        </w:tc>
        <w:tc>
          <w:tcPr>
            <w:tcW w:w="3618" w:type="dxa"/>
            <w:tcBorders>
              <w:bottom w:val="single" w:color="auto" w:sz="4" w:space="0"/>
            </w:tcBorders>
            <w:vAlign w:val="center"/>
          </w:tcPr>
          <w:p w14:paraId="4BBDB403">
            <w:pPr>
              <w:rPr>
                <w:rFonts w:ascii="宋体" w:hAnsi="宋体" w:cs="宋体"/>
                <w:sz w:val="21"/>
                <w:szCs w:val="21"/>
              </w:rPr>
            </w:pPr>
            <w:r>
              <w:rPr>
                <w:rFonts w:hint="eastAsia" w:ascii="宋体" w:hAnsi="宋体" w:cs="宋体"/>
                <w:sz w:val="21"/>
                <w:szCs w:val="21"/>
              </w:rPr>
              <w:t>比选小组根据比选申请人提供的人员配备方案进行评审，人员配备方案内容至少包括但不限于以下内容：①组织结构；②服务人员配置；③服务人员管理制度；④服务人员培训制度。</w:t>
            </w:r>
          </w:p>
          <w:p w14:paraId="3527A837">
            <w:pPr>
              <w:rPr>
                <w:rFonts w:ascii="宋体" w:hAnsi="宋体" w:cs="宋体"/>
                <w:sz w:val="21"/>
                <w:szCs w:val="21"/>
              </w:rPr>
            </w:pPr>
            <w:r>
              <w:rPr>
                <w:rFonts w:hint="eastAsia" w:ascii="宋体" w:hAnsi="宋体" w:cs="宋体"/>
                <w:sz w:val="21"/>
                <w:szCs w:val="21"/>
              </w:rPr>
              <w:t>阐述内容不存在瑕疵得8分；</w:t>
            </w:r>
          </w:p>
          <w:p w14:paraId="4393B244">
            <w:pPr>
              <w:rPr>
                <w:rFonts w:ascii="宋体" w:hAnsi="宋体" w:cs="宋体"/>
                <w:sz w:val="21"/>
                <w:szCs w:val="21"/>
              </w:rPr>
            </w:pPr>
            <w:r>
              <w:rPr>
                <w:rFonts w:hint="eastAsia" w:ascii="宋体" w:hAnsi="宋体" w:cs="宋体"/>
                <w:sz w:val="21"/>
                <w:szCs w:val="21"/>
              </w:rPr>
              <w:t>阐述内容存在1处瑕疵得6分；</w:t>
            </w:r>
          </w:p>
          <w:p w14:paraId="0FD894E8">
            <w:pPr>
              <w:rPr>
                <w:rFonts w:ascii="宋体" w:hAnsi="宋体" w:cs="宋体"/>
                <w:sz w:val="21"/>
                <w:szCs w:val="21"/>
              </w:rPr>
            </w:pPr>
            <w:r>
              <w:rPr>
                <w:rFonts w:hint="eastAsia" w:ascii="宋体" w:hAnsi="宋体" w:cs="宋体"/>
                <w:sz w:val="21"/>
                <w:szCs w:val="21"/>
              </w:rPr>
              <w:t>存在2处瑕疵得4分；</w:t>
            </w:r>
          </w:p>
          <w:p w14:paraId="129BD25D">
            <w:pPr>
              <w:rPr>
                <w:rFonts w:ascii="宋体" w:hAnsi="宋体" w:cs="宋体"/>
                <w:sz w:val="21"/>
                <w:szCs w:val="21"/>
              </w:rPr>
            </w:pPr>
            <w:r>
              <w:rPr>
                <w:rFonts w:hint="eastAsia" w:ascii="宋体" w:hAnsi="宋体" w:cs="宋体"/>
                <w:sz w:val="21"/>
                <w:szCs w:val="21"/>
              </w:rPr>
              <w:t>存在3处瑕疵得1分；</w:t>
            </w:r>
          </w:p>
          <w:p w14:paraId="2BE10C3C">
            <w:pPr>
              <w:rPr>
                <w:rFonts w:ascii="宋体" w:hAnsi="宋体" w:cs="宋体"/>
                <w:sz w:val="21"/>
                <w:szCs w:val="21"/>
              </w:rPr>
            </w:pPr>
            <w:r>
              <w:rPr>
                <w:rFonts w:hint="eastAsia" w:ascii="宋体" w:hAnsi="宋体" w:cs="宋体"/>
                <w:sz w:val="21"/>
                <w:szCs w:val="21"/>
              </w:rPr>
              <w:t>存在4处及以上瑕疵或未提供方案得0分。</w:t>
            </w:r>
          </w:p>
        </w:tc>
        <w:tc>
          <w:tcPr>
            <w:tcW w:w="3033" w:type="dxa"/>
            <w:vMerge w:val="continue"/>
            <w:vAlign w:val="center"/>
          </w:tcPr>
          <w:p w14:paraId="473E6875">
            <w:pPr>
              <w:rPr>
                <w:rFonts w:ascii="宋体" w:hAnsi="宋体" w:cs="宋体"/>
                <w:sz w:val="21"/>
                <w:szCs w:val="21"/>
              </w:rPr>
            </w:pPr>
          </w:p>
        </w:tc>
      </w:tr>
      <w:tr w14:paraId="1476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Merge w:val="continue"/>
            <w:vAlign w:val="center"/>
          </w:tcPr>
          <w:p w14:paraId="4CFCAD86">
            <w:pPr>
              <w:ind w:firstLine="28"/>
              <w:jc w:val="center"/>
              <w:rPr>
                <w:rFonts w:ascii="宋体" w:hAnsi="宋体" w:cs="宋体"/>
                <w:sz w:val="21"/>
                <w:szCs w:val="21"/>
              </w:rPr>
            </w:pPr>
          </w:p>
        </w:tc>
        <w:tc>
          <w:tcPr>
            <w:tcW w:w="1227" w:type="dxa"/>
            <w:vMerge w:val="continue"/>
            <w:vAlign w:val="center"/>
          </w:tcPr>
          <w:p w14:paraId="3FE54327">
            <w:pPr>
              <w:ind w:firstLine="28"/>
              <w:jc w:val="center"/>
              <w:rPr>
                <w:rFonts w:ascii="宋体" w:hAnsi="宋体" w:cs="宋体"/>
                <w:sz w:val="21"/>
                <w:szCs w:val="21"/>
              </w:rPr>
            </w:pPr>
          </w:p>
        </w:tc>
        <w:tc>
          <w:tcPr>
            <w:tcW w:w="1115" w:type="dxa"/>
            <w:tcBorders>
              <w:bottom w:val="single" w:color="auto" w:sz="4" w:space="0"/>
            </w:tcBorders>
            <w:vAlign w:val="center"/>
          </w:tcPr>
          <w:p w14:paraId="56CE8971">
            <w:pPr>
              <w:ind w:firstLine="28"/>
              <w:jc w:val="center"/>
              <w:rPr>
                <w:rFonts w:ascii="宋体" w:hAnsi="宋体" w:cs="宋体"/>
                <w:sz w:val="21"/>
                <w:szCs w:val="21"/>
              </w:rPr>
            </w:pPr>
            <w:r>
              <w:rPr>
                <w:rFonts w:hint="eastAsia" w:ascii="宋体" w:hAnsi="宋体" w:cs="宋体"/>
                <w:sz w:val="21"/>
                <w:szCs w:val="21"/>
              </w:rPr>
              <w:t>质量及安全保证措施（8分）</w:t>
            </w:r>
          </w:p>
        </w:tc>
        <w:tc>
          <w:tcPr>
            <w:tcW w:w="3618" w:type="dxa"/>
            <w:tcBorders>
              <w:bottom w:val="single" w:color="auto" w:sz="4" w:space="0"/>
            </w:tcBorders>
            <w:vAlign w:val="center"/>
          </w:tcPr>
          <w:p w14:paraId="0E857E32">
            <w:pPr>
              <w:rPr>
                <w:rFonts w:ascii="宋体" w:hAnsi="宋体" w:cs="宋体"/>
                <w:sz w:val="21"/>
                <w:szCs w:val="21"/>
              </w:rPr>
            </w:pPr>
            <w:r>
              <w:rPr>
                <w:rFonts w:hint="eastAsia" w:ascii="宋体" w:hAnsi="宋体" w:cs="宋体"/>
                <w:sz w:val="21"/>
                <w:szCs w:val="21"/>
              </w:rPr>
              <w:t>比选小组根据比选申请人提供的质量及安全保证措施方案进行评审，质量及安全保证措施方案内容至少包括但不限于以下内容：①食品卫生安全质量保障措施；②人员健康管理制度；③采购安全管理；④运输安全管理；</w:t>
            </w:r>
          </w:p>
          <w:p w14:paraId="154DBC8E">
            <w:pPr>
              <w:rPr>
                <w:rFonts w:ascii="宋体" w:hAnsi="宋体" w:cs="宋体"/>
                <w:sz w:val="21"/>
                <w:szCs w:val="21"/>
              </w:rPr>
            </w:pPr>
            <w:r>
              <w:rPr>
                <w:rFonts w:hint="eastAsia" w:ascii="宋体" w:hAnsi="宋体" w:cs="宋体"/>
                <w:sz w:val="21"/>
                <w:szCs w:val="21"/>
              </w:rPr>
              <w:t>阐述内容不存在瑕疵得8分；</w:t>
            </w:r>
          </w:p>
          <w:p w14:paraId="0EF44F63">
            <w:pPr>
              <w:rPr>
                <w:rFonts w:ascii="宋体" w:hAnsi="宋体" w:cs="宋体"/>
                <w:sz w:val="21"/>
                <w:szCs w:val="21"/>
              </w:rPr>
            </w:pPr>
            <w:r>
              <w:rPr>
                <w:rFonts w:hint="eastAsia" w:ascii="宋体" w:hAnsi="宋体" w:cs="宋体"/>
                <w:sz w:val="21"/>
                <w:szCs w:val="21"/>
              </w:rPr>
              <w:t>阐述内容存在1处瑕疵得6分；</w:t>
            </w:r>
          </w:p>
          <w:p w14:paraId="4D2AACEA">
            <w:pPr>
              <w:rPr>
                <w:rFonts w:ascii="宋体" w:hAnsi="宋体" w:cs="宋体"/>
                <w:sz w:val="21"/>
                <w:szCs w:val="21"/>
              </w:rPr>
            </w:pPr>
            <w:r>
              <w:rPr>
                <w:rFonts w:hint="eastAsia" w:ascii="宋体" w:hAnsi="宋体" w:cs="宋体"/>
                <w:sz w:val="21"/>
                <w:szCs w:val="21"/>
              </w:rPr>
              <w:t>存在2处瑕疵得4分；</w:t>
            </w:r>
          </w:p>
          <w:p w14:paraId="45968183">
            <w:pPr>
              <w:rPr>
                <w:rFonts w:ascii="宋体" w:hAnsi="宋体" w:cs="宋体"/>
                <w:sz w:val="21"/>
                <w:szCs w:val="21"/>
              </w:rPr>
            </w:pPr>
            <w:r>
              <w:rPr>
                <w:rFonts w:hint="eastAsia" w:ascii="宋体" w:hAnsi="宋体" w:cs="宋体"/>
                <w:sz w:val="21"/>
                <w:szCs w:val="21"/>
              </w:rPr>
              <w:t>存在3处瑕疵得1分；</w:t>
            </w:r>
          </w:p>
          <w:p w14:paraId="0F4A3100">
            <w:pPr>
              <w:rPr>
                <w:rFonts w:ascii="宋体" w:hAnsi="宋体" w:cs="宋体"/>
                <w:sz w:val="21"/>
                <w:szCs w:val="21"/>
              </w:rPr>
            </w:pPr>
            <w:r>
              <w:rPr>
                <w:rFonts w:hint="eastAsia" w:ascii="宋体" w:hAnsi="宋体" w:cs="宋体"/>
                <w:sz w:val="21"/>
                <w:szCs w:val="21"/>
              </w:rPr>
              <w:t>存在4处及以上瑕疵或未提供方案得0分。</w:t>
            </w:r>
          </w:p>
        </w:tc>
        <w:tc>
          <w:tcPr>
            <w:tcW w:w="3033" w:type="dxa"/>
            <w:vMerge w:val="continue"/>
            <w:vAlign w:val="center"/>
          </w:tcPr>
          <w:p w14:paraId="5FFC2E69">
            <w:pPr>
              <w:rPr>
                <w:rFonts w:ascii="宋体" w:hAnsi="宋体" w:cs="宋体"/>
                <w:sz w:val="21"/>
                <w:szCs w:val="21"/>
              </w:rPr>
            </w:pPr>
          </w:p>
        </w:tc>
      </w:tr>
      <w:tr w14:paraId="2878B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Merge w:val="continue"/>
            <w:vAlign w:val="center"/>
          </w:tcPr>
          <w:p w14:paraId="23B32919">
            <w:pPr>
              <w:ind w:firstLine="28"/>
              <w:jc w:val="center"/>
              <w:rPr>
                <w:rFonts w:ascii="宋体" w:hAnsi="宋体" w:cs="宋体"/>
                <w:sz w:val="21"/>
                <w:szCs w:val="21"/>
              </w:rPr>
            </w:pPr>
          </w:p>
        </w:tc>
        <w:tc>
          <w:tcPr>
            <w:tcW w:w="1227" w:type="dxa"/>
            <w:vMerge w:val="continue"/>
            <w:vAlign w:val="center"/>
          </w:tcPr>
          <w:p w14:paraId="546535FE">
            <w:pPr>
              <w:ind w:firstLine="28"/>
              <w:jc w:val="center"/>
              <w:rPr>
                <w:rFonts w:ascii="宋体" w:hAnsi="宋体" w:cs="宋体"/>
                <w:sz w:val="21"/>
                <w:szCs w:val="21"/>
              </w:rPr>
            </w:pPr>
          </w:p>
        </w:tc>
        <w:tc>
          <w:tcPr>
            <w:tcW w:w="1115" w:type="dxa"/>
            <w:tcBorders>
              <w:bottom w:val="single" w:color="auto" w:sz="4" w:space="0"/>
            </w:tcBorders>
            <w:vAlign w:val="center"/>
          </w:tcPr>
          <w:p w14:paraId="1E02B32F">
            <w:pPr>
              <w:ind w:firstLine="28"/>
              <w:jc w:val="center"/>
              <w:rPr>
                <w:rFonts w:ascii="宋体" w:hAnsi="宋体" w:cs="宋体"/>
                <w:sz w:val="21"/>
                <w:szCs w:val="21"/>
              </w:rPr>
            </w:pPr>
            <w:r>
              <w:rPr>
                <w:rFonts w:hint="eastAsia" w:ascii="宋体" w:hAnsi="宋体" w:cs="宋体"/>
                <w:sz w:val="21"/>
                <w:szCs w:val="21"/>
              </w:rPr>
              <w:t>应急预案（8分）</w:t>
            </w:r>
          </w:p>
        </w:tc>
        <w:tc>
          <w:tcPr>
            <w:tcW w:w="3618" w:type="dxa"/>
            <w:tcBorders>
              <w:bottom w:val="single" w:color="auto" w:sz="4" w:space="0"/>
            </w:tcBorders>
            <w:vAlign w:val="center"/>
          </w:tcPr>
          <w:p w14:paraId="6D2B326B">
            <w:pPr>
              <w:rPr>
                <w:rFonts w:ascii="宋体" w:hAnsi="宋体" w:cs="宋体"/>
                <w:sz w:val="21"/>
                <w:szCs w:val="21"/>
              </w:rPr>
            </w:pPr>
            <w:r>
              <w:rPr>
                <w:rFonts w:hint="eastAsia" w:ascii="宋体" w:hAnsi="宋体" w:cs="宋体"/>
                <w:sz w:val="21"/>
                <w:szCs w:val="21"/>
              </w:rPr>
              <w:t>比选小组根据比选申请人提供的应急预案进行评审，应急预案内容至少包括但不限于以下内容：①不合格退换货应急预案；②自然灾害应急处理预案；③传染性疾病应急预案；④食物中毒应急预案。</w:t>
            </w:r>
          </w:p>
          <w:p w14:paraId="55DA68A9">
            <w:pPr>
              <w:rPr>
                <w:rFonts w:ascii="宋体" w:hAnsi="宋体" w:cs="宋体"/>
                <w:sz w:val="21"/>
                <w:szCs w:val="21"/>
              </w:rPr>
            </w:pPr>
            <w:r>
              <w:rPr>
                <w:rFonts w:hint="eastAsia" w:ascii="宋体" w:hAnsi="宋体" w:cs="宋体"/>
                <w:sz w:val="21"/>
                <w:szCs w:val="21"/>
              </w:rPr>
              <w:t>阐述内容不存在瑕疵得8分；</w:t>
            </w:r>
          </w:p>
          <w:p w14:paraId="0F5462EC">
            <w:pPr>
              <w:rPr>
                <w:rFonts w:ascii="宋体" w:hAnsi="宋体" w:cs="宋体"/>
                <w:sz w:val="21"/>
                <w:szCs w:val="21"/>
              </w:rPr>
            </w:pPr>
            <w:r>
              <w:rPr>
                <w:rFonts w:hint="eastAsia" w:ascii="宋体" w:hAnsi="宋体" w:cs="宋体"/>
                <w:sz w:val="21"/>
                <w:szCs w:val="21"/>
              </w:rPr>
              <w:t>阐述内容存在1处瑕疵得6分；</w:t>
            </w:r>
          </w:p>
          <w:p w14:paraId="71321B9D">
            <w:pPr>
              <w:rPr>
                <w:rFonts w:ascii="宋体" w:hAnsi="宋体" w:cs="宋体"/>
                <w:sz w:val="21"/>
                <w:szCs w:val="21"/>
              </w:rPr>
            </w:pPr>
            <w:r>
              <w:rPr>
                <w:rFonts w:hint="eastAsia" w:ascii="宋体" w:hAnsi="宋体" w:cs="宋体"/>
                <w:sz w:val="21"/>
                <w:szCs w:val="21"/>
              </w:rPr>
              <w:t>存在2处瑕疵得4分；</w:t>
            </w:r>
          </w:p>
          <w:p w14:paraId="13EE6227">
            <w:pPr>
              <w:rPr>
                <w:rFonts w:ascii="宋体" w:hAnsi="宋体" w:cs="宋体"/>
                <w:sz w:val="21"/>
                <w:szCs w:val="21"/>
              </w:rPr>
            </w:pPr>
            <w:r>
              <w:rPr>
                <w:rFonts w:hint="eastAsia" w:ascii="宋体" w:hAnsi="宋体" w:cs="宋体"/>
                <w:sz w:val="21"/>
                <w:szCs w:val="21"/>
              </w:rPr>
              <w:t>存在3处瑕疵得1分；</w:t>
            </w:r>
          </w:p>
          <w:p w14:paraId="7ED53EED">
            <w:pPr>
              <w:rPr>
                <w:rFonts w:ascii="宋体" w:hAnsi="宋体" w:cs="宋体"/>
                <w:sz w:val="21"/>
                <w:szCs w:val="21"/>
              </w:rPr>
            </w:pPr>
            <w:r>
              <w:rPr>
                <w:rFonts w:hint="eastAsia" w:ascii="宋体" w:hAnsi="宋体" w:cs="宋体"/>
                <w:sz w:val="21"/>
                <w:szCs w:val="21"/>
              </w:rPr>
              <w:t>存在4处及以上瑕疵或未提供方案得0分。</w:t>
            </w:r>
          </w:p>
        </w:tc>
        <w:tc>
          <w:tcPr>
            <w:tcW w:w="3033" w:type="dxa"/>
            <w:vMerge w:val="continue"/>
            <w:tcBorders>
              <w:bottom w:val="single" w:color="auto" w:sz="4" w:space="0"/>
            </w:tcBorders>
            <w:vAlign w:val="center"/>
          </w:tcPr>
          <w:p w14:paraId="304E301C">
            <w:pPr>
              <w:rPr>
                <w:rFonts w:ascii="宋体" w:hAnsi="宋体" w:cs="宋体"/>
                <w:sz w:val="21"/>
                <w:szCs w:val="21"/>
              </w:rPr>
            </w:pPr>
          </w:p>
        </w:tc>
      </w:tr>
      <w:tr w14:paraId="0301C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Merge w:val="restart"/>
            <w:tcBorders>
              <w:top w:val="single" w:color="auto" w:sz="4" w:space="0"/>
              <w:left w:val="single" w:color="auto" w:sz="4" w:space="0"/>
              <w:right w:val="single" w:color="auto" w:sz="4" w:space="0"/>
            </w:tcBorders>
            <w:vAlign w:val="center"/>
          </w:tcPr>
          <w:p w14:paraId="68965C63">
            <w:pPr>
              <w:ind w:firstLine="28"/>
              <w:jc w:val="center"/>
              <w:rPr>
                <w:rFonts w:ascii="宋体" w:hAnsi="宋体" w:cs="宋体"/>
                <w:sz w:val="21"/>
                <w:szCs w:val="21"/>
              </w:rPr>
            </w:pPr>
            <w:r>
              <w:rPr>
                <w:rFonts w:hint="eastAsia" w:ascii="宋体" w:hAnsi="宋体" w:cs="宋体"/>
                <w:sz w:val="21"/>
                <w:szCs w:val="21"/>
              </w:rPr>
              <w:t>3</w:t>
            </w:r>
          </w:p>
          <w:p w14:paraId="3BE549EB">
            <w:pPr>
              <w:ind w:firstLine="28"/>
              <w:jc w:val="center"/>
              <w:rPr>
                <w:rFonts w:ascii="宋体" w:hAnsi="宋体" w:cs="宋体"/>
                <w:sz w:val="21"/>
                <w:szCs w:val="21"/>
              </w:rPr>
            </w:pPr>
          </w:p>
        </w:tc>
        <w:tc>
          <w:tcPr>
            <w:tcW w:w="1227" w:type="dxa"/>
            <w:vMerge w:val="restart"/>
            <w:tcBorders>
              <w:top w:val="single" w:color="auto" w:sz="4" w:space="0"/>
              <w:left w:val="single" w:color="auto" w:sz="4" w:space="0"/>
              <w:right w:val="single" w:color="auto" w:sz="4" w:space="0"/>
            </w:tcBorders>
            <w:vAlign w:val="center"/>
          </w:tcPr>
          <w:p w14:paraId="3061186A">
            <w:pPr>
              <w:ind w:firstLine="28"/>
              <w:jc w:val="center"/>
              <w:rPr>
                <w:rFonts w:ascii="宋体" w:hAnsi="宋体" w:cs="宋体"/>
                <w:sz w:val="21"/>
                <w:szCs w:val="21"/>
              </w:rPr>
            </w:pPr>
            <w:r>
              <w:rPr>
                <w:rFonts w:hint="eastAsia" w:ascii="宋体" w:hAnsi="宋体" w:cs="宋体"/>
                <w:sz w:val="21"/>
                <w:szCs w:val="21"/>
              </w:rPr>
              <w:t>商务部分</w:t>
            </w:r>
          </w:p>
          <w:p w14:paraId="4061E419">
            <w:pPr>
              <w:ind w:firstLine="28"/>
              <w:jc w:val="center"/>
              <w:rPr>
                <w:rFonts w:ascii="宋体" w:hAnsi="宋体" w:cs="宋体"/>
                <w:sz w:val="21"/>
                <w:szCs w:val="21"/>
              </w:rPr>
            </w:pPr>
            <w:r>
              <w:rPr>
                <w:rFonts w:hint="eastAsia" w:ascii="宋体" w:hAnsi="宋体" w:cs="宋体"/>
                <w:sz w:val="21"/>
                <w:szCs w:val="21"/>
              </w:rPr>
              <w:t>（30%）</w:t>
            </w:r>
          </w:p>
        </w:tc>
        <w:tc>
          <w:tcPr>
            <w:tcW w:w="1115" w:type="dxa"/>
            <w:tcBorders>
              <w:top w:val="single" w:color="auto" w:sz="4" w:space="0"/>
              <w:left w:val="single" w:color="auto" w:sz="4" w:space="0"/>
              <w:bottom w:val="single" w:color="auto" w:sz="4" w:space="0"/>
              <w:right w:val="single" w:color="auto" w:sz="4" w:space="0"/>
            </w:tcBorders>
            <w:vAlign w:val="center"/>
          </w:tcPr>
          <w:p w14:paraId="16BFBF41">
            <w:pPr>
              <w:ind w:firstLine="28"/>
              <w:jc w:val="center"/>
              <w:rPr>
                <w:rFonts w:ascii="宋体" w:hAnsi="宋体" w:cs="宋体"/>
                <w:sz w:val="21"/>
                <w:szCs w:val="21"/>
              </w:rPr>
            </w:pPr>
            <w:r>
              <w:rPr>
                <w:rFonts w:hint="eastAsia" w:ascii="宋体" w:hAnsi="宋体" w:cs="宋体"/>
                <w:sz w:val="21"/>
                <w:szCs w:val="21"/>
              </w:rPr>
              <w:t>仓储能力（7分）</w:t>
            </w:r>
          </w:p>
        </w:tc>
        <w:tc>
          <w:tcPr>
            <w:tcW w:w="3618" w:type="dxa"/>
            <w:tcBorders>
              <w:top w:val="single" w:color="auto" w:sz="4" w:space="0"/>
              <w:left w:val="single" w:color="auto" w:sz="4" w:space="0"/>
              <w:bottom w:val="single" w:color="auto" w:sz="4" w:space="0"/>
              <w:right w:val="single" w:color="auto" w:sz="4" w:space="0"/>
            </w:tcBorders>
            <w:vAlign w:val="center"/>
          </w:tcPr>
          <w:p w14:paraId="51F42544">
            <w:pPr>
              <w:ind w:firstLine="28"/>
              <w:rPr>
                <w:rFonts w:ascii="宋体" w:hAnsi="宋体" w:cs="宋体"/>
                <w:sz w:val="21"/>
                <w:szCs w:val="21"/>
              </w:rPr>
            </w:pPr>
            <w:r>
              <w:rPr>
                <w:rFonts w:hint="eastAsia" w:ascii="宋体" w:hAnsi="宋体" w:cs="宋体"/>
                <w:sz w:val="21"/>
                <w:szCs w:val="21"/>
              </w:rPr>
              <w:t>比选申请人具有仓储库房或者生产厂房或冻库，100㎡（含）</w:t>
            </w:r>
            <w:r>
              <w:rPr>
                <w:rFonts w:hint="eastAsia" w:ascii="宋体" w:hAnsi="宋体" w:cs="宋体"/>
                <w:sz w:val="21"/>
                <w:szCs w:val="21"/>
                <w:lang w:val="en-US" w:eastAsia="zh-CN"/>
              </w:rPr>
              <w:t>-200㎡（不含）</w:t>
            </w:r>
            <w:r>
              <w:rPr>
                <w:rFonts w:hint="eastAsia" w:ascii="宋体" w:hAnsi="宋体" w:cs="宋体"/>
                <w:sz w:val="21"/>
                <w:szCs w:val="21"/>
              </w:rPr>
              <w:t>得1分，在此基础上每增加100㎡加1分，此项最多得7分。</w:t>
            </w:r>
          </w:p>
        </w:tc>
        <w:tc>
          <w:tcPr>
            <w:tcW w:w="3033" w:type="dxa"/>
            <w:tcBorders>
              <w:top w:val="single" w:color="auto" w:sz="4" w:space="0"/>
              <w:left w:val="single" w:color="auto" w:sz="4" w:space="0"/>
              <w:bottom w:val="single" w:color="auto" w:sz="4" w:space="0"/>
              <w:right w:val="single" w:color="auto" w:sz="4" w:space="0"/>
            </w:tcBorders>
            <w:vAlign w:val="center"/>
          </w:tcPr>
          <w:p w14:paraId="0B51EF5A">
            <w:pPr>
              <w:rPr>
                <w:rFonts w:ascii="宋体" w:hAnsi="宋体" w:cs="宋体"/>
                <w:sz w:val="21"/>
                <w:szCs w:val="21"/>
              </w:rPr>
            </w:pPr>
            <w:r>
              <w:rPr>
                <w:rFonts w:hint="eastAsia" w:ascii="宋体" w:hAnsi="宋体" w:cs="宋体"/>
                <w:sz w:val="21"/>
                <w:szCs w:val="21"/>
              </w:rPr>
              <w:t>提供有效产权证明或者有效租赁合同复印件，加盖比选申请人单位公章。（租赁期</w:t>
            </w:r>
            <w:r>
              <w:rPr>
                <w:rFonts w:hint="eastAsia" w:ascii="宋体" w:hAnsi="宋体" w:cs="宋体"/>
                <w:sz w:val="21"/>
                <w:szCs w:val="21"/>
                <w:lang w:val="en-US" w:eastAsia="zh-CN"/>
              </w:rPr>
              <w:t>至少</w:t>
            </w:r>
            <w:r>
              <w:rPr>
                <w:rFonts w:hint="eastAsia" w:ascii="宋体" w:hAnsi="宋体" w:cs="宋体"/>
                <w:sz w:val="21"/>
                <w:szCs w:val="21"/>
              </w:rPr>
              <w:t>须涵盖</w:t>
            </w:r>
            <w:r>
              <w:rPr>
                <w:rFonts w:hint="eastAsia" w:ascii="宋体" w:hAnsi="宋体" w:cs="宋体"/>
                <w:sz w:val="21"/>
                <w:szCs w:val="21"/>
                <w:lang w:val="en-US" w:eastAsia="zh-CN"/>
              </w:rPr>
              <w:t>从开标当日起365日的租期</w:t>
            </w:r>
            <w:r>
              <w:rPr>
                <w:rFonts w:hint="eastAsia" w:ascii="宋体" w:hAnsi="宋体" w:cs="宋体"/>
                <w:sz w:val="21"/>
                <w:szCs w:val="21"/>
              </w:rPr>
              <w:t>，否则视为无效）。</w:t>
            </w:r>
          </w:p>
        </w:tc>
      </w:tr>
      <w:tr w14:paraId="0E59B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Merge w:val="continue"/>
            <w:tcBorders>
              <w:left w:val="single" w:color="auto" w:sz="4" w:space="0"/>
              <w:right w:val="single" w:color="auto" w:sz="4" w:space="0"/>
            </w:tcBorders>
            <w:vAlign w:val="center"/>
          </w:tcPr>
          <w:p w14:paraId="6F0FA757">
            <w:pPr>
              <w:ind w:firstLine="28"/>
              <w:jc w:val="center"/>
              <w:rPr>
                <w:rFonts w:ascii="宋体" w:hAnsi="宋体" w:cs="宋体"/>
                <w:sz w:val="21"/>
                <w:szCs w:val="21"/>
              </w:rPr>
            </w:pPr>
          </w:p>
        </w:tc>
        <w:tc>
          <w:tcPr>
            <w:tcW w:w="1227" w:type="dxa"/>
            <w:vMerge w:val="continue"/>
            <w:tcBorders>
              <w:left w:val="single" w:color="auto" w:sz="4" w:space="0"/>
              <w:right w:val="single" w:color="auto" w:sz="4" w:space="0"/>
            </w:tcBorders>
            <w:vAlign w:val="center"/>
          </w:tcPr>
          <w:p w14:paraId="47C9E312">
            <w:pPr>
              <w:ind w:firstLine="28"/>
              <w:jc w:val="center"/>
              <w:rPr>
                <w:rFonts w:ascii="宋体" w:hAnsi="宋体" w:cs="宋体"/>
                <w:sz w:val="21"/>
                <w:szCs w:val="21"/>
              </w:rPr>
            </w:pPr>
          </w:p>
        </w:tc>
        <w:tc>
          <w:tcPr>
            <w:tcW w:w="1115" w:type="dxa"/>
            <w:tcBorders>
              <w:top w:val="single" w:color="auto" w:sz="4" w:space="0"/>
              <w:left w:val="single" w:color="auto" w:sz="4" w:space="0"/>
              <w:bottom w:val="single" w:color="auto" w:sz="4" w:space="0"/>
              <w:right w:val="single" w:color="auto" w:sz="4" w:space="0"/>
            </w:tcBorders>
            <w:vAlign w:val="center"/>
          </w:tcPr>
          <w:p w14:paraId="79C63989">
            <w:pPr>
              <w:ind w:firstLine="28"/>
              <w:jc w:val="center"/>
              <w:rPr>
                <w:rFonts w:ascii="宋体" w:hAnsi="宋体" w:cs="宋体"/>
                <w:sz w:val="21"/>
                <w:szCs w:val="21"/>
              </w:rPr>
            </w:pPr>
            <w:r>
              <w:rPr>
                <w:rFonts w:hint="eastAsia" w:ascii="宋体" w:hAnsi="宋体" w:cs="宋体"/>
                <w:sz w:val="21"/>
                <w:szCs w:val="21"/>
              </w:rPr>
              <w:t>食品安全（</w:t>
            </w:r>
            <w:r>
              <w:rPr>
                <w:rFonts w:hint="eastAsia" w:ascii="宋体" w:hAnsi="宋体" w:cs="宋体"/>
                <w:sz w:val="21"/>
                <w:szCs w:val="21"/>
                <w:lang w:val="en-US" w:eastAsia="zh-CN"/>
              </w:rPr>
              <w:t>7</w:t>
            </w:r>
            <w:r>
              <w:rPr>
                <w:rFonts w:hint="eastAsia" w:ascii="宋体" w:hAnsi="宋体" w:cs="宋体"/>
                <w:sz w:val="21"/>
                <w:szCs w:val="21"/>
              </w:rPr>
              <w:t>分）</w:t>
            </w:r>
          </w:p>
        </w:tc>
        <w:tc>
          <w:tcPr>
            <w:tcW w:w="3618" w:type="dxa"/>
            <w:tcBorders>
              <w:top w:val="single" w:color="auto" w:sz="4" w:space="0"/>
              <w:left w:val="single" w:color="auto" w:sz="4" w:space="0"/>
              <w:bottom w:val="single" w:color="auto" w:sz="4" w:space="0"/>
              <w:right w:val="single" w:color="auto" w:sz="4" w:space="0"/>
            </w:tcBorders>
            <w:vAlign w:val="center"/>
          </w:tcPr>
          <w:p w14:paraId="2D286C52">
            <w:pPr>
              <w:ind w:firstLine="28"/>
              <w:rPr>
                <w:rFonts w:ascii="宋体" w:hAnsi="宋体" w:cs="宋体"/>
                <w:sz w:val="21"/>
                <w:szCs w:val="21"/>
              </w:rPr>
            </w:pPr>
            <w:r>
              <w:rPr>
                <w:rFonts w:hint="eastAsia" w:ascii="宋体" w:hAnsi="宋体" w:cs="宋体"/>
                <w:sz w:val="21"/>
                <w:szCs w:val="21"/>
              </w:rPr>
              <w:t>比选申请人为所供的物资购买食品安全保险的，保险额度在1000万（含）及以上的得</w:t>
            </w:r>
            <w:r>
              <w:rPr>
                <w:rFonts w:hint="eastAsia" w:ascii="宋体" w:hAnsi="宋体" w:cs="宋体"/>
                <w:sz w:val="21"/>
                <w:szCs w:val="21"/>
                <w:lang w:val="en-US" w:eastAsia="zh-CN"/>
              </w:rPr>
              <w:t>7</w:t>
            </w:r>
            <w:r>
              <w:rPr>
                <w:rFonts w:hint="eastAsia" w:ascii="宋体" w:hAnsi="宋体" w:cs="宋体"/>
                <w:sz w:val="21"/>
                <w:szCs w:val="21"/>
              </w:rPr>
              <w:t>分；保险额度在500万</w:t>
            </w:r>
            <w:r>
              <w:rPr>
                <w:rFonts w:hint="eastAsia" w:ascii="宋体" w:hAnsi="宋体" w:cs="宋体"/>
                <w:sz w:val="21"/>
                <w:szCs w:val="21"/>
                <w:lang w:eastAsia="zh-CN"/>
              </w:rPr>
              <w:t>（</w:t>
            </w:r>
            <w:r>
              <w:rPr>
                <w:rFonts w:hint="eastAsia" w:ascii="宋体" w:hAnsi="宋体" w:cs="宋体"/>
                <w:sz w:val="21"/>
                <w:szCs w:val="21"/>
                <w:lang w:val="en-US" w:eastAsia="zh-CN"/>
              </w:rPr>
              <w:t>含</w:t>
            </w:r>
            <w:r>
              <w:rPr>
                <w:rFonts w:hint="eastAsia" w:ascii="宋体" w:hAnsi="宋体" w:cs="宋体"/>
                <w:sz w:val="21"/>
                <w:szCs w:val="21"/>
                <w:lang w:eastAsia="zh-CN"/>
              </w:rPr>
              <w:t>）</w:t>
            </w:r>
            <w:r>
              <w:rPr>
                <w:rFonts w:hint="eastAsia" w:ascii="宋体" w:hAnsi="宋体" w:cs="宋体"/>
                <w:sz w:val="21"/>
                <w:szCs w:val="21"/>
              </w:rPr>
              <w:t>及以上1000万（不含）以下的得5分；保险额度在100万（含）及以上500万（不含）以下的得3分；小于100万（不含）的得1分；未购买食品安全保险的得0分。</w:t>
            </w:r>
          </w:p>
        </w:tc>
        <w:tc>
          <w:tcPr>
            <w:tcW w:w="3033" w:type="dxa"/>
            <w:tcBorders>
              <w:top w:val="single" w:color="auto" w:sz="4" w:space="0"/>
              <w:left w:val="single" w:color="auto" w:sz="4" w:space="0"/>
              <w:bottom w:val="single" w:color="auto" w:sz="4" w:space="0"/>
              <w:right w:val="single" w:color="auto" w:sz="4" w:space="0"/>
            </w:tcBorders>
            <w:vAlign w:val="center"/>
          </w:tcPr>
          <w:p w14:paraId="54B33095">
            <w:pPr>
              <w:rPr>
                <w:rFonts w:ascii="宋体" w:hAnsi="宋体" w:cs="宋体"/>
                <w:sz w:val="21"/>
                <w:szCs w:val="21"/>
              </w:rPr>
            </w:pPr>
            <w:r>
              <w:rPr>
                <w:rFonts w:hint="eastAsia" w:ascii="宋体" w:hAnsi="宋体" w:cs="宋体"/>
                <w:sz w:val="21"/>
                <w:szCs w:val="21"/>
              </w:rPr>
              <w:t>提供有效的食品安全保险单及发票复印件，加盖比选申请人单位公章。</w:t>
            </w:r>
          </w:p>
        </w:tc>
      </w:tr>
      <w:tr w14:paraId="3D6F8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Merge w:val="continue"/>
            <w:tcBorders>
              <w:left w:val="single" w:color="auto" w:sz="4" w:space="0"/>
              <w:right w:val="single" w:color="auto" w:sz="4" w:space="0"/>
            </w:tcBorders>
            <w:vAlign w:val="center"/>
          </w:tcPr>
          <w:p w14:paraId="39E18CEA">
            <w:pPr>
              <w:ind w:firstLine="28"/>
              <w:jc w:val="center"/>
              <w:rPr>
                <w:rFonts w:ascii="宋体" w:hAnsi="宋体" w:cs="宋体"/>
                <w:sz w:val="21"/>
                <w:szCs w:val="21"/>
              </w:rPr>
            </w:pPr>
          </w:p>
        </w:tc>
        <w:tc>
          <w:tcPr>
            <w:tcW w:w="1227" w:type="dxa"/>
            <w:vMerge w:val="continue"/>
            <w:tcBorders>
              <w:left w:val="single" w:color="auto" w:sz="4" w:space="0"/>
              <w:right w:val="single" w:color="auto" w:sz="4" w:space="0"/>
            </w:tcBorders>
            <w:vAlign w:val="center"/>
          </w:tcPr>
          <w:p w14:paraId="3CCD39C6">
            <w:pPr>
              <w:ind w:firstLine="28"/>
              <w:jc w:val="center"/>
              <w:rPr>
                <w:rFonts w:ascii="宋体" w:hAnsi="宋体" w:cs="宋体"/>
                <w:sz w:val="21"/>
                <w:szCs w:val="21"/>
              </w:rPr>
            </w:pPr>
          </w:p>
        </w:tc>
        <w:tc>
          <w:tcPr>
            <w:tcW w:w="1115" w:type="dxa"/>
            <w:tcBorders>
              <w:top w:val="single" w:color="auto" w:sz="4" w:space="0"/>
              <w:left w:val="single" w:color="auto" w:sz="4" w:space="0"/>
              <w:bottom w:val="single" w:color="auto" w:sz="4" w:space="0"/>
              <w:right w:val="single" w:color="auto" w:sz="4" w:space="0"/>
            </w:tcBorders>
            <w:vAlign w:val="center"/>
          </w:tcPr>
          <w:p w14:paraId="3A72FD27">
            <w:pPr>
              <w:ind w:firstLine="28"/>
              <w:jc w:val="center"/>
              <w:rPr>
                <w:rFonts w:ascii="宋体" w:hAnsi="宋体" w:cs="宋体"/>
                <w:sz w:val="21"/>
                <w:szCs w:val="21"/>
              </w:rPr>
            </w:pPr>
            <w:r>
              <w:rPr>
                <w:rFonts w:hint="eastAsia" w:ascii="宋体" w:hAnsi="宋体" w:cs="宋体"/>
                <w:sz w:val="21"/>
                <w:szCs w:val="21"/>
              </w:rPr>
              <w:t>类似业绩（1</w:t>
            </w:r>
            <w:r>
              <w:rPr>
                <w:rFonts w:hint="eastAsia" w:ascii="宋体" w:hAnsi="宋体" w:cs="宋体"/>
                <w:sz w:val="21"/>
                <w:szCs w:val="21"/>
                <w:lang w:val="en-US" w:eastAsia="zh-CN"/>
              </w:rPr>
              <w:t>6</w:t>
            </w:r>
            <w:r>
              <w:rPr>
                <w:rFonts w:hint="eastAsia" w:ascii="宋体" w:hAnsi="宋体" w:cs="宋体"/>
                <w:sz w:val="21"/>
                <w:szCs w:val="21"/>
              </w:rPr>
              <w:t>分）</w:t>
            </w:r>
          </w:p>
        </w:tc>
        <w:tc>
          <w:tcPr>
            <w:tcW w:w="3618" w:type="dxa"/>
            <w:tcBorders>
              <w:top w:val="single" w:color="auto" w:sz="4" w:space="0"/>
              <w:left w:val="single" w:color="auto" w:sz="4" w:space="0"/>
              <w:bottom w:val="single" w:color="auto" w:sz="4" w:space="0"/>
              <w:right w:val="single" w:color="auto" w:sz="4" w:space="0"/>
            </w:tcBorders>
            <w:vAlign w:val="center"/>
          </w:tcPr>
          <w:p w14:paraId="311BCCFA">
            <w:pPr>
              <w:ind w:firstLine="28"/>
              <w:rPr>
                <w:rFonts w:ascii="宋体" w:hAnsi="宋体" w:cs="宋体"/>
                <w:sz w:val="21"/>
                <w:szCs w:val="21"/>
              </w:rPr>
            </w:pPr>
            <w:r>
              <w:rPr>
                <w:rFonts w:hint="eastAsia" w:ascii="宋体" w:hAnsi="宋体" w:cs="宋体"/>
                <w:sz w:val="21"/>
                <w:szCs w:val="21"/>
              </w:rPr>
              <w:t>2022年1月1日</w:t>
            </w:r>
            <w:r>
              <w:rPr>
                <w:rFonts w:hint="eastAsia" w:ascii="宋体" w:hAnsi="宋体" w:cs="宋体"/>
                <w:sz w:val="21"/>
                <w:szCs w:val="21"/>
                <w:lang w:eastAsia="zh-CN"/>
              </w:rPr>
              <w:t>（</w:t>
            </w:r>
            <w:r>
              <w:rPr>
                <w:rFonts w:hint="eastAsia" w:ascii="宋体" w:hAnsi="宋体" w:cs="宋体"/>
                <w:sz w:val="21"/>
                <w:szCs w:val="21"/>
                <w:lang w:val="en-US" w:eastAsia="zh-CN"/>
              </w:rPr>
              <w:t>以合同签订之日起为准</w:t>
            </w:r>
            <w:r>
              <w:rPr>
                <w:rFonts w:hint="eastAsia" w:ascii="宋体" w:hAnsi="宋体" w:cs="宋体"/>
                <w:sz w:val="21"/>
                <w:szCs w:val="21"/>
                <w:lang w:eastAsia="zh-CN"/>
              </w:rPr>
              <w:t>）</w:t>
            </w:r>
            <w:r>
              <w:rPr>
                <w:rFonts w:hint="eastAsia" w:ascii="宋体" w:hAnsi="宋体" w:cs="宋体"/>
                <w:sz w:val="21"/>
                <w:szCs w:val="21"/>
              </w:rPr>
              <w:t>至今比选申请人承担过类似食材配送服务项目的，每提供1个业绩得2分，本项最多得1</w:t>
            </w:r>
            <w:r>
              <w:rPr>
                <w:rFonts w:hint="eastAsia" w:ascii="宋体" w:hAnsi="宋体" w:cs="宋体"/>
                <w:sz w:val="21"/>
                <w:szCs w:val="21"/>
                <w:lang w:val="en-US" w:eastAsia="zh-CN"/>
              </w:rPr>
              <w:t>6</w:t>
            </w:r>
            <w:r>
              <w:rPr>
                <w:rFonts w:hint="eastAsia" w:ascii="宋体" w:hAnsi="宋体" w:cs="宋体"/>
                <w:sz w:val="21"/>
                <w:szCs w:val="21"/>
              </w:rPr>
              <w:t>分。</w:t>
            </w:r>
          </w:p>
        </w:tc>
        <w:tc>
          <w:tcPr>
            <w:tcW w:w="3033" w:type="dxa"/>
            <w:tcBorders>
              <w:top w:val="single" w:color="auto" w:sz="4" w:space="0"/>
              <w:left w:val="single" w:color="auto" w:sz="4" w:space="0"/>
              <w:bottom w:val="single" w:color="auto" w:sz="4" w:space="0"/>
              <w:right w:val="single" w:color="auto" w:sz="4" w:space="0"/>
            </w:tcBorders>
            <w:vAlign w:val="center"/>
          </w:tcPr>
          <w:p w14:paraId="14FC174C">
            <w:pPr>
              <w:rPr>
                <w:rFonts w:ascii="宋体" w:hAnsi="宋体" w:cs="宋体"/>
                <w:sz w:val="21"/>
                <w:szCs w:val="21"/>
              </w:rPr>
            </w:pPr>
            <w:r>
              <w:rPr>
                <w:rFonts w:hint="eastAsia" w:ascii="宋体" w:hAnsi="宋体" w:cs="宋体"/>
                <w:sz w:val="21"/>
                <w:szCs w:val="21"/>
              </w:rPr>
              <w:t>提供合同或协议复印件，加盖比选申请人单位公章。</w:t>
            </w:r>
          </w:p>
        </w:tc>
      </w:tr>
    </w:tbl>
    <w:p w14:paraId="467BB9BD">
      <w:pPr>
        <w:snapToGrid w:val="0"/>
        <w:spacing w:line="400" w:lineRule="exact"/>
        <w:ind w:firstLine="482" w:firstLineChars="200"/>
        <w:rPr>
          <w:rFonts w:ascii="宋体" w:hAnsi="宋体" w:cs="宋体"/>
          <w:sz w:val="24"/>
          <w:szCs w:val="24"/>
        </w:rPr>
      </w:pPr>
      <w:r>
        <w:rPr>
          <w:rFonts w:hint="eastAsia" w:ascii="宋体" w:hAnsi="宋体" w:cs="宋体"/>
          <w:b/>
          <w:bCs/>
          <w:sz w:val="24"/>
          <w:szCs w:val="24"/>
        </w:rPr>
        <w:t>说明：</w:t>
      </w:r>
      <w:r>
        <w:rPr>
          <w:rFonts w:hint="eastAsia" w:ascii="宋体" w:hAnsi="宋体" w:cs="宋体"/>
          <w:sz w:val="24"/>
          <w:szCs w:val="24"/>
        </w:rPr>
        <w:t>比选小组认为，排名在前面的成交候选人的比选申请报价明显不合理或者低于成本，有可能影响服务质量和不能诚信履约的，将要求其在规定的期限内提供书面文件予以解释说明，并提交相关证明材料；否则，</w:t>
      </w:r>
      <w:r>
        <w:rPr>
          <w:rFonts w:hint="eastAsia" w:ascii="宋体" w:hAnsi="宋体" w:cs="宋体"/>
          <w:sz w:val="24"/>
          <w:szCs w:val="24"/>
          <w:lang w:val="en-US" w:eastAsia="zh-CN"/>
        </w:rPr>
        <w:t>视为无效比选申请</w:t>
      </w:r>
      <w:r>
        <w:rPr>
          <w:rFonts w:hint="eastAsia" w:ascii="宋体" w:hAnsi="宋体" w:cs="宋体"/>
          <w:sz w:val="24"/>
          <w:szCs w:val="24"/>
        </w:rPr>
        <w:t>。</w:t>
      </w:r>
    </w:p>
    <w:p w14:paraId="3678C21B">
      <w:pPr>
        <w:pStyle w:val="3"/>
        <w:adjustRightInd w:val="0"/>
        <w:snapToGrid w:val="0"/>
        <w:spacing w:before="0" w:after="0" w:line="400" w:lineRule="exact"/>
        <w:ind w:firstLine="482" w:firstLineChars="200"/>
        <w:rPr>
          <w:rFonts w:ascii="宋体" w:hAnsi="宋体" w:eastAsia="宋体" w:cs="宋体"/>
          <w:sz w:val="24"/>
        </w:rPr>
      </w:pPr>
      <w:bookmarkStart w:id="288" w:name="_Toc30246"/>
      <w:bookmarkStart w:id="289" w:name="_Toc7323"/>
      <w:bookmarkStart w:id="290" w:name="_Toc13135"/>
      <w:bookmarkStart w:id="291" w:name="_Toc11144"/>
      <w:bookmarkStart w:id="292" w:name="_Toc19270"/>
      <w:r>
        <w:rPr>
          <w:rFonts w:hint="eastAsia" w:ascii="宋体" w:hAnsi="宋体" w:eastAsia="宋体" w:cs="宋体"/>
          <w:sz w:val="24"/>
        </w:rPr>
        <w:t>三、无效</w:t>
      </w:r>
      <w:bookmarkEnd w:id="284"/>
      <w:bookmarkEnd w:id="285"/>
      <w:bookmarkEnd w:id="286"/>
      <w:bookmarkEnd w:id="287"/>
      <w:bookmarkEnd w:id="288"/>
      <w:bookmarkEnd w:id="289"/>
      <w:r>
        <w:rPr>
          <w:rFonts w:hint="eastAsia" w:ascii="宋体" w:hAnsi="宋体" w:eastAsia="宋体" w:cs="宋体"/>
          <w:sz w:val="24"/>
        </w:rPr>
        <w:t>比选申请</w:t>
      </w:r>
      <w:bookmarkEnd w:id="290"/>
      <w:bookmarkEnd w:id="291"/>
      <w:bookmarkEnd w:id="292"/>
    </w:p>
    <w:p w14:paraId="3D0DECDB">
      <w:pPr>
        <w:snapToGrid w:val="0"/>
        <w:spacing w:line="400" w:lineRule="exact"/>
        <w:ind w:firstLine="465"/>
        <w:rPr>
          <w:rFonts w:ascii="宋体" w:hAnsi="宋体" w:cs="宋体"/>
          <w:sz w:val="24"/>
          <w:szCs w:val="24"/>
        </w:rPr>
      </w:pPr>
      <w:r>
        <w:rPr>
          <w:rFonts w:hint="eastAsia" w:ascii="宋体" w:hAnsi="宋体" w:cs="宋体"/>
          <w:sz w:val="24"/>
          <w:szCs w:val="24"/>
        </w:rPr>
        <w:t>比选申请人发生以下条款情况之一者，视为无效比选申请，其比选申请文件将被拒绝：</w:t>
      </w:r>
    </w:p>
    <w:p w14:paraId="605C7F85">
      <w:pPr>
        <w:snapToGrid w:val="0"/>
        <w:spacing w:line="400" w:lineRule="exact"/>
        <w:ind w:firstLine="465"/>
        <w:rPr>
          <w:rFonts w:ascii="宋体" w:hAnsi="宋体" w:cs="宋体"/>
          <w:sz w:val="24"/>
          <w:szCs w:val="24"/>
        </w:rPr>
      </w:pPr>
      <w:r>
        <w:rPr>
          <w:rFonts w:hint="eastAsia" w:ascii="宋体" w:hAnsi="宋体" w:cs="宋体"/>
          <w:sz w:val="24"/>
          <w:szCs w:val="24"/>
        </w:rPr>
        <w:t>（一）比选申请人不符合规定的资格条件的；</w:t>
      </w:r>
    </w:p>
    <w:p w14:paraId="04CF303C">
      <w:pPr>
        <w:snapToGrid w:val="0"/>
        <w:spacing w:line="400" w:lineRule="exact"/>
        <w:ind w:firstLine="465"/>
        <w:rPr>
          <w:rFonts w:ascii="宋体" w:hAnsi="宋体" w:cs="宋体"/>
          <w:sz w:val="24"/>
          <w:szCs w:val="24"/>
        </w:rPr>
      </w:pPr>
      <w:r>
        <w:rPr>
          <w:rFonts w:hint="eastAsia" w:ascii="宋体" w:hAnsi="宋体" w:cs="宋体"/>
          <w:sz w:val="24"/>
          <w:szCs w:val="24"/>
        </w:rPr>
        <w:t>（二）比选申请人所提交的比选申请文件不按“</w:t>
      </w:r>
      <w:r>
        <w:rPr>
          <w:rFonts w:hint="eastAsia" w:ascii="宋体" w:hAnsi="宋体" w:cs="宋体"/>
          <w:sz w:val="24"/>
          <w:szCs w:val="24"/>
          <w:lang w:eastAsia="zh-CN"/>
        </w:rPr>
        <w:t>第六篇</w:t>
      </w:r>
      <w:r>
        <w:rPr>
          <w:rFonts w:hint="eastAsia" w:ascii="宋体" w:hAnsi="宋体" w:cs="宋体"/>
          <w:sz w:val="24"/>
          <w:szCs w:val="24"/>
        </w:rPr>
        <w:t>比选申请文件编制要求”要求签署或盖章；</w:t>
      </w:r>
    </w:p>
    <w:p w14:paraId="2F3DC2AB">
      <w:pPr>
        <w:snapToGrid w:val="0"/>
        <w:spacing w:line="400" w:lineRule="exact"/>
        <w:ind w:firstLine="465"/>
        <w:rPr>
          <w:rFonts w:ascii="宋体" w:hAnsi="宋体" w:cs="宋体"/>
          <w:sz w:val="24"/>
          <w:szCs w:val="24"/>
        </w:rPr>
      </w:pPr>
      <w:r>
        <w:rPr>
          <w:rFonts w:hint="eastAsia" w:ascii="宋体" w:hAnsi="宋体" w:cs="宋体"/>
          <w:sz w:val="24"/>
          <w:szCs w:val="24"/>
        </w:rPr>
        <w:t>（三）比选申请人的报价超过</w:t>
      </w:r>
      <w:r>
        <w:rPr>
          <w:rFonts w:hint="default" w:ascii="宋体" w:hAnsi="宋体" w:cs="宋体"/>
          <w:sz w:val="24"/>
          <w:szCs w:val="24"/>
          <w:lang w:val="en-US"/>
        </w:rPr>
        <w:t>固定费率范围</w:t>
      </w:r>
      <w:r>
        <w:rPr>
          <w:rFonts w:hint="eastAsia" w:ascii="宋体" w:hAnsi="宋体" w:cs="宋体"/>
          <w:sz w:val="24"/>
          <w:szCs w:val="24"/>
        </w:rPr>
        <w:t>的；</w:t>
      </w:r>
    </w:p>
    <w:p w14:paraId="1397986C">
      <w:pPr>
        <w:snapToGrid w:val="0"/>
        <w:spacing w:line="400" w:lineRule="exact"/>
        <w:ind w:firstLine="465"/>
        <w:rPr>
          <w:rFonts w:ascii="宋体" w:hAnsi="宋体" w:cs="宋体"/>
          <w:sz w:val="24"/>
          <w:szCs w:val="24"/>
        </w:rPr>
      </w:pPr>
      <w:r>
        <w:rPr>
          <w:rFonts w:hint="eastAsia" w:ascii="宋体" w:hAnsi="宋体" w:cs="宋体"/>
          <w:sz w:val="24"/>
          <w:szCs w:val="24"/>
        </w:rPr>
        <w:t>（四）法定代表人为同一个人的两个及两个以上法人，母公司、全资子公司及其控股公司，在同一包采购中同时参与比选；</w:t>
      </w:r>
    </w:p>
    <w:p w14:paraId="23D74FD0">
      <w:pPr>
        <w:snapToGrid w:val="0"/>
        <w:spacing w:line="400" w:lineRule="exact"/>
        <w:ind w:firstLine="465"/>
        <w:rPr>
          <w:rFonts w:ascii="宋体" w:hAnsi="宋体" w:cs="宋体"/>
          <w:sz w:val="24"/>
          <w:szCs w:val="24"/>
        </w:rPr>
      </w:pPr>
      <w:r>
        <w:rPr>
          <w:rFonts w:hint="eastAsia" w:ascii="宋体" w:hAnsi="宋体" w:cs="宋体"/>
          <w:sz w:val="24"/>
          <w:szCs w:val="24"/>
        </w:rPr>
        <w:t>（五）单位负责人为同一人或者存在直接控股、管理关系的不同比选申请人，参加同一合同项下的比选活动的；</w:t>
      </w:r>
    </w:p>
    <w:p w14:paraId="47A28A6C">
      <w:pPr>
        <w:snapToGrid w:val="0"/>
        <w:spacing w:line="400" w:lineRule="exact"/>
        <w:ind w:firstLine="465"/>
        <w:rPr>
          <w:rFonts w:ascii="宋体" w:hAnsi="宋体" w:cs="宋体"/>
          <w:sz w:val="24"/>
          <w:szCs w:val="24"/>
        </w:rPr>
      </w:pPr>
      <w:r>
        <w:rPr>
          <w:rFonts w:hint="eastAsia" w:ascii="宋体" w:hAnsi="宋体" w:cs="宋体"/>
          <w:sz w:val="24"/>
          <w:szCs w:val="24"/>
        </w:rPr>
        <w:t>（六）为采购项目提供整体设计、规范编制或者项目管理、监理、检测等服务的比选申请人，再参加该采购项目的其他采购活动；</w:t>
      </w:r>
    </w:p>
    <w:p w14:paraId="4FC27400">
      <w:pPr>
        <w:snapToGrid w:val="0"/>
        <w:spacing w:line="400" w:lineRule="exact"/>
        <w:ind w:firstLine="465"/>
        <w:rPr>
          <w:rFonts w:ascii="宋体" w:hAnsi="宋体" w:cs="宋体"/>
          <w:sz w:val="24"/>
          <w:szCs w:val="24"/>
        </w:rPr>
      </w:pPr>
      <w:r>
        <w:rPr>
          <w:rFonts w:hint="eastAsia" w:ascii="宋体" w:hAnsi="宋体" w:cs="宋体"/>
          <w:sz w:val="24"/>
          <w:szCs w:val="24"/>
        </w:rPr>
        <w:t>（七）比选申请人比选有效期不满足竞争性比选文件要求的；</w:t>
      </w:r>
    </w:p>
    <w:p w14:paraId="41A01306">
      <w:pPr>
        <w:snapToGrid w:val="0"/>
        <w:spacing w:line="400" w:lineRule="exact"/>
        <w:ind w:firstLine="465"/>
        <w:rPr>
          <w:rFonts w:ascii="宋体" w:hAnsi="宋体" w:cs="宋体"/>
          <w:sz w:val="24"/>
          <w:szCs w:val="24"/>
        </w:rPr>
      </w:pPr>
      <w:r>
        <w:rPr>
          <w:rFonts w:hint="eastAsia" w:ascii="宋体" w:hAnsi="宋体" w:cs="宋体"/>
          <w:sz w:val="24"/>
          <w:szCs w:val="24"/>
        </w:rPr>
        <w:t>（八）比选申请人比选申请文件内容有与国家现行法律法规相违背的内容，或附有比选人无法接受的条件；</w:t>
      </w:r>
    </w:p>
    <w:p w14:paraId="3BCAA58F">
      <w:pPr>
        <w:snapToGrid w:val="0"/>
        <w:spacing w:line="400" w:lineRule="exact"/>
        <w:ind w:firstLine="465"/>
        <w:rPr>
          <w:rFonts w:ascii="宋体" w:hAnsi="宋体" w:cs="宋体"/>
          <w:sz w:val="24"/>
          <w:szCs w:val="24"/>
        </w:rPr>
      </w:pPr>
      <w:r>
        <w:rPr>
          <w:rFonts w:hint="eastAsia" w:ascii="宋体" w:hAnsi="宋体" w:cs="宋体"/>
          <w:sz w:val="24"/>
          <w:szCs w:val="24"/>
        </w:rPr>
        <w:t>（九）法律、法规和竞争性比选文件规定的其他无效情形。</w:t>
      </w:r>
    </w:p>
    <w:p w14:paraId="0788077F">
      <w:pPr>
        <w:snapToGrid w:val="0"/>
        <w:spacing w:line="400" w:lineRule="exact"/>
        <w:ind w:firstLine="465"/>
        <w:rPr>
          <w:rFonts w:hint="eastAsia" w:ascii="宋体" w:hAnsi="宋体" w:cs="宋体"/>
          <w:sz w:val="24"/>
          <w:szCs w:val="24"/>
        </w:rPr>
      </w:pPr>
      <w:r>
        <w:rPr>
          <w:rFonts w:hint="eastAsia" w:ascii="宋体" w:hAnsi="宋体" w:cs="宋体"/>
          <w:sz w:val="24"/>
          <w:szCs w:val="24"/>
        </w:rPr>
        <w:t>（十）未按照比选文件的规定提交比选申请保证金的；</w:t>
      </w:r>
    </w:p>
    <w:p w14:paraId="6614CB35">
      <w:pPr>
        <w:snapToGrid w:val="0"/>
        <w:spacing w:line="400" w:lineRule="exact"/>
        <w:ind w:firstLine="465"/>
        <w:rPr>
          <w:rFonts w:hint="default"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十一</w:t>
      </w:r>
      <w:r>
        <w:rPr>
          <w:rFonts w:hint="eastAsia" w:ascii="宋体" w:hAnsi="宋体" w:cs="宋体"/>
          <w:sz w:val="24"/>
          <w:szCs w:val="24"/>
          <w:lang w:eastAsia="zh-CN"/>
        </w:rPr>
        <w:t>）</w:t>
      </w:r>
      <w:r>
        <w:rPr>
          <w:rFonts w:hint="eastAsia" w:ascii="宋体" w:hAnsi="宋体" w:cs="宋体"/>
          <w:sz w:val="24"/>
          <w:szCs w:val="24"/>
          <w:lang w:val="en-US" w:eastAsia="zh-CN"/>
        </w:rPr>
        <w:t>其他比选文件规定无效比选申请情况的</w:t>
      </w:r>
    </w:p>
    <w:p w14:paraId="64AF3B35">
      <w:pPr>
        <w:pStyle w:val="3"/>
        <w:adjustRightInd w:val="0"/>
        <w:snapToGrid w:val="0"/>
        <w:spacing w:before="0" w:after="0" w:line="400" w:lineRule="exact"/>
        <w:ind w:firstLine="482" w:firstLineChars="200"/>
        <w:rPr>
          <w:rFonts w:ascii="宋体" w:hAnsi="宋体" w:eastAsia="宋体" w:cs="宋体"/>
          <w:sz w:val="24"/>
        </w:rPr>
      </w:pPr>
      <w:bookmarkStart w:id="293" w:name="_Toc4899"/>
      <w:bookmarkStart w:id="294" w:name="_Toc21902"/>
      <w:bookmarkStart w:id="295" w:name="_Toc76462336"/>
      <w:bookmarkStart w:id="296" w:name="_Toc28798"/>
      <w:bookmarkStart w:id="297" w:name="_Toc18175"/>
      <w:bookmarkStart w:id="298" w:name="_Toc13968"/>
      <w:bookmarkStart w:id="299" w:name="_Toc674"/>
      <w:bookmarkStart w:id="300" w:name="_Toc8033"/>
      <w:bookmarkStart w:id="301" w:name="_Toc29051"/>
      <w:r>
        <w:rPr>
          <w:rFonts w:hint="eastAsia" w:ascii="宋体" w:hAnsi="宋体" w:eastAsia="宋体" w:cs="宋体"/>
          <w:sz w:val="24"/>
        </w:rPr>
        <w:t>四、</w:t>
      </w:r>
      <w:bookmarkEnd w:id="282"/>
      <w:bookmarkEnd w:id="283"/>
      <w:r>
        <w:rPr>
          <w:rFonts w:hint="eastAsia" w:ascii="宋体" w:hAnsi="宋体" w:eastAsia="宋体" w:cs="宋体"/>
          <w:sz w:val="24"/>
        </w:rPr>
        <w:t>比选终止</w:t>
      </w:r>
      <w:bookmarkEnd w:id="293"/>
      <w:bookmarkEnd w:id="294"/>
      <w:bookmarkEnd w:id="295"/>
      <w:bookmarkEnd w:id="296"/>
      <w:bookmarkEnd w:id="297"/>
      <w:bookmarkEnd w:id="298"/>
      <w:bookmarkEnd w:id="299"/>
      <w:bookmarkEnd w:id="300"/>
      <w:bookmarkEnd w:id="301"/>
    </w:p>
    <w:p w14:paraId="5A746621">
      <w:pPr>
        <w:snapToGrid w:val="0"/>
        <w:spacing w:line="400" w:lineRule="exact"/>
        <w:ind w:firstLine="465"/>
        <w:rPr>
          <w:rFonts w:ascii="宋体" w:hAnsi="宋体" w:cs="宋体"/>
          <w:sz w:val="24"/>
          <w:szCs w:val="24"/>
        </w:rPr>
      </w:pPr>
      <w:r>
        <w:rPr>
          <w:rFonts w:hint="eastAsia" w:ascii="宋体" w:hAnsi="宋体" w:cs="宋体"/>
          <w:sz w:val="24"/>
          <w:szCs w:val="24"/>
        </w:rPr>
        <w:t>出现下列情形之一的，比选人或者比选代理机构应当终止竞争性比选采购活动，发布项目终止公告并说明原因，重新开展采购活动：</w:t>
      </w:r>
    </w:p>
    <w:p w14:paraId="55C00A67">
      <w:pPr>
        <w:snapToGrid w:val="0"/>
        <w:spacing w:line="400" w:lineRule="exact"/>
        <w:ind w:firstLine="465"/>
        <w:rPr>
          <w:rFonts w:ascii="宋体" w:hAnsi="宋体" w:cs="宋体"/>
          <w:sz w:val="24"/>
          <w:szCs w:val="24"/>
        </w:rPr>
      </w:pPr>
      <w:r>
        <w:rPr>
          <w:rFonts w:hint="eastAsia" w:ascii="宋体" w:hAnsi="宋体" w:cs="宋体"/>
          <w:sz w:val="24"/>
          <w:szCs w:val="24"/>
        </w:rPr>
        <w:t>（一）符合专业条件的比选申请人或者对比选文件作实质响应的比选申请人不足三家的；</w:t>
      </w:r>
    </w:p>
    <w:p w14:paraId="0687D30E">
      <w:pPr>
        <w:snapToGrid w:val="0"/>
        <w:spacing w:line="400" w:lineRule="exact"/>
        <w:ind w:firstLine="465"/>
        <w:rPr>
          <w:rFonts w:ascii="宋体" w:hAnsi="宋体" w:cs="宋体"/>
          <w:sz w:val="24"/>
          <w:szCs w:val="24"/>
        </w:rPr>
      </w:pPr>
      <w:r>
        <w:rPr>
          <w:rFonts w:hint="eastAsia" w:ascii="宋体" w:hAnsi="宋体" w:cs="宋体"/>
          <w:sz w:val="24"/>
          <w:szCs w:val="24"/>
        </w:rPr>
        <w:t>（二）出现影响采购公正的违法、违规行为的；</w:t>
      </w:r>
    </w:p>
    <w:p w14:paraId="44DBDC75">
      <w:pPr>
        <w:snapToGrid w:val="0"/>
        <w:spacing w:line="400" w:lineRule="exact"/>
        <w:ind w:firstLine="465"/>
        <w:rPr>
          <w:rFonts w:ascii="宋体" w:hAnsi="宋体" w:cs="宋体"/>
          <w:sz w:val="24"/>
          <w:szCs w:val="24"/>
        </w:rPr>
      </w:pPr>
      <w:r>
        <w:rPr>
          <w:rFonts w:hint="eastAsia" w:ascii="宋体" w:hAnsi="宋体" w:cs="宋体"/>
          <w:sz w:val="24"/>
          <w:szCs w:val="24"/>
        </w:rPr>
        <w:t>（三）因重大变故，采购任务取消的。</w:t>
      </w:r>
    </w:p>
    <w:p w14:paraId="4502E9D7">
      <w:pPr>
        <w:pStyle w:val="4"/>
        <w:ind w:firstLine="480" w:firstLineChars="200"/>
        <w:rPr>
          <w:rFonts w:ascii="宋体" w:hAnsi="宋体" w:cs="宋体"/>
          <w:b w:val="0"/>
          <w:sz w:val="24"/>
          <w:szCs w:val="24"/>
        </w:rPr>
      </w:pPr>
      <w:r>
        <w:rPr>
          <w:rFonts w:hint="eastAsia" w:ascii="宋体" w:hAnsi="宋体" w:cs="宋体"/>
          <w:b w:val="0"/>
          <w:sz w:val="24"/>
          <w:szCs w:val="24"/>
        </w:rPr>
        <w:t>比选终止后，除采购任务取消情形外，应当重新组织采购。</w:t>
      </w:r>
    </w:p>
    <w:p w14:paraId="3AE3B80A">
      <w:pPr>
        <w:spacing w:line="400" w:lineRule="exact"/>
        <w:ind w:firstLine="480" w:firstLineChars="200"/>
        <w:rPr>
          <w:rFonts w:ascii="宋体" w:hAnsi="宋体" w:cs="宋体"/>
          <w:sz w:val="24"/>
          <w:szCs w:val="24"/>
        </w:rPr>
        <w:sectPr>
          <w:footerReference r:id="rId8" w:type="default"/>
          <w:pgSz w:w="11907" w:h="16840"/>
          <w:pgMar w:top="1417" w:right="1417" w:bottom="1417" w:left="1417" w:header="283" w:footer="964" w:gutter="0"/>
          <w:pgNumType w:start="1"/>
          <w:cols w:space="720" w:num="1"/>
          <w:docGrid w:linePitch="312" w:charSpace="0"/>
        </w:sectPr>
      </w:pPr>
    </w:p>
    <w:p w14:paraId="11680485">
      <w:pPr>
        <w:pStyle w:val="2"/>
        <w:pageBreakBefore/>
        <w:spacing w:line="360" w:lineRule="auto"/>
        <w:jc w:val="center"/>
        <w:rPr>
          <w:rFonts w:hAnsi="宋体" w:cs="宋体"/>
          <w:b/>
          <w:sz w:val="36"/>
          <w:szCs w:val="30"/>
        </w:rPr>
      </w:pPr>
      <w:bookmarkStart w:id="302" w:name="_Toc23021"/>
      <w:bookmarkStart w:id="303" w:name="_Toc13445"/>
      <w:bookmarkStart w:id="304" w:name="_Toc102227313"/>
      <w:bookmarkStart w:id="305" w:name="_Toc8181"/>
      <w:bookmarkStart w:id="306" w:name="_Toc28149"/>
      <w:bookmarkStart w:id="307" w:name="_Toc76462337"/>
      <w:bookmarkStart w:id="308" w:name="_Toc4676"/>
      <w:bookmarkStart w:id="309" w:name="_Toc15472"/>
      <w:r>
        <w:rPr>
          <w:rFonts w:hint="eastAsia" w:hAnsi="宋体" w:cs="宋体"/>
          <w:b/>
          <w:sz w:val="36"/>
          <w:szCs w:val="30"/>
        </w:rPr>
        <w:t>第五篇  比选申请人须知</w:t>
      </w:r>
      <w:bookmarkEnd w:id="302"/>
      <w:bookmarkEnd w:id="303"/>
      <w:bookmarkEnd w:id="304"/>
      <w:bookmarkEnd w:id="305"/>
      <w:bookmarkEnd w:id="306"/>
      <w:bookmarkEnd w:id="307"/>
      <w:bookmarkEnd w:id="308"/>
      <w:bookmarkEnd w:id="309"/>
    </w:p>
    <w:p w14:paraId="31F7712D">
      <w:pPr>
        <w:outlineLvl w:val="1"/>
        <w:rPr>
          <w:rFonts w:ascii="宋体" w:hAnsi="宋体" w:cs="宋体"/>
          <w:b/>
          <w:bCs/>
          <w:szCs w:val="28"/>
        </w:rPr>
      </w:pPr>
      <w:bookmarkStart w:id="310" w:name="_Toc5742"/>
      <w:bookmarkStart w:id="311" w:name="_Toc21676"/>
      <w:bookmarkStart w:id="312" w:name="_Toc25943"/>
      <w:bookmarkStart w:id="313" w:name="_Toc27662"/>
      <w:bookmarkStart w:id="314" w:name="_Toc2664"/>
      <w:bookmarkStart w:id="315" w:name="_Toc9501"/>
      <w:bookmarkStart w:id="316" w:name="_Toc20949"/>
      <w:bookmarkStart w:id="317" w:name="_Toc18977"/>
      <w:bookmarkStart w:id="318" w:name="_Toc7448"/>
      <w:bookmarkStart w:id="319" w:name="_Toc342913389"/>
      <w:bookmarkStart w:id="320" w:name="_Toc6297"/>
      <w:bookmarkStart w:id="321" w:name="_Toc76462348"/>
      <w:bookmarkStart w:id="322" w:name="_Toc12789059"/>
      <w:bookmarkStart w:id="323" w:name="_Toc11641055"/>
      <w:r>
        <w:rPr>
          <w:rFonts w:hint="eastAsia" w:ascii="宋体" w:hAnsi="宋体" w:cs="宋体"/>
          <w:b/>
          <w:bCs/>
          <w:szCs w:val="28"/>
        </w:rPr>
        <w:t>一、比选费用</w:t>
      </w:r>
      <w:bookmarkEnd w:id="310"/>
      <w:bookmarkEnd w:id="311"/>
      <w:bookmarkEnd w:id="312"/>
      <w:bookmarkEnd w:id="313"/>
      <w:bookmarkEnd w:id="314"/>
      <w:bookmarkEnd w:id="315"/>
      <w:bookmarkEnd w:id="316"/>
      <w:bookmarkEnd w:id="317"/>
      <w:bookmarkEnd w:id="318"/>
      <w:bookmarkEnd w:id="319"/>
      <w:bookmarkEnd w:id="320"/>
    </w:p>
    <w:p w14:paraId="3A27F586">
      <w:pPr>
        <w:pStyle w:val="200"/>
        <w:ind w:firstLine="480" w:firstLineChars="200"/>
        <w:rPr>
          <w:rFonts w:hAnsi="宋体" w:cs="宋体"/>
          <w:sz w:val="24"/>
          <w:szCs w:val="24"/>
        </w:rPr>
      </w:pPr>
      <w:r>
        <w:rPr>
          <w:rFonts w:hint="eastAsia" w:hAnsi="宋体" w:cs="宋体"/>
          <w:sz w:val="24"/>
          <w:szCs w:val="24"/>
        </w:rPr>
        <w:t>1、参与比选的比选申请人应承担其编制比选申请文件与递交比选申请文件所涉及的一切费用，不论比选结果如何，比选人和比选代理机构在任何情况下无义务也无责任承担这些费用。</w:t>
      </w:r>
    </w:p>
    <w:p w14:paraId="2E7AEE23">
      <w:pPr>
        <w:pStyle w:val="200"/>
        <w:ind w:firstLine="480" w:firstLineChars="200"/>
        <w:rPr>
          <w:rFonts w:hAnsi="宋体" w:cs="宋体"/>
          <w:sz w:val="24"/>
          <w:szCs w:val="24"/>
          <w:highlight w:val="none"/>
        </w:rPr>
      </w:pPr>
      <w:r>
        <w:rPr>
          <w:rFonts w:hint="eastAsia" w:hAnsi="宋体" w:cs="宋体"/>
          <w:sz w:val="24"/>
          <w:szCs w:val="24"/>
          <w:highlight w:val="none"/>
        </w:rPr>
        <w:t>2、平台费说明</w:t>
      </w:r>
    </w:p>
    <w:p w14:paraId="33AE960A">
      <w:pPr>
        <w:pStyle w:val="200"/>
        <w:ind w:firstLine="480" w:firstLineChars="200"/>
        <w:rPr>
          <w:rFonts w:hint="default" w:hAnsi="宋体" w:eastAsia="宋体" w:cs="宋体"/>
          <w:sz w:val="24"/>
          <w:szCs w:val="24"/>
          <w:highlight w:val="none"/>
          <w:lang w:val="en-US" w:eastAsia="zh-CN"/>
        </w:rPr>
      </w:pPr>
      <w:r>
        <w:rPr>
          <w:rFonts w:hint="eastAsia" w:hAnsi="宋体" w:cs="宋体"/>
          <w:sz w:val="24"/>
          <w:szCs w:val="24"/>
          <w:highlight w:val="none"/>
          <w:lang w:val="en-US" w:eastAsia="zh-CN"/>
        </w:rPr>
        <w:t>本次比选可能产生行采家平台交易服务费，具体收费标准详见平台规则，各比选申请人自行考虑是否参加比选。</w:t>
      </w:r>
    </w:p>
    <w:p w14:paraId="6947E5DB">
      <w:pPr>
        <w:pStyle w:val="31"/>
        <w:rPr>
          <w:rFonts w:hAnsi="宋体" w:cs="宋体"/>
          <w:highlight w:val="none"/>
        </w:rPr>
      </w:pPr>
    </w:p>
    <w:p w14:paraId="17310E8B">
      <w:pPr>
        <w:outlineLvl w:val="1"/>
        <w:rPr>
          <w:rFonts w:ascii="宋体" w:hAnsi="宋体" w:cs="宋体"/>
          <w:b/>
          <w:bCs/>
          <w:szCs w:val="28"/>
          <w:highlight w:val="none"/>
        </w:rPr>
      </w:pPr>
      <w:bookmarkStart w:id="324" w:name="_Toc23352"/>
      <w:bookmarkStart w:id="325" w:name="_Toc23594"/>
      <w:bookmarkStart w:id="326" w:name="_Toc1486"/>
      <w:bookmarkStart w:id="327" w:name="_Toc8921"/>
      <w:bookmarkStart w:id="328" w:name="_Toc21564"/>
      <w:bookmarkStart w:id="329" w:name="_Toc1540"/>
      <w:bookmarkStart w:id="330" w:name="_Toc17912"/>
      <w:bookmarkStart w:id="331" w:name="_Toc20778"/>
      <w:bookmarkStart w:id="332" w:name="_Toc25077"/>
      <w:bookmarkStart w:id="333" w:name="_Toc7729"/>
      <w:bookmarkStart w:id="334" w:name="_Toc342913391"/>
      <w:r>
        <w:rPr>
          <w:rFonts w:hint="eastAsia" w:ascii="宋体" w:hAnsi="宋体" w:cs="宋体"/>
          <w:b/>
          <w:bCs/>
          <w:szCs w:val="28"/>
          <w:highlight w:val="none"/>
        </w:rPr>
        <w:t>二、竞争性比选文件</w:t>
      </w:r>
      <w:bookmarkEnd w:id="324"/>
      <w:bookmarkEnd w:id="325"/>
      <w:bookmarkEnd w:id="326"/>
      <w:bookmarkEnd w:id="327"/>
      <w:bookmarkEnd w:id="328"/>
      <w:bookmarkEnd w:id="329"/>
      <w:bookmarkEnd w:id="330"/>
      <w:bookmarkEnd w:id="331"/>
      <w:bookmarkEnd w:id="332"/>
      <w:bookmarkEnd w:id="333"/>
      <w:bookmarkEnd w:id="334"/>
    </w:p>
    <w:p w14:paraId="3C9EFAF0">
      <w:pPr>
        <w:snapToGrid w:val="0"/>
        <w:ind w:firstLine="480" w:firstLineChars="200"/>
        <w:rPr>
          <w:rFonts w:ascii="宋体" w:hAnsi="宋体" w:cs="宋体"/>
          <w:sz w:val="24"/>
          <w:szCs w:val="24"/>
        </w:rPr>
      </w:pPr>
      <w:r>
        <w:rPr>
          <w:rFonts w:hint="eastAsia" w:ascii="宋体" w:hAnsi="宋体" w:cs="宋体"/>
          <w:sz w:val="24"/>
          <w:szCs w:val="24"/>
        </w:rPr>
        <w:t>（一）竞争性比选文件由比选邀请书、项目服务要求、项目商务需求、比选程序及方法、评审标准、无效比选申请和比选终止、比选申请人须知</w:t>
      </w:r>
      <w:r>
        <w:rPr>
          <w:rFonts w:hint="eastAsia" w:ascii="宋体" w:hAnsi="宋体" w:cs="宋体"/>
          <w:b/>
          <w:sz w:val="24"/>
          <w:szCs w:val="24"/>
        </w:rPr>
        <w:t>、</w:t>
      </w:r>
      <w:r>
        <w:rPr>
          <w:rFonts w:hint="eastAsia" w:ascii="宋体" w:hAnsi="宋体" w:cs="宋体"/>
          <w:sz w:val="24"/>
          <w:szCs w:val="24"/>
        </w:rPr>
        <w:t>比选申请文件编制要求</w:t>
      </w:r>
      <w:r>
        <w:rPr>
          <w:rFonts w:hint="eastAsia" w:ascii="宋体" w:hAnsi="宋体" w:cs="宋体"/>
          <w:sz w:val="24"/>
          <w:szCs w:val="24"/>
          <w:lang w:val="en-US" w:eastAsia="zh-CN"/>
        </w:rPr>
        <w:t>六</w:t>
      </w:r>
      <w:r>
        <w:rPr>
          <w:rFonts w:hint="eastAsia" w:ascii="宋体" w:hAnsi="宋体" w:cs="宋体"/>
          <w:sz w:val="24"/>
          <w:szCs w:val="24"/>
        </w:rPr>
        <w:t>部分组成。</w:t>
      </w:r>
    </w:p>
    <w:p w14:paraId="1FA4FC45">
      <w:pPr>
        <w:snapToGrid w:val="0"/>
        <w:ind w:firstLine="480" w:firstLineChars="200"/>
        <w:rPr>
          <w:rFonts w:ascii="宋体" w:hAnsi="宋体" w:cs="宋体"/>
          <w:sz w:val="24"/>
          <w:szCs w:val="24"/>
        </w:rPr>
      </w:pPr>
      <w:r>
        <w:rPr>
          <w:rFonts w:hint="eastAsia" w:ascii="宋体" w:hAnsi="宋体" w:cs="宋体"/>
          <w:sz w:val="24"/>
          <w:szCs w:val="24"/>
        </w:rPr>
        <w:t>（二）比选人（或比选代理机构）所作的一切有效的书面通知、修改及补充，都是竞争性比选文件不可分割的部分。</w:t>
      </w:r>
    </w:p>
    <w:p w14:paraId="6AE22EFF">
      <w:pPr>
        <w:ind w:firstLine="480" w:firstLineChars="200"/>
        <w:rPr>
          <w:rFonts w:ascii="宋体" w:hAnsi="宋体" w:cs="宋体"/>
          <w:sz w:val="24"/>
          <w:szCs w:val="24"/>
        </w:rPr>
      </w:pPr>
      <w:bookmarkStart w:id="335" w:name="_Toc318166429"/>
      <w:bookmarkStart w:id="336" w:name="_Toc318159160"/>
      <w:bookmarkStart w:id="337" w:name="_Toc318159780"/>
      <w:bookmarkStart w:id="338" w:name="_Toc318159349"/>
      <w:r>
        <w:rPr>
          <w:rFonts w:hint="eastAsia" w:ascii="宋体" w:hAnsi="宋体" w:cs="宋体"/>
          <w:sz w:val="24"/>
          <w:szCs w:val="24"/>
        </w:rPr>
        <w:t>（三）评审的依据为竞争性比选文件和比选申请文件（含有效的书面承诺）。比选小组判断比选申请文件对竞争性比选文件的响应，仅基于比选申请文件本身而不靠外部证据。</w:t>
      </w:r>
    </w:p>
    <w:bookmarkEnd w:id="335"/>
    <w:bookmarkEnd w:id="336"/>
    <w:bookmarkEnd w:id="337"/>
    <w:bookmarkEnd w:id="338"/>
    <w:p w14:paraId="156BE738">
      <w:pPr>
        <w:outlineLvl w:val="1"/>
        <w:rPr>
          <w:rFonts w:ascii="宋体" w:hAnsi="宋体" w:cs="宋体"/>
          <w:b/>
          <w:bCs/>
          <w:szCs w:val="28"/>
        </w:rPr>
      </w:pPr>
      <w:bookmarkStart w:id="339" w:name="_Toc30190"/>
      <w:bookmarkStart w:id="340" w:name="_Toc102227318"/>
      <w:bookmarkStart w:id="341" w:name="_Toc11875"/>
      <w:bookmarkStart w:id="342" w:name="_Toc27402"/>
      <w:bookmarkStart w:id="343" w:name="_Toc179714297"/>
      <w:bookmarkStart w:id="344" w:name="_Toc17976"/>
      <w:bookmarkStart w:id="345" w:name="_Toc27721"/>
      <w:bookmarkStart w:id="346" w:name="_Toc342913392"/>
      <w:bookmarkStart w:id="347" w:name="_Toc29223"/>
      <w:bookmarkStart w:id="348" w:name="_Toc29673"/>
      <w:bookmarkStart w:id="349" w:name="_Toc21729"/>
      <w:bookmarkStart w:id="350" w:name="_Toc8166"/>
      <w:bookmarkStart w:id="351" w:name="_Toc16186"/>
      <w:r>
        <w:rPr>
          <w:rFonts w:hint="eastAsia" w:ascii="宋体" w:hAnsi="宋体" w:cs="宋体"/>
          <w:b/>
          <w:bCs/>
          <w:szCs w:val="28"/>
        </w:rPr>
        <w:t>三、比选要求</w:t>
      </w:r>
      <w:bookmarkEnd w:id="339"/>
      <w:bookmarkEnd w:id="340"/>
      <w:bookmarkEnd w:id="341"/>
      <w:bookmarkEnd w:id="342"/>
      <w:bookmarkEnd w:id="343"/>
      <w:bookmarkEnd w:id="344"/>
      <w:bookmarkEnd w:id="345"/>
      <w:bookmarkEnd w:id="346"/>
      <w:bookmarkEnd w:id="347"/>
      <w:bookmarkEnd w:id="348"/>
      <w:bookmarkEnd w:id="349"/>
      <w:bookmarkEnd w:id="350"/>
      <w:bookmarkEnd w:id="351"/>
    </w:p>
    <w:p w14:paraId="08811FAB">
      <w:pPr>
        <w:ind w:firstLine="480" w:firstLineChars="200"/>
        <w:rPr>
          <w:rFonts w:ascii="宋体" w:hAnsi="宋体" w:cs="宋体"/>
          <w:sz w:val="24"/>
          <w:szCs w:val="24"/>
        </w:rPr>
      </w:pPr>
      <w:r>
        <w:rPr>
          <w:rFonts w:hint="eastAsia" w:ascii="宋体" w:hAnsi="宋体" w:cs="宋体"/>
          <w:sz w:val="24"/>
          <w:szCs w:val="24"/>
        </w:rPr>
        <w:t>（一）比选申请文件</w:t>
      </w:r>
    </w:p>
    <w:p w14:paraId="2506B766">
      <w:pPr>
        <w:ind w:firstLine="480" w:firstLineChars="200"/>
        <w:rPr>
          <w:rFonts w:ascii="宋体" w:hAnsi="宋体" w:cs="宋体"/>
          <w:sz w:val="24"/>
          <w:szCs w:val="24"/>
        </w:rPr>
      </w:pPr>
      <w:r>
        <w:rPr>
          <w:rFonts w:hint="eastAsia" w:ascii="宋体" w:hAnsi="宋体" w:cs="宋体"/>
          <w:sz w:val="24"/>
          <w:szCs w:val="24"/>
        </w:rPr>
        <w:t>1.比选申请人应当按照竞争性比选文件的要求编制比选申请文件，并对竞争性比选文件提出的要求和条件作出实质性响应，比选申请文件原则上采用软面订本，同时应编制完整的页码、目录。</w:t>
      </w:r>
    </w:p>
    <w:p w14:paraId="1A160DED">
      <w:pPr>
        <w:ind w:firstLine="480" w:firstLineChars="200"/>
        <w:rPr>
          <w:rFonts w:ascii="宋体" w:hAnsi="宋体" w:cs="宋体"/>
          <w:sz w:val="24"/>
          <w:szCs w:val="24"/>
        </w:rPr>
      </w:pPr>
      <w:r>
        <w:rPr>
          <w:rFonts w:hint="eastAsia" w:ascii="宋体" w:hAnsi="宋体" w:cs="宋体"/>
          <w:sz w:val="24"/>
          <w:szCs w:val="24"/>
        </w:rPr>
        <w:t>2.比选申请文件组成</w:t>
      </w:r>
    </w:p>
    <w:p w14:paraId="50BDD787">
      <w:pPr>
        <w:ind w:firstLine="480" w:firstLineChars="200"/>
        <w:rPr>
          <w:rFonts w:ascii="宋体" w:hAnsi="宋体" w:cs="宋体"/>
          <w:sz w:val="24"/>
          <w:szCs w:val="24"/>
        </w:rPr>
      </w:pPr>
      <w:r>
        <w:rPr>
          <w:rFonts w:hint="eastAsia" w:ascii="宋体" w:hAnsi="宋体" w:cs="宋体"/>
          <w:sz w:val="24"/>
          <w:szCs w:val="24"/>
        </w:rPr>
        <w:t>比选申请文件由</w:t>
      </w:r>
      <w:r>
        <w:rPr>
          <w:rFonts w:hint="eastAsia" w:ascii="宋体" w:hAnsi="宋体" w:cs="宋体"/>
          <w:sz w:val="24"/>
          <w:szCs w:val="24"/>
          <w:lang w:eastAsia="zh-CN"/>
        </w:rPr>
        <w:t>第六篇</w:t>
      </w:r>
      <w:r>
        <w:rPr>
          <w:rFonts w:hint="eastAsia" w:ascii="宋体" w:hAnsi="宋体" w:cs="宋体"/>
          <w:sz w:val="24"/>
          <w:szCs w:val="24"/>
        </w:rPr>
        <w:t>“比选申请文件编制要求”规定的部分和比选申请人所作的一切有效补充、修改和承诺等文件组成，比选申请人应按照</w:t>
      </w:r>
      <w:r>
        <w:rPr>
          <w:rFonts w:hint="eastAsia" w:ascii="宋体" w:hAnsi="宋体" w:cs="宋体"/>
          <w:sz w:val="24"/>
          <w:szCs w:val="24"/>
          <w:lang w:eastAsia="zh-CN"/>
        </w:rPr>
        <w:t>第六篇</w:t>
      </w:r>
      <w:r>
        <w:rPr>
          <w:rFonts w:hint="eastAsia" w:ascii="宋体" w:hAnsi="宋体" w:cs="宋体"/>
          <w:sz w:val="24"/>
          <w:szCs w:val="24"/>
        </w:rPr>
        <w:t>“比选申请文件编制要求”规定的目录顺序组织编写和装订，也可在基本格式基础上对表格进行扩展，未规定格式的由比选申请人自定格式。</w:t>
      </w:r>
    </w:p>
    <w:p w14:paraId="23865797">
      <w:pPr>
        <w:ind w:firstLine="480" w:firstLineChars="200"/>
        <w:rPr>
          <w:rFonts w:ascii="宋体" w:hAnsi="宋体" w:cs="宋体"/>
          <w:sz w:val="24"/>
          <w:szCs w:val="24"/>
        </w:rPr>
      </w:pPr>
      <w:r>
        <w:rPr>
          <w:rFonts w:hint="eastAsia" w:ascii="宋体" w:hAnsi="宋体" w:cs="宋体"/>
          <w:sz w:val="24"/>
          <w:szCs w:val="24"/>
        </w:rPr>
        <w:t>（二）联合体</w:t>
      </w:r>
    </w:p>
    <w:p w14:paraId="1FC8A8C2">
      <w:pPr>
        <w:ind w:firstLine="480" w:firstLineChars="200"/>
        <w:rPr>
          <w:rFonts w:ascii="宋体" w:hAnsi="宋体" w:cs="宋体"/>
          <w:sz w:val="24"/>
          <w:szCs w:val="24"/>
        </w:rPr>
      </w:pPr>
      <w:r>
        <w:rPr>
          <w:rFonts w:hint="eastAsia" w:ascii="宋体" w:hAnsi="宋体" w:cs="宋体"/>
          <w:sz w:val="24"/>
          <w:szCs w:val="24"/>
        </w:rPr>
        <w:t>本项目不接受联合体参与比选。</w:t>
      </w:r>
    </w:p>
    <w:p w14:paraId="237EC56E">
      <w:pPr>
        <w:numPr>
          <w:ilvl w:val="0"/>
          <w:numId w:val="16"/>
        </w:numPr>
        <w:ind w:firstLine="480" w:firstLineChars="200"/>
        <w:rPr>
          <w:rFonts w:ascii="宋体" w:hAnsi="宋体" w:cs="宋体"/>
          <w:sz w:val="24"/>
          <w:szCs w:val="24"/>
        </w:rPr>
      </w:pPr>
      <w:r>
        <w:rPr>
          <w:rFonts w:hint="eastAsia" w:ascii="宋体" w:hAnsi="宋体" w:cs="宋体"/>
          <w:sz w:val="24"/>
          <w:szCs w:val="24"/>
        </w:rPr>
        <w:t>比选有效期：比选申请文件及有关承诺文件有效期为提交比选申请文件截止时间起90天。</w:t>
      </w:r>
    </w:p>
    <w:p w14:paraId="2E227A20">
      <w:pPr>
        <w:ind w:firstLine="480" w:firstLineChars="200"/>
        <w:rPr>
          <w:rFonts w:ascii="宋体" w:hAnsi="宋体" w:cs="宋体"/>
          <w:sz w:val="24"/>
          <w:szCs w:val="24"/>
        </w:rPr>
      </w:pPr>
      <w:r>
        <w:rPr>
          <w:rFonts w:hint="eastAsia" w:ascii="宋体" w:hAnsi="宋体" w:cs="宋体"/>
          <w:sz w:val="24"/>
          <w:szCs w:val="24"/>
        </w:rPr>
        <w:t>（四）修正错误</w:t>
      </w:r>
    </w:p>
    <w:p w14:paraId="5C9C1C62">
      <w:pPr>
        <w:ind w:firstLine="480" w:firstLineChars="200"/>
        <w:rPr>
          <w:rFonts w:ascii="宋体" w:hAnsi="宋体" w:cs="宋体"/>
          <w:sz w:val="24"/>
          <w:szCs w:val="24"/>
        </w:rPr>
      </w:pPr>
      <w:r>
        <w:rPr>
          <w:rFonts w:hint="eastAsia" w:ascii="宋体" w:hAnsi="宋体" w:cs="宋体"/>
          <w:sz w:val="24"/>
          <w:szCs w:val="24"/>
        </w:rPr>
        <w:t>1.若比选申请人所递交的比选申请文件或报价中的价格出现大写和小写不一致的错误，以大写修正为准。</w:t>
      </w:r>
    </w:p>
    <w:p w14:paraId="3FD11278">
      <w:pPr>
        <w:ind w:firstLine="480" w:firstLineChars="200"/>
        <w:rPr>
          <w:rFonts w:ascii="宋体" w:hAnsi="宋体" w:cs="宋体"/>
          <w:sz w:val="24"/>
          <w:szCs w:val="24"/>
        </w:rPr>
      </w:pPr>
      <w:r>
        <w:rPr>
          <w:rFonts w:hint="eastAsia" w:ascii="宋体" w:hAnsi="宋体" w:cs="宋体"/>
          <w:sz w:val="24"/>
          <w:szCs w:val="24"/>
        </w:rPr>
        <w:t>2.比选小组按上述修正错误的原则及方法修正比选申请人的报价，比选申请人同意并签字确认后，修正后的报价对比选申请人具有约束作用。如果比选申请人不接受修正后的价格，将失去成为中选人的资格。</w:t>
      </w:r>
    </w:p>
    <w:p w14:paraId="6B9D36FE">
      <w:pPr>
        <w:snapToGrid w:val="0"/>
        <w:ind w:firstLine="480" w:firstLineChars="200"/>
        <w:rPr>
          <w:rFonts w:ascii="宋体" w:hAnsi="宋体" w:cs="宋体"/>
          <w:sz w:val="24"/>
          <w:szCs w:val="24"/>
        </w:rPr>
      </w:pPr>
      <w:r>
        <w:rPr>
          <w:rFonts w:hint="eastAsia" w:ascii="宋体" w:hAnsi="宋体" w:cs="宋体"/>
          <w:sz w:val="24"/>
          <w:szCs w:val="24"/>
        </w:rPr>
        <w:t>（五）提交</w:t>
      </w:r>
      <w:r>
        <w:rPr>
          <w:rFonts w:hint="eastAsia" w:ascii="宋体" w:hAnsi="宋体" w:cs="宋体"/>
          <w:sz w:val="24"/>
          <w:szCs w:val="24"/>
          <w:lang w:val="en-US" w:eastAsia="zh-CN"/>
        </w:rPr>
        <w:t>纸质</w:t>
      </w:r>
      <w:r>
        <w:rPr>
          <w:rFonts w:hint="eastAsia" w:ascii="宋体" w:hAnsi="宋体" w:cs="宋体"/>
          <w:sz w:val="24"/>
          <w:szCs w:val="24"/>
        </w:rPr>
        <w:t>比选申请文件的份数和签署</w:t>
      </w:r>
    </w:p>
    <w:p w14:paraId="4704BCAB">
      <w:pPr>
        <w:snapToGrid w:val="0"/>
        <w:ind w:firstLine="480" w:firstLineChars="200"/>
        <w:rPr>
          <w:rFonts w:ascii="宋体" w:hAnsi="宋体" w:cs="宋体"/>
          <w:sz w:val="24"/>
          <w:szCs w:val="24"/>
        </w:rPr>
      </w:pPr>
      <w:r>
        <w:rPr>
          <w:rFonts w:hint="eastAsia" w:ascii="宋体" w:hAnsi="宋体" w:cs="宋体"/>
          <w:sz w:val="24"/>
          <w:szCs w:val="24"/>
        </w:rPr>
        <w:t>1.纸质比选申请文件一式</w:t>
      </w:r>
      <w:r>
        <w:rPr>
          <w:rFonts w:hint="eastAsia" w:ascii="宋体" w:hAnsi="宋体" w:cs="宋体"/>
          <w:sz w:val="24"/>
          <w:szCs w:val="24"/>
          <w:lang w:val="en-US" w:eastAsia="zh-CN"/>
        </w:rPr>
        <w:t>三</w:t>
      </w:r>
      <w:r>
        <w:rPr>
          <w:rFonts w:hint="eastAsia" w:ascii="宋体" w:hAnsi="宋体" w:cs="宋体"/>
          <w:sz w:val="24"/>
          <w:szCs w:val="24"/>
        </w:rPr>
        <w:t>份，其中正本一份，副本一份</w:t>
      </w:r>
      <w:r>
        <w:rPr>
          <w:rFonts w:hint="eastAsia" w:ascii="宋体" w:hAnsi="宋体" w:cs="宋体"/>
          <w:sz w:val="24"/>
          <w:szCs w:val="24"/>
          <w:lang w:eastAsia="zh-CN"/>
        </w:rPr>
        <w:t>，</w:t>
      </w:r>
      <w:r>
        <w:rPr>
          <w:rFonts w:hint="eastAsia" w:ascii="宋体" w:hAnsi="宋体" w:cs="宋体"/>
          <w:sz w:val="24"/>
          <w:szCs w:val="24"/>
        </w:rPr>
        <w:t>电子</w:t>
      </w:r>
      <w:r>
        <w:rPr>
          <w:rFonts w:hint="eastAsia" w:ascii="宋体" w:hAnsi="宋体" w:cs="宋体"/>
          <w:sz w:val="24"/>
          <w:szCs w:val="24"/>
          <w:lang w:val="en-US" w:eastAsia="zh-CN"/>
        </w:rPr>
        <w:t>文档（U盘或光盘）一份</w:t>
      </w:r>
      <w:r>
        <w:rPr>
          <w:rFonts w:hint="eastAsia" w:ascii="宋体" w:hAnsi="宋体" w:cs="宋体"/>
          <w:sz w:val="24"/>
          <w:szCs w:val="24"/>
        </w:rPr>
        <w:t>；如出现不一致情况以正本为准。</w:t>
      </w:r>
    </w:p>
    <w:p w14:paraId="0C7F36CB">
      <w:pPr>
        <w:snapToGrid w:val="0"/>
        <w:ind w:firstLine="480" w:firstLineChars="200"/>
        <w:rPr>
          <w:rFonts w:ascii="宋体" w:hAnsi="宋体" w:cs="宋体"/>
          <w:sz w:val="24"/>
          <w:szCs w:val="24"/>
        </w:rPr>
      </w:pPr>
      <w:r>
        <w:rPr>
          <w:rFonts w:hint="eastAsia" w:ascii="宋体" w:hAnsi="宋体" w:cs="宋体"/>
          <w:sz w:val="24"/>
          <w:szCs w:val="24"/>
        </w:rPr>
        <w:t>2.</w:t>
      </w:r>
      <w:r>
        <w:rPr>
          <w:rFonts w:hint="eastAsia" w:ascii="宋体" w:hAnsi="宋体" w:cs="宋体"/>
          <w:sz w:val="24"/>
        </w:rPr>
        <w:t>在纸质比选申请文件正本中，竞争性比选文件</w:t>
      </w:r>
      <w:r>
        <w:rPr>
          <w:rFonts w:hint="eastAsia" w:ascii="宋体" w:hAnsi="宋体" w:cs="宋体"/>
          <w:sz w:val="24"/>
          <w:lang w:eastAsia="zh-CN"/>
        </w:rPr>
        <w:t>第六篇</w:t>
      </w:r>
      <w:r>
        <w:rPr>
          <w:rFonts w:hint="eastAsia" w:ascii="宋体" w:hAnsi="宋体" w:cs="宋体"/>
          <w:sz w:val="24"/>
        </w:rPr>
        <w:t>比选申请文件编制要求中规定签字、盖章的地方必须按其规定签字、盖章。</w:t>
      </w:r>
    </w:p>
    <w:p w14:paraId="5DA0F6B7">
      <w:pPr>
        <w:snapToGrid w:val="0"/>
        <w:ind w:firstLine="480" w:firstLineChars="200"/>
        <w:rPr>
          <w:rFonts w:ascii="宋体" w:hAnsi="宋体" w:cs="宋体"/>
          <w:sz w:val="24"/>
          <w:szCs w:val="24"/>
        </w:rPr>
      </w:pPr>
      <w:r>
        <w:rPr>
          <w:rFonts w:hint="eastAsia" w:ascii="宋体" w:hAnsi="宋体" w:cs="宋体"/>
          <w:sz w:val="24"/>
          <w:szCs w:val="24"/>
        </w:rPr>
        <w:t>（六）比选申请文件的递交</w:t>
      </w:r>
    </w:p>
    <w:p w14:paraId="4D614658">
      <w:pPr>
        <w:pStyle w:val="31"/>
        <w:ind w:firstLine="480" w:firstLineChars="200"/>
        <w:rPr>
          <w:rFonts w:hAnsi="宋体" w:cs="宋体"/>
          <w:sz w:val="24"/>
        </w:rPr>
      </w:pPr>
      <w:r>
        <w:rPr>
          <w:rFonts w:hint="eastAsia" w:hAnsi="宋体" w:cs="宋体"/>
          <w:sz w:val="24"/>
        </w:rPr>
        <w:t>1.比选申请文件的密封与标记</w:t>
      </w:r>
    </w:p>
    <w:p w14:paraId="0FCA4578">
      <w:pPr>
        <w:pStyle w:val="31"/>
        <w:ind w:firstLine="480" w:firstLineChars="200"/>
        <w:rPr>
          <w:rFonts w:hAnsi="宋体" w:cs="宋体"/>
          <w:sz w:val="24"/>
        </w:rPr>
      </w:pPr>
      <w:r>
        <w:rPr>
          <w:rFonts w:hint="eastAsia" w:hAnsi="宋体" w:cs="宋体"/>
          <w:sz w:val="24"/>
        </w:rPr>
        <w:t>1.1比选申请文件的正本、副本均应密封送达比选地点，应在封套上注明项目名称、比选申请人名称。</w:t>
      </w:r>
    </w:p>
    <w:p w14:paraId="1605FD51">
      <w:pPr>
        <w:pStyle w:val="31"/>
        <w:ind w:firstLine="480" w:firstLineChars="200"/>
        <w:rPr>
          <w:rFonts w:hAnsi="宋体" w:cs="宋体"/>
          <w:sz w:val="24"/>
        </w:rPr>
      </w:pPr>
      <w:r>
        <w:rPr>
          <w:rFonts w:hint="eastAsia" w:hAnsi="宋体" w:cs="宋体"/>
          <w:sz w:val="24"/>
        </w:rPr>
        <w:t>1.2封套的封口处应加盖比选申请人公章或由法定代表人授权代表签字。</w:t>
      </w:r>
    </w:p>
    <w:p w14:paraId="1995F8BE">
      <w:pPr>
        <w:snapToGrid w:val="0"/>
        <w:ind w:firstLine="480" w:firstLineChars="200"/>
        <w:rPr>
          <w:rFonts w:ascii="宋体" w:hAnsi="宋体" w:cs="宋体"/>
          <w:sz w:val="24"/>
          <w:szCs w:val="24"/>
        </w:rPr>
      </w:pPr>
      <w:r>
        <w:rPr>
          <w:rFonts w:hint="eastAsia" w:ascii="宋体" w:hAnsi="宋体" w:cs="宋体"/>
          <w:sz w:val="24"/>
        </w:rPr>
        <w:t>2.如果未按上述规定进行密封和标记，比选代理机构有权拒绝接收其比选申请文件。</w:t>
      </w:r>
    </w:p>
    <w:p w14:paraId="3806D3D8">
      <w:pPr>
        <w:snapToGrid w:val="0"/>
        <w:ind w:firstLine="480" w:firstLineChars="200"/>
        <w:rPr>
          <w:rFonts w:ascii="宋体" w:hAnsi="宋体" w:cs="宋体"/>
          <w:sz w:val="24"/>
          <w:szCs w:val="24"/>
        </w:rPr>
      </w:pPr>
      <w:r>
        <w:rPr>
          <w:rFonts w:hint="eastAsia" w:ascii="宋体" w:hAnsi="宋体" w:cs="宋体"/>
          <w:sz w:val="24"/>
          <w:szCs w:val="24"/>
        </w:rPr>
        <w:t>（七）比选申请人参与人员</w:t>
      </w:r>
    </w:p>
    <w:p w14:paraId="00530620">
      <w:pPr>
        <w:snapToGrid w:val="0"/>
        <w:ind w:firstLine="480" w:firstLineChars="200"/>
        <w:rPr>
          <w:rFonts w:ascii="宋体" w:hAnsi="宋体" w:cs="宋体"/>
          <w:sz w:val="24"/>
          <w:szCs w:val="24"/>
        </w:rPr>
      </w:pPr>
      <w:r>
        <w:rPr>
          <w:rFonts w:hint="eastAsia" w:ascii="宋体" w:hAnsi="宋体" w:cs="宋体"/>
          <w:sz w:val="24"/>
          <w:szCs w:val="24"/>
        </w:rPr>
        <w:t>各个比选申请人应当派1-2名代表参与比选，至少1人应为法定代表人或具有法定代表人授权委托书的授权代表。</w:t>
      </w:r>
    </w:p>
    <w:p w14:paraId="3D9FF4EE">
      <w:pPr>
        <w:outlineLvl w:val="1"/>
        <w:rPr>
          <w:rFonts w:ascii="宋体" w:hAnsi="宋体" w:cs="宋体"/>
          <w:b/>
          <w:bCs/>
          <w:szCs w:val="28"/>
        </w:rPr>
      </w:pPr>
      <w:bookmarkStart w:id="352" w:name="_Toc25607"/>
      <w:bookmarkStart w:id="353" w:name="_Toc11547"/>
      <w:bookmarkStart w:id="354" w:name="_Toc650"/>
      <w:bookmarkStart w:id="355" w:name="_Toc32224"/>
      <w:bookmarkStart w:id="356" w:name="_Toc8546"/>
      <w:bookmarkStart w:id="357" w:name="_Toc20702"/>
      <w:bookmarkStart w:id="358" w:name="_Toc30159"/>
      <w:bookmarkStart w:id="359" w:name="_Toc3391"/>
      <w:bookmarkStart w:id="360" w:name="_Toc9402"/>
      <w:bookmarkStart w:id="361" w:name="_Toc8979"/>
      <w:bookmarkStart w:id="362" w:name="_Toc11873"/>
      <w:bookmarkStart w:id="363" w:name="_Toc16392"/>
      <w:bookmarkStart w:id="364" w:name="_Toc7672"/>
      <w:bookmarkStart w:id="365" w:name="_Toc24208"/>
      <w:r>
        <w:rPr>
          <w:rFonts w:hint="eastAsia" w:ascii="宋体" w:hAnsi="宋体" w:cs="宋体"/>
          <w:b/>
          <w:bCs/>
          <w:szCs w:val="28"/>
        </w:rPr>
        <w:t>四、</w:t>
      </w:r>
      <w:bookmarkEnd w:id="352"/>
      <w:bookmarkEnd w:id="353"/>
      <w:bookmarkEnd w:id="354"/>
      <w:bookmarkEnd w:id="355"/>
      <w:r>
        <w:rPr>
          <w:rFonts w:hint="eastAsia" w:ascii="宋体" w:hAnsi="宋体" w:cs="宋体"/>
          <w:b/>
          <w:bCs/>
          <w:szCs w:val="28"/>
        </w:rPr>
        <w:t>比选程序</w:t>
      </w:r>
      <w:bookmarkEnd w:id="356"/>
      <w:bookmarkEnd w:id="357"/>
      <w:bookmarkEnd w:id="358"/>
      <w:bookmarkEnd w:id="359"/>
      <w:bookmarkEnd w:id="360"/>
      <w:bookmarkEnd w:id="361"/>
      <w:bookmarkEnd w:id="362"/>
      <w:bookmarkEnd w:id="363"/>
    </w:p>
    <w:p w14:paraId="1265425D">
      <w:pPr>
        <w:ind w:firstLine="480" w:firstLineChars="200"/>
        <w:rPr>
          <w:rFonts w:ascii="宋体" w:hAnsi="宋体" w:cs="宋体"/>
          <w:sz w:val="24"/>
        </w:rPr>
      </w:pPr>
      <w:r>
        <w:rPr>
          <w:rFonts w:hint="eastAsia" w:ascii="宋体" w:hAnsi="宋体" w:cs="宋体"/>
          <w:sz w:val="24"/>
        </w:rPr>
        <w:t>（一）比选应当在比选文件中“竞争性比选公告”确定的时间和地点公开进行。</w:t>
      </w:r>
    </w:p>
    <w:p w14:paraId="5051BFDB">
      <w:pPr>
        <w:ind w:firstLine="480" w:firstLineChars="200"/>
        <w:rPr>
          <w:rFonts w:ascii="宋体" w:hAnsi="宋体" w:cs="宋体"/>
          <w:sz w:val="24"/>
        </w:rPr>
      </w:pPr>
      <w:r>
        <w:rPr>
          <w:rFonts w:hint="eastAsia" w:ascii="宋体" w:hAnsi="宋体" w:cs="宋体"/>
          <w:sz w:val="24"/>
        </w:rPr>
        <w:t>（二）比选由比选人或比选代理机构主持，邀请比选申请人和比选人代表参加,有关部门可视情况派员现场监督。</w:t>
      </w:r>
    </w:p>
    <w:p w14:paraId="055F0EBF">
      <w:pPr>
        <w:ind w:firstLine="480" w:firstLineChars="200"/>
        <w:rPr>
          <w:rFonts w:ascii="宋体" w:hAnsi="宋体" w:cs="宋体"/>
          <w:sz w:val="24"/>
        </w:rPr>
      </w:pPr>
      <w:r>
        <w:rPr>
          <w:rFonts w:hint="eastAsia" w:ascii="宋体" w:hAnsi="宋体" w:cs="宋体"/>
          <w:sz w:val="24"/>
        </w:rPr>
        <w:t>（三）主持人按下列程序进行比选会：</w:t>
      </w:r>
    </w:p>
    <w:p w14:paraId="5FD3E87E">
      <w:pPr>
        <w:ind w:firstLine="480" w:firstLineChars="200"/>
        <w:rPr>
          <w:rFonts w:ascii="宋体" w:hAnsi="宋体" w:cs="宋体"/>
          <w:sz w:val="24"/>
        </w:rPr>
      </w:pPr>
      <w:r>
        <w:rPr>
          <w:rFonts w:hint="eastAsia" w:ascii="宋体" w:hAnsi="宋体" w:cs="宋体"/>
          <w:sz w:val="24"/>
        </w:rPr>
        <w:t>1. 宣布比选纪律。</w:t>
      </w:r>
    </w:p>
    <w:p w14:paraId="100D2A3B">
      <w:pPr>
        <w:ind w:firstLine="480" w:firstLineChars="200"/>
        <w:rPr>
          <w:rFonts w:ascii="宋体" w:hAnsi="宋体" w:cs="宋体"/>
          <w:sz w:val="24"/>
        </w:rPr>
      </w:pPr>
      <w:r>
        <w:rPr>
          <w:rFonts w:hint="eastAsia" w:ascii="宋体" w:hAnsi="宋体" w:cs="宋体"/>
          <w:sz w:val="24"/>
        </w:rPr>
        <w:t>2. 公布在比选截止时间前递交比选申请文件的比选申请人名称。</w:t>
      </w:r>
    </w:p>
    <w:p w14:paraId="1C7A10EE">
      <w:pPr>
        <w:ind w:firstLine="480" w:firstLineChars="200"/>
        <w:rPr>
          <w:rFonts w:ascii="宋体" w:hAnsi="宋体" w:cs="宋体"/>
          <w:sz w:val="24"/>
        </w:rPr>
      </w:pPr>
      <w:r>
        <w:rPr>
          <w:rFonts w:hint="eastAsia" w:ascii="宋体" w:hAnsi="宋体" w:cs="宋体"/>
          <w:sz w:val="24"/>
        </w:rPr>
        <w:t>3.核验参加比选会议的比选申请人的法定代表人或委托代理人本人身份证（原件），核验委托代理人的授权委托书（原件），以确认其身份合法有效；若经核实委托代理人提供资料与实际不符的，由比选小组作无效比选申请处理。</w:t>
      </w:r>
    </w:p>
    <w:p w14:paraId="29227C82">
      <w:pPr>
        <w:ind w:firstLine="480" w:firstLineChars="200"/>
        <w:rPr>
          <w:rFonts w:ascii="宋体" w:hAnsi="宋体" w:cs="宋体"/>
          <w:sz w:val="24"/>
        </w:rPr>
      </w:pPr>
      <w:r>
        <w:rPr>
          <w:rFonts w:hint="eastAsia" w:ascii="宋体" w:hAnsi="宋体" w:cs="宋体"/>
          <w:sz w:val="24"/>
        </w:rPr>
        <w:t>4. 比选申请文件的密封检查：比选申请人可对自己的比选申请文件封装情况进行检查，以确认其比选申请文件密封完好。</w:t>
      </w:r>
    </w:p>
    <w:p w14:paraId="767810F7">
      <w:pPr>
        <w:ind w:firstLine="480" w:firstLineChars="200"/>
        <w:rPr>
          <w:rFonts w:ascii="宋体" w:hAnsi="宋体" w:cs="宋体"/>
          <w:sz w:val="24"/>
        </w:rPr>
      </w:pPr>
      <w:r>
        <w:rPr>
          <w:rFonts w:hint="eastAsia" w:ascii="宋体" w:hAnsi="宋体" w:cs="宋体"/>
          <w:sz w:val="24"/>
        </w:rPr>
        <w:t>5. 设有最高限价的，公布最高限价。</w:t>
      </w:r>
    </w:p>
    <w:p w14:paraId="4B38F53C">
      <w:pPr>
        <w:ind w:firstLine="480" w:firstLineChars="200"/>
        <w:rPr>
          <w:rFonts w:ascii="宋体" w:hAnsi="宋体" w:cs="宋体"/>
          <w:sz w:val="24"/>
        </w:rPr>
      </w:pPr>
      <w:r>
        <w:rPr>
          <w:rFonts w:hint="eastAsia" w:ascii="宋体" w:hAnsi="宋体" w:cs="宋体"/>
          <w:sz w:val="24"/>
        </w:rPr>
        <w:t>6. 逐单位随机开启比选申请文件。公布比选申请人名称、比选申请报价及其他内容并记录在案。</w:t>
      </w:r>
    </w:p>
    <w:p w14:paraId="4728FA94">
      <w:pPr>
        <w:ind w:firstLine="480" w:firstLineChars="200"/>
        <w:rPr>
          <w:rFonts w:ascii="宋体" w:hAnsi="宋体" w:cs="宋体"/>
          <w:sz w:val="24"/>
        </w:rPr>
      </w:pPr>
      <w:r>
        <w:rPr>
          <w:rFonts w:hint="eastAsia" w:ascii="宋体" w:hAnsi="宋体" w:cs="宋体"/>
          <w:sz w:val="24"/>
        </w:rPr>
        <w:t>7. 比选人代表、监督人、记录人等有关人员在比选记录上签字确认。</w:t>
      </w:r>
    </w:p>
    <w:p w14:paraId="27A3C79D">
      <w:pPr>
        <w:ind w:firstLine="480" w:firstLineChars="200"/>
        <w:rPr>
          <w:rFonts w:ascii="宋体" w:hAnsi="宋体" w:cs="宋体"/>
          <w:sz w:val="24"/>
        </w:rPr>
      </w:pPr>
      <w:r>
        <w:rPr>
          <w:rFonts w:hint="eastAsia" w:ascii="宋体" w:hAnsi="宋体" w:cs="宋体"/>
          <w:sz w:val="24"/>
        </w:rPr>
        <w:t>8. 开标结束。</w:t>
      </w:r>
    </w:p>
    <w:p w14:paraId="1F5E9CBA">
      <w:pPr>
        <w:outlineLvl w:val="1"/>
        <w:rPr>
          <w:rFonts w:ascii="宋体" w:hAnsi="宋体" w:cs="宋体"/>
          <w:b/>
          <w:bCs/>
          <w:szCs w:val="28"/>
        </w:rPr>
      </w:pPr>
      <w:bookmarkStart w:id="366" w:name="_Toc18348"/>
      <w:bookmarkStart w:id="367" w:name="_Toc24924"/>
      <w:bookmarkStart w:id="368" w:name="_Toc18585"/>
      <w:bookmarkStart w:id="369" w:name="_Toc17942"/>
      <w:bookmarkStart w:id="370" w:name="_Toc18325"/>
      <w:bookmarkStart w:id="371" w:name="_Toc14662"/>
      <w:bookmarkStart w:id="372" w:name="_Toc26734"/>
      <w:bookmarkStart w:id="373" w:name="_Toc12894"/>
      <w:r>
        <w:rPr>
          <w:rFonts w:hint="eastAsia" w:ascii="宋体" w:hAnsi="宋体" w:cs="宋体"/>
          <w:b/>
          <w:bCs/>
          <w:szCs w:val="28"/>
        </w:rPr>
        <w:t>五、中选人的确认和变更</w:t>
      </w:r>
      <w:bookmarkEnd w:id="364"/>
      <w:bookmarkEnd w:id="365"/>
      <w:bookmarkEnd w:id="366"/>
      <w:bookmarkEnd w:id="367"/>
      <w:bookmarkEnd w:id="368"/>
      <w:bookmarkEnd w:id="369"/>
      <w:bookmarkEnd w:id="370"/>
      <w:bookmarkEnd w:id="371"/>
      <w:bookmarkEnd w:id="372"/>
      <w:bookmarkEnd w:id="373"/>
    </w:p>
    <w:p w14:paraId="0BD39FA0">
      <w:pPr>
        <w:snapToGrid w:val="0"/>
        <w:ind w:firstLine="480" w:firstLineChars="200"/>
        <w:rPr>
          <w:rFonts w:ascii="宋体" w:hAnsi="宋体" w:cs="宋体"/>
          <w:sz w:val="24"/>
          <w:szCs w:val="24"/>
        </w:rPr>
      </w:pPr>
      <w:r>
        <w:rPr>
          <w:rFonts w:hint="eastAsia" w:ascii="宋体" w:hAnsi="宋体" w:cs="宋体"/>
          <w:sz w:val="24"/>
          <w:szCs w:val="24"/>
        </w:rPr>
        <w:t>（一）中选人的确认</w:t>
      </w:r>
    </w:p>
    <w:p w14:paraId="0E46E8C7">
      <w:pPr>
        <w:snapToGrid w:val="0"/>
        <w:ind w:firstLine="480" w:firstLineChars="200"/>
        <w:rPr>
          <w:rFonts w:ascii="宋体" w:hAnsi="宋体" w:cs="宋体"/>
          <w:sz w:val="24"/>
          <w:szCs w:val="24"/>
        </w:rPr>
      </w:pPr>
      <w:r>
        <w:rPr>
          <w:rFonts w:hint="eastAsia" w:ascii="宋体" w:hAnsi="宋体" w:cs="宋体"/>
          <w:sz w:val="24"/>
          <w:szCs w:val="24"/>
        </w:rPr>
        <w:t>比选代理机构应当在评审结束后1个工作日内将评选报告送比选人确认。比选人应当在收到评选报告后3个工作日内，从评选报告提出的中选候选人中按照排序由高到低的原则确定排序第一的中选候选人为中选人。比选人逾期未确定中选人且不提出异议的，视为确定评选报告提出的排序第一的中选候选人为中选人。</w:t>
      </w:r>
    </w:p>
    <w:p w14:paraId="0B30BCB6">
      <w:pPr>
        <w:snapToGrid w:val="0"/>
        <w:ind w:firstLine="480" w:firstLineChars="200"/>
        <w:rPr>
          <w:rFonts w:ascii="宋体" w:hAnsi="宋体" w:cs="宋体"/>
          <w:sz w:val="24"/>
          <w:szCs w:val="24"/>
        </w:rPr>
      </w:pPr>
      <w:r>
        <w:rPr>
          <w:rFonts w:hint="eastAsia" w:ascii="宋体" w:hAnsi="宋体" w:cs="宋体"/>
          <w:sz w:val="24"/>
          <w:szCs w:val="24"/>
        </w:rPr>
        <w:t>（二）中选人的变更</w:t>
      </w:r>
    </w:p>
    <w:p w14:paraId="0F6EEEB0">
      <w:pPr>
        <w:snapToGrid w:val="0"/>
        <w:ind w:firstLine="480" w:firstLineChars="200"/>
        <w:rPr>
          <w:rFonts w:ascii="宋体" w:hAnsi="宋体" w:cs="宋体"/>
          <w:sz w:val="24"/>
        </w:rPr>
      </w:pPr>
      <w:r>
        <w:rPr>
          <w:rFonts w:hint="eastAsia" w:ascii="宋体" w:hAnsi="宋体" w:cs="宋体"/>
          <w:sz w:val="24"/>
        </w:rPr>
        <w:t>中选人拒绝与比选人签订合同的，比选人可以按照评选报告推荐的中选候选人顺序，确定排名下一位的候选人为中选人，也可以重新开展比选活动。</w:t>
      </w:r>
    </w:p>
    <w:p w14:paraId="49E6DA93">
      <w:pPr>
        <w:outlineLvl w:val="1"/>
        <w:rPr>
          <w:rFonts w:ascii="宋体" w:hAnsi="宋体" w:cs="宋体"/>
          <w:b/>
          <w:bCs/>
          <w:szCs w:val="28"/>
        </w:rPr>
      </w:pPr>
      <w:bookmarkStart w:id="374" w:name="_Toc102227321"/>
      <w:bookmarkStart w:id="375" w:name="_Toc342913395"/>
      <w:bookmarkStart w:id="376" w:name="_Toc30244"/>
      <w:bookmarkStart w:id="377" w:name="_Toc19552"/>
      <w:bookmarkStart w:id="378" w:name="_Toc19606"/>
      <w:bookmarkStart w:id="379" w:name="_Toc12963"/>
      <w:bookmarkStart w:id="380" w:name="_Toc14983"/>
      <w:bookmarkStart w:id="381" w:name="_Toc17277"/>
      <w:bookmarkStart w:id="382" w:name="_Toc20808"/>
      <w:bookmarkStart w:id="383" w:name="_Toc10817"/>
      <w:bookmarkStart w:id="384" w:name="_Toc14758"/>
      <w:bookmarkStart w:id="385" w:name="_Toc29122"/>
      <w:r>
        <w:rPr>
          <w:rFonts w:hint="eastAsia" w:ascii="宋体" w:hAnsi="宋体" w:cs="宋体"/>
          <w:b/>
          <w:bCs/>
          <w:szCs w:val="28"/>
        </w:rPr>
        <w:t>六、中选通知</w:t>
      </w:r>
      <w:bookmarkEnd w:id="374"/>
      <w:bookmarkEnd w:id="375"/>
      <w:bookmarkEnd w:id="376"/>
      <w:bookmarkEnd w:id="377"/>
      <w:bookmarkEnd w:id="378"/>
      <w:bookmarkEnd w:id="379"/>
      <w:bookmarkEnd w:id="380"/>
      <w:bookmarkEnd w:id="381"/>
      <w:bookmarkEnd w:id="382"/>
      <w:bookmarkEnd w:id="383"/>
      <w:bookmarkEnd w:id="384"/>
      <w:bookmarkEnd w:id="385"/>
    </w:p>
    <w:p w14:paraId="6A40D3C0">
      <w:pPr>
        <w:wordWrap w:val="0"/>
        <w:ind w:firstLine="480" w:firstLineChars="200"/>
        <w:rPr>
          <w:rFonts w:ascii="宋体" w:hAnsi="宋体" w:cs="宋体"/>
          <w:sz w:val="24"/>
          <w:szCs w:val="24"/>
        </w:rPr>
      </w:pPr>
      <w:r>
        <w:rPr>
          <w:rFonts w:hint="eastAsia" w:ascii="宋体" w:hAnsi="宋体" w:cs="宋体"/>
          <w:sz w:val="24"/>
          <w:szCs w:val="24"/>
        </w:rPr>
        <w:t>（一）中选人确定后，比选代理机构将在行采家（http://www.gec123.com/）上发布中选结果公告，公示期为1个工作日。</w:t>
      </w:r>
    </w:p>
    <w:p w14:paraId="59B42CFA">
      <w:pPr>
        <w:ind w:firstLine="480" w:firstLineChars="200"/>
        <w:rPr>
          <w:rFonts w:ascii="宋体" w:hAnsi="宋体" w:cs="宋体"/>
          <w:sz w:val="24"/>
          <w:szCs w:val="24"/>
        </w:rPr>
      </w:pPr>
      <w:r>
        <w:rPr>
          <w:rFonts w:hint="eastAsia" w:ascii="宋体" w:hAnsi="宋体" w:cs="宋体"/>
          <w:sz w:val="24"/>
          <w:szCs w:val="24"/>
        </w:rPr>
        <w:t>（二）结果公告</w:t>
      </w:r>
      <w:r>
        <w:rPr>
          <w:rFonts w:hint="eastAsia" w:ascii="宋体" w:hAnsi="宋体" w:cs="宋体"/>
          <w:sz w:val="24"/>
          <w:szCs w:val="24"/>
          <w:lang w:val="en-US" w:eastAsia="zh-CN"/>
        </w:rPr>
        <w:t>公示结束后</w:t>
      </w:r>
      <w:r>
        <w:rPr>
          <w:rFonts w:hint="eastAsia" w:ascii="宋体" w:hAnsi="宋体" w:cs="宋体"/>
          <w:sz w:val="24"/>
          <w:szCs w:val="24"/>
        </w:rPr>
        <w:t>，比选代理机构将以书面形式发出《中选通知书》。《中选通知书》一经发出即发生法律效力。</w:t>
      </w:r>
    </w:p>
    <w:p w14:paraId="6E7080BE">
      <w:pPr>
        <w:ind w:firstLine="480" w:firstLineChars="200"/>
        <w:rPr>
          <w:rFonts w:ascii="宋体" w:hAnsi="宋体" w:cs="宋体"/>
          <w:sz w:val="24"/>
          <w:szCs w:val="24"/>
        </w:rPr>
      </w:pPr>
      <w:r>
        <w:rPr>
          <w:rFonts w:hint="eastAsia" w:ascii="宋体" w:hAnsi="宋体" w:cs="宋体"/>
          <w:sz w:val="24"/>
          <w:szCs w:val="24"/>
        </w:rPr>
        <w:t>（三）《中选通知书》将作为签订合同的依据。</w:t>
      </w:r>
    </w:p>
    <w:p w14:paraId="70CE5872">
      <w:pPr>
        <w:ind w:firstLine="480" w:firstLineChars="200"/>
        <w:rPr>
          <w:rFonts w:ascii="宋体" w:hAnsi="宋体" w:cs="宋体"/>
        </w:rPr>
      </w:pPr>
      <w:r>
        <w:rPr>
          <w:rFonts w:hint="eastAsia" w:ascii="宋体" w:hAnsi="宋体" w:cs="宋体"/>
          <w:sz w:val="24"/>
          <w:szCs w:val="24"/>
        </w:rPr>
        <w:t>（四）如有比选申请人对中选结果提出质疑的，在质疑处理完毕后发出中选通知书。</w:t>
      </w:r>
    </w:p>
    <w:p w14:paraId="646E9D3B">
      <w:pPr>
        <w:outlineLvl w:val="1"/>
        <w:rPr>
          <w:rFonts w:hint="default" w:ascii="宋体" w:hAnsi="宋体" w:eastAsia="宋体" w:cs="宋体"/>
          <w:b/>
          <w:bCs/>
          <w:szCs w:val="28"/>
          <w:lang w:val="en-US" w:eastAsia="zh-CN"/>
        </w:rPr>
      </w:pPr>
      <w:bookmarkStart w:id="386" w:name="_Toc26328"/>
      <w:bookmarkStart w:id="387" w:name="_Toc6794"/>
      <w:bookmarkStart w:id="388" w:name="_Toc22143"/>
      <w:bookmarkStart w:id="389" w:name="_Toc27343"/>
      <w:bookmarkStart w:id="390" w:name="_Toc16596"/>
      <w:bookmarkStart w:id="391" w:name="_Toc4513"/>
      <w:bookmarkStart w:id="392" w:name="_Toc8881"/>
      <w:bookmarkStart w:id="393" w:name="_Toc5832"/>
      <w:bookmarkStart w:id="394" w:name="_Toc17720"/>
      <w:bookmarkStart w:id="395" w:name="_Toc21875"/>
      <w:r>
        <w:rPr>
          <w:rFonts w:hint="eastAsia" w:ascii="宋体" w:hAnsi="宋体" w:cs="宋体"/>
          <w:b/>
          <w:bCs/>
          <w:szCs w:val="28"/>
        </w:rPr>
        <w:t>七、关于质疑</w:t>
      </w:r>
      <w:bookmarkEnd w:id="386"/>
      <w:bookmarkEnd w:id="387"/>
      <w:bookmarkEnd w:id="388"/>
      <w:bookmarkEnd w:id="389"/>
      <w:bookmarkEnd w:id="390"/>
      <w:bookmarkEnd w:id="391"/>
      <w:bookmarkEnd w:id="392"/>
      <w:bookmarkEnd w:id="393"/>
      <w:bookmarkEnd w:id="394"/>
      <w:bookmarkEnd w:id="395"/>
    </w:p>
    <w:p w14:paraId="6AED98C3">
      <w:pPr>
        <w:ind w:right="12" w:firstLine="480"/>
        <w:rPr>
          <w:rFonts w:ascii="宋体" w:hAnsi="宋体" w:cs="宋体"/>
          <w:sz w:val="24"/>
        </w:rPr>
      </w:pPr>
      <w:r>
        <w:rPr>
          <w:rFonts w:hint="eastAsia" w:ascii="宋体" w:hAnsi="宋体" w:cs="宋体"/>
          <w:sz w:val="24"/>
        </w:rPr>
        <w:t>比选申请人认为比选过程和中选结果使自己的权益受到伤害的，可向比选人或比选代理机构以书面形式提出质疑。</w:t>
      </w:r>
    </w:p>
    <w:p w14:paraId="2F99A9CD">
      <w:pPr>
        <w:ind w:right="12" w:firstLine="480"/>
        <w:rPr>
          <w:rFonts w:ascii="宋体" w:hAnsi="宋体" w:cs="宋体"/>
          <w:sz w:val="24"/>
        </w:rPr>
      </w:pPr>
      <w:r>
        <w:rPr>
          <w:rFonts w:hint="eastAsia" w:ascii="宋体" w:hAnsi="宋体" w:cs="宋体"/>
          <w:sz w:val="24"/>
        </w:rPr>
        <w:t xml:space="preserve">提出质疑的应当是参与所质疑项目比选活动的比选申请人。 </w:t>
      </w:r>
    </w:p>
    <w:p w14:paraId="1A31E573">
      <w:pPr>
        <w:ind w:right="12" w:firstLine="480"/>
        <w:rPr>
          <w:rFonts w:ascii="宋体" w:hAnsi="宋体" w:cs="宋体"/>
          <w:sz w:val="24"/>
        </w:rPr>
      </w:pPr>
      <w:r>
        <w:rPr>
          <w:rFonts w:hint="eastAsia" w:ascii="宋体" w:hAnsi="宋体" w:cs="宋体"/>
          <w:sz w:val="24"/>
        </w:rPr>
        <w:t>1.质疑时限、内容</w:t>
      </w:r>
    </w:p>
    <w:p w14:paraId="584DF551">
      <w:pPr>
        <w:ind w:right="12" w:firstLine="480"/>
        <w:rPr>
          <w:rFonts w:ascii="宋体" w:hAnsi="宋体" w:cs="宋体"/>
          <w:sz w:val="24"/>
        </w:rPr>
      </w:pPr>
      <w:r>
        <w:rPr>
          <w:rFonts w:hint="eastAsia" w:ascii="宋体" w:hAnsi="宋体" w:cs="宋体"/>
          <w:sz w:val="24"/>
        </w:rPr>
        <w:t>1.1比选申请人对比选过程提出质疑的，应在各比选程序环节结束之日起三个工作日内提出。</w:t>
      </w:r>
    </w:p>
    <w:p w14:paraId="51F6267B">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2</w:t>
      </w:r>
      <w:r>
        <w:rPr>
          <w:rFonts w:hint="eastAsia" w:ascii="宋体" w:hAnsi="宋体" w:cs="宋体"/>
          <w:sz w:val="24"/>
        </w:rPr>
        <w:t>比选申请人对中选结果提出质疑的，应当在中选结果公告发出之日起三个工作日内提出。</w:t>
      </w:r>
    </w:p>
    <w:p w14:paraId="458802DF">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比选申请人提出质疑应当提交质疑函和必要的证明材料，质疑函应当包括下列内容：</w:t>
      </w:r>
    </w:p>
    <w:p w14:paraId="002AB4C5">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.1比选申请人的姓名或者名称、地址、邮编、联系人及联系电话；</w:t>
      </w:r>
    </w:p>
    <w:p w14:paraId="2807CAF0">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.2质疑项目的名称；</w:t>
      </w:r>
    </w:p>
    <w:p w14:paraId="3B5DF4BF">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.3具体、明确的质疑事项和与质疑事项相关的请求；</w:t>
      </w:r>
    </w:p>
    <w:p w14:paraId="6F509990">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.4事实依据；</w:t>
      </w:r>
    </w:p>
    <w:p w14:paraId="536F5D4D">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.5必要的法律依据；</w:t>
      </w:r>
    </w:p>
    <w:p w14:paraId="6153D3FC">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.6提出质疑的日期；</w:t>
      </w:r>
    </w:p>
    <w:p w14:paraId="1A359CDA">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.7营业执照（或事业单位法人证书，或个体工商户营业执照或有效的自然人身份证明、组织机构代码证）复印件；</w:t>
      </w:r>
    </w:p>
    <w:p w14:paraId="267A57E1">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.8法定代表人授权委托书原件、法定代表人身份证复印件和其授权代表的身份证复印件（比选申请人为自然人的提供自然人身份证复印件）；</w:t>
      </w:r>
    </w:p>
    <w:p w14:paraId="75D88FAE">
      <w:pPr>
        <w:ind w:right="12" w:firstLine="480"/>
        <w:rPr>
          <w:rFonts w:ascii="宋体" w:hAnsi="宋体" w:cs="宋体"/>
          <w:sz w:val="24"/>
        </w:rPr>
      </w:pPr>
      <w:r>
        <w:rPr>
          <w:rFonts w:hint="eastAsia" w:ascii="宋体" w:hAnsi="宋体" w:cs="宋体"/>
          <w:sz w:val="24"/>
        </w:rPr>
        <w:t>1.</w:t>
      </w:r>
      <w:r>
        <w:rPr>
          <w:rFonts w:hint="eastAsia" w:ascii="宋体" w:hAnsi="宋体" w:cs="宋体"/>
          <w:sz w:val="24"/>
          <w:lang w:val="en-US" w:eastAsia="zh-CN"/>
        </w:rPr>
        <w:t>4</w:t>
      </w:r>
      <w:r>
        <w:rPr>
          <w:rFonts w:hint="eastAsia" w:ascii="宋体" w:hAnsi="宋体" w:cs="宋体"/>
          <w:sz w:val="24"/>
        </w:rPr>
        <w:t>比选申请人为自然人的，质疑函应当由本人签字；比选申请人为法人或者其他组织的，质疑函应当由法定代表人、主要负责人，或者其授权代表签字或者盖章，并加盖公章。</w:t>
      </w:r>
    </w:p>
    <w:p w14:paraId="7C1EDBF7">
      <w:pPr>
        <w:ind w:right="12" w:firstLine="480"/>
        <w:rPr>
          <w:rFonts w:ascii="宋体" w:hAnsi="宋体" w:cs="宋体"/>
          <w:sz w:val="24"/>
        </w:rPr>
      </w:pPr>
      <w:r>
        <w:rPr>
          <w:rFonts w:hint="eastAsia" w:ascii="宋体" w:hAnsi="宋体" w:cs="宋体"/>
          <w:sz w:val="24"/>
        </w:rPr>
        <w:t>2.质疑答复</w:t>
      </w:r>
    </w:p>
    <w:p w14:paraId="15664076">
      <w:pPr>
        <w:ind w:right="12" w:firstLine="480"/>
        <w:rPr>
          <w:rFonts w:ascii="宋体" w:hAnsi="宋体" w:cs="宋体"/>
          <w:sz w:val="24"/>
        </w:rPr>
      </w:pPr>
      <w:r>
        <w:rPr>
          <w:rFonts w:hint="eastAsia" w:ascii="宋体" w:hAnsi="宋体" w:cs="宋体"/>
          <w:sz w:val="24"/>
        </w:rPr>
        <w:t>比选人、比选代理机构应当在收到比选申请人的书面质疑后七个工作日内作出答复，并以书面形式通知质疑比选申请人和其他有关比选申请人。</w:t>
      </w:r>
    </w:p>
    <w:p w14:paraId="63F9B395">
      <w:pPr>
        <w:outlineLvl w:val="1"/>
        <w:rPr>
          <w:rFonts w:ascii="宋体" w:hAnsi="宋体" w:cs="宋体"/>
          <w:b/>
          <w:bCs/>
          <w:szCs w:val="28"/>
        </w:rPr>
      </w:pPr>
      <w:bookmarkStart w:id="396" w:name="_Toc102227322"/>
      <w:bookmarkStart w:id="397" w:name="_Toc25033"/>
      <w:bookmarkStart w:id="398" w:name="_Toc9967"/>
      <w:bookmarkStart w:id="399" w:name="_Toc26542"/>
      <w:bookmarkStart w:id="400" w:name="_Toc14870"/>
      <w:bookmarkStart w:id="401" w:name="_Toc10729"/>
      <w:bookmarkStart w:id="402" w:name="_Toc13472"/>
      <w:bookmarkStart w:id="403" w:name="_Toc342913396"/>
      <w:bookmarkStart w:id="404" w:name="_Toc13912"/>
      <w:bookmarkStart w:id="405" w:name="_Toc15132"/>
      <w:bookmarkStart w:id="406" w:name="_Toc5160"/>
      <w:bookmarkStart w:id="407" w:name="_Toc21233"/>
      <w:r>
        <w:rPr>
          <w:rFonts w:hint="eastAsia" w:ascii="宋体" w:hAnsi="宋体" w:cs="宋体"/>
          <w:b/>
          <w:bCs/>
          <w:szCs w:val="28"/>
        </w:rPr>
        <w:t>八、签订</w:t>
      </w:r>
      <w:bookmarkEnd w:id="396"/>
      <w:r>
        <w:rPr>
          <w:rFonts w:hint="eastAsia" w:ascii="宋体" w:hAnsi="宋体" w:cs="宋体"/>
          <w:b/>
          <w:bCs/>
          <w:szCs w:val="28"/>
        </w:rPr>
        <w:t>合同</w:t>
      </w:r>
      <w:bookmarkEnd w:id="397"/>
      <w:bookmarkEnd w:id="398"/>
      <w:bookmarkEnd w:id="399"/>
      <w:bookmarkEnd w:id="400"/>
      <w:bookmarkEnd w:id="401"/>
      <w:bookmarkEnd w:id="402"/>
      <w:bookmarkEnd w:id="403"/>
      <w:bookmarkEnd w:id="404"/>
      <w:bookmarkEnd w:id="405"/>
      <w:bookmarkEnd w:id="406"/>
      <w:bookmarkEnd w:id="407"/>
    </w:p>
    <w:p w14:paraId="17505ABD">
      <w:pPr>
        <w:ind w:firstLine="360" w:firstLineChars="150"/>
        <w:rPr>
          <w:rFonts w:ascii="宋体" w:hAnsi="宋体" w:cs="宋体"/>
          <w:sz w:val="24"/>
          <w:szCs w:val="24"/>
        </w:rPr>
      </w:pPr>
      <w:r>
        <w:rPr>
          <w:rFonts w:hint="eastAsia" w:ascii="宋体" w:hAnsi="宋体" w:cs="宋体"/>
          <w:sz w:val="24"/>
          <w:szCs w:val="24"/>
        </w:rPr>
        <w:t>（一）比选人应当自中选通知书发出之日起20日内，按照竞争性比选文件和中选人比选申请文件的约定，与中选人签订书面合同。所签订的合同不得对竞争性比选文件和比选申请人的比选申请文件作实质性修改。</w:t>
      </w:r>
    </w:p>
    <w:p w14:paraId="7C1D96B6">
      <w:pPr>
        <w:ind w:firstLine="360" w:firstLineChars="150"/>
        <w:rPr>
          <w:rFonts w:ascii="宋体" w:hAnsi="宋体" w:cs="宋体"/>
          <w:sz w:val="24"/>
          <w:szCs w:val="24"/>
        </w:rPr>
      </w:pPr>
      <w:r>
        <w:rPr>
          <w:rFonts w:hint="eastAsia" w:ascii="宋体" w:hAnsi="宋体" w:cs="宋体"/>
          <w:sz w:val="24"/>
          <w:szCs w:val="24"/>
        </w:rPr>
        <w:t>（二）竞争性比选文件、比选申请人的比选申请文件及澄清文件等，均为签订比选合同的依据。</w:t>
      </w:r>
    </w:p>
    <w:p w14:paraId="5A597A1B">
      <w:pPr>
        <w:ind w:firstLine="360" w:firstLineChars="150"/>
        <w:rPr>
          <w:rFonts w:ascii="宋体" w:hAnsi="宋体" w:cs="宋体"/>
          <w:sz w:val="24"/>
          <w:szCs w:val="24"/>
        </w:rPr>
      </w:pPr>
      <w:r>
        <w:rPr>
          <w:rFonts w:hint="eastAsia" w:ascii="宋体" w:hAnsi="宋体" w:cs="宋体"/>
          <w:sz w:val="24"/>
          <w:szCs w:val="24"/>
        </w:rPr>
        <w:t>（三）合同生效条款由供需双方约定，法律、行政法规规定应当办理批准、登记等手续后生效的合同，依照其规定。</w:t>
      </w:r>
    </w:p>
    <w:p w14:paraId="1C8A94AE">
      <w:pPr>
        <w:ind w:firstLine="360" w:firstLineChars="150"/>
        <w:rPr>
          <w:rFonts w:ascii="宋体" w:hAnsi="宋体" w:cs="宋体"/>
          <w:sz w:val="24"/>
          <w:szCs w:val="24"/>
        </w:rPr>
      </w:pPr>
      <w:r>
        <w:rPr>
          <w:rFonts w:hint="eastAsia" w:ascii="宋体" w:hAnsi="宋体" w:cs="宋体"/>
          <w:sz w:val="24"/>
          <w:szCs w:val="24"/>
        </w:rPr>
        <w:t>（四）合同</w:t>
      </w:r>
      <w:r>
        <w:rPr>
          <w:rFonts w:hint="eastAsia" w:ascii="宋体" w:hAnsi="宋体" w:cs="宋体"/>
          <w:sz w:val="24"/>
          <w:szCs w:val="24"/>
          <w:lang w:val="en-US" w:eastAsia="zh-CN"/>
        </w:rPr>
        <w:t>根据</w:t>
      </w:r>
      <w:r>
        <w:rPr>
          <w:rFonts w:hint="eastAsia" w:ascii="宋体" w:hAnsi="宋体" w:cs="宋体"/>
          <w:sz w:val="24"/>
          <w:szCs w:val="24"/>
        </w:rPr>
        <w:t>相关单位要求适用合同通用格式版本的，应按其要求另行签订其他合同。</w:t>
      </w:r>
    </w:p>
    <w:p w14:paraId="5A6CF386">
      <w:pPr>
        <w:ind w:firstLine="360" w:firstLineChars="150"/>
        <w:rPr>
          <w:rFonts w:ascii="宋体" w:hAnsi="宋体" w:cs="宋体"/>
          <w:sz w:val="24"/>
          <w:szCs w:val="24"/>
        </w:rPr>
      </w:pPr>
      <w:r>
        <w:rPr>
          <w:rFonts w:hint="eastAsia" w:ascii="宋体" w:hAnsi="宋体" w:cs="宋体"/>
          <w:sz w:val="24"/>
          <w:szCs w:val="24"/>
        </w:rPr>
        <w:t>（五）比选人要求中选人提供履约保证金的，应当在竞争性比选文件中予以约定。中选人履约完毕后，比选人应于五日内无息退还其履约保证金。</w:t>
      </w:r>
    </w:p>
    <w:p w14:paraId="4EDEB44E">
      <w:pPr>
        <w:rPr>
          <w:rFonts w:ascii="宋体" w:hAnsi="宋体" w:cs="宋体"/>
          <w:color w:val="0000FF"/>
          <w:sz w:val="24"/>
          <w:szCs w:val="24"/>
        </w:rPr>
      </w:pPr>
    </w:p>
    <w:p w14:paraId="507E060C">
      <w:pPr>
        <w:rPr>
          <w:rFonts w:ascii="宋体" w:hAnsi="宋体" w:cs="宋体"/>
          <w:color w:val="0000FF"/>
          <w:sz w:val="24"/>
          <w:szCs w:val="24"/>
        </w:rPr>
      </w:pPr>
    </w:p>
    <w:p w14:paraId="3E65D06E">
      <w:pPr>
        <w:rPr>
          <w:rFonts w:ascii="宋体" w:hAnsi="宋体" w:cs="宋体"/>
          <w:color w:val="0000FF"/>
          <w:sz w:val="24"/>
          <w:szCs w:val="24"/>
        </w:rPr>
      </w:pPr>
    </w:p>
    <w:p w14:paraId="5FAEAD63">
      <w:pPr>
        <w:rPr>
          <w:rFonts w:ascii="宋体" w:hAnsi="宋体" w:cs="宋体"/>
          <w:color w:val="0000FF"/>
        </w:rPr>
      </w:pPr>
    </w:p>
    <w:bookmarkEnd w:id="321"/>
    <w:bookmarkEnd w:id="322"/>
    <w:bookmarkEnd w:id="323"/>
    <w:p w14:paraId="6942715F">
      <w:pPr>
        <w:pStyle w:val="3"/>
        <w:spacing w:before="0" w:after="0" w:line="360" w:lineRule="auto"/>
        <w:ind w:firstLine="3614" w:firstLineChars="1000"/>
        <w:rPr>
          <w:rFonts w:ascii="宋体" w:hAnsi="宋体" w:eastAsia="宋体" w:cs="宋体"/>
          <w:szCs w:val="32"/>
        </w:rPr>
      </w:pPr>
      <w:bookmarkStart w:id="408" w:name="_Toc2676"/>
      <w:bookmarkStart w:id="409" w:name="_Toc30964"/>
      <w:r>
        <w:rPr>
          <w:rFonts w:hint="eastAsia" w:ascii="宋体" w:hAnsi="宋体" w:cs="宋体"/>
          <w:b/>
          <w:bCs/>
          <w:color w:val="0000FF"/>
          <w:sz w:val="36"/>
          <w:szCs w:val="36"/>
        </w:rPr>
        <w:br w:type="page"/>
      </w:r>
      <w:bookmarkStart w:id="410" w:name="_Toc24039"/>
      <w:bookmarkStart w:id="411" w:name="_Toc9215"/>
      <w:bookmarkStart w:id="412" w:name="_Toc30507"/>
      <w:bookmarkStart w:id="413" w:name="_Toc10282"/>
      <w:r>
        <w:rPr>
          <w:rFonts w:hint="eastAsia" w:ascii="宋体" w:hAnsi="宋体" w:eastAsia="宋体" w:cs="宋体"/>
          <w:szCs w:val="32"/>
        </w:rPr>
        <w:t>第六篇</w:t>
      </w:r>
      <w:bookmarkEnd w:id="408"/>
      <w:bookmarkEnd w:id="409"/>
      <w:bookmarkEnd w:id="410"/>
      <w:bookmarkEnd w:id="411"/>
      <w:bookmarkEnd w:id="412"/>
      <w:bookmarkStart w:id="414" w:name="_Toc31486"/>
      <w:bookmarkStart w:id="415" w:name="_Toc23240"/>
      <w:r>
        <w:rPr>
          <w:rFonts w:hint="eastAsia" w:ascii="宋体" w:hAnsi="宋体" w:eastAsia="宋体" w:cs="宋体"/>
          <w:szCs w:val="32"/>
        </w:rPr>
        <w:t xml:space="preserve"> 比选申请文件编制要求</w:t>
      </w:r>
      <w:bookmarkEnd w:id="413"/>
      <w:bookmarkEnd w:id="414"/>
      <w:bookmarkEnd w:id="415"/>
    </w:p>
    <w:p w14:paraId="6B68B7A9">
      <w:pPr>
        <w:spacing w:line="360" w:lineRule="auto"/>
        <w:ind w:firstLine="480" w:firstLineChars="200"/>
        <w:rPr>
          <w:rFonts w:ascii="宋体" w:hAnsi="宋体" w:cs="宋体"/>
          <w:sz w:val="24"/>
          <w:szCs w:val="24"/>
        </w:rPr>
      </w:pPr>
      <w:r>
        <w:rPr>
          <w:rFonts w:hint="eastAsia" w:ascii="宋体" w:hAnsi="宋体" w:cs="宋体"/>
          <w:sz w:val="24"/>
          <w:szCs w:val="24"/>
        </w:rPr>
        <w:t>一、经济部分</w:t>
      </w:r>
    </w:p>
    <w:p w14:paraId="7FF20E6B">
      <w:pPr>
        <w:spacing w:line="360" w:lineRule="auto"/>
        <w:ind w:firstLine="480" w:firstLineChars="200"/>
        <w:rPr>
          <w:rFonts w:ascii="宋体" w:hAnsi="宋体" w:cs="宋体"/>
        </w:rPr>
      </w:pPr>
      <w:r>
        <w:rPr>
          <w:rFonts w:hint="eastAsia" w:ascii="宋体" w:hAnsi="宋体" w:cs="宋体"/>
          <w:sz w:val="24"/>
          <w:szCs w:val="24"/>
        </w:rPr>
        <w:t>二、服务部分</w:t>
      </w:r>
    </w:p>
    <w:p w14:paraId="47E7CE4D">
      <w:pPr>
        <w:snapToGrid w:val="0"/>
        <w:spacing w:line="360" w:lineRule="auto"/>
        <w:ind w:firstLine="480" w:firstLineChars="200"/>
        <w:rPr>
          <w:rFonts w:ascii="宋体" w:hAnsi="宋体" w:cs="宋体"/>
          <w:sz w:val="24"/>
          <w:szCs w:val="24"/>
        </w:rPr>
      </w:pPr>
      <w:r>
        <w:rPr>
          <w:rFonts w:hint="eastAsia" w:ascii="宋体" w:hAnsi="宋体" w:cs="宋体"/>
          <w:sz w:val="24"/>
          <w:szCs w:val="24"/>
        </w:rPr>
        <w:t>三、商务部分</w:t>
      </w:r>
    </w:p>
    <w:p w14:paraId="273AF3C4">
      <w:pPr>
        <w:spacing w:line="360" w:lineRule="auto"/>
        <w:ind w:firstLine="480" w:firstLineChars="200"/>
        <w:rPr>
          <w:rFonts w:ascii="宋体" w:hAnsi="宋体" w:cs="宋体"/>
          <w:sz w:val="24"/>
          <w:szCs w:val="24"/>
        </w:rPr>
      </w:pPr>
      <w:r>
        <w:rPr>
          <w:rFonts w:hint="eastAsia" w:ascii="宋体" w:hAnsi="宋体" w:cs="宋体"/>
          <w:sz w:val="24"/>
          <w:szCs w:val="24"/>
        </w:rPr>
        <w:t>四、资格文件</w:t>
      </w:r>
    </w:p>
    <w:p w14:paraId="4835BCAD">
      <w:pPr>
        <w:spacing w:line="400" w:lineRule="exact"/>
        <w:ind w:firstLine="480" w:firstLineChars="200"/>
        <w:rPr>
          <w:rFonts w:ascii="宋体" w:hAnsi="宋体" w:cs="宋体"/>
          <w:sz w:val="24"/>
          <w:szCs w:val="24"/>
        </w:rPr>
      </w:pPr>
      <w:r>
        <w:rPr>
          <w:rFonts w:hint="eastAsia" w:ascii="宋体" w:hAnsi="宋体" w:cs="宋体"/>
          <w:sz w:val="24"/>
          <w:szCs w:val="24"/>
        </w:rPr>
        <w:t>五、其他资料（如有）</w:t>
      </w:r>
    </w:p>
    <w:p w14:paraId="57D92517">
      <w:pPr>
        <w:pStyle w:val="262"/>
        <w:spacing w:beforeLines="0" w:after="120" w:line="400" w:lineRule="exact"/>
        <w:rPr>
          <w:rFonts w:ascii="宋体" w:hAnsi="宋体" w:cs="宋体"/>
        </w:rPr>
      </w:pPr>
    </w:p>
    <w:p w14:paraId="33EFCFBF">
      <w:pPr>
        <w:pStyle w:val="262"/>
        <w:spacing w:before="120" w:after="120"/>
        <w:rPr>
          <w:rFonts w:ascii="宋体" w:hAnsi="宋体" w:cs="宋体"/>
        </w:rPr>
        <w:sectPr>
          <w:headerReference r:id="rId9" w:type="default"/>
          <w:footerReference r:id="rId10" w:type="default"/>
          <w:pgSz w:w="11907" w:h="16840"/>
          <w:pgMar w:top="1134" w:right="1191" w:bottom="1134" w:left="1304" w:header="851" w:footer="992" w:gutter="0"/>
          <w:pgNumType w:fmt="numberInDash"/>
          <w:cols w:space="720" w:num="1"/>
          <w:docGrid w:linePitch="380" w:charSpace="-5735"/>
        </w:sectPr>
      </w:pPr>
    </w:p>
    <w:p w14:paraId="23AB3140">
      <w:pPr>
        <w:pStyle w:val="4"/>
        <w:spacing w:before="0" w:after="0" w:line="360" w:lineRule="auto"/>
        <w:ind w:firstLine="3614" w:firstLineChars="1500"/>
        <w:rPr>
          <w:rFonts w:ascii="宋体" w:hAnsi="宋体" w:cs="宋体"/>
          <w:sz w:val="24"/>
          <w:szCs w:val="24"/>
        </w:rPr>
      </w:pPr>
      <w:bookmarkStart w:id="416" w:name="_Toc342913419"/>
      <w:bookmarkStart w:id="417" w:name="_Toc313888360"/>
      <w:bookmarkStart w:id="418" w:name="_Toc19540"/>
      <w:bookmarkStart w:id="419" w:name="_Toc12789073"/>
      <w:bookmarkStart w:id="420" w:name="_Toc313008356"/>
      <w:bookmarkStart w:id="421" w:name="_Toc283382454"/>
      <w:bookmarkStart w:id="422" w:name="_Toc6517"/>
      <w:r>
        <w:rPr>
          <w:rFonts w:hint="eastAsia" w:ascii="宋体" w:hAnsi="宋体" w:cs="宋体"/>
          <w:sz w:val="24"/>
          <w:szCs w:val="24"/>
        </w:rPr>
        <w:t>一、经济部分</w:t>
      </w:r>
      <w:bookmarkEnd w:id="416"/>
      <w:bookmarkEnd w:id="417"/>
      <w:bookmarkEnd w:id="418"/>
      <w:bookmarkEnd w:id="419"/>
      <w:bookmarkEnd w:id="420"/>
      <w:bookmarkEnd w:id="421"/>
      <w:bookmarkEnd w:id="422"/>
    </w:p>
    <w:p w14:paraId="47C552A1">
      <w:pPr>
        <w:tabs>
          <w:tab w:val="left" w:pos="6300"/>
        </w:tabs>
        <w:snapToGrid w:val="0"/>
        <w:spacing w:line="312" w:lineRule="auto"/>
        <w:ind w:firstLine="2880" w:firstLineChars="1200"/>
        <w:rPr>
          <w:rFonts w:ascii="宋体" w:hAnsi="宋体" w:cs="宋体"/>
          <w:sz w:val="24"/>
          <w:szCs w:val="24"/>
        </w:rPr>
      </w:pPr>
    </w:p>
    <w:p w14:paraId="3CC77E04">
      <w:pPr>
        <w:snapToGrid w:val="0"/>
        <w:spacing w:line="500" w:lineRule="exact"/>
        <w:jc w:val="center"/>
        <w:rPr>
          <w:rFonts w:ascii="宋体" w:hAnsi="宋体" w:cs="宋体"/>
          <w:sz w:val="24"/>
        </w:rPr>
      </w:pPr>
      <w:r>
        <w:rPr>
          <w:rFonts w:hint="eastAsia" w:ascii="宋体" w:hAnsi="宋体" w:cs="宋体"/>
          <w:sz w:val="24"/>
        </w:rPr>
        <w:t>（一）开标一览表</w:t>
      </w:r>
    </w:p>
    <w:p w14:paraId="35D66E9A">
      <w:pPr>
        <w:snapToGrid w:val="0"/>
        <w:spacing w:line="400" w:lineRule="exact"/>
        <w:ind w:firstLine="480" w:firstLineChars="200"/>
        <w:rPr>
          <w:rFonts w:ascii="宋体" w:hAnsi="宋体" w:cs="宋体"/>
          <w:sz w:val="24"/>
          <w:szCs w:val="22"/>
        </w:rPr>
      </w:pPr>
      <w:r>
        <w:rPr>
          <w:rFonts w:hint="eastAsia" w:ascii="宋体" w:hAnsi="宋体" w:cs="宋体"/>
          <w:sz w:val="24"/>
          <w:szCs w:val="22"/>
        </w:rPr>
        <w:t>比选项目名称：</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7840"/>
      </w:tblGrid>
      <w:tr w14:paraId="3C686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trPr>
        <w:tc>
          <w:tcPr>
            <w:tcW w:w="1788" w:type="dxa"/>
            <w:vAlign w:val="center"/>
          </w:tcPr>
          <w:p w14:paraId="1457DAD6">
            <w:pPr>
              <w:spacing w:line="500" w:lineRule="exact"/>
              <w:jc w:val="center"/>
              <w:rPr>
                <w:rFonts w:ascii="宋体" w:hAnsi="宋体" w:cs="宋体"/>
                <w:sz w:val="21"/>
                <w:szCs w:val="28"/>
              </w:rPr>
            </w:pPr>
            <w:r>
              <w:rPr>
                <w:rFonts w:hint="eastAsia" w:ascii="宋体" w:hAnsi="宋体" w:cs="宋体"/>
                <w:sz w:val="21"/>
                <w:szCs w:val="28"/>
              </w:rPr>
              <w:t>比选项目名称</w:t>
            </w:r>
          </w:p>
        </w:tc>
        <w:tc>
          <w:tcPr>
            <w:tcW w:w="7840" w:type="dxa"/>
            <w:vAlign w:val="center"/>
          </w:tcPr>
          <w:p w14:paraId="3BD5562D">
            <w:pPr>
              <w:spacing w:line="500" w:lineRule="exact"/>
              <w:jc w:val="center"/>
              <w:rPr>
                <w:rFonts w:hint="default" w:ascii="宋体" w:hAnsi="宋体" w:eastAsia="宋体" w:cs="宋体"/>
                <w:sz w:val="21"/>
                <w:szCs w:val="28"/>
                <w:lang w:val="en-US" w:eastAsia="zh-CN"/>
              </w:rPr>
            </w:pPr>
            <w:r>
              <w:rPr>
                <w:rFonts w:hint="eastAsia" w:ascii="宋体" w:hAnsi="宋体" w:cs="宋体"/>
                <w:sz w:val="21"/>
                <w:szCs w:val="28"/>
                <w:u w:val="single"/>
                <w:lang w:val="en-US" w:eastAsia="zh-CN"/>
              </w:rPr>
              <w:t xml:space="preserve">                  </w:t>
            </w:r>
          </w:p>
        </w:tc>
      </w:tr>
      <w:tr w14:paraId="6A5CD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628" w:type="dxa"/>
            <w:gridSpan w:val="2"/>
            <w:tcBorders>
              <w:bottom w:val="single" w:color="auto" w:sz="4" w:space="0"/>
            </w:tcBorders>
            <w:vAlign w:val="center"/>
          </w:tcPr>
          <w:p w14:paraId="35ED1740">
            <w:pPr>
              <w:spacing w:line="500" w:lineRule="exact"/>
              <w:jc w:val="left"/>
              <w:rPr>
                <w:rFonts w:ascii="宋体" w:hAnsi="宋体" w:cs="宋体"/>
                <w:sz w:val="21"/>
                <w:szCs w:val="28"/>
                <w:highlight w:val="none"/>
                <w:u w:val="single"/>
              </w:rPr>
            </w:pPr>
            <w:r>
              <w:rPr>
                <w:rFonts w:hint="eastAsia" w:ascii="宋体" w:hAnsi="宋体" w:cs="宋体"/>
                <w:sz w:val="21"/>
                <w:szCs w:val="28"/>
                <w:highlight w:val="none"/>
              </w:rPr>
              <w:t>比选申请报价（小写）</w:t>
            </w:r>
            <w:r>
              <w:rPr>
                <w:rFonts w:hint="eastAsia" w:ascii="宋体" w:hAnsi="宋体" w:cs="宋体"/>
                <w:sz w:val="21"/>
                <w:szCs w:val="28"/>
                <w:highlight w:val="none"/>
                <w:lang w:eastAsia="zh-CN"/>
              </w:rPr>
              <w:t>：</w:t>
            </w:r>
            <w:r>
              <w:rPr>
                <w:rFonts w:hint="eastAsia" w:ascii="宋体" w:hAnsi="宋体" w:cs="宋体"/>
                <w:sz w:val="21"/>
                <w:szCs w:val="28"/>
                <w:highlight w:val="none"/>
              </w:rPr>
              <w:t>固定费率</w:t>
            </w:r>
            <w:r>
              <w:rPr>
                <w:rFonts w:hint="eastAsia" w:ascii="宋体" w:hAnsi="宋体" w:cs="宋体"/>
                <w:sz w:val="21"/>
                <w:szCs w:val="28"/>
                <w:highlight w:val="none"/>
                <w:u w:val="single"/>
              </w:rPr>
              <w:t xml:space="preserve">    </w:t>
            </w:r>
            <w:r>
              <w:rPr>
                <w:rFonts w:hint="eastAsia" w:ascii="宋体" w:hAnsi="宋体" w:cs="宋体"/>
                <w:sz w:val="21"/>
                <w:szCs w:val="28"/>
                <w:highlight w:val="none"/>
              </w:rPr>
              <w:t xml:space="preserve"> %</w:t>
            </w:r>
          </w:p>
        </w:tc>
      </w:tr>
      <w:tr w14:paraId="64BE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9628" w:type="dxa"/>
            <w:gridSpan w:val="2"/>
            <w:tcBorders>
              <w:bottom w:val="single" w:color="auto" w:sz="4" w:space="0"/>
            </w:tcBorders>
            <w:vAlign w:val="center"/>
          </w:tcPr>
          <w:p w14:paraId="71BB62F6">
            <w:pPr>
              <w:spacing w:line="560" w:lineRule="exact"/>
              <w:rPr>
                <w:rFonts w:ascii="宋体" w:hAnsi="宋体" w:cs="宋体"/>
                <w:sz w:val="21"/>
                <w:szCs w:val="28"/>
                <w:highlight w:val="none"/>
              </w:rPr>
            </w:pPr>
            <w:r>
              <w:rPr>
                <w:rFonts w:hint="eastAsia" w:ascii="宋体" w:hAnsi="宋体" w:cs="宋体"/>
                <w:sz w:val="21"/>
                <w:szCs w:val="28"/>
                <w:highlight w:val="none"/>
              </w:rPr>
              <w:t>比选申请报价（大写）：</w:t>
            </w:r>
            <w:r>
              <w:rPr>
                <w:rFonts w:hint="eastAsia" w:ascii="宋体" w:hAnsi="宋体" w:cs="宋体"/>
                <w:sz w:val="21"/>
                <w:szCs w:val="28"/>
                <w:highlight w:val="none"/>
                <w:u w:val="single"/>
              </w:rPr>
              <w:t xml:space="preserve">固定费率百分之          </w:t>
            </w:r>
          </w:p>
        </w:tc>
      </w:tr>
      <w:tr w14:paraId="2F837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trPr>
        <w:tc>
          <w:tcPr>
            <w:tcW w:w="9628" w:type="dxa"/>
            <w:gridSpan w:val="2"/>
            <w:vAlign w:val="center"/>
          </w:tcPr>
          <w:p w14:paraId="45F25C23">
            <w:pPr>
              <w:spacing w:line="500" w:lineRule="exact"/>
              <w:rPr>
                <w:rFonts w:ascii="宋体" w:hAnsi="宋体" w:cs="宋体"/>
                <w:sz w:val="21"/>
                <w:szCs w:val="28"/>
                <w:highlight w:val="none"/>
              </w:rPr>
            </w:pPr>
            <w:r>
              <w:rPr>
                <w:rFonts w:hint="eastAsia" w:ascii="宋体" w:hAnsi="宋体" w:cs="宋体"/>
                <w:sz w:val="21"/>
                <w:szCs w:val="28"/>
                <w:highlight w:val="none"/>
              </w:rPr>
              <w:t>备注：</w:t>
            </w:r>
          </w:p>
        </w:tc>
      </w:tr>
    </w:tbl>
    <w:p w14:paraId="01F12CFF">
      <w:pPr>
        <w:pStyle w:val="33"/>
        <w:spacing w:line="500" w:lineRule="exact"/>
        <w:rPr>
          <w:rFonts w:ascii="宋体" w:hAnsi="宋体" w:cs="宋体"/>
          <w:sz w:val="24"/>
          <w:highlight w:val="none"/>
        </w:rPr>
      </w:pPr>
    </w:p>
    <w:p w14:paraId="39168B42">
      <w:pPr>
        <w:spacing w:line="500" w:lineRule="exact"/>
        <w:rPr>
          <w:rFonts w:ascii="宋体" w:hAnsi="宋体" w:cs="宋体"/>
          <w:sz w:val="24"/>
          <w:highlight w:val="none"/>
        </w:rPr>
      </w:pPr>
      <w:r>
        <w:rPr>
          <w:rFonts w:hint="eastAsia" w:ascii="宋体" w:hAnsi="宋体" w:cs="宋体"/>
          <w:sz w:val="24"/>
          <w:highlight w:val="none"/>
        </w:rPr>
        <w:t>比选申请人：                      法定代表人（或法定代表人授权代表）或自然人：</w:t>
      </w:r>
    </w:p>
    <w:p w14:paraId="546D4451">
      <w:pPr>
        <w:spacing w:line="500" w:lineRule="exact"/>
        <w:rPr>
          <w:rFonts w:ascii="宋体" w:hAnsi="宋体" w:cs="宋体"/>
          <w:sz w:val="24"/>
          <w:highlight w:val="none"/>
        </w:rPr>
      </w:pPr>
      <w:r>
        <w:rPr>
          <w:rFonts w:hint="eastAsia" w:ascii="宋体" w:hAnsi="宋体" w:cs="宋体"/>
          <w:sz w:val="24"/>
          <w:highlight w:val="none"/>
        </w:rPr>
        <w:t xml:space="preserve">  （比选申请人公章）                               （签署或盖章）</w:t>
      </w:r>
    </w:p>
    <w:p w14:paraId="7460822C">
      <w:pPr>
        <w:spacing w:line="500" w:lineRule="exact"/>
        <w:rPr>
          <w:rFonts w:ascii="宋体" w:hAnsi="宋体" w:cs="宋体"/>
          <w:sz w:val="24"/>
          <w:highlight w:val="none"/>
        </w:rPr>
      </w:pPr>
      <w:r>
        <w:rPr>
          <w:rFonts w:hint="eastAsia" w:ascii="宋体" w:hAnsi="宋体" w:cs="宋体"/>
          <w:sz w:val="24"/>
          <w:highlight w:val="none"/>
        </w:rPr>
        <w:t xml:space="preserve">                                            年     月     日</w:t>
      </w:r>
    </w:p>
    <w:p w14:paraId="36625766">
      <w:pPr>
        <w:spacing w:line="500" w:lineRule="exact"/>
        <w:rPr>
          <w:rFonts w:ascii="宋体" w:hAnsi="宋体" w:cs="宋体"/>
          <w:sz w:val="24"/>
          <w:highlight w:val="none"/>
        </w:rPr>
      </w:pPr>
      <w:r>
        <w:rPr>
          <w:rFonts w:hint="eastAsia" w:ascii="宋体" w:hAnsi="宋体" w:cs="宋体"/>
          <w:sz w:val="24"/>
          <w:highlight w:val="none"/>
        </w:rPr>
        <w:t>说明：</w:t>
      </w:r>
    </w:p>
    <w:p w14:paraId="74E943DB">
      <w:pPr>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1.开标一览表按格式填列；</w:t>
      </w:r>
    </w:p>
    <w:p w14:paraId="0E85CB91">
      <w:pPr>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2.开标一览表在开标大会上当众宣读，务必填写清楚，准确无误；</w:t>
      </w:r>
    </w:p>
    <w:p w14:paraId="1FEADDAB">
      <w:pPr>
        <w:snapToGrid w:val="0"/>
        <w:spacing w:line="500" w:lineRule="exact"/>
        <w:ind w:firstLine="480" w:firstLineChars="200"/>
        <w:rPr>
          <w:rFonts w:ascii="宋体" w:hAnsi="宋体" w:cs="宋体"/>
          <w:sz w:val="24"/>
        </w:rPr>
      </w:pPr>
      <w:r>
        <w:rPr>
          <w:rFonts w:hint="eastAsia" w:ascii="宋体" w:hAnsi="宋体" w:cs="宋体"/>
          <w:sz w:val="24"/>
          <w:highlight w:val="none"/>
        </w:rPr>
        <w:t>3.本项目的固定费率在0%-100%为有效报价，比选申请报价固定费率必须按照上述要求进行填报。若比选申请人填报的申请报价固定费率不满足上述要求，则为无效比选申请。</w:t>
      </w:r>
    </w:p>
    <w:p w14:paraId="5A83D3BC">
      <w:pPr>
        <w:rPr>
          <w:rFonts w:ascii="宋体" w:hAnsi="宋体" w:cs="宋体"/>
          <w:sz w:val="24"/>
          <w:szCs w:val="24"/>
        </w:rPr>
      </w:pPr>
      <w:bookmarkStart w:id="423" w:name="_Toc313888362"/>
      <w:bookmarkStart w:id="424" w:name="_Toc342913421"/>
      <w:bookmarkStart w:id="425" w:name="_Toc313008358"/>
      <w:bookmarkStart w:id="426" w:name="_Toc18710"/>
      <w:bookmarkStart w:id="427" w:name="_Toc7999"/>
      <w:r>
        <w:rPr>
          <w:rFonts w:hint="eastAsia" w:ascii="宋体" w:hAnsi="宋体" w:cs="宋体"/>
          <w:sz w:val="24"/>
          <w:szCs w:val="24"/>
        </w:rPr>
        <w:br w:type="page"/>
      </w:r>
    </w:p>
    <w:p w14:paraId="392D37F8">
      <w:pPr>
        <w:pStyle w:val="4"/>
        <w:numPr>
          <w:ilvl w:val="0"/>
          <w:numId w:val="17"/>
        </w:numPr>
        <w:spacing w:before="0" w:after="0" w:line="360" w:lineRule="auto"/>
        <w:ind w:firstLine="3855" w:firstLineChars="1600"/>
        <w:rPr>
          <w:rFonts w:ascii="宋体" w:hAnsi="宋体" w:cs="宋体"/>
          <w:sz w:val="24"/>
          <w:szCs w:val="24"/>
        </w:rPr>
      </w:pPr>
      <w:r>
        <w:rPr>
          <w:rFonts w:hint="eastAsia" w:ascii="宋体" w:hAnsi="宋体" w:cs="宋体"/>
          <w:sz w:val="24"/>
          <w:szCs w:val="24"/>
        </w:rPr>
        <w:t>服务部分</w:t>
      </w:r>
      <w:bookmarkEnd w:id="423"/>
      <w:bookmarkEnd w:id="424"/>
      <w:bookmarkEnd w:id="425"/>
      <w:bookmarkEnd w:id="426"/>
      <w:bookmarkEnd w:id="427"/>
    </w:p>
    <w:p w14:paraId="301AB5C8">
      <w:pPr>
        <w:rPr>
          <w:rFonts w:ascii="宋体" w:hAnsi="宋体" w:cs="宋体"/>
        </w:rPr>
      </w:pPr>
    </w:p>
    <w:p w14:paraId="08220E28">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（一）服务响应偏离表</w:t>
      </w:r>
    </w:p>
    <w:p w14:paraId="1A1468FB">
      <w:pPr>
        <w:tabs>
          <w:tab w:val="left" w:pos="6300"/>
        </w:tabs>
        <w:snapToGrid w:val="0"/>
        <w:spacing w:line="500" w:lineRule="exact"/>
        <w:ind w:firstLine="480" w:firstLineChars="200"/>
        <w:rPr>
          <w:rFonts w:ascii="宋体" w:hAnsi="宋体" w:cs="宋体"/>
          <w:sz w:val="24"/>
          <w:szCs w:val="24"/>
        </w:rPr>
      </w:pPr>
      <w:r>
        <w:rPr>
          <w:rFonts w:hint="eastAsia" w:ascii="宋体" w:hAnsi="宋体" w:cs="宋体"/>
          <w:sz w:val="24"/>
          <w:szCs w:val="24"/>
        </w:rPr>
        <w:t>项目名称：</w:t>
      </w:r>
    </w:p>
    <w:tbl>
      <w:tblPr>
        <w:tblStyle w:val="59"/>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14:paraId="5E42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vAlign w:val="center"/>
          </w:tcPr>
          <w:p w14:paraId="583013AC">
            <w:pPr>
              <w:tabs>
                <w:tab w:val="left" w:pos="6300"/>
              </w:tabs>
              <w:snapToGrid w:val="0"/>
              <w:spacing w:line="500" w:lineRule="exact"/>
              <w:jc w:val="center"/>
              <w:outlineLvl w:val="0"/>
              <w:rPr>
                <w:rFonts w:ascii="宋体" w:hAnsi="宋体" w:cs="宋体"/>
                <w:sz w:val="24"/>
                <w:szCs w:val="24"/>
              </w:rPr>
            </w:pPr>
            <w:bookmarkStart w:id="428" w:name="_Toc27263"/>
            <w:bookmarkStart w:id="429" w:name="_Toc13288"/>
            <w:bookmarkStart w:id="430" w:name="_Toc22700"/>
            <w:r>
              <w:rPr>
                <w:rFonts w:hint="eastAsia" w:ascii="宋体" w:hAnsi="宋体" w:cs="宋体"/>
                <w:sz w:val="24"/>
                <w:szCs w:val="24"/>
              </w:rPr>
              <w:t>序号</w:t>
            </w:r>
            <w:bookmarkEnd w:id="428"/>
            <w:bookmarkEnd w:id="429"/>
            <w:bookmarkEnd w:id="430"/>
          </w:p>
        </w:tc>
        <w:tc>
          <w:tcPr>
            <w:tcW w:w="2658" w:type="dxa"/>
            <w:vAlign w:val="center"/>
          </w:tcPr>
          <w:p w14:paraId="0E6A2E3C">
            <w:pPr>
              <w:tabs>
                <w:tab w:val="left" w:pos="6300"/>
              </w:tabs>
              <w:snapToGrid w:val="0"/>
              <w:spacing w:line="500" w:lineRule="exact"/>
              <w:jc w:val="center"/>
              <w:outlineLvl w:val="0"/>
              <w:rPr>
                <w:rFonts w:ascii="宋体" w:hAnsi="宋体" w:cs="宋体"/>
                <w:sz w:val="24"/>
                <w:szCs w:val="24"/>
              </w:rPr>
            </w:pPr>
            <w:bookmarkStart w:id="431" w:name="_Toc30390"/>
            <w:bookmarkStart w:id="432" w:name="_Toc28531"/>
            <w:bookmarkStart w:id="433" w:name="_Toc26748"/>
            <w:r>
              <w:rPr>
                <w:rFonts w:hint="eastAsia" w:ascii="宋体" w:hAnsi="宋体" w:cs="宋体"/>
                <w:sz w:val="24"/>
                <w:szCs w:val="24"/>
              </w:rPr>
              <w:t>项目需求</w:t>
            </w:r>
            <w:bookmarkEnd w:id="431"/>
            <w:bookmarkEnd w:id="432"/>
            <w:bookmarkEnd w:id="433"/>
          </w:p>
        </w:tc>
        <w:tc>
          <w:tcPr>
            <w:tcW w:w="2759" w:type="dxa"/>
            <w:vAlign w:val="center"/>
          </w:tcPr>
          <w:p w14:paraId="1F891B8F">
            <w:pPr>
              <w:tabs>
                <w:tab w:val="left" w:pos="6300"/>
              </w:tabs>
              <w:snapToGrid w:val="0"/>
              <w:spacing w:line="500" w:lineRule="exact"/>
              <w:jc w:val="center"/>
              <w:outlineLvl w:val="0"/>
              <w:rPr>
                <w:rFonts w:ascii="宋体" w:hAnsi="宋体" w:cs="宋体"/>
                <w:sz w:val="24"/>
                <w:szCs w:val="24"/>
              </w:rPr>
            </w:pPr>
            <w:bookmarkStart w:id="434" w:name="_Toc881"/>
            <w:bookmarkStart w:id="435" w:name="_Toc29126"/>
            <w:bookmarkStart w:id="436" w:name="_Toc19628"/>
            <w:r>
              <w:rPr>
                <w:rFonts w:hint="eastAsia" w:ascii="宋体" w:hAnsi="宋体" w:cs="宋体"/>
                <w:sz w:val="24"/>
                <w:szCs w:val="24"/>
              </w:rPr>
              <w:t>响应情况</w:t>
            </w:r>
            <w:bookmarkEnd w:id="434"/>
            <w:bookmarkEnd w:id="435"/>
            <w:bookmarkEnd w:id="436"/>
          </w:p>
        </w:tc>
        <w:tc>
          <w:tcPr>
            <w:tcW w:w="2067" w:type="dxa"/>
            <w:vAlign w:val="center"/>
          </w:tcPr>
          <w:p w14:paraId="39BADE7F">
            <w:pPr>
              <w:tabs>
                <w:tab w:val="left" w:pos="6300"/>
              </w:tabs>
              <w:snapToGrid w:val="0"/>
              <w:spacing w:line="500" w:lineRule="exact"/>
              <w:jc w:val="center"/>
              <w:outlineLvl w:val="0"/>
              <w:rPr>
                <w:rFonts w:ascii="宋体" w:hAnsi="宋体" w:cs="宋体"/>
                <w:sz w:val="24"/>
                <w:szCs w:val="24"/>
              </w:rPr>
            </w:pPr>
            <w:bookmarkStart w:id="437" w:name="_Toc5373"/>
            <w:bookmarkStart w:id="438" w:name="_Toc10185"/>
            <w:bookmarkStart w:id="439" w:name="_Toc2776"/>
            <w:r>
              <w:rPr>
                <w:rFonts w:hint="eastAsia" w:ascii="宋体" w:hAnsi="宋体" w:cs="宋体"/>
                <w:sz w:val="24"/>
                <w:szCs w:val="24"/>
              </w:rPr>
              <w:t>差异说明</w:t>
            </w:r>
            <w:bookmarkEnd w:id="437"/>
            <w:bookmarkEnd w:id="438"/>
            <w:bookmarkEnd w:id="439"/>
          </w:p>
        </w:tc>
      </w:tr>
      <w:tr w14:paraId="55C66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52898BE2">
            <w:pPr>
              <w:tabs>
                <w:tab w:val="left" w:pos="6300"/>
              </w:tabs>
              <w:snapToGrid w:val="0"/>
              <w:spacing w:line="500" w:lineRule="exact"/>
              <w:jc w:val="center"/>
              <w:outlineLvl w:val="0"/>
              <w:rPr>
                <w:rFonts w:ascii="宋体" w:hAnsi="宋体" w:cs="宋体"/>
                <w:sz w:val="24"/>
                <w:szCs w:val="24"/>
              </w:rPr>
            </w:pPr>
          </w:p>
        </w:tc>
        <w:tc>
          <w:tcPr>
            <w:tcW w:w="2658" w:type="dxa"/>
            <w:vAlign w:val="center"/>
          </w:tcPr>
          <w:p w14:paraId="10E65891">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03B68E95">
            <w:pPr>
              <w:tabs>
                <w:tab w:val="left" w:pos="6300"/>
              </w:tabs>
              <w:snapToGrid w:val="0"/>
              <w:spacing w:line="500" w:lineRule="exact"/>
              <w:jc w:val="center"/>
              <w:outlineLvl w:val="0"/>
              <w:rPr>
                <w:rFonts w:ascii="宋体" w:hAnsi="宋体" w:cs="宋体"/>
                <w:sz w:val="24"/>
                <w:szCs w:val="24"/>
              </w:rPr>
            </w:pPr>
            <w:bookmarkStart w:id="440" w:name="_Toc26286"/>
            <w:r>
              <w:rPr>
                <w:rFonts w:hint="eastAsia" w:ascii="宋体" w:hAnsi="宋体" w:cs="宋体"/>
                <w:sz w:val="24"/>
                <w:szCs w:val="24"/>
              </w:rPr>
              <w:t>提醒：请注明服务参数或具体内容以及响应文件中服务参数或具体内容的位置（页码）</w:t>
            </w:r>
            <w:bookmarkEnd w:id="440"/>
          </w:p>
        </w:tc>
        <w:tc>
          <w:tcPr>
            <w:tcW w:w="2067" w:type="dxa"/>
            <w:vAlign w:val="center"/>
          </w:tcPr>
          <w:p w14:paraId="677B22F9">
            <w:pPr>
              <w:tabs>
                <w:tab w:val="left" w:pos="6300"/>
              </w:tabs>
              <w:snapToGrid w:val="0"/>
              <w:spacing w:line="500" w:lineRule="exact"/>
              <w:jc w:val="center"/>
              <w:outlineLvl w:val="0"/>
              <w:rPr>
                <w:rFonts w:ascii="宋体" w:hAnsi="宋体" w:cs="宋体"/>
                <w:sz w:val="24"/>
                <w:szCs w:val="24"/>
              </w:rPr>
            </w:pPr>
          </w:p>
        </w:tc>
      </w:tr>
      <w:tr w14:paraId="495D5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05890879">
            <w:pPr>
              <w:tabs>
                <w:tab w:val="left" w:pos="6300"/>
              </w:tabs>
              <w:snapToGrid w:val="0"/>
              <w:spacing w:line="500" w:lineRule="exact"/>
              <w:outlineLvl w:val="0"/>
              <w:rPr>
                <w:rFonts w:ascii="宋体" w:hAnsi="宋体" w:cs="宋体"/>
                <w:sz w:val="24"/>
                <w:szCs w:val="24"/>
              </w:rPr>
            </w:pPr>
          </w:p>
        </w:tc>
        <w:tc>
          <w:tcPr>
            <w:tcW w:w="2658" w:type="dxa"/>
            <w:vAlign w:val="center"/>
          </w:tcPr>
          <w:p w14:paraId="36E8D909">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52F36B59">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643548C7">
            <w:pPr>
              <w:tabs>
                <w:tab w:val="left" w:pos="6300"/>
              </w:tabs>
              <w:snapToGrid w:val="0"/>
              <w:spacing w:line="500" w:lineRule="exact"/>
              <w:jc w:val="center"/>
              <w:outlineLvl w:val="0"/>
              <w:rPr>
                <w:rFonts w:ascii="宋体" w:hAnsi="宋体" w:cs="宋体"/>
                <w:sz w:val="24"/>
                <w:szCs w:val="24"/>
              </w:rPr>
            </w:pPr>
          </w:p>
        </w:tc>
      </w:tr>
      <w:tr w14:paraId="56323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7CB37683">
            <w:pPr>
              <w:tabs>
                <w:tab w:val="left" w:pos="6300"/>
              </w:tabs>
              <w:snapToGrid w:val="0"/>
              <w:spacing w:line="500" w:lineRule="exact"/>
              <w:outlineLvl w:val="0"/>
              <w:rPr>
                <w:rFonts w:ascii="宋体" w:hAnsi="宋体" w:cs="宋体"/>
                <w:sz w:val="24"/>
                <w:szCs w:val="24"/>
              </w:rPr>
            </w:pPr>
          </w:p>
        </w:tc>
        <w:tc>
          <w:tcPr>
            <w:tcW w:w="2658" w:type="dxa"/>
            <w:vAlign w:val="center"/>
          </w:tcPr>
          <w:p w14:paraId="0CF965C0">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22A9C0F3">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2417B883">
            <w:pPr>
              <w:tabs>
                <w:tab w:val="left" w:pos="6300"/>
              </w:tabs>
              <w:snapToGrid w:val="0"/>
              <w:spacing w:line="500" w:lineRule="exact"/>
              <w:jc w:val="center"/>
              <w:outlineLvl w:val="0"/>
              <w:rPr>
                <w:rFonts w:ascii="宋体" w:hAnsi="宋体" w:cs="宋体"/>
                <w:sz w:val="24"/>
                <w:szCs w:val="24"/>
              </w:rPr>
            </w:pPr>
          </w:p>
        </w:tc>
      </w:tr>
      <w:tr w14:paraId="789DC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5FE2CDE0">
            <w:pPr>
              <w:tabs>
                <w:tab w:val="left" w:pos="6300"/>
              </w:tabs>
              <w:snapToGrid w:val="0"/>
              <w:spacing w:line="500" w:lineRule="exact"/>
              <w:outlineLvl w:val="0"/>
              <w:rPr>
                <w:rFonts w:ascii="宋体" w:hAnsi="宋体" w:cs="宋体"/>
                <w:sz w:val="24"/>
                <w:szCs w:val="24"/>
              </w:rPr>
            </w:pPr>
          </w:p>
        </w:tc>
        <w:tc>
          <w:tcPr>
            <w:tcW w:w="2658" w:type="dxa"/>
            <w:vAlign w:val="center"/>
          </w:tcPr>
          <w:p w14:paraId="3D98CF25">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10932E7B">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45596EB2">
            <w:pPr>
              <w:tabs>
                <w:tab w:val="left" w:pos="6300"/>
              </w:tabs>
              <w:snapToGrid w:val="0"/>
              <w:spacing w:line="500" w:lineRule="exact"/>
              <w:jc w:val="center"/>
              <w:outlineLvl w:val="0"/>
              <w:rPr>
                <w:rFonts w:ascii="宋体" w:hAnsi="宋体" w:cs="宋体"/>
                <w:sz w:val="24"/>
                <w:szCs w:val="24"/>
              </w:rPr>
            </w:pPr>
          </w:p>
        </w:tc>
      </w:tr>
      <w:tr w14:paraId="75D5B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2E528554">
            <w:pPr>
              <w:tabs>
                <w:tab w:val="left" w:pos="6300"/>
              </w:tabs>
              <w:snapToGrid w:val="0"/>
              <w:spacing w:line="500" w:lineRule="exact"/>
              <w:outlineLvl w:val="0"/>
              <w:rPr>
                <w:rFonts w:ascii="宋体" w:hAnsi="宋体" w:cs="宋体"/>
                <w:sz w:val="24"/>
                <w:szCs w:val="24"/>
              </w:rPr>
            </w:pPr>
          </w:p>
        </w:tc>
        <w:tc>
          <w:tcPr>
            <w:tcW w:w="2658" w:type="dxa"/>
            <w:vAlign w:val="center"/>
          </w:tcPr>
          <w:p w14:paraId="70CA18CC">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53A36F4C">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472870EF">
            <w:pPr>
              <w:tabs>
                <w:tab w:val="left" w:pos="6300"/>
              </w:tabs>
              <w:snapToGrid w:val="0"/>
              <w:spacing w:line="500" w:lineRule="exact"/>
              <w:jc w:val="center"/>
              <w:outlineLvl w:val="0"/>
              <w:rPr>
                <w:rFonts w:ascii="宋体" w:hAnsi="宋体" w:cs="宋体"/>
                <w:sz w:val="24"/>
                <w:szCs w:val="24"/>
              </w:rPr>
            </w:pPr>
          </w:p>
        </w:tc>
      </w:tr>
      <w:tr w14:paraId="0F8E0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1D455924">
            <w:pPr>
              <w:tabs>
                <w:tab w:val="left" w:pos="6300"/>
              </w:tabs>
              <w:snapToGrid w:val="0"/>
              <w:spacing w:line="500" w:lineRule="exact"/>
              <w:outlineLvl w:val="0"/>
              <w:rPr>
                <w:rFonts w:ascii="宋体" w:hAnsi="宋体" w:cs="宋体"/>
                <w:sz w:val="24"/>
                <w:szCs w:val="24"/>
              </w:rPr>
            </w:pPr>
          </w:p>
        </w:tc>
        <w:tc>
          <w:tcPr>
            <w:tcW w:w="2658" w:type="dxa"/>
            <w:vAlign w:val="center"/>
          </w:tcPr>
          <w:p w14:paraId="0D27C992">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13817159">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4DDE5636">
            <w:pPr>
              <w:tabs>
                <w:tab w:val="left" w:pos="6300"/>
              </w:tabs>
              <w:snapToGrid w:val="0"/>
              <w:spacing w:line="500" w:lineRule="exact"/>
              <w:jc w:val="center"/>
              <w:outlineLvl w:val="0"/>
              <w:rPr>
                <w:rFonts w:ascii="宋体" w:hAnsi="宋体" w:cs="宋体"/>
                <w:sz w:val="24"/>
                <w:szCs w:val="24"/>
              </w:rPr>
            </w:pPr>
          </w:p>
        </w:tc>
      </w:tr>
      <w:tr w14:paraId="0733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1C591367">
            <w:pPr>
              <w:tabs>
                <w:tab w:val="left" w:pos="6300"/>
              </w:tabs>
              <w:snapToGrid w:val="0"/>
              <w:spacing w:line="500" w:lineRule="exact"/>
              <w:outlineLvl w:val="0"/>
              <w:rPr>
                <w:rFonts w:ascii="宋体" w:hAnsi="宋体" w:cs="宋体"/>
                <w:sz w:val="24"/>
                <w:szCs w:val="24"/>
              </w:rPr>
            </w:pPr>
          </w:p>
        </w:tc>
        <w:tc>
          <w:tcPr>
            <w:tcW w:w="2658" w:type="dxa"/>
            <w:vAlign w:val="center"/>
          </w:tcPr>
          <w:p w14:paraId="74AD0D88">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1D4A9A77">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1CBC351C">
            <w:pPr>
              <w:tabs>
                <w:tab w:val="left" w:pos="6300"/>
              </w:tabs>
              <w:snapToGrid w:val="0"/>
              <w:spacing w:line="500" w:lineRule="exact"/>
              <w:jc w:val="center"/>
              <w:outlineLvl w:val="0"/>
              <w:rPr>
                <w:rFonts w:ascii="宋体" w:hAnsi="宋体" w:cs="宋体"/>
                <w:sz w:val="24"/>
                <w:szCs w:val="24"/>
              </w:rPr>
            </w:pPr>
          </w:p>
        </w:tc>
      </w:tr>
      <w:tr w14:paraId="0A88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6772F0AB">
            <w:pPr>
              <w:tabs>
                <w:tab w:val="left" w:pos="6300"/>
              </w:tabs>
              <w:snapToGrid w:val="0"/>
              <w:spacing w:line="500" w:lineRule="exact"/>
              <w:outlineLvl w:val="0"/>
              <w:rPr>
                <w:rFonts w:ascii="宋体" w:hAnsi="宋体" w:cs="宋体"/>
                <w:sz w:val="24"/>
                <w:szCs w:val="24"/>
              </w:rPr>
            </w:pPr>
          </w:p>
        </w:tc>
        <w:tc>
          <w:tcPr>
            <w:tcW w:w="2658" w:type="dxa"/>
            <w:vAlign w:val="center"/>
          </w:tcPr>
          <w:p w14:paraId="28B9E2E4">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52722136">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66C663CF">
            <w:pPr>
              <w:tabs>
                <w:tab w:val="left" w:pos="6300"/>
              </w:tabs>
              <w:snapToGrid w:val="0"/>
              <w:spacing w:line="500" w:lineRule="exact"/>
              <w:jc w:val="center"/>
              <w:outlineLvl w:val="0"/>
              <w:rPr>
                <w:rFonts w:ascii="宋体" w:hAnsi="宋体" w:cs="宋体"/>
                <w:sz w:val="24"/>
                <w:szCs w:val="24"/>
              </w:rPr>
            </w:pPr>
          </w:p>
        </w:tc>
      </w:tr>
      <w:tr w14:paraId="469C7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14:paraId="41218950">
            <w:pPr>
              <w:tabs>
                <w:tab w:val="left" w:pos="6300"/>
              </w:tabs>
              <w:snapToGrid w:val="0"/>
              <w:spacing w:line="500" w:lineRule="exact"/>
              <w:outlineLvl w:val="0"/>
              <w:rPr>
                <w:rFonts w:ascii="宋体" w:hAnsi="宋体" w:cs="宋体"/>
                <w:sz w:val="24"/>
                <w:szCs w:val="24"/>
              </w:rPr>
            </w:pPr>
          </w:p>
        </w:tc>
        <w:tc>
          <w:tcPr>
            <w:tcW w:w="2658" w:type="dxa"/>
            <w:vAlign w:val="center"/>
          </w:tcPr>
          <w:p w14:paraId="7C10CB65">
            <w:pPr>
              <w:tabs>
                <w:tab w:val="left" w:pos="6300"/>
              </w:tabs>
              <w:snapToGrid w:val="0"/>
              <w:spacing w:line="500" w:lineRule="exact"/>
              <w:jc w:val="center"/>
              <w:outlineLvl w:val="0"/>
              <w:rPr>
                <w:rFonts w:ascii="宋体" w:hAnsi="宋体" w:cs="宋体"/>
                <w:sz w:val="24"/>
                <w:szCs w:val="24"/>
              </w:rPr>
            </w:pPr>
          </w:p>
        </w:tc>
        <w:tc>
          <w:tcPr>
            <w:tcW w:w="2759" w:type="dxa"/>
            <w:vAlign w:val="center"/>
          </w:tcPr>
          <w:p w14:paraId="3956900D">
            <w:pPr>
              <w:tabs>
                <w:tab w:val="left" w:pos="6300"/>
              </w:tabs>
              <w:snapToGrid w:val="0"/>
              <w:spacing w:line="500" w:lineRule="exact"/>
              <w:jc w:val="center"/>
              <w:outlineLvl w:val="0"/>
              <w:rPr>
                <w:rFonts w:ascii="宋体" w:hAnsi="宋体" w:cs="宋体"/>
                <w:sz w:val="24"/>
                <w:szCs w:val="24"/>
              </w:rPr>
            </w:pPr>
          </w:p>
        </w:tc>
        <w:tc>
          <w:tcPr>
            <w:tcW w:w="2067" w:type="dxa"/>
            <w:vAlign w:val="center"/>
          </w:tcPr>
          <w:p w14:paraId="37A31D2E">
            <w:pPr>
              <w:tabs>
                <w:tab w:val="left" w:pos="6300"/>
              </w:tabs>
              <w:snapToGrid w:val="0"/>
              <w:spacing w:line="500" w:lineRule="exact"/>
              <w:jc w:val="center"/>
              <w:outlineLvl w:val="0"/>
              <w:rPr>
                <w:rFonts w:ascii="宋体" w:hAnsi="宋体" w:cs="宋体"/>
                <w:sz w:val="24"/>
                <w:szCs w:val="24"/>
              </w:rPr>
            </w:pPr>
          </w:p>
        </w:tc>
      </w:tr>
    </w:tbl>
    <w:p w14:paraId="7E49B389">
      <w:pPr>
        <w:spacing w:line="500" w:lineRule="exact"/>
        <w:ind w:firstLine="600" w:firstLineChars="250"/>
        <w:rPr>
          <w:rFonts w:ascii="宋体" w:hAnsi="宋体" w:cs="宋体"/>
          <w:sz w:val="24"/>
          <w:szCs w:val="24"/>
        </w:rPr>
      </w:pPr>
      <w:r>
        <w:rPr>
          <w:rFonts w:hint="eastAsia" w:ascii="宋体" w:hAnsi="宋体" w:cs="宋体"/>
          <w:sz w:val="24"/>
          <w:szCs w:val="24"/>
        </w:rPr>
        <w:t>比选申请人：                            法人授权代表：</w:t>
      </w:r>
    </w:p>
    <w:p w14:paraId="61FCDADF">
      <w:pPr>
        <w:spacing w:line="500" w:lineRule="exact"/>
        <w:ind w:firstLine="1200" w:firstLineChars="500"/>
        <w:rPr>
          <w:rFonts w:ascii="宋体" w:hAnsi="宋体" w:cs="宋体"/>
          <w:sz w:val="24"/>
          <w:szCs w:val="24"/>
        </w:rPr>
      </w:pPr>
      <w:r>
        <w:rPr>
          <w:rFonts w:hint="eastAsia" w:ascii="宋体" w:hAnsi="宋体" w:cs="宋体"/>
          <w:sz w:val="24"/>
          <w:szCs w:val="24"/>
        </w:rPr>
        <w:t>（比选申请人公章）                             （签字或盖章）</w:t>
      </w:r>
    </w:p>
    <w:p w14:paraId="22C5D6BE">
      <w:pPr>
        <w:tabs>
          <w:tab w:val="left" w:pos="6300"/>
        </w:tabs>
        <w:snapToGrid w:val="0"/>
        <w:spacing w:line="500" w:lineRule="exact"/>
        <w:ind w:firstLine="7200" w:firstLineChars="3000"/>
        <w:rPr>
          <w:rFonts w:ascii="宋体" w:hAnsi="宋体" w:cs="宋体"/>
          <w:sz w:val="24"/>
          <w:szCs w:val="24"/>
        </w:rPr>
      </w:pPr>
      <w:r>
        <w:rPr>
          <w:rFonts w:hint="eastAsia" w:ascii="宋体" w:hAnsi="宋体" w:cs="宋体"/>
          <w:sz w:val="24"/>
          <w:szCs w:val="24"/>
        </w:rPr>
        <w:t>年 月   日</w:t>
      </w:r>
    </w:p>
    <w:p w14:paraId="1E052698">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注：</w:t>
      </w:r>
    </w:p>
    <w:p w14:paraId="6F5A9F00">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1.本表即为对本项目“第二篇项目服务需求”中所列服务要求进行比较和响应；</w:t>
      </w:r>
    </w:p>
    <w:p w14:paraId="49744ABE">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2.该表必须按照比选文件要求逐条如实填写，根据响应情况在“差异说明”项填写正偏离或负偏离及原因，完全符合的填写“无差异”；</w:t>
      </w:r>
    </w:p>
    <w:p w14:paraId="10A4166F">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3.该表可扩展，并逐页签字或盖章；</w:t>
      </w:r>
    </w:p>
    <w:p w14:paraId="3E407933">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4.可附相关支撑材料。（格式自定）</w:t>
      </w:r>
    </w:p>
    <w:p w14:paraId="243792D9">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5.若“响应情况”栏中仅填写“无偏离”或“有偏离”等内容而未作实质性参数描述，该比选申请人将失去成为中选人的资格，仅保留其合格比选申请人的身份。</w:t>
      </w:r>
    </w:p>
    <w:p w14:paraId="6CBEB719">
      <w:pPr>
        <w:snapToGrid w:val="0"/>
        <w:spacing w:line="360" w:lineRule="auto"/>
        <w:ind w:firstLine="480" w:firstLineChars="200"/>
        <w:rPr>
          <w:rFonts w:ascii="宋体" w:hAnsi="宋体" w:cs="宋体"/>
          <w:sz w:val="24"/>
          <w:szCs w:val="24"/>
        </w:rPr>
      </w:pPr>
      <w:r>
        <w:rPr>
          <w:rFonts w:hint="eastAsia" w:ascii="宋体" w:hAnsi="宋体" w:cs="宋体"/>
          <w:sz w:val="24"/>
          <w:szCs w:val="24"/>
        </w:rPr>
        <w:br w:type="page"/>
      </w:r>
    </w:p>
    <w:p w14:paraId="586A8538">
      <w:pPr>
        <w:tabs>
          <w:tab w:val="left" w:pos="6300"/>
        </w:tabs>
        <w:snapToGrid w:val="0"/>
        <w:spacing w:line="400" w:lineRule="exact"/>
        <w:rPr>
          <w:rFonts w:ascii="宋体" w:hAnsi="宋体" w:cs="宋体"/>
          <w:sz w:val="24"/>
          <w:szCs w:val="24"/>
        </w:rPr>
      </w:pPr>
      <w:r>
        <w:rPr>
          <w:rFonts w:hint="eastAsia" w:ascii="宋体" w:hAnsi="宋体" w:cs="宋体"/>
          <w:sz w:val="24"/>
          <w:szCs w:val="24"/>
        </w:rPr>
        <w:t>（二）其他资料（如有）</w:t>
      </w:r>
    </w:p>
    <w:p w14:paraId="60F29DC9">
      <w:pPr>
        <w:rPr>
          <w:rFonts w:ascii="宋体" w:hAnsi="宋体" w:cs="宋体"/>
          <w:sz w:val="24"/>
          <w:szCs w:val="28"/>
        </w:rPr>
      </w:pPr>
      <w:r>
        <w:rPr>
          <w:rFonts w:hint="eastAsia" w:ascii="宋体" w:hAnsi="宋体" w:cs="宋体"/>
          <w:sz w:val="24"/>
          <w:szCs w:val="28"/>
        </w:rPr>
        <w:t>比选申请人根据自身情况自行编制</w:t>
      </w:r>
      <w:r>
        <w:rPr>
          <w:rFonts w:hint="eastAsia" w:ascii="宋体" w:hAnsi="宋体" w:cs="宋体"/>
          <w:sz w:val="24"/>
          <w:szCs w:val="28"/>
        </w:rPr>
        <w:br w:type="page"/>
      </w:r>
    </w:p>
    <w:p w14:paraId="1824F294">
      <w:pPr>
        <w:snapToGrid w:val="0"/>
        <w:spacing w:line="360" w:lineRule="auto"/>
        <w:ind w:firstLine="3600" w:firstLineChars="1500"/>
        <w:rPr>
          <w:rFonts w:ascii="宋体" w:hAnsi="宋体" w:cs="宋体"/>
          <w:sz w:val="24"/>
          <w:szCs w:val="24"/>
        </w:rPr>
      </w:pPr>
    </w:p>
    <w:p w14:paraId="03953BF6">
      <w:pPr>
        <w:snapToGrid w:val="0"/>
        <w:spacing w:line="360" w:lineRule="auto"/>
        <w:ind w:firstLine="3600" w:firstLineChars="1500"/>
        <w:rPr>
          <w:rFonts w:ascii="宋体" w:hAnsi="宋体" w:cs="宋体"/>
          <w:sz w:val="24"/>
          <w:szCs w:val="24"/>
        </w:rPr>
      </w:pPr>
      <w:r>
        <w:rPr>
          <w:rFonts w:hint="eastAsia" w:ascii="宋体" w:hAnsi="宋体" w:cs="宋体"/>
          <w:sz w:val="24"/>
          <w:szCs w:val="24"/>
        </w:rPr>
        <w:t>三、商务部分</w:t>
      </w:r>
    </w:p>
    <w:p w14:paraId="271B89A8">
      <w:pPr>
        <w:snapToGrid w:val="0"/>
        <w:spacing w:line="360" w:lineRule="auto"/>
        <w:ind w:firstLine="480" w:firstLineChars="200"/>
        <w:rPr>
          <w:rFonts w:ascii="宋体" w:hAnsi="宋体" w:cs="宋体"/>
          <w:sz w:val="24"/>
          <w:szCs w:val="24"/>
        </w:rPr>
      </w:pPr>
      <w:r>
        <w:rPr>
          <w:rFonts w:hint="eastAsia" w:ascii="宋体" w:hAnsi="宋体" w:cs="宋体"/>
          <w:sz w:val="24"/>
          <w:szCs w:val="24"/>
        </w:rPr>
        <w:t>（一）比选申请函（格式）</w:t>
      </w:r>
    </w:p>
    <w:p w14:paraId="438417D2">
      <w:pPr>
        <w:snapToGrid w:val="0"/>
        <w:spacing w:line="360" w:lineRule="auto"/>
        <w:ind w:firstLine="480" w:firstLineChars="200"/>
        <w:rPr>
          <w:rFonts w:ascii="宋体" w:hAnsi="宋体" w:cs="宋体"/>
          <w:sz w:val="24"/>
          <w:szCs w:val="24"/>
        </w:rPr>
      </w:pPr>
    </w:p>
    <w:p w14:paraId="42C923CD">
      <w:pPr>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比选项目名称：</w:t>
      </w:r>
      <w:r>
        <w:rPr>
          <w:rFonts w:hint="eastAsia" w:ascii="宋体" w:hAnsi="宋体" w:cs="宋体"/>
          <w:sz w:val="24"/>
          <w:szCs w:val="24"/>
          <w:u w:val="single"/>
        </w:rPr>
        <w:t xml:space="preserve">                                             </w:t>
      </w:r>
    </w:p>
    <w:p w14:paraId="31026A35">
      <w:pPr>
        <w:snapToGrid w:val="0"/>
        <w:spacing w:line="360" w:lineRule="auto"/>
        <w:ind w:firstLine="480" w:firstLineChars="200"/>
        <w:rPr>
          <w:rFonts w:ascii="宋体" w:hAnsi="宋体" w:cs="宋体"/>
          <w:sz w:val="24"/>
          <w:szCs w:val="24"/>
        </w:rPr>
      </w:pPr>
    </w:p>
    <w:p w14:paraId="36CF307D">
      <w:pPr>
        <w:snapToGrid w:val="0"/>
        <w:spacing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 xml:space="preserve"> （比选代理机构名称）：</w:t>
      </w:r>
      <w:r>
        <w:rPr>
          <w:rFonts w:hint="eastAsia" w:ascii="宋体" w:hAnsi="宋体" w:cs="宋体"/>
          <w:sz w:val="24"/>
          <w:szCs w:val="24"/>
          <w:u w:val="single"/>
        </w:rPr>
        <w:t xml:space="preserve">                     </w:t>
      </w:r>
      <w:r>
        <w:rPr>
          <w:rFonts w:hint="eastAsia" w:ascii="宋体" w:hAnsi="宋体" w:cs="宋体"/>
          <w:sz w:val="24"/>
          <w:szCs w:val="24"/>
        </w:rPr>
        <w:t>（比选申请人名称）系中华人民共和国合法企业，注册地址：</w:t>
      </w:r>
      <w:r>
        <w:rPr>
          <w:rFonts w:hint="eastAsia" w:ascii="宋体" w:hAnsi="宋体" w:cs="宋体"/>
          <w:sz w:val="24"/>
          <w:szCs w:val="24"/>
          <w:u w:val="single"/>
        </w:rPr>
        <w:t xml:space="preserve">                               </w:t>
      </w:r>
      <w:r>
        <w:rPr>
          <w:rFonts w:hint="eastAsia" w:ascii="宋体" w:hAnsi="宋体" w:cs="宋体"/>
          <w:sz w:val="24"/>
          <w:szCs w:val="24"/>
        </w:rPr>
        <w:t>。我方就参加本次比选申请有关事项郑重声明如下：</w:t>
      </w:r>
    </w:p>
    <w:p w14:paraId="3F1F09B2">
      <w:pPr>
        <w:snapToGrid w:val="0"/>
        <w:spacing w:line="360" w:lineRule="auto"/>
        <w:ind w:firstLine="480" w:firstLineChars="200"/>
        <w:rPr>
          <w:rFonts w:ascii="宋体" w:hAnsi="宋体" w:cs="宋体"/>
          <w:sz w:val="24"/>
          <w:szCs w:val="24"/>
        </w:rPr>
      </w:pPr>
      <w:r>
        <w:rPr>
          <w:rFonts w:hint="eastAsia" w:ascii="宋体" w:hAnsi="宋体" w:cs="宋体"/>
          <w:sz w:val="24"/>
          <w:szCs w:val="24"/>
        </w:rPr>
        <w:t>一、我方完全理解并接受该项目比选文件所有要求。</w:t>
      </w:r>
    </w:p>
    <w:p w14:paraId="4F6591AF">
      <w:pPr>
        <w:snapToGrid w:val="0"/>
        <w:spacing w:line="360" w:lineRule="auto"/>
        <w:ind w:firstLine="480" w:firstLineChars="200"/>
        <w:rPr>
          <w:rFonts w:ascii="宋体" w:hAnsi="宋体" w:cs="宋体"/>
          <w:sz w:val="24"/>
          <w:szCs w:val="24"/>
        </w:rPr>
      </w:pPr>
      <w:r>
        <w:rPr>
          <w:rFonts w:hint="eastAsia" w:ascii="宋体" w:hAnsi="宋体" w:cs="宋体"/>
          <w:sz w:val="24"/>
          <w:szCs w:val="24"/>
        </w:rPr>
        <w:t>二、我方提交的所有比选申请文件、资料都是准确和真实的，如有虚假或隐瞒，我方愿意承担一切法律责任。</w:t>
      </w:r>
    </w:p>
    <w:p w14:paraId="402C86D0">
      <w:pPr>
        <w:snapToGrid w:val="0"/>
        <w:spacing w:line="360" w:lineRule="auto"/>
        <w:ind w:firstLine="480" w:firstLineChars="200"/>
        <w:rPr>
          <w:rFonts w:ascii="宋体" w:hAnsi="宋体" w:cs="宋体"/>
          <w:sz w:val="24"/>
          <w:szCs w:val="24"/>
        </w:rPr>
      </w:pPr>
      <w:r>
        <w:rPr>
          <w:rFonts w:hint="eastAsia" w:ascii="宋体" w:hAnsi="宋体" w:cs="宋体"/>
          <w:sz w:val="24"/>
          <w:szCs w:val="24"/>
        </w:rPr>
        <w:t>三、我方承诺按照比选文件要求，提供比选项目的服务。</w:t>
      </w:r>
    </w:p>
    <w:p w14:paraId="5B3568A9">
      <w:pPr>
        <w:snapToGrid w:val="0"/>
        <w:spacing w:line="360" w:lineRule="auto"/>
        <w:ind w:firstLine="480" w:firstLineChars="200"/>
        <w:rPr>
          <w:rFonts w:ascii="宋体" w:hAnsi="宋体" w:cs="宋体"/>
          <w:sz w:val="24"/>
          <w:szCs w:val="24"/>
        </w:rPr>
      </w:pPr>
      <w:r>
        <w:rPr>
          <w:rFonts w:hint="eastAsia" w:ascii="宋体" w:hAnsi="宋体" w:cs="宋体"/>
          <w:sz w:val="24"/>
          <w:szCs w:val="24"/>
        </w:rPr>
        <w:t>四、我方按比选文件要求提交的比选申请文件为：比选申请文件正本1份，副本  份，电子文档  份。</w:t>
      </w:r>
    </w:p>
    <w:p w14:paraId="1B9D1D49">
      <w:pPr>
        <w:snapToGrid w:val="0"/>
        <w:spacing w:line="360" w:lineRule="auto"/>
        <w:ind w:firstLine="480" w:firstLineChars="200"/>
        <w:rPr>
          <w:rFonts w:ascii="宋体" w:hAnsi="宋体" w:cs="宋体"/>
          <w:sz w:val="24"/>
          <w:szCs w:val="24"/>
        </w:rPr>
      </w:pPr>
      <w:r>
        <w:rPr>
          <w:rFonts w:hint="eastAsia" w:ascii="宋体" w:hAnsi="宋体" w:cs="宋体"/>
          <w:sz w:val="24"/>
          <w:szCs w:val="24"/>
        </w:rPr>
        <w:t>五、我方承诺：本次比选申请的比选申请有效期为比选申请截止时间起90天。</w:t>
      </w:r>
    </w:p>
    <w:p w14:paraId="2D68FBFB">
      <w:pPr>
        <w:snapToGrid w:val="0"/>
        <w:spacing w:line="360" w:lineRule="auto"/>
        <w:ind w:firstLine="480" w:firstLineChars="200"/>
        <w:rPr>
          <w:rFonts w:ascii="宋体" w:hAnsi="宋体" w:cs="宋体"/>
          <w:sz w:val="24"/>
          <w:szCs w:val="24"/>
        </w:rPr>
      </w:pPr>
      <w:r>
        <w:rPr>
          <w:rFonts w:hint="eastAsia" w:ascii="宋体" w:hAnsi="宋体" w:cs="宋体"/>
          <w:sz w:val="24"/>
          <w:szCs w:val="24"/>
        </w:rPr>
        <w:t>六、我方比选申请报价为闭口价。即在比选申请有效期和合同有效期内，该报价固定不变。</w:t>
      </w:r>
    </w:p>
    <w:p w14:paraId="0931F415">
      <w:pPr>
        <w:snapToGrid w:val="0"/>
        <w:spacing w:line="360" w:lineRule="auto"/>
        <w:ind w:firstLine="480" w:firstLineChars="200"/>
        <w:rPr>
          <w:rFonts w:ascii="宋体" w:hAnsi="宋体" w:cs="宋体"/>
          <w:sz w:val="24"/>
          <w:szCs w:val="24"/>
        </w:rPr>
      </w:pPr>
      <w:r>
        <w:rPr>
          <w:rFonts w:hint="eastAsia" w:ascii="宋体" w:hAnsi="宋体" w:cs="宋体"/>
          <w:sz w:val="24"/>
          <w:szCs w:val="24"/>
        </w:rPr>
        <w:t>七、如果我方中选，我方将履行比选文件中规定的各项要求以及我方比选申请文件的各项承诺，按《中华人民共和国政府采购法》、《中华人民共和国民法典》及合同约定条款承担我方责任。</w:t>
      </w:r>
    </w:p>
    <w:p w14:paraId="5669B938">
      <w:pPr>
        <w:snapToGrid w:val="0"/>
        <w:spacing w:line="360" w:lineRule="auto"/>
        <w:ind w:firstLine="480" w:firstLineChars="200"/>
        <w:rPr>
          <w:rFonts w:ascii="宋体" w:hAnsi="宋体" w:cs="宋体"/>
          <w:sz w:val="24"/>
          <w:szCs w:val="24"/>
        </w:rPr>
      </w:pPr>
      <w:r>
        <w:rPr>
          <w:rFonts w:hint="eastAsia" w:ascii="宋体" w:hAnsi="宋体" w:cs="宋体"/>
          <w:sz w:val="24"/>
          <w:szCs w:val="24"/>
        </w:rPr>
        <w:t>八、我方未为采购项目提供整体设计、规范编制或者项目管理、监理、检测等服务。</w:t>
      </w:r>
    </w:p>
    <w:p w14:paraId="7F098DF7">
      <w:pPr>
        <w:snapToGrid w:val="0"/>
        <w:spacing w:line="360" w:lineRule="auto"/>
        <w:ind w:firstLine="480" w:firstLineChars="200"/>
        <w:rPr>
          <w:rFonts w:ascii="宋体" w:hAnsi="宋体" w:cs="宋体"/>
          <w:sz w:val="24"/>
          <w:szCs w:val="24"/>
        </w:rPr>
      </w:pPr>
      <w:r>
        <w:rPr>
          <w:rFonts w:hint="eastAsia" w:ascii="宋体" w:hAnsi="宋体" w:cs="宋体"/>
          <w:sz w:val="24"/>
          <w:szCs w:val="24"/>
        </w:rPr>
        <w:t>九、我方理解，最低报价不是中选的唯一条件。</w:t>
      </w:r>
    </w:p>
    <w:p w14:paraId="7C7D1A26">
      <w:pPr>
        <w:snapToGrid w:val="0"/>
        <w:spacing w:line="360" w:lineRule="auto"/>
        <w:ind w:firstLine="480" w:firstLineChars="200"/>
        <w:rPr>
          <w:rFonts w:ascii="宋体" w:hAnsi="宋体" w:cs="宋体"/>
          <w:sz w:val="24"/>
          <w:szCs w:val="24"/>
        </w:rPr>
      </w:pPr>
      <w:r>
        <w:rPr>
          <w:rFonts w:hint="eastAsia" w:ascii="宋体" w:hAnsi="宋体" w:cs="宋体"/>
          <w:sz w:val="24"/>
          <w:szCs w:val="24"/>
        </w:rPr>
        <w:t>十、我方同意按有关规定及比选文件要求，交纳足额比选申请保证金。</w:t>
      </w:r>
    </w:p>
    <w:p w14:paraId="050A7BA2">
      <w:pPr>
        <w:snapToGrid w:val="0"/>
        <w:spacing w:line="360" w:lineRule="auto"/>
        <w:ind w:firstLine="480" w:firstLineChars="200"/>
        <w:rPr>
          <w:rFonts w:ascii="宋体" w:hAnsi="宋体" w:cs="宋体"/>
          <w:sz w:val="24"/>
          <w:szCs w:val="24"/>
        </w:rPr>
      </w:pPr>
      <w:r>
        <w:rPr>
          <w:rFonts w:hint="eastAsia" w:ascii="宋体" w:hAnsi="宋体" w:cs="宋体"/>
          <w:sz w:val="24"/>
          <w:szCs w:val="24"/>
        </w:rPr>
        <w:t>十一、若我方中选，愿意按有关规定及比选文件要求缴纳交易服务费。</w:t>
      </w:r>
    </w:p>
    <w:p w14:paraId="3976E474">
      <w:pPr>
        <w:snapToGrid w:val="0"/>
        <w:spacing w:line="360" w:lineRule="auto"/>
        <w:ind w:firstLine="480" w:firstLineChars="200"/>
        <w:jc w:val="right"/>
        <w:rPr>
          <w:rFonts w:hint="eastAsia" w:ascii="宋体" w:hAnsi="宋体" w:cs="宋体"/>
          <w:sz w:val="24"/>
          <w:szCs w:val="24"/>
        </w:rPr>
      </w:pPr>
    </w:p>
    <w:p w14:paraId="4212DEBE">
      <w:pPr>
        <w:snapToGrid w:val="0"/>
        <w:spacing w:line="360" w:lineRule="auto"/>
        <w:ind w:firstLine="480" w:firstLineChars="200"/>
        <w:jc w:val="right"/>
        <w:rPr>
          <w:rFonts w:ascii="宋体" w:hAnsi="宋体" w:cs="宋体"/>
          <w:sz w:val="24"/>
          <w:szCs w:val="24"/>
        </w:rPr>
      </w:pPr>
      <w:r>
        <w:rPr>
          <w:rFonts w:hint="eastAsia" w:ascii="宋体" w:hAnsi="宋体" w:cs="宋体"/>
          <w:sz w:val="24"/>
          <w:szCs w:val="24"/>
        </w:rPr>
        <w:t>（比选申请人公章或自然人签署）</w:t>
      </w:r>
    </w:p>
    <w:p w14:paraId="7712DA7C">
      <w:pPr>
        <w:snapToGrid w:val="0"/>
        <w:spacing w:line="360" w:lineRule="auto"/>
        <w:ind w:firstLine="6720" w:firstLineChars="2800"/>
        <w:rPr>
          <w:rFonts w:ascii="宋体" w:hAnsi="宋体" w:cs="宋体"/>
          <w:sz w:val="24"/>
          <w:szCs w:val="24"/>
        </w:rPr>
      </w:pPr>
      <w:r>
        <w:rPr>
          <w:rFonts w:hint="eastAsia" w:ascii="宋体" w:hAnsi="宋体" w:cs="宋体"/>
          <w:sz w:val="24"/>
          <w:szCs w:val="24"/>
        </w:rPr>
        <w:t>年    月   日</w:t>
      </w:r>
    </w:p>
    <w:p w14:paraId="409867D4">
      <w:pPr>
        <w:snapToGrid w:val="0"/>
        <w:spacing w:line="360" w:lineRule="auto"/>
        <w:rPr>
          <w:rFonts w:ascii="宋体" w:hAnsi="宋体" w:cs="宋体"/>
          <w:sz w:val="24"/>
          <w:szCs w:val="24"/>
        </w:rPr>
      </w:pPr>
      <w:r>
        <w:rPr>
          <w:rFonts w:hint="eastAsia" w:ascii="宋体" w:hAnsi="宋体" w:cs="宋体"/>
          <w:szCs w:val="44"/>
        </w:rPr>
        <w:br w:type="page"/>
      </w:r>
    </w:p>
    <w:p w14:paraId="3D238154">
      <w:pPr>
        <w:snapToGrid w:val="0"/>
        <w:spacing w:line="360" w:lineRule="auto"/>
        <w:ind w:firstLine="480" w:firstLineChars="200"/>
        <w:rPr>
          <w:rFonts w:ascii="宋体" w:hAnsi="宋体" w:cs="宋体"/>
          <w:sz w:val="24"/>
          <w:szCs w:val="24"/>
        </w:rPr>
      </w:pPr>
      <w:r>
        <w:rPr>
          <w:rFonts w:hint="eastAsia" w:ascii="宋体" w:hAnsi="宋体" w:cs="宋体"/>
          <w:sz w:val="24"/>
          <w:szCs w:val="24"/>
        </w:rPr>
        <w:t>（二）</w:t>
      </w:r>
      <w:bookmarkStart w:id="441" w:name="_Toc283382459"/>
      <w:r>
        <w:rPr>
          <w:rFonts w:hint="eastAsia" w:ascii="宋体" w:hAnsi="宋体" w:cs="宋体"/>
          <w:sz w:val="24"/>
          <w:szCs w:val="24"/>
        </w:rPr>
        <w:t>商务响应偏离表</w:t>
      </w:r>
    </w:p>
    <w:p w14:paraId="5ABB0775">
      <w:pPr>
        <w:snapToGrid w:val="0"/>
        <w:spacing w:line="360" w:lineRule="auto"/>
        <w:jc w:val="center"/>
        <w:rPr>
          <w:rFonts w:ascii="宋体" w:hAnsi="宋体" w:cs="宋体"/>
          <w:b/>
          <w:sz w:val="24"/>
          <w:szCs w:val="24"/>
        </w:rPr>
      </w:pPr>
      <w:r>
        <w:rPr>
          <w:rFonts w:hint="eastAsia" w:ascii="宋体" w:hAnsi="宋体" w:cs="宋体"/>
          <w:b/>
          <w:sz w:val="24"/>
          <w:szCs w:val="24"/>
        </w:rPr>
        <w:t>商务响应偏离表</w:t>
      </w:r>
    </w:p>
    <w:p w14:paraId="2B76E072">
      <w:pPr>
        <w:snapToGrid w:val="0"/>
        <w:spacing w:line="360" w:lineRule="auto"/>
        <w:ind w:firstLine="465"/>
        <w:rPr>
          <w:rFonts w:ascii="宋体" w:hAnsi="宋体" w:cs="宋体"/>
          <w:sz w:val="24"/>
          <w:szCs w:val="24"/>
        </w:rPr>
      </w:pPr>
      <w:r>
        <w:rPr>
          <w:rFonts w:hint="eastAsia" w:ascii="宋体" w:hAnsi="宋体" w:cs="宋体"/>
          <w:sz w:val="24"/>
          <w:szCs w:val="24"/>
        </w:rPr>
        <w:t>项目名称：</w:t>
      </w:r>
    </w:p>
    <w:tbl>
      <w:tblPr>
        <w:tblStyle w:val="59"/>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12180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14:paraId="0B341ABC">
            <w:pPr>
              <w:tabs>
                <w:tab w:val="left" w:pos="6300"/>
              </w:tabs>
              <w:snapToGrid w:val="0"/>
              <w:spacing w:line="360" w:lineRule="auto"/>
              <w:jc w:val="center"/>
              <w:outlineLvl w:val="0"/>
              <w:rPr>
                <w:rFonts w:ascii="宋体" w:hAnsi="宋体" w:cs="宋体"/>
                <w:sz w:val="24"/>
                <w:szCs w:val="24"/>
              </w:rPr>
            </w:pPr>
            <w:bookmarkStart w:id="442" w:name="_Toc3612"/>
            <w:bookmarkStart w:id="443" w:name="_Toc31565"/>
            <w:bookmarkStart w:id="444" w:name="_Toc2169"/>
            <w:r>
              <w:rPr>
                <w:rFonts w:hint="eastAsia" w:ascii="宋体" w:hAnsi="宋体" w:cs="宋体"/>
                <w:sz w:val="24"/>
                <w:szCs w:val="24"/>
              </w:rPr>
              <w:t>序号</w:t>
            </w:r>
            <w:bookmarkEnd w:id="442"/>
            <w:bookmarkEnd w:id="443"/>
            <w:bookmarkEnd w:id="444"/>
          </w:p>
        </w:tc>
        <w:tc>
          <w:tcPr>
            <w:tcW w:w="3179" w:type="dxa"/>
            <w:vAlign w:val="center"/>
          </w:tcPr>
          <w:p w14:paraId="4E63C5C5">
            <w:pPr>
              <w:tabs>
                <w:tab w:val="left" w:pos="6300"/>
              </w:tabs>
              <w:snapToGrid w:val="0"/>
              <w:spacing w:line="360" w:lineRule="auto"/>
              <w:jc w:val="center"/>
              <w:outlineLvl w:val="0"/>
              <w:rPr>
                <w:rFonts w:ascii="宋体" w:hAnsi="宋体" w:cs="宋体"/>
                <w:sz w:val="24"/>
                <w:szCs w:val="24"/>
              </w:rPr>
            </w:pPr>
            <w:bookmarkStart w:id="445" w:name="_Toc23161"/>
            <w:bookmarkStart w:id="446" w:name="_Toc7818"/>
            <w:bookmarkStart w:id="447" w:name="_Toc8422"/>
            <w:r>
              <w:rPr>
                <w:rFonts w:hint="eastAsia" w:ascii="宋体" w:hAnsi="宋体" w:cs="宋体"/>
                <w:sz w:val="24"/>
                <w:szCs w:val="24"/>
              </w:rPr>
              <w:t>项目需求</w:t>
            </w:r>
            <w:bookmarkEnd w:id="445"/>
            <w:bookmarkEnd w:id="446"/>
            <w:bookmarkEnd w:id="447"/>
          </w:p>
        </w:tc>
        <w:tc>
          <w:tcPr>
            <w:tcW w:w="2434" w:type="dxa"/>
            <w:vAlign w:val="center"/>
          </w:tcPr>
          <w:p w14:paraId="0555AD44">
            <w:pPr>
              <w:tabs>
                <w:tab w:val="left" w:pos="6300"/>
              </w:tabs>
              <w:snapToGrid w:val="0"/>
              <w:spacing w:line="360" w:lineRule="auto"/>
              <w:jc w:val="center"/>
              <w:outlineLvl w:val="0"/>
              <w:rPr>
                <w:rFonts w:ascii="宋体" w:hAnsi="宋体" w:cs="宋体"/>
                <w:sz w:val="24"/>
                <w:szCs w:val="24"/>
              </w:rPr>
            </w:pPr>
            <w:bookmarkStart w:id="448" w:name="_Toc1129"/>
            <w:bookmarkStart w:id="449" w:name="_Toc17704"/>
            <w:bookmarkStart w:id="450" w:name="_Toc8231"/>
            <w:r>
              <w:rPr>
                <w:rFonts w:hint="eastAsia" w:ascii="宋体" w:hAnsi="宋体" w:cs="宋体"/>
                <w:sz w:val="24"/>
                <w:szCs w:val="24"/>
              </w:rPr>
              <w:t>响应情况</w:t>
            </w:r>
            <w:bookmarkEnd w:id="448"/>
            <w:bookmarkEnd w:id="449"/>
            <w:bookmarkEnd w:id="450"/>
          </w:p>
        </w:tc>
        <w:tc>
          <w:tcPr>
            <w:tcW w:w="2355" w:type="dxa"/>
            <w:vAlign w:val="center"/>
          </w:tcPr>
          <w:p w14:paraId="16E684E6">
            <w:pPr>
              <w:tabs>
                <w:tab w:val="left" w:pos="6300"/>
              </w:tabs>
              <w:snapToGrid w:val="0"/>
              <w:spacing w:line="360" w:lineRule="auto"/>
              <w:jc w:val="center"/>
              <w:outlineLvl w:val="0"/>
              <w:rPr>
                <w:rFonts w:ascii="宋体" w:hAnsi="宋体" w:cs="宋体"/>
                <w:sz w:val="24"/>
                <w:szCs w:val="24"/>
              </w:rPr>
            </w:pPr>
            <w:bookmarkStart w:id="451" w:name="_Toc30447"/>
            <w:bookmarkStart w:id="452" w:name="_Toc6901"/>
            <w:bookmarkStart w:id="453" w:name="_Toc19269"/>
            <w:r>
              <w:rPr>
                <w:rFonts w:hint="eastAsia" w:ascii="宋体" w:hAnsi="宋体" w:cs="宋体"/>
                <w:sz w:val="24"/>
                <w:szCs w:val="24"/>
              </w:rPr>
              <w:t>差异说明</w:t>
            </w:r>
            <w:bookmarkEnd w:id="451"/>
            <w:bookmarkEnd w:id="452"/>
            <w:bookmarkEnd w:id="453"/>
          </w:p>
        </w:tc>
      </w:tr>
      <w:tr w14:paraId="3F356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14ECF763">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30D5EF82">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31261606">
            <w:pPr>
              <w:tabs>
                <w:tab w:val="left" w:pos="6300"/>
              </w:tabs>
              <w:snapToGrid w:val="0"/>
              <w:spacing w:line="360" w:lineRule="auto"/>
              <w:jc w:val="center"/>
              <w:outlineLvl w:val="0"/>
              <w:rPr>
                <w:rFonts w:ascii="宋体" w:hAnsi="宋体" w:cs="宋体"/>
                <w:sz w:val="24"/>
                <w:szCs w:val="24"/>
              </w:rPr>
            </w:pPr>
            <w:bookmarkStart w:id="454" w:name="_Toc28735"/>
            <w:r>
              <w:rPr>
                <w:rFonts w:hint="eastAsia" w:ascii="宋体" w:hAnsi="宋体" w:cs="宋体"/>
                <w:sz w:val="24"/>
                <w:szCs w:val="24"/>
              </w:rPr>
              <w:t>提醒：请注明</w:t>
            </w:r>
            <w:r>
              <w:rPr>
                <w:rFonts w:hint="eastAsia" w:ascii="宋体" w:hAnsi="宋体" w:cs="宋体"/>
                <w:sz w:val="24"/>
                <w:szCs w:val="24"/>
                <w:lang w:val="en-US" w:eastAsia="zh-CN"/>
              </w:rPr>
              <w:t>商务</w:t>
            </w:r>
            <w:r>
              <w:rPr>
                <w:rFonts w:hint="eastAsia" w:ascii="宋体" w:hAnsi="宋体" w:cs="宋体"/>
                <w:sz w:val="24"/>
                <w:szCs w:val="24"/>
              </w:rPr>
              <w:t>参数或具体内容以及响应文件中商务参数或具体内容的位置（页码）</w:t>
            </w:r>
            <w:bookmarkEnd w:id="454"/>
          </w:p>
        </w:tc>
        <w:tc>
          <w:tcPr>
            <w:tcW w:w="2355" w:type="dxa"/>
            <w:vAlign w:val="center"/>
          </w:tcPr>
          <w:p w14:paraId="4EC81F05">
            <w:pPr>
              <w:tabs>
                <w:tab w:val="left" w:pos="6300"/>
              </w:tabs>
              <w:snapToGrid w:val="0"/>
              <w:spacing w:line="360" w:lineRule="auto"/>
              <w:jc w:val="center"/>
              <w:outlineLvl w:val="0"/>
              <w:rPr>
                <w:rFonts w:ascii="宋体" w:hAnsi="宋体" w:cs="宋体"/>
                <w:sz w:val="24"/>
                <w:szCs w:val="24"/>
              </w:rPr>
            </w:pPr>
          </w:p>
        </w:tc>
      </w:tr>
      <w:tr w14:paraId="4536E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39BEEEB">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27496918">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700177C1">
            <w:pPr>
              <w:tabs>
                <w:tab w:val="left" w:pos="6300"/>
              </w:tabs>
              <w:snapToGrid w:val="0"/>
              <w:spacing w:line="360" w:lineRule="auto"/>
              <w:jc w:val="center"/>
              <w:outlineLvl w:val="0"/>
              <w:rPr>
                <w:rFonts w:ascii="宋体" w:hAnsi="宋体" w:cs="宋体"/>
                <w:sz w:val="24"/>
                <w:szCs w:val="24"/>
              </w:rPr>
            </w:pPr>
          </w:p>
        </w:tc>
        <w:tc>
          <w:tcPr>
            <w:tcW w:w="2355" w:type="dxa"/>
            <w:vAlign w:val="center"/>
          </w:tcPr>
          <w:p w14:paraId="431E1017">
            <w:pPr>
              <w:tabs>
                <w:tab w:val="left" w:pos="6300"/>
              </w:tabs>
              <w:snapToGrid w:val="0"/>
              <w:spacing w:line="360" w:lineRule="auto"/>
              <w:jc w:val="center"/>
              <w:outlineLvl w:val="0"/>
              <w:rPr>
                <w:rFonts w:ascii="宋体" w:hAnsi="宋体" w:cs="宋体"/>
                <w:sz w:val="24"/>
                <w:szCs w:val="24"/>
              </w:rPr>
            </w:pPr>
          </w:p>
        </w:tc>
      </w:tr>
      <w:tr w14:paraId="0B167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1DFE23B2">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59533FA5">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6806DAA2">
            <w:pPr>
              <w:tabs>
                <w:tab w:val="left" w:pos="6300"/>
              </w:tabs>
              <w:snapToGrid w:val="0"/>
              <w:spacing w:line="360" w:lineRule="auto"/>
              <w:jc w:val="center"/>
              <w:outlineLvl w:val="0"/>
              <w:rPr>
                <w:rFonts w:ascii="宋体" w:hAnsi="宋体" w:cs="宋体"/>
                <w:sz w:val="24"/>
                <w:szCs w:val="24"/>
              </w:rPr>
            </w:pPr>
          </w:p>
        </w:tc>
        <w:tc>
          <w:tcPr>
            <w:tcW w:w="2355" w:type="dxa"/>
            <w:vAlign w:val="center"/>
          </w:tcPr>
          <w:p w14:paraId="04C66077">
            <w:pPr>
              <w:tabs>
                <w:tab w:val="left" w:pos="6300"/>
              </w:tabs>
              <w:snapToGrid w:val="0"/>
              <w:spacing w:line="360" w:lineRule="auto"/>
              <w:jc w:val="center"/>
              <w:outlineLvl w:val="0"/>
              <w:rPr>
                <w:rFonts w:ascii="宋体" w:hAnsi="宋体" w:cs="宋体"/>
                <w:sz w:val="24"/>
                <w:szCs w:val="24"/>
              </w:rPr>
            </w:pPr>
          </w:p>
        </w:tc>
      </w:tr>
      <w:tr w14:paraId="0600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38AE5B85">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57793F96">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1CBEE2F2">
            <w:pPr>
              <w:tabs>
                <w:tab w:val="left" w:pos="6300"/>
              </w:tabs>
              <w:snapToGrid w:val="0"/>
              <w:spacing w:line="360" w:lineRule="auto"/>
              <w:jc w:val="center"/>
              <w:outlineLvl w:val="0"/>
              <w:rPr>
                <w:rFonts w:ascii="宋体" w:hAnsi="宋体" w:cs="宋体"/>
                <w:sz w:val="24"/>
                <w:szCs w:val="24"/>
              </w:rPr>
            </w:pPr>
          </w:p>
        </w:tc>
        <w:tc>
          <w:tcPr>
            <w:tcW w:w="2355" w:type="dxa"/>
            <w:vAlign w:val="center"/>
          </w:tcPr>
          <w:p w14:paraId="3570BBD0">
            <w:pPr>
              <w:tabs>
                <w:tab w:val="left" w:pos="6300"/>
              </w:tabs>
              <w:snapToGrid w:val="0"/>
              <w:spacing w:line="360" w:lineRule="auto"/>
              <w:jc w:val="center"/>
              <w:outlineLvl w:val="0"/>
              <w:rPr>
                <w:rFonts w:ascii="宋体" w:hAnsi="宋体" w:cs="宋体"/>
                <w:sz w:val="24"/>
                <w:szCs w:val="24"/>
              </w:rPr>
            </w:pPr>
          </w:p>
        </w:tc>
      </w:tr>
      <w:tr w14:paraId="39FBD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296DC4CB">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0F87C10E">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3ADF14F8">
            <w:pPr>
              <w:tabs>
                <w:tab w:val="left" w:pos="6300"/>
              </w:tabs>
              <w:snapToGrid w:val="0"/>
              <w:spacing w:line="360" w:lineRule="auto"/>
              <w:jc w:val="center"/>
              <w:outlineLvl w:val="0"/>
              <w:rPr>
                <w:rFonts w:ascii="宋体" w:hAnsi="宋体" w:cs="宋体"/>
                <w:sz w:val="24"/>
                <w:szCs w:val="24"/>
              </w:rPr>
            </w:pPr>
          </w:p>
        </w:tc>
        <w:tc>
          <w:tcPr>
            <w:tcW w:w="2355" w:type="dxa"/>
            <w:vAlign w:val="center"/>
          </w:tcPr>
          <w:p w14:paraId="2B272139">
            <w:pPr>
              <w:tabs>
                <w:tab w:val="left" w:pos="6300"/>
              </w:tabs>
              <w:snapToGrid w:val="0"/>
              <w:spacing w:line="360" w:lineRule="auto"/>
              <w:jc w:val="center"/>
              <w:outlineLvl w:val="0"/>
              <w:rPr>
                <w:rFonts w:ascii="宋体" w:hAnsi="宋体" w:cs="宋体"/>
                <w:sz w:val="24"/>
                <w:szCs w:val="24"/>
              </w:rPr>
            </w:pPr>
          </w:p>
        </w:tc>
      </w:tr>
      <w:tr w14:paraId="0E261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2722A720">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3C6D9C24">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46DE290A">
            <w:pPr>
              <w:tabs>
                <w:tab w:val="left" w:pos="6300"/>
              </w:tabs>
              <w:snapToGrid w:val="0"/>
              <w:spacing w:line="360" w:lineRule="auto"/>
              <w:jc w:val="center"/>
              <w:outlineLvl w:val="0"/>
              <w:rPr>
                <w:rFonts w:ascii="宋体" w:hAnsi="宋体" w:cs="宋体"/>
                <w:sz w:val="24"/>
                <w:szCs w:val="24"/>
              </w:rPr>
            </w:pPr>
          </w:p>
        </w:tc>
        <w:tc>
          <w:tcPr>
            <w:tcW w:w="2355" w:type="dxa"/>
            <w:vAlign w:val="center"/>
          </w:tcPr>
          <w:p w14:paraId="66C9A923">
            <w:pPr>
              <w:tabs>
                <w:tab w:val="left" w:pos="6300"/>
              </w:tabs>
              <w:snapToGrid w:val="0"/>
              <w:spacing w:line="360" w:lineRule="auto"/>
              <w:jc w:val="center"/>
              <w:outlineLvl w:val="0"/>
              <w:rPr>
                <w:rFonts w:ascii="宋体" w:hAnsi="宋体" w:cs="宋体"/>
                <w:sz w:val="24"/>
                <w:szCs w:val="24"/>
              </w:rPr>
            </w:pPr>
          </w:p>
        </w:tc>
      </w:tr>
      <w:tr w14:paraId="4A23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29735B68">
            <w:pPr>
              <w:tabs>
                <w:tab w:val="left" w:pos="6300"/>
              </w:tabs>
              <w:snapToGrid w:val="0"/>
              <w:spacing w:line="360" w:lineRule="auto"/>
              <w:jc w:val="center"/>
              <w:outlineLvl w:val="0"/>
              <w:rPr>
                <w:rFonts w:ascii="宋体" w:hAnsi="宋体" w:cs="宋体"/>
                <w:sz w:val="24"/>
                <w:szCs w:val="24"/>
              </w:rPr>
            </w:pPr>
          </w:p>
        </w:tc>
        <w:tc>
          <w:tcPr>
            <w:tcW w:w="3179" w:type="dxa"/>
            <w:vAlign w:val="center"/>
          </w:tcPr>
          <w:p w14:paraId="2C1C03C1">
            <w:pPr>
              <w:tabs>
                <w:tab w:val="left" w:pos="6300"/>
              </w:tabs>
              <w:snapToGrid w:val="0"/>
              <w:spacing w:line="360" w:lineRule="auto"/>
              <w:jc w:val="center"/>
              <w:outlineLvl w:val="0"/>
              <w:rPr>
                <w:rFonts w:ascii="宋体" w:hAnsi="宋体" w:cs="宋体"/>
                <w:sz w:val="24"/>
                <w:szCs w:val="24"/>
              </w:rPr>
            </w:pPr>
          </w:p>
        </w:tc>
        <w:tc>
          <w:tcPr>
            <w:tcW w:w="2434" w:type="dxa"/>
            <w:vAlign w:val="center"/>
          </w:tcPr>
          <w:p w14:paraId="39463E0C">
            <w:pPr>
              <w:tabs>
                <w:tab w:val="left" w:pos="6300"/>
              </w:tabs>
              <w:snapToGrid w:val="0"/>
              <w:spacing w:line="360" w:lineRule="auto"/>
              <w:jc w:val="center"/>
              <w:outlineLvl w:val="0"/>
              <w:rPr>
                <w:rFonts w:ascii="宋体" w:hAnsi="宋体" w:cs="宋体"/>
                <w:sz w:val="24"/>
                <w:szCs w:val="24"/>
              </w:rPr>
            </w:pPr>
          </w:p>
        </w:tc>
        <w:tc>
          <w:tcPr>
            <w:tcW w:w="2355" w:type="dxa"/>
            <w:vAlign w:val="center"/>
          </w:tcPr>
          <w:p w14:paraId="6992CEA8">
            <w:pPr>
              <w:tabs>
                <w:tab w:val="left" w:pos="6300"/>
              </w:tabs>
              <w:snapToGrid w:val="0"/>
              <w:spacing w:line="360" w:lineRule="auto"/>
              <w:jc w:val="center"/>
              <w:outlineLvl w:val="0"/>
              <w:rPr>
                <w:rFonts w:ascii="宋体" w:hAnsi="宋体" w:cs="宋体"/>
                <w:sz w:val="24"/>
                <w:szCs w:val="24"/>
              </w:rPr>
            </w:pPr>
          </w:p>
        </w:tc>
      </w:tr>
    </w:tbl>
    <w:p w14:paraId="0088992C">
      <w:pPr>
        <w:snapToGrid w:val="0"/>
        <w:spacing w:line="360" w:lineRule="auto"/>
        <w:ind w:firstLine="465"/>
        <w:rPr>
          <w:rFonts w:ascii="宋体" w:hAnsi="宋体" w:cs="宋体"/>
          <w:sz w:val="24"/>
          <w:szCs w:val="24"/>
        </w:rPr>
      </w:pPr>
    </w:p>
    <w:p w14:paraId="69750650">
      <w:pPr>
        <w:spacing w:line="500" w:lineRule="exact"/>
        <w:ind w:firstLine="600" w:firstLineChars="250"/>
        <w:rPr>
          <w:rFonts w:ascii="宋体" w:hAnsi="宋体" w:cs="宋体"/>
          <w:sz w:val="24"/>
          <w:szCs w:val="24"/>
        </w:rPr>
      </w:pPr>
      <w:r>
        <w:rPr>
          <w:rFonts w:hint="eastAsia" w:ascii="宋体" w:hAnsi="宋体" w:cs="宋体"/>
          <w:sz w:val="24"/>
          <w:szCs w:val="24"/>
        </w:rPr>
        <w:t>比选申请人：                              法人授权代表：</w:t>
      </w:r>
    </w:p>
    <w:p w14:paraId="6713686E">
      <w:pPr>
        <w:spacing w:line="500" w:lineRule="exact"/>
        <w:rPr>
          <w:rFonts w:ascii="宋体" w:hAnsi="宋体" w:cs="宋体"/>
          <w:sz w:val="24"/>
          <w:szCs w:val="24"/>
        </w:rPr>
      </w:pPr>
    </w:p>
    <w:p w14:paraId="44C2C1AF">
      <w:pPr>
        <w:spacing w:line="500" w:lineRule="exact"/>
        <w:ind w:firstLine="1200" w:firstLineChars="500"/>
        <w:rPr>
          <w:rFonts w:ascii="宋体" w:hAnsi="宋体" w:cs="宋体"/>
          <w:sz w:val="24"/>
          <w:szCs w:val="24"/>
        </w:rPr>
      </w:pPr>
      <w:r>
        <w:rPr>
          <w:rFonts w:hint="eastAsia" w:ascii="宋体" w:hAnsi="宋体" w:cs="宋体"/>
          <w:sz w:val="24"/>
          <w:szCs w:val="24"/>
        </w:rPr>
        <w:t>（比选申请人公章）                              （签字或盖章）</w:t>
      </w:r>
    </w:p>
    <w:p w14:paraId="063A989C">
      <w:pPr>
        <w:tabs>
          <w:tab w:val="left" w:pos="6300"/>
        </w:tabs>
        <w:snapToGrid w:val="0"/>
        <w:spacing w:line="500" w:lineRule="exact"/>
        <w:ind w:firstLine="5640" w:firstLineChars="2350"/>
        <w:rPr>
          <w:rFonts w:ascii="宋体" w:hAnsi="宋体" w:cs="宋体"/>
          <w:sz w:val="24"/>
          <w:szCs w:val="24"/>
        </w:rPr>
      </w:pPr>
      <w:r>
        <w:rPr>
          <w:rFonts w:hint="eastAsia" w:ascii="宋体" w:hAnsi="宋体" w:cs="宋体"/>
          <w:sz w:val="24"/>
          <w:szCs w:val="24"/>
        </w:rPr>
        <w:t>年   月    日</w:t>
      </w:r>
    </w:p>
    <w:p w14:paraId="25F3A2B5">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注：</w:t>
      </w:r>
    </w:p>
    <w:p w14:paraId="46609437">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1.本表即为对本项目“第三篇项目商务需求”中所列要求进行比较和响应；</w:t>
      </w:r>
    </w:p>
    <w:p w14:paraId="4AD7DED5">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2.该表必须按照竞比选文件要求逐条如实填写，根据响应情况在“差异说明”项填写正偏离或负偏离及原因，完全符合的填写“无差异”；</w:t>
      </w:r>
    </w:p>
    <w:p w14:paraId="01A39A01">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3.该表可扩展，并逐页签字或盖章；</w:t>
      </w:r>
    </w:p>
    <w:p w14:paraId="0143879E">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4.可附相关支撑材料。（格式自定）</w:t>
      </w:r>
    </w:p>
    <w:p w14:paraId="6CCD4507">
      <w:pPr>
        <w:tabs>
          <w:tab w:val="left" w:pos="6300"/>
        </w:tabs>
        <w:snapToGrid w:val="0"/>
        <w:spacing w:line="400" w:lineRule="exact"/>
        <w:ind w:firstLine="480" w:firstLineChars="200"/>
        <w:rPr>
          <w:rFonts w:ascii="宋体" w:hAnsi="宋体" w:cs="宋体"/>
          <w:sz w:val="24"/>
          <w:szCs w:val="24"/>
        </w:rPr>
      </w:pPr>
      <w:r>
        <w:rPr>
          <w:rFonts w:hint="eastAsia" w:ascii="宋体" w:hAnsi="宋体" w:cs="宋体"/>
          <w:sz w:val="24"/>
          <w:szCs w:val="24"/>
        </w:rPr>
        <w:t>5.若“响应情况”栏中仅填写“无偏离”或“有偏离”等内容而未作实质性参数描述，该比选申请人将失去成为中选人的资格，仅保留其合格比选申请人的身份。</w:t>
      </w:r>
      <w:r>
        <w:rPr>
          <w:rFonts w:hint="eastAsia" w:ascii="宋体" w:hAnsi="宋体" w:cs="宋体"/>
          <w:sz w:val="24"/>
          <w:szCs w:val="24"/>
        </w:rPr>
        <w:br w:type="page"/>
      </w:r>
    </w:p>
    <w:p w14:paraId="4AE6AFF1">
      <w:pPr>
        <w:spacing w:line="360" w:lineRule="auto"/>
        <w:rPr>
          <w:rFonts w:ascii="宋体" w:hAnsi="宋体" w:cs="宋体"/>
          <w:sz w:val="24"/>
          <w:szCs w:val="24"/>
        </w:rPr>
      </w:pPr>
      <w:r>
        <w:rPr>
          <w:rFonts w:hint="eastAsia" w:ascii="宋体" w:hAnsi="宋体" w:cs="宋体"/>
          <w:sz w:val="24"/>
          <w:szCs w:val="24"/>
        </w:rPr>
        <w:t>（三）其它商务资料（如有）</w:t>
      </w:r>
    </w:p>
    <w:p w14:paraId="75CF5B35">
      <w:pPr>
        <w:rPr>
          <w:rFonts w:ascii="宋体" w:hAnsi="宋体" w:cs="宋体"/>
          <w:sz w:val="24"/>
          <w:szCs w:val="24"/>
        </w:rPr>
      </w:pPr>
      <w:r>
        <w:rPr>
          <w:rFonts w:hint="eastAsia" w:ascii="宋体" w:hAnsi="宋体" w:cs="宋体"/>
          <w:sz w:val="24"/>
          <w:szCs w:val="24"/>
        </w:rPr>
        <w:t>比选申请人根据自身情况自行编制</w:t>
      </w:r>
      <w:r>
        <w:rPr>
          <w:rFonts w:hint="eastAsia" w:ascii="宋体" w:hAnsi="宋体" w:cs="宋体"/>
          <w:sz w:val="24"/>
          <w:szCs w:val="24"/>
        </w:rPr>
        <w:br w:type="page"/>
      </w:r>
    </w:p>
    <w:bookmarkEnd w:id="441"/>
    <w:p w14:paraId="728B576B">
      <w:pPr>
        <w:pStyle w:val="4"/>
        <w:spacing w:before="0" w:after="0" w:line="360" w:lineRule="auto"/>
        <w:jc w:val="center"/>
        <w:rPr>
          <w:rFonts w:ascii="宋体" w:hAnsi="宋体" w:cs="宋体"/>
          <w:sz w:val="24"/>
          <w:szCs w:val="24"/>
        </w:rPr>
      </w:pPr>
      <w:bookmarkStart w:id="455" w:name="_Toc342913422"/>
      <w:bookmarkStart w:id="456" w:name="_Toc24127"/>
      <w:bookmarkStart w:id="457" w:name="_Toc19152"/>
      <w:bookmarkStart w:id="458" w:name="_Toc313008359"/>
      <w:bookmarkStart w:id="459" w:name="_Toc313888363"/>
      <w:r>
        <w:rPr>
          <w:rFonts w:hint="eastAsia" w:ascii="宋体" w:hAnsi="宋体" w:cs="宋体"/>
          <w:sz w:val="24"/>
          <w:szCs w:val="24"/>
        </w:rPr>
        <w:t>四、资格条件及其他</w:t>
      </w:r>
      <w:bookmarkEnd w:id="455"/>
      <w:bookmarkEnd w:id="456"/>
      <w:bookmarkEnd w:id="457"/>
      <w:bookmarkEnd w:id="458"/>
      <w:bookmarkEnd w:id="459"/>
    </w:p>
    <w:p w14:paraId="66851F3D">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（一）法人营业执照（副本）或事业单位法人证书（副本）或个体工商户营业执照或有效的自然人身份证明或社会团体法人登记证书复印件</w:t>
      </w:r>
    </w:p>
    <w:p w14:paraId="42BDB773">
      <w:pPr>
        <w:rPr>
          <w:rFonts w:ascii="宋体" w:hAnsi="宋体" w:cs="宋体"/>
          <w:sz w:val="24"/>
          <w:szCs w:val="24"/>
        </w:rPr>
      </w:pPr>
      <w:r>
        <w:rPr>
          <w:rFonts w:hint="eastAsia" w:ascii="宋体" w:hAnsi="宋体" w:cs="宋体"/>
          <w:sz w:val="24"/>
          <w:szCs w:val="24"/>
        </w:rPr>
        <w:br w:type="page"/>
      </w:r>
    </w:p>
    <w:p w14:paraId="6B668828">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（二）法定代表人身份证明书（格式）</w:t>
      </w:r>
    </w:p>
    <w:p w14:paraId="6B5D1219">
      <w:pPr>
        <w:tabs>
          <w:tab w:val="left" w:pos="6300"/>
        </w:tabs>
        <w:snapToGrid w:val="0"/>
        <w:spacing w:line="500" w:lineRule="exact"/>
        <w:ind w:firstLine="570"/>
        <w:rPr>
          <w:rFonts w:ascii="宋体" w:hAnsi="宋体" w:cs="宋体"/>
          <w:sz w:val="24"/>
          <w:szCs w:val="24"/>
        </w:rPr>
      </w:pPr>
    </w:p>
    <w:p w14:paraId="5E2C1C13">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比选项目名称：</w:t>
      </w:r>
      <w:r>
        <w:rPr>
          <w:rFonts w:hint="eastAsia" w:ascii="宋体" w:hAnsi="宋体" w:cs="宋体"/>
          <w:sz w:val="24"/>
          <w:szCs w:val="24"/>
          <w:u w:val="single"/>
        </w:rPr>
        <w:t xml:space="preserve">                                                </w:t>
      </w:r>
    </w:p>
    <w:p w14:paraId="42A46906">
      <w:pPr>
        <w:tabs>
          <w:tab w:val="left" w:pos="6300"/>
        </w:tabs>
        <w:snapToGrid w:val="0"/>
        <w:spacing w:line="500" w:lineRule="exact"/>
        <w:ind w:firstLine="570"/>
        <w:rPr>
          <w:rFonts w:ascii="宋体" w:hAnsi="宋体" w:cs="宋体"/>
          <w:sz w:val="24"/>
          <w:szCs w:val="24"/>
        </w:rPr>
      </w:pPr>
    </w:p>
    <w:p w14:paraId="5D8B71E7">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（比选代理机构名称）：</w:t>
      </w:r>
    </w:p>
    <w:p w14:paraId="2F1DB8FF">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（法定代表人姓名）</w:t>
      </w:r>
      <w:r>
        <w:rPr>
          <w:rFonts w:hint="eastAsia" w:ascii="宋体" w:hAnsi="宋体" w:cs="宋体"/>
          <w:sz w:val="24"/>
          <w:szCs w:val="24"/>
          <w:u w:val="single"/>
        </w:rPr>
        <w:t xml:space="preserve">     </w:t>
      </w:r>
      <w:r>
        <w:rPr>
          <w:rFonts w:hint="eastAsia" w:ascii="宋体" w:hAnsi="宋体" w:cs="宋体"/>
          <w:sz w:val="24"/>
          <w:szCs w:val="24"/>
        </w:rPr>
        <w:t>（性别）在</w:t>
      </w:r>
      <w:r>
        <w:rPr>
          <w:rFonts w:hint="eastAsia" w:ascii="宋体" w:hAnsi="宋体" w:cs="宋体"/>
          <w:sz w:val="24"/>
          <w:szCs w:val="24"/>
          <w:u w:val="single"/>
        </w:rPr>
        <w:t xml:space="preserve">                       </w:t>
      </w:r>
      <w:r>
        <w:rPr>
          <w:rFonts w:hint="eastAsia" w:ascii="宋体" w:hAnsi="宋体" w:cs="宋体"/>
          <w:sz w:val="24"/>
          <w:szCs w:val="24"/>
        </w:rPr>
        <w:t>（比选申请人名称）任</w:t>
      </w:r>
      <w:r>
        <w:rPr>
          <w:rFonts w:hint="eastAsia" w:ascii="宋体" w:hAnsi="宋体" w:cs="宋体"/>
          <w:sz w:val="24"/>
          <w:szCs w:val="24"/>
          <w:u w:val="single"/>
        </w:rPr>
        <w:t xml:space="preserve">    </w:t>
      </w:r>
      <w:r>
        <w:rPr>
          <w:rFonts w:hint="eastAsia" w:ascii="宋体" w:hAnsi="宋体" w:cs="宋体"/>
          <w:sz w:val="24"/>
          <w:szCs w:val="24"/>
        </w:rPr>
        <w:t>（职务名称）职务，是（比选申请人名称）</w:t>
      </w:r>
      <w:r>
        <w:rPr>
          <w:rFonts w:hint="eastAsia" w:ascii="宋体" w:hAnsi="宋体" w:cs="宋体"/>
          <w:sz w:val="24"/>
          <w:szCs w:val="24"/>
          <w:u w:val="single"/>
        </w:rPr>
        <w:t xml:space="preserve">              </w:t>
      </w:r>
      <w:r>
        <w:rPr>
          <w:rFonts w:hint="eastAsia" w:ascii="宋体" w:hAnsi="宋体" w:cs="宋体"/>
          <w:sz w:val="24"/>
          <w:szCs w:val="24"/>
        </w:rPr>
        <w:t>的法定代表人。</w:t>
      </w:r>
    </w:p>
    <w:p w14:paraId="54A21B00">
      <w:pPr>
        <w:tabs>
          <w:tab w:val="left" w:pos="6300"/>
        </w:tabs>
        <w:snapToGrid w:val="0"/>
        <w:spacing w:line="500" w:lineRule="exact"/>
        <w:ind w:firstLine="570"/>
        <w:rPr>
          <w:rFonts w:ascii="宋体" w:hAnsi="宋体" w:cs="宋体"/>
          <w:sz w:val="24"/>
          <w:szCs w:val="24"/>
        </w:rPr>
      </w:pPr>
    </w:p>
    <w:p w14:paraId="31BC4318">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特此证明。</w:t>
      </w:r>
    </w:p>
    <w:p w14:paraId="275F43B6">
      <w:pPr>
        <w:tabs>
          <w:tab w:val="left" w:pos="6300"/>
        </w:tabs>
        <w:snapToGrid w:val="0"/>
        <w:spacing w:line="500" w:lineRule="exact"/>
        <w:ind w:firstLine="570"/>
        <w:rPr>
          <w:rFonts w:ascii="宋体" w:hAnsi="宋体" w:cs="宋体"/>
          <w:sz w:val="24"/>
          <w:szCs w:val="24"/>
        </w:rPr>
      </w:pPr>
    </w:p>
    <w:p w14:paraId="130466D4">
      <w:pPr>
        <w:tabs>
          <w:tab w:val="left" w:pos="6300"/>
        </w:tabs>
        <w:snapToGrid w:val="0"/>
        <w:spacing w:line="500" w:lineRule="exact"/>
        <w:ind w:firstLine="570"/>
        <w:rPr>
          <w:rFonts w:ascii="宋体" w:hAnsi="宋体" w:cs="宋体"/>
          <w:sz w:val="24"/>
          <w:szCs w:val="24"/>
        </w:rPr>
      </w:pPr>
    </w:p>
    <w:p w14:paraId="52ADAD07">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 xml:space="preserve">                                             比选申请人：</w:t>
      </w:r>
    </w:p>
    <w:p w14:paraId="5BE55D62">
      <w:pPr>
        <w:tabs>
          <w:tab w:val="left" w:pos="6300"/>
        </w:tabs>
        <w:snapToGrid w:val="0"/>
        <w:spacing w:line="500" w:lineRule="exact"/>
        <w:ind w:firstLine="570"/>
        <w:jc w:val="right"/>
        <w:rPr>
          <w:rFonts w:ascii="宋体" w:hAnsi="宋体" w:cs="宋体"/>
          <w:sz w:val="24"/>
          <w:szCs w:val="24"/>
        </w:rPr>
      </w:pPr>
      <w:r>
        <w:rPr>
          <w:rFonts w:hint="eastAsia" w:ascii="宋体" w:hAnsi="宋体" w:cs="宋体"/>
          <w:sz w:val="24"/>
          <w:szCs w:val="24"/>
        </w:rPr>
        <w:t>（比选申请人公章）</w:t>
      </w:r>
    </w:p>
    <w:p w14:paraId="332866A6">
      <w:pPr>
        <w:tabs>
          <w:tab w:val="left" w:pos="6300"/>
        </w:tabs>
        <w:snapToGrid w:val="0"/>
        <w:spacing w:line="500" w:lineRule="exact"/>
        <w:ind w:firstLine="570"/>
        <w:rPr>
          <w:rFonts w:ascii="宋体" w:hAnsi="宋体" w:cs="宋体"/>
          <w:sz w:val="24"/>
          <w:szCs w:val="24"/>
        </w:rPr>
      </w:pPr>
    </w:p>
    <w:p w14:paraId="71918B25">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 xml:space="preserve">                                             年   月   日</w:t>
      </w:r>
    </w:p>
    <w:p w14:paraId="17E3C055">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法定代表人电话：XXXXXXX      电子邮箱：XXXXXX@XXXXX（若授权他人办理并签署比选申请人文件的可不填写）</w:t>
      </w:r>
    </w:p>
    <w:p w14:paraId="59E32EC3">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（附：法定代表人身份证正反面复印件）</w:t>
      </w:r>
    </w:p>
    <w:p w14:paraId="0F6E5072">
      <w:pPr>
        <w:tabs>
          <w:tab w:val="left" w:pos="6300"/>
        </w:tabs>
        <w:snapToGrid w:val="0"/>
        <w:spacing w:line="500" w:lineRule="exact"/>
        <w:ind w:firstLine="570"/>
        <w:rPr>
          <w:rFonts w:ascii="宋体" w:hAnsi="宋体" w:cs="宋体"/>
          <w:sz w:val="24"/>
          <w:szCs w:val="24"/>
        </w:rPr>
      </w:pPr>
    </w:p>
    <w:p w14:paraId="2FB1E5FE">
      <w:pPr>
        <w:tabs>
          <w:tab w:val="left" w:pos="6300"/>
        </w:tabs>
        <w:snapToGrid w:val="0"/>
        <w:spacing w:line="500" w:lineRule="exact"/>
        <w:ind w:firstLine="570"/>
        <w:rPr>
          <w:rFonts w:ascii="宋体" w:hAnsi="宋体" w:cs="宋体"/>
          <w:sz w:val="24"/>
          <w:szCs w:val="24"/>
        </w:rPr>
      </w:pPr>
    </w:p>
    <w:p w14:paraId="69201ECF">
      <w:pPr>
        <w:tabs>
          <w:tab w:val="left" w:pos="6300"/>
        </w:tabs>
        <w:snapToGrid w:val="0"/>
        <w:spacing w:line="500" w:lineRule="exact"/>
        <w:ind w:firstLine="570"/>
        <w:rPr>
          <w:rFonts w:ascii="宋体" w:hAnsi="宋体" w:cs="宋体"/>
          <w:sz w:val="24"/>
          <w:szCs w:val="24"/>
        </w:rPr>
      </w:pPr>
    </w:p>
    <w:p w14:paraId="35581D5A">
      <w:pPr>
        <w:tabs>
          <w:tab w:val="left" w:pos="6300"/>
        </w:tabs>
        <w:snapToGrid w:val="0"/>
        <w:spacing w:line="500" w:lineRule="exact"/>
        <w:ind w:firstLine="570"/>
        <w:rPr>
          <w:rFonts w:ascii="宋体" w:hAnsi="宋体" w:cs="宋体"/>
          <w:sz w:val="24"/>
          <w:szCs w:val="24"/>
        </w:rPr>
      </w:pPr>
    </w:p>
    <w:p w14:paraId="0B7349A3">
      <w:pPr>
        <w:tabs>
          <w:tab w:val="left" w:pos="6300"/>
        </w:tabs>
        <w:snapToGrid w:val="0"/>
        <w:spacing w:line="500" w:lineRule="exact"/>
        <w:ind w:firstLine="570"/>
        <w:rPr>
          <w:rFonts w:ascii="宋体" w:hAnsi="宋体" w:cs="宋体"/>
          <w:sz w:val="24"/>
          <w:szCs w:val="24"/>
        </w:rPr>
      </w:pPr>
    </w:p>
    <w:p w14:paraId="71C295BD">
      <w:pPr>
        <w:tabs>
          <w:tab w:val="left" w:pos="6300"/>
        </w:tabs>
        <w:snapToGrid w:val="0"/>
        <w:spacing w:line="500" w:lineRule="exact"/>
        <w:ind w:firstLine="570"/>
        <w:rPr>
          <w:rFonts w:ascii="宋体" w:hAnsi="宋体" w:cs="宋体"/>
          <w:sz w:val="24"/>
          <w:szCs w:val="24"/>
        </w:rPr>
      </w:pPr>
    </w:p>
    <w:p w14:paraId="311195CC">
      <w:pPr>
        <w:rPr>
          <w:rFonts w:ascii="宋体" w:hAnsi="宋体" w:cs="宋体"/>
          <w:sz w:val="24"/>
          <w:szCs w:val="24"/>
        </w:rPr>
      </w:pPr>
      <w:r>
        <w:rPr>
          <w:rFonts w:hint="eastAsia" w:ascii="宋体" w:hAnsi="宋体" w:cs="宋体"/>
          <w:sz w:val="24"/>
          <w:szCs w:val="24"/>
        </w:rPr>
        <w:br w:type="page"/>
      </w:r>
    </w:p>
    <w:p w14:paraId="4FC1FEC9">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（三）法定代表人授权委托书（格式）</w:t>
      </w:r>
    </w:p>
    <w:p w14:paraId="626C563F">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 xml:space="preserve">    </w:t>
      </w:r>
    </w:p>
    <w:p w14:paraId="014133E4">
      <w:pPr>
        <w:tabs>
          <w:tab w:val="left" w:pos="6300"/>
        </w:tabs>
        <w:snapToGrid w:val="0"/>
        <w:spacing w:line="500" w:lineRule="exact"/>
        <w:ind w:firstLine="570"/>
        <w:rPr>
          <w:rFonts w:ascii="宋体" w:hAnsi="宋体" w:cs="宋体"/>
          <w:sz w:val="24"/>
          <w:szCs w:val="24"/>
          <w:u w:val="single"/>
        </w:rPr>
      </w:pPr>
      <w:r>
        <w:rPr>
          <w:rFonts w:hint="eastAsia" w:ascii="宋体" w:hAnsi="宋体" w:cs="宋体"/>
          <w:sz w:val="24"/>
          <w:szCs w:val="24"/>
        </w:rPr>
        <w:t>比选项目名称：</w:t>
      </w:r>
      <w:r>
        <w:rPr>
          <w:rFonts w:hint="eastAsia" w:ascii="宋体" w:hAnsi="宋体" w:cs="宋体"/>
          <w:sz w:val="24"/>
          <w:szCs w:val="24"/>
          <w:u w:val="single"/>
        </w:rPr>
        <w:t xml:space="preserve">                                                </w:t>
      </w:r>
    </w:p>
    <w:p w14:paraId="55DD98E5">
      <w:pPr>
        <w:tabs>
          <w:tab w:val="left" w:pos="6300"/>
        </w:tabs>
        <w:snapToGrid w:val="0"/>
        <w:spacing w:line="500" w:lineRule="exact"/>
        <w:ind w:firstLine="570"/>
        <w:rPr>
          <w:rFonts w:ascii="宋体" w:hAnsi="宋体" w:cs="宋体"/>
          <w:sz w:val="24"/>
          <w:szCs w:val="24"/>
        </w:rPr>
      </w:pPr>
    </w:p>
    <w:p w14:paraId="07F1BA3D">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（比选代理机构名称）：</w:t>
      </w:r>
    </w:p>
    <w:p w14:paraId="1EE5E9A8">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（比选申请人法定代表人名称）是</w:t>
      </w:r>
      <w:r>
        <w:rPr>
          <w:rFonts w:hint="eastAsia" w:ascii="宋体" w:hAnsi="宋体" w:cs="宋体"/>
          <w:sz w:val="24"/>
          <w:szCs w:val="24"/>
          <w:u w:val="single"/>
        </w:rPr>
        <w:t xml:space="preserve">                    </w:t>
      </w:r>
      <w:r>
        <w:rPr>
          <w:rFonts w:hint="eastAsia" w:ascii="宋体" w:hAnsi="宋体" w:cs="宋体"/>
          <w:sz w:val="24"/>
          <w:szCs w:val="24"/>
        </w:rPr>
        <w:t>（比选申请人名称）的法定代表人，特授权</w:t>
      </w:r>
      <w:r>
        <w:rPr>
          <w:rFonts w:hint="eastAsia" w:ascii="宋体" w:hAnsi="宋体" w:cs="宋体"/>
          <w:sz w:val="24"/>
          <w:szCs w:val="24"/>
          <w:u w:val="single"/>
        </w:rPr>
        <w:t xml:space="preserve">          </w:t>
      </w:r>
      <w:r>
        <w:rPr>
          <w:rFonts w:hint="eastAsia" w:ascii="宋体" w:hAnsi="宋体" w:cs="宋体"/>
          <w:sz w:val="24"/>
          <w:szCs w:val="24"/>
        </w:rPr>
        <w:t>（被授权人姓名及身份证代码）代表我单位全权办理上述项目的比选、谈判、签约等具体工作，并签署全部有关文件、协议及合同。</w:t>
      </w:r>
    </w:p>
    <w:p w14:paraId="439D7ECA">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我单位对被授权人的签署负全部责任。</w:t>
      </w:r>
    </w:p>
    <w:p w14:paraId="3DCDF562">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在撤消授权的书面通知以前，本授权书一直有效。被授权人在授权书有效期内签署的所有文件不因授权的撤消而失效。</w:t>
      </w:r>
    </w:p>
    <w:p w14:paraId="71358B77">
      <w:pPr>
        <w:tabs>
          <w:tab w:val="left" w:pos="6300"/>
        </w:tabs>
        <w:snapToGrid w:val="0"/>
        <w:spacing w:line="500" w:lineRule="exact"/>
        <w:ind w:firstLine="570"/>
        <w:rPr>
          <w:rFonts w:ascii="宋体" w:hAnsi="宋体" w:cs="宋体"/>
          <w:sz w:val="24"/>
          <w:szCs w:val="24"/>
        </w:rPr>
      </w:pPr>
    </w:p>
    <w:p w14:paraId="780809B8">
      <w:pPr>
        <w:tabs>
          <w:tab w:val="left" w:pos="6300"/>
        </w:tabs>
        <w:snapToGrid w:val="0"/>
        <w:spacing w:line="500" w:lineRule="exact"/>
        <w:ind w:firstLine="570"/>
        <w:rPr>
          <w:rFonts w:ascii="宋体" w:hAnsi="宋体" w:cs="宋体"/>
          <w:sz w:val="24"/>
          <w:szCs w:val="24"/>
        </w:rPr>
      </w:pPr>
    </w:p>
    <w:p w14:paraId="46BADE18">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被授权人：                                 比选申请人法定代表人：</w:t>
      </w:r>
    </w:p>
    <w:p w14:paraId="1287AC9E">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（签署或盖章）                                （签署或盖章）</w:t>
      </w:r>
    </w:p>
    <w:p w14:paraId="4D19097E">
      <w:pPr>
        <w:tabs>
          <w:tab w:val="left" w:pos="6300"/>
        </w:tabs>
        <w:snapToGrid w:val="0"/>
        <w:spacing w:line="500" w:lineRule="exact"/>
        <w:ind w:firstLine="570"/>
        <w:rPr>
          <w:rFonts w:ascii="宋体" w:hAnsi="宋体" w:cs="宋体"/>
          <w:sz w:val="24"/>
          <w:szCs w:val="24"/>
        </w:rPr>
      </w:pPr>
    </w:p>
    <w:p w14:paraId="1F0253A8">
      <w:pPr>
        <w:tabs>
          <w:tab w:val="left" w:pos="6300"/>
        </w:tabs>
        <w:snapToGrid w:val="0"/>
        <w:spacing w:line="500" w:lineRule="exact"/>
        <w:ind w:firstLine="570"/>
        <w:rPr>
          <w:rFonts w:ascii="宋体" w:hAnsi="宋体" w:cs="宋体"/>
          <w:sz w:val="24"/>
          <w:szCs w:val="24"/>
        </w:rPr>
      </w:pPr>
    </w:p>
    <w:p w14:paraId="5D877404">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（附：被授权人身份证正反面复印件）</w:t>
      </w:r>
    </w:p>
    <w:p w14:paraId="3AB1D3FD">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 xml:space="preserve">                                          </w:t>
      </w:r>
    </w:p>
    <w:p w14:paraId="000E23BA">
      <w:pPr>
        <w:tabs>
          <w:tab w:val="left" w:pos="6300"/>
        </w:tabs>
        <w:snapToGrid w:val="0"/>
        <w:spacing w:line="500" w:lineRule="exact"/>
        <w:ind w:firstLine="570"/>
        <w:rPr>
          <w:rFonts w:ascii="宋体" w:hAnsi="宋体" w:cs="宋体"/>
          <w:sz w:val="24"/>
          <w:szCs w:val="24"/>
        </w:rPr>
      </w:pPr>
    </w:p>
    <w:p w14:paraId="08EBD617">
      <w:pPr>
        <w:tabs>
          <w:tab w:val="left" w:pos="6300"/>
        </w:tabs>
        <w:snapToGrid w:val="0"/>
        <w:spacing w:line="500" w:lineRule="exact"/>
        <w:ind w:firstLine="570"/>
        <w:jc w:val="right"/>
        <w:rPr>
          <w:rFonts w:ascii="宋体" w:hAnsi="宋体" w:cs="宋体"/>
          <w:sz w:val="24"/>
          <w:szCs w:val="24"/>
        </w:rPr>
      </w:pPr>
      <w:r>
        <w:rPr>
          <w:rFonts w:hint="eastAsia" w:ascii="宋体" w:hAnsi="宋体" w:cs="宋体"/>
          <w:sz w:val="24"/>
          <w:szCs w:val="24"/>
        </w:rPr>
        <w:t>（比选申请人公章）</w:t>
      </w:r>
    </w:p>
    <w:p w14:paraId="70447207">
      <w:pPr>
        <w:tabs>
          <w:tab w:val="left" w:pos="6300"/>
        </w:tabs>
        <w:snapToGrid w:val="0"/>
        <w:spacing w:line="500" w:lineRule="exact"/>
        <w:ind w:firstLine="570"/>
        <w:jc w:val="right"/>
        <w:rPr>
          <w:rFonts w:ascii="宋体" w:hAnsi="宋体" w:cs="宋体"/>
          <w:sz w:val="24"/>
          <w:szCs w:val="24"/>
        </w:rPr>
      </w:pPr>
      <w:r>
        <w:rPr>
          <w:rFonts w:hint="eastAsia" w:ascii="宋体" w:hAnsi="宋体" w:cs="宋体"/>
          <w:sz w:val="24"/>
          <w:szCs w:val="24"/>
        </w:rPr>
        <w:t>年   月   日</w:t>
      </w:r>
    </w:p>
    <w:p w14:paraId="04BDE2CE">
      <w:pPr>
        <w:tabs>
          <w:tab w:val="left" w:pos="6300"/>
        </w:tabs>
        <w:snapToGrid w:val="0"/>
        <w:spacing w:line="500" w:lineRule="exact"/>
        <w:ind w:firstLine="570"/>
        <w:rPr>
          <w:rFonts w:ascii="宋体" w:hAnsi="宋体" w:cs="宋体"/>
          <w:sz w:val="24"/>
          <w:szCs w:val="24"/>
        </w:rPr>
      </w:pPr>
    </w:p>
    <w:p w14:paraId="579B8E65">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被授权人电话：XXXXXXX     电子邮箱：XXXXXX@XXXXX（若法定代表人办理并签署比选申请文件的可不填写）</w:t>
      </w:r>
    </w:p>
    <w:p w14:paraId="681BA39A">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注：</w:t>
      </w:r>
    </w:p>
    <w:p w14:paraId="0A30D9B3">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1.若为法定代表人办理并签署比选申请的，不提供此文件。</w:t>
      </w:r>
    </w:p>
    <w:p w14:paraId="4FB2E708">
      <w:pPr>
        <w:rPr>
          <w:rFonts w:ascii="宋体" w:hAnsi="宋体" w:cs="宋体"/>
          <w:sz w:val="24"/>
          <w:szCs w:val="24"/>
        </w:rPr>
      </w:pPr>
      <w:r>
        <w:rPr>
          <w:rFonts w:hint="eastAsia" w:ascii="宋体" w:hAnsi="宋体" w:cs="宋体"/>
          <w:sz w:val="24"/>
          <w:szCs w:val="24"/>
        </w:rPr>
        <w:br w:type="page"/>
      </w:r>
    </w:p>
    <w:p w14:paraId="30DC8CC3">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（四）基本资格条件承诺函</w:t>
      </w:r>
    </w:p>
    <w:p w14:paraId="3AB7516E">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基本资格条件承诺函</w:t>
      </w:r>
    </w:p>
    <w:p w14:paraId="41FF0676">
      <w:pPr>
        <w:tabs>
          <w:tab w:val="left" w:pos="6300"/>
        </w:tabs>
        <w:snapToGrid w:val="0"/>
        <w:spacing w:line="500" w:lineRule="exact"/>
        <w:ind w:firstLine="570"/>
        <w:rPr>
          <w:rFonts w:ascii="宋体" w:hAnsi="宋体" w:cs="宋体"/>
          <w:sz w:val="24"/>
          <w:szCs w:val="24"/>
        </w:rPr>
      </w:pPr>
    </w:p>
    <w:p w14:paraId="76A7531D">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 xml:space="preserve">致 </w:t>
      </w:r>
      <w:r>
        <w:rPr>
          <w:rFonts w:hint="eastAsia" w:ascii="宋体" w:hAnsi="宋体" w:cs="宋体"/>
          <w:sz w:val="24"/>
          <w:szCs w:val="24"/>
          <w:u w:val="single"/>
        </w:rPr>
        <w:t xml:space="preserve">                  </w:t>
      </w:r>
      <w:r>
        <w:rPr>
          <w:rFonts w:hint="eastAsia" w:ascii="宋体" w:hAnsi="宋体" w:cs="宋体"/>
          <w:sz w:val="24"/>
          <w:szCs w:val="24"/>
        </w:rPr>
        <w:t>（比选代理机构名称）：</w:t>
      </w:r>
    </w:p>
    <w:p w14:paraId="0D10D583">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（比选申请人名称）郑重承诺：</w:t>
      </w:r>
    </w:p>
    <w:p w14:paraId="3B995FD3">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13B5CD90">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2.我方未列入在信用中国网站（www.creditchina.gov.cn）“失信被执行人”、“重大税收违法案件当事人名单”中，也未列入中国政府采购网（www.ccgp.gov.cn）“政府采购严重违法失信行为记录名单”中。</w:t>
      </w:r>
    </w:p>
    <w:p w14:paraId="6654A74E">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3.我方在采购项目评审（评标）环节结束后，随时接受比选人、比选代理机构的检查验证，配合提供相关证明材料，证明符合比选申请人基本资格条件。</w:t>
      </w:r>
    </w:p>
    <w:p w14:paraId="23D1BC0C">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我方对以上承诺负全部法律责任。</w:t>
      </w:r>
    </w:p>
    <w:p w14:paraId="3EB8FBFE">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特此承诺。</w:t>
      </w:r>
    </w:p>
    <w:p w14:paraId="69A28BCE">
      <w:pPr>
        <w:tabs>
          <w:tab w:val="left" w:pos="6300"/>
        </w:tabs>
        <w:snapToGrid w:val="0"/>
        <w:spacing w:line="500" w:lineRule="exact"/>
        <w:ind w:firstLine="570"/>
        <w:rPr>
          <w:rFonts w:ascii="宋体" w:hAnsi="宋体" w:cs="宋体"/>
          <w:sz w:val="24"/>
          <w:szCs w:val="24"/>
        </w:rPr>
      </w:pPr>
    </w:p>
    <w:p w14:paraId="7B6AE8A9">
      <w:pPr>
        <w:tabs>
          <w:tab w:val="left" w:pos="6300"/>
        </w:tabs>
        <w:snapToGrid w:val="0"/>
        <w:spacing w:line="500" w:lineRule="exact"/>
        <w:ind w:firstLine="570"/>
        <w:jc w:val="right"/>
        <w:rPr>
          <w:rFonts w:ascii="宋体" w:hAnsi="宋体" w:cs="宋体"/>
          <w:sz w:val="24"/>
          <w:szCs w:val="24"/>
        </w:rPr>
      </w:pPr>
      <w:r>
        <w:rPr>
          <w:rFonts w:hint="eastAsia" w:ascii="宋体" w:hAnsi="宋体" w:cs="宋体"/>
          <w:sz w:val="24"/>
          <w:szCs w:val="24"/>
        </w:rPr>
        <w:t>（比选申请人公章）</w:t>
      </w:r>
    </w:p>
    <w:p w14:paraId="0AE1D18C">
      <w:pPr>
        <w:tabs>
          <w:tab w:val="left" w:pos="6300"/>
        </w:tabs>
        <w:snapToGrid w:val="0"/>
        <w:spacing w:line="500" w:lineRule="exact"/>
        <w:ind w:firstLine="570"/>
        <w:jc w:val="right"/>
        <w:rPr>
          <w:rFonts w:ascii="宋体" w:hAnsi="宋体" w:cs="宋体"/>
          <w:sz w:val="24"/>
          <w:szCs w:val="24"/>
        </w:rPr>
      </w:pPr>
      <w:r>
        <w:rPr>
          <w:rFonts w:hint="eastAsia" w:ascii="宋体" w:hAnsi="宋体" w:cs="宋体"/>
          <w:sz w:val="24"/>
          <w:szCs w:val="24"/>
        </w:rPr>
        <w:t>年   月   日</w:t>
      </w:r>
    </w:p>
    <w:p w14:paraId="556636E4">
      <w:pPr>
        <w:tabs>
          <w:tab w:val="left" w:pos="6300"/>
        </w:tabs>
        <w:snapToGrid w:val="0"/>
        <w:spacing w:line="500" w:lineRule="exact"/>
        <w:ind w:firstLine="570"/>
        <w:rPr>
          <w:rFonts w:ascii="宋体" w:hAnsi="宋体" w:cs="宋体"/>
          <w:sz w:val="24"/>
          <w:szCs w:val="24"/>
        </w:rPr>
      </w:pPr>
    </w:p>
    <w:p w14:paraId="41273557">
      <w:pPr>
        <w:tabs>
          <w:tab w:val="left" w:pos="6300"/>
        </w:tabs>
        <w:snapToGrid w:val="0"/>
        <w:spacing w:line="500" w:lineRule="exact"/>
        <w:ind w:firstLine="570"/>
        <w:rPr>
          <w:rFonts w:ascii="宋体" w:hAnsi="宋体" w:cs="宋体"/>
          <w:sz w:val="24"/>
          <w:szCs w:val="24"/>
        </w:rPr>
      </w:pPr>
    </w:p>
    <w:p w14:paraId="76EC15F8">
      <w:pPr>
        <w:tabs>
          <w:tab w:val="left" w:pos="6300"/>
        </w:tabs>
        <w:snapToGrid w:val="0"/>
        <w:spacing w:line="500" w:lineRule="exact"/>
        <w:ind w:firstLine="570"/>
        <w:rPr>
          <w:rFonts w:ascii="宋体" w:hAnsi="宋体" w:cs="宋体"/>
          <w:sz w:val="24"/>
          <w:szCs w:val="24"/>
        </w:rPr>
      </w:pPr>
    </w:p>
    <w:p w14:paraId="763045E8">
      <w:pPr>
        <w:tabs>
          <w:tab w:val="left" w:pos="6300"/>
        </w:tabs>
        <w:snapToGrid w:val="0"/>
        <w:spacing w:line="500" w:lineRule="exact"/>
        <w:ind w:firstLine="570"/>
        <w:rPr>
          <w:rFonts w:ascii="宋体" w:hAnsi="宋体" w:cs="宋体"/>
          <w:sz w:val="24"/>
          <w:szCs w:val="24"/>
        </w:rPr>
      </w:pPr>
    </w:p>
    <w:p w14:paraId="5A592542">
      <w:pPr>
        <w:tabs>
          <w:tab w:val="left" w:pos="6300"/>
        </w:tabs>
        <w:snapToGrid w:val="0"/>
        <w:spacing w:line="500" w:lineRule="exact"/>
        <w:ind w:firstLine="570"/>
        <w:rPr>
          <w:rFonts w:ascii="宋体" w:hAnsi="宋体" w:cs="宋体"/>
          <w:sz w:val="24"/>
          <w:szCs w:val="24"/>
        </w:rPr>
      </w:pPr>
    </w:p>
    <w:p w14:paraId="4A988378">
      <w:pPr>
        <w:tabs>
          <w:tab w:val="left" w:pos="6300"/>
        </w:tabs>
        <w:snapToGrid w:val="0"/>
        <w:spacing w:line="500" w:lineRule="exact"/>
        <w:ind w:firstLine="570"/>
        <w:rPr>
          <w:rFonts w:ascii="宋体" w:hAnsi="宋体" w:cs="宋体"/>
          <w:sz w:val="24"/>
          <w:szCs w:val="24"/>
        </w:rPr>
      </w:pPr>
    </w:p>
    <w:p w14:paraId="4D21B229">
      <w:pPr>
        <w:tabs>
          <w:tab w:val="left" w:pos="6300"/>
        </w:tabs>
        <w:snapToGrid w:val="0"/>
        <w:spacing w:line="500" w:lineRule="exact"/>
        <w:ind w:firstLine="570"/>
        <w:rPr>
          <w:rFonts w:ascii="宋体" w:hAnsi="宋体" w:cs="宋体"/>
          <w:sz w:val="24"/>
          <w:szCs w:val="24"/>
        </w:rPr>
      </w:pPr>
    </w:p>
    <w:p w14:paraId="2A6D9FD7">
      <w:pPr>
        <w:tabs>
          <w:tab w:val="left" w:pos="6300"/>
        </w:tabs>
        <w:snapToGrid w:val="0"/>
        <w:spacing w:line="500" w:lineRule="exact"/>
        <w:ind w:firstLine="570"/>
        <w:rPr>
          <w:rFonts w:ascii="宋体" w:hAnsi="宋体" w:cs="宋体"/>
          <w:sz w:val="24"/>
          <w:szCs w:val="24"/>
        </w:rPr>
      </w:pPr>
    </w:p>
    <w:p w14:paraId="4E402642">
      <w:pPr>
        <w:tabs>
          <w:tab w:val="left" w:pos="6300"/>
        </w:tabs>
        <w:snapToGrid w:val="0"/>
        <w:spacing w:line="500" w:lineRule="exact"/>
        <w:ind w:firstLine="570"/>
        <w:rPr>
          <w:rFonts w:ascii="宋体" w:hAnsi="宋体" w:cs="宋体"/>
          <w:sz w:val="24"/>
          <w:szCs w:val="24"/>
        </w:rPr>
      </w:pPr>
    </w:p>
    <w:p w14:paraId="4841F9EB">
      <w:pPr>
        <w:rPr>
          <w:rFonts w:ascii="宋体" w:hAnsi="宋体" w:cs="宋体"/>
          <w:sz w:val="24"/>
          <w:szCs w:val="24"/>
        </w:rPr>
      </w:pPr>
      <w:r>
        <w:rPr>
          <w:rFonts w:hint="eastAsia" w:ascii="宋体" w:hAnsi="宋体" w:cs="宋体"/>
          <w:sz w:val="24"/>
          <w:szCs w:val="24"/>
        </w:rPr>
        <w:br w:type="page"/>
      </w:r>
    </w:p>
    <w:p w14:paraId="706D2A7B">
      <w:pPr>
        <w:tabs>
          <w:tab w:val="left" w:pos="6300"/>
        </w:tabs>
        <w:snapToGrid w:val="0"/>
        <w:spacing w:line="500" w:lineRule="exact"/>
        <w:ind w:firstLine="570"/>
        <w:rPr>
          <w:rFonts w:ascii="宋体" w:hAnsi="宋体" w:cs="宋体"/>
          <w:sz w:val="24"/>
          <w:szCs w:val="24"/>
        </w:rPr>
      </w:pPr>
      <w:r>
        <w:rPr>
          <w:rFonts w:hint="eastAsia" w:ascii="宋体" w:hAnsi="宋体" w:cs="宋体"/>
          <w:sz w:val="24"/>
          <w:szCs w:val="24"/>
        </w:rPr>
        <w:t>（五）特定资格条件证书或证明文件</w:t>
      </w:r>
    </w:p>
    <w:p w14:paraId="65697383">
      <w:pPr>
        <w:tabs>
          <w:tab w:val="left" w:pos="6300"/>
        </w:tabs>
        <w:snapToGrid w:val="0"/>
        <w:spacing w:line="500" w:lineRule="exact"/>
        <w:ind w:firstLine="570"/>
        <w:rPr>
          <w:rFonts w:ascii="宋体" w:hAnsi="宋体" w:cs="宋体"/>
          <w:sz w:val="24"/>
          <w:szCs w:val="24"/>
        </w:rPr>
      </w:pPr>
    </w:p>
    <w:p w14:paraId="00E47732">
      <w:pPr>
        <w:tabs>
          <w:tab w:val="left" w:pos="6300"/>
        </w:tabs>
        <w:snapToGrid w:val="0"/>
        <w:spacing w:line="500" w:lineRule="exact"/>
        <w:ind w:firstLine="570"/>
        <w:rPr>
          <w:rFonts w:ascii="宋体" w:hAnsi="宋体" w:cs="宋体"/>
          <w:sz w:val="24"/>
          <w:szCs w:val="24"/>
        </w:rPr>
      </w:pPr>
    </w:p>
    <w:p w14:paraId="5EC1B3C3">
      <w:pPr>
        <w:tabs>
          <w:tab w:val="left" w:pos="6300"/>
        </w:tabs>
        <w:snapToGrid w:val="0"/>
        <w:spacing w:line="500" w:lineRule="exact"/>
        <w:ind w:firstLine="570"/>
        <w:rPr>
          <w:rFonts w:ascii="宋体" w:hAnsi="宋体" w:cs="宋体"/>
          <w:sz w:val="24"/>
          <w:szCs w:val="24"/>
        </w:rPr>
      </w:pPr>
    </w:p>
    <w:p w14:paraId="26AF1B78">
      <w:pPr>
        <w:tabs>
          <w:tab w:val="left" w:pos="6300"/>
        </w:tabs>
        <w:snapToGrid w:val="0"/>
        <w:spacing w:line="500" w:lineRule="exact"/>
        <w:ind w:firstLine="570"/>
        <w:rPr>
          <w:rFonts w:ascii="宋体" w:hAnsi="宋体" w:cs="宋体"/>
          <w:sz w:val="24"/>
          <w:szCs w:val="24"/>
        </w:rPr>
      </w:pPr>
    </w:p>
    <w:p w14:paraId="7344BE0E">
      <w:pPr>
        <w:tabs>
          <w:tab w:val="left" w:pos="6300"/>
        </w:tabs>
        <w:snapToGrid w:val="0"/>
        <w:spacing w:line="500" w:lineRule="exact"/>
        <w:ind w:firstLine="570"/>
        <w:rPr>
          <w:rFonts w:ascii="宋体" w:hAnsi="宋体" w:cs="宋体"/>
          <w:sz w:val="24"/>
          <w:szCs w:val="24"/>
        </w:rPr>
      </w:pPr>
    </w:p>
    <w:p w14:paraId="6A447DC0">
      <w:pPr>
        <w:tabs>
          <w:tab w:val="left" w:pos="6300"/>
        </w:tabs>
        <w:snapToGrid w:val="0"/>
        <w:spacing w:line="500" w:lineRule="exact"/>
        <w:ind w:firstLine="570"/>
        <w:rPr>
          <w:rFonts w:ascii="宋体" w:hAnsi="宋体" w:cs="宋体"/>
          <w:sz w:val="24"/>
          <w:szCs w:val="24"/>
        </w:rPr>
      </w:pPr>
    </w:p>
    <w:p w14:paraId="59BE8F5C">
      <w:pPr>
        <w:tabs>
          <w:tab w:val="left" w:pos="6300"/>
        </w:tabs>
        <w:snapToGrid w:val="0"/>
        <w:spacing w:line="500" w:lineRule="exact"/>
        <w:ind w:firstLine="570"/>
        <w:rPr>
          <w:rFonts w:ascii="宋体" w:hAnsi="宋体" w:cs="宋体"/>
          <w:sz w:val="24"/>
          <w:szCs w:val="24"/>
        </w:rPr>
      </w:pPr>
    </w:p>
    <w:p w14:paraId="1951F5FA">
      <w:pPr>
        <w:tabs>
          <w:tab w:val="left" w:pos="6300"/>
        </w:tabs>
        <w:snapToGrid w:val="0"/>
        <w:spacing w:line="500" w:lineRule="exact"/>
        <w:ind w:firstLine="570"/>
        <w:rPr>
          <w:rFonts w:ascii="宋体" w:hAnsi="宋体" w:cs="宋体"/>
          <w:sz w:val="24"/>
          <w:szCs w:val="24"/>
        </w:rPr>
      </w:pPr>
    </w:p>
    <w:p w14:paraId="3EB14523">
      <w:pPr>
        <w:tabs>
          <w:tab w:val="left" w:pos="6300"/>
        </w:tabs>
        <w:snapToGrid w:val="0"/>
        <w:spacing w:line="500" w:lineRule="exact"/>
        <w:ind w:firstLine="570"/>
        <w:rPr>
          <w:rFonts w:ascii="宋体" w:hAnsi="宋体" w:cs="宋体"/>
          <w:sz w:val="24"/>
          <w:szCs w:val="24"/>
        </w:rPr>
      </w:pPr>
    </w:p>
    <w:p w14:paraId="29F40085">
      <w:pPr>
        <w:tabs>
          <w:tab w:val="left" w:pos="6300"/>
        </w:tabs>
        <w:snapToGrid w:val="0"/>
        <w:spacing w:line="500" w:lineRule="exact"/>
        <w:ind w:firstLine="570"/>
        <w:rPr>
          <w:rFonts w:ascii="宋体" w:hAnsi="宋体" w:cs="宋体"/>
          <w:sz w:val="24"/>
          <w:szCs w:val="24"/>
        </w:rPr>
      </w:pPr>
    </w:p>
    <w:p w14:paraId="3D50DACB">
      <w:pPr>
        <w:tabs>
          <w:tab w:val="left" w:pos="6300"/>
        </w:tabs>
        <w:snapToGrid w:val="0"/>
        <w:spacing w:line="500" w:lineRule="exact"/>
        <w:ind w:firstLine="570"/>
        <w:rPr>
          <w:rFonts w:ascii="宋体" w:hAnsi="宋体" w:cs="宋体"/>
          <w:sz w:val="24"/>
          <w:szCs w:val="24"/>
        </w:rPr>
      </w:pPr>
    </w:p>
    <w:p w14:paraId="4D1D8450">
      <w:pPr>
        <w:tabs>
          <w:tab w:val="left" w:pos="6300"/>
        </w:tabs>
        <w:snapToGrid w:val="0"/>
        <w:spacing w:line="500" w:lineRule="exact"/>
        <w:ind w:firstLine="570"/>
        <w:rPr>
          <w:rFonts w:ascii="宋体" w:hAnsi="宋体" w:cs="宋体"/>
          <w:sz w:val="24"/>
          <w:szCs w:val="24"/>
        </w:rPr>
      </w:pPr>
    </w:p>
    <w:p w14:paraId="2D9E1EB8">
      <w:pPr>
        <w:tabs>
          <w:tab w:val="left" w:pos="6300"/>
        </w:tabs>
        <w:snapToGrid w:val="0"/>
        <w:spacing w:line="500" w:lineRule="exact"/>
        <w:ind w:firstLine="570"/>
        <w:rPr>
          <w:rFonts w:ascii="宋体" w:hAnsi="宋体" w:cs="宋体"/>
          <w:sz w:val="24"/>
          <w:szCs w:val="24"/>
        </w:rPr>
      </w:pPr>
    </w:p>
    <w:p w14:paraId="18EF7D54">
      <w:pPr>
        <w:tabs>
          <w:tab w:val="left" w:pos="6300"/>
        </w:tabs>
        <w:snapToGrid w:val="0"/>
        <w:spacing w:line="500" w:lineRule="exact"/>
        <w:ind w:firstLine="570"/>
        <w:rPr>
          <w:rFonts w:ascii="宋体" w:hAnsi="宋体" w:cs="宋体"/>
          <w:sz w:val="24"/>
          <w:szCs w:val="24"/>
        </w:rPr>
      </w:pPr>
    </w:p>
    <w:p w14:paraId="5D415874">
      <w:pPr>
        <w:tabs>
          <w:tab w:val="left" w:pos="6300"/>
        </w:tabs>
        <w:snapToGrid w:val="0"/>
        <w:spacing w:line="500" w:lineRule="exact"/>
        <w:ind w:firstLine="570"/>
        <w:rPr>
          <w:rFonts w:ascii="宋体" w:hAnsi="宋体" w:cs="宋体"/>
          <w:sz w:val="24"/>
          <w:szCs w:val="24"/>
        </w:rPr>
      </w:pPr>
    </w:p>
    <w:p w14:paraId="748B627F">
      <w:pPr>
        <w:tabs>
          <w:tab w:val="left" w:pos="6300"/>
        </w:tabs>
        <w:snapToGrid w:val="0"/>
        <w:spacing w:line="500" w:lineRule="exact"/>
        <w:ind w:firstLine="570"/>
        <w:rPr>
          <w:rFonts w:ascii="宋体" w:hAnsi="宋体" w:cs="宋体"/>
          <w:sz w:val="24"/>
          <w:szCs w:val="24"/>
        </w:rPr>
      </w:pPr>
    </w:p>
    <w:p w14:paraId="4D4511BA">
      <w:pPr>
        <w:tabs>
          <w:tab w:val="left" w:pos="6300"/>
        </w:tabs>
        <w:snapToGrid w:val="0"/>
        <w:spacing w:line="500" w:lineRule="exact"/>
        <w:ind w:firstLine="570"/>
        <w:rPr>
          <w:rFonts w:ascii="宋体" w:hAnsi="宋体" w:cs="宋体"/>
          <w:sz w:val="24"/>
          <w:szCs w:val="24"/>
        </w:rPr>
      </w:pPr>
    </w:p>
    <w:p w14:paraId="3FE90A17">
      <w:pPr>
        <w:spacing w:line="360" w:lineRule="auto"/>
        <w:ind w:firstLine="480" w:firstLineChars="200"/>
        <w:jc w:val="center"/>
        <w:rPr>
          <w:rFonts w:ascii="宋体" w:hAnsi="宋体" w:cs="宋体"/>
        </w:rPr>
      </w:pPr>
      <w:r>
        <w:rPr>
          <w:rFonts w:hint="eastAsia" w:ascii="宋体" w:hAnsi="宋体" w:cs="宋体"/>
          <w:sz w:val="24"/>
          <w:szCs w:val="24"/>
        </w:rPr>
        <w:br w:type="page"/>
      </w:r>
      <w:r>
        <w:rPr>
          <w:rFonts w:hint="eastAsia" w:ascii="宋体" w:hAnsi="宋体" w:cs="宋体"/>
        </w:rPr>
        <w:t>五、其他资料（如有）</w:t>
      </w:r>
    </w:p>
    <w:p w14:paraId="3DFFBFDC">
      <w:pPr>
        <w:spacing w:line="360" w:lineRule="auto"/>
        <w:ind w:firstLine="560" w:firstLineChars="200"/>
        <w:jc w:val="left"/>
        <w:rPr>
          <w:rFonts w:ascii="宋体" w:hAnsi="宋体" w:cs="宋体"/>
        </w:rPr>
      </w:pPr>
      <w:r>
        <w:rPr>
          <w:rFonts w:hint="eastAsia" w:ascii="宋体" w:hAnsi="宋体" w:cs="宋体"/>
        </w:rPr>
        <w:t>比选申请人根据自身情况自行编制</w:t>
      </w:r>
    </w:p>
    <w:p w14:paraId="40910A60">
      <w:pPr>
        <w:spacing w:line="360" w:lineRule="auto"/>
        <w:ind w:firstLine="560" w:firstLineChars="200"/>
        <w:jc w:val="left"/>
        <w:rPr>
          <w:rFonts w:ascii="宋体" w:hAnsi="宋体" w:cs="宋体"/>
        </w:rPr>
      </w:pPr>
    </w:p>
    <w:p w14:paraId="34CBBC86">
      <w:pPr>
        <w:spacing w:line="360" w:lineRule="auto"/>
        <w:ind w:firstLine="560" w:firstLineChars="200"/>
        <w:jc w:val="left"/>
        <w:rPr>
          <w:rFonts w:ascii="宋体" w:hAnsi="宋体" w:cs="宋体"/>
        </w:rPr>
      </w:pPr>
    </w:p>
    <w:p w14:paraId="1BE1D735">
      <w:pPr>
        <w:spacing w:line="360" w:lineRule="auto"/>
        <w:ind w:firstLine="560" w:firstLineChars="200"/>
        <w:jc w:val="left"/>
        <w:rPr>
          <w:rFonts w:ascii="宋体" w:hAnsi="宋体" w:cs="宋体"/>
        </w:rPr>
      </w:pPr>
    </w:p>
    <w:p w14:paraId="36517CB6">
      <w:pPr>
        <w:spacing w:line="360" w:lineRule="auto"/>
        <w:ind w:firstLine="560" w:firstLineChars="200"/>
        <w:jc w:val="left"/>
        <w:rPr>
          <w:rFonts w:ascii="宋体" w:hAnsi="宋体" w:cs="宋体"/>
        </w:rPr>
      </w:pPr>
    </w:p>
    <w:p w14:paraId="4CF0FD6E">
      <w:pPr>
        <w:spacing w:line="360" w:lineRule="auto"/>
        <w:ind w:firstLine="560" w:firstLineChars="200"/>
        <w:jc w:val="left"/>
        <w:rPr>
          <w:rFonts w:ascii="宋体" w:hAnsi="宋体" w:cs="宋体"/>
        </w:rPr>
      </w:pPr>
    </w:p>
    <w:p w14:paraId="6650D36F">
      <w:pPr>
        <w:spacing w:line="360" w:lineRule="auto"/>
        <w:ind w:firstLine="560" w:firstLineChars="200"/>
        <w:jc w:val="left"/>
        <w:rPr>
          <w:rFonts w:ascii="宋体" w:hAnsi="宋体" w:cs="宋体"/>
        </w:rPr>
      </w:pPr>
    </w:p>
    <w:p w14:paraId="6E1E9FF6">
      <w:pPr>
        <w:spacing w:line="360" w:lineRule="auto"/>
        <w:ind w:firstLine="560" w:firstLineChars="200"/>
        <w:jc w:val="left"/>
        <w:rPr>
          <w:rFonts w:ascii="宋体" w:hAnsi="宋体" w:cs="宋体"/>
        </w:rPr>
      </w:pPr>
    </w:p>
    <w:p w14:paraId="0ED83EE0">
      <w:pPr>
        <w:spacing w:line="360" w:lineRule="auto"/>
        <w:ind w:firstLine="560" w:firstLineChars="200"/>
        <w:jc w:val="left"/>
        <w:rPr>
          <w:rFonts w:ascii="宋体" w:hAnsi="宋体" w:cs="宋体"/>
        </w:rPr>
      </w:pPr>
    </w:p>
    <w:p w14:paraId="61F978CA">
      <w:pPr>
        <w:spacing w:line="360" w:lineRule="auto"/>
        <w:ind w:firstLine="560" w:firstLineChars="200"/>
        <w:jc w:val="left"/>
        <w:rPr>
          <w:rFonts w:ascii="宋体" w:hAnsi="宋体" w:cs="宋体"/>
        </w:rPr>
      </w:pPr>
    </w:p>
    <w:p w14:paraId="175BDEC6">
      <w:pPr>
        <w:spacing w:line="360" w:lineRule="auto"/>
        <w:ind w:firstLine="560" w:firstLineChars="200"/>
        <w:jc w:val="left"/>
        <w:rPr>
          <w:rFonts w:ascii="宋体" w:hAnsi="宋体" w:cs="宋体"/>
        </w:rPr>
      </w:pPr>
    </w:p>
    <w:p w14:paraId="20CBD370">
      <w:pPr>
        <w:spacing w:line="360" w:lineRule="auto"/>
        <w:ind w:firstLine="560" w:firstLineChars="200"/>
        <w:jc w:val="left"/>
        <w:rPr>
          <w:rFonts w:ascii="宋体" w:hAnsi="宋体" w:cs="宋体"/>
        </w:rPr>
      </w:pPr>
    </w:p>
    <w:p w14:paraId="2477F609">
      <w:pPr>
        <w:spacing w:line="360" w:lineRule="auto"/>
        <w:ind w:firstLine="560" w:firstLineChars="200"/>
        <w:jc w:val="left"/>
        <w:rPr>
          <w:rFonts w:ascii="宋体" w:hAnsi="宋体" w:cs="宋体"/>
        </w:rPr>
      </w:pPr>
    </w:p>
    <w:p w14:paraId="57A12271">
      <w:pPr>
        <w:spacing w:line="360" w:lineRule="auto"/>
        <w:ind w:firstLine="560" w:firstLineChars="200"/>
        <w:jc w:val="left"/>
        <w:rPr>
          <w:rFonts w:ascii="宋体" w:hAnsi="宋体" w:cs="宋体"/>
        </w:rPr>
      </w:pPr>
    </w:p>
    <w:p w14:paraId="09032FB6">
      <w:pPr>
        <w:spacing w:line="360" w:lineRule="auto"/>
        <w:ind w:firstLine="560" w:firstLineChars="200"/>
        <w:jc w:val="left"/>
        <w:rPr>
          <w:rFonts w:ascii="宋体" w:hAnsi="宋体" w:cs="宋体"/>
        </w:rPr>
      </w:pPr>
    </w:p>
    <w:p w14:paraId="290CDA74">
      <w:pPr>
        <w:spacing w:line="360" w:lineRule="auto"/>
        <w:ind w:firstLine="560" w:firstLineChars="200"/>
        <w:jc w:val="left"/>
        <w:rPr>
          <w:rFonts w:ascii="宋体" w:hAnsi="宋体" w:cs="宋体"/>
        </w:rPr>
      </w:pPr>
    </w:p>
    <w:p w14:paraId="31CF4EF2">
      <w:pPr>
        <w:spacing w:line="360" w:lineRule="auto"/>
        <w:ind w:firstLine="560" w:firstLineChars="200"/>
        <w:jc w:val="left"/>
        <w:rPr>
          <w:rFonts w:ascii="宋体" w:hAnsi="宋体" w:cs="宋体"/>
        </w:rPr>
      </w:pPr>
    </w:p>
    <w:p w14:paraId="602546E7">
      <w:pPr>
        <w:spacing w:line="360" w:lineRule="auto"/>
        <w:ind w:firstLine="560" w:firstLineChars="200"/>
        <w:jc w:val="left"/>
        <w:rPr>
          <w:rFonts w:ascii="宋体" w:hAnsi="宋体" w:cs="宋体"/>
        </w:rPr>
      </w:pPr>
    </w:p>
    <w:p w14:paraId="06186BB8">
      <w:pPr>
        <w:spacing w:line="360" w:lineRule="auto"/>
        <w:ind w:firstLine="560" w:firstLineChars="200"/>
        <w:jc w:val="left"/>
        <w:rPr>
          <w:rFonts w:ascii="宋体" w:hAnsi="宋体" w:cs="宋体"/>
        </w:rPr>
      </w:pPr>
      <w:r>
        <w:rPr>
          <w:rFonts w:hint="eastAsia" w:ascii="宋体" w:hAnsi="宋体" w:cs="宋体"/>
        </w:rPr>
        <w:t>（结束）</w:t>
      </w:r>
    </w:p>
    <w:sectPr>
      <w:headerReference r:id="rId11" w:type="default"/>
      <w:footerReference r:id="rId12" w:type="default"/>
      <w:pgSz w:w="11907" w:h="16840"/>
      <w:pgMar w:top="1134" w:right="1191" w:bottom="1134" w:left="1304" w:header="283" w:footer="964" w:gutter="0"/>
      <w:cols w:space="720" w:num="1"/>
      <w:docGrid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_x000B__x000C_">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altName w:val="Arial"/>
    <w:panose1 w:val="020B0606020202030204"/>
    <w:charset w:val="00"/>
    <w:family w:val="swiss"/>
    <w:pitch w:val="default"/>
    <w:sig w:usb0="00000000" w:usb1="00000000" w:usb2="00000000" w:usb3="00000000" w:csb0="0000009F" w:csb1="00000000"/>
  </w:font>
  <w:font w:name="文鼎粗黑">
    <w:altName w:val="宋体"/>
    <w:panose1 w:val="00000000000000000000"/>
    <w:charset w:val="86"/>
    <w:family w:val="modern"/>
    <w:pitch w:val="default"/>
    <w:sig w:usb0="00000000" w:usb1="00000000" w:usb2="00000010" w:usb3="00000000" w:csb0="00040000" w:csb1="0000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embedRegular r:id="rId1" w:fontKey="{0347C8DC-113C-431C-ACA9-C5DE1F5C3F4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854AC">
    <w:pPr>
      <w:pStyle w:val="36"/>
      <w:framePr w:wrap="around" w:vAnchor="text" w:hAnchor="margin" w:xAlign="center" w:y="1"/>
      <w:rPr>
        <w:rStyle w:val="63"/>
      </w:rPr>
    </w:pPr>
    <w:r>
      <w:fldChar w:fldCharType="begin"/>
    </w:r>
    <w:r>
      <w:rPr>
        <w:rStyle w:val="63"/>
      </w:rPr>
      <w:instrText xml:space="preserve">PAGE  </w:instrText>
    </w:r>
    <w:r>
      <w:fldChar w:fldCharType="end"/>
    </w:r>
  </w:p>
  <w:p w14:paraId="42ECFD38">
    <w:pPr>
      <w:pStyle w:val="3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01289">
    <w:pPr>
      <w:pStyle w:val="36"/>
      <w:framePr w:wrap="around" w:vAnchor="text" w:hAnchor="margin" w:xAlign="center" w:y="1"/>
      <w:rPr>
        <w:rStyle w:val="63"/>
      </w:rPr>
    </w:pPr>
  </w:p>
  <w:p w14:paraId="3B3389BE">
    <w:pPr>
      <w:pStyle w:val="36"/>
      <w:jc w:val="center"/>
      <w:rPr>
        <w:rFonts w:ascii="宋体" w:hAnsi="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839F5">
    <w:pPr>
      <w:pStyle w:val="36"/>
      <w:tabs>
        <w:tab w:val="center" w:pos="4706"/>
        <w:tab w:val="clea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DE5318">
                          <w:pPr>
                            <w:pStyle w:val="36"/>
                          </w:pPr>
                          <w:r>
                            <w:fldChar w:fldCharType="begin"/>
                          </w:r>
                          <w:r>
                            <w:instrText xml:space="preserve"> PAGE  \* MERGEFORMAT </w:instrText>
                          </w:r>
                          <w:r>
                            <w:fldChar w:fldCharType="separate"/>
                          </w:r>
                          <w:r>
                            <w:t>1</w:t>
                          </w:r>
                          <w:r>
                            <w:fldChar w:fldCharType="end"/>
                          </w:r>
                        </w:p>
                      </w:txbxContent>
                    </wps:txbx>
                    <wps:bodyPr vert="horz" wrap="none" lIns="0" tIns="0" rIns="0" bIns="0" anchor="t" anchorCtr="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Lw/jXjXAQAAsgMAAA4AAAAAAAAAAQAgAAAA&#10;HgEAAGRycy9lMm9Eb2MueG1sUEsFBgAAAAAGAAYAWQEAAGcFAAAAAA==&#10;">
              <v:fill on="f" focussize="0,0"/>
              <v:stroke on="f"/>
              <v:imagedata o:title=""/>
              <o:lock v:ext="edit" aspectratio="f"/>
              <v:textbox inset="0mm,0mm,0mm,0mm" style="mso-fit-shape-to-text:t;">
                <w:txbxContent>
                  <w:p w14:paraId="0CDE5318">
                    <w:pPr>
                      <w:pStyle w:val="36"/>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A8600">
    <w:pPr>
      <w:pStyle w:val="36"/>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A277FC">
                          <w:pPr>
                            <w:pStyle w:val="36"/>
                            <w:jc w:val="center"/>
                          </w:pPr>
                          <w:r>
                            <w:rPr>
                              <w:rFonts w:ascii="宋体" w:hAnsi="宋体"/>
                              <w:sz w:val="21"/>
                              <w:szCs w:val="21"/>
                            </w:rPr>
                            <w:fldChar w:fldCharType="begin"/>
                          </w:r>
                          <w:r>
                            <w:rPr>
                              <w:rStyle w:val="63"/>
                              <w:rFonts w:ascii="宋体" w:hAnsi="宋体"/>
                              <w:sz w:val="21"/>
                              <w:szCs w:val="21"/>
                            </w:rPr>
                            <w:instrText xml:space="preserve"> PAGE </w:instrText>
                          </w:r>
                          <w:r>
                            <w:rPr>
                              <w:rFonts w:ascii="宋体" w:hAnsi="宋体"/>
                              <w:sz w:val="21"/>
                              <w:szCs w:val="21"/>
                            </w:rPr>
                            <w:fldChar w:fldCharType="separate"/>
                          </w:r>
                          <w:r>
                            <w:rPr>
                              <w:rStyle w:val="63"/>
                              <w:rFonts w:ascii="宋体" w:hAnsi="宋体"/>
                              <w:sz w:val="21"/>
                              <w:szCs w:val="21"/>
                            </w:rPr>
                            <w:t>17</w:t>
                          </w:r>
                          <w:r>
                            <w:rPr>
                              <w:rFonts w:ascii="宋体" w:hAnsi="宋体"/>
                              <w:sz w:val="21"/>
                              <w:szCs w:val="21"/>
                            </w:rPr>
                            <w:fldChar w:fldCharType="end"/>
                          </w:r>
                        </w:p>
                      </w:txbxContent>
                    </wps:txbx>
                    <wps:bodyPr vert="horz" wrap="none" lIns="0" tIns="0" rIns="0" bIns="0" anchor="t" anchorCtr="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WaS1XXAQAAsgMAAA4AAAAAAAAAAQAgAAAA&#10;HgEAAGRycy9lMm9Eb2MueG1sUEsFBgAAAAAGAAYAWQEAAGcFAAAAAA==&#10;">
              <v:fill on="f" focussize="0,0"/>
              <v:stroke on="f"/>
              <v:imagedata o:title=""/>
              <o:lock v:ext="edit" aspectratio="f"/>
              <v:textbox inset="0mm,0mm,0mm,0mm" style="mso-fit-shape-to-text:t;">
                <w:txbxContent>
                  <w:p w14:paraId="1CA277FC">
                    <w:pPr>
                      <w:pStyle w:val="36"/>
                      <w:jc w:val="center"/>
                    </w:pPr>
                    <w:r>
                      <w:rPr>
                        <w:rFonts w:ascii="宋体" w:hAnsi="宋体"/>
                        <w:sz w:val="21"/>
                        <w:szCs w:val="21"/>
                      </w:rPr>
                      <w:fldChar w:fldCharType="begin"/>
                    </w:r>
                    <w:r>
                      <w:rPr>
                        <w:rStyle w:val="63"/>
                        <w:rFonts w:ascii="宋体" w:hAnsi="宋体"/>
                        <w:sz w:val="21"/>
                        <w:szCs w:val="21"/>
                      </w:rPr>
                      <w:instrText xml:space="preserve"> PAGE </w:instrText>
                    </w:r>
                    <w:r>
                      <w:rPr>
                        <w:rFonts w:ascii="宋体" w:hAnsi="宋体"/>
                        <w:sz w:val="21"/>
                        <w:szCs w:val="21"/>
                      </w:rPr>
                      <w:fldChar w:fldCharType="separate"/>
                    </w:r>
                    <w:r>
                      <w:rPr>
                        <w:rStyle w:val="63"/>
                        <w:rFonts w:ascii="宋体" w:hAnsi="宋体"/>
                        <w:sz w:val="21"/>
                        <w:szCs w:val="21"/>
                      </w:rPr>
                      <w:t>17</w:t>
                    </w:r>
                    <w:r>
                      <w:rPr>
                        <w:rFonts w:ascii="宋体" w:hAnsi="宋体"/>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37C35">
    <w:pPr>
      <w:pStyle w:val="36"/>
      <w:jc w:val="center"/>
      <w:rPr>
        <w:rFonts w:ascii="宋体" w:hAnsi="宋体"/>
        <w:sz w:val="21"/>
        <w:szCs w:val="21"/>
      </w:rPr>
    </w:pPr>
    <w:r>
      <w:rPr>
        <w:rFonts w:ascii="宋体" w:hAnsi="宋体"/>
        <w:sz w:val="21"/>
        <w:szCs w:val="21"/>
      </w:rPr>
      <w:fldChar w:fldCharType="begin"/>
    </w:r>
    <w:r>
      <w:rPr>
        <w:rStyle w:val="63"/>
        <w:rFonts w:ascii="宋体" w:hAnsi="宋体"/>
        <w:sz w:val="21"/>
        <w:szCs w:val="21"/>
      </w:rPr>
      <w:instrText xml:space="preserve"> PAGE </w:instrText>
    </w:r>
    <w:r>
      <w:rPr>
        <w:rFonts w:ascii="宋体" w:hAnsi="宋体"/>
        <w:sz w:val="21"/>
        <w:szCs w:val="21"/>
      </w:rPr>
      <w:fldChar w:fldCharType="separate"/>
    </w:r>
    <w:r>
      <w:rPr>
        <w:rStyle w:val="63"/>
        <w:rFonts w:ascii="宋体" w:hAnsi="宋体"/>
        <w:sz w:val="21"/>
        <w:szCs w:val="21"/>
      </w:rPr>
      <w:t>- 31 -</w:t>
    </w:r>
    <w:r>
      <w:rPr>
        <w:rFonts w:ascii="宋体"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4945E">
    <w:pPr>
      <w:pStyle w:val="36"/>
      <w:jc w:val="center"/>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A28076">
                          <w:pPr>
                            <w:pStyle w:val="36"/>
                            <w:jc w:val="center"/>
                          </w:pPr>
                          <w:r>
                            <w:rPr>
                              <w:rFonts w:ascii="宋体" w:hAnsi="宋体"/>
                              <w:sz w:val="21"/>
                              <w:szCs w:val="21"/>
                            </w:rPr>
                            <w:fldChar w:fldCharType="begin"/>
                          </w:r>
                          <w:r>
                            <w:rPr>
                              <w:rStyle w:val="63"/>
                              <w:rFonts w:ascii="宋体" w:hAnsi="宋体"/>
                              <w:sz w:val="21"/>
                              <w:szCs w:val="21"/>
                            </w:rPr>
                            <w:instrText xml:space="preserve"> PAGE </w:instrText>
                          </w:r>
                          <w:r>
                            <w:rPr>
                              <w:rFonts w:ascii="宋体" w:hAnsi="宋体"/>
                              <w:sz w:val="21"/>
                              <w:szCs w:val="21"/>
                            </w:rPr>
                            <w:fldChar w:fldCharType="separate"/>
                          </w:r>
                          <w:r>
                            <w:rPr>
                              <w:rStyle w:val="63"/>
                              <w:rFonts w:ascii="宋体" w:hAnsi="宋体"/>
                              <w:sz w:val="21"/>
                              <w:szCs w:val="21"/>
                            </w:rPr>
                            <w:t>36</w:t>
                          </w:r>
                          <w:r>
                            <w:rPr>
                              <w:rFonts w:ascii="宋体" w:hAnsi="宋体"/>
                              <w:sz w:val="21"/>
                              <w:szCs w:val="21"/>
                            </w:rPr>
                            <w:fldChar w:fldCharType="end"/>
                          </w:r>
                        </w:p>
                      </w:txbxContent>
                    </wps:txbx>
                    <wps:bodyPr vert="horz" wrap="none" lIns="0" tIns="0" rIns="0" bIns="0" anchor="t" anchorCtr="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OF9xvXAQAAsgMAAA4AAAAAAAAAAQAgAAAA&#10;HgEAAGRycy9lMm9Eb2MueG1sUEsFBgAAAAAGAAYAWQEAAGcFAAAAAA==&#10;">
              <v:fill on="f" focussize="0,0"/>
              <v:stroke on="f"/>
              <v:imagedata o:title=""/>
              <o:lock v:ext="edit" aspectratio="f"/>
              <v:textbox inset="0mm,0mm,0mm,0mm" style="mso-fit-shape-to-text:t;">
                <w:txbxContent>
                  <w:p w14:paraId="31A28076">
                    <w:pPr>
                      <w:pStyle w:val="36"/>
                      <w:jc w:val="center"/>
                    </w:pPr>
                    <w:r>
                      <w:rPr>
                        <w:rFonts w:ascii="宋体" w:hAnsi="宋体"/>
                        <w:sz w:val="21"/>
                        <w:szCs w:val="21"/>
                      </w:rPr>
                      <w:fldChar w:fldCharType="begin"/>
                    </w:r>
                    <w:r>
                      <w:rPr>
                        <w:rStyle w:val="63"/>
                        <w:rFonts w:ascii="宋体" w:hAnsi="宋体"/>
                        <w:sz w:val="21"/>
                        <w:szCs w:val="21"/>
                      </w:rPr>
                      <w:instrText xml:space="preserve"> PAGE </w:instrText>
                    </w:r>
                    <w:r>
                      <w:rPr>
                        <w:rFonts w:ascii="宋体" w:hAnsi="宋体"/>
                        <w:sz w:val="21"/>
                        <w:szCs w:val="21"/>
                      </w:rPr>
                      <w:fldChar w:fldCharType="separate"/>
                    </w:r>
                    <w:r>
                      <w:rPr>
                        <w:rStyle w:val="63"/>
                        <w:rFonts w:ascii="宋体" w:hAnsi="宋体"/>
                        <w:sz w:val="21"/>
                        <w:szCs w:val="21"/>
                      </w:rPr>
                      <w:t>36</w:t>
                    </w:r>
                    <w:r>
                      <w:rPr>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B0B34">
    <w:pPr>
      <w:pStyle w:val="37"/>
      <w:pBdr>
        <w:bottom w:val="none" w:color="auto" w:sz="0" w:space="1"/>
      </w:pBdr>
      <w:jc w:val="both"/>
      <w:rPr>
        <w:rFonts w:ascii="宋体" w:hAnsi="宋体" w:cs="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DCA7F">
    <w:pPr>
      <w:pStyle w:val="3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E63BF">
    <w:pPr>
      <w:pStyle w:val="3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69F1F">
    <w:pPr>
      <w:pStyle w:val="37"/>
      <w:pBdr>
        <w:bottom w:val="none" w:color="auto" w:sz="0" w:space="1"/>
      </w:pBdr>
      <w:jc w:val="both"/>
      <w:rPr>
        <w:rFonts w:ascii="方正仿宋_GBK" w:eastAsia="方正仿宋_GBK"/>
        <w:sz w:val="21"/>
        <w:szCs w:val="21"/>
      </w:rPr>
    </w:pPr>
    <w:r>
      <w:rPr>
        <w:rFonts w:hint="eastAsia" w:ascii="方正仿宋_GBK" w:eastAsia="方正仿宋_GBK"/>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436FC"/>
    <w:multiLevelType w:val="singleLevel"/>
    <w:tmpl w:val="A6F436FC"/>
    <w:lvl w:ilvl="0" w:tentative="0">
      <w:start w:val="2"/>
      <w:numFmt w:val="chineseCounting"/>
      <w:suff w:val="nothing"/>
      <w:lvlText w:val="%1、"/>
      <w:lvlJc w:val="left"/>
      <w:rPr>
        <w:rFonts w:hint="eastAsia"/>
      </w:rPr>
    </w:lvl>
  </w:abstractNum>
  <w:abstractNum w:abstractNumId="1">
    <w:nsid w:val="C0C338DE"/>
    <w:multiLevelType w:val="singleLevel"/>
    <w:tmpl w:val="C0C338DE"/>
    <w:lvl w:ilvl="0" w:tentative="0">
      <w:start w:val="1"/>
      <w:numFmt w:val="chineseCounting"/>
      <w:suff w:val="nothing"/>
      <w:lvlText w:val="（%1）"/>
      <w:lvlJc w:val="left"/>
      <w:rPr>
        <w:rFonts w:hint="eastAsia"/>
      </w:rPr>
    </w:lvl>
  </w:abstractNum>
  <w:abstractNum w:abstractNumId="2">
    <w:nsid w:val="E452C8B8"/>
    <w:multiLevelType w:val="singleLevel"/>
    <w:tmpl w:val="E452C8B8"/>
    <w:lvl w:ilvl="0" w:tentative="0">
      <w:start w:val="1"/>
      <w:numFmt w:val="chineseCounting"/>
      <w:suff w:val="nothing"/>
      <w:lvlText w:val="（%1）"/>
      <w:lvlJc w:val="left"/>
      <w:rPr>
        <w:rFonts w:hint="eastAsia"/>
      </w:rPr>
    </w:lvl>
  </w:abstractNum>
  <w:abstractNum w:abstractNumId="3">
    <w:nsid w:val="00000009"/>
    <w:multiLevelType w:val="multilevel"/>
    <w:tmpl w:val="00000009"/>
    <w:lvl w:ilvl="0" w:tentative="0">
      <w:start w:val="1"/>
      <w:numFmt w:val="upperLetter"/>
      <w:pStyle w:val="184"/>
      <w:suff w:val="nothing"/>
      <w:lvlText w:val="附　录　%1"/>
      <w:lvlJc w:val="left"/>
      <w:pPr>
        <w:ind w:left="0" w:firstLine="0"/>
      </w:pPr>
      <w:rPr>
        <w:rFonts w:hint="eastAsia" w:ascii="黑体" w:hAnsi="Times New Roman" w:eastAsia="黑体"/>
        <w:b w:val="0"/>
        <w:i w:val="0"/>
        <w:sz w:val="21"/>
      </w:rPr>
    </w:lvl>
    <w:lvl w:ilvl="1" w:tentative="0">
      <w:start w:val="1"/>
      <w:numFmt w:val="decimal"/>
      <w:pStyle w:val="130"/>
      <w:suff w:val="nothing"/>
      <w:lvlText w:val="%1.%2　"/>
      <w:lvlJc w:val="left"/>
      <w:pPr>
        <w:ind w:left="21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0000000A"/>
    <w:multiLevelType w:val="multilevel"/>
    <w:tmpl w:val="0000000A"/>
    <w:lvl w:ilvl="0" w:tentative="0">
      <w:start w:val="1"/>
      <w:numFmt w:val="bullet"/>
      <w:pStyle w:val="236"/>
      <w:lvlText w:val=""/>
      <w:lvlJc w:val="left"/>
      <w:pPr>
        <w:tabs>
          <w:tab w:val="left" w:pos="987"/>
        </w:tabs>
        <w:ind w:left="987"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200"/>
        </w:tabs>
        <w:ind w:left="1200" w:hanging="360"/>
      </w:pPr>
      <w:rPr>
        <w:rFonts w:hint="eastAsia"/>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B"/>
    <w:multiLevelType w:val="singleLevel"/>
    <w:tmpl w:val="0000000B"/>
    <w:lvl w:ilvl="0" w:tentative="0">
      <w:start w:val="1"/>
      <w:numFmt w:val="bullet"/>
      <w:pStyle w:val="224"/>
      <w:lvlText w:val=""/>
      <w:lvlJc w:val="left"/>
      <w:pPr>
        <w:tabs>
          <w:tab w:val="left" w:pos="360"/>
        </w:tabs>
        <w:ind w:left="360" w:hanging="360"/>
      </w:pPr>
      <w:rPr>
        <w:rFonts w:hint="default" w:ascii="Wingdings" w:hAnsi="Wingdings"/>
      </w:rPr>
    </w:lvl>
  </w:abstractNum>
  <w:abstractNum w:abstractNumId="6">
    <w:nsid w:val="0000000D"/>
    <w:multiLevelType w:val="singleLevel"/>
    <w:tmpl w:val="0000000D"/>
    <w:lvl w:ilvl="0" w:tentative="0">
      <w:start w:val="1"/>
      <w:numFmt w:val="bullet"/>
      <w:pStyle w:val="22"/>
      <w:lvlText w:val=""/>
      <w:lvlJc w:val="left"/>
      <w:pPr>
        <w:tabs>
          <w:tab w:val="left" w:pos="1200"/>
        </w:tabs>
        <w:ind w:left="1200" w:hanging="360"/>
      </w:pPr>
      <w:rPr>
        <w:rFonts w:hint="default" w:ascii="Wingdings" w:hAnsi="Wingdings"/>
      </w:rPr>
    </w:lvl>
  </w:abstractNum>
  <w:abstractNum w:abstractNumId="7">
    <w:nsid w:val="0000000E"/>
    <w:multiLevelType w:val="multilevel"/>
    <w:tmpl w:val="0000000E"/>
    <w:lvl w:ilvl="0" w:tentative="0">
      <w:start w:val="1"/>
      <w:numFmt w:val="bullet"/>
      <w:pStyle w:val="152"/>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8">
    <w:nsid w:val="00000010"/>
    <w:multiLevelType w:val="singleLevel"/>
    <w:tmpl w:val="00000010"/>
    <w:lvl w:ilvl="0" w:tentative="0">
      <w:start w:val="1"/>
      <w:numFmt w:val="bullet"/>
      <w:pStyle w:val="157"/>
      <w:lvlText w:val=""/>
      <w:lvlJc w:val="left"/>
      <w:pPr>
        <w:tabs>
          <w:tab w:val="left" w:pos="1620"/>
        </w:tabs>
        <w:ind w:left="1620" w:hanging="360"/>
      </w:pPr>
      <w:rPr>
        <w:rFonts w:hint="default" w:ascii="Wingdings" w:hAnsi="Wingdings"/>
      </w:rPr>
    </w:lvl>
  </w:abstractNum>
  <w:abstractNum w:abstractNumId="9">
    <w:nsid w:val="00000011"/>
    <w:multiLevelType w:val="multilevel"/>
    <w:tmpl w:val="00000011"/>
    <w:lvl w:ilvl="0" w:tentative="0">
      <w:start w:val="1"/>
      <w:numFmt w:val="decimal"/>
      <w:pStyle w:val="178"/>
      <w:lvlText w:val="（%1）"/>
      <w:lvlJc w:val="left"/>
      <w:pPr>
        <w:tabs>
          <w:tab w:val="left" w:pos="1230"/>
        </w:tabs>
        <w:ind w:left="0" w:firstLine="510"/>
      </w:pPr>
      <w:rPr>
        <w:rFonts w:hint="default" w:ascii="Arial" w:hAnsi="Arial"/>
        <w:b w:val="0"/>
        <w:i w:val="0"/>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0000012"/>
    <w:multiLevelType w:val="multilevel"/>
    <w:tmpl w:val="00000012"/>
    <w:lvl w:ilvl="0" w:tentative="0">
      <w:start w:val="1"/>
      <w:numFmt w:val="bullet"/>
      <w:pStyle w:val="149"/>
      <w:lvlText w:val=""/>
      <w:lvlJc w:val="left"/>
      <w:pPr>
        <w:tabs>
          <w:tab w:val="left" w:pos="1644"/>
        </w:tabs>
        <w:ind w:left="1644" w:hanging="510"/>
      </w:pPr>
      <w:rPr>
        <w:rFonts w:hint="default" w:ascii="Wingdings" w:hAnsi="Wingdings"/>
        <w:color w:val="auto"/>
        <w:sz w:val="13"/>
        <w:u w:val="none"/>
      </w:rPr>
    </w:lvl>
    <w:lvl w:ilvl="1" w:tentative="0">
      <w:start w:val="1"/>
      <w:numFmt w:val="bullet"/>
      <w:lvlText w:val=""/>
      <w:lvlJc w:val="left"/>
      <w:pPr>
        <w:tabs>
          <w:tab w:val="left" w:pos="840"/>
        </w:tabs>
        <w:ind w:left="840" w:hanging="420"/>
      </w:pPr>
      <w:rPr>
        <w:rFonts w:hint="default" w:ascii="Wingdings" w:hAnsi="Wingdings"/>
        <w:color w:val="auto"/>
        <w:sz w:val="13"/>
        <w:u w:val="none"/>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00000013"/>
    <w:multiLevelType w:val="singleLevel"/>
    <w:tmpl w:val="00000013"/>
    <w:lvl w:ilvl="0" w:tentative="0">
      <w:start w:val="1"/>
      <w:numFmt w:val="decimal"/>
      <w:pStyle w:val="13"/>
      <w:lvlText w:val="%1."/>
      <w:lvlJc w:val="left"/>
      <w:pPr>
        <w:tabs>
          <w:tab w:val="left" w:pos="425"/>
        </w:tabs>
        <w:ind w:left="425" w:hanging="425"/>
      </w:pPr>
      <w:rPr>
        <w:rFonts w:hint="default"/>
      </w:rPr>
    </w:lvl>
  </w:abstractNum>
  <w:abstractNum w:abstractNumId="12">
    <w:nsid w:val="00000014"/>
    <w:multiLevelType w:val="singleLevel"/>
    <w:tmpl w:val="00000014"/>
    <w:lvl w:ilvl="0" w:tentative="0">
      <w:start w:val="1"/>
      <w:numFmt w:val="bullet"/>
      <w:pStyle w:val="28"/>
      <w:lvlText w:val=""/>
      <w:lvlJc w:val="left"/>
      <w:pPr>
        <w:tabs>
          <w:tab w:val="left" w:pos="780"/>
        </w:tabs>
        <w:ind w:left="780" w:hanging="360"/>
      </w:pPr>
      <w:rPr>
        <w:rFonts w:hint="default" w:ascii="Wingdings" w:hAnsi="Wingdings"/>
      </w:rPr>
    </w:lvl>
  </w:abstractNum>
  <w:abstractNum w:abstractNumId="13">
    <w:nsid w:val="00000016"/>
    <w:multiLevelType w:val="singleLevel"/>
    <w:tmpl w:val="00000016"/>
    <w:lvl w:ilvl="0" w:tentative="0">
      <w:start w:val="1"/>
      <w:numFmt w:val="decimal"/>
      <w:pStyle w:val="221"/>
      <w:lvlText w:val="%1)"/>
      <w:lvlJc w:val="left"/>
      <w:pPr>
        <w:tabs>
          <w:tab w:val="left" w:pos="425"/>
        </w:tabs>
        <w:ind w:left="425" w:hanging="425"/>
      </w:pPr>
      <w:rPr>
        <w:rFonts w:hint="eastAsia"/>
      </w:rPr>
    </w:lvl>
  </w:abstractNum>
  <w:abstractNum w:abstractNumId="14">
    <w:nsid w:val="00000017"/>
    <w:multiLevelType w:val="multilevel"/>
    <w:tmpl w:val="00000017"/>
    <w:lvl w:ilvl="0" w:tentative="0">
      <w:start w:val="1"/>
      <w:numFmt w:val="chineseCountingThousand"/>
      <w:pStyle w:val="245"/>
      <w:lvlText w:val="%1、"/>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D530A9D"/>
    <w:multiLevelType w:val="singleLevel"/>
    <w:tmpl w:val="0D530A9D"/>
    <w:lvl w:ilvl="0" w:tentative="0">
      <w:start w:val="1"/>
      <w:numFmt w:val="decimal"/>
      <w:suff w:val="nothing"/>
      <w:lvlText w:val="%1、"/>
      <w:lvlJc w:val="left"/>
    </w:lvl>
  </w:abstractNum>
  <w:abstractNum w:abstractNumId="16">
    <w:nsid w:val="5B064D4C"/>
    <w:multiLevelType w:val="singleLevel"/>
    <w:tmpl w:val="5B064D4C"/>
    <w:lvl w:ilvl="0" w:tentative="0">
      <w:start w:val="3"/>
      <w:numFmt w:val="chineseCounting"/>
      <w:suff w:val="nothing"/>
      <w:lvlText w:val="（%1）"/>
      <w:lvlJc w:val="left"/>
    </w:lvl>
  </w:abstractNum>
  <w:num w:numId="1">
    <w:abstractNumId w:val="11"/>
  </w:num>
  <w:num w:numId="2">
    <w:abstractNumId w:val="6"/>
  </w:num>
  <w:num w:numId="3">
    <w:abstractNumId w:val="12"/>
  </w:num>
  <w:num w:numId="4">
    <w:abstractNumId w:val="3"/>
  </w:num>
  <w:num w:numId="5">
    <w:abstractNumId w:val="10"/>
  </w:num>
  <w:num w:numId="6">
    <w:abstractNumId w:val="7"/>
  </w:num>
  <w:num w:numId="7">
    <w:abstractNumId w:val="8"/>
  </w:num>
  <w:num w:numId="8">
    <w:abstractNumId w:val="9"/>
  </w:num>
  <w:num w:numId="9">
    <w:abstractNumId w:val="13"/>
  </w:num>
  <w:num w:numId="10">
    <w:abstractNumId w:val="5"/>
  </w:num>
  <w:num w:numId="11">
    <w:abstractNumId w:val="4"/>
  </w:num>
  <w:num w:numId="12">
    <w:abstractNumId w:val="14"/>
  </w:num>
  <w:num w:numId="13">
    <w:abstractNumId w:val="2"/>
  </w:num>
  <w:num w:numId="14">
    <w:abstractNumId w:val="15"/>
  </w:num>
  <w:num w:numId="15">
    <w:abstractNumId w:val="1"/>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1NGMwMGJhMDdkN2ZkMWRkMTMyNjcyYTM1OWZkMWYifQ=="/>
    <w:docVar w:name="KSO_WPS_MARK_KEY" w:val="a632ec7b-0f9f-43cc-a379-bd9ca9568ea3"/>
  </w:docVars>
  <w:rsids>
    <w:rsidRoot w:val="00172A27"/>
    <w:rsid w:val="000014C5"/>
    <w:rsid w:val="00002AE4"/>
    <w:rsid w:val="00003626"/>
    <w:rsid w:val="000040DE"/>
    <w:rsid w:val="000070F0"/>
    <w:rsid w:val="000075E8"/>
    <w:rsid w:val="00011B4B"/>
    <w:rsid w:val="00016B79"/>
    <w:rsid w:val="00017816"/>
    <w:rsid w:val="00032ACA"/>
    <w:rsid w:val="0003632F"/>
    <w:rsid w:val="00043835"/>
    <w:rsid w:val="0004739C"/>
    <w:rsid w:val="00051E02"/>
    <w:rsid w:val="000523C9"/>
    <w:rsid w:val="0005298B"/>
    <w:rsid w:val="0005417C"/>
    <w:rsid w:val="0005709B"/>
    <w:rsid w:val="000576E1"/>
    <w:rsid w:val="00061A7C"/>
    <w:rsid w:val="00063981"/>
    <w:rsid w:val="00074C38"/>
    <w:rsid w:val="00077F94"/>
    <w:rsid w:val="000816AD"/>
    <w:rsid w:val="00082CC1"/>
    <w:rsid w:val="00090C5A"/>
    <w:rsid w:val="00091B1C"/>
    <w:rsid w:val="00091D22"/>
    <w:rsid w:val="00095185"/>
    <w:rsid w:val="000A164E"/>
    <w:rsid w:val="000A3057"/>
    <w:rsid w:val="000B1068"/>
    <w:rsid w:val="000B3002"/>
    <w:rsid w:val="000B42F4"/>
    <w:rsid w:val="000B7377"/>
    <w:rsid w:val="000B7F54"/>
    <w:rsid w:val="000C08C1"/>
    <w:rsid w:val="000C1E0E"/>
    <w:rsid w:val="000C20E6"/>
    <w:rsid w:val="000C2C03"/>
    <w:rsid w:val="000C6D89"/>
    <w:rsid w:val="000D2CDE"/>
    <w:rsid w:val="000D776F"/>
    <w:rsid w:val="000E01C9"/>
    <w:rsid w:val="000E0DD7"/>
    <w:rsid w:val="000E3259"/>
    <w:rsid w:val="000E4835"/>
    <w:rsid w:val="000E5AB0"/>
    <w:rsid w:val="000F302A"/>
    <w:rsid w:val="000F3D5B"/>
    <w:rsid w:val="000F64D7"/>
    <w:rsid w:val="000F7DBF"/>
    <w:rsid w:val="0010014A"/>
    <w:rsid w:val="00100639"/>
    <w:rsid w:val="0010088E"/>
    <w:rsid w:val="001028FD"/>
    <w:rsid w:val="00105638"/>
    <w:rsid w:val="0010716D"/>
    <w:rsid w:val="001140DC"/>
    <w:rsid w:val="00114CFE"/>
    <w:rsid w:val="00115337"/>
    <w:rsid w:val="001166B8"/>
    <w:rsid w:val="0011683E"/>
    <w:rsid w:val="00116856"/>
    <w:rsid w:val="00116C42"/>
    <w:rsid w:val="0011780F"/>
    <w:rsid w:val="00117B26"/>
    <w:rsid w:val="00120259"/>
    <w:rsid w:val="00122F9D"/>
    <w:rsid w:val="001264A8"/>
    <w:rsid w:val="001266BF"/>
    <w:rsid w:val="00133D16"/>
    <w:rsid w:val="00134037"/>
    <w:rsid w:val="001342AC"/>
    <w:rsid w:val="00135BAE"/>
    <w:rsid w:val="00145224"/>
    <w:rsid w:val="00146EC3"/>
    <w:rsid w:val="00147FB4"/>
    <w:rsid w:val="0015011C"/>
    <w:rsid w:val="00150204"/>
    <w:rsid w:val="0015033B"/>
    <w:rsid w:val="00150429"/>
    <w:rsid w:val="001523C5"/>
    <w:rsid w:val="00152B00"/>
    <w:rsid w:val="00152CAD"/>
    <w:rsid w:val="00153556"/>
    <w:rsid w:val="0016265A"/>
    <w:rsid w:val="00171E05"/>
    <w:rsid w:val="00172A27"/>
    <w:rsid w:val="00180ACB"/>
    <w:rsid w:val="00181A6C"/>
    <w:rsid w:val="00183B60"/>
    <w:rsid w:val="00186623"/>
    <w:rsid w:val="001879FD"/>
    <w:rsid w:val="0019571D"/>
    <w:rsid w:val="001963A2"/>
    <w:rsid w:val="00196465"/>
    <w:rsid w:val="001A1B93"/>
    <w:rsid w:val="001A64A1"/>
    <w:rsid w:val="001A6DCC"/>
    <w:rsid w:val="001A773E"/>
    <w:rsid w:val="001B0396"/>
    <w:rsid w:val="001B1400"/>
    <w:rsid w:val="001B3DBD"/>
    <w:rsid w:val="001B4377"/>
    <w:rsid w:val="001D0DF7"/>
    <w:rsid w:val="001D1038"/>
    <w:rsid w:val="001D2321"/>
    <w:rsid w:val="001D2DCD"/>
    <w:rsid w:val="001D5055"/>
    <w:rsid w:val="001D630C"/>
    <w:rsid w:val="001E1467"/>
    <w:rsid w:val="001E1A2F"/>
    <w:rsid w:val="001E201B"/>
    <w:rsid w:val="001E5CAC"/>
    <w:rsid w:val="001E64A9"/>
    <w:rsid w:val="001E6841"/>
    <w:rsid w:val="001E725F"/>
    <w:rsid w:val="001F1AF5"/>
    <w:rsid w:val="001F1AF7"/>
    <w:rsid w:val="001F2F01"/>
    <w:rsid w:val="001F4964"/>
    <w:rsid w:val="001F4A96"/>
    <w:rsid w:val="001F7063"/>
    <w:rsid w:val="00202B04"/>
    <w:rsid w:val="00203052"/>
    <w:rsid w:val="00204936"/>
    <w:rsid w:val="002049D5"/>
    <w:rsid w:val="00206AE4"/>
    <w:rsid w:val="002100EE"/>
    <w:rsid w:val="00210168"/>
    <w:rsid w:val="00210ED7"/>
    <w:rsid w:val="00212A06"/>
    <w:rsid w:val="00214E7A"/>
    <w:rsid w:val="00215DEE"/>
    <w:rsid w:val="0021618E"/>
    <w:rsid w:val="0021704D"/>
    <w:rsid w:val="00221485"/>
    <w:rsid w:val="002216C7"/>
    <w:rsid w:val="00222097"/>
    <w:rsid w:val="0022237B"/>
    <w:rsid w:val="002227DB"/>
    <w:rsid w:val="00227202"/>
    <w:rsid w:val="00227377"/>
    <w:rsid w:val="00227851"/>
    <w:rsid w:val="002339D3"/>
    <w:rsid w:val="00234257"/>
    <w:rsid w:val="002348E0"/>
    <w:rsid w:val="002474F9"/>
    <w:rsid w:val="00254E1A"/>
    <w:rsid w:val="00262555"/>
    <w:rsid w:val="00264063"/>
    <w:rsid w:val="002643C1"/>
    <w:rsid w:val="00265203"/>
    <w:rsid w:val="00266651"/>
    <w:rsid w:val="00267D0E"/>
    <w:rsid w:val="00270223"/>
    <w:rsid w:val="0027199E"/>
    <w:rsid w:val="00271D47"/>
    <w:rsid w:val="002721EA"/>
    <w:rsid w:val="002752BA"/>
    <w:rsid w:val="00280E8A"/>
    <w:rsid w:val="00282176"/>
    <w:rsid w:val="00285164"/>
    <w:rsid w:val="002855B0"/>
    <w:rsid w:val="00286959"/>
    <w:rsid w:val="00295FA5"/>
    <w:rsid w:val="00297A6F"/>
    <w:rsid w:val="002A4956"/>
    <w:rsid w:val="002A6710"/>
    <w:rsid w:val="002A7778"/>
    <w:rsid w:val="002B1FDA"/>
    <w:rsid w:val="002B2ACF"/>
    <w:rsid w:val="002B2CA4"/>
    <w:rsid w:val="002B578B"/>
    <w:rsid w:val="002B5ECC"/>
    <w:rsid w:val="002B7904"/>
    <w:rsid w:val="002C2507"/>
    <w:rsid w:val="002C2E6E"/>
    <w:rsid w:val="002C3A3D"/>
    <w:rsid w:val="002C7927"/>
    <w:rsid w:val="002D41FF"/>
    <w:rsid w:val="002D608F"/>
    <w:rsid w:val="002D7053"/>
    <w:rsid w:val="002D7208"/>
    <w:rsid w:val="002D7725"/>
    <w:rsid w:val="002E0CC2"/>
    <w:rsid w:val="002E1A40"/>
    <w:rsid w:val="002E3527"/>
    <w:rsid w:val="002E3824"/>
    <w:rsid w:val="002E3B63"/>
    <w:rsid w:val="002E78F7"/>
    <w:rsid w:val="002F031F"/>
    <w:rsid w:val="002F0ED3"/>
    <w:rsid w:val="002F3278"/>
    <w:rsid w:val="002F3DE3"/>
    <w:rsid w:val="002F632E"/>
    <w:rsid w:val="003021BC"/>
    <w:rsid w:val="0030440F"/>
    <w:rsid w:val="0030460C"/>
    <w:rsid w:val="00310AF9"/>
    <w:rsid w:val="00310DAA"/>
    <w:rsid w:val="0031465E"/>
    <w:rsid w:val="00315742"/>
    <w:rsid w:val="003163B3"/>
    <w:rsid w:val="003200C6"/>
    <w:rsid w:val="00322A7A"/>
    <w:rsid w:val="00326C5B"/>
    <w:rsid w:val="003336F0"/>
    <w:rsid w:val="0033663D"/>
    <w:rsid w:val="003366D9"/>
    <w:rsid w:val="00340777"/>
    <w:rsid w:val="00341D8A"/>
    <w:rsid w:val="00341DEB"/>
    <w:rsid w:val="00346A3D"/>
    <w:rsid w:val="00350510"/>
    <w:rsid w:val="00350C20"/>
    <w:rsid w:val="003548FA"/>
    <w:rsid w:val="00355643"/>
    <w:rsid w:val="00355A74"/>
    <w:rsid w:val="0035764D"/>
    <w:rsid w:val="00361427"/>
    <w:rsid w:val="00363702"/>
    <w:rsid w:val="0036458B"/>
    <w:rsid w:val="003703E8"/>
    <w:rsid w:val="00371D2F"/>
    <w:rsid w:val="00373122"/>
    <w:rsid w:val="0037612E"/>
    <w:rsid w:val="0038033A"/>
    <w:rsid w:val="003816ED"/>
    <w:rsid w:val="00382014"/>
    <w:rsid w:val="003840E9"/>
    <w:rsid w:val="00384161"/>
    <w:rsid w:val="00387610"/>
    <w:rsid w:val="0039432A"/>
    <w:rsid w:val="003953EA"/>
    <w:rsid w:val="00395C2F"/>
    <w:rsid w:val="003973D3"/>
    <w:rsid w:val="00397F89"/>
    <w:rsid w:val="003A0495"/>
    <w:rsid w:val="003A0892"/>
    <w:rsid w:val="003A2417"/>
    <w:rsid w:val="003A3162"/>
    <w:rsid w:val="003A422B"/>
    <w:rsid w:val="003A449E"/>
    <w:rsid w:val="003A71F3"/>
    <w:rsid w:val="003B19F5"/>
    <w:rsid w:val="003B355C"/>
    <w:rsid w:val="003D0E0A"/>
    <w:rsid w:val="003D3B22"/>
    <w:rsid w:val="003D7B3D"/>
    <w:rsid w:val="003E0348"/>
    <w:rsid w:val="003F3DB1"/>
    <w:rsid w:val="003F451E"/>
    <w:rsid w:val="003F4939"/>
    <w:rsid w:val="003F626F"/>
    <w:rsid w:val="003F6794"/>
    <w:rsid w:val="003F7A50"/>
    <w:rsid w:val="00402B32"/>
    <w:rsid w:val="0040519F"/>
    <w:rsid w:val="0040781E"/>
    <w:rsid w:val="00410C93"/>
    <w:rsid w:val="004115FB"/>
    <w:rsid w:val="00411B4A"/>
    <w:rsid w:val="004134DD"/>
    <w:rsid w:val="00417E99"/>
    <w:rsid w:val="00421507"/>
    <w:rsid w:val="00422A7E"/>
    <w:rsid w:val="00424D02"/>
    <w:rsid w:val="0042525A"/>
    <w:rsid w:val="0042733C"/>
    <w:rsid w:val="0044185A"/>
    <w:rsid w:val="0044193A"/>
    <w:rsid w:val="00453B8F"/>
    <w:rsid w:val="004556B7"/>
    <w:rsid w:val="00460489"/>
    <w:rsid w:val="004608C7"/>
    <w:rsid w:val="00462878"/>
    <w:rsid w:val="00465B7A"/>
    <w:rsid w:val="00471121"/>
    <w:rsid w:val="00472AA2"/>
    <w:rsid w:val="00473B39"/>
    <w:rsid w:val="00474175"/>
    <w:rsid w:val="00481309"/>
    <w:rsid w:val="004928A2"/>
    <w:rsid w:val="00494610"/>
    <w:rsid w:val="004953EC"/>
    <w:rsid w:val="00497ADD"/>
    <w:rsid w:val="004A0D29"/>
    <w:rsid w:val="004A0DE1"/>
    <w:rsid w:val="004A2410"/>
    <w:rsid w:val="004A27AC"/>
    <w:rsid w:val="004A3995"/>
    <w:rsid w:val="004B3AB3"/>
    <w:rsid w:val="004C1DD0"/>
    <w:rsid w:val="004C2685"/>
    <w:rsid w:val="004C64E4"/>
    <w:rsid w:val="004C6673"/>
    <w:rsid w:val="004D2334"/>
    <w:rsid w:val="004D433D"/>
    <w:rsid w:val="004D4410"/>
    <w:rsid w:val="004E156F"/>
    <w:rsid w:val="004E2F88"/>
    <w:rsid w:val="004E550E"/>
    <w:rsid w:val="004E55DB"/>
    <w:rsid w:val="004E67C6"/>
    <w:rsid w:val="004F5959"/>
    <w:rsid w:val="004F670C"/>
    <w:rsid w:val="00502B2F"/>
    <w:rsid w:val="00512D00"/>
    <w:rsid w:val="00512D44"/>
    <w:rsid w:val="00514179"/>
    <w:rsid w:val="00516243"/>
    <w:rsid w:val="005164D4"/>
    <w:rsid w:val="005406A0"/>
    <w:rsid w:val="00540E03"/>
    <w:rsid w:val="00541D5F"/>
    <w:rsid w:val="00544BEA"/>
    <w:rsid w:val="005460D5"/>
    <w:rsid w:val="00552814"/>
    <w:rsid w:val="00553CF0"/>
    <w:rsid w:val="00557C75"/>
    <w:rsid w:val="00566A85"/>
    <w:rsid w:val="00570C78"/>
    <w:rsid w:val="00571BC4"/>
    <w:rsid w:val="00573AE3"/>
    <w:rsid w:val="00573C0C"/>
    <w:rsid w:val="00576F2E"/>
    <w:rsid w:val="00581EF9"/>
    <w:rsid w:val="00583690"/>
    <w:rsid w:val="005902D9"/>
    <w:rsid w:val="0059075F"/>
    <w:rsid w:val="00596AB7"/>
    <w:rsid w:val="005A1B5C"/>
    <w:rsid w:val="005A1EA7"/>
    <w:rsid w:val="005A6A12"/>
    <w:rsid w:val="005B0724"/>
    <w:rsid w:val="005B1E46"/>
    <w:rsid w:val="005B5AA4"/>
    <w:rsid w:val="005C3F4B"/>
    <w:rsid w:val="005C4073"/>
    <w:rsid w:val="005C42AC"/>
    <w:rsid w:val="005C4F84"/>
    <w:rsid w:val="005C67AB"/>
    <w:rsid w:val="005D2EC6"/>
    <w:rsid w:val="005D37D0"/>
    <w:rsid w:val="005D3C9E"/>
    <w:rsid w:val="005D41E8"/>
    <w:rsid w:val="005D703E"/>
    <w:rsid w:val="005E35E9"/>
    <w:rsid w:val="005E5525"/>
    <w:rsid w:val="005F38BB"/>
    <w:rsid w:val="005F7895"/>
    <w:rsid w:val="0060003E"/>
    <w:rsid w:val="00602BBE"/>
    <w:rsid w:val="0060315D"/>
    <w:rsid w:val="00613410"/>
    <w:rsid w:val="00617986"/>
    <w:rsid w:val="006256CA"/>
    <w:rsid w:val="00627729"/>
    <w:rsid w:val="00627F21"/>
    <w:rsid w:val="0063025A"/>
    <w:rsid w:val="0064583B"/>
    <w:rsid w:val="006468B8"/>
    <w:rsid w:val="00651127"/>
    <w:rsid w:val="0065190C"/>
    <w:rsid w:val="006542F1"/>
    <w:rsid w:val="00654A48"/>
    <w:rsid w:val="0065651B"/>
    <w:rsid w:val="00664607"/>
    <w:rsid w:val="00665941"/>
    <w:rsid w:val="0066755F"/>
    <w:rsid w:val="00670089"/>
    <w:rsid w:val="00670C89"/>
    <w:rsid w:val="00671233"/>
    <w:rsid w:val="006763DC"/>
    <w:rsid w:val="00680AE4"/>
    <w:rsid w:val="00682205"/>
    <w:rsid w:val="006822B0"/>
    <w:rsid w:val="00684E51"/>
    <w:rsid w:val="0068793C"/>
    <w:rsid w:val="00693710"/>
    <w:rsid w:val="00694288"/>
    <w:rsid w:val="00694F91"/>
    <w:rsid w:val="006A100B"/>
    <w:rsid w:val="006A143A"/>
    <w:rsid w:val="006A3285"/>
    <w:rsid w:val="006A4C56"/>
    <w:rsid w:val="006B0567"/>
    <w:rsid w:val="006B44E5"/>
    <w:rsid w:val="006B4535"/>
    <w:rsid w:val="006B72DE"/>
    <w:rsid w:val="006B75CB"/>
    <w:rsid w:val="006C3188"/>
    <w:rsid w:val="006C5FC1"/>
    <w:rsid w:val="006D44E1"/>
    <w:rsid w:val="006D6350"/>
    <w:rsid w:val="006D6662"/>
    <w:rsid w:val="006E21FA"/>
    <w:rsid w:val="006E2209"/>
    <w:rsid w:val="006E477D"/>
    <w:rsid w:val="006E6D5F"/>
    <w:rsid w:val="006F0FB7"/>
    <w:rsid w:val="006F4DEB"/>
    <w:rsid w:val="006F5925"/>
    <w:rsid w:val="006F5E40"/>
    <w:rsid w:val="006F6E4A"/>
    <w:rsid w:val="00704E5D"/>
    <w:rsid w:val="00705739"/>
    <w:rsid w:val="007073D6"/>
    <w:rsid w:val="00710AE5"/>
    <w:rsid w:val="00712E83"/>
    <w:rsid w:val="00712FF5"/>
    <w:rsid w:val="0071464D"/>
    <w:rsid w:val="00714BF1"/>
    <w:rsid w:val="00715FB5"/>
    <w:rsid w:val="00716C50"/>
    <w:rsid w:val="007171A6"/>
    <w:rsid w:val="0071799D"/>
    <w:rsid w:val="00723A3B"/>
    <w:rsid w:val="00726088"/>
    <w:rsid w:val="007267DD"/>
    <w:rsid w:val="00730B6A"/>
    <w:rsid w:val="00730BB5"/>
    <w:rsid w:val="00731B91"/>
    <w:rsid w:val="00734793"/>
    <w:rsid w:val="00736D88"/>
    <w:rsid w:val="00736DD2"/>
    <w:rsid w:val="00736EE0"/>
    <w:rsid w:val="0074681C"/>
    <w:rsid w:val="00746E57"/>
    <w:rsid w:val="00746EC2"/>
    <w:rsid w:val="007504DE"/>
    <w:rsid w:val="00761D76"/>
    <w:rsid w:val="00762B70"/>
    <w:rsid w:val="007636FE"/>
    <w:rsid w:val="0077408E"/>
    <w:rsid w:val="00774BF4"/>
    <w:rsid w:val="00780577"/>
    <w:rsid w:val="00781AD3"/>
    <w:rsid w:val="00781BFB"/>
    <w:rsid w:val="00786FA7"/>
    <w:rsid w:val="0079177C"/>
    <w:rsid w:val="00794382"/>
    <w:rsid w:val="007959AC"/>
    <w:rsid w:val="00796323"/>
    <w:rsid w:val="007A20E0"/>
    <w:rsid w:val="007B2204"/>
    <w:rsid w:val="007B4B60"/>
    <w:rsid w:val="007B7278"/>
    <w:rsid w:val="007C1691"/>
    <w:rsid w:val="007C6B0F"/>
    <w:rsid w:val="007D0625"/>
    <w:rsid w:val="007D7A44"/>
    <w:rsid w:val="007D7E65"/>
    <w:rsid w:val="007E19E0"/>
    <w:rsid w:val="007E517D"/>
    <w:rsid w:val="007F6769"/>
    <w:rsid w:val="008041D4"/>
    <w:rsid w:val="00806938"/>
    <w:rsid w:val="00807818"/>
    <w:rsid w:val="0081156A"/>
    <w:rsid w:val="00827398"/>
    <w:rsid w:val="008275B6"/>
    <w:rsid w:val="0083653E"/>
    <w:rsid w:val="008369DC"/>
    <w:rsid w:val="00840D19"/>
    <w:rsid w:val="00842974"/>
    <w:rsid w:val="00842F87"/>
    <w:rsid w:val="00843A88"/>
    <w:rsid w:val="00843D2E"/>
    <w:rsid w:val="008470EA"/>
    <w:rsid w:val="0085550A"/>
    <w:rsid w:val="008616EF"/>
    <w:rsid w:val="00863C25"/>
    <w:rsid w:val="008641B7"/>
    <w:rsid w:val="00864D80"/>
    <w:rsid w:val="00864DC1"/>
    <w:rsid w:val="00870530"/>
    <w:rsid w:val="008705BC"/>
    <w:rsid w:val="00871999"/>
    <w:rsid w:val="00872E27"/>
    <w:rsid w:val="00875A42"/>
    <w:rsid w:val="0088192C"/>
    <w:rsid w:val="008904A8"/>
    <w:rsid w:val="00891D94"/>
    <w:rsid w:val="00896589"/>
    <w:rsid w:val="008A0CEE"/>
    <w:rsid w:val="008A19AF"/>
    <w:rsid w:val="008A20FB"/>
    <w:rsid w:val="008A2400"/>
    <w:rsid w:val="008A2F39"/>
    <w:rsid w:val="008A4D88"/>
    <w:rsid w:val="008A5E1B"/>
    <w:rsid w:val="008C1B22"/>
    <w:rsid w:val="008C4C84"/>
    <w:rsid w:val="008C510F"/>
    <w:rsid w:val="008D067F"/>
    <w:rsid w:val="008D25CF"/>
    <w:rsid w:val="008D3283"/>
    <w:rsid w:val="008E437B"/>
    <w:rsid w:val="008E4D3F"/>
    <w:rsid w:val="008E66B8"/>
    <w:rsid w:val="008F0A2E"/>
    <w:rsid w:val="008F1988"/>
    <w:rsid w:val="008F2B05"/>
    <w:rsid w:val="008F5E76"/>
    <w:rsid w:val="008F6252"/>
    <w:rsid w:val="009023F3"/>
    <w:rsid w:val="0090383C"/>
    <w:rsid w:val="00905D85"/>
    <w:rsid w:val="00912132"/>
    <w:rsid w:val="00912388"/>
    <w:rsid w:val="00913CAA"/>
    <w:rsid w:val="009226D2"/>
    <w:rsid w:val="00922FAD"/>
    <w:rsid w:val="00924F0A"/>
    <w:rsid w:val="00925082"/>
    <w:rsid w:val="00925726"/>
    <w:rsid w:val="00926904"/>
    <w:rsid w:val="0092708B"/>
    <w:rsid w:val="0093049D"/>
    <w:rsid w:val="00936A01"/>
    <w:rsid w:val="00937713"/>
    <w:rsid w:val="009404E7"/>
    <w:rsid w:val="009409CD"/>
    <w:rsid w:val="0094759E"/>
    <w:rsid w:val="009506BE"/>
    <w:rsid w:val="00952C13"/>
    <w:rsid w:val="0095455D"/>
    <w:rsid w:val="00962BF1"/>
    <w:rsid w:val="00963237"/>
    <w:rsid w:val="00966820"/>
    <w:rsid w:val="00971E57"/>
    <w:rsid w:val="009723CF"/>
    <w:rsid w:val="00972F46"/>
    <w:rsid w:val="00973D3A"/>
    <w:rsid w:val="009741DC"/>
    <w:rsid w:val="0097652A"/>
    <w:rsid w:val="00980037"/>
    <w:rsid w:val="00983B43"/>
    <w:rsid w:val="00984742"/>
    <w:rsid w:val="00986376"/>
    <w:rsid w:val="0099161D"/>
    <w:rsid w:val="00991B37"/>
    <w:rsid w:val="009B6208"/>
    <w:rsid w:val="009B71FF"/>
    <w:rsid w:val="009C3034"/>
    <w:rsid w:val="009C4BFF"/>
    <w:rsid w:val="009C7140"/>
    <w:rsid w:val="009C7522"/>
    <w:rsid w:val="009C7C26"/>
    <w:rsid w:val="009D0FDD"/>
    <w:rsid w:val="009D3162"/>
    <w:rsid w:val="009D3181"/>
    <w:rsid w:val="009D7B9B"/>
    <w:rsid w:val="009E067B"/>
    <w:rsid w:val="009E0812"/>
    <w:rsid w:val="009E4EE1"/>
    <w:rsid w:val="009E717E"/>
    <w:rsid w:val="009E737D"/>
    <w:rsid w:val="009F18FA"/>
    <w:rsid w:val="00A0197B"/>
    <w:rsid w:val="00A02768"/>
    <w:rsid w:val="00A03977"/>
    <w:rsid w:val="00A06013"/>
    <w:rsid w:val="00A104A7"/>
    <w:rsid w:val="00A12904"/>
    <w:rsid w:val="00A15FBF"/>
    <w:rsid w:val="00A1616D"/>
    <w:rsid w:val="00A1783B"/>
    <w:rsid w:val="00A224AC"/>
    <w:rsid w:val="00A26FF7"/>
    <w:rsid w:val="00A27159"/>
    <w:rsid w:val="00A37A20"/>
    <w:rsid w:val="00A445DC"/>
    <w:rsid w:val="00A44BEA"/>
    <w:rsid w:val="00A47C22"/>
    <w:rsid w:val="00A55B14"/>
    <w:rsid w:val="00A5689C"/>
    <w:rsid w:val="00A569E8"/>
    <w:rsid w:val="00A57FAF"/>
    <w:rsid w:val="00A601C4"/>
    <w:rsid w:val="00A61C84"/>
    <w:rsid w:val="00A61D6E"/>
    <w:rsid w:val="00A70193"/>
    <w:rsid w:val="00A711C6"/>
    <w:rsid w:val="00A730F3"/>
    <w:rsid w:val="00A74B68"/>
    <w:rsid w:val="00A77EE1"/>
    <w:rsid w:val="00A84863"/>
    <w:rsid w:val="00A91750"/>
    <w:rsid w:val="00A95D95"/>
    <w:rsid w:val="00A977EC"/>
    <w:rsid w:val="00AA3FD1"/>
    <w:rsid w:val="00AA52DE"/>
    <w:rsid w:val="00AB11B3"/>
    <w:rsid w:val="00AB1DAF"/>
    <w:rsid w:val="00AB40EF"/>
    <w:rsid w:val="00AB43D9"/>
    <w:rsid w:val="00AB5ED3"/>
    <w:rsid w:val="00AB6B0C"/>
    <w:rsid w:val="00AB70CD"/>
    <w:rsid w:val="00AB7800"/>
    <w:rsid w:val="00AC1860"/>
    <w:rsid w:val="00AC4898"/>
    <w:rsid w:val="00AC48B3"/>
    <w:rsid w:val="00AC7893"/>
    <w:rsid w:val="00AC7AC9"/>
    <w:rsid w:val="00AD1C54"/>
    <w:rsid w:val="00AD44E8"/>
    <w:rsid w:val="00AE1920"/>
    <w:rsid w:val="00AE1C2F"/>
    <w:rsid w:val="00AE76F8"/>
    <w:rsid w:val="00AF01B3"/>
    <w:rsid w:val="00AF0F13"/>
    <w:rsid w:val="00AF7992"/>
    <w:rsid w:val="00AF7CDD"/>
    <w:rsid w:val="00B00AB3"/>
    <w:rsid w:val="00B07829"/>
    <w:rsid w:val="00B12896"/>
    <w:rsid w:val="00B12CD9"/>
    <w:rsid w:val="00B14C52"/>
    <w:rsid w:val="00B200AA"/>
    <w:rsid w:val="00B203A9"/>
    <w:rsid w:val="00B229A5"/>
    <w:rsid w:val="00B2488E"/>
    <w:rsid w:val="00B25EB3"/>
    <w:rsid w:val="00B33569"/>
    <w:rsid w:val="00B4108A"/>
    <w:rsid w:val="00B42056"/>
    <w:rsid w:val="00B478C3"/>
    <w:rsid w:val="00B52715"/>
    <w:rsid w:val="00B61348"/>
    <w:rsid w:val="00B6263F"/>
    <w:rsid w:val="00B67114"/>
    <w:rsid w:val="00B678C7"/>
    <w:rsid w:val="00B70368"/>
    <w:rsid w:val="00B7097C"/>
    <w:rsid w:val="00B72BCC"/>
    <w:rsid w:val="00B75449"/>
    <w:rsid w:val="00B81284"/>
    <w:rsid w:val="00B86DA1"/>
    <w:rsid w:val="00B87401"/>
    <w:rsid w:val="00B96B1E"/>
    <w:rsid w:val="00BA527C"/>
    <w:rsid w:val="00BA5622"/>
    <w:rsid w:val="00BA5B9C"/>
    <w:rsid w:val="00BA7D51"/>
    <w:rsid w:val="00BA7F31"/>
    <w:rsid w:val="00BB4AD5"/>
    <w:rsid w:val="00BB7494"/>
    <w:rsid w:val="00BB76A5"/>
    <w:rsid w:val="00BC089B"/>
    <w:rsid w:val="00BC183F"/>
    <w:rsid w:val="00BC1C37"/>
    <w:rsid w:val="00BC2390"/>
    <w:rsid w:val="00BC775D"/>
    <w:rsid w:val="00BD0051"/>
    <w:rsid w:val="00BD2939"/>
    <w:rsid w:val="00BD5A75"/>
    <w:rsid w:val="00BD6BF7"/>
    <w:rsid w:val="00BE07A9"/>
    <w:rsid w:val="00BE1700"/>
    <w:rsid w:val="00BE2E36"/>
    <w:rsid w:val="00BE4D8F"/>
    <w:rsid w:val="00BE565F"/>
    <w:rsid w:val="00BF0A3E"/>
    <w:rsid w:val="00BF0F0A"/>
    <w:rsid w:val="00BF26AC"/>
    <w:rsid w:val="00BF46A7"/>
    <w:rsid w:val="00BF5230"/>
    <w:rsid w:val="00BF6DA8"/>
    <w:rsid w:val="00C00289"/>
    <w:rsid w:val="00C03227"/>
    <w:rsid w:val="00C1090C"/>
    <w:rsid w:val="00C201FC"/>
    <w:rsid w:val="00C240C8"/>
    <w:rsid w:val="00C249AF"/>
    <w:rsid w:val="00C26513"/>
    <w:rsid w:val="00C32591"/>
    <w:rsid w:val="00C328C9"/>
    <w:rsid w:val="00C339ED"/>
    <w:rsid w:val="00C35BA8"/>
    <w:rsid w:val="00C37F72"/>
    <w:rsid w:val="00C40246"/>
    <w:rsid w:val="00C420C1"/>
    <w:rsid w:val="00C43FEE"/>
    <w:rsid w:val="00C45963"/>
    <w:rsid w:val="00C472B8"/>
    <w:rsid w:val="00C50723"/>
    <w:rsid w:val="00C529FD"/>
    <w:rsid w:val="00C53124"/>
    <w:rsid w:val="00C538A9"/>
    <w:rsid w:val="00C53B2E"/>
    <w:rsid w:val="00C6160A"/>
    <w:rsid w:val="00C62B51"/>
    <w:rsid w:val="00C65711"/>
    <w:rsid w:val="00C66460"/>
    <w:rsid w:val="00C76ECD"/>
    <w:rsid w:val="00C8221C"/>
    <w:rsid w:val="00C84B63"/>
    <w:rsid w:val="00C84E04"/>
    <w:rsid w:val="00C86DC6"/>
    <w:rsid w:val="00C910BE"/>
    <w:rsid w:val="00C922BE"/>
    <w:rsid w:val="00CA10F9"/>
    <w:rsid w:val="00CA14F4"/>
    <w:rsid w:val="00CA583F"/>
    <w:rsid w:val="00CA5844"/>
    <w:rsid w:val="00CA7415"/>
    <w:rsid w:val="00CB265C"/>
    <w:rsid w:val="00CB2BDD"/>
    <w:rsid w:val="00CB32BC"/>
    <w:rsid w:val="00CB4540"/>
    <w:rsid w:val="00CB4951"/>
    <w:rsid w:val="00CB7A07"/>
    <w:rsid w:val="00CC584C"/>
    <w:rsid w:val="00CC59BB"/>
    <w:rsid w:val="00CD1B93"/>
    <w:rsid w:val="00CD3BD4"/>
    <w:rsid w:val="00CD3CC8"/>
    <w:rsid w:val="00CD4915"/>
    <w:rsid w:val="00CD60BD"/>
    <w:rsid w:val="00CD635D"/>
    <w:rsid w:val="00CD6DEE"/>
    <w:rsid w:val="00CD7C5B"/>
    <w:rsid w:val="00CD7CED"/>
    <w:rsid w:val="00CE04C7"/>
    <w:rsid w:val="00CE2AC9"/>
    <w:rsid w:val="00CE2AFE"/>
    <w:rsid w:val="00CE7B14"/>
    <w:rsid w:val="00CF156B"/>
    <w:rsid w:val="00CF1E02"/>
    <w:rsid w:val="00CF4BD6"/>
    <w:rsid w:val="00CF597A"/>
    <w:rsid w:val="00D00228"/>
    <w:rsid w:val="00D00DA0"/>
    <w:rsid w:val="00D0103F"/>
    <w:rsid w:val="00D03E34"/>
    <w:rsid w:val="00D05BAA"/>
    <w:rsid w:val="00D07F26"/>
    <w:rsid w:val="00D11A09"/>
    <w:rsid w:val="00D11BCD"/>
    <w:rsid w:val="00D13B7A"/>
    <w:rsid w:val="00D17FD1"/>
    <w:rsid w:val="00D22C4B"/>
    <w:rsid w:val="00D230C7"/>
    <w:rsid w:val="00D23583"/>
    <w:rsid w:val="00D23E7D"/>
    <w:rsid w:val="00D2405F"/>
    <w:rsid w:val="00D26C71"/>
    <w:rsid w:val="00D30C7F"/>
    <w:rsid w:val="00D32DFB"/>
    <w:rsid w:val="00D41421"/>
    <w:rsid w:val="00D41998"/>
    <w:rsid w:val="00D41BA9"/>
    <w:rsid w:val="00D44059"/>
    <w:rsid w:val="00D44B73"/>
    <w:rsid w:val="00D4511A"/>
    <w:rsid w:val="00D51813"/>
    <w:rsid w:val="00D52376"/>
    <w:rsid w:val="00D53EE6"/>
    <w:rsid w:val="00D612C2"/>
    <w:rsid w:val="00D64D38"/>
    <w:rsid w:val="00D745E0"/>
    <w:rsid w:val="00D76AA3"/>
    <w:rsid w:val="00D80604"/>
    <w:rsid w:val="00D86529"/>
    <w:rsid w:val="00D86A86"/>
    <w:rsid w:val="00D8791E"/>
    <w:rsid w:val="00D916B9"/>
    <w:rsid w:val="00D92438"/>
    <w:rsid w:val="00DA0040"/>
    <w:rsid w:val="00DA086B"/>
    <w:rsid w:val="00DA1D7A"/>
    <w:rsid w:val="00DA5E0A"/>
    <w:rsid w:val="00DA6834"/>
    <w:rsid w:val="00DA7145"/>
    <w:rsid w:val="00DA78D8"/>
    <w:rsid w:val="00DA7E05"/>
    <w:rsid w:val="00DB0A56"/>
    <w:rsid w:val="00DB4794"/>
    <w:rsid w:val="00DB5C3E"/>
    <w:rsid w:val="00DB628E"/>
    <w:rsid w:val="00DC4070"/>
    <w:rsid w:val="00DD4A35"/>
    <w:rsid w:val="00DD725C"/>
    <w:rsid w:val="00DE1DE6"/>
    <w:rsid w:val="00DE1E39"/>
    <w:rsid w:val="00DE513D"/>
    <w:rsid w:val="00DF235C"/>
    <w:rsid w:val="00DF426D"/>
    <w:rsid w:val="00DF47D6"/>
    <w:rsid w:val="00DF4D5A"/>
    <w:rsid w:val="00DF5425"/>
    <w:rsid w:val="00DF782C"/>
    <w:rsid w:val="00E030A0"/>
    <w:rsid w:val="00E04F16"/>
    <w:rsid w:val="00E075A1"/>
    <w:rsid w:val="00E0797A"/>
    <w:rsid w:val="00E11D5D"/>
    <w:rsid w:val="00E124E3"/>
    <w:rsid w:val="00E12F81"/>
    <w:rsid w:val="00E14812"/>
    <w:rsid w:val="00E15231"/>
    <w:rsid w:val="00E15DDE"/>
    <w:rsid w:val="00E17B19"/>
    <w:rsid w:val="00E2339E"/>
    <w:rsid w:val="00E300BB"/>
    <w:rsid w:val="00E31D0A"/>
    <w:rsid w:val="00E3245B"/>
    <w:rsid w:val="00E32DCD"/>
    <w:rsid w:val="00E32DF0"/>
    <w:rsid w:val="00E3707B"/>
    <w:rsid w:val="00E50685"/>
    <w:rsid w:val="00E576DA"/>
    <w:rsid w:val="00E57F6B"/>
    <w:rsid w:val="00E6050B"/>
    <w:rsid w:val="00E609CE"/>
    <w:rsid w:val="00E6234F"/>
    <w:rsid w:val="00E660A5"/>
    <w:rsid w:val="00E67AC7"/>
    <w:rsid w:val="00E7134F"/>
    <w:rsid w:val="00E7342C"/>
    <w:rsid w:val="00E736E9"/>
    <w:rsid w:val="00E76363"/>
    <w:rsid w:val="00E90BE3"/>
    <w:rsid w:val="00E91374"/>
    <w:rsid w:val="00E9144E"/>
    <w:rsid w:val="00E91D81"/>
    <w:rsid w:val="00E92BC2"/>
    <w:rsid w:val="00EA010E"/>
    <w:rsid w:val="00EA28AB"/>
    <w:rsid w:val="00EA5DBC"/>
    <w:rsid w:val="00EA6FBF"/>
    <w:rsid w:val="00EB1E33"/>
    <w:rsid w:val="00EB4DA6"/>
    <w:rsid w:val="00EB7B0A"/>
    <w:rsid w:val="00EC0881"/>
    <w:rsid w:val="00EC74F9"/>
    <w:rsid w:val="00ED13DE"/>
    <w:rsid w:val="00ED1996"/>
    <w:rsid w:val="00ED2843"/>
    <w:rsid w:val="00ED2F55"/>
    <w:rsid w:val="00ED5601"/>
    <w:rsid w:val="00ED5ED8"/>
    <w:rsid w:val="00EE0541"/>
    <w:rsid w:val="00EE0C95"/>
    <w:rsid w:val="00EE3F0F"/>
    <w:rsid w:val="00EE6AF4"/>
    <w:rsid w:val="00EF0199"/>
    <w:rsid w:val="00EF779E"/>
    <w:rsid w:val="00F0263C"/>
    <w:rsid w:val="00F0402A"/>
    <w:rsid w:val="00F07266"/>
    <w:rsid w:val="00F16313"/>
    <w:rsid w:val="00F1700E"/>
    <w:rsid w:val="00F20820"/>
    <w:rsid w:val="00F20FF1"/>
    <w:rsid w:val="00F24317"/>
    <w:rsid w:val="00F27AC7"/>
    <w:rsid w:val="00F32641"/>
    <w:rsid w:val="00F34974"/>
    <w:rsid w:val="00F35457"/>
    <w:rsid w:val="00F3595B"/>
    <w:rsid w:val="00F367F3"/>
    <w:rsid w:val="00F36A26"/>
    <w:rsid w:val="00F41F54"/>
    <w:rsid w:val="00F426A6"/>
    <w:rsid w:val="00F429FD"/>
    <w:rsid w:val="00F4623C"/>
    <w:rsid w:val="00F46AD7"/>
    <w:rsid w:val="00F56399"/>
    <w:rsid w:val="00F56B7A"/>
    <w:rsid w:val="00F606BB"/>
    <w:rsid w:val="00F61145"/>
    <w:rsid w:val="00F62221"/>
    <w:rsid w:val="00F70113"/>
    <w:rsid w:val="00F746E3"/>
    <w:rsid w:val="00F76C17"/>
    <w:rsid w:val="00F7709C"/>
    <w:rsid w:val="00F7750A"/>
    <w:rsid w:val="00F80006"/>
    <w:rsid w:val="00F80084"/>
    <w:rsid w:val="00F95676"/>
    <w:rsid w:val="00F96401"/>
    <w:rsid w:val="00F9690B"/>
    <w:rsid w:val="00FA3F8B"/>
    <w:rsid w:val="00FA56FF"/>
    <w:rsid w:val="00FA767D"/>
    <w:rsid w:val="00FB693B"/>
    <w:rsid w:val="00FC3C96"/>
    <w:rsid w:val="00FD2470"/>
    <w:rsid w:val="00FD5823"/>
    <w:rsid w:val="00FD7BE0"/>
    <w:rsid w:val="00FE1C27"/>
    <w:rsid w:val="00FE326F"/>
    <w:rsid w:val="00FE55FC"/>
    <w:rsid w:val="00FE5C31"/>
    <w:rsid w:val="00FF0F20"/>
    <w:rsid w:val="00FF1B0E"/>
    <w:rsid w:val="00FF268A"/>
    <w:rsid w:val="00FF748B"/>
    <w:rsid w:val="013870B6"/>
    <w:rsid w:val="016A087B"/>
    <w:rsid w:val="019F384E"/>
    <w:rsid w:val="01F0567F"/>
    <w:rsid w:val="022D7BD4"/>
    <w:rsid w:val="023629B9"/>
    <w:rsid w:val="02421D02"/>
    <w:rsid w:val="02C44E0D"/>
    <w:rsid w:val="02F727D4"/>
    <w:rsid w:val="03822CFE"/>
    <w:rsid w:val="03835A29"/>
    <w:rsid w:val="0394658D"/>
    <w:rsid w:val="039843FB"/>
    <w:rsid w:val="03F03959"/>
    <w:rsid w:val="03F82FC0"/>
    <w:rsid w:val="040D00EE"/>
    <w:rsid w:val="043E7DDF"/>
    <w:rsid w:val="044C2C78"/>
    <w:rsid w:val="0458610C"/>
    <w:rsid w:val="04844854"/>
    <w:rsid w:val="0490459D"/>
    <w:rsid w:val="04936845"/>
    <w:rsid w:val="04F35535"/>
    <w:rsid w:val="050D2A9B"/>
    <w:rsid w:val="053022E6"/>
    <w:rsid w:val="053E7F1C"/>
    <w:rsid w:val="057C19CF"/>
    <w:rsid w:val="06113EC5"/>
    <w:rsid w:val="06504129"/>
    <w:rsid w:val="0680104B"/>
    <w:rsid w:val="0696261C"/>
    <w:rsid w:val="0708176C"/>
    <w:rsid w:val="074A3B33"/>
    <w:rsid w:val="075449B1"/>
    <w:rsid w:val="07F97307"/>
    <w:rsid w:val="07FB750F"/>
    <w:rsid w:val="082963B9"/>
    <w:rsid w:val="0851368A"/>
    <w:rsid w:val="08580E5A"/>
    <w:rsid w:val="08674270"/>
    <w:rsid w:val="08773131"/>
    <w:rsid w:val="08953DC1"/>
    <w:rsid w:val="08BB636A"/>
    <w:rsid w:val="090812A4"/>
    <w:rsid w:val="092509E7"/>
    <w:rsid w:val="093C394F"/>
    <w:rsid w:val="09B63701"/>
    <w:rsid w:val="0A191AB2"/>
    <w:rsid w:val="0A5914CF"/>
    <w:rsid w:val="0B0D02BC"/>
    <w:rsid w:val="0B177AE9"/>
    <w:rsid w:val="0B4F2EBB"/>
    <w:rsid w:val="0B4F3AA2"/>
    <w:rsid w:val="0B576D1B"/>
    <w:rsid w:val="0B9A548A"/>
    <w:rsid w:val="0BC92C5A"/>
    <w:rsid w:val="0C7C6168"/>
    <w:rsid w:val="0C9262EF"/>
    <w:rsid w:val="0CC01ED6"/>
    <w:rsid w:val="0CC953FA"/>
    <w:rsid w:val="0CDD0FA5"/>
    <w:rsid w:val="0D157814"/>
    <w:rsid w:val="0D9A6E96"/>
    <w:rsid w:val="0DB8634B"/>
    <w:rsid w:val="0DC4359C"/>
    <w:rsid w:val="0E0E6639"/>
    <w:rsid w:val="0E771C4D"/>
    <w:rsid w:val="0E9355B5"/>
    <w:rsid w:val="0EA6393A"/>
    <w:rsid w:val="0EB34124"/>
    <w:rsid w:val="0ED541D7"/>
    <w:rsid w:val="0F082872"/>
    <w:rsid w:val="0F0C5B71"/>
    <w:rsid w:val="0F3550C8"/>
    <w:rsid w:val="0F652340"/>
    <w:rsid w:val="0F6D7641"/>
    <w:rsid w:val="0F707AF3"/>
    <w:rsid w:val="0FD20B69"/>
    <w:rsid w:val="0FFE1444"/>
    <w:rsid w:val="1032785A"/>
    <w:rsid w:val="10710382"/>
    <w:rsid w:val="10B6268F"/>
    <w:rsid w:val="112F3F5E"/>
    <w:rsid w:val="113B0990"/>
    <w:rsid w:val="11595CB6"/>
    <w:rsid w:val="11C269BB"/>
    <w:rsid w:val="123E4294"/>
    <w:rsid w:val="12777130"/>
    <w:rsid w:val="12842655"/>
    <w:rsid w:val="12DC78B6"/>
    <w:rsid w:val="136C3083"/>
    <w:rsid w:val="13A25A12"/>
    <w:rsid w:val="13E250F3"/>
    <w:rsid w:val="13FF4029"/>
    <w:rsid w:val="1409747C"/>
    <w:rsid w:val="141A3035"/>
    <w:rsid w:val="14451444"/>
    <w:rsid w:val="144C6CA3"/>
    <w:rsid w:val="147A5E14"/>
    <w:rsid w:val="14831CFA"/>
    <w:rsid w:val="148937C0"/>
    <w:rsid w:val="156A1844"/>
    <w:rsid w:val="15852146"/>
    <w:rsid w:val="15C24C70"/>
    <w:rsid w:val="16514036"/>
    <w:rsid w:val="16B26FFE"/>
    <w:rsid w:val="171445E0"/>
    <w:rsid w:val="172F5ECB"/>
    <w:rsid w:val="177B0E6C"/>
    <w:rsid w:val="17A1211B"/>
    <w:rsid w:val="17F3167D"/>
    <w:rsid w:val="1869193F"/>
    <w:rsid w:val="18C6752A"/>
    <w:rsid w:val="18DE232D"/>
    <w:rsid w:val="18E31DE5"/>
    <w:rsid w:val="18ED7A84"/>
    <w:rsid w:val="19377C8F"/>
    <w:rsid w:val="19D83D29"/>
    <w:rsid w:val="1A110E9E"/>
    <w:rsid w:val="1A1928AC"/>
    <w:rsid w:val="1A5F2FF9"/>
    <w:rsid w:val="1A7A42D7"/>
    <w:rsid w:val="1AA84175"/>
    <w:rsid w:val="1AC13320"/>
    <w:rsid w:val="1AF44089"/>
    <w:rsid w:val="1B04307C"/>
    <w:rsid w:val="1B086315"/>
    <w:rsid w:val="1B460CBD"/>
    <w:rsid w:val="1B8C4B1F"/>
    <w:rsid w:val="1BB83309"/>
    <w:rsid w:val="1BC64867"/>
    <w:rsid w:val="1BD55660"/>
    <w:rsid w:val="1BFC2ACA"/>
    <w:rsid w:val="1BFD163D"/>
    <w:rsid w:val="1C133DC4"/>
    <w:rsid w:val="1C18194D"/>
    <w:rsid w:val="1C400062"/>
    <w:rsid w:val="1C4F38E5"/>
    <w:rsid w:val="1C546CF5"/>
    <w:rsid w:val="1C700DB1"/>
    <w:rsid w:val="1CC25AC1"/>
    <w:rsid w:val="1D094A60"/>
    <w:rsid w:val="1DDE2DCF"/>
    <w:rsid w:val="1E081F48"/>
    <w:rsid w:val="1E0967AF"/>
    <w:rsid w:val="1E524A2D"/>
    <w:rsid w:val="1ED2080B"/>
    <w:rsid w:val="1ED3045A"/>
    <w:rsid w:val="1F185E6D"/>
    <w:rsid w:val="1F1E1058"/>
    <w:rsid w:val="1F347F6C"/>
    <w:rsid w:val="1F613523"/>
    <w:rsid w:val="1F88304E"/>
    <w:rsid w:val="1F9C4138"/>
    <w:rsid w:val="1FCF061C"/>
    <w:rsid w:val="211D3C0E"/>
    <w:rsid w:val="212E7BC9"/>
    <w:rsid w:val="21570ECE"/>
    <w:rsid w:val="21864056"/>
    <w:rsid w:val="21893052"/>
    <w:rsid w:val="218B501C"/>
    <w:rsid w:val="21A0359D"/>
    <w:rsid w:val="22285F68"/>
    <w:rsid w:val="222A4BC0"/>
    <w:rsid w:val="222C5B8B"/>
    <w:rsid w:val="22BD688E"/>
    <w:rsid w:val="22DD69FA"/>
    <w:rsid w:val="22EC15B9"/>
    <w:rsid w:val="230A42B6"/>
    <w:rsid w:val="231D73A5"/>
    <w:rsid w:val="2322301B"/>
    <w:rsid w:val="233E645E"/>
    <w:rsid w:val="23D06D16"/>
    <w:rsid w:val="240B5055"/>
    <w:rsid w:val="242279F0"/>
    <w:rsid w:val="24382317"/>
    <w:rsid w:val="24AC3302"/>
    <w:rsid w:val="24EC11AB"/>
    <w:rsid w:val="24F51DDC"/>
    <w:rsid w:val="25071235"/>
    <w:rsid w:val="2545028E"/>
    <w:rsid w:val="258129BE"/>
    <w:rsid w:val="2589714B"/>
    <w:rsid w:val="258E6E89"/>
    <w:rsid w:val="25A128B8"/>
    <w:rsid w:val="25BE5649"/>
    <w:rsid w:val="261B0F8F"/>
    <w:rsid w:val="26814293"/>
    <w:rsid w:val="26D330CA"/>
    <w:rsid w:val="26E50B6F"/>
    <w:rsid w:val="274126E0"/>
    <w:rsid w:val="27932534"/>
    <w:rsid w:val="27D61158"/>
    <w:rsid w:val="27D77DF9"/>
    <w:rsid w:val="28203806"/>
    <w:rsid w:val="282A3AEE"/>
    <w:rsid w:val="283E2079"/>
    <w:rsid w:val="285A5FA8"/>
    <w:rsid w:val="286914E7"/>
    <w:rsid w:val="28705210"/>
    <w:rsid w:val="28A54EB2"/>
    <w:rsid w:val="28C01EC5"/>
    <w:rsid w:val="290555C2"/>
    <w:rsid w:val="292444F2"/>
    <w:rsid w:val="295A2486"/>
    <w:rsid w:val="29673C78"/>
    <w:rsid w:val="298E3519"/>
    <w:rsid w:val="2A106269"/>
    <w:rsid w:val="2A832D34"/>
    <w:rsid w:val="2A867BBA"/>
    <w:rsid w:val="2AA01F44"/>
    <w:rsid w:val="2AEF1948"/>
    <w:rsid w:val="2B0460AC"/>
    <w:rsid w:val="2B5C164F"/>
    <w:rsid w:val="2B672775"/>
    <w:rsid w:val="2BC43604"/>
    <w:rsid w:val="2BD41670"/>
    <w:rsid w:val="2BD67FFA"/>
    <w:rsid w:val="2C95055A"/>
    <w:rsid w:val="2D4A18E7"/>
    <w:rsid w:val="2D65288F"/>
    <w:rsid w:val="2DA464B5"/>
    <w:rsid w:val="2E351701"/>
    <w:rsid w:val="2E4108FA"/>
    <w:rsid w:val="2E536EC1"/>
    <w:rsid w:val="2E923584"/>
    <w:rsid w:val="2E9454F4"/>
    <w:rsid w:val="2EEA7705"/>
    <w:rsid w:val="2F23477E"/>
    <w:rsid w:val="2F7470EF"/>
    <w:rsid w:val="2FB568D8"/>
    <w:rsid w:val="2FEB6DE9"/>
    <w:rsid w:val="2FFD1E05"/>
    <w:rsid w:val="30000F62"/>
    <w:rsid w:val="30772145"/>
    <w:rsid w:val="3081004D"/>
    <w:rsid w:val="30894E1C"/>
    <w:rsid w:val="30A02F5F"/>
    <w:rsid w:val="30FF6E8C"/>
    <w:rsid w:val="31650BD6"/>
    <w:rsid w:val="31A60F11"/>
    <w:rsid w:val="32047147"/>
    <w:rsid w:val="320F30FF"/>
    <w:rsid w:val="321C6AE7"/>
    <w:rsid w:val="324C4353"/>
    <w:rsid w:val="3250677A"/>
    <w:rsid w:val="32C73CBD"/>
    <w:rsid w:val="32DD31FD"/>
    <w:rsid w:val="32E65678"/>
    <w:rsid w:val="33596D28"/>
    <w:rsid w:val="33644CF4"/>
    <w:rsid w:val="3369361B"/>
    <w:rsid w:val="336B305B"/>
    <w:rsid w:val="336F02F9"/>
    <w:rsid w:val="33E94354"/>
    <w:rsid w:val="33F24A4C"/>
    <w:rsid w:val="33F94067"/>
    <w:rsid w:val="34645984"/>
    <w:rsid w:val="34702AD1"/>
    <w:rsid w:val="348A057A"/>
    <w:rsid w:val="34F44417"/>
    <w:rsid w:val="350140ED"/>
    <w:rsid w:val="35036781"/>
    <w:rsid w:val="35064D00"/>
    <w:rsid w:val="35245113"/>
    <w:rsid w:val="3596329B"/>
    <w:rsid w:val="35AF5AAB"/>
    <w:rsid w:val="35E7317D"/>
    <w:rsid w:val="35EB7B5A"/>
    <w:rsid w:val="35FE3EAA"/>
    <w:rsid w:val="361E5856"/>
    <w:rsid w:val="36276452"/>
    <w:rsid w:val="36570399"/>
    <w:rsid w:val="367479D5"/>
    <w:rsid w:val="3676374D"/>
    <w:rsid w:val="36970E61"/>
    <w:rsid w:val="36C4095C"/>
    <w:rsid w:val="36F80818"/>
    <w:rsid w:val="3713535B"/>
    <w:rsid w:val="372669BD"/>
    <w:rsid w:val="37417455"/>
    <w:rsid w:val="37704640"/>
    <w:rsid w:val="37993C87"/>
    <w:rsid w:val="38076A0D"/>
    <w:rsid w:val="38235656"/>
    <w:rsid w:val="3825542A"/>
    <w:rsid w:val="3836518F"/>
    <w:rsid w:val="383B414B"/>
    <w:rsid w:val="385E6837"/>
    <w:rsid w:val="385F2C19"/>
    <w:rsid w:val="38AA5930"/>
    <w:rsid w:val="390F59D3"/>
    <w:rsid w:val="3A103EB8"/>
    <w:rsid w:val="3A5A656B"/>
    <w:rsid w:val="3A6D1B02"/>
    <w:rsid w:val="3A96260F"/>
    <w:rsid w:val="3A9649D0"/>
    <w:rsid w:val="3ABE56C2"/>
    <w:rsid w:val="3B1B0A85"/>
    <w:rsid w:val="3BC9431F"/>
    <w:rsid w:val="3BEB4CF1"/>
    <w:rsid w:val="3BEE7560"/>
    <w:rsid w:val="3BFE66BE"/>
    <w:rsid w:val="3C814BF9"/>
    <w:rsid w:val="3C843E5E"/>
    <w:rsid w:val="3C904EDF"/>
    <w:rsid w:val="3C9D3CDF"/>
    <w:rsid w:val="3CA07775"/>
    <w:rsid w:val="3CF77D72"/>
    <w:rsid w:val="3CFE6867"/>
    <w:rsid w:val="3D1E4D90"/>
    <w:rsid w:val="3D6C7827"/>
    <w:rsid w:val="3D7C1662"/>
    <w:rsid w:val="3DA60794"/>
    <w:rsid w:val="3DBF295C"/>
    <w:rsid w:val="3E154CB7"/>
    <w:rsid w:val="3E1C23D5"/>
    <w:rsid w:val="3E4F7F23"/>
    <w:rsid w:val="3EB11C40"/>
    <w:rsid w:val="3ED25BE0"/>
    <w:rsid w:val="3F061212"/>
    <w:rsid w:val="3F30107F"/>
    <w:rsid w:val="3F960B64"/>
    <w:rsid w:val="3FBD1EE9"/>
    <w:rsid w:val="3FC15429"/>
    <w:rsid w:val="3FCD2BD1"/>
    <w:rsid w:val="400745C8"/>
    <w:rsid w:val="40141CA3"/>
    <w:rsid w:val="40225A46"/>
    <w:rsid w:val="402F4F60"/>
    <w:rsid w:val="406334F2"/>
    <w:rsid w:val="40AA6EA7"/>
    <w:rsid w:val="40E90FBF"/>
    <w:rsid w:val="412D583E"/>
    <w:rsid w:val="415B6A35"/>
    <w:rsid w:val="419034FD"/>
    <w:rsid w:val="422E57B2"/>
    <w:rsid w:val="425E3E67"/>
    <w:rsid w:val="427640A9"/>
    <w:rsid w:val="429F5DD9"/>
    <w:rsid w:val="42B432E2"/>
    <w:rsid w:val="42B43A0D"/>
    <w:rsid w:val="42B55B52"/>
    <w:rsid w:val="42C91CF2"/>
    <w:rsid w:val="42F44377"/>
    <w:rsid w:val="433C187A"/>
    <w:rsid w:val="43625BA6"/>
    <w:rsid w:val="436D1672"/>
    <w:rsid w:val="43782C6C"/>
    <w:rsid w:val="43BA2B61"/>
    <w:rsid w:val="43D355F6"/>
    <w:rsid w:val="43E10A94"/>
    <w:rsid w:val="443B420F"/>
    <w:rsid w:val="446F6F84"/>
    <w:rsid w:val="44935E12"/>
    <w:rsid w:val="45010FCD"/>
    <w:rsid w:val="45260A34"/>
    <w:rsid w:val="452C7897"/>
    <w:rsid w:val="454563CC"/>
    <w:rsid w:val="456338DB"/>
    <w:rsid w:val="456708D0"/>
    <w:rsid w:val="45796FF4"/>
    <w:rsid w:val="45CD3AD0"/>
    <w:rsid w:val="45ED50AE"/>
    <w:rsid w:val="45FC0CDF"/>
    <w:rsid w:val="46511B50"/>
    <w:rsid w:val="46671304"/>
    <w:rsid w:val="469A6422"/>
    <w:rsid w:val="46B75DE7"/>
    <w:rsid w:val="4717144F"/>
    <w:rsid w:val="47175000"/>
    <w:rsid w:val="475441CE"/>
    <w:rsid w:val="47857C6A"/>
    <w:rsid w:val="47B65AE8"/>
    <w:rsid w:val="47FE053D"/>
    <w:rsid w:val="482C45B3"/>
    <w:rsid w:val="48A52236"/>
    <w:rsid w:val="48B346B3"/>
    <w:rsid w:val="48C045B4"/>
    <w:rsid w:val="48F401E6"/>
    <w:rsid w:val="49147FF3"/>
    <w:rsid w:val="492821B2"/>
    <w:rsid w:val="49577227"/>
    <w:rsid w:val="49736BA0"/>
    <w:rsid w:val="497B7CB3"/>
    <w:rsid w:val="49845813"/>
    <w:rsid w:val="4A3C0574"/>
    <w:rsid w:val="4A8E7B64"/>
    <w:rsid w:val="4A957D5F"/>
    <w:rsid w:val="4AAC5B57"/>
    <w:rsid w:val="4AC079A4"/>
    <w:rsid w:val="4B02248E"/>
    <w:rsid w:val="4B2D12E0"/>
    <w:rsid w:val="4B4C6D75"/>
    <w:rsid w:val="4B5C0707"/>
    <w:rsid w:val="4B7D45F4"/>
    <w:rsid w:val="4BEB6B31"/>
    <w:rsid w:val="4C080E93"/>
    <w:rsid w:val="4C1419E3"/>
    <w:rsid w:val="4C4A5F86"/>
    <w:rsid w:val="4CE87639"/>
    <w:rsid w:val="4D485553"/>
    <w:rsid w:val="4D812CAB"/>
    <w:rsid w:val="4D90162C"/>
    <w:rsid w:val="4DD36371"/>
    <w:rsid w:val="4DDA778C"/>
    <w:rsid w:val="4DFE6D06"/>
    <w:rsid w:val="4E27641D"/>
    <w:rsid w:val="4E9227D5"/>
    <w:rsid w:val="4E935C2E"/>
    <w:rsid w:val="4E9642BA"/>
    <w:rsid w:val="4E9D6141"/>
    <w:rsid w:val="4EDF35BB"/>
    <w:rsid w:val="4EE41C2E"/>
    <w:rsid w:val="4EFA57FE"/>
    <w:rsid w:val="4F5945DF"/>
    <w:rsid w:val="50137E07"/>
    <w:rsid w:val="50505EC7"/>
    <w:rsid w:val="51964706"/>
    <w:rsid w:val="51B01DB1"/>
    <w:rsid w:val="526877E6"/>
    <w:rsid w:val="526D37FE"/>
    <w:rsid w:val="528257B0"/>
    <w:rsid w:val="52D92ACB"/>
    <w:rsid w:val="52E72CF4"/>
    <w:rsid w:val="53271D10"/>
    <w:rsid w:val="532A7941"/>
    <w:rsid w:val="532F31A9"/>
    <w:rsid w:val="53343D01"/>
    <w:rsid w:val="5345477B"/>
    <w:rsid w:val="534D53DE"/>
    <w:rsid w:val="53610D17"/>
    <w:rsid w:val="53B4776F"/>
    <w:rsid w:val="53BA437B"/>
    <w:rsid w:val="53E2646E"/>
    <w:rsid w:val="53E43F94"/>
    <w:rsid w:val="53EC2585"/>
    <w:rsid w:val="541A60A3"/>
    <w:rsid w:val="54402E25"/>
    <w:rsid w:val="547B094F"/>
    <w:rsid w:val="55052414"/>
    <w:rsid w:val="551E34D6"/>
    <w:rsid w:val="554A6622"/>
    <w:rsid w:val="555869E7"/>
    <w:rsid w:val="556A3880"/>
    <w:rsid w:val="55710A4E"/>
    <w:rsid w:val="559C31FD"/>
    <w:rsid w:val="55BD4A9D"/>
    <w:rsid w:val="55D00814"/>
    <w:rsid w:val="55D65C46"/>
    <w:rsid w:val="55E95892"/>
    <w:rsid w:val="55F14DE3"/>
    <w:rsid w:val="55FC2D99"/>
    <w:rsid w:val="56187F25"/>
    <w:rsid w:val="56201CD7"/>
    <w:rsid w:val="562E78FC"/>
    <w:rsid w:val="565A4F64"/>
    <w:rsid w:val="568149AB"/>
    <w:rsid w:val="569169B2"/>
    <w:rsid w:val="5697709C"/>
    <w:rsid w:val="56D976B4"/>
    <w:rsid w:val="56F12EF0"/>
    <w:rsid w:val="57320284"/>
    <w:rsid w:val="57572F0A"/>
    <w:rsid w:val="57790077"/>
    <w:rsid w:val="57995B08"/>
    <w:rsid w:val="57C459D6"/>
    <w:rsid w:val="57D721A8"/>
    <w:rsid w:val="58040108"/>
    <w:rsid w:val="5809221B"/>
    <w:rsid w:val="5818245E"/>
    <w:rsid w:val="58367488"/>
    <w:rsid w:val="58E52EF6"/>
    <w:rsid w:val="58F05189"/>
    <w:rsid w:val="58F86F8F"/>
    <w:rsid w:val="591B4100"/>
    <w:rsid w:val="59235D97"/>
    <w:rsid w:val="59AD4E28"/>
    <w:rsid w:val="5A0A4028"/>
    <w:rsid w:val="5A876095"/>
    <w:rsid w:val="5AF34F20"/>
    <w:rsid w:val="5B3204A3"/>
    <w:rsid w:val="5B67583F"/>
    <w:rsid w:val="5B8F6E74"/>
    <w:rsid w:val="5BBE331C"/>
    <w:rsid w:val="5C6A0E18"/>
    <w:rsid w:val="5CA67F0E"/>
    <w:rsid w:val="5CFC40FC"/>
    <w:rsid w:val="5D1F7DEB"/>
    <w:rsid w:val="5D2B1343"/>
    <w:rsid w:val="5D5131F3"/>
    <w:rsid w:val="5D694B20"/>
    <w:rsid w:val="5DB1138B"/>
    <w:rsid w:val="5E4329D3"/>
    <w:rsid w:val="5F1652A5"/>
    <w:rsid w:val="5F6025A8"/>
    <w:rsid w:val="5F685A79"/>
    <w:rsid w:val="5F850B0F"/>
    <w:rsid w:val="5FC058B5"/>
    <w:rsid w:val="5FEF049B"/>
    <w:rsid w:val="60BF2A4A"/>
    <w:rsid w:val="61011779"/>
    <w:rsid w:val="61FE0491"/>
    <w:rsid w:val="62215569"/>
    <w:rsid w:val="622B0FE0"/>
    <w:rsid w:val="623C143F"/>
    <w:rsid w:val="62D761F5"/>
    <w:rsid w:val="62E02840"/>
    <w:rsid w:val="63153520"/>
    <w:rsid w:val="636C5EA1"/>
    <w:rsid w:val="63A21A6A"/>
    <w:rsid w:val="63A61A51"/>
    <w:rsid w:val="63AB7863"/>
    <w:rsid w:val="6417181C"/>
    <w:rsid w:val="64234664"/>
    <w:rsid w:val="642D7D75"/>
    <w:rsid w:val="642E74E2"/>
    <w:rsid w:val="644840CB"/>
    <w:rsid w:val="64636121"/>
    <w:rsid w:val="64864DA3"/>
    <w:rsid w:val="648D5F82"/>
    <w:rsid w:val="64A62E9B"/>
    <w:rsid w:val="64D92F75"/>
    <w:rsid w:val="64FB189E"/>
    <w:rsid w:val="655C3B7E"/>
    <w:rsid w:val="659A0956"/>
    <w:rsid w:val="65B8702E"/>
    <w:rsid w:val="65C77271"/>
    <w:rsid w:val="65D0697D"/>
    <w:rsid w:val="66134265"/>
    <w:rsid w:val="66430172"/>
    <w:rsid w:val="665F65EF"/>
    <w:rsid w:val="66CB35B3"/>
    <w:rsid w:val="66D4213A"/>
    <w:rsid w:val="66D47E98"/>
    <w:rsid w:val="67184229"/>
    <w:rsid w:val="67382B15"/>
    <w:rsid w:val="6740552D"/>
    <w:rsid w:val="674F6A41"/>
    <w:rsid w:val="67900263"/>
    <w:rsid w:val="67924F7C"/>
    <w:rsid w:val="68D53926"/>
    <w:rsid w:val="68D771CE"/>
    <w:rsid w:val="691E53FA"/>
    <w:rsid w:val="692A7707"/>
    <w:rsid w:val="6932015A"/>
    <w:rsid w:val="6A0B52F6"/>
    <w:rsid w:val="6ABD3563"/>
    <w:rsid w:val="6B3A2A86"/>
    <w:rsid w:val="6B473789"/>
    <w:rsid w:val="6BBA56B1"/>
    <w:rsid w:val="6BC55E1F"/>
    <w:rsid w:val="6BEA5A68"/>
    <w:rsid w:val="6C7857D0"/>
    <w:rsid w:val="6C9138B3"/>
    <w:rsid w:val="6C9205D9"/>
    <w:rsid w:val="6CB47461"/>
    <w:rsid w:val="6CE938C0"/>
    <w:rsid w:val="6CFF0901"/>
    <w:rsid w:val="6D065A47"/>
    <w:rsid w:val="6D116C6C"/>
    <w:rsid w:val="6D605FE2"/>
    <w:rsid w:val="6D624DC9"/>
    <w:rsid w:val="6D656628"/>
    <w:rsid w:val="6D8B4152"/>
    <w:rsid w:val="6DF110EA"/>
    <w:rsid w:val="6E0626BC"/>
    <w:rsid w:val="6E0C17A8"/>
    <w:rsid w:val="6E4331A4"/>
    <w:rsid w:val="6EB85BAD"/>
    <w:rsid w:val="6ED44ED9"/>
    <w:rsid w:val="6EEF60FD"/>
    <w:rsid w:val="6EF015E7"/>
    <w:rsid w:val="6F2F03A6"/>
    <w:rsid w:val="6F6E4B43"/>
    <w:rsid w:val="6F716F2F"/>
    <w:rsid w:val="6FBF4FB9"/>
    <w:rsid w:val="6FC04EE4"/>
    <w:rsid w:val="6FC92C2B"/>
    <w:rsid w:val="6FE52991"/>
    <w:rsid w:val="6FE969BF"/>
    <w:rsid w:val="6FF375E1"/>
    <w:rsid w:val="70047A0C"/>
    <w:rsid w:val="702643A0"/>
    <w:rsid w:val="7036520C"/>
    <w:rsid w:val="71306613"/>
    <w:rsid w:val="71310DB9"/>
    <w:rsid w:val="719E4336"/>
    <w:rsid w:val="71CE558E"/>
    <w:rsid w:val="71DE31AB"/>
    <w:rsid w:val="7202028B"/>
    <w:rsid w:val="723F1544"/>
    <w:rsid w:val="726F4F19"/>
    <w:rsid w:val="72BE2539"/>
    <w:rsid w:val="73322485"/>
    <w:rsid w:val="73505C42"/>
    <w:rsid w:val="7399068B"/>
    <w:rsid w:val="739C0DFC"/>
    <w:rsid w:val="73AD3F4B"/>
    <w:rsid w:val="73C179F6"/>
    <w:rsid w:val="73D73024"/>
    <w:rsid w:val="73E80348"/>
    <w:rsid w:val="741D14C7"/>
    <w:rsid w:val="7433664C"/>
    <w:rsid w:val="748C3B60"/>
    <w:rsid w:val="74AA2238"/>
    <w:rsid w:val="74B03CF2"/>
    <w:rsid w:val="74D70DF7"/>
    <w:rsid w:val="74D9035A"/>
    <w:rsid w:val="7537304B"/>
    <w:rsid w:val="75836A21"/>
    <w:rsid w:val="75A60C51"/>
    <w:rsid w:val="75FF3A13"/>
    <w:rsid w:val="764D5CC5"/>
    <w:rsid w:val="766D1A12"/>
    <w:rsid w:val="76735285"/>
    <w:rsid w:val="768076F4"/>
    <w:rsid w:val="77497454"/>
    <w:rsid w:val="775E2934"/>
    <w:rsid w:val="77631D40"/>
    <w:rsid w:val="77C47AB5"/>
    <w:rsid w:val="781D5AE7"/>
    <w:rsid w:val="783E1615"/>
    <w:rsid w:val="78570C0C"/>
    <w:rsid w:val="7863107C"/>
    <w:rsid w:val="789F3DA6"/>
    <w:rsid w:val="78A52377"/>
    <w:rsid w:val="78AF2513"/>
    <w:rsid w:val="78CF4963"/>
    <w:rsid w:val="78F9068A"/>
    <w:rsid w:val="793D1406"/>
    <w:rsid w:val="79780A9A"/>
    <w:rsid w:val="797A2FF6"/>
    <w:rsid w:val="79A234E1"/>
    <w:rsid w:val="79D17AD0"/>
    <w:rsid w:val="7A080935"/>
    <w:rsid w:val="7A481006"/>
    <w:rsid w:val="7A545120"/>
    <w:rsid w:val="7AD324E9"/>
    <w:rsid w:val="7B1041DC"/>
    <w:rsid w:val="7B5B7497"/>
    <w:rsid w:val="7BDC7287"/>
    <w:rsid w:val="7BEB5610"/>
    <w:rsid w:val="7C2861B7"/>
    <w:rsid w:val="7C4C34D1"/>
    <w:rsid w:val="7C542C9B"/>
    <w:rsid w:val="7C6D4277"/>
    <w:rsid w:val="7CB650A7"/>
    <w:rsid w:val="7CBE4ACC"/>
    <w:rsid w:val="7D125B46"/>
    <w:rsid w:val="7D3F0759"/>
    <w:rsid w:val="7DB21246"/>
    <w:rsid w:val="7DCB5435"/>
    <w:rsid w:val="7DD520D4"/>
    <w:rsid w:val="7E292420"/>
    <w:rsid w:val="7E49095B"/>
    <w:rsid w:val="7E950081"/>
    <w:rsid w:val="7F07163A"/>
    <w:rsid w:val="7F0D0E5D"/>
    <w:rsid w:val="7F5379FA"/>
    <w:rsid w:val="7F644BDD"/>
    <w:rsid w:val="7F855D7C"/>
    <w:rsid w:val="7FA50E24"/>
    <w:rsid w:val="7FC82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snapToGrid w:val="0"/>
      <w:spacing w:line="360" w:lineRule="atLeast"/>
      <w:outlineLvl w:val="0"/>
    </w:pPr>
    <w:rPr>
      <w:rFonts w:ascii="宋体"/>
    </w:rPr>
  </w:style>
  <w:style w:type="paragraph" w:styleId="3">
    <w:name w:val="heading 2"/>
    <w:basedOn w:val="1"/>
    <w:next w:val="1"/>
    <w:link w:val="69"/>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70"/>
    <w:qFormat/>
    <w:uiPriority w:val="0"/>
    <w:pPr>
      <w:keepNext/>
      <w:keepLines/>
      <w:spacing w:before="260" w:after="260" w:line="413" w:lineRule="auto"/>
      <w:outlineLvl w:val="2"/>
    </w:pPr>
    <w:rPr>
      <w:b/>
      <w:sz w:val="32"/>
    </w:rPr>
  </w:style>
  <w:style w:type="paragraph" w:styleId="5">
    <w:name w:val="heading 4"/>
    <w:basedOn w:val="1"/>
    <w:next w:val="1"/>
    <w:qFormat/>
    <w:uiPriority w:val="0"/>
    <w:pPr>
      <w:keepNext/>
      <w:keepLines/>
      <w:spacing w:before="280" w:after="290" w:line="372" w:lineRule="auto"/>
      <w:outlineLvl w:val="3"/>
    </w:pPr>
    <w:rPr>
      <w:rFonts w:ascii="Arial" w:hAnsi="Arial" w:eastAsia="黑体"/>
      <w:b/>
    </w:rPr>
  </w:style>
  <w:style w:type="paragraph" w:styleId="6">
    <w:name w:val="heading 5"/>
    <w:basedOn w:val="1"/>
    <w:next w:val="1"/>
    <w:qFormat/>
    <w:uiPriority w:val="0"/>
    <w:pPr>
      <w:keepNext/>
      <w:keepLines/>
      <w:tabs>
        <w:tab w:val="left" w:pos="2551"/>
      </w:tabs>
      <w:spacing w:before="280" w:after="290" w:line="372" w:lineRule="auto"/>
      <w:ind w:left="2551" w:hanging="850"/>
      <w:outlineLvl w:val="4"/>
    </w:pPr>
    <w:rPr>
      <w:b/>
    </w:rPr>
  </w:style>
  <w:style w:type="paragraph" w:styleId="7">
    <w:name w:val="heading 6"/>
    <w:basedOn w:val="1"/>
    <w:next w:val="1"/>
    <w:qFormat/>
    <w:uiPriority w:val="0"/>
    <w:pPr>
      <w:keepNext/>
      <w:keepLines/>
      <w:tabs>
        <w:tab w:val="left" w:pos="1152"/>
      </w:tabs>
      <w:adjustRightInd w:val="0"/>
      <w:snapToGrid w:val="0"/>
      <w:spacing w:before="240" w:after="64" w:line="317" w:lineRule="auto"/>
      <w:ind w:left="1152" w:hanging="1152"/>
      <w:outlineLvl w:val="5"/>
    </w:pPr>
    <w:rPr>
      <w:rFonts w:ascii="Arial" w:hAnsi="Arial" w:eastAsia="黑体"/>
      <w:b/>
      <w:sz w:val="24"/>
    </w:rPr>
  </w:style>
  <w:style w:type="paragraph" w:styleId="8">
    <w:name w:val="heading 7"/>
    <w:basedOn w:val="1"/>
    <w:next w:val="1"/>
    <w:qFormat/>
    <w:uiPriority w:val="0"/>
    <w:pPr>
      <w:keepNext/>
      <w:keepLines/>
      <w:tabs>
        <w:tab w:val="left" w:pos="1296"/>
      </w:tabs>
      <w:adjustRightInd w:val="0"/>
      <w:snapToGrid w:val="0"/>
      <w:spacing w:before="240" w:after="64" w:line="317" w:lineRule="auto"/>
      <w:ind w:left="1296" w:hanging="1296"/>
      <w:outlineLvl w:val="6"/>
    </w:pPr>
    <w:rPr>
      <w:rFonts w:ascii="Arial" w:hAnsi="Arial" w:eastAsia="黑体"/>
      <w:b/>
      <w:sz w:val="24"/>
    </w:rPr>
  </w:style>
  <w:style w:type="paragraph" w:styleId="9">
    <w:name w:val="heading 8"/>
    <w:basedOn w:val="1"/>
    <w:next w:val="1"/>
    <w:qFormat/>
    <w:uiPriority w:val="0"/>
    <w:pPr>
      <w:keepNext/>
      <w:keepLines/>
      <w:tabs>
        <w:tab w:val="left" w:pos="1440"/>
      </w:tabs>
      <w:adjustRightInd w:val="0"/>
      <w:snapToGrid w:val="0"/>
      <w:spacing w:before="240" w:after="64" w:line="317" w:lineRule="auto"/>
      <w:ind w:left="1440" w:hanging="1440"/>
      <w:outlineLvl w:val="7"/>
    </w:pPr>
    <w:rPr>
      <w:rFonts w:ascii="Arial" w:hAnsi="Arial" w:eastAsia="黑体"/>
      <w:b/>
      <w:sz w:val="24"/>
    </w:rPr>
  </w:style>
  <w:style w:type="paragraph" w:styleId="10">
    <w:name w:val="heading 9"/>
    <w:basedOn w:val="1"/>
    <w:next w:val="1"/>
    <w:qFormat/>
    <w:uiPriority w:val="0"/>
    <w:pPr>
      <w:keepNext/>
      <w:keepLines/>
      <w:tabs>
        <w:tab w:val="left" w:pos="1584"/>
      </w:tabs>
      <w:adjustRightInd w:val="0"/>
      <w:snapToGrid w:val="0"/>
      <w:spacing w:before="240" w:after="64" w:line="317" w:lineRule="auto"/>
      <w:ind w:left="1584" w:hanging="1584"/>
      <w:outlineLvl w:val="8"/>
    </w:pPr>
    <w:rPr>
      <w:rFonts w:ascii="Arial" w:hAnsi="Arial" w:eastAsia="黑体"/>
      <w:b/>
      <w:sz w:val="24"/>
    </w:rPr>
  </w:style>
  <w:style w:type="character" w:default="1" w:styleId="61">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adjustRightInd w:val="0"/>
      <w:snapToGrid w:val="0"/>
      <w:spacing w:line="360" w:lineRule="auto"/>
      <w:ind w:left="100" w:leftChars="400" w:hanging="200" w:hangingChars="200"/>
    </w:pPr>
    <w:rPr>
      <w:sz w:val="24"/>
    </w:rPr>
  </w:style>
  <w:style w:type="paragraph" w:styleId="12">
    <w:name w:val="toc 7"/>
    <w:basedOn w:val="1"/>
    <w:next w:val="1"/>
    <w:qFormat/>
    <w:uiPriority w:val="0"/>
    <w:pPr>
      <w:ind w:left="2520" w:leftChars="1200"/>
    </w:pPr>
  </w:style>
  <w:style w:type="paragraph" w:styleId="13">
    <w:name w:val="List Number 2"/>
    <w:basedOn w:val="1"/>
    <w:qFormat/>
    <w:uiPriority w:val="0"/>
    <w:pPr>
      <w:numPr>
        <w:ilvl w:val="0"/>
        <w:numId w:val="1"/>
      </w:numPr>
      <w:tabs>
        <w:tab w:val="left" w:pos="780"/>
        <w:tab w:val="clear" w:pos="425"/>
      </w:tabs>
      <w:spacing w:line="360" w:lineRule="auto"/>
    </w:pPr>
    <w:rPr>
      <w:sz w:val="24"/>
    </w:rPr>
  </w:style>
  <w:style w:type="paragraph" w:styleId="14">
    <w:name w:val="table of authorities"/>
    <w:basedOn w:val="1"/>
    <w:next w:val="1"/>
    <w:qFormat/>
    <w:uiPriority w:val="0"/>
    <w:pPr>
      <w:ind w:left="420" w:leftChars="200"/>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kern w:val="0"/>
      <w:sz w:val="22"/>
    </w:rPr>
  </w:style>
  <w:style w:type="paragraph" w:styleId="16">
    <w:name w:val="Normal Indent"/>
    <w:basedOn w:val="1"/>
    <w:qFormat/>
    <w:uiPriority w:val="0"/>
    <w:pPr>
      <w:adjustRightInd w:val="0"/>
      <w:snapToGrid w:val="0"/>
      <w:spacing w:line="360" w:lineRule="auto"/>
      <w:ind w:firstLine="420"/>
    </w:pPr>
    <w:rPr>
      <w:sz w:val="24"/>
    </w:rPr>
  </w:style>
  <w:style w:type="paragraph" w:styleId="17">
    <w:name w:val="caption"/>
    <w:basedOn w:val="1"/>
    <w:next w:val="1"/>
    <w:qFormat/>
    <w:uiPriority w:val="0"/>
    <w:pPr>
      <w:widowControl/>
      <w:tabs>
        <w:tab w:val="left" w:pos="1134"/>
      </w:tabs>
      <w:adjustRightInd w:val="0"/>
      <w:snapToGrid w:val="0"/>
      <w:spacing w:line="280" w:lineRule="atLeast"/>
      <w:jc w:val="left"/>
    </w:pPr>
    <w:rPr>
      <w:rFonts w:eastAsia="PMingLiU"/>
      <w:b/>
      <w:kern w:val="0"/>
      <w:sz w:val="24"/>
      <w:lang w:eastAsia="zh-TW"/>
    </w:rPr>
  </w:style>
  <w:style w:type="paragraph" w:styleId="18">
    <w:name w:val="Document Map"/>
    <w:basedOn w:val="1"/>
    <w:qFormat/>
    <w:uiPriority w:val="0"/>
    <w:pPr>
      <w:shd w:val="clear" w:color="auto" w:fill="000080"/>
    </w:pPr>
  </w:style>
  <w:style w:type="paragraph" w:styleId="19">
    <w:name w:val="toa heading"/>
    <w:basedOn w:val="1"/>
    <w:next w:val="1"/>
    <w:qFormat/>
    <w:uiPriority w:val="0"/>
    <w:pPr>
      <w:spacing w:before="120"/>
    </w:pPr>
    <w:rPr>
      <w:rFonts w:ascii="Arial" w:hAnsi="Arial"/>
      <w:sz w:val="24"/>
    </w:rPr>
  </w:style>
  <w:style w:type="paragraph" w:styleId="20">
    <w:name w:val="annotation text"/>
    <w:basedOn w:val="1"/>
    <w:link w:val="71"/>
    <w:qFormat/>
    <w:uiPriority w:val="0"/>
    <w:pPr>
      <w:adjustRightInd w:val="0"/>
      <w:spacing w:line="360" w:lineRule="atLeast"/>
      <w:jc w:val="left"/>
      <w:textAlignment w:val="baseline"/>
    </w:pPr>
    <w:rPr>
      <w:kern w:val="0"/>
      <w:sz w:val="24"/>
    </w:rPr>
  </w:style>
  <w:style w:type="paragraph" w:styleId="21">
    <w:name w:val="Body Text 3"/>
    <w:basedOn w:val="1"/>
    <w:qFormat/>
    <w:uiPriority w:val="0"/>
    <w:pPr>
      <w:adjustRightInd w:val="0"/>
      <w:snapToGrid w:val="0"/>
      <w:spacing w:after="120" w:line="360" w:lineRule="auto"/>
    </w:pPr>
    <w:rPr>
      <w:sz w:val="16"/>
    </w:rPr>
  </w:style>
  <w:style w:type="paragraph" w:styleId="22">
    <w:name w:val="List Bullet 3"/>
    <w:basedOn w:val="1"/>
    <w:qFormat/>
    <w:uiPriority w:val="0"/>
    <w:pPr>
      <w:numPr>
        <w:ilvl w:val="0"/>
        <w:numId w:val="2"/>
      </w:numPr>
      <w:adjustRightInd w:val="0"/>
      <w:snapToGrid w:val="0"/>
      <w:spacing w:line="360" w:lineRule="auto"/>
    </w:pPr>
    <w:rPr>
      <w:sz w:val="24"/>
    </w:rPr>
  </w:style>
  <w:style w:type="paragraph" w:styleId="23">
    <w:name w:val="Body Text"/>
    <w:basedOn w:val="1"/>
    <w:next w:val="24"/>
    <w:qFormat/>
    <w:uiPriority w:val="0"/>
    <w:rPr>
      <w:rFonts w:ascii="仿宋_GB2312" w:eastAsia="仿宋_GB2312"/>
      <w:sz w:val="32"/>
    </w:rPr>
  </w:style>
  <w:style w:type="paragraph" w:styleId="24">
    <w:name w:val="Body Text Indent"/>
    <w:basedOn w:val="1"/>
    <w:link w:val="72"/>
    <w:qFormat/>
    <w:uiPriority w:val="0"/>
    <w:pPr>
      <w:spacing w:line="700" w:lineRule="exact"/>
      <w:ind w:left="960"/>
    </w:pPr>
    <w:rPr>
      <w:sz w:val="44"/>
    </w:rPr>
  </w:style>
  <w:style w:type="paragraph" w:styleId="25">
    <w:name w:val="List Number 3"/>
    <w:basedOn w:val="1"/>
    <w:qFormat/>
    <w:uiPriority w:val="0"/>
    <w:pPr>
      <w:tabs>
        <w:tab w:val="left" w:pos="2120"/>
      </w:tabs>
      <w:adjustRightInd w:val="0"/>
      <w:snapToGrid w:val="0"/>
      <w:spacing w:line="360" w:lineRule="auto"/>
      <w:ind w:left="2120" w:hanging="720"/>
    </w:pPr>
    <w:rPr>
      <w:sz w:val="24"/>
    </w:rPr>
  </w:style>
  <w:style w:type="paragraph" w:styleId="26">
    <w:name w:val="List 2"/>
    <w:basedOn w:val="1"/>
    <w:qFormat/>
    <w:uiPriority w:val="0"/>
    <w:pPr>
      <w:adjustRightInd w:val="0"/>
      <w:snapToGrid w:val="0"/>
      <w:spacing w:line="360" w:lineRule="auto"/>
      <w:ind w:left="100" w:leftChars="200" w:hanging="200" w:hangingChars="200"/>
    </w:pPr>
    <w:rPr>
      <w:sz w:val="24"/>
    </w:rPr>
  </w:style>
  <w:style w:type="paragraph" w:styleId="27">
    <w:name w:val="List Continue"/>
    <w:basedOn w:val="1"/>
    <w:qFormat/>
    <w:uiPriority w:val="0"/>
    <w:pPr>
      <w:adjustRightInd w:val="0"/>
      <w:snapToGrid w:val="0"/>
      <w:spacing w:after="120" w:line="360" w:lineRule="auto"/>
      <w:ind w:left="420" w:leftChars="200"/>
    </w:pPr>
    <w:rPr>
      <w:sz w:val="24"/>
    </w:rPr>
  </w:style>
  <w:style w:type="paragraph" w:styleId="28">
    <w:name w:val="List Bullet 2"/>
    <w:basedOn w:val="1"/>
    <w:qFormat/>
    <w:uiPriority w:val="0"/>
    <w:pPr>
      <w:numPr>
        <w:ilvl w:val="0"/>
        <w:numId w:val="3"/>
      </w:numPr>
      <w:adjustRightInd w:val="0"/>
      <w:snapToGrid w:val="0"/>
      <w:spacing w:line="360" w:lineRule="auto"/>
    </w:pPr>
    <w:rPr>
      <w:sz w:val="24"/>
    </w:rPr>
  </w:style>
  <w:style w:type="paragraph" w:styleId="29">
    <w:name w:val="toc 5"/>
    <w:basedOn w:val="1"/>
    <w:next w:val="1"/>
    <w:qFormat/>
    <w:uiPriority w:val="0"/>
    <w:pPr>
      <w:ind w:left="1680" w:leftChars="800"/>
    </w:pPr>
  </w:style>
  <w:style w:type="paragraph" w:styleId="30">
    <w:name w:val="toc 3"/>
    <w:basedOn w:val="1"/>
    <w:next w:val="1"/>
    <w:qFormat/>
    <w:uiPriority w:val="39"/>
    <w:pPr>
      <w:ind w:left="840" w:leftChars="400"/>
    </w:pPr>
  </w:style>
  <w:style w:type="paragraph" w:styleId="31">
    <w:name w:val="Plain Text"/>
    <w:basedOn w:val="1"/>
    <w:qFormat/>
    <w:uiPriority w:val="0"/>
    <w:rPr>
      <w:rFonts w:ascii="宋体" w:hAnsi="Courier New"/>
      <w:sz w:val="21"/>
    </w:rPr>
  </w:style>
  <w:style w:type="paragraph" w:styleId="32">
    <w:name w:val="toc 8"/>
    <w:basedOn w:val="1"/>
    <w:next w:val="1"/>
    <w:qFormat/>
    <w:uiPriority w:val="0"/>
    <w:pPr>
      <w:ind w:left="2940" w:leftChars="1400"/>
    </w:pPr>
  </w:style>
  <w:style w:type="paragraph" w:styleId="33">
    <w:name w:val="Date"/>
    <w:basedOn w:val="1"/>
    <w:next w:val="1"/>
    <w:link w:val="73"/>
    <w:qFormat/>
    <w:uiPriority w:val="0"/>
  </w:style>
  <w:style w:type="paragraph" w:styleId="34">
    <w:name w:val="Body Text Indent 2"/>
    <w:basedOn w:val="1"/>
    <w:link w:val="74"/>
    <w:qFormat/>
    <w:uiPriority w:val="0"/>
    <w:pPr>
      <w:snapToGrid w:val="0"/>
      <w:spacing w:line="560" w:lineRule="atLeast"/>
      <w:ind w:firstLine="540"/>
    </w:pPr>
  </w:style>
  <w:style w:type="paragraph" w:styleId="35">
    <w:name w:val="Balloon Text"/>
    <w:basedOn w:val="1"/>
    <w:qFormat/>
    <w:uiPriority w:val="0"/>
    <w:rPr>
      <w:sz w:val="18"/>
    </w:rPr>
  </w:style>
  <w:style w:type="paragraph" w:styleId="36">
    <w:name w:val="footer"/>
    <w:basedOn w:val="1"/>
    <w:qFormat/>
    <w:uiPriority w:val="0"/>
    <w:pPr>
      <w:tabs>
        <w:tab w:val="center" w:pos="4153"/>
        <w:tab w:val="right" w:pos="8306"/>
      </w:tabs>
      <w:snapToGrid w:val="0"/>
      <w:jc w:val="left"/>
    </w:pPr>
    <w:rPr>
      <w:sz w:val="18"/>
    </w:rPr>
  </w:style>
  <w:style w:type="paragraph" w:styleId="37">
    <w:name w:val="header"/>
    <w:basedOn w:val="1"/>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1680" w:leftChars="800"/>
    </w:pPr>
    <w:rPr>
      <w:sz w:val="24"/>
    </w:rPr>
  </w:style>
  <w:style w:type="paragraph" w:styleId="40">
    <w:name w:val="toc 4"/>
    <w:basedOn w:val="1"/>
    <w:next w:val="1"/>
    <w:qFormat/>
    <w:uiPriority w:val="0"/>
    <w:pPr>
      <w:ind w:left="1260" w:leftChars="600"/>
    </w:pPr>
  </w:style>
  <w:style w:type="paragraph" w:styleId="41">
    <w:name w:val="footnote text"/>
    <w:basedOn w:val="1"/>
    <w:link w:val="75"/>
    <w:qFormat/>
    <w:uiPriority w:val="0"/>
    <w:pPr>
      <w:spacing w:line="360" w:lineRule="auto"/>
    </w:pPr>
    <w:rPr>
      <w:sz w:val="18"/>
    </w:rPr>
  </w:style>
  <w:style w:type="paragraph" w:styleId="42">
    <w:name w:val="toc 6"/>
    <w:basedOn w:val="1"/>
    <w:next w:val="1"/>
    <w:qFormat/>
    <w:uiPriority w:val="0"/>
    <w:pPr>
      <w:ind w:left="2100" w:leftChars="1000"/>
    </w:pPr>
  </w:style>
  <w:style w:type="paragraph" w:styleId="43">
    <w:name w:val="List 5"/>
    <w:basedOn w:val="1"/>
    <w:qFormat/>
    <w:uiPriority w:val="0"/>
    <w:pPr>
      <w:adjustRightInd w:val="0"/>
      <w:snapToGrid w:val="0"/>
      <w:spacing w:line="360" w:lineRule="auto"/>
      <w:ind w:left="100" w:leftChars="800" w:hanging="200" w:hangingChars="200"/>
    </w:pPr>
    <w:rPr>
      <w:sz w:val="24"/>
    </w:rPr>
  </w:style>
  <w:style w:type="paragraph" w:styleId="44">
    <w:name w:val="Body Text Indent 3"/>
    <w:basedOn w:val="1"/>
    <w:qFormat/>
    <w:uiPriority w:val="0"/>
    <w:pPr>
      <w:spacing w:line="360" w:lineRule="auto"/>
      <w:ind w:firstLine="632"/>
    </w:pPr>
    <w:rPr>
      <w:rFonts w:ascii="黑体" w:eastAsia="黑体"/>
    </w:rPr>
  </w:style>
  <w:style w:type="paragraph" w:styleId="45">
    <w:name w:val="index 7"/>
    <w:basedOn w:val="1"/>
    <w:next w:val="1"/>
    <w:qFormat/>
    <w:uiPriority w:val="0"/>
    <w:pPr>
      <w:ind w:left="2520"/>
    </w:pPr>
  </w:style>
  <w:style w:type="paragraph" w:styleId="46">
    <w:name w:val="table of figures"/>
    <w:basedOn w:val="1"/>
    <w:next w:val="1"/>
    <w:qFormat/>
    <w:uiPriority w:val="0"/>
    <w:pPr>
      <w:tabs>
        <w:tab w:val="right" w:leader="dot" w:pos="8640"/>
      </w:tabs>
      <w:spacing w:line="360" w:lineRule="auto"/>
      <w:ind w:left="400" w:hanging="400"/>
    </w:pPr>
    <w:rPr>
      <w:sz w:val="24"/>
    </w:rPr>
  </w:style>
  <w:style w:type="paragraph" w:styleId="47">
    <w:name w:val="toc 2"/>
    <w:basedOn w:val="1"/>
    <w:next w:val="1"/>
    <w:qFormat/>
    <w:uiPriority w:val="39"/>
    <w:pPr>
      <w:ind w:left="420" w:leftChars="200"/>
    </w:pPr>
  </w:style>
  <w:style w:type="paragraph" w:styleId="48">
    <w:name w:val="toc 9"/>
    <w:basedOn w:val="1"/>
    <w:next w:val="1"/>
    <w:qFormat/>
    <w:uiPriority w:val="0"/>
    <w:pPr>
      <w:ind w:left="3360" w:leftChars="1600"/>
    </w:pPr>
  </w:style>
  <w:style w:type="paragraph" w:styleId="49">
    <w:name w:val="Body Text 2"/>
    <w:basedOn w:val="1"/>
    <w:qFormat/>
    <w:uiPriority w:val="0"/>
    <w:pPr>
      <w:adjustRightInd w:val="0"/>
      <w:snapToGrid w:val="0"/>
      <w:spacing w:after="120" w:line="480" w:lineRule="auto"/>
    </w:pPr>
    <w:rPr>
      <w:sz w:val="24"/>
    </w:rPr>
  </w:style>
  <w:style w:type="paragraph" w:styleId="50">
    <w:name w:val="List 4"/>
    <w:basedOn w:val="1"/>
    <w:qFormat/>
    <w:uiPriority w:val="0"/>
    <w:pPr>
      <w:adjustRightInd w:val="0"/>
      <w:snapToGrid w:val="0"/>
      <w:spacing w:line="360" w:lineRule="auto"/>
      <w:ind w:left="100" w:leftChars="600" w:hanging="200" w:hangingChars="200"/>
    </w:pPr>
    <w:rPr>
      <w:sz w:val="24"/>
    </w:rPr>
  </w:style>
  <w:style w:type="paragraph" w:styleId="51">
    <w:name w:val="List Continue 2"/>
    <w:basedOn w:val="1"/>
    <w:qFormat/>
    <w:uiPriority w:val="0"/>
    <w:pPr>
      <w:adjustRightInd w:val="0"/>
      <w:snapToGrid w:val="0"/>
      <w:spacing w:after="120" w:line="360" w:lineRule="auto"/>
      <w:ind w:left="840" w:leftChars="400"/>
    </w:pPr>
    <w:rPr>
      <w:sz w:val="24"/>
    </w:rPr>
  </w:style>
  <w:style w:type="paragraph" w:styleId="52">
    <w:name w:val="Normal (Web)"/>
    <w:basedOn w:val="1"/>
    <w:qFormat/>
    <w:uiPriority w:val="0"/>
    <w:pPr>
      <w:widowControl/>
      <w:spacing w:before="100" w:beforeAutospacing="1" w:after="100" w:afterAutospacing="1"/>
      <w:jc w:val="left"/>
    </w:pPr>
    <w:rPr>
      <w:rFonts w:ascii="宋体" w:hAnsi="宋体"/>
      <w:kern w:val="0"/>
      <w:sz w:val="24"/>
    </w:rPr>
  </w:style>
  <w:style w:type="paragraph" w:styleId="53">
    <w:name w:val="List Continue 3"/>
    <w:basedOn w:val="1"/>
    <w:qFormat/>
    <w:uiPriority w:val="0"/>
    <w:pPr>
      <w:adjustRightInd w:val="0"/>
      <w:snapToGrid w:val="0"/>
      <w:spacing w:after="120" w:line="360" w:lineRule="auto"/>
      <w:ind w:left="1260" w:leftChars="600"/>
    </w:pPr>
    <w:rPr>
      <w:sz w:val="24"/>
    </w:rPr>
  </w:style>
  <w:style w:type="paragraph" w:styleId="54">
    <w:name w:val="index 1"/>
    <w:basedOn w:val="1"/>
    <w:next w:val="1"/>
    <w:qFormat/>
    <w:uiPriority w:val="0"/>
    <w:pPr>
      <w:adjustRightInd w:val="0"/>
      <w:spacing w:line="240" w:lineRule="atLeast"/>
      <w:textAlignment w:val="baseline"/>
    </w:pPr>
    <w:rPr>
      <w:rFonts w:ascii="宋体"/>
      <w:kern w:val="0"/>
      <w:sz w:val="21"/>
    </w:rPr>
  </w:style>
  <w:style w:type="paragraph" w:styleId="55">
    <w:name w:val="Title"/>
    <w:basedOn w:val="1"/>
    <w:next w:val="1"/>
    <w:qFormat/>
    <w:uiPriority w:val="0"/>
    <w:pPr>
      <w:widowControl/>
      <w:spacing w:after="240" w:line="360" w:lineRule="auto"/>
      <w:jc w:val="center"/>
    </w:pPr>
    <w:rPr>
      <w:rFonts w:ascii="Arial" w:hAnsi="Arial"/>
      <w:b/>
      <w:smallCaps/>
      <w:kern w:val="28"/>
      <w:sz w:val="36"/>
      <w:lang w:eastAsia="en-US"/>
    </w:rPr>
  </w:style>
  <w:style w:type="paragraph" w:styleId="56">
    <w:name w:val="annotation subject"/>
    <w:basedOn w:val="20"/>
    <w:next w:val="20"/>
    <w:link w:val="76"/>
    <w:qFormat/>
    <w:uiPriority w:val="0"/>
    <w:pPr>
      <w:adjustRightInd/>
      <w:spacing w:line="240" w:lineRule="auto"/>
      <w:textAlignment w:val="auto"/>
    </w:pPr>
  </w:style>
  <w:style w:type="paragraph" w:styleId="57">
    <w:name w:val="Body Text First Indent"/>
    <w:basedOn w:val="23"/>
    <w:qFormat/>
    <w:uiPriority w:val="0"/>
    <w:pPr>
      <w:spacing w:line="360" w:lineRule="auto"/>
      <w:ind w:firstLine="420"/>
    </w:pPr>
    <w:rPr>
      <w:rFonts w:ascii="宋体" w:hAnsi="宋体"/>
      <w:sz w:val="24"/>
    </w:rPr>
  </w:style>
  <w:style w:type="paragraph" w:styleId="58">
    <w:name w:val="Body Text First Indent 2"/>
    <w:basedOn w:val="1"/>
    <w:next w:val="1"/>
    <w:link w:val="77"/>
    <w:qFormat/>
    <w:uiPriority w:val="0"/>
    <w:pPr>
      <w:spacing w:after="120"/>
      <w:ind w:left="420" w:leftChars="200" w:firstLine="420" w:firstLineChars="200"/>
    </w:pPr>
  </w:style>
  <w:style w:type="table" w:styleId="60">
    <w:name w:val="Table Grid"/>
    <w:basedOn w:val="5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2">
    <w:name w:val="Strong"/>
    <w:qFormat/>
    <w:uiPriority w:val="22"/>
    <w:rPr>
      <w:b/>
    </w:rPr>
  </w:style>
  <w:style w:type="character" w:styleId="63">
    <w:name w:val="page number"/>
    <w:basedOn w:val="61"/>
    <w:qFormat/>
    <w:uiPriority w:val="0"/>
  </w:style>
  <w:style w:type="character" w:styleId="64">
    <w:name w:val="FollowedHyperlink"/>
    <w:qFormat/>
    <w:uiPriority w:val="0"/>
    <w:rPr>
      <w:color w:val="333333"/>
      <w:u w:val="none"/>
    </w:rPr>
  </w:style>
  <w:style w:type="character" w:styleId="65">
    <w:name w:val="Emphasis"/>
    <w:qFormat/>
    <w:uiPriority w:val="0"/>
    <w:rPr>
      <w:i/>
    </w:rPr>
  </w:style>
  <w:style w:type="character" w:styleId="66">
    <w:name w:val="Hyperlink"/>
    <w:qFormat/>
    <w:uiPriority w:val="99"/>
    <w:rPr>
      <w:color w:val="333333"/>
      <w:u w:val="none"/>
    </w:rPr>
  </w:style>
  <w:style w:type="character" w:styleId="67">
    <w:name w:val="annotation reference"/>
    <w:qFormat/>
    <w:uiPriority w:val="0"/>
    <w:rPr>
      <w:sz w:val="21"/>
      <w:szCs w:val="21"/>
    </w:rPr>
  </w:style>
  <w:style w:type="character" w:styleId="68">
    <w:name w:val="footnote reference"/>
    <w:qFormat/>
    <w:uiPriority w:val="0"/>
    <w:rPr>
      <w:position w:val="6"/>
      <w:sz w:val="14"/>
      <w:vertAlign w:val="superscript"/>
    </w:rPr>
  </w:style>
  <w:style w:type="character" w:customStyle="1" w:styleId="69">
    <w:name w:val="标题 2 Char"/>
    <w:link w:val="3"/>
    <w:qFormat/>
    <w:uiPriority w:val="0"/>
    <w:rPr>
      <w:rFonts w:ascii="Arial" w:hAnsi="Arial" w:eastAsia="黑体"/>
      <w:b/>
      <w:kern w:val="2"/>
      <w:sz w:val="32"/>
    </w:rPr>
  </w:style>
  <w:style w:type="character" w:customStyle="1" w:styleId="70">
    <w:name w:val="标题 3 Char"/>
    <w:link w:val="4"/>
    <w:qFormat/>
    <w:uiPriority w:val="0"/>
    <w:rPr>
      <w:rFonts w:eastAsia="宋体"/>
      <w:b/>
      <w:kern w:val="2"/>
      <w:sz w:val="32"/>
      <w:lang w:val="en-US" w:eastAsia="zh-CN"/>
    </w:rPr>
  </w:style>
  <w:style w:type="character" w:customStyle="1" w:styleId="71">
    <w:name w:val="批注文字 Char"/>
    <w:link w:val="20"/>
    <w:qFormat/>
    <w:uiPriority w:val="0"/>
    <w:rPr>
      <w:sz w:val="24"/>
    </w:rPr>
  </w:style>
  <w:style w:type="character" w:customStyle="1" w:styleId="72">
    <w:name w:val="正文文本缩进 Char"/>
    <w:link w:val="24"/>
    <w:qFormat/>
    <w:uiPriority w:val="0"/>
    <w:rPr>
      <w:kern w:val="2"/>
      <w:sz w:val="44"/>
    </w:rPr>
  </w:style>
  <w:style w:type="character" w:customStyle="1" w:styleId="73">
    <w:name w:val="日期 Char"/>
    <w:link w:val="33"/>
    <w:qFormat/>
    <w:uiPriority w:val="0"/>
    <w:rPr>
      <w:kern w:val="2"/>
      <w:sz w:val="28"/>
    </w:rPr>
  </w:style>
  <w:style w:type="character" w:customStyle="1" w:styleId="74">
    <w:name w:val="正文文本缩进 2 Char"/>
    <w:link w:val="34"/>
    <w:qFormat/>
    <w:uiPriority w:val="0"/>
    <w:rPr>
      <w:kern w:val="2"/>
      <w:sz w:val="28"/>
    </w:rPr>
  </w:style>
  <w:style w:type="character" w:customStyle="1" w:styleId="75">
    <w:name w:val="脚注文本 Char"/>
    <w:link w:val="41"/>
    <w:qFormat/>
    <w:uiPriority w:val="0"/>
    <w:rPr>
      <w:kern w:val="2"/>
      <w:sz w:val="18"/>
    </w:rPr>
  </w:style>
  <w:style w:type="character" w:customStyle="1" w:styleId="76">
    <w:name w:val="批注主题 Char"/>
    <w:link w:val="56"/>
    <w:qFormat/>
    <w:uiPriority w:val="0"/>
  </w:style>
  <w:style w:type="character" w:customStyle="1" w:styleId="77">
    <w:name w:val="正文首行缩进 2 Char"/>
    <w:link w:val="58"/>
    <w:qFormat/>
    <w:uiPriority w:val="0"/>
  </w:style>
  <w:style w:type="character" w:customStyle="1" w:styleId="78">
    <w:name w:val="Char Char2"/>
    <w:qFormat/>
    <w:uiPriority w:val="0"/>
    <w:rPr>
      <w:rFonts w:eastAsia="宋体"/>
      <w:kern w:val="2"/>
      <w:sz w:val="18"/>
      <w:lang w:val="en-US" w:eastAsia="zh-CN"/>
    </w:rPr>
  </w:style>
  <w:style w:type="character" w:customStyle="1" w:styleId="79">
    <w:name w:val="content-white1"/>
    <w:qFormat/>
    <w:uiPriority w:val="0"/>
    <w:rPr>
      <w:rFonts w:ascii="_x000B__x000C_" w:hAnsi="_x000B__x000C_"/>
      <w:color w:val="auto"/>
      <w:sz w:val="18"/>
      <w:u w:val="none"/>
    </w:rPr>
  </w:style>
  <w:style w:type="character" w:customStyle="1" w:styleId="80">
    <w:name w:val="H2 Char"/>
    <w:qFormat/>
    <w:uiPriority w:val="0"/>
    <w:rPr>
      <w:rFonts w:ascii="Arial" w:hAnsi="Arial" w:eastAsia="宋体"/>
      <w:kern w:val="2"/>
      <w:sz w:val="28"/>
      <w:lang w:val="en-US" w:eastAsia="zh-CN"/>
    </w:rPr>
  </w:style>
  <w:style w:type="character" w:customStyle="1" w:styleId="81">
    <w:name w:val="crowed11"/>
    <w:qFormat/>
    <w:uiPriority w:val="0"/>
    <w:rPr>
      <w:rFonts w:hint="default" w:ascii="_x000B__x000C_" w:hAnsi="_x000B__x000C_"/>
      <w:sz w:val="24"/>
    </w:rPr>
  </w:style>
  <w:style w:type="character" w:customStyle="1" w:styleId="82">
    <w:name w:val="top-det1"/>
    <w:qFormat/>
    <w:uiPriority w:val="0"/>
    <w:rPr>
      <w:b/>
      <w:color w:val="000000"/>
    </w:rPr>
  </w:style>
  <w:style w:type="character" w:customStyle="1" w:styleId="83">
    <w:name w:val="Table Text Char"/>
    <w:link w:val="84"/>
    <w:qFormat/>
    <w:uiPriority w:val="0"/>
    <w:rPr>
      <w:rFonts w:ascii="Arial" w:hAnsi="Arial"/>
      <w:kern w:val="2"/>
      <w:sz w:val="18"/>
      <w:lang w:val="en-US" w:eastAsia="zh-CN" w:bidi="ar-SA"/>
    </w:rPr>
  </w:style>
  <w:style w:type="paragraph" w:customStyle="1" w:styleId="84">
    <w:name w:val="Table Text"/>
    <w:link w:val="83"/>
    <w:qFormat/>
    <w:uiPriority w:val="0"/>
    <w:pPr>
      <w:snapToGrid w:val="0"/>
      <w:spacing w:before="80" w:after="80"/>
    </w:pPr>
    <w:rPr>
      <w:rFonts w:ascii="Arial" w:hAnsi="Arial" w:eastAsia="宋体" w:cs="Times New Roman"/>
      <w:kern w:val="2"/>
      <w:sz w:val="18"/>
      <w:lang w:val="en-US" w:eastAsia="zh-CN" w:bidi="ar-SA"/>
    </w:rPr>
  </w:style>
  <w:style w:type="character" w:customStyle="1" w:styleId="85">
    <w:name w:val="Char Char3"/>
    <w:qFormat/>
    <w:uiPriority w:val="0"/>
    <w:rPr>
      <w:rFonts w:eastAsia="宋体"/>
      <w:kern w:val="2"/>
      <w:sz w:val="18"/>
      <w:lang w:val="en-US" w:eastAsia="zh-CN"/>
    </w:rPr>
  </w:style>
  <w:style w:type="character" w:customStyle="1" w:styleId="86">
    <w:name w:val="NormalCharacter"/>
    <w:qFormat/>
    <w:uiPriority w:val="0"/>
  </w:style>
  <w:style w:type="character" w:customStyle="1" w:styleId="87">
    <w:name w:val="标书正文:  0.74 厘米 Char1"/>
    <w:qFormat/>
    <w:uiPriority w:val="0"/>
    <w:rPr>
      <w:rFonts w:eastAsia="宋体"/>
      <w:kern w:val="2"/>
      <w:sz w:val="24"/>
      <w:lang w:val="en-US" w:eastAsia="zh-CN"/>
    </w:rPr>
  </w:style>
  <w:style w:type="character" w:customStyle="1" w:styleId="88">
    <w:name w:val="小 Char"/>
    <w:qFormat/>
    <w:uiPriority w:val="0"/>
    <w:rPr>
      <w:rFonts w:ascii="宋体" w:hAnsi="Courier New" w:eastAsia="宋体"/>
      <w:kern w:val="2"/>
      <w:sz w:val="21"/>
      <w:lang w:val="en-US" w:eastAsia="zh-CN" w:bidi="ar-SA"/>
    </w:rPr>
  </w:style>
  <w:style w:type="character" w:customStyle="1" w:styleId="89">
    <w:name w:val="Char Char5"/>
    <w:qFormat/>
    <w:uiPriority w:val="0"/>
    <w:rPr>
      <w:rFonts w:ascii="Arial" w:hAnsi="Arial" w:eastAsia="宋体"/>
      <w:b/>
      <w:smallCaps/>
      <w:kern w:val="28"/>
      <w:sz w:val="36"/>
      <w:lang w:val="en-US" w:eastAsia="en-US"/>
    </w:rPr>
  </w:style>
  <w:style w:type="character" w:customStyle="1" w:styleId="90">
    <w:name w:val="正文 + 三号 Char"/>
    <w:qFormat/>
    <w:uiPriority w:val="0"/>
    <w:rPr>
      <w:rFonts w:eastAsia="宋体"/>
      <w:kern w:val="2"/>
      <w:sz w:val="21"/>
      <w:lang w:val="en-US" w:eastAsia="zh-CN"/>
    </w:rPr>
  </w:style>
  <w:style w:type="character" w:customStyle="1" w:styleId="91">
    <w:name w:val="Char Char"/>
    <w:qFormat/>
    <w:uiPriority w:val="0"/>
    <w:rPr>
      <w:rFonts w:ascii="宋体" w:hAnsi="宋体" w:eastAsia="宋体"/>
      <w:kern w:val="2"/>
      <w:sz w:val="24"/>
      <w:lang w:val="en-US" w:eastAsia="zh-CN" w:bidi="ar-SA"/>
    </w:rPr>
  </w:style>
  <w:style w:type="character" w:customStyle="1" w:styleId="92">
    <w:name w:val="v151"/>
    <w:qFormat/>
    <w:uiPriority w:val="0"/>
    <w:rPr>
      <w:sz w:val="18"/>
    </w:rPr>
  </w:style>
  <w:style w:type="character" w:customStyle="1" w:styleId="93">
    <w:name w:val="UserStyle_34"/>
    <w:link w:val="94"/>
    <w:qFormat/>
    <w:uiPriority w:val="0"/>
    <w:rPr>
      <w:rFonts w:ascii="宋体" w:hAnsi="Calibri"/>
      <w:kern w:val="0"/>
      <w:sz w:val="20"/>
    </w:rPr>
  </w:style>
  <w:style w:type="paragraph" w:customStyle="1" w:styleId="94">
    <w:name w:val="Heading1"/>
    <w:basedOn w:val="1"/>
    <w:next w:val="1"/>
    <w:link w:val="93"/>
    <w:qFormat/>
    <w:uiPriority w:val="0"/>
    <w:pPr>
      <w:keepNext/>
      <w:widowControl/>
      <w:snapToGrid w:val="0"/>
      <w:spacing w:line="360" w:lineRule="atLeast"/>
      <w:textAlignment w:val="baseline"/>
    </w:pPr>
    <w:rPr>
      <w:rFonts w:ascii="宋体" w:hAnsi="Calibri"/>
      <w:kern w:val="0"/>
      <w:sz w:val="20"/>
    </w:rPr>
  </w:style>
  <w:style w:type="character" w:customStyle="1" w:styleId="95">
    <w:name w:val="Table Text Char1 Char"/>
    <w:qFormat/>
    <w:uiPriority w:val="0"/>
    <w:rPr>
      <w:rFonts w:ascii="Arial" w:hAnsi="Arial"/>
      <w:kern w:val="2"/>
      <w:sz w:val="18"/>
      <w:lang w:val="en-US" w:eastAsia="zh-CN" w:bidi="ar-SA"/>
    </w:rPr>
  </w:style>
  <w:style w:type="character" w:customStyle="1" w:styleId="96">
    <w:name w:val="Table Text Char Char Char Char"/>
    <w:link w:val="97"/>
    <w:qFormat/>
    <w:uiPriority w:val="0"/>
    <w:rPr>
      <w:rFonts w:ascii="Arial" w:hAnsi="Arial"/>
      <w:kern w:val="2"/>
      <w:sz w:val="18"/>
      <w:lang w:val="en-US" w:eastAsia="zh-CN" w:bidi="ar-SA"/>
    </w:rPr>
  </w:style>
  <w:style w:type="paragraph" w:customStyle="1" w:styleId="97">
    <w:name w:val="Table Text Char Char Char"/>
    <w:link w:val="96"/>
    <w:qFormat/>
    <w:uiPriority w:val="0"/>
    <w:pPr>
      <w:snapToGrid w:val="0"/>
      <w:spacing w:before="80" w:after="80"/>
    </w:pPr>
    <w:rPr>
      <w:rFonts w:ascii="Arial" w:hAnsi="Arial" w:eastAsia="宋体" w:cs="Times New Roman"/>
      <w:kern w:val="2"/>
      <w:sz w:val="18"/>
      <w:lang w:val="en-US" w:eastAsia="zh-CN" w:bidi="ar-SA"/>
    </w:rPr>
  </w:style>
  <w:style w:type="character" w:customStyle="1" w:styleId="98">
    <w:name w:val="未命名11"/>
    <w:qFormat/>
    <w:uiPriority w:val="0"/>
    <w:rPr>
      <w:color w:val="77FFFF"/>
      <w:sz w:val="24"/>
    </w:rPr>
  </w:style>
  <w:style w:type="character" w:customStyle="1" w:styleId="99">
    <w:name w:val="样式 宋体"/>
    <w:qFormat/>
    <w:uiPriority w:val="0"/>
    <w:rPr>
      <w:rFonts w:ascii="宋体" w:hAnsi="宋体" w:eastAsia="宋体"/>
      <w:sz w:val="28"/>
    </w:rPr>
  </w:style>
  <w:style w:type="character" w:customStyle="1" w:styleId="100">
    <w:name w:val="Char Char6"/>
    <w:qFormat/>
    <w:uiPriority w:val="0"/>
    <w:rPr>
      <w:rFonts w:ascii="仿宋_GB2312" w:eastAsia="仿宋_GB2312"/>
      <w:kern w:val="2"/>
      <w:sz w:val="32"/>
    </w:rPr>
  </w:style>
  <w:style w:type="character" w:customStyle="1" w:styleId="101">
    <w:name w:val="Char Char7"/>
    <w:qFormat/>
    <w:uiPriority w:val="0"/>
    <w:rPr>
      <w:rFonts w:ascii="宋体" w:hAnsi="宋体" w:eastAsia="宋体"/>
      <w:kern w:val="2"/>
      <w:sz w:val="28"/>
    </w:rPr>
  </w:style>
  <w:style w:type="character" w:customStyle="1" w:styleId="102">
    <w:name w:val="Char Char11"/>
    <w:qFormat/>
    <w:uiPriority w:val="0"/>
    <w:rPr>
      <w:rFonts w:ascii="宋体"/>
      <w:kern w:val="2"/>
      <w:sz w:val="28"/>
    </w:rPr>
  </w:style>
  <w:style w:type="character" w:customStyle="1" w:styleId="103">
    <w:name w:val="Table Heading Char Char"/>
    <w:qFormat/>
    <w:uiPriority w:val="0"/>
    <w:rPr>
      <w:rFonts w:ascii="Arial" w:hAnsi="Arial" w:eastAsia="黑体"/>
      <w:kern w:val="2"/>
      <w:sz w:val="18"/>
      <w:lang w:val="en-US" w:eastAsia="zh-CN"/>
    </w:rPr>
  </w:style>
  <w:style w:type="character" w:customStyle="1" w:styleId="104">
    <w:name w:val="title_emph1"/>
    <w:qFormat/>
    <w:uiPriority w:val="0"/>
    <w:rPr>
      <w:rFonts w:hint="default" w:ascii="Arial" w:hAnsi="Arial"/>
      <w:b/>
      <w:sz w:val="20"/>
    </w:rPr>
  </w:style>
  <w:style w:type="character" w:customStyle="1" w:styleId="105">
    <w:name w:val="文字 Char"/>
    <w:link w:val="106"/>
    <w:qFormat/>
    <w:uiPriority w:val="0"/>
    <w:rPr>
      <w:rFonts w:ascii="宋体"/>
      <w:kern w:val="2"/>
      <w:sz w:val="28"/>
    </w:rPr>
  </w:style>
  <w:style w:type="paragraph" w:customStyle="1" w:styleId="106">
    <w:name w:val="文字"/>
    <w:basedOn w:val="1"/>
    <w:link w:val="105"/>
    <w:qFormat/>
    <w:uiPriority w:val="0"/>
    <w:pPr>
      <w:tabs>
        <w:tab w:val="left" w:pos="8520"/>
      </w:tabs>
      <w:spacing w:line="312" w:lineRule="auto"/>
      <w:ind w:right="-210" w:firstLine="556"/>
    </w:pPr>
    <w:rPr>
      <w:rFonts w:ascii="宋体"/>
    </w:rPr>
  </w:style>
  <w:style w:type="character" w:customStyle="1" w:styleId="107">
    <w:name w:val="font1"/>
    <w:qFormat/>
    <w:uiPriority w:val="0"/>
    <w:rPr>
      <w:color w:val="000000"/>
      <w:sz w:val="18"/>
    </w:rPr>
  </w:style>
  <w:style w:type="character" w:customStyle="1" w:styleId="108">
    <w:name w:val="Char Char4"/>
    <w:qFormat/>
    <w:uiPriority w:val="0"/>
    <w:rPr>
      <w:rFonts w:eastAsia="宋体"/>
      <w:b/>
      <w:kern w:val="2"/>
      <w:sz w:val="21"/>
      <w:lang w:val="en-US" w:eastAsia="zh-CN"/>
    </w:rPr>
  </w:style>
  <w:style w:type="paragraph" w:customStyle="1" w:styleId="109">
    <w:name w:val="Char Char1"/>
    <w:basedOn w:val="1"/>
    <w:qFormat/>
    <w:uiPriority w:val="0"/>
    <w:pPr>
      <w:widowControl/>
      <w:spacing w:after="160" w:line="240" w:lineRule="exact"/>
      <w:jc w:val="left"/>
    </w:pPr>
    <w:rPr>
      <w:rFonts w:ascii="Verdana" w:hAnsi="Verdana"/>
      <w:kern w:val="0"/>
      <w:sz w:val="20"/>
      <w:lang w:eastAsia="en-US"/>
    </w:rPr>
  </w:style>
  <w:style w:type="paragraph" w:customStyle="1" w:styleId="110">
    <w:name w:val="二级列表"/>
    <w:basedOn w:val="111"/>
    <w:next w:val="111"/>
    <w:qFormat/>
    <w:uiPriority w:val="0"/>
    <w:pPr>
      <w:tabs>
        <w:tab w:val="left" w:pos="2120"/>
      </w:tabs>
      <w:ind w:firstLine="0" w:firstLineChars="0"/>
    </w:pPr>
    <w:rPr>
      <w:b/>
    </w:rPr>
  </w:style>
  <w:style w:type="paragraph" w:customStyle="1" w:styleId="111">
    <w:name w:val="段落正文"/>
    <w:basedOn w:val="1"/>
    <w:qFormat/>
    <w:uiPriority w:val="0"/>
    <w:pPr>
      <w:spacing w:before="156" w:beforeLines="50" w:line="360" w:lineRule="auto"/>
      <w:ind w:firstLine="200" w:firstLineChars="200"/>
    </w:pPr>
    <w:rPr>
      <w:spacing w:val="2"/>
      <w:sz w:val="24"/>
    </w:rPr>
  </w:style>
  <w:style w:type="paragraph" w:customStyle="1" w:styleId="112">
    <w:name w:val="Note"/>
    <w:basedOn w:val="1"/>
    <w:qFormat/>
    <w:uiPriority w:val="0"/>
    <w:pPr>
      <w:pBdr>
        <w:top w:val="single" w:color="auto" w:sz="12" w:space="3"/>
        <w:bottom w:val="single" w:color="auto" w:sz="12" w:space="3"/>
      </w:pBdr>
      <w:spacing w:line="360" w:lineRule="auto"/>
    </w:pPr>
    <w:rPr>
      <w:sz w:val="24"/>
    </w:rPr>
  </w:style>
  <w:style w:type="paragraph" w:customStyle="1" w:styleId="113">
    <w:name w:val="默认段落字体 Para Char Char Char Char Char Char Char Char Char1 Char Char Char Char"/>
    <w:basedOn w:val="1"/>
    <w:qFormat/>
    <w:uiPriority w:val="0"/>
    <w:rPr>
      <w:rFonts w:ascii="Tahoma" w:hAnsi="Tahoma"/>
      <w:sz w:val="24"/>
    </w:rPr>
  </w:style>
  <w:style w:type="paragraph" w:customStyle="1" w:styleId="114">
    <w:name w:val="表文字"/>
    <w:qFormat/>
    <w:uiPriority w:val="0"/>
    <w:rPr>
      <w:rFonts w:ascii="宋体" w:hAnsi="Times New Roman" w:eastAsia="宋体" w:cs="Times New Roman"/>
      <w:kern w:val="2"/>
      <w:lang w:val="en-US" w:eastAsia="zh-CN" w:bidi="ar-SA"/>
    </w:rPr>
  </w:style>
  <w:style w:type="paragraph" w:customStyle="1" w:styleId="115">
    <w:name w:val="表头样式"/>
    <w:basedOn w:val="1"/>
    <w:qFormat/>
    <w:uiPriority w:val="0"/>
    <w:pPr>
      <w:autoSpaceDE w:val="0"/>
      <w:autoSpaceDN w:val="0"/>
      <w:adjustRightInd w:val="0"/>
      <w:spacing w:line="360" w:lineRule="auto"/>
      <w:jc w:val="left"/>
    </w:pPr>
    <w:rPr>
      <w:b/>
      <w:kern w:val="0"/>
      <w:sz w:val="21"/>
    </w:rPr>
  </w:style>
  <w:style w:type="paragraph" w:customStyle="1" w:styleId="116">
    <w:name w:val="Heading4"/>
    <w:basedOn w:val="1"/>
    <w:next w:val="1"/>
    <w:qFormat/>
    <w:uiPriority w:val="0"/>
    <w:pPr>
      <w:keepNext/>
      <w:keepLines/>
      <w:widowControl/>
      <w:spacing w:before="280" w:after="290" w:line="372" w:lineRule="auto"/>
      <w:textAlignment w:val="baseline"/>
    </w:pPr>
    <w:rPr>
      <w:rFonts w:ascii="Arial" w:hAnsi="Arial" w:eastAsia="黑体"/>
      <w:b/>
    </w:rPr>
  </w:style>
  <w:style w:type="paragraph" w:customStyle="1" w:styleId="117">
    <w:name w:val="文章正文"/>
    <w:basedOn w:val="1"/>
    <w:qFormat/>
    <w:uiPriority w:val="0"/>
    <w:pPr>
      <w:ind w:firstLine="560" w:firstLineChars="200"/>
    </w:pPr>
    <w:rPr>
      <w:rFonts w:ascii="仿宋_GB2312" w:hAnsi="宋体" w:eastAsia="仿宋_GB2312"/>
      <w:color w:val="000000"/>
    </w:rPr>
  </w:style>
  <w:style w:type="paragraph" w:customStyle="1" w:styleId="118">
    <w:name w:val="文本1"/>
    <w:basedOn w:val="1"/>
    <w:qFormat/>
    <w:uiPriority w:val="0"/>
    <w:pPr>
      <w:adjustRightInd w:val="0"/>
      <w:spacing w:line="312" w:lineRule="atLeast"/>
      <w:jc w:val="center"/>
      <w:textAlignment w:val="baseline"/>
    </w:pPr>
    <w:rPr>
      <w:kern w:val="0"/>
      <w:sz w:val="18"/>
    </w:rPr>
  </w:style>
  <w:style w:type="paragraph" w:customStyle="1" w:styleId="119">
    <w:name w:val="样式 标题 1章标题Heading 0Section HeadPIM 1H1h11st levell11H1..."/>
    <w:basedOn w:val="2"/>
    <w:qFormat/>
    <w:uiPriority w:val="0"/>
    <w:pPr>
      <w:keepLines/>
      <w:pageBreakBefore/>
      <w:tabs>
        <w:tab w:val="left" w:pos="432"/>
      </w:tabs>
      <w:autoSpaceDE w:val="0"/>
      <w:autoSpaceDN w:val="0"/>
      <w:adjustRightInd w:val="0"/>
      <w:spacing w:before="340" w:after="330" w:line="578" w:lineRule="atLeast"/>
      <w:textAlignment w:val="bottom"/>
    </w:pPr>
    <w:rPr>
      <w:rFonts w:hAnsi="宋体" w:eastAsia="黑体"/>
      <w:b/>
      <w:kern w:val="44"/>
      <w:sz w:val="36"/>
    </w:rPr>
  </w:style>
  <w:style w:type="paragraph" w:customStyle="1" w:styleId="120">
    <w:name w:val="Char Char Char1 Char Char Char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121">
    <w:name w:val="样式 样式 正文首行缩进 2 + 左  0 字符 + 首行缩进:  2.57 字符"/>
    <w:basedOn w:val="1"/>
    <w:next w:val="1"/>
    <w:qFormat/>
    <w:uiPriority w:val="0"/>
    <w:pPr>
      <w:adjustRightInd w:val="0"/>
      <w:snapToGrid w:val="0"/>
      <w:spacing w:after="120"/>
      <w:ind w:firstLine="540" w:firstLineChars="257"/>
    </w:pPr>
    <w:rPr>
      <w:sz w:val="21"/>
    </w:rPr>
  </w:style>
  <w:style w:type="paragraph" w:customStyle="1" w:styleId="122">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124">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125">
    <w:name w:val="Style Heading 3h3Heading 3 - oldLevel 3 HeadH3level_3PIM 3se..."/>
    <w:basedOn w:val="4"/>
    <w:qFormat/>
    <w:uiPriority w:val="0"/>
    <w:pPr>
      <w:tabs>
        <w:tab w:val="left" w:pos="709"/>
        <w:tab w:val="left" w:pos="1620"/>
      </w:tabs>
      <w:ind w:left="1620" w:hanging="360"/>
    </w:pPr>
  </w:style>
  <w:style w:type="paragraph" w:customStyle="1" w:styleId="126">
    <w:name w:val="Table Contents"/>
    <w:basedOn w:val="23"/>
    <w:qFormat/>
    <w:uiPriority w:val="0"/>
    <w:pPr>
      <w:suppressAutoHyphens/>
      <w:jc w:val="left"/>
    </w:pPr>
    <w:rPr>
      <w:rFonts w:ascii="Times New Roman" w:eastAsia="Times New Roman"/>
      <w:kern w:val="0"/>
      <w:sz w:val="24"/>
    </w:rPr>
  </w:style>
  <w:style w:type="paragraph" w:customStyle="1" w:styleId="127">
    <w:name w:val="Title - Revision"/>
    <w:basedOn w:val="55"/>
    <w:qFormat/>
    <w:uiPriority w:val="0"/>
    <w:pPr>
      <w:spacing w:before="720"/>
    </w:pPr>
  </w:style>
  <w:style w:type="paragraph" w:customStyle="1" w:styleId="128">
    <w:name w:val="二级条标题"/>
    <w:basedOn w:val="129"/>
    <w:next w:val="131"/>
    <w:qFormat/>
    <w:uiPriority w:val="0"/>
    <w:pPr>
      <w:ind w:left="840"/>
      <w:outlineLvl w:val="3"/>
    </w:pPr>
  </w:style>
  <w:style w:type="paragraph" w:customStyle="1" w:styleId="129">
    <w:name w:val="一级条标题"/>
    <w:basedOn w:val="130"/>
    <w:next w:val="131"/>
    <w:qFormat/>
    <w:uiPriority w:val="0"/>
    <w:pPr>
      <w:numPr>
        <w:numId w:val="0"/>
      </w:numPr>
      <w:spacing w:before="0" w:beforeLines="0" w:after="0" w:afterLines="0"/>
      <w:ind w:left="525"/>
      <w:outlineLvl w:val="2"/>
    </w:pPr>
    <w:rPr>
      <w:sz w:val="21"/>
    </w:rPr>
  </w:style>
  <w:style w:type="paragraph" w:customStyle="1" w:styleId="130">
    <w:name w:val="章标题"/>
    <w:next w:val="1"/>
    <w:qFormat/>
    <w:uiPriority w:val="0"/>
    <w:pPr>
      <w:numPr>
        <w:ilvl w:val="1"/>
        <w:numId w:val="4"/>
      </w:numPr>
      <w:spacing w:before="156" w:beforeLines="50" w:after="156" w:afterLines="50"/>
      <w:ind w:left="0"/>
      <w:jc w:val="both"/>
      <w:outlineLvl w:val="1"/>
    </w:pPr>
    <w:rPr>
      <w:rFonts w:ascii="黑体" w:hAnsi="Times New Roman" w:eastAsia="黑体" w:cs="Times New Roman"/>
      <w:sz w:val="24"/>
      <w:lang w:val="en-US" w:eastAsia="zh-CN" w:bidi="ar-SA"/>
    </w:rPr>
  </w:style>
  <w:style w:type="paragraph" w:customStyle="1" w:styleId="13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2">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3">
    <w:name w:val="Char Char1 Char"/>
    <w:basedOn w:val="1"/>
    <w:qFormat/>
    <w:uiPriority w:val="0"/>
    <w:rPr>
      <w:rFonts w:ascii="Tahoma" w:hAnsi="Tahoma"/>
      <w:sz w:val="24"/>
      <w:szCs w:val="24"/>
    </w:rPr>
  </w:style>
  <w:style w:type="paragraph" w:customStyle="1" w:styleId="134">
    <w:name w:val="列表项目"/>
    <w:basedOn w:val="1"/>
    <w:qFormat/>
    <w:uiPriority w:val="0"/>
    <w:pPr>
      <w:tabs>
        <w:tab w:val="left" w:pos="420"/>
      </w:tabs>
      <w:spacing w:line="288" w:lineRule="auto"/>
      <w:ind w:left="840" w:leftChars="200" w:hanging="420" w:hangingChars="200"/>
    </w:pPr>
    <w:rPr>
      <w:sz w:val="21"/>
    </w:rPr>
  </w:style>
  <w:style w:type="paragraph" w:customStyle="1" w:styleId="135">
    <w:name w:val="正文文本缩进 21"/>
    <w:basedOn w:val="1"/>
    <w:qFormat/>
    <w:uiPriority w:val="0"/>
    <w:pPr>
      <w:adjustRightInd w:val="0"/>
      <w:spacing w:before="120"/>
      <w:ind w:firstLine="420"/>
      <w:textAlignment w:val="baseline"/>
    </w:pPr>
    <w:rPr>
      <w:sz w:val="24"/>
    </w:rPr>
  </w:style>
  <w:style w:type="paragraph" w:customStyle="1" w:styleId="136">
    <w:name w:val="表格内文字"/>
    <w:basedOn w:val="31"/>
    <w:qFormat/>
    <w:uiPriority w:val="0"/>
    <w:pPr>
      <w:adjustRightInd w:val="0"/>
    </w:pPr>
    <w:rPr>
      <w:color w:val="000000"/>
      <w:lang w:val="en-GB"/>
    </w:rPr>
  </w:style>
  <w:style w:type="paragraph" w:customStyle="1" w:styleId="137">
    <w:name w:val="图片文字"/>
    <w:basedOn w:val="1"/>
    <w:qFormat/>
    <w:uiPriority w:val="0"/>
    <w:pPr>
      <w:spacing w:line="240" w:lineRule="atLeast"/>
      <w:jc w:val="center"/>
    </w:pPr>
    <w:rPr>
      <w:sz w:val="21"/>
    </w:rPr>
  </w:style>
  <w:style w:type="paragraph" w:customStyle="1" w:styleId="138">
    <w:name w:val="Char Char Char Char"/>
    <w:basedOn w:val="1"/>
    <w:qFormat/>
    <w:uiPriority w:val="0"/>
    <w:pPr>
      <w:pageBreakBefore/>
      <w:widowControl/>
      <w:spacing w:after="160" w:line="240" w:lineRule="exact"/>
      <w:jc w:val="left"/>
    </w:pPr>
    <w:rPr>
      <w:rFonts w:ascii="Verdana" w:hAnsi="Verdana"/>
      <w:kern w:val="0"/>
      <w:sz w:val="20"/>
      <w:lang w:eastAsia="en-US"/>
    </w:rPr>
  </w:style>
  <w:style w:type="paragraph" w:customStyle="1" w:styleId="139">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140">
    <w:name w:val="Char Char Char Char Char Char1 Char"/>
    <w:basedOn w:val="1"/>
    <w:qFormat/>
    <w:uiPriority w:val="0"/>
    <w:pPr>
      <w:widowControl/>
      <w:spacing w:after="160" w:line="240" w:lineRule="exact"/>
      <w:jc w:val="left"/>
    </w:pPr>
    <w:rPr>
      <w:rFonts w:ascii="Verdana" w:hAnsi="Verdana"/>
      <w:kern w:val="0"/>
      <w:sz w:val="21"/>
      <w:lang w:eastAsia="en-US"/>
    </w:rPr>
  </w:style>
  <w:style w:type="paragraph" w:customStyle="1" w:styleId="141">
    <w:name w:val="编号正文"/>
    <w:basedOn w:val="142"/>
    <w:qFormat/>
    <w:uiPriority w:val="0"/>
    <w:pPr>
      <w:snapToGrid/>
      <w:spacing w:line="360" w:lineRule="auto"/>
      <w:ind w:left="1407" w:hanging="1047"/>
      <w:jc w:val="left"/>
    </w:pPr>
    <w:rPr>
      <w:rFonts w:eastAsia="仿宋_GB2312"/>
    </w:rPr>
  </w:style>
  <w:style w:type="paragraph" w:customStyle="1" w:styleId="142">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43">
    <w:name w:val="默认段落字体 Para Char Char Char Char Char Char Char"/>
    <w:basedOn w:val="1"/>
    <w:qFormat/>
    <w:uiPriority w:val="0"/>
    <w:rPr>
      <w:rFonts w:ascii="Tahoma" w:hAnsi="Tahoma"/>
      <w:sz w:val="24"/>
    </w:rPr>
  </w:style>
  <w:style w:type="paragraph" w:customStyle="1" w:styleId="144">
    <w:name w:val="附录2"/>
    <w:basedOn w:val="1"/>
    <w:next w:val="1"/>
    <w:qFormat/>
    <w:uiPriority w:val="0"/>
    <w:pPr>
      <w:tabs>
        <w:tab w:val="left" w:pos="420"/>
        <w:tab w:val="left" w:pos="624"/>
      </w:tabs>
      <w:ind w:left="420" w:hanging="420"/>
      <w:outlineLvl w:val="1"/>
    </w:pPr>
    <w:rPr>
      <w:rFonts w:ascii="黑体" w:hAnsi="黑体" w:eastAsia="黑体"/>
      <w:b/>
      <w:sz w:val="32"/>
    </w:rPr>
  </w:style>
  <w:style w:type="paragraph" w:customStyle="1" w:styleId="145">
    <w:name w:val="样式4"/>
    <w:basedOn w:val="5"/>
    <w:qFormat/>
    <w:uiPriority w:val="0"/>
    <w:pPr>
      <w:adjustRightInd w:val="0"/>
      <w:snapToGrid w:val="0"/>
    </w:pPr>
  </w:style>
  <w:style w:type="paragraph" w:customStyle="1" w:styleId="146">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47">
    <w:name w:val="标题2"/>
    <w:basedOn w:val="3"/>
    <w:qFormat/>
    <w:uiPriority w:val="0"/>
    <w:pPr>
      <w:keepNext w:val="0"/>
      <w:keepLines w:val="0"/>
      <w:adjustRightInd w:val="0"/>
      <w:snapToGrid w:val="0"/>
      <w:spacing w:before="0" w:after="0" w:line="360" w:lineRule="auto"/>
      <w:ind w:firstLine="574" w:firstLineChars="196"/>
      <w:outlineLvl w:val="9"/>
    </w:pPr>
    <w:rPr>
      <w:rFonts w:ascii="宋体" w:hAnsi="宋体" w:eastAsia="宋体"/>
      <w:spacing w:val="6"/>
      <w:sz w:val="28"/>
      <w:u w:val="single"/>
    </w:rPr>
  </w:style>
  <w:style w:type="paragraph" w:customStyle="1" w:styleId="148">
    <w:name w:val="CSS1级正文 Char"/>
    <w:basedOn w:val="23"/>
    <w:qFormat/>
    <w:uiPriority w:val="0"/>
    <w:pPr>
      <w:adjustRightInd w:val="0"/>
      <w:snapToGrid w:val="0"/>
      <w:spacing w:line="360" w:lineRule="auto"/>
      <w:ind w:firstLine="480"/>
    </w:pPr>
    <w:rPr>
      <w:rFonts w:ascii="Times New Roman" w:eastAsia="宋体"/>
      <w:sz w:val="24"/>
    </w:rPr>
  </w:style>
  <w:style w:type="paragraph" w:customStyle="1" w:styleId="149">
    <w:name w:val="Item List"/>
    <w:qFormat/>
    <w:uiPriority w:val="0"/>
    <w:pPr>
      <w:numPr>
        <w:ilvl w:val="0"/>
        <w:numId w:val="5"/>
      </w:numPr>
      <w:spacing w:line="300" w:lineRule="auto"/>
      <w:jc w:val="both"/>
    </w:pPr>
    <w:rPr>
      <w:rFonts w:ascii="Arial" w:hAnsi="Arial" w:eastAsia="宋体" w:cs="Times New Roman"/>
      <w:sz w:val="21"/>
      <w:lang w:val="en-US" w:eastAsia="zh-CN" w:bidi="ar-SA"/>
    </w:rPr>
  </w:style>
  <w:style w:type="paragraph" w:customStyle="1" w:styleId="150">
    <w:name w:val="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51">
    <w:name w:val="正文 + 三号"/>
    <w:basedOn w:val="1"/>
    <w:qFormat/>
    <w:uiPriority w:val="0"/>
    <w:rPr>
      <w:sz w:val="21"/>
    </w:rPr>
  </w:style>
  <w:style w:type="paragraph" w:customStyle="1" w:styleId="152">
    <w:name w:val="首行缩进"/>
    <w:basedOn w:val="1"/>
    <w:qFormat/>
    <w:uiPriority w:val="0"/>
    <w:pPr>
      <w:numPr>
        <w:ilvl w:val="0"/>
        <w:numId w:val="6"/>
      </w:numPr>
      <w:spacing w:line="360" w:lineRule="auto"/>
    </w:pPr>
    <w:rPr>
      <w:rFonts w:eastAsia="仿宋_GB2312"/>
    </w:rPr>
  </w:style>
  <w:style w:type="paragraph" w:customStyle="1" w:styleId="153">
    <w:name w:val="1.正文"/>
    <w:basedOn w:val="1"/>
    <w:qFormat/>
    <w:uiPriority w:val="0"/>
    <w:pPr>
      <w:spacing w:line="360" w:lineRule="auto"/>
      <w:ind w:left="540" w:leftChars="225" w:firstLine="540" w:firstLineChars="225"/>
    </w:pPr>
    <w:rPr>
      <w:sz w:val="24"/>
    </w:rPr>
  </w:style>
  <w:style w:type="paragraph" w:customStyle="1" w:styleId="154">
    <w:name w:val="摘要"/>
    <w:basedOn w:val="1"/>
    <w:next w:val="3"/>
    <w:qFormat/>
    <w:uiPriority w:val="0"/>
    <w:pPr>
      <w:spacing w:line="360" w:lineRule="auto"/>
    </w:pPr>
    <w:rPr>
      <w:rFonts w:eastAsia="黑体"/>
      <w:sz w:val="20"/>
    </w:rPr>
  </w:style>
  <w:style w:type="paragraph" w:customStyle="1" w:styleId="155">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56">
    <w:name w:val="Char Char Char Char Char Char Char"/>
    <w:basedOn w:val="18"/>
    <w:qFormat/>
    <w:uiPriority w:val="0"/>
    <w:rPr>
      <w:rFonts w:ascii="宋体" w:hAnsi="Tahoma"/>
    </w:rPr>
  </w:style>
  <w:style w:type="paragraph" w:customStyle="1" w:styleId="157">
    <w:name w:val="Char Char Char Char Char"/>
    <w:basedOn w:val="1"/>
    <w:qFormat/>
    <w:uiPriority w:val="0"/>
    <w:pPr>
      <w:numPr>
        <w:ilvl w:val="0"/>
        <w:numId w:val="7"/>
      </w:numPr>
      <w:tabs>
        <w:tab w:val="left" w:pos="425"/>
        <w:tab w:val="clear" w:pos="1620"/>
      </w:tabs>
    </w:pPr>
    <w:rPr>
      <w:rFonts w:ascii="Tahoma" w:hAnsi="Tahoma"/>
      <w:sz w:val="24"/>
    </w:rPr>
  </w:style>
  <w:style w:type="paragraph" w:customStyle="1" w:styleId="158">
    <w:name w:val="Char Char Char Char Char Char Char1"/>
    <w:basedOn w:val="1"/>
    <w:qFormat/>
    <w:uiPriority w:val="0"/>
    <w:rPr>
      <w:rFonts w:ascii="Tahoma" w:hAnsi="Tahoma"/>
      <w:sz w:val="24"/>
    </w:rPr>
  </w:style>
  <w:style w:type="paragraph" w:customStyle="1" w:styleId="159">
    <w:name w:val="正文字缩2字"/>
    <w:basedOn w:val="1"/>
    <w:qFormat/>
    <w:uiPriority w:val="0"/>
    <w:pPr>
      <w:spacing w:before="60" w:after="60" w:line="360" w:lineRule="auto"/>
      <w:ind w:left="200" w:leftChars="200" w:firstLine="200" w:firstLineChars="200"/>
    </w:pPr>
    <w:rPr>
      <w:sz w:val="24"/>
    </w:rPr>
  </w:style>
  <w:style w:type="paragraph" w:customStyle="1" w:styleId="160">
    <w:name w:val="表格文本"/>
    <w:qFormat/>
    <w:uiPriority w:val="0"/>
    <w:pPr>
      <w:tabs>
        <w:tab w:val="decimal" w:pos="0"/>
      </w:tabs>
    </w:pPr>
    <w:rPr>
      <w:rFonts w:ascii="Arial" w:hAnsi="Arial" w:eastAsia="宋体" w:cs="Times New Roman"/>
      <w:sz w:val="21"/>
      <w:lang w:val="en-US" w:eastAsia="zh-CN" w:bidi="ar-SA"/>
    </w:rPr>
  </w:style>
  <w:style w:type="paragraph" w:customStyle="1" w:styleId="161">
    <w:name w:val="关键词"/>
    <w:basedOn w:val="1"/>
    <w:next w:val="1"/>
    <w:qFormat/>
    <w:uiPriority w:val="0"/>
    <w:pPr>
      <w:spacing w:line="360" w:lineRule="auto"/>
    </w:pPr>
    <w:rPr>
      <w:rFonts w:eastAsia="黑体"/>
      <w:sz w:val="20"/>
    </w:rPr>
  </w:style>
  <w:style w:type="paragraph" w:customStyle="1" w:styleId="162">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63">
    <w:name w:val="00"/>
    <w:basedOn w:val="1"/>
    <w:qFormat/>
    <w:uiPriority w:val="0"/>
    <w:pPr>
      <w:autoSpaceDE w:val="0"/>
      <w:autoSpaceDN w:val="0"/>
      <w:adjustRightInd w:val="0"/>
      <w:jc w:val="left"/>
    </w:pPr>
    <w:rPr>
      <w:rFonts w:ascii="黑体" w:eastAsia="黑体"/>
      <w:b/>
      <w:kern w:val="0"/>
      <w:sz w:val="20"/>
    </w:rPr>
  </w:style>
  <w:style w:type="paragraph" w:customStyle="1" w:styleId="164">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165">
    <w:name w:val="样式 正文缩进正文（首行缩进两字）表正文正文非缩进特点标题4段1 + 首行缩进:  2 字符"/>
    <w:basedOn w:val="16"/>
    <w:qFormat/>
    <w:uiPriority w:val="0"/>
    <w:pPr>
      <w:ind w:firstLine="480" w:firstLineChars="200"/>
    </w:pPr>
  </w:style>
  <w:style w:type="paragraph" w:customStyle="1" w:styleId="166">
    <w:name w:val="正文1"/>
    <w:basedOn w:val="1"/>
    <w:qFormat/>
    <w:uiPriority w:val="0"/>
    <w:pPr>
      <w:spacing w:line="300" w:lineRule="auto"/>
      <w:ind w:firstLine="200" w:firstLineChars="200"/>
    </w:pPr>
    <w:rPr>
      <w:sz w:val="24"/>
    </w:rPr>
  </w:style>
  <w:style w:type="paragraph" w:customStyle="1" w:styleId="167">
    <w:name w:val="样式1xz"/>
    <w:basedOn w:val="1"/>
    <w:qFormat/>
    <w:uiPriority w:val="0"/>
    <w:pPr>
      <w:tabs>
        <w:tab w:val="left" w:pos="1050"/>
        <w:tab w:val="right" w:leader="dot" w:pos="8296"/>
      </w:tabs>
    </w:pPr>
    <w:rPr>
      <w:caps/>
      <w:spacing w:val="20"/>
      <w:sz w:val="24"/>
    </w:rPr>
  </w:style>
  <w:style w:type="paragraph" w:customStyle="1" w:styleId="168">
    <w:name w:val="附录3"/>
    <w:basedOn w:val="1"/>
    <w:next w:val="1"/>
    <w:qFormat/>
    <w:uiPriority w:val="0"/>
    <w:pPr>
      <w:tabs>
        <w:tab w:val="left" w:pos="851"/>
      </w:tabs>
      <w:ind w:left="425" w:hanging="425"/>
      <w:outlineLvl w:val="2"/>
    </w:pPr>
    <w:rPr>
      <w:rFonts w:eastAsia="黑体"/>
      <w:b/>
      <w:sz w:val="32"/>
    </w:rPr>
  </w:style>
  <w:style w:type="paragraph" w:customStyle="1" w:styleId="169">
    <w:name w:val="标书正文:  0.74 厘米"/>
    <w:basedOn w:val="1"/>
    <w:qFormat/>
    <w:uiPriority w:val="0"/>
    <w:pPr>
      <w:snapToGrid w:val="0"/>
      <w:spacing w:line="360" w:lineRule="auto"/>
      <w:ind w:firstLine="420"/>
    </w:pPr>
    <w:rPr>
      <w:sz w:val="24"/>
    </w:rPr>
  </w:style>
  <w:style w:type="paragraph" w:customStyle="1" w:styleId="170">
    <w:name w:val="_"/>
    <w:basedOn w:val="1"/>
    <w:qFormat/>
    <w:uiPriority w:val="0"/>
    <w:pPr>
      <w:adjustRightInd w:val="0"/>
      <w:spacing w:line="360" w:lineRule="auto"/>
      <w:ind w:left="480" w:firstLine="200" w:firstLineChars="200"/>
      <w:textAlignment w:val="baseline"/>
    </w:pPr>
    <w:rPr>
      <w:kern w:val="0"/>
      <w:sz w:val="24"/>
    </w:rPr>
  </w:style>
  <w:style w:type="paragraph" w:customStyle="1" w:styleId="171">
    <w:name w:val="简单回函地址"/>
    <w:basedOn w:val="1"/>
    <w:qFormat/>
    <w:uiPriority w:val="0"/>
    <w:pPr>
      <w:adjustRightInd w:val="0"/>
      <w:snapToGrid w:val="0"/>
      <w:spacing w:line="360" w:lineRule="auto"/>
    </w:pPr>
    <w:rPr>
      <w:sz w:val="24"/>
    </w:rPr>
  </w:style>
  <w:style w:type="paragraph" w:customStyle="1" w:styleId="17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73">
    <w:name w:val="样式 标题 1 + 居中 段前: 6 磅 段后: 6 磅 行距: 1.5 倍行距"/>
    <w:basedOn w:val="2"/>
    <w:qFormat/>
    <w:uiPriority w:val="0"/>
    <w:pPr>
      <w:keepLines/>
      <w:adjustRightInd w:val="0"/>
      <w:spacing w:before="120" w:after="120" w:line="360" w:lineRule="auto"/>
      <w:jc w:val="center"/>
    </w:pPr>
    <w:rPr>
      <w:rFonts w:ascii="Times New Roman"/>
      <w:b/>
      <w:kern w:val="44"/>
      <w:sz w:val="32"/>
    </w:rPr>
  </w:style>
  <w:style w:type="paragraph" w:customStyle="1" w:styleId="174">
    <w:name w:val="Char2 Char Char Char Char Char Char"/>
    <w:basedOn w:val="1"/>
    <w:qFormat/>
    <w:uiPriority w:val="0"/>
    <w:rPr>
      <w:rFonts w:ascii="仿宋_GB2312"/>
      <w:b/>
      <w:sz w:val="30"/>
    </w:rPr>
  </w:style>
  <w:style w:type="paragraph" w:customStyle="1" w:styleId="175">
    <w:name w:val="样式 仿宋_GB2312 首行缩进:  2 字符"/>
    <w:basedOn w:val="1"/>
    <w:qFormat/>
    <w:uiPriority w:val="0"/>
    <w:pPr>
      <w:spacing w:line="600" w:lineRule="exact"/>
      <w:ind w:firstLine="420" w:firstLineChars="150"/>
      <w:jc w:val="left"/>
    </w:pPr>
    <w:rPr>
      <w:rFonts w:ascii="仿宋_GB2312" w:hAnsi="Arial" w:eastAsia="仿宋_GB2312"/>
      <w:color w:val="000000"/>
      <w:kern w:val="0"/>
      <w:lang w:val="zh-CN"/>
    </w:rPr>
  </w:style>
  <w:style w:type="paragraph" w:customStyle="1" w:styleId="176">
    <w:name w:val="Figure Description"/>
    <w:next w:val="1"/>
    <w:qFormat/>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17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78">
    <w:name w:val="样式 样式 首行缩进:  2 字符 + 首行缩进:  2 字符"/>
    <w:basedOn w:val="1"/>
    <w:qFormat/>
    <w:uiPriority w:val="0"/>
    <w:pPr>
      <w:numPr>
        <w:ilvl w:val="0"/>
        <w:numId w:val="8"/>
      </w:numPr>
      <w:tabs>
        <w:tab w:val="clear" w:pos="1230"/>
      </w:tabs>
      <w:spacing w:line="360" w:lineRule="auto"/>
      <w:ind w:firstLine="480" w:firstLineChars="200"/>
    </w:pPr>
    <w:rPr>
      <w:sz w:val="24"/>
    </w:rPr>
  </w:style>
  <w:style w:type="paragraph" w:customStyle="1" w:styleId="179">
    <w:name w:val="È±Ê¡ÎÄ±¾"/>
    <w:basedOn w:val="1"/>
    <w:qFormat/>
    <w:uiPriority w:val="0"/>
    <w:pPr>
      <w:widowControl/>
      <w:overflowPunct w:val="0"/>
      <w:autoSpaceDE w:val="0"/>
      <w:autoSpaceDN w:val="0"/>
      <w:adjustRightInd w:val="0"/>
      <w:jc w:val="left"/>
      <w:textAlignment w:val="baseline"/>
    </w:pPr>
    <w:rPr>
      <w:kern w:val="0"/>
      <w:sz w:val="24"/>
    </w:rPr>
  </w:style>
  <w:style w:type="paragraph" w:customStyle="1" w:styleId="180">
    <w:name w:val="Heading5"/>
    <w:basedOn w:val="1"/>
    <w:next w:val="1"/>
    <w:qFormat/>
    <w:uiPriority w:val="0"/>
    <w:pPr>
      <w:keepNext/>
      <w:keepLines/>
      <w:widowControl/>
      <w:tabs>
        <w:tab w:val="left" w:pos="2551"/>
      </w:tabs>
      <w:spacing w:before="280" w:after="290" w:line="372" w:lineRule="auto"/>
      <w:ind w:left="2551" w:hanging="850"/>
      <w:textAlignment w:val="baseline"/>
    </w:pPr>
    <w:rPr>
      <w:b/>
    </w:rPr>
  </w:style>
  <w:style w:type="paragraph" w:customStyle="1" w:styleId="181">
    <w:name w:val="Char Char Char"/>
    <w:basedOn w:val="1"/>
    <w:qFormat/>
    <w:uiPriority w:val="0"/>
    <w:rPr>
      <w:rFonts w:ascii="Tahoma" w:hAnsi="Tahoma"/>
      <w:sz w:val="24"/>
    </w:rPr>
  </w:style>
  <w:style w:type="paragraph" w:customStyle="1" w:styleId="182">
    <w:name w:val="文本框样式1"/>
    <w:basedOn w:val="1"/>
    <w:qFormat/>
    <w:uiPriority w:val="0"/>
    <w:pPr>
      <w:adjustRightInd w:val="0"/>
      <w:snapToGrid w:val="0"/>
      <w:spacing w:before="60" w:line="180" w:lineRule="exact"/>
      <w:jc w:val="center"/>
    </w:pPr>
    <w:rPr>
      <w:sz w:val="21"/>
    </w:rPr>
  </w:style>
  <w:style w:type="paragraph" w:customStyle="1" w:styleId="183">
    <w:name w:val="_Style 198"/>
    <w:qFormat/>
    <w:uiPriority w:val="0"/>
    <w:rPr>
      <w:rFonts w:ascii="Times New Roman" w:hAnsi="Times New Roman" w:eastAsia="宋体" w:cs="Times New Roman"/>
      <w:kern w:val="2"/>
      <w:sz w:val="21"/>
      <w:lang w:val="en-US" w:eastAsia="zh-CN" w:bidi="ar-SA"/>
    </w:rPr>
  </w:style>
  <w:style w:type="paragraph" w:customStyle="1" w:styleId="184">
    <w:name w:val="Item Step in Table"/>
    <w:qFormat/>
    <w:uiPriority w:val="0"/>
    <w:pPr>
      <w:numPr>
        <w:ilvl w:val="0"/>
        <w:numId w:val="4"/>
      </w:numPr>
      <w:tabs>
        <w:tab w:val="left" w:pos="397"/>
      </w:tabs>
      <w:spacing w:before="40" w:after="40"/>
      <w:jc w:val="both"/>
    </w:pPr>
    <w:rPr>
      <w:rFonts w:ascii="Arial" w:hAnsi="Arial" w:eastAsia="宋体" w:cs="Times New Roman"/>
      <w:sz w:val="18"/>
      <w:lang w:val="en-US" w:eastAsia="zh-CN" w:bidi="ar-SA"/>
    </w:rPr>
  </w:style>
  <w:style w:type="paragraph" w:customStyle="1" w:styleId="185">
    <w:name w:val="Char"/>
    <w:basedOn w:val="1"/>
    <w:qFormat/>
    <w:uiPriority w:val="0"/>
    <w:pPr>
      <w:spacing w:line="240" w:lineRule="atLeast"/>
      <w:ind w:left="420" w:firstLine="420"/>
    </w:pPr>
    <w:rPr>
      <w:kern w:val="0"/>
      <w:sz w:val="21"/>
    </w:rPr>
  </w:style>
  <w:style w:type="paragraph" w:customStyle="1" w:styleId="186">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7">
    <w:name w:val="标题无"/>
    <w:basedOn w:val="1"/>
    <w:qFormat/>
    <w:uiPriority w:val="0"/>
    <w:pPr>
      <w:spacing w:line="360" w:lineRule="auto"/>
    </w:pPr>
    <w:rPr>
      <w:sz w:val="24"/>
    </w:rPr>
  </w:style>
  <w:style w:type="paragraph" w:customStyle="1" w:styleId="188">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189">
    <w:name w:val="首行缩进 1"/>
    <w:basedOn w:val="1"/>
    <w:qFormat/>
    <w:uiPriority w:val="0"/>
    <w:pPr>
      <w:spacing w:after="120" w:line="360" w:lineRule="auto"/>
      <w:ind w:firstLine="200" w:firstLineChars="200"/>
    </w:pPr>
    <w:rPr>
      <w:sz w:val="24"/>
    </w:rPr>
  </w:style>
  <w:style w:type="paragraph" w:customStyle="1" w:styleId="190">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191">
    <w:name w:val="Table Text Char Char"/>
    <w:qFormat/>
    <w:uiPriority w:val="0"/>
    <w:pPr>
      <w:snapToGrid w:val="0"/>
      <w:spacing w:before="80" w:after="80"/>
    </w:pPr>
    <w:rPr>
      <w:rFonts w:ascii="Arial" w:hAnsi="Arial" w:eastAsia="宋体" w:cs="Times New Roman"/>
      <w:kern w:val="2"/>
      <w:sz w:val="18"/>
      <w:lang w:val="en-US" w:eastAsia="zh-CN" w:bidi="ar-SA"/>
    </w:rPr>
  </w:style>
  <w:style w:type="paragraph" w:customStyle="1" w:styleId="19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193">
    <w:name w:val="Char1 Char Char Char"/>
    <w:basedOn w:val="1"/>
    <w:qFormat/>
    <w:uiPriority w:val="0"/>
    <w:rPr>
      <w:rFonts w:ascii="Tahoma" w:hAnsi="Tahoma"/>
      <w:sz w:val="30"/>
    </w:rPr>
  </w:style>
  <w:style w:type="paragraph" w:customStyle="1" w:styleId="194">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95">
    <w:name w:val="缺省文本"/>
    <w:basedOn w:val="1"/>
    <w:qFormat/>
    <w:uiPriority w:val="0"/>
    <w:pPr>
      <w:tabs>
        <w:tab w:val="left" w:pos="1260"/>
      </w:tabs>
      <w:autoSpaceDE w:val="0"/>
      <w:autoSpaceDN w:val="0"/>
      <w:adjustRightInd w:val="0"/>
      <w:spacing w:line="360" w:lineRule="auto"/>
      <w:jc w:val="left"/>
    </w:pPr>
    <w:rPr>
      <w:kern w:val="0"/>
      <w:sz w:val="24"/>
    </w:rPr>
  </w:style>
  <w:style w:type="paragraph" w:customStyle="1" w:styleId="196">
    <w:name w:val="正文（首行不缩进）"/>
    <w:basedOn w:val="1"/>
    <w:qFormat/>
    <w:uiPriority w:val="0"/>
    <w:pPr>
      <w:autoSpaceDE w:val="0"/>
      <w:autoSpaceDN w:val="0"/>
      <w:adjustRightInd w:val="0"/>
      <w:spacing w:line="360" w:lineRule="auto"/>
      <w:jc w:val="left"/>
    </w:pPr>
    <w:rPr>
      <w:kern w:val="0"/>
      <w:sz w:val="21"/>
    </w:rPr>
  </w:style>
  <w:style w:type="paragraph" w:customStyle="1" w:styleId="197">
    <w:name w:val="Char Char Char Char Char Char Char Char Char Char Char Char Char Char Char Char"/>
    <w:basedOn w:val="1"/>
    <w:qFormat/>
    <w:uiPriority w:val="0"/>
    <w:pPr>
      <w:tabs>
        <w:tab w:val="left" w:pos="360"/>
      </w:tabs>
    </w:pPr>
    <w:rPr>
      <w:sz w:val="24"/>
    </w:rPr>
  </w:style>
  <w:style w:type="paragraph" w:customStyle="1" w:styleId="198">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199">
    <w:name w:val="标准正文"/>
    <w:basedOn w:val="24"/>
    <w:qFormat/>
    <w:uiPriority w:val="0"/>
    <w:pPr>
      <w:spacing w:before="60" w:after="60" w:line="360" w:lineRule="auto"/>
      <w:ind w:left="0" w:firstLine="482"/>
    </w:pPr>
    <w:rPr>
      <w:rFonts w:ascii="Arial" w:hAnsi="Arial"/>
      <w:sz w:val="24"/>
    </w:rPr>
  </w:style>
  <w:style w:type="paragraph" w:customStyle="1" w:styleId="200">
    <w:name w:val="1"/>
    <w:basedOn w:val="1"/>
    <w:next w:val="31"/>
    <w:qFormat/>
    <w:uiPriority w:val="0"/>
    <w:rPr>
      <w:rFonts w:ascii="宋体" w:hAnsi="Courier New"/>
      <w:sz w:val="21"/>
    </w:rPr>
  </w:style>
  <w:style w:type="paragraph" w:customStyle="1" w:styleId="201">
    <w:name w:val="标题5"/>
    <w:basedOn w:val="1"/>
    <w:qFormat/>
    <w:uiPriority w:val="0"/>
    <w:pPr>
      <w:tabs>
        <w:tab w:val="left" w:pos="0"/>
      </w:tabs>
      <w:autoSpaceDE w:val="0"/>
      <w:autoSpaceDN w:val="0"/>
      <w:adjustRightInd w:val="0"/>
      <w:snapToGrid w:val="0"/>
      <w:spacing w:line="320" w:lineRule="atLeast"/>
    </w:pPr>
    <w:rPr>
      <w:rFonts w:ascii="宋体"/>
      <w:kern w:val="0"/>
      <w:sz w:val="21"/>
    </w:rPr>
  </w:style>
  <w:style w:type="paragraph" w:customStyle="1" w:styleId="202">
    <w:name w:val="司法正文"/>
    <w:qFormat/>
    <w:uiPriority w:val="0"/>
    <w:pPr>
      <w:widowControl w:val="0"/>
      <w:ind w:firstLine="200" w:firstLineChars="200"/>
      <w:jc w:val="both"/>
    </w:pPr>
    <w:rPr>
      <w:rFonts w:ascii="Times New Roman" w:hAnsi="Times New Roman" w:eastAsia="仿宋_GB2312" w:cs="Times New Roman"/>
      <w:sz w:val="32"/>
      <w:lang w:val="en-US" w:eastAsia="zh-CN" w:bidi="ar-SA"/>
    </w:rPr>
  </w:style>
  <w:style w:type="paragraph" w:customStyle="1" w:styleId="203">
    <w:name w:val="Table Text Char1"/>
    <w:qFormat/>
    <w:uiPriority w:val="0"/>
    <w:pPr>
      <w:snapToGrid w:val="0"/>
      <w:spacing w:before="80" w:after="80"/>
    </w:pPr>
    <w:rPr>
      <w:rFonts w:ascii="Arial" w:hAnsi="Arial" w:eastAsia="宋体" w:cs="Times New Roman"/>
      <w:kern w:val="2"/>
      <w:sz w:val="18"/>
      <w:lang w:val="en-US" w:eastAsia="zh-CN" w:bidi="ar-SA"/>
    </w:rPr>
  </w:style>
  <w:style w:type="paragraph" w:customStyle="1" w:styleId="204">
    <w:name w:val="标题3——2"/>
    <w:basedOn w:val="4"/>
    <w:next w:val="57"/>
    <w:qFormat/>
    <w:uiPriority w:val="0"/>
    <w:pPr>
      <w:tabs>
        <w:tab w:val="left" w:pos="1280"/>
        <w:tab w:val="right" w:leader="dot" w:pos="8777"/>
      </w:tabs>
      <w:spacing w:before="312" w:beforeLines="100" w:after="0" w:line="240" w:lineRule="auto"/>
      <w:ind w:left="851" w:hanging="851"/>
      <w:outlineLvl w:val="9"/>
    </w:pPr>
    <w:rPr>
      <w:rFonts w:ascii="黑体" w:hAnsi="宋体" w:eastAsia="黑体"/>
      <w:sz w:val="30"/>
    </w:rPr>
  </w:style>
  <w:style w:type="paragraph" w:customStyle="1" w:styleId="205">
    <w:name w:val="Heading3"/>
    <w:basedOn w:val="1"/>
    <w:next w:val="1"/>
    <w:qFormat/>
    <w:uiPriority w:val="0"/>
    <w:pPr>
      <w:keepNext/>
      <w:keepLines/>
      <w:widowControl/>
      <w:spacing w:before="260" w:after="260" w:line="413" w:lineRule="auto"/>
      <w:textAlignment w:val="baseline"/>
    </w:pPr>
    <w:rPr>
      <w:b/>
      <w:sz w:val="32"/>
    </w:rPr>
  </w:style>
  <w:style w:type="paragraph" w:customStyle="1" w:styleId="206">
    <w:name w:val="Title - Date"/>
    <w:basedOn w:val="55"/>
    <w:next w:val="1"/>
    <w:qFormat/>
    <w:uiPriority w:val="0"/>
    <w:pPr>
      <w:spacing w:before="240" w:after="720"/>
    </w:pPr>
    <w:rPr>
      <w:sz w:val="28"/>
    </w:rPr>
  </w:style>
  <w:style w:type="paragraph" w:customStyle="1" w:styleId="207">
    <w:name w:val="Table Paragraph"/>
    <w:basedOn w:val="1"/>
    <w:qFormat/>
    <w:uiPriority w:val="1"/>
    <w:rPr>
      <w:rFonts w:ascii="宋体" w:hAnsi="宋体" w:cs="宋体"/>
      <w:lang w:val="zh-CN" w:bidi="zh-CN"/>
    </w:rPr>
  </w:style>
  <w:style w:type="paragraph" w:customStyle="1" w:styleId="208">
    <w:name w:val="bt"/>
    <w:basedOn w:val="1"/>
    <w:next w:val="23"/>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209">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210">
    <w:name w:val="样式 行距: 1.5 倍行距1"/>
    <w:basedOn w:val="1"/>
    <w:qFormat/>
    <w:uiPriority w:val="0"/>
    <w:pPr>
      <w:snapToGrid w:val="0"/>
    </w:pPr>
    <w:rPr>
      <w:sz w:val="21"/>
    </w:rPr>
  </w:style>
  <w:style w:type="paragraph" w:customStyle="1" w:styleId="211">
    <w:name w:val="Table Heading"/>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212">
    <w:name w:val="列出段落11"/>
    <w:basedOn w:val="1"/>
    <w:qFormat/>
    <w:uiPriority w:val="0"/>
    <w:pPr>
      <w:ind w:firstLine="420" w:firstLineChars="200"/>
    </w:pPr>
    <w:rPr>
      <w:szCs w:val="28"/>
    </w:rPr>
  </w:style>
  <w:style w:type="paragraph" w:customStyle="1" w:styleId="213">
    <w:name w:val="正文文本 21"/>
    <w:basedOn w:val="1"/>
    <w:qFormat/>
    <w:uiPriority w:val="0"/>
    <w:pPr>
      <w:adjustRightInd w:val="0"/>
      <w:spacing w:before="120" w:line="360" w:lineRule="auto"/>
      <w:ind w:firstLine="480"/>
      <w:textAlignment w:val="baseline"/>
    </w:pPr>
    <w:rPr>
      <w:sz w:val="24"/>
    </w:rPr>
  </w:style>
  <w:style w:type="paragraph" w:customStyle="1" w:styleId="214">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215">
    <w:name w:val="没有缩进（为图形使用）"/>
    <w:basedOn w:val="1"/>
    <w:qFormat/>
    <w:uiPriority w:val="0"/>
    <w:pPr>
      <w:spacing w:before="120" w:after="120" w:line="360" w:lineRule="auto"/>
    </w:pPr>
    <w:rPr>
      <w:sz w:val="24"/>
    </w:rPr>
  </w:style>
  <w:style w:type="paragraph" w:customStyle="1" w:styleId="216">
    <w:name w:val="Table Description"/>
    <w:next w:val="1"/>
    <w:qFormat/>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217">
    <w:name w:val="af"/>
    <w:basedOn w:val="1"/>
    <w:qFormat/>
    <w:uiPriority w:val="0"/>
    <w:pPr>
      <w:widowControl/>
      <w:spacing w:line="300" w:lineRule="atLeast"/>
      <w:jc w:val="left"/>
    </w:pPr>
    <w:rPr>
      <w:rFonts w:ascii="宋体" w:hAnsi="宋体"/>
      <w:kern w:val="0"/>
      <w:sz w:val="18"/>
    </w:rPr>
  </w:style>
  <w:style w:type="paragraph" w:customStyle="1" w:styleId="218">
    <w:name w:val="Char1"/>
    <w:basedOn w:val="1"/>
    <w:qFormat/>
    <w:uiPriority w:val="0"/>
    <w:rPr>
      <w:sz w:val="21"/>
    </w:rPr>
  </w:style>
  <w:style w:type="paragraph" w:customStyle="1" w:styleId="219">
    <w:name w:val="Char1 Char Char Char1"/>
    <w:basedOn w:val="1"/>
    <w:qFormat/>
    <w:uiPriority w:val="0"/>
    <w:rPr>
      <w:rFonts w:ascii="Tahoma" w:hAnsi="Tahoma"/>
      <w:sz w:val="24"/>
    </w:rPr>
  </w:style>
  <w:style w:type="paragraph" w:customStyle="1" w:styleId="220">
    <w:name w:val="IN Feature"/>
    <w:next w:val="124"/>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221">
    <w:name w:val="操作步骤"/>
    <w:basedOn w:val="1"/>
    <w:qFormat/>
    <w:uiPriority w:val="0"/>
    <w:pPr>
      <w:numPr>
        <w:ilvl w:val="0"/>
        <w:numId w:val="9"/>
      </w:numPr>
      <w:autoSpaceDE w:val="0"/>
      <w:autoSpaceDN w:val="0"/>
      <w:adjustRightInd w:val="0"/>
      <w:snapToGrid w:val="0"/>
      <w:spacing w:line="40" w:lineRule="atLeast"/>
      <w:textAlignment w:val="bottom"/>
    </w:pPr>
    <w:rPr>
      <w:rFonts w:ascii="昆仑楷体" w:eastAsia="楷体_GB2312"/>
      <w:kern w:val="0"/>
      <w:sz w:val="21"/>
    </w:rPr>
  </w:style>
  <w:style w:type="paragraph" w:customStyle="1" w:styleId="222">
    <w:name w:val="正文4"/>
    <w:basedOn w:val="1"/>
    <w:qFormat/>
    <w:uiPriority w:val="0"/>
    <w:pPr>
      <w:tabs>
        <w:tab w:val="left" w:pos="1275"/>
      </w:tabs>
      <w:spacing w:before="60" w:after="60" w:line="360" w:lineRule="auto"/>
      <w:ind w:left="820" w:leftChars="400" w:hanging="705"/>
    </w:pPr>
    <w:rPr>
      <w:sz w:val="24"/>
    </w:rPr>
  </w:style>
  <w:style w:type="paragraph" w:customStyle="1" w:styleId="223">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24">
    <w:name w:val="表号"/>
    <w:basedOn w:val="1"/>
    <w:qFormat/>
    <w:uiPriority w:val="0"/>
    <w:pPr>
      <w:numPr>
        <w:ilvl w:val="0"/>
        <w:numId w:val="10"/>
      </w:numPr>
      <w:tabs>
        <w:tab w:val="left" w:pos="648"/>
        <w:tab w:val="clear" w:pos="360"/>
      </w:tabs>
      <w:autoSpaceDE w:val="0"/>
      <w:autoSpaceDN w:val="0"/>
      <w:adjustRightInd w:val="0"/>
      <w:spacing w:before="210" w:after="210"/>
      <w:ind w:left="425" w:hanging="137"/>
      <w:jc w:val="center"/>
    </w:pPr>
    <w:rPr>
      <w:kern w:val="0"/>
      <w:sz w:val="21"/>
      <w:lang w:eastAsia="en-US"/>
    </w:rPr>
  </w:style>
  <w:style w:type="paragraph" w:customStyle="1" w:styleId="225">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226">
    <w:name w:val="样式 首行缩进:  0.74 厘米"/>
    <w:basedOn w:val="1"/>
    <w:qFormat/>
    <w:uiPriority w:val="0"/>
    <w:pPr>
      <w:spacing w:line="360" w:lineRule="auto"/>
      <w:ind w:firstLine="420"/>
    </w:pPr>
    <w:rPr>
      <w:sz w:val="24"/>
    </w:rPr>
  </w:style>
  <w:style w:type="paragraph" w:customStyle="1" w:styleId="227">
    <w:name w:val="Char Char 字元 字元 字元 Char Char Char Char"/>
    <w:basedOn w:val="1"/>
    <w:qFormat/>
    <w:uiPriority w:val="0"/>
    <w:pPr>
      <w:adjustRightInd w:val="0"/>
      <w:spacing w:line="360" w:lineRule="auto"/>
    </w:pPr>
    <w:rPr>
      <w:kern w:val="0"/>
      <w:sz w:val="24"/>
    </w:rPr>
  </w:style>
  <w:style w:type="paragraph" w:customStyle="1" w:styleId="228">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229">
    <w:name w:val="Item Step"/>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230">
    <w:name w:val="图例"/>
    <w:basedOn w:val="1"/>
    <w:qFormat/>
    <w:uiPriority w:val="0"/>
    <w:pPr>
      <w:spacing w:before="120" w:after="120" w:line="360" w:lineRule="auto"/>
      <w:jc w:val="center"/>
    </w:pPr>
    <w:rPr>
      <w:rFonts w:eastAsia="仿宋_GB2312"/>
      <w:b/>
      <w:sz w:val="24"/>
    </w:rPr>
  </w:style>
  <w:style w:type="paragraph" w:customStyle="1" w:styleId="231">
    <w:name w:val="表头文本"/>
    <w:qFormat/>
    <w:uiPriority w:val="0"/>
    <w:pPr>
      <w:jc w:val="center"/>
    </w:pPr>
    <w:rPr>
      <w:rFonts w:ascii="Arial" w:hAnsi="Arial" w:eastAsia="宋体" w:cs="Times New Roman"/>
      <w:b/>
      <w:sz w:val="21"/>
      <w:lang w:val="en-US" w:eastAsia="zh-CN" w:bidi="ar-SA"/>
    </w:rPr>
  </w:style>
  <w:style w:type="paragraph" w:customStyle="1" w:styleId="232">
    <w:name w:val="可研正文"/>
    <w:basedOn w:val="23"/>
    <w:qFormat/>
    <w:uiPriority w:val="0"/>
    <w:pPr>
      <w:adjustRightInd w:val="0"/>
      <w:snapToGrid w:val="0"/>
      <w:spacing w:line="440" w:lineRule="exact"/>
      <w:ind w:firstLine="567"/>
    </w:pPr>
    <w:rPr>
      <w:sz w:val="28"/>
    </w:rPr>
  </w:style>
  <w:style w:type="paragraph" w:customStyle="1" w:styleId="233">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234">
    <w:name w:val="样式3"/>
    <w:basedOn w:val="2"/>
    <w:next w:val="2"/>
    <w:qFormat/>
    <w:uiPriority w:val="0"/>
    <w:pPr>
      <w:keepLines/>
      <w:adjustRightInd w:val="0"/>
      <w:spacing w:before="340" w:after="330" w:line="576" w:lineRule="auto"/>
    </w:pPr>
    <w:rPr>
      <w:rFonts w:ascii="Times New Roman" w:eastAsia="黑体"/>
      <w:b/>
      <w:kern w:val="44"/>
      <w:sz w:val="44"/>
    </w:rPr>
  </w:style>
  <w:style w:type="paragraph" w:customStyle="1" w:styleId="235">
    <w:name w:val="样式 标题 6第五层条 + 三号 段前: 0.5 行"/>
    <w:basedOn w:val="7"/>
    <w:qFormat/>
    <w:uiPriority w:val="0"/>
    <w:pPr>
      <w:widowControl/>
      <w:adjustRightInd/>
      <w:snapToGrid/>
      <w:spacing w:before="156" w:beforeLines="50"/>
      <w:jc w:val="left"/>
    </w:pPr>
    <w:rPr>
      <w:snapToGrid w:val="0"/>
      <w:kern w:val="24"/>
      <w:sz w:val="28"/>
    </w:rPr>
  </w:style>
  <w:style w:type="paragraph" w:customStyle="1" w:styleId="236">
    <w:name w:val="样式 正文首行缩进 2 + 首行缩进:  2 字符"/>
    <w:basedOn w:val="1"/>
    <w:qFormat/>
    <w:uiPriority w:val="0"/>
    <w:pPr>
      <w:numPr>
        <w:ilvl w:val="0"/>
        <w:numId w:val="11"/>
      </w:numPr>
      <w:adjustRightInd w:val="0"/>
      <w:snapToGrid w:val="0"/>
      <w:spacing w:line="360" w:lineRule="auto"/>
    </w:pPr>
    <w:rPr>
      <w:rFonts w:ascii="Arial" w:hAnsi="Arial"/>
      <w:b/>
      <w:sz w:val="24"/>
    </w:rPr>
  </w:style>
  <w:style w:type="paragraph" w:customStyle="1" w:styleId="23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238">
    <w:name w:val="内容标题"/>
    <w:basedOn w:val="18"/>
    <w:qFormat/>
    <w:uiPriority w:val="0"/>
    <w:rPr>
      <w:rFonts w:ascii="Tahoma" w:hAnsi="Tahoma"/>
      <w:sz w:val="24"/>
    </w:rPr>
  </w:style>
  <w:style w:type="paragraph" w:customStyle="1" w:styleId="239">
    <w:name w:val="正文表格"/>
    <w:basedOn w:val="1"/>
    <w:qFormat/>
    <w:uiPriority w:val="0"/>
    <w:pPr>
      <w:adjustRightInd w:val="0"/>
      <w:spacing w:before="40" w:after="40"/>
    </w:pPr>
    <w:rPr>
      <w:sz w:val="24"/>
    </w:rPr>
  </w:style>
  <w:style w:type="paragraph" w:customStyle="1" w:styleId="240">
    <w:name w:val="样式 宋体 五号 行距: 单倍行距"/>
    <w:basedOn w:val="1"/>
    <w:qFormat/>
    <w:uiPriority w:val="0"/>
    <w:pPr>
      <w:adjustRightInd w:val="0"/>
      <w:jc w:val="left"/>
    </w:pPr>
    <w:rPr>
      <w:rFonts w:ascii="宋体" w:hAnsi="宋体"/>
      <w:kern w:val="0"/>
      <w:sz w:val="21"/>
    </w:rPr>
  </w:style>
  <w:style w:type="paragraph" w:customStyle="1" w:styleId="241">
    <w:name w:val="Char2"/>
    <w:basedOn w:val="1"/>
    <w:qFormat/>
    <w:uiPriority w:val="0"/>
    <w:pPr>
      <w:spacing w:line="240" w:lineRule="atLeast"/>
      <w:ind w:left="420" w:firstLine="420"/>
    </w:pPr>
    <w:rPr>
      <w:kern w:val="0"/>
      <w:sz w:val="21"/>
    </w:rPr>
  </w:style>
  <w:style w:type="paragraph" w:customStyle="1" w:styleId="242">
    <w:name w:val="附录1"/>
    <w:basedOn w:val="1"/>
    <w:next w:val="1"/>
    <w:qFormat/>
    <w:uiPriority w:val="0"/>
    <w:pPr>
      <w:tabs>
        <w:tab w:val="left" w:pos="1304"/>
      </w:tabs>
      <w:ind w:left="425" w:hanging="425"/>
      <w:outlineLvl w:val="0"/>
    </w:pPr>
    <w:rPr>
      <w:rFonts w:ascii="黑体" w:hAnsi="黑体" w:eastAsia="黑体"/>
      <w:b/>
      <w:sz w:val="44"/>
    </w:rPr>
  </w:style>
  <w:style w:type="paragraph" w:customStyle="1" w:styleId="243">
    <w:name w:val="Char Char14 Char Char"/>
    <w:basedOn w:val="1"/>
    <w:qFormat/>
    <w:uiPriority w:val="0"/>
    <w:rPr>
      <w:sz w:val="21"/>
      <w:szCs w:val="24"/>
    </w:rPr>
  </w:style>
  <w:style w:type="paragraph" w:customStyle="1" w:styleId="244">
    <w:name w:val="样式1"/>
    <w:basedOn w:val="5"/>
    <w:qFormat/>
    <w:uiPriority w:val="0"/>
    <w:pPr>
      <w:tabs>
        <w:tab w:val="left" w:pos="720"/>
      </w:tabs>
      <w:spacing w:before="500" w:after="260" w:line="560" w:lineRule="atLeast"/>
      <w:ind w:left="420" w:hanging="420"/>
    </w:pPr>
  </w:style>
  <w:style w:type="paragraph" w:customStyle="1" w:styleId="245">
    <w:name w:val="样式2"/>
    <w:basedOn w:val="5"/>
    <w:qFormat/>
    <w:uiPriority w:val="0"/>
    <w:pPr>
      <w:numPr>
        <w:ilvl w:val="0"/>
        <w:numId w:val="12"/>
      </w:numPr>
      <w:spacing w:before="560" w:line="400" w:lineRule="exact"/>
      <w:jc w:val="center"/>
      <w:outlineLvl w:val="0"/>
    </w:pPr>
    <w:rPr>
      <w:b w:val="0"/>
      <w:sz w:val="44"/>
    </w:rPr>
  </w:style>
  <w:style w:type="character" w:customStyle="1" w:styleId="246">
    <w:name w:val="UserStyle_187"/>
    <w:qFormat/>
    <w:uiPriority w:val="0"/>
    <w:rPr>
      <w:kern w:val="2"/>
      <w:sz w:val="28"/>
      <w:lang w:val="en-US" w:eastAsia="zh-CN" w:bidi="ar-SA"/>
    </w:rPr>
  </w:style>
  <w:style w:type="paragraph" w:customStyle="1" w:styleId="247">
    <w:name w:val="WPSOffice手动目录 1"/>
    <w:qFormat/>
    <w:uiPriority w:val="0"/>
    <w:rPr>
      <w:rFonts w:ascii="Times New Roman" w:hAnsi="Times New Roman" w:eastAsia="宋体" w:cs="Times New Roman"/>
      <w:lang w:val="en-US" w:eastAsia="zh-CN" w:bidi="ar-SA"/>
    </w:rPr>
  </w:style>
  <w:style w:type="paragraph" w:customStyle="1" w:styleId="24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49">
    <w:name w:val="font31"/>
    <w:qFormat/>
    <w:uiPriority w:val="0"/>
    <w:rPr>
      <w:rFonts w:ascii="宋体" w:hAnsi="宋体" w:eastAsia="宋体" w:cs="宋体"/>
      <w:color w:val="000000"/>
      <w:sz w:val="24"/>
      <w:szCs w:val="24"/>
      <w:u w:val="none"/>
    </w:rPr>
  </w:style>
  <w:style w:type="character" w:customStyle="1" w:styleId="250">
    <w:name w:val="font81"/>
    <w:qFormat/>
    <w:uiPriority w:val="0"/>
    <w:rPr>
      <w:rFonts w:hint="default" w:ascii="Arial" w:hAnsi="Arial" w:cs="Arial"/>
      <w:color w:val="000000"/>
      <w:sz w:val="7"/>
      <w:szCs w:val="7"/>
      <w:u w:val="none"/>
    </w:rPr>
  </w:style>
  <w:style w:type="character" w:customStyle="1" w:styleId="251">
    <w:name w:val="font91"/>
    <w:qFormat/>
    <w:uiPriority w:val="0"/>
    <w:rPr>
      <w:rFonts w:ascii="宋体" w:hAnsi="宋体" w:eastAsia="宋体" w:cs="宋体"/>
      <w:color w:val="000000"/>
      <w:sz w:val="18"/>
      <w:szCs w:val="18"/>
      <w:u w:val="none"/>
    </w:rPr>
  </w:style>
  <w:style w:type="character" w:customStyle="1" w:styleId="252">
    <w:name w:val="font101"/>
    <w:qFormat/>
    <w:uiPriority w:val="0"/>
    <w:rPr>
      <w:rFonts w:hint="default" w:ascii="Arial" w:hAnsi="Arial" w:cs="Arial"/>
      <w:color w:val="000000"/>
      <w:sz w:val="10"/>
      <w:szCs w:val="10"/>
      <w:u w:val="none"/>
    </w:rPr>
  </w:style>
  <w:style w:type="character" w:customStyle="1" w:styleId="253">
    <w:name w:val="font111"/>
    <w:qFormat/>
    <w:uiPriority w:val="0"/>
    <w:rPr>
      <w:rFonts w:hint="default" w:ascii="Arial" w:hAnsi="Arial" w:cs="Arial"/>
      <w:color w:val="000000"/>
      <w:sz w:val="12"/>
      <w:szCs w:val="12"/>
      <w:u w:val="none"/>
    </w:rPr>
  </w:style>
  <w:style w:type="paragraph" w:styleId="254">
    <w:name w:val="Quote"/>
    <w:basedOn w:val="1"/>
    <w:next w:val="1"/>
    <w:qFormat/>
    <w:uiPriority w:val="29"/>
    <w:pPr>
      <w:spacing w:beforeLines="50" w:afterLines="50" w:line="360" w:lineRule="auto"/>
    </w:pPr>
    <w:rPr>
      <w:i/>
      <w:iCs/>
      <w:color w:val="000000"/>
      <w:sz w:val="21"/>
      <w:szCs w:val="24"/>
      <w:lang w:val="zh-CN"/>
    </w:rPr>
  </w:style>
  <w:style w:type="character" w:customStyle="1" w:styleId="255">
    <w:name w:val="font11"/>
    <w:qFormat/>
    <w:uiPriority w:val="0"/>
    <w:rPr>
      <w:rFonts w:ascii="宋体" w:hAnsi="宋体" w:eastAsia="宋体" w:cs="宋体"/>
      <w:color w:val="000000"/>
      <w:sz w:val="24"/>
      <w:szCs w:val="24"/>
      <w:u w:val="none"/>
    </w:rPr>
  </w:style>
  <w:style w:type="character" w:customStyle="1" w:styleId="256">
    <w:name w:val="font71"/>
    <w:qFormat/>
    <w:uiPriority w:val="0"/>
    <w:rPr>
      <w:rFonts w:hint="default" w:ascii="Arial" w:hAnsi="Arial" w:cs="Arial"/>
      <w:color w:val="000000"/>
      <w:sz w:val="7"/>
      <w:szCs w:val="7"/>
      <w:u w:val="none"/>
    </w:rPr>
  </w:style>
  <w:style w:type="character" w:customStyle="1" w:styleId="257">
    <w:name w:val="font61"/>
    <w:qFormat/>
    <w:uiPriority w:val="0"/>
    <w:rPr>
      <w:rFonts w:hint="default" w:ascii="Arial" w:hAnsi="Arial" w:cs="Arial"/>
      <w:color w:val="000000"/>
      <w:sz w:val="22"/>
      <w:szCs w:val="22"/>
      <w:u w:val="none"/>
    </w:rPr>
  </w:style>
  <w:style w:type="character" w:customStyle="1" w:styleId="258">
    <w:name w:val="font01"/>
    <w:basedOn w:val="61"/>
    <w:qFormat/>
    <w:uiPriority w:val="0"/>
    <w:rPr>
      <w:rFonts w:hint="default" w:ascii="Arial" w:hAnsi="Arial" w:cs="Arial"/>
      <w:color w:val="000000"/>
      <w:sz w:val="22"/>
      <w:szCs w:val="22"/>
      <w:u w:val="none"/>
    </w:rPr>
  </w:style>
  <w:style w:type="character" w:customStyle="1" w:styleId="259">
    <w:name w:val="font41"/>
    <w:qFormat/>
    <w:uiPriority w:val="0"/>
    <w:rPr>
      <w:rFonts w:hint="eastAsia" w:ascii="宋体" w:hAnsi="宋体" w:eastAsia="宋体" w:cs="宋体"/>
      <w:color w:val="000000"/>
      <w:sz w:val="22"/>
      <w:szCs w:val="22"/>
      <w:u w:val="none"/>
    </w:rPr>
  </w:style>
  <w:style w:type="paragraph" w:customStyle="1" w:styleId="260">
    <w:name w:val="列表段落1"/>
    <w:basedOn w:val="1"/>
    <w:qFormat/>
    <w:uiPriority w:val="0"/>
    <w:pPr>
      <w:ind w:firstLine="420" w:firstLineChars="200"/>
    </w:pPr>
    <w:rPr>
      <w:szCs w:val="28"/>
    </w:rPr>
  </w:style>
  <w:style w:type="paragraph" w:customStyle="1" w:styleId="261">
    <w:name w:val="目录 51"/>
    <w:next w:val="1"/>
    <w:qFormat/>
    <w:uiPriority w:val="0"/>
    <w:pPr>
      <w:wordWrap w:val="0"/>
      <w:ind w:left="1700"/>
      <w:jc w:val="both"/>
    </w:pPr>
    <w:rPr>
      <w:rFonts w:ascii="Times New Roman" w:hAnsi="Times New Roman" w:eastAsia="Calibri" w:cs="Times New Roman"/>
      <w:sz w:val="21"/>
      <w:lang w:val="en-US" w:eastAsia="zh-CN" w:bidi="ar-SA"/>
    </w:rPr>
  </w:style>
  <w:style w:type="paragraph" w:customStyle="1" w:styleId="262">
    <w:name w:val="正文（缩进）"/>
    <w:basedOn w:val="1"/>
    <w:qFormat/>
    <w:uiPriority w:val="0"/>
    <w:pPr>
      <w:spacing w:beforeLines="50" w:afterLines="50" w:line="360" w:lineRule="auto"/>
      <w:ind w:firstLine="480" w:firstLine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罗成</Manager>
  <Company>重庆市政府采购中心</Company>
  <Pages>36</Pages>
  <Words>17157</Words>
  <Characters>17838</Characters>
  <Lines>200</Lines>
  <Paragraphs>56</Paragraphs>
  <TotalTime>34</TotalTime>
  <ScaleCrop>false</ScaleCrop>
  <LinksUpToDate>false</LinksUpToDate>
  <CharactersWithSpaces>18563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2025-10-13T04:58:00Z</dcterms:created>
  <dc:creator>周媛媛</dc:creator>
  <cp:lastModifiedBy>0225</cp:lastModifiedBy>
  <cp:lastPrinted>2025-10-11T08:31:00Z</cp:lastPrinted>
  <dcterms:modified xsi:type="dcterms:W3CDTF">2025-10-15T06:24:01Z</dcterms:modified>
  <dc:title>竞争性谈判文件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6BC6B2DBEEBD4678A02F530C216EAAFD_13</vt:lpwstr>
  </property>
  <property fmtid="{D5CDD505-2E9C-101B-9397-08002B2CF9AE}" pid="4" name="KSOTemplateDocerSaveRecord">
    <vt:lpwstr>eyJoZGlkIjoiOTcxZjA2MWU4ZDdiNGIwOGRhOTkyNWM1ZjkwZWY0NWIiLCJ1c2VySWQiOiI1NDA0OTQ0MzIifQ==</vt:lpwstr>
  </property>
</Properties>
</file>