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74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60" w:lineRule="atLeast"/>
        <w:ind w:left="0" w:right="0" w:firstLine="0"/>
        <w:jc w:val="center"/>
        <w:rPr>
          <w:rStyle w:val="4"/>
        </w:rPr>
      </w:pPr>
      <w:bookmarkStart w:id="0" w:name="_GoBack"/>
      <w:r>
        <w:rPr>
          <w:rStyle w:val="4"/>
        </w:rPr>
        <w:t>山东中邮物流一级干线运输服务外包项目（包2、包3、包6、包14、包15）（三次）</w:t>
      </w:r>
    </w:p>
    <w:p w14:paraId="2A4B0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jc w:val="center"/>
        <w:rPr>
          <w:rStyle w:val="4"/>
          <w:rFonts w:hint="eastAsia"/>
        </w:rPr>
      </w:pPr>
      <w:r>
        <w:rPr>
          <w:rStyle w:val="4"/>
          <w:rFonts w:hint="eastAsia"/>
        </w:rPr>
        <w:t>公开招标公告</w:t>
      </w:r>
    </w:p>
    <w:p w14:paraId="09497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105" w:right="284" w:firstLine="560"/>
        <w:textAlignment w:val="bottom"/>
        <w:rPr>
          <w:rStyle w:val="4"/>
          <w:rFonts w:hint="eastAsia"/>
        </w:rPr>
      </w:pPr>
      <w:r>
        <w:rPr>
          <w:rStyle w:val="4"/>
          <w:rFonts w:hint="eastAsia"/>
        </w:rPr>
        <w:t>华春建设工程项目管理有限责任公司（以下简称“招标代理”）受中国邮政集团有限公司山东省分公司（适用于山东中邮物流有限责任公司）（以下简称“招标人”）委托，就山东中邮物流一级干线运输服务外包项目采购项目项下的货物及服务进行国内公开招标。现邀请合格的投标人前来投标。本项目采用电子化招投标，对投标人在“中国邮政电子采购与供应平台”上传的电子版</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投标文件</w:t>
      </w:r>
      <w:r>
        <w:rPr>
          <w:rStyle w:val="4"/>
          <w:rFonts w:hint="eastAsia"/>
        </w:rPr>
        <w:fldChar w:fldCharType="end"/>
      </w:r>
      <w:r>
        <w:rPr>
          <w:rStyle w:val="4"/>
          <w:rFonts w:hint="eastAsia"/>
        </w:rPr>
        <w:t>进行审查。</w:t>
      </w:r>
    </w:p>
    <w:p w14:paraId="588C4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一、项目名称：山东中邮物流一级干线运输服务外包项目（包2、包3、包6、包14、包15）（三次）</w:t>
      </w:r>
    </w:p>
    <w:p w14:paraId="6AB28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二、项目编号：HCJSZB-2025-026</w:t>
      </w:r>
    </w:p>
    <w:p w14:paraId="39430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三、招标内容及</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预算</w:t>
      </w:r>
      <w:r>
        <w:rPr>
          <w:rStyle w:val="4"/>
          <w:rFonts w:hint="eastAsia"/>
        </w:rPr>
        <w:fldChar w:fldCharType="end"/>
      </w:r>
      <w:r>
        <w:rPr>
          <w:rStyle w:val="4"/>
          <w:rFonts w:hint="eastAsia"/>
        </w:rPr>
        <w:t>：</w:t>
      </w:r>
    </w:p>
    <w:p w14:paraId="3C6A5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（一）采购内容：本次采购共38个路向的一干邮路，服务期至2026年7月31日，按实际订单量据实结算。</w:t>
      </w:r>
    </w:p>
    <w:p w14:paraId="3734F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二、（二）标段划分：原项目拟依据去程邮路目的省份所处方向将38个路向邮路划分为15个标段（详见采购限价），标段中每条线路设置最高限价，在满足</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招标文件</w:t>
      </w:r>
      <w:r>
        <w:rPr>
          <w:rStyle w:val="4"/>
          <w:rFonts w:hint="eastAsia"/>
        </w:rPr>
        <w:fldChar w:fldCharType="end"/>
      </w:r>
      <w:r>
        <w:rPr>
          <w:rStyle w:val="4"/>
          <w:rFonts w:hint="eastAsia"/>
        </w:rPr>
        <w:t>实质性需求的前提下，各标段运费总价报价最低者为中标候选人。投标人</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投标报价</w:t>
      </w:r>
      <w:r>
        <w:rPr>
          <w:rStyle w:val="4"/>
          <w:rFonts w:hint="eastAsia"/>
        </w:rPr>
        <w:fldChar w:fldCharType="end"/>
      </w:r>
      <w:r>
        <w:rPr>
          <w:rStyle w:val="4"/>
          <w:rFonts w:hint="eastAsia"/>
        </w:rPr>
        <w:t>高于最高限价的均为无效报价。同一投标人最多可兼投5个标段，可兼投兼中。每标段采购一主一备两个供应商。</w:t>
      </w:r>
    </w:p>
    <w:p w14:paraId="786950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注：本次为山东中邮物流一级干线运输服务外包项目（包2、包3、包6、包14、包15）三次采购，与山东中邮物流一级干线运输服务外包项目（包1、包4、包5、包7、包8、包9、包10、包11、包12、包13）二次采购同时发布招标公告，共15个标段，同一投标人最多可兼投15个标段中的5个标段。</w:t>
      </w:r>
    </w:p>
    <w:p w14:paraId="28166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（三）采购限价：</w:t>
      </w:r>
    </w:p>
    <w:tbl>
      <w:tblPr>
        <w:tblW w:w="9930"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651"/>
        <w:gridCol w:w="1540"/>
        <w:gridCol w:w="1224"/>
        <w:gridCol w:w="1013"/>
        <w:gridCol w:w="1437"/>
        <w:gridCol w:w="1979"/>
        <w:gridCol w:w="2086"/>
      </w:tblGrid>
      <w:tr w14:paraId="72FAD35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blHeader/>
          <w:jc w:val="center"/>
        </w:trPr>
        <w:tc>
          <w:tcPr>
            <w:tcW w:w="591" w:type="dxa"/>
            <w:tcBorders>
              <w:top w:val="single" w:color="D1D1D1" w:sz="4" w:space="0"/>
              <w:left w:val="single" w:color="D1D1D1" w:sz="4" w:space="0"/>
              <w:bottom w:val="single" w:color="D1D1D1" w:sz="4" w:space="0"/>
              <w:right w:val="single" w:color="D1D1D1" w:sz="6" w:space="0"/>
            </w:tcBorders>
            <w:shd w:val="clear" w:color="auto" w:fill="FFFFFF"/>
            <w:tcMar>
              <w:top w:w="25" w:type="dxa"/>
              <w:left w:w="56" w:type="dxa"/>
              <w:bottom w:w="32" w:type="dxa"/>
              <w:right w:w="56" w:type="dxa"/>
            </w:tcMar>
            <w:vAlign w:val="center"/>
          </w:tcPr>
          <w:p w14:paraId="1DE8A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标段号</w:t>
            </w:r>
          </w:p>
        </w:tc>
        <w:tc>
          <w:tcPr>
            <w:tcW w:w="1399" w:type="dxa"/>
            <w:tcBorders>
              <w:top w:val="single" w:color="D1D1D1" w:sz="4" w:space="0"/>
              <w:left w:val="single" w:color="D1D1D1" w:sz="6" w:space="0"/>
              <w:bottom w:val="single" w:color="D1D1D1" w:sz="4" w:space="0"/>
              <w:right w:val="single" w:color="D1D1D1" w:sz="6" w:space="0"/>
            </w:tcBorders>
            <w:shd w:val="clear" w:color="auto" w:fill="FFFFFF"/>
            <w:tcMar>
              <w:top w:w="25" w:type="dxa"/>
              <w:left w:w="56" w:type="dxa"/>
              <w:bottom w:w="32" w:type="dxa"/>
              <w:right w:w="56" w:type="dxa"/>
            </w:tcMar>
            <w:vAlign w:val="center"/>
          </w:tcPr>
          <w:p w14:paraId="253078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线路名称</w:t>
            </w:r>
          </w:p>
        </w:tc>
        <w:tc>
          <w:tcPr>
            <w:tcW w:w="1112" w:type="dxa"/>
            <w:tcBorders>
              <w:top w:val="single" w:color="D1D1D1" w:sz="4" w:space="0"/>
              <w:left w:val="single" w:color="D1D1D1" w:sz="6" w:space="0"/>
              <w:bottom w:val="single" w:color="D1D1D1" w:sz="4" w:space="0"/>
              <w:right w:val="single" w:color="D1D1D1" w:sz="6" w:space="0"/>
            </w:tcBorders>
            <w:shd w:val="clear" w:color="auto" w:fill="FFFFFF"/>
            <w:tcMar>
              <w:top w:w="25" w:type="dxa"/>
              <w:left w:w="56" w:type="dxa"/>
              <w:bottom w:w="32" w:type="dxa"/>
              <w:right w:w="56" w:type="dxa"/>
            </w:tcMar>
            <w:vAlign w:val="center"/>
          </w:tcPr>
          <w:p w14:paraId="4A508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车型（吨）</w:t>
            </w:r>
          </w:p>
        </w:tc>
        <w:tc>
          <w:tcPr>
            <w:tcW w:w="920" w:type="dxa"/>
            <w:tcBorders>
              <w:top w:val="single" w:color="D1D1D1" w:sz="4" w:space="0"/>
              <w:left w:val="single" w:color="D1D1D1" w:sz="6" w:space="0"/>
              <w:bottom w:val="single" w:color="D1D1D1" w:sz="4" w:space="0"/>
              <w:right w:val="single" w:color="D1D1D1" w:sz="6" w:space="0"/>
            </w:tcBorders>
            <w:shd w:val="clear" w:color="auto" w:fill="FFFFFF"/>
            <w:tcMar>
              <w:top w:w="25" w:type="dxa"/>
              <w:left w:w="56" w:type="dxa"/>
              <w:bottom w:w="32" w:type="dxa"/>
              <w:right w:w="56" w:type="dxa"/>
            </w:tcMar>
            <w:vAlign w:val="center"/>
          </w:tcPr>
          <w:p w14:paraId="48802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邮路属性</w:t>
            </w:r>
          </w:p>
        </w:tc>
        <w:tc>
          <w:tcPr>
            <w:tcW w:w="1305" w:type="dxa"/>
            <w:tcBorders>
              <w:top w:val="single" w:color="D1D1D1" w:sz="4" w:space="0"/>
              <w:left w:val="single" w:color="D1D1D1" w:sz="6" w:space="0"/>
              <w:bottom w:val="single" w:color="D1D1D1" w:sz="4" w:space="0"/>
              <w:right w:val="single" w:color="D1D1D1" w:sz="6" w:space="0"/>
            </w:tcBorders>
            <w:shd w:val="clear" w:color="auto" w:fill="FFFFFF"/>
            <w:tcMar>
              <w:top w:w="25" w:type="dxa"/>
              <w:left w:w="56" w:type="dxa"/>
              <w:bottom w:w="32" w:type="dxa"/>
              <w:right w:w="56" w:type="dxa"/>
            </w:tcMar>
            <w:vAlign w:val="center"/>
          </w:tcPr>
          <w:p w14:paraId="75F9C2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里程（公里）</w:t>
            </w:r>
          </w:p>
        </w:tc>
        <w:tc>
          <w:tcPr>
            <w:tcW w:w="1797" w:type="dxa"/>
            <w:tcBorders>
              <w:top w:val="single" w:color="D1D1D1" w:sz="4" w:space="0"/>
              <w:left w:val="single" w:color="D1D1D1" w:sz="6" w:space="0"/>
              <w:bottom w:val="single" w:color="D1D1D1" w:sz="4" w:space="0"/>
              <w:right w:val="single" w:color="D1D1D1" w:sz="6" w:space="0"/>
            </w:tcBorders>
            <w:shd w:val="clear" w:color="auto" w:fill="FFFFFF"/>
            <w:tcMar>
              <w:top w:w="25" w:type="dxa"/>
              <w:left w:w="56" w:type="dxa"/>
              <w:bottom w:w="32" w:type="dxa"/>
              <w:right w:w="56" w:type="dxa"/>
            </w:tcMar>
            <w:vAlign w:val="center"/>
          </w:tcPr>
          <w:p w14:paraId="4E424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最高限价（元/趟）</w:t>
            </w:r>
          </w:p>
        </w:tc>
        <w:tc>
          <w:tcPr>
            <w:tcW w:w="1895" w:type="dxa"/>
            <w:tcBorders>
              <w:top w:val="single" w:color="D1D1D1" w:sz="4" w:space="0"/>
              <w:left w:val="single" w:color="D1D1D1" w:sz="6" w:space="0"/>
              <w:bottom w:val="single" w:color="D1D1D1" w:sz="4" w:space="0"/>
              <w:right w:val="single" w:color="D1D1D1" w:sz="4" w:space="0"/>
            </w:tcBorders>
            <w:shd w:val="clear" w:color="auto" w:fill="FFFFFF"/>
            <w:tcMar>
              <w:top w:w="25" w:type="dxa"/>
              <w:left w:w="56" w:type="dxa"/>
              <w:bottom w:w="32" w:type="dxa"/>
              <w:right w:w="56" w:type="dxa"/>
            </w:tcMar>
            <w:vAlign w:val="center"/>
          </w:tcPr>
          <w:p w14:paraId="58A2D8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预估趟次（仅参考）</w:t>
            </w:r>
          </w:p>
        </w:tc>
      </w:tr>
      <w:tr w14:paraId="37D385E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91" w:type="dxa"/>
            <w:vMerge w:val="restart"/>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1F6D97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2</w:t>
            </w: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41EED4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德州-中山</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50DE0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24F5B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1A83C3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1940</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CB1BF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13099</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7EE821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38</w:t>
            </w:r>
          </w:p>
        </w:tc>
      </w:tr>
      <w:tr w14:paraId="0A7D95B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91" w:type="dxa"/>
            <w:vMerge w:val="continue"/>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0755B584">
            <w:pPr>
              <w:rPr>
                <w:rStyle w:val="4"/>
                <w:rFonts w:hint="eastAsia"/>
              </w:rPr>
            </w:pP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3F48C2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聊城-中山</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3ABB04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409CDC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75635D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1849</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DECDD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13623</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0A324D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111</w:t>
            </w:r>
          </w:p>
        </w:tc>
      </w:tr>
      <w:tr w14:paraId="435B346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591" w:type="dxa"/>
            <w:vMerge w:val="restart"/>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784F61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w:t>
            </w: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27CB2F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菏泽-中山</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24459D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736E08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AFAD3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1668</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189470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11632</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6CB752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77</w:t>
            </w:r>
          </w:p>
        </w:tc>
      </w:tr>
      <w:tr w14:paraId="4C5DA99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91" w:type="dxa"/>
            <w:vMerge w:val="continue"/>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479FAF0">
            <w:pPr>
              <w:rPr>
                <w:rStyle w:val="4"/>
                <w:rFonts w:hint="eastAsia"/>
              </w:rPr>
            </w:pP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012BE5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济宁-广州</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F9563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01DEF4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8836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1680</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01EED0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12365</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14F39B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76</w:t>
            </w:r>
          </w:p>
        </w:tc>
      </w:tr>
      <w:tr w14:paraId="15CCB4D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91" w:type="dxa"/>
            <w:vMerge w:val="continue"/>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26694C2">
            <w:pPr>
              <w:rPr>
                <w:rStyle w:val="4"/>
                <w:rFonts w:hint="eastAsia"/>
              </w:rPr>
            </w:pP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254E19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济宁-中山</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B845C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379532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BCA6D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1745</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21F794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12365</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777377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26</w:t>
            </w:r>
          </w:p>
        </w:tc>
      </w:tr>
      <w:tr w14:paraId="6082BEA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591" w:type="dxa"/>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392155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6</w:t>
            </w: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0FD6A9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济南-海口</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785F8C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203F0A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107D07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2345</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26811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17079</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6A5191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207</w:t>
            </w:r>
          </w:p>
        </w:tc>
      </w:tr>
      <w:tr w14:paraId="1FB0F9D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591" w:type="dxa"/>
            <w:vMerge w:val="restart"/>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B0FCC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14</w:t>
            </w: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1F543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德州-上海</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318815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CCE94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29A838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988</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4916D0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7262</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305DF4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35</w:t>
            </w:r>
          </w:p>
        </w:tc>
      </w:tr>
      <w:tr w14:paraId="04C5E4C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91" w:type="dxa"/>
            <w:vMerge w:val="continue"/>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41DFCECA">
            <w:pPr>
              <w:rPr>
                <w:rStyle w:val="4"/>
                <w:rFonts w:hint="eastAsia"/>
              </w:rPr>
            </w:pP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78D789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聊城-上海</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1E87CA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19953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0BC258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883</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3C79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6490</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051CBD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198</w:t>
            </w:r>
          </w:p>
        </w:tc>
      </w:tr>
      <w:tr w14:paraId="16AD227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91" w:type="dxa"/>
            <w:vMerge w:val="restart"/>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7A4C2D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15</w:t>
            </w:r>
          </w:p>
        </w:tc>
        <w:tc>
          <w:tcPr>
            <w:tcW w:w="1399"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58E0C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烟台-合肥</w:t>
            </w:r>
          </w:p>
        </w:tc>
        <w:tc>
          <w:tcPr>
            <w:tcW w:w="1112"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88E70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5A54C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638FA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1009</w:t>
            </w:r>
          </w:p>
        </w:tc>
        <w:tc>
          <w:tcPr>
            <w:tcW w:w="1797" w:type="dxa"/>
            <w:tcBorders>
              <w:top w:val="single" w:color="D1D1D1" w:sz="6" w:space="0"/>
              <w:left w:val="single" w:color="D1D1D1" w:sz="6"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3E028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7144</w:t>
            </w:r>
          </w:p>
        </w:tc>
        <w:tc>
          <w:tcPr>
            <w:tcW w:w="1895" w:type="dxa"/>
            <w:tcBorders>
              <w:top w:val="single" w:color="D1D1D1" w:sz="6" w:space="0"/>
              <w:left w:val="single" w:color="D1D1D1" w:sz="6" w:space="0"/>
              <w:bottom w:val="single" w:color="D1D1D1" w:sz="6" w:space="0"/>
              <w:right w:val="single" w:color="D1D1D1" w:sz="4" w:space="0"/>
            </w:tcBorders>
            <w:shd w:val="clear" w:color="auto" w:fill="FFFFFF"/>
            <w:tcMar>
              <w:top w:w="25" w:type="dxa"/>
              <w:left w:w="56" w:type="dxa"/>
              <w:bottom w:w="25" w:type="dxa"/>
              <w:right w:w="56" w:type="dxa"/>
            </w:tcMar>
            <w:vAlign w:val="center"/>
          </w:tcPr>
          <w:p w14:paraId="5D0C04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6</w:t>
            </w:r>
          </w:p>
        </w:tc>
      </w:tr>
      <w:tr w14:paraId="17BE1DE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91" w:type="dxa"/>
            <w:vMerge w:val="continue"/>
            <w:tcBorders>
              <w:top w:val="single" w:color="D1D1D1" w:sz="6" w:space="0"/>
              <w:left w:val="single" w:color="D1D1D1" w:sz="4" w:space="0"/>
              <w:bottom w:val="single" w:color="D1D1D1" w:sz="6" w:space="0"/>
              <w:right w:val="single" w:color="D1D1D1" w:sz="6" w:space="0"/>
            </w:tcBorders>
            <w:shd w:val="clear" w:color="auto" w:fill="FFFFFF"/>
            <w:tcMar>
              <w:top w:w="25" w:type="dxa"/>
              <w:left w:w="56" w:type="dxa"/>
              <w:bottom w:w="25" w:type="dxa"/>
              <w:right w:w="56" w:type="dxa"/>
            </w:tcMar>
            <w:vAlign w:val="center"/>
          </w:tcPr>
          <w:p w14:paraId="51EA5C00">
            <w:pPr>
              <w:rPr>
                <w:rStyle w:val="4"/>
                <w:rFonts w:hint="eastAsia"/>
              </w:rPr>
            </w:pPr>
          </w:p>
        </w:tc>
        <w:tc>
          <w:tcPr>
            <w:tcW w:w="1399" w:type="dxa"/>
            <w:tcBorders>
              <w:top w:val="single" w:color="D1D1D1" w:sz="6" w:space="0"/>
              <w:left w:val="single" w:color="D1D1D1" w:sz="6" w:space="0"/>
              <w:bottom w:val="single" w:color="D1D1D1" w:sz="4" w:space="0"/>
              <w:right w:val="single" w:color="D1D1D1" w:sz="6" w:space="0"/>
            </w:tcBorders>
            <w:shd w:val="clear" w:color="auto" w:fill="FFFFFF"/>
            <w:tcMar>
              <w:top w:w="25" w:type="dxa"/>
              <w:left w:w="56" w:type="dxa"/>
              <w:bottom w:w="25" w:type="dxa"/>
              <w:right w:w="56" w:type="dxa"/>
            </w:tcMar>
            <w:vAlign w:val="center"/>
          </w:tcPr>
          <w:p w14:paraId="24CCDD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临沂-芜湖</w:t>
            </w:r>
          </w:p>
        </w:tc>
        <w:tc>
          <w:tcPr>
            <w:tcW w:w="1112" w:type="dxa"/>
            <w:tcBorders>
              <w:top w:val="single" w:color="D1D1D1" w:sz="6" w:space="0"/>
              <w:left w:val="single" w:color="D1D1D1" w:sz="6" w:space="0"/>
              <w:bottom w:val="single" w:color="D1D1D1" w:sz="4" w:space="0"/>
              <w:right w:val="single" w:color="D1D1D1" w:sz="6" w:space="0"/>
            </w:tcBorders>
            <w:shd w:val="clear" w:color="auto" w:fill="FFFFFF"/>
            <w:tcMar>
              <w:top w:w="25" w:type="dxa"/>
              <w:left w:w="56" w:type="dxa"/>
              <w:bottom w:w="25" w:type="dxa"/>
              <w:right w:w="56" w:type="dxa"/>
            </w:tcMar>
            <w:vAlign w:val="center"/>
          </w:tcPr>
          <w:p w14:paraId="0463DA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30</w:t>
            </w:r>
          </w:p>
        </w:tc>
        <w:tc>
          <w:tcPr>
            <w:tcW w:w="920" w:type="dxa"/>
            <w:tcBorders>
              <w:top w:val="single" w:color="D1D1D1" w:sz="6" w:space="0"/>
              <w:left w:val="single" w:color="D1D1D1" w:sz="6" w:space="0"/>
              <w:bottom w:val="single" w:color="D1D1D1" w:sz="4" w:space="0"/>
              <w:right w:val="single" w:color="D1D1D1" w:sz="6" w:space="0"/>
            </w:tcBorders>
            <w:shd w:val="clear" w:color="auto" w:fill="FFFFFF"/>
            <w:tcMar>
              <w:top w:w="25" w:type="dxa"/>
              <w:left w:w="56" w:type="dxa"/>
              <w:bottom w:w="25" w:type="dxa"/>
              <w:right w:w="56" w:type="dxa"/>
            </w:tcMar>
            <w:vAlign w:val="center"/>
          </w:tcPr>
          <w:p w14:paraId="53F2F3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单程</w:t>
            </w:r>
          </w:p>
        </w:tc>
        <w:tc>
          <w:tcPr>
            <w:tcW w:w="1305" w:type="dxa"/>
            <w:tcBorders>
              <w:top w:val="single" w:color="D1D1D1" w:sz="6" w:space="0"/>
              <w:left w:val="single" w:color="D1D1D1" w:sz="6" w:space="0"/>
              <w:bottom w:val="single" w:color="D1D1D1" w:sz="4" w:space="0"/>
              <w:right w:val="single" w:color="D1D1D1" w:sz="6" w:space="0"/>
            </w:tcBorders>
            <w:shd w:val="clear" w:color="auto" w:fill="FFFFFF"/>
            <w:tcMar>
              <w:top w:w="25" w:type="dxa"/>
              <w:left w:w="56" w:type="dxa"/>
              <w:bottom w:w="25" w:type="dxa"/>
              <w:right w:w="56" w:type="dxa"/>
            </w:tcMar>
            <w:vAlign w:val="center"/>
          </w:tcPr>
          <w:p w14:paraId="0D7343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485</w:t>
            </w:r>
          </w:p>
        </w:tc>
        <w:tc>
          <w:tcPr>
            <w:tcW w:w="1797" w:type="dxa"/>
            <w:tcBorders>
              <w:top w:val="single" w:color="D1D1D1" w:sz="6" w:space="0"/>
              <w:left w:val="single" w:color="D1D1D1" w:sz="6" w:space="0"/>
              <w:bottom w:val="single" w:color="D1D1D1" w:sz="4" w:space="0"/>
              <w:right w:val="single" w:color="D1D1D1" w:sz="6" w:space="0"/>
            </w:tcBorders>
            <w:shd w:val="clear" w:color="auto" w:fill="FFFFFF"/>
            <w:tcMar>
              <w:top w:w="25" w:type="dxa"/>
              <w:left w:w="56" w:type="dxa"/>
              <w:bottom w:w="25" w:type="dxa"/>
              <w:right w:w="56" w:type="dxa"/>
            </w:tcMar>
            <w:vAlign w:val="center"/>
          </w:tcPr>
          <w:p w14:paraId="2DD57D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4074</w:t>
            </w:r>
          </w:p>
        </w:tc>
        <w:tc>
          <w:tcPr>
            <w:tcW w:w="1895" w:type="dxa"/>
            <w:tcBorders>
              <w:top w:val="single" w:color="D1D1D1" w:sz="6" w:space="0"/>
              <w:left w:val="single" w:color="D1D1D1" w:sz="6" w:space="0"/>
              <w:bottom w:val="single" w:color="D1D1D1" w:sz="4" w:space="0"/>
              <w:right w:val="single" w:color="D1D1D1" w:sz="4" w:space="0"/>
            </w:tcBorders>
            <w:shd w:val="clear" w:color="auto" w:fill="FFFFFF"/>
            <w:tcMar>
              <w:top w:w="25" w:type="dxa"/>
              <w:left w:w="56" w:type="dxa"/>
              <w:bottom w:w="25" w:type="dxa"/>
              <w:right w:w="56" w:type="dxa"/>
            </w:tcMar>
            <w:vAlign w:val="center"/>
          </w:tcPr>
          <w:p w14:paraId="308BB2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4"/>
                <w:rFonts w:hint="eastAsia"/>
              </w:rPr>
            </w:pPr>
            <w:r>
              <w:rPr>
                <w:rStyle w:val="4"/>
                <w:rFonts w:hint="eastAsia"/>
              </w:rPr>
              <w:t>210</w:t>
            </w:r>
          </w:p>
        </w:tc>
      </w:tr>
    </w:tbl>
    <w:p w14:paraId="627C9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（详见招标文件第五章《技术（服务）规范》）。</w:t>
      </w:r>
    </w:p>
    <w:p w14:paraId="0A084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40" w:lineRule="atLeast"/>
        <w:ind w:left="284" w:right="284" w:firstLine="480"/>
        <w:rPr>
          <w:rStyle w:val="4"/>
          <w:rFonts w:hint="eastAsia"/>
        </w:rPr>
      </w:pPr>
      <w:r>
        <w:rPr>
          <w:rStyle w:val="4"/>
          <w:rFonts w:hint="eastAsia"/>
        </w:rPr>
        <w:t>注：（1）投标人须以“包”为单位参加本项目的投标，并以“包”为单位提供投标文件。</w:t>
      </w:r>
    </w:p>
    <w:p w14:paraId="144D1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40" w:lineRule="atLeast"/>
        <w:ind w:left="284" w:right="284" w:firstLine="480"/>
        <w:textAlignment w:val="bottom"/>
        <w:rPr>
          <w:rStyle w:val="4"/>
          <w:rFonts w:hint="eastAsia"/>
        </w:rPr>
      </w:pPr>
      <w:r>
        <w:rPr>
          <w:rStyle w:val="4"/>
          <w:rFonts w:hint="eastAsia"/>
        </w:rPr>
        <w:t>（2）投标人报价如高于投标限价，其投标将被否决。</w:t>
      </w:r>
    </w:p>
    <w:p w14:paraId="3C8B9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248" w:firstLine="0"/>
        <w:textAlignment w:val="bottom"/>
        <w:rPr>
          <w:rStyle w:val="4"/>
          <w:rFonts w:hint="eastAsia"/>
        </w:rPr>
      </w:pPr>
      <w:r>
        <w:rPr>
          <w:rStyle w:val="4"/>
          <w:rFonts w:hint="eastAsia"/>
        </w:rPr>
        <w:t>（四）结算计价方式</w:t>
      </w:r>
    </w:p>
    <w:p w14:paraId="4540D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248" w:firstLine="0"/>
        <w:textAlignment w:val="bottom"/>
        <w:rPr>
          <w:rStyle w:val="4"/>
          <w:rFonts w:hint="eastAsia"/>
        </w:rPr>
      </w:pPr>
      <w:r>
        <w:rPr>
          <w:rStyle w:val="4"/>
          <w:rFonts w:hint="eastAsia"/>
        </w:rPr>
        <w:t>1.费用按月结算，根据各线路车型和发班数量计价邮路运费结算方法：每月运费=∑邮路单趟次车型单程单价×当月单程对应车型趟次+∑邮路单趟次车型往返单价×当月往返对应车型趟次（返程无量只按单程结算）。</w:t>
      </w:r>
    </w:p>
    <w:p w14:paraId="0F820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248" w:firstLine="0"/>
        <w:textAlignment w:val="bottom"/>
        <w:rPr>
          <w:rStyle w:val="4"/>
          <w:rFonts w:hint="eastAsia"/>
        </w:rPr>
      </w:pPr>
      <w:r>
        <w:rPr>
          <w:rStyle w:val="4"/>
          <w:rFonts w:hint="eastAsia"/>
        </w:rPr>
        <w:t>2.投标报价即为完成本项目所需的全部费用，投标人含税报价中包含运费、燃油费、过桥过路费、人工成本、固定资产成本、设备设施、交通工具维护成本、保险、税费、因断路施工造成车辆绕行产生的费用以及其他成本、费用和营业外支出等运行所涉及的一切成本，并已考虑淡旺季、节假日等因素。</w:t>
      </w:r>
    </w:p>
    <w:p w14:paraId="3BC17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248" w:firstLine="0"/>
        <w:textAlignment w:val="bottom"/>
        <w:rPr>
          <w:rStyle w:val="4"/>
          <w:rFonts w:hint="eastAsia"/>
        </w:rPr>
      </w:pPr>
      <w:r>
        <w:rPr>
          <w:rStyle w:val="4"/>
          <w:rFonts w:hint="eastAsia"/>
        </w:rPr>
        <w:t>四、投标人资格条件：</w:t>
      </w:r>
    </w:p>
    <w:p w14:paraId="32B04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（一）投标人必须是在中华人民共和国境内依法注册的、具有独立法人资格的、能独立承担民事责任的、有能力为本项目提供服务的单位。</w:t>
      </w:r>
    </w:p>
    <w:p w14:paraId="7C807D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（二）供应商须具备增值税一般纳税人资格，能开具增值税专用发票（提供承诺书加盖公章）。并能提供税务局开具的无欠税证明（非完税证明，开具时间不早于开标时间30天）。</w:t>
      </w:r>
    </w:p>
    <w:p w14:paraId="2CBEE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（三）投标人必须具备有效期内的《道路运输经营许可证》。</w:t>
      </w:r>
    </w:p>
    <w:p w14:paraId="562EA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（四）投标人须承诺中标后，根据招标人要求，在招标人指定的城市设立固定的经营场所或办公地点。（提供承诺书加盖公章）</w:t>
      </w:r>
    </w:p>
    <w:p w14:paraId="3C647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（五）具有良好的</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信誉</w:t>
      </w:r>
      <w:r>
        <w:rPr>
          <w:rStyle w:val="4"/>
          <w:rFonts w:hint="eastAsia"/>
        </w:rPr>
        <w:fldChar w:fldCharType="end"/>
      </w:r>
      <w:r>
        <w:rPr>
          <w:rStyle w:val="4"/>
          <w:rFonts w:hint="eastAsia"/>
        </w:rPr>
        <w:t>和健全的财务会计制度；投标人应提供近一年财务报表及审计报告，且年度的平均净利润不得为负值。参加采购活动前3年内在经营活动中没有重大违法与</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失信</w:t>
      </w:r>
      <w:r>
        <w:rPr>
          <w:rStyle w:val="4"/>
          <w:rFonts w:hint="eastAsia"/>
        </w:rPr>
        <w:fldChar w:fldCharType="end"/>
      </w:r>
      <w:r>
        <w:rPr>
          <w:rStyle w:val="4"/>
          <w:rFonts w:hint="eastAsia"/>
        </w:rPr>
        <w:t>记录；必须遵守《中华人民共和国招标投标法》及其它相关的国家法律、行政法规的规定。</w:t>
      </w:r>
    </w:p>
    <w:p w14:paraId="68D912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（六）被“</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信用</w:t>
      </w:r>
      <w:r>
        <w:rPr>
          <w:rStyle w:val="4"/>
          <w:rFonts w:hint="eastAsia"/>
        </w:rPr>
        <w:fldChar w:fldCharType="end"/>
      </w:r>
      <w:r>
        <w:rPr>
          <w:rStyle w:val="4"/>
          <w:rFonts w:hint="eastAsia"/>
        </w:rPr>
        <w:t>中国”（www.creditchina.gov.cn）列入失信被执行人名单的供应商，被中国政府采购网（www.ccgp.gov.cn）列入政府采购严重违法失信行为记录名单的供应商，均无资格参加本项目的采购活动。</w:t>
      </w:r>
    </w:p>
    <w:p w14:paraId="2282A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（七）被邮政企业列入采购黑名单且在有效期内的，不能参加采购。</w:t>
      </w:r>
    </w:p>
    <w:p w14:paraId="6323D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八）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提供承诺书加盖公章）</w:t>
      </w:r>
    </w:p>
    <w:p w14:paraId="000CB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（十）企业法定代表人或负责人为同一人或者存在控股、管理关系的不同供应商，不得同时参加本项目同一标段的投标。（提供承诺书加盖公章）</w:t>
      </w:r>
    </w:p>
    <w:p w14:paraId="3B91F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一）投标人承诺业务合作中若出现弄虚作假行为或出现虚假承诺、提供虚假发票、虚列成本费用套取资金、“小金库”、商业贿赂等行为，采购方有权解除合同，并纳入黑名单管理；以往采购项目存在以上情况的，采购方有权解除合同。（提供承诺书加盖公章）</w:t>
      </w:r>
    </w:p>
    <w:p w14:paraId="3DDF5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（十二）在与山东省内邮政企业以往合作项目存在纠纷争议、解除合同等尚未处理完毕的，不能参加采购。（提供承诺书加盖公章）</w:t>
      </w:r>
    </w:p>
    <w:p w14:paraId="5C8ACD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三）供应商须如实提供本单位法人、董事、监事、高管、直接与邮政企业对接人员的亲属在邮政系统工作情况，亲属关系范围包括夫妻关系，直系血亲关系，以及近姻亲关系；并承诺不影响本项目采购公正性。（提供承诺书加盖公章）</w:t>
      </w:r>
    </w:p>
    <w:p w14:paraId="6C43F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（十四）供应商承诺在与邮政企业往期合作期间，未发生过扣押货物、不服从调度、煽动或组织群体事件等行为。</w:t>
      </w:r>
    </w:p>
    <w:p w14:paraId="7F713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（十五）投标人能够提供准牵引总质量30吨及以上的牵引车头5个和核定载质量30吨及以上的半挂车厢5台。投标人提供的车辆应符合以下条件之一：</w:t>
      </w:r>
    </w:p>
    <w:p w14:paraId="671DB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①投标人所有车辆（此种情形，投标人提供证明材料须证明车辆属于供应商所有）；</w:t>
      </w:r>
    </w:p>
    <w:p w14:paraId="3BB7E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②投标人的分公司、子公司、控股公司所有车辆（此种情形，投标人提供证明材料须证明其分公司、子公司、控股公司与投标人的所属关系，且提供证明材料须证明车辆属于相关分公司、子公司、控股公司所有）；</w:t>
      </w:r>
    </w:p>
    <w:p w14:paraId="2BC99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③与投标人的法定代表人为同一人的企业所拥有的车辆（此种情形，供应商提供证明材料须证明相关企业的法定代表人与供应商的法定代表人为同一人，且提供证明材料须证明车辆属于相关企业所有）。</w:t>
      </w:r>
    </w:p>
    <w:p w14:paraId="42530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以上3种情形视为投标人自有车辆；投标人须提供每台车辆的行驶证复印件（加盖公司公章），且车辆年检全部合格，符合国家规定技术标准。核标时如发现存在伪造车辆信息的企业，直接剔除其投标资格。</w:t>
      </w:r>
    </w:p>
    <w:p w14:paraId="2DE84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六）投标人须提供自2022年1月1日起至少1个邮政或快递物流行业委托运输业绩合同，合同累计金额不低于100万元，投标人需提供合同复印件关键页并加盖公章，同时须提供相对应的满足金额要求的年度结算发票复印件并加盖公章，发票按时间顺序排列且合计金额与合同金额一致。</w:t>
      </w:r>
    </w:p>
    <w:p w14:paraId="27478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（十七）投标人可以使用非自有车辆提供服务，同时投标人须承诺对本项目所有车辆的运输服务承担全部责任。</w:t>
      </w:r>
    </w:p>
    <w:p w14:paraId="1DF2D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（十八）投标人的在职司机不得少于5人，提供在职司机的社保缴费证明及对应的驾驶证（须为A2驾驶证）。</w:t>
      </w:r>
    </w:p>
    <w:p w14:paraId="74B7C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（十九）本项目不接受联合体投标；本项目不得转包、分包。</w:t>
      </w:r>
    </w:p>
    <w:p w14:paraId="444D7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20" w:beforeAutospacing="0" w:after="0" w:afterAutospacing="0" w:line="240" w:lineRule="atLeast"/>
        <w:ind w:left="0" w:right="0" w:firstLine="0"/>
        <w:rPr>
          <w:rStyle w:val="4"/>
          <w:rFonts w:hint="eastAsia"/>
        </w:rPr>
      </w:pPr>
      <w:r>
        <w:rPr>
          <w:rStyle w:val="4"/>
          <w:rFonts w:hint="eastAsia"/>
        </w:rPr>
        <w:t>注：投标人须按照“第四章 投标文件格式”的要求提供上述资格要求的有效证明材料，否则，其投标将被否决。</w:t>
      </w:r>
    </w:p>
    <w:p w14:paraId="099C44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五、招标文件的获取方式：</w:t>
      </w:r>
    </w:p>
    <w:p w14:paraId="641B29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80" w:lineRule="atLeast"/>
        <w:ind w:left="284" w:right="284" w:firstLine="0"/>
        <w:textAlignment w:val="bottom"/>
        <w:rPr>
          <w:rStyle w:val="4"/>
          <w:rFonts w:hint="eastAsia"/>
        </w:rPr>
      </w:pPr>
      <w:r>
        <w:rPr>
          <w:rStyle w:val="4"/>
          <w:rFonts w:hint="eastAsia"/>
        </w:rPr>
        <w:t>（一）办理CA证书</w:t>
      </w:r>
    </w:p>
    <w:p w14:paraId="3E60E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284" w:right="284" w:firstLine="423"/>
        <w:textAlignment w:val="bottom"/>
        <w:rPr>
          <w:rStyle w:val="4"/>
          <w:rFonts w:hint="eastAsia"/>
        </w:rPr>
      </w:pPr>
      <w:r>
        <w:rPr>
          <w:rStyle w:val="4"/>
          <w:rFonts w:hint="eastAsia"/>
        </w:rPr>
        <w:t>登录“中国邮政电子采购与供应平台”（网址：https://cg.11185.cn）办理CA证书等。                                                  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-898-8881，CA客服电话：400-788-8550 （周一～周五9:00-17:00）。</w:t>
      </w:r>
    </w:p>
    <w:p w14:paraId="6E7DD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80" w:lineRule="atLeast"/>
        <w:ind w:left="284" w:right="284" w:firstLine="0"/>
        <w:textAlignment w:val="bottom"/>
        <w:rPr>
          <w:rStyle w:val="4"/>
          <w:rFonts w:hint="eastAsia"/>
        </w:rPr>
      </w:pPr>
      <w:r>
        <w:rPr>
          <w:rStyle w:val="4"/>
          <w:rFonts w:hint="eastAsia"/>
        </w:rPr>
        <w:t>（二）获取招标文件</w:t>
      </w:r>
    </w:p>
    <w:p w14:paraId="4AC475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560"/>
        <w:textAlignment w:val="bottom"/>
        <w:rPr>
          <w:rStyle w:val="4"/>
          <w:rFonts w:hint="eastAsia"/>
        </w:rPr>
      </w:pPr>
      <w:r>
        <w:rPr>
          <w:rStyle w:val="4"/>
          <w:rFonts w:hint="eastAsia"/>
        </w:rPr>
        <w:t>获取文件流程：进入平台—注册并办理CA—（审批通过）—选择参加的项目/选择接受邀请的项目—上传报名资料—（审批通过）—购买</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采购文件</w:t>
      </w:r>
      <w:r>
        <w:rPr>
          <w:rStyle w:val="4"/>
          <w:rFonts w:hint="eastAsia"/>
        </w:rPr>
        <w:fldChar w:fldCharType="end"/>
      </w:r>
      <w:r>
        <w:rPr>
          <w:rStyle w:val="4"/>
          <w:rFonts w:hint="eastAsia"/>
        </w:rPr>
        <w:t>—填写并上传订单信息（支付凭证）—（审批通过）—下载采购文件（具体参照平台页面右下角“供应商操作指南”）。</w:t>
      </w:r>
    </w:p>
    <w:p w14:paraId="39C17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    凡有意参加响应者，请于2025年10月22日至2025年10月27日，每日上午09时至11时，下午13时至16时（北京时间，下同），通过“中国邮政电子采购与供应平台”获取采购文件。供应商须按包报名，投标人提供的投标报名资料需按下列顺序排列，并加盖公章后按照平台认可格式上传，上传时文件夹命名为所投项目编号|公司名称，出现未按规定上传、资料不全、资料不合格的情况，拒绝接受。报名需要上传资料营业执照副本、授权委托书、法定代表人被授权人身份证（以上资料均须复印件加盖公章扫描）。（注：为保证投标人顺利报名完成，请投标人上传报名资料最晚时间在报名截止前两个小时上传，如因投标人上传报名资料不足两个小时，造成因资料审核未通过或投标人不能及时上传更正报名资料，导致的报名失败，后果由投标人自负。投标报名时的资料查验，不代表资格审查的最终通过或合格，投标人最终资格的确认以评标委员会组织的资格后审为准。）供应商应将获取文件时的报名资料上传至“中国邮政电子采购与供应平台”对应的报名项目中，经审核后即可缴纳报名费。本项目文件费用为200元（联系招标代理人采用线下支付并上传缴费凭证方式交纳）（注：报名资料审核通过后缴纳文件费，如报名资料审核不通过，已缴纳的文件费不予退还），采购文件售后不退。供应商应将获取文件时的支付凭证同步上传至“中国邮政电子采购与供应平台”对应的报名项目中，经审核后即可下载采购文件。</w:t>
      </w:r>
    </w:p>
    <w:p w14:paraId="3D4C0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40" w:lineRule="atLeast"/>
        <w:ind w:left="0" w:right="0" w:firstLine="480"/>
        <w:textAlignment w:val="bottom"/>
        <w:rPr>
          <w:rStyle w:val="4"/>
          <w:rFonts w:hint="eastAsia"/>
        </w:rPr>
      </w:pPr>
      <w:r>
        <w:rPr>
          <w:rStyle w:val="4"/>
          <w:rFonts w:hint="eastAsia"/>
        </w:rPr>
        <w:t>注：供应商须在“中国邮政电子采购与供应平台”（网址：https://cg.11185.cn）完成“下载采购文件”的操作。</w:t>
      </w:r>
    </w:p>
    <w:p w14:paraId="0F782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六、投标文件的递交：</w:t>
      </w:r>
    </w:p>
    <w:p w14:paraId="451C6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（一）递交平台、递交时间及签到：线上电子版与纸质版</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响应文件</w:t>
      </w:r>
      <w:r>
        <w:rPr>
          <w:rStyle w:val="4"/>
          <w:rFonts w:hint="eastAsia"/>
        </w:rPr>
        <w:fldChar w:fldCharType="end"/>
      </w:r>
      <w:r>
        <w:rPr>
          <w:rStyle w:val="4"/>
          <w:rFonts w:hint="eastAsia"/>
        </w:rPr>
        <w:t>递交的截止时间均为2025年11月06日上午09:30（北京时间），供应商应在截止时间前通过“中国邮政电子采购与供应平台”（网址：https://cg.11185.cn）递交加密的线上电子版响应文件，并在2025年11月06日上午08:30 -09:30（北京时间）现场完成纸质版响应文件和线上电子版响应文件“签到”流程。供应商未完成“电子版响应文件递交”及“签到”流程，响应将被拒绝。请供应商准备签到、解密所需CA、电脑等必备设备，供应商应通过制作电子版响应文件的电脑解密电子版响应文件，保证网络畅通、运行环境良好、介质完好等，逾期递交的线上电子版响应文件以及不符合规定的线上电子版响应文件将被拒绝。</w:t>
      </w:r>
    </w:p>
    <w:p w14:paraId="025B9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二）递交及解密地点：华春建设工程项目管理有限责任公司、山东省济南市市中区英雄山路221号三楼开标室。供应商须派代表当面递交纸质版响应文件，并且通过制作线上电子版响应文件的电脑解密线上电子版响应文件，保证网络畅通、运行环境良好、介质完好等。逾期递交的纸质版和线上电子版响应文件以及不符合规定的纸质版和线上电子版响应文件将被拒绝。</w:t>
      </w:r>
    </w:p>
    <w:p w14:paraId="7089F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40" w:lineRule="atLeast"/>
        <w:ind w:left="0" w:right="0" w:firstLine="0"/>
        <w:rPr>
          <w:rStyle w:val="4"/>
          <w:rFonts w:hint="eastAsia"/>
        </w:rPr>
      </w:pPr>
      <w:r>
        <w:rPr>
          <w:rStyle w:val="4"/>
          <w:rFonts w:hint="eastAsia"/>
        </w:rPr>
        <w:t>注：</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纸质文件</w:t>
      </w:r>
      <w:r>
        <w:rPr>
          <w:rStyle w:val="4"/>
          <w:rFonts w:hint="eastAsia"/>
        </w:rPr>
        <w:fldChar w:fldCharType="end"/>
      </w:r>
      <w:r>
        <w:rPr>
          <w:rStyle w:val="4"/>
          <w:rFonts w:hint="eastAsia"/>
        </w:rPr>
        <w:t>作为归档使用。纸质版响应文件递交时间要求：供应商应在【2025】年【11】月【06】日上午08:30-09:30（北京时间）现场递交至【华春建设工程项目管理有限责任公司、山东省济南市市中区英雄山路221号三楼开标室】。</w:t>
      </w:r>
    </w:p>
    <w:p w14:paraId="49700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40" w:lineRule="atLeast"/>
        <w:ind w:left="0" w:right="0" w:firstLine="0"/>
        <w:rPr>
          <w:rStyle w:val="4"/>
          <w:rFonts w:hint="eastAsia"/>
        </w:rPr>
      </w:pPr>
      <w:r>
        <w:rPr>
          <w:rStyle w:val="4"/>
          <w:rFonts w:hint="eastAsia"/>
        </w:rPr>
        <w:t>逾期递交的纸质版和线上电子版响应文件以及不符合规定的纸质版和线上电子版响应文件将被拒绝。</w:t>
      </w:r>
    </w:p>
    <w:p w14:paraId="0D2D2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三）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开标时，尽快使用CA证书完成线上电子版投标文件的解密。</w:t>
      </w:r>
    </w:p>
    <w:p w14:paraId="57BB9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rPr>
          <w:rStyle w:val="4"/>
          <w:rFonts w:hint="eastAsia"/>
        </w:rPr>
      </w:pPr>
      <w:r>
        <w:rPr>
          <w:rStyle w:val="4"/>
          <w:rFonts w:hint="eastAsia"/>
        </w:rPr>
        <w:t>（四）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650C0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40" w:lineRule="atLeast"/>
        <w:ind w:left="284" w:right="0" w:firstLine="0"/>
        <w:rPr>
          <w:rStyle w:val="4"/>
          <w:rFonts w:hint="eastAsia"/>
        </w:rPr>
      </w:pPr>
      <w:r>
        <w:rPr>
          <w:rStyle w:val="4"/>
          <w:rFonts w:hint="eastAsia"/>
        </w:rPr>
        <w:t>注：</w:t>
      </w:r>
    </w:p>
    <w:p w14:paraId="26C01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40" w:lineRule="atLeast"/>
        <w:ind w:left="284" w:right="0" w:firstLine="0"/>
        <w:rPr>
          <w:rStyle w:val="4"/>
          <w:rFonts w:hint="eastAsia"/>
        </w:rPr>
      </w:pPr>
      <w:r>
        <w:rPr>
          <w:rStyle w:val="4"/>
          <w:rFonts w:hint="eastAsia"/>
        </w:rPr>
        <w:t>线上电子版投标文件指：按招标文件要求通过《中国邮政投标管家》工具编制、加密、上传至“中国邮政电子采购与供应平台”（网址：https://cg.11185.cn）的电子版投标文件。</w:t>
      </w:r>
    </w:p>
    <w:p w14:paraId="31B02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40" w:lineRule="atLeast"/>
        <w:ind w:left="284" w:right="0" w:firstLine="0"/>
        <w:rPr>
          <w:rStyle w:val="4"/>
          <w:rFonts w:hint="eastAsia"/>
        </w:rPr>
      </w:pPr>
      <w:r>
        <w:rPr>
          <w:rStyle w:val="4"/>
          <w:rFonts w:hint="eastAsia"/>
        </w:rPr>
        <w:t>纸质版投标文件指：纸质版投标文件应为线上电子版投标文件的打印版或加盖公章、签字的纸质版。</w:t>
      </w:r>
    </w:p>
    <w:p w14:paraId="32890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40" w:lineRule="atLeast"/>
        <w:ind w:left="284" w:right="0" w:firstLine="0"/>
        <w:rPr>
          <w:rStyle w:val="4"/>
          <w:rFonts w:hint="eastAsia"/>
        </w:rPr>
      </w:pPr>
      <w:r>
        <w:rPr>
          <w:rStyle w:val="4"/>
          <w:rFonts w:hint="eastAsia"/>
        </w:rPr>
        <w:t>纸质版投标文件应与线上电子版投标文件保持一致，如不一致以线上电子版投标文件为准。</w:t>
      </w:r>
    </w:p>
    <w:p w14:paraId="258BB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七、开标：</w:t>
      </w:r>
    </w:p>
    <w:p w14:paraId="115BA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284" w:right="0" w:firstLine="0"/>
        <w:textAlignment w:val="bottom"/>
        <w:rPr>
          <w:rStyle w:val="4"/>
          <w:rFonts w:hint="eastAsia"/>
        </w:rPr>
      </w:pPr>
      <w:r>
        <w:rPr>
          <w:rStyle w:val="4"/>
          <w:rFonts w:hint="eastAsia"/>
        </w:rPr>
        <w:t>（一）开标形式：本项目采用在“中国邮政电子采购与供应平台”（网址：https://cg.11185.cn）线上解密开标，递交投标文件的设备需为投标人自主可控的电脑终端设备，不得与其他投标人使用同一台电脑递交投标文件。</w:t>
      </w:r>
    </w:p>
    <w:p w14:paraId="589EF5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284" w:right="0" w:firstLine="0"/>
        <w:textAlignment w:val="bottom"/>
        <w:rPr>
          <w:rStyle w:val="4"/>
          <w:rFonts w:hint="eastAsia"/>
        </w:rPr>
      </w:pPr>
      <w:r>
        <w:rPr>
          <w:rStyle w:val="4"/>
          <w:rFonts w:hint="eastAsia"/>
        </w:rPr>
        <w:t>（二）开标时间：2025年11月06日上午09:30（北京时间）。线上电子版投标文件现场解密时间为：2025年11月06日上午09:30（北京时间）。投标人须自行考虑互联网网络及运行环境不畅、介质损坏等因素造成的风险。投标人未在规定时间内完成线上电子版投标文件解密流程，投标将被拒绝。（签到后安排的系统解密预留操作时间不少于半小时，可根据项目规模及报名人数适当延长）</w:t>
      </w:r>
    </w:p>
    <w:p w14:paraId="61FD2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八、发布公告的媒体：（适用于公开招标）</w:t>
      </w:r>
    </w:p>
    <w:p w14:paraId="65513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1）《中国采购与招标网》（http://www.chinabidding.com.cn）</w:t>
      </w:r>
    </w:p>
    <w:p w14:paraId="59FE9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2）《山东省采购与招标网》（https://www.sdbidding.org.cn/）</w:t>
      </w:r>
    </w:p>
    <w:p w14:paraId="1D82E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3）《中国邮政官方网站》（www.chinapost.com.cn）</w:t>
      </w:r>
    </w:p>
    <w:p w14:paraId="2C896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4）《中国邮政电子采购与供应平台》（https://cg.11185.cn）</w:t>
      </w:r>
    </w:p>
    <w:p w14:paraId="0569B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上同时发布。</w:t>
      </w:r>
    </w:p>
    <w:p w14:paraId="7AE16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其它网站转载无效。（按照采购管理办法执行）</w:t>
      </w:r>
    </w:p>
    <w:p w14:paraId="6E989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80" w:lineRule="atLeast"/>
        <w:ind w:left="0" w:right="0" w:firstLine="0"/>
        <w:textAlignment w:val="bottom"/>
        <w:rPr>
          <w:rStyle w:val="4"/>
          <w:rFonts w:hint="eastAsia"/>
        </w:rPr>
      </w:pPr>
      <w:r>
        <w:rPr>
          <w:rStyle w:val="4"/>
          <w:rFonts w:hint="eastAsia"/>
        </w:rPr>
        <w:t>公告期限</w:t>
      </w:r>
    </w:p>
    <w:p w14:paraId="48929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2025年10月22日至2025年10月27日</w:t>
      </w:r>
    </w:p>
    <w:p w14:paraId="34AB4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80" w:beforeAutospacing="0" w:after="280" w:afterAutospacing="0" w:line="280" w:lineRule="atLeast"/>
        <w:ind w:left="0" w:right="0" w:firstLine="0"/>
        <w:textAlignment w:val="bottom"/>
        <w:rPr>
          <w:rStyle w:val="4"/>
          <w:rFonts w:hint="eastAsia"/>
        </w:rPr>
      </w:pPr>
      <w:r>
        <w:rPr>
          <w:rStyle w:val="4"/>
          <w:rFonts w:hint="eastAsia"/>
        </w:rPr>
        <w:t>九、联系方式：</w:t>
      </w:r>
    </w:p>
    <w:p w14:paraId="670D4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代理机构/采购人：华春建设工程项目管理有限责任公司</w:t>
      </w:r>
    </w:p>
    <w:p w14:paraId="322E3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详细地址：山东省济南市市中区英雄山路221号三楼</w:t>
      </w:r>
    </w:p>
    <w:p w14:paraId="44E8C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邮    编：250000</w:t>
      </w:r>
    </w:p>
    <w:p w14:paraId="764A6B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项目联系人: 董经理</w:t>
      </w:r>
    </w:p>
    <w:p w14:paraId="4B83B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电    话：13953127127、0531-87039399</w:t>
      </w:r>
    </w:p>
    <w:p w14:paraId="12404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--户名： 华春建设工程项目管理有限责任公司山东分公司</w:t>
      </w:r>
    </w:p>
    <w:p w14:paraId="4F61D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--开户银行：中国工商银行股份有限公司济南经五路支行</w:t>
      </w:r>
    </w:p>
    <w:p w14:paraId="706CB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--账    号：  1602111819000043315</w:t>
      </w:r>
    </w:p>
    <w:p w14:paraId="30C5A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73" w:lineRule="atLeast"/>
        <w:ind w:left="0" w:right="0" w:firstLine="0"/>
        <w:rPr>
          <w:rStyle w:val="4"/>
          <w:rFonts w:hint="eastAsia"/>
        </w:rPr>
      </w:pPr>
      <w:r>
        <w:rPr>
          <w:rStyle w:val="4"/>
          <w:rFonts w:hint="eastAsia"/>
        </w:rPr>
        <w:t>--电子邮件：huachunzx@vip.126.com</w:t>
      </w:r>
    </w:p>
    <w:p w14:paraId="52BD477C">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2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2025-10-21T06:44:56Z</dcterms:created>
  <dc:creator>28039</dc:creator>
  <cp:lastModifiedBy>璇儿</cp:lastModifiedBy>
  <dcterms:modified xsi:type="dcterms:W3CDTF">2025-10-21T06:47:51Z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AE674538231B4616ABFB60C0F6F77154_12</vt:lpwstr>
  </property>
</Properties>
</file>