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7AE0D4">
      <w:pPr>
        <w:jc w:val="right"/>
        <w:rPr>
          <w:rFonts w:ascii="黑体" w:eastAsia="黑体"/>
          <w:color w:val="auto"/>
          <w:szCs w:val="21"/>
          <w:highlight w:val="none"/>
        </w:rPr>
      </w:pPr>
    </w:p>
    <w:p w14:paraId="6E065627">
      <w:pPr>
        <w:pStyle w:val="38"/>
        <w:ind w:firstLine="400"/>
        <w:rPr>
          <w:color w:val="auto"/>
          <w:highlight w:val="none"/>
        </w:rPr>
      </w:pPr>
    </w:p>
    <w:p w14:paraId="489633B7">
      <w:pPr>
        <w:rPr>
          <w:color w:val="auto"/>
          <w:highlight w:val="none"/>
        </w:rPr>
      </w:pPr>
    </w:p>
    <w:p w14:paraId="33E16746">
      <w:pPr>
        <w:rPr>
          <w:color w:val="auto"/>
          <w:highlight w:val="none"/>
        </w:rPr>
      </w:pPr>
    </w:p>
    <w:p w14:paraId="342368DC">
      <w:pPr>
        <w:rPr>
          <w:color w:val="auto"/>
          <w:highlight w:val="none"/>
        </w:rPr>
      </w:pPr>
    </w:p>
    <w:p w14:paraId="1A4891AF">
      <w:pP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公开采购文件</w:t>
      </w:r>
    </w:p>
    <w:p w14:paraId="7509A302">
      <w:pPr>
        <w:rPr>
          <w:color w:val="auto"/>
          <w:highlight w:val="none"/>
        </w:rPr>
      </w:pPr>
    </w:p>
    <w:p w14:paraId="23B574EA">
      <w:pPr>
        <w:pStyle w:val="10"/>
        <w:rPr>
          <w:color w:val="auto"/>
          <w:highlight w:val="none"/>
        </w:rPr>
      </w:pPr>
    </w:p>
    <w:tbl>
      <w:tblPr>
        <w:tblStyle w:val="31"/>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3"/>
        <w:gridCol w:w="6203"/>
      </w:tblGrid>
      <w:tr w14:paraId="3F26D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trPr>
        <w:tc>
          <w:tcPr>
            <w:tcW w:w="2613" w:type="dxa"/>
            <w:noWrap/>
            <w:vAlign w:val="center"/>
          </w:tcPr>
          <w:p w14:paraId="11124DC8">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203" w:type="dxa"/>
            <w:noWrap/>
            <w:vAlign w:val="center"/>
          </w:tcPr>
          <w:p w14:paraId="4E1D430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val="en-US" w:eastAsia="zh-CN"/>
              </w:rPr>
              <w:t>东莞市新东欣环保投资有限公司</w:t>
            </w:r>
            <w:r>
              <w:rPr>
                <w:rFonts w:hint="eastAsia" w:ascii="黑体" w:hAnsi="黑体" w:eastAsia="黑体" w:cs="黑体"/>
                <w:bCs/>
                <w:color w:val="auto"/>
                <w:sz w:val="32"/>
                <w:szCs w:val="24"/>
                <w:highlight w:val="none"/>
                <w:u w:val="single"/>
                <w:lang w:eastAsia="zh-CN"/>
              </w:rPr>
              <w:t>莞惠区域危废运输服务项目</w:t>
            </w:r>
          </w:p>
        </w:tc>
      </w:tr>
      <w:tr w14:paraId="71513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2613" w:type="dxa"/>
            <w:noWrap/>
            <w:vAlign w:val="center"/>
          </w:tcPr>
          <w:p w14:paraId="0A7350A7">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203" w:type="dxa"/>
            <w:noWrap/>
            <w:vAlign w:val="center"/>
          </w:tcPr>
          <w:p w14:paraId="20E43E5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u w:val="single"/>
              </w:rPr>
              <w:t>XDX-GK-2025-001</w:t>
            </w:r>
          </w:p>
        </w:tc>
      </w:tr>
      <w:tr w14:paraId="055BB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14:paraId="24AACE5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203" w:type="dxa"/>
            <w:noWrap/>
            <w:vAlign w:val="center"/>
          </w:tcPr>
          <w:p w14:paraId="55C2D08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东莞市新东欣环保投资有限公司</w:t>
            </w:r>
          </w:p>
        </w:tc>
      </w:tr>
      <w:tr w14:paraId="64737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trPr>
        <w:tc>
          <w:tcPr>
            <w:tcW w:w="2613" w:type="dxa"/>
            <w:noWrap/>
            <w:vAlign w:val="center"/>
          </w:tcPr>
          <w:p w14:paraId="610CC3D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203" w:type="dxa"/>
            <w:noWrap/>
            <w:vAlign w:val="center"/>
          </w:tcPr>
          <w:p w14:paraId="1CB08EC1">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广东人信工程咨询有限公司</w:t>
            </w:r>
          </w:p>
        </w:tc>
      </w:tr>
    </w:tbl>
    <w:p w14:paraId="1624F492">
      <w:pPr>
        <w:jc w:val="center"/>
        <w:rPr>
          <w:rFonts w:ascii="黑体" w:eastAsia="黑体"/>
          <w:color w:val="auto"/>
          <w:szCs w:val="21"/>
          <w:highlight w:val="none"/>
        </w:rPr>
      </w:pPr>
    </w:p>
    <w:p w14:paraId="67C0F9A5">
      <w:pPr>
        <w:jc w:val="center"/>
        <w:rPr>
          <w:rFonts w:ascii="黑体" w:eastAsia="黑体"/>
          <w:color w:val="auto"/>
          <w:szCs w:val="21"/>
          <w:highlight w:val="none"/>
        </w:rPr>
      </w:pPr>
    </w:p>
    <w:p w14:paraId="27E4FE64">
      <w:pPr>
        <w:jc w:val="center"/>
        <w:rPr>
          <w:rFonts w:ascii="黑体" w:eastAsia="黑体"/>
          <w:color w:val="auto"/>
          <w:szCs w:val="21"/>
          <w:highlight w:val="none"/>
        </w:rPr>
      </w:pPr>
    </w:p>
    <w:p w14:paraId="403C9786">
      <w:pPr>
        <w:pStyle w:val="38"/>
        <w:ind w:firstLine="400"/>
        <w:rPr>
          <w:color w:val="auto"/>
          <w:highlight w:val="none"/>
        </w:rPr>
      </w:pPr>
    </w:p>
    <w:p w14:paraId="345C6B4D">
      <w:pPr>
        <w:jc w:val="center"/>
        <w:rPr>
          <w:rFonts w:ascii="黑体" w:eastAsia="黑体"/>
          <w:color w:val="auto"/>
          <w:szCs w:val="21"/>
          <w:highlight w:val="none"/>
        </w:rPr>
      </w:pPr>
    </w:p>
    <w:p w14:paraId="32559E64">
      <w:pPr>
        <w:jc w:val="center"/>
        <w:rPr>
          <w:rFonts w:ascii="黑体" w:eastAsia="黑体"/>
          <w:color w:val="auto"/>
          <w:szCs w:val="21"/>
          <w:highlight w:val="none"/>
        </w:rPr>
      </w:pPr>
    </w:p>
    <w:p w14:paraId="6D1E8FAC">
      <w:pP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hint="eastAsia" w:ascii="黑体" w:hAnsi="黑体" w:eastAsia="黑体" w:cs="黑体"/>
          <w:bCs/>
          <w:color w:val="auto"/>
          <w:sz w:val="32"/>
          <w:szCs w:val="24"/>
          <w:highlight w:val="none"/>
          <w:lang w:val="en-US" w:eastAsia="zh-CN"/>
        </w:rPr>
        <w:t>25</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10</w:t>
      </w:r>
      <w:r>
        <w:rPr>
          <w:rFonts w:hint="eastAsia" w:ascii="黑体" w:hAnsi="黑体" w:eastAsia="黑体" w:cs="黑体"/>
          <w:bCs/>
          <w:color w:val="auto"/>
          <w:sz w:val="32"/>
          <w:szCs w:val="24"/>
          <w:highlight w:val="none"/>
        </w:rPr>
        <w:t>月</w:t>
      </w:r>
    </w:p>
    <w:p w14:paraId="66B5691D">
      <w:pP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14:paraId="16B1D490">
      <w:pPr>
        <w:pStyle w:val="23"/>
        <w:ind w:left="0" w:leftChars="0"/>
        <w:rPr>
          <w:color w:val="auto"/>
          <w:sz w:val="40"/>
          <w:szCs w:val="40"/>
          <w:highlight w:val="none"/>
        </w:rPr>
      </w:pPr>
      <w:r>
        <w:rPr>
          <w:rFonts w:hint="eastAsia"/>
          <w:color w:val="auto"/>
          <w:sz w:val="40"/>
          <w:szCs w:val="40"/>
          <w:highlight w:val="none"/>
        </w:rPr>
        <w:t>目录</w:t>
      </w:r>
    </w:p>
    <w:p w14:paraId="1838F78C">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TOC \o "1-4" \h \z \u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_Toc21468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第一部分投</w:t>
      </w:r>
      <w:r>
        <w:rPr>
          <w:rFonts w:hint="eastAsia" w:ascii="宋体" w:hAnsi="宋体" w:eastAsia="宋体" w:cs="宋体"/>
          <w:color w:val="auto"/>
          <w:sz w:val="21"/>
          <w:szCs w:val="21"/>
          <w:highlight w:val="none"/>
        </w:rPr>
        <w:t>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E517CBA">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_Toc20244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_Toc20244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D5F68C3">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_Toc2962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第二部分相关资料表格</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77BEF65">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_Toc20179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附表一：投标资料表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AA4B867">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_Toc20815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附表二：商务技术评分及价格权重表（满分100分）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3680FAC">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_Toc462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第三部分用户需求书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529AF3A">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_Toc23668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ED8F8D6">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_Toc25642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3A7E6A3">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_Toc20293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第四部分投标人须知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_Toc20293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C74320A">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_Toc3120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一、 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3B858F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_Toc3054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AC86D51">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_Toc5540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AF5B538">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_Toc6245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 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_Toc6245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A14DA0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_Toc16486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4. 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201086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_Toc18369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5.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_Toc18369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E11355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_Toc17160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6. 关于联合体投标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本项目不接受联合体投标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0540AB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_Toc11994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7. 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F371CA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_Toc23907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8. 踏勘现场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7117281">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_Toc6908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二、 采购文件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E855F76">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_Toc26880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9. 采购文件的组成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C8FB8AC">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_Toc824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10. 采购文件的澄清或修改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22D1FE7">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_Toc7603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三、 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_Toc7603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483A08F">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_Toc28939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11. 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_Toc28939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8C52229">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_Toc13332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12. 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_Toc13332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535697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_Toc889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13. 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ABDD99F">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_Toc7355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14. 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9EBDBE7">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_Toc2001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15. 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0A2DFB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_Toc31342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16. 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_Toc31342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B0D58D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_Toc15789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17. 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_Toc15789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12140E6">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_Toc16028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 xml:space="preserve">四、 </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_Toc16028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7F6AE4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_Toc18423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 xml:space="preserve">18. </w:t>
      </w:r>
      <w:r>
        <w:rPr>
          <w:rFonts w:hint="eastAsia" w:ascii="宋体" w:hAnsi="宋体" w:eastAsia="宋体" w:cs="宋体"/>
          <w:color w:val="auto"/>
          <w:sz w:val="21"/>
          <w:szCs w:val="21"/>
          <w:highlight w:val="none"/>
        </w:rPr>
        <w:t>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_Toc18423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1BCEBB1">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_Toc736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19. 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0069330">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_Toc6893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20. 投标样品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本项目无需</w:t>
      </w:r>
      <w:r>
        <w:rPr>
          <w:rFonts w:hint="eastAsia" w:ascii="宋体" w:hAnsi="宋体" w:eastAsia="宋体" w:cs="宋体"/>
          <w:color w:val="auto"/>
          <w:sz w:val="21"/>
          <w:szCs w:val="21"/>
          <w:highlight w:val="none"/>
        </w:rPr>
        <w:t>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_Toc6893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E154C6A">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_Toc20315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21. 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_Toc20315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4E4110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_Toc30595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22. 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5A9302B">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_Toc15656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五、 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A52D9D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_Toc18065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23. 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CBFC79B">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_Toc7486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24. 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FFAC7EB">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_Toc31404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25. 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_Toc31404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3837ED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_Toc20338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 xml:space="preserve">26. </w:t>
      </w:r>
      <w:r>
        <w:rPr>
          <w:rFonts w:hint="eastAsia" w:ascii="宋体" w:hAnsi="宋体" w:eastAsia="宋体" w:cs="宋体"/>
          <w:color w:val="auto"/>
          <w:sz w:val="21"/>
          <w:szCs w:val="21"/>
          <w:highlight w:val="none"/>
        </w:rPr>
        <w:t>评标程序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_Toc20338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6FD9AEE">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_Toc5539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27. 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F9A1FC6">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_Toc4729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 xml:space="preserve">28. </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031E312">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_Toc5868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六、 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1F40FF0">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_Toc7454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29. 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B4E031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_Toc659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30. 发布中标结果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80937F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_Toc4617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31. 资格后审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_Toc4617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B8FA18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_Toc27736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32. 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_Toc27736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86FAF5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_Toc10948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33. 履约担保</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A1F872A">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_Toc4395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34. 预付款保函（</w:t>
      </w:r>
      <w:r>
        <w:rPr>
          <w:rFonts w:hint="eastAsia" w:ascii="宋体" w:hAnsi="宋体" w:eastAsia="宋体" w:cs="宋体"/>
          <w:color w:val="auto"/>
          <w:sz w:val="21"/>
          <w:szCs w:val="21"/>
          <w:highlight w:val="none"/>
          <w:lang w:val="en-US" w:eastAsia="zh-CN"/>
        </w:rPr>
        <w:t>本项目无</w:t>
      </w:r>
      <w:r>
        <w:rPr>
          <w:rFonts w:hint="eastAsia" w:ascii="宋体" w:hAnsi="宋体" w:eastAsia="宋体" w:cs="宋体"/>
          <w:color w:val="auto"/>
          <w:sz w:val="21"/>
          <w:szCs w:val="21"/>
          <w:highlight w:val="none"/>
        </w:rPr>
        <w:t>预付款）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52EE95B">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_Toc7137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七、 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088F1DA">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_Toc6445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35. 异议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1EA49FB">
      <w:pPr>
        <w:pStyle w:val="1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_Toc885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八、 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7E3B03E">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_Toc11974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36. 采购文件的解释权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04C4316">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_Toc31812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第五部分  合同条款格式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9722ABB">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_Toc15275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第一条 基本情况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_Toc15275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0508D9B">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_Toc836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第二条 乙方资质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D6516C9">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_Toc25277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第三条 乙方承包项目负责人及安全管理人员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_Toc25277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D0BF502">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_Toc2674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第四条 甲方的权利和义务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B7B77F5">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_Toc17958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第五条 乙方的权利和义务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2081C8B">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_Toc11013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第六条 违约处理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_Toc11013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814B7DD">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_Toc25379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第七条 协议生效与终止</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_Toc25379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4A5358E">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_Toc14982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rPr>
        <w:t xml:space="preserve">第八条 </w:t>
      </w:r>
      <w:r>
        <w:rPr>
          <w:rFonts w:hint="eastAsia" w:ascii="宋体" w:hAnsi="宋体" w:eastAsia="宋体" w:cs="宋体"/>
          <w:bCs/>
          <w:color w:val="auto"/>
          <w:kern w:val="0"/>
          <w:sz w:val="21"/>
          <w:szCs w:val="21"/>
          <w:highlight w:val="none"/>
        </w:rPr>
        <w:t>其它要求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_Toc14982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B98D9DF">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_Toc22874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kern w:val="44"/>
          <w:sz w:val="21"/>
          <w:szCs w:val="21"/>
          <w:highlight w:val="none"/>
        </w:rPr>
        <w:t>EHS管理处罚实施细则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6081BCD">
      <w:pPr>
        <w:pStyle w:val="19"/>
        <w:tabs>
          <w:tab w:val="right" w:leader="dot" w:pos="830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_Toc24917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kern w:val="44"/>
          <w:sz w:val="21"/>
          <w:szCs w:val="21"/>
          <w:highlight w:val="none"/>
        </w:rPr>
        <w:t>事故处罚实施细则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_Toc24917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B45240F">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_Toc25010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第六部分附件－投标文件格式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_Toc25010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1A3A9C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8592A63">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_Toc17627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79715DD">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_Toc9476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_Toc9476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20894E3">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_Toc29502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附件2.开标一览表格式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_Toc29502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FEDBE40">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_Toc11933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bCs/>
          <w:color w:val="auto"/>
          <w:sz w:val="21"/>
          <w:szCs w:val="21"/>
          <w:highlight w:val="none"/>
          <w:lang w:val="en-US" w:eastAsia="zh-CN" w:bidi="ar-SA"/>
        </w:rPr>
        <w:t>附件3.分项报价表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4BFF275">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_Toc29645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_Toc29645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62F85C2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_Toc16903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附件4.投标书格式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_Toc16903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251A9D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_Toc13039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附件5. 法定代表人证明书格式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89</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057AD624">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_Toc28322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附件6.法定代表人授权书格式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_Toc28322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BB26124">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_Toc27829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附件7.资格申明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D439C5B">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_Toc2475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附件8.营业执照、道路运输经营许可证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惠州市石化区通行证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553DC1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_Toc11564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lang w:val="en-US" w:eastAsia="zh-CN"/>
        </w:rPr>
        <w:t xml:space="preserve">附件9  </w:t>
      </w:r>
      <w:r>
        <w:rPr>
          <w:rFonts w:hint="eastAsia" w:ascii="宋体" w:hAnsi="宋体" w:eastAsia="宋体" w:cs="宋体"/>
          <w:color w:val="auto"/>
          <w:sz w:val="21"/>
          <w:szCs w:val="21"/>
          <w:highlight w:val="none"/>
        </w:rPr>
        <w:t>体系认证</w:t>
      </w:r>
      <w:r>
        <w:rPr>
          <w:rFonts w:hint="eastAsia" w:ascii="宋体" w:hAnsi="宋体" w:eastAsia="宋体" w:cs="宋体"/>
          <w:color w:val="auto"/>
          <w:sz w:val="21"/>
          <w:szCs w:val="21"/>
          <w:highlight w:val="none"/>
          <w:lang w:val="en-US" w:eastAsia="zh-CN"/>
        </w:rPr>
        <w:t>证明材料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财务报表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_Toc11564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6DC022B">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_Toc21426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 xml:space="preserve">10  </w:t>
      </w:r>
      <w:r>
        <w:rPr>
          <w:rFonts w:hint="eastAsia" w:ascii="宋体" w:hAnsi="宋体" w:eastAsia="宋体" w:cs="宋体"/>
          <w:color w:val="auto"/>
          <w:sz w:val="21"/>
          <w:szCs w:val="21"/>
          <w:highlight w:val="none"/>
        </w:rPr>
        <w:t>在经营活动中没有重大违法记录的书面声明格式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2021A2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_Toc27765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lang w:val="en-US" w:eastAsia="zh-CN"/>
        </w:rPr>
        <w:t>附件11  纳税证明和无欠税证明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_Toc27765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18584A6">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_Toc32477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lang w:val="en-US" w:eastAsia="zh-CN"/>
        </w:rPr>
        <w:t xml:space="preserve">附件12  </w:t>
      </w:r>
      <w:r>
        <w:rPr>
          <w:rFonts w:hint="eastAsia" w:ascii="宋体" w:hAnsi="宋体" w:eastAsia="宋体" w:cs="宋体"/>
          <w:color w:val="auto"/>
          <w:sz w:val="21"/>
          <w:szCs w:val="21"/>
          <w:highlight w:val="none"/>
        </w:rPr>
        <w:t>固废平台运输量截图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_Toc32477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79621B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_Toc27774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lang w:val="en-US" w:eastAsia="zh-CN"/>
        </w:rPr>
        <w:t xml:space="preserve">附件13  </w:t>
      </w:r>
      <w:r>
        <w:rPr>
          <w:rFonts w:hint="eastAsia" w:ascii="宋体" w:hAnsi="宋体" w:eastAsia="宋体" w:cs="宋体"/>
          <w:color w:val="auto"/>
          <w:sz w:val="21"/>
          <w:szCs w:val="21"/>
          <w:highlight w:val="none"/>
        </w:rPr>
        <w:t>投标保证金汇入情况说明格式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_Toc27774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45E2E52">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_Toc28040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 xml:space="preserve">4  </w:t>
      </w:r>
      <w:r>
        <w:rPr>
          <w:rFonts w:hint="eastAsia" w:ascii="宋体" w:hAnsi="宋体" w:eastAsia="宋体" w:cs="宋体"/>
          <w:color w:val="auto"/>
          <w:sz w:val="21"/>
          <w:szCs w:val="21"/>
          <w:highlight w:val="none"/>
        </w:rPr>
        <w:t>商务需求条款偏离表格式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193A20D">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_Toc26809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101</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434C043">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_Toc14309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 xml:space="preserve">5 </w:t>
      </w:r>
      <w:r>
        <w:rPr>
          <w:rFonts w:hint="eastAsia" w:ascii="宋体" w:hAnsi="宋体" w:eastAsia="宋体" w:cs="宋体"/>
          <w:color w:val="auto"/>
          <w:sz w:val="21"/>
          <w:szCs w:val="21"/>
          <w:highlight w:val="none"/>
        </w:rPr>
        <w:t xml:space="preserve"> 技术规格偏离表格式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_Toc14309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17DFF6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_Toc22104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 xml:space="preserve">6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号条款响应表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_Toc22104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44EC6F1">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_Toc11404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7  服务方案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_Toc11404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74C14073">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_Toc21755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 xml:space="preserve">8  </w:t>
      </w:r>
      <w:r>
        <w:rPr>
          <w:rFonts w:hint="eastAsia" w:ascii="宋体" w:hAnsi="宋体" w:eastAsia="宋体" w:cs="宋体"/>
          <w:color w:val="auto"/>
          <w:sz w:val="21"/>
          <w:szCs w:val="21"/>
          <w:highlight w:val="none"/>
        </w:rPr>
        <w:t>重点难点分析及方案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_Toc21755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105</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9E9519A">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_Toc23418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9  响应时间承诺函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_Toc23418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106</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4189C435">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_Toc1477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 xml:space="preserve">20  </w:t>
      </w:r>
      <w:r>
        <w:rPr>
          <w:rFonts w:hint="eastAsia" w:ascii="宋体" w:hAnsi="宋体" w:eastAsia="宋体" w:cs="宋体"/>
          <w:color w:val="auto"/>
          <w:sz w:val="21"/>
          <w:szCs w:val="21"/>
          <w:highlight w:val="none"/>
        </w:rPr>
        <w:t>自有跟踪或视频监控平台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107</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EE7DC5E">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_Toc22013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 xml:space="preserve">21  </w:t>
      </w:r>
      <w:r>
        <w:rPr>
          <w:rFonts w:hint="eastAsia" w:ascii="宋体" w:hAnsi="宋体" w:eastAsia="宋体" w:cs="宋体"/>
          <w:color w:val="auto"/>
          <w:sz w:val="21"/>
          <w:szCs w:val="21"/>
          <w:highlight w:val="none"/>
        </w:rPr>
        <w:t>拟投入本项目的</w:t>
      </w:r>
      <w:r>
        <w:rPr>
          <w:rFonts w:hint="eastAsia" w:ascii="宋体" w:hAnsi="宋体" w:eastAsia="宋体" w:cs="宋体"/>
          <w:color w:val="auto"/>
          <w:sz w:val="21"/>
          <w:szCs w:val="21"/>
          <w:highlight w:val="none"/>
          <w:lang w:val="en-US" w:eastAsia="zh-CN"/>
        </w:rPr>
        <w:t>运输车辆及服务人员</w:t>
      </w:r>
      <w:r>
        <w:rPr>
          <w:rFonts w:hint="eastAsia" w:ascii="宋体" w:hAnsi="宋体" w:eastAsia="宋体" w:cs="宋体"/>
          <w:color w:val="auto"/>
          <w:sz w:val="21"/>
          <w:szCs w:val="21"/>
          <w:highlight w:val="none"/>
        </w:rPr>
        <w:t>情况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_Toc22013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108</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3D0C60AB">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_Toc7863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w:t>
      </w:r>
      <w:r>
        <w:rPr>
          <w:rFonts w:hint="eastAsia" w:ascii="宋体" w:hAnsi="宋体" w:eastAsia="宋体" w:cs="宋体"/>
          <w:color w:val="auto"/>
          <w:sz w:val="21"/>
          <w:szCs w:val="21"/>
          <w:highlight w:val="none"/>
          <w:lang w:val="en-US" w:eastAsia="zh-CN"/>
        </w:rPr>
        <w:t xml:space="preserve">22  </w:t>
      </w:r>
      <w:r>
        <w:rPr>
          <w:rFonts w:hint="eastAsia" w:ascii="宋体" w:hAnsi="宋体" w:eastAsia="宋体" w:cs="宋体"/>
          <w:color w:val="auto"/>
          <w:sz w:val="21"/>
          <w:szCs w:val="21"/>
          <w:highlight w:val="none"/>
        </w:rPr>
        <w:t>应急处理方案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112</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590C0767">
      <w:pPr>
        <w:pStyle w:val="23"/>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_Toc25683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唱标信封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113</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204334CD">
      <w:pPr>
        <w:pStyle w:val="20"/>
        <w:tabs>
          <w:tab w:val="right" w:leader="dot" w:pos="8306"/>
          <w:tab w:val="clear" w:pos="8296"/>
        </w:tabs>
        <w:ind w:left="0" w:leftChars="0"/>
        <w:rPr>
          <w:rFonts w:hint="eastAsia" w:ascii="宋体" w:hAnsi="宋体" w:eastAsia="宋体" w:cs="宋体"/>
          <w:color w:val="auto"/>
          <w:sz w:val="21"/>
          <w:szCs w:val="21"/>
          <w:highlight w:val="none"/>
        </w:rPr>
      </w:pPr>
      <w:r>
        <w:rPr>
          <w:rFonts w:hint="eastAsia" w:ascii="宋体" w:hAnsi="宋体" w:eastAsia="宋体" w:cs="宋体"/>
          <w:bCs w:val="0"/>
          <w:color w:val="auto"/>
          <w:sz w:val="21"/>
          <w:szCs w:val="21"/>
          <w:highlight w:val="none"/>
        </w:rPr>
        <w:fldChar w:fldCharType="begin"/>
      </w:r>
      <w:r>
        <w:rPr>
          <w:rFonts w:hint="eastAsia" w:ascii="宋体" w:hAnsi="宋体" w:eastAsia="宋体" w:cs="宋体"/>
          <w:bCs w:val="0"/>
          <w:color w:val="auto"/>
          <w:sz w:val="21"/>
          <w:szCs w:val="21"/>
          <w:highlight w:val="none"/>
        </w:rPr>
        <w:instrText xml:space="preserve"> HYPERLINK \l _Toc4180 </w:instrText>
      </w:r>
      <w:r>
        <w:rPr>
          <w:rFonts w:hint="eastAsia" w:ascii="宋体" w:hAnsi="宋体" w:eastAsia="宋体" w:cs="宋体"/>
          <w:bCs w:val="0"/>
          <w:color w:val="auto"/>
          <w:sz w:val="21"/>
          <w:szCs w:val="21"/>
          <w:highlight w:val="none"/>
        </w:rPr>
        <w:fldChar w:fldCharType="separate"/>
      </w:r>
      <w:r>
        <w:rPr>
          <w:rFonts w:hint="eastAsia" w:ascii="宋体" w:hAnsi="宋体" w:eastAsia="宋体" w:cs="宋体"/>
          <w:color w:val="auto"/>
          <w:sz w:val="21"/>
          <w:szCs w:val="21"/>
          <w:highlight w:val="none"/>
        </w:rPr>
        <w:t>附件2</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唱标信封内装（内容务必与投标文件正本一致）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114</w:t>
      </w:r>
      <w:r>
        <w:rPr>
          <w:rFonts w:hint="eastAsia" w:ascii="宋体" w:hAnsi="宋体" w:eastAsia="宋体" w:cs="宋体"/>
          <w:color w:val="auto"/>
          <w:sz w:val="21"/>
          <w:szCs w:val="21"/>
          <w:highlight w:val="none"/>
        </w:rPr>
        <w:fldChar w:fldCharType="end"/>
      </w:r>
      <w:r>
        <w:rPr>
          <w:rFonts w:hint="eastAsia" w:ascii="宋体" w:hAnsi="宋体" w:eastAsia="宋体" w:cs="宋体"/>
          <w:bCs w:val="0"/>
          <w:color w:val="auto"/>
          <w:sz w:val="21"/>
          <w:szCs w:val="21"/>
          <w:highlight w:val="none"/>
        </w:rPr>
        <w:fldChar w:fldCharType="end"/>
      </w:r>
    </w:p>
    <w:p w14:paraId="13A43C5B">
      <w:pPr>
        <w:pStyle w:val="23"/>
        <w:tabs>
          <w:tab w:val="right" w:leader="dot" w:pos="8306"/>
          <w:tab w:val="clear" w:pos="8296"/>
        </w:tabs>
        <w:ind w:left="0" w:leftChars="0"/>
        <w:jc w:val="distribute"/>
        <w:rPr>
          <w:rFonts w:cs="宋体"/>
          <w:color w:val="auto"/>
          <w:sz w:val="21"/>
          <w:szCs w:val="21"/>
          <w:highlight w:val="none"/>
        </w:rPr>
      </w:pPr>
      <w:r>
        <w:rPr>
          <w:rFonts w:hint="eastAsia" w:ascii="宋体" w:hAnsi="宋体" w:eastAsia="宋体" w:cs="宋体"/>
          <w:bCs w:val="0"/>
          <w:color w:val="auto"/>
          <w:sz w:val="21"/>
          <w:szCs w:val="21"/>
          <w:highlight w:val="none"/>
        </w:rPr>
        <w:fldChar w:fldCharType="end"/>
      </w:r>
    </w:p>
    <w:p w14:paraId="71A3E85B">
      <w:pPr>
        <w:rPr>
          <w:rFonts w:ascii="宋体" w:hAnsi="宋体" w:cs="宋体"/>
          <w:color w:val="auto"/>
          <w:szCs w:val="21"/>
          <w:highlight w:val="none"/>
        </w:rPr>
      </w:pPr>
      <w:r>
        <w:rPr>
          <w:rFonts w:hint="eastAsia" w:ascii="宋体" w:hAnsi="宋体" w:cs="宋体"/>
          <w:color w:val="auto"/>
          <w:szCs w:val="21"/>
          <w:highlight w:val="none"/>
        </w:rPr>
        <w:br w:type="page"/>
      </w:r>
    </w:p>
    <w:p w14:paraId="033DF239">
      <w:pPr>
        <w:pStyle w:val="4"/>
        <w:spacing w:before="0" w:after="0" w:line="240" w:lineRule="auto"/>
        <w:rPr>
          <w:color w:val="auto"/>
          <w:sz w:val="28"/>
          <w:szCs w:val="28"/>
          <w:highlight w:val="none"/>
        </w:rPr>
      </w:pPr>
      <w:bookmarkStart w:id="0" w:name="_Toc21468"/>
      <w:r>
        <w:rPr>
          <w:rFonts w:hint="eastAsia"/>
          <w:color w:val="auto"/>
          <w:sz w:val="28"/>
          <w:szCs w:val="28"/>
          <w:highlight w:val="none"/>
        </w:rPr>
        <w:t>第一部分投</w:t>
      </w:r>
      <w:r>
        <w:rPr>
          <w:rFonts w:hint="eastAsia"/>
          <w:color w:val="auto"/>
          <w:sz w:val="28"/>
          <w:szCs w:val="28"/>
          <w:highlight w:val="none"/>
        </w:rPr>
        <w:t>标邀请</w:t>
      </w:r>
      <w:bookmarkEnd w:id="0"/>
    </w:p>
    <w:p w14:paraId="2971BAB0">
      <w:pPr>
        <w:pStyle w:val="5"/>
        <w:spacing w:before="0" w:after="0" w:line="360" w:lineRule="auto"/>
        <w:jc w:val="center"/>
        <w:rPr>
          <w:rFonts w:ascii="宋体" w:hAnsi="宋体" w:cs="宋体"/>
          <w:color w:val="auto"/>
          <w:highlight w:val="none"/>
        </w:rPr>
      </w:pPr>
      <w:bookmarkStart w:id="1" w:name="_Toc20244"/>
      <w:r>
        <w:rPr>
          <w:rFonts w:hint="eastAsia" w:ascii="宋体" w:hAnsi="宋体" w:cs="宋体"/>
          <w:color w:val="auto"/>
          <w:highlight w:val="none"/>
        </w:rPr>
        <w:t>投标邀请书</w:t>
      </w:r>
      <w:bookmarkEnd w:id="1"/>
    </w:p>
    <w:p w14:paraId="7E1EC5BF">
      <w:pPr>
        <w:keepNext w:val="0"/>
        <w:keepLines w:val="0"/>
        <w:pageBreakBefore w:val="0"/>
        <w:widowControl/>
        <w:kinsoku/>
        <w:wordWrap/>
        <w:overflowPunct/>
        <w:topLinePunct w:val="0"/>
        <w:autoSpaceDE/>
        <w:autoSpaceDN/>
        <w:bidi w:val="0"/>
        <w:adjustRightInd/>
        <w:snapToGrid w:val="0"/>
        <w:spacing w:line="460" w:lineRule="exact"/>
        <w:ind w:left="0" w:firstLine="422" w:firstLineChars="200"/>
        <w:jc w:val="both"/>
        <w:textAlignment w:val="auto"/>
        <w:rPr>
          <w:rFonts w:ascii="宋体" w:hAnsi="宋体"/>
          <w:b/>
          <w:color w:val="auto"/>
          <w:szCs w:val="21"/>
          <w:highlight w:val="none"/>
        </w:rPr>
      </w:pPr>
      <w:r>
        <w:rPr>
          <w:rFonts w:hint="eastAsia" w:ascii="宋体" w:hAnsi="宋体"/>
          <w:b/>
          <w:bCs/>
          <w:color w:val="auto"/>
          <w:szCs w:val="21"/>
          <w:highlight w:val="none"/>
          <w:u w:val="single"/>
          <w:lang w:eastAsia="zh-CN"/>
        </w:rPr>
        <w:t>广东人信工程咨询有限公司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东莞市新东欣环保投资有限公司</w:t>
      </w:r>
      <w:r>
        <w:rPr>
          <w:rFonts w:ascii="宋体" w:hAnsi="宋体"/>
          <w:color w:val="auto"/>
          <w:szCs w:val="21"/>
          <w:highlight w:val="none"/>
        </w:rPr>
        <w:t>（以下简称</w:t>
      </w:r>
      <w:r>
        <w:rPr>
          <w:rFonts w:hint="eastAsia" w:ascii="宋体" w:hAnsi="宋体"/>
          <w:color w:val="auto"/>
          <w:szCs w:val="21"/>
          <w:highlight w:val="none"/>
        </w:rPr>
        <w:t>“采</w:t>
      </w:r>
      <w:r>
        <w:rPr>
          <w:rFonts w:hint="eastAsia" w:ascii="宋体" w:hAnsi="宋体"/>
          <w:color w:val="auto"/>
          <w:szCs w:val="21"/>
          <w:highlight w:val="none"/>
        </w:rPr>
        <w:t>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东莞市新东欣环保投资有限公司莞惠区域危废运输服务项目</w:t>
      </w:r>
      <w:r>
        <w:rPr>
          <w:rFonts w:hint="eastAsia" w:ascii="宋体" w:hAnsi="宋体"/>
          <w:color w:val="auto"/>
          <w:szCs w:val="21"/>
          <w:highlight w:val="none"/>
        </w:rPr>
        <w:t>（项目编号：</w:t>
      </w:r>
      <w:r>
        <w:rPr>
          <w:rFonts w:hint="eastAsia" w:ascii="宋体" w:hAnsi="宋体"/>
          <w:b/>
          <w:bCs/>
          <w:color w:val="auto"/>
          <w:szCs w:val="21"/>
          <w:highlight w:val="none"/>
          <w:lang w:eastAsia="zh-CN"/>
        </w:rPr>
        <w:t>XDX-GK-2025-001</w:t>
      </w:r>
      <w:r>
        <w:rPr>
          <w:rFonts w:hint="eastAsia" w:ascii="宋体" w:hAnsi="宋体"/>
          <w:color w:val="auto"/>
          <w:szCs w:val="21"/>
          <w:highlight w:val="none"/>
        </w:rPr>
        <w:t>）</w:t>
      </w:r>
      <w:r>
        <w:rPr>
          <w:rFonts w:hint="eastAsia" w:ascii="宋体" w:hAnsi="宋体" w:cs="Times New Roman"/>
          <w:color w:val="auto"/>
          <w:szCs w:val="21"/>
          <w:highlight w:val="none"/>
        </w:rPr>
        <w:t>进行国内公开采购</w:t>
      </w:r>
      <w:r>
        <w:rPr>
          <w:rFonts w:hint="eastAsia" w:ascii="宋体" w:hAnsi="宋体"/>
          <w:color w:val="auto"/>
          <w:szCs w:val="21"/>
          <w:highlight w:val="none"/>
        </w:rPr>
        <w:t>，欢迎符合采购文件要求的国内投标人参加投标</w:t>
      </w:r>
      <w:r>
        <w:rPr>
          <w:rFonts w:ascii="宋体" w:hAnsi="宋体"/>
          <w:color w:val="auto"/>
          <w:szCs w:val="21"/>
          <w:highlight w:val="none"/>
        </w:rPr>
        <w:t>。有关事项如下：</w:t>
      </w:r>
    </w:p>
    <w:p w14:paraId="1DD4A858">
      <w:pPr>
        <w:keepNext w:val="0"/>
        <w:keepLines w:val="0"/>
        <w:pageBreakBefore w:val="0"/>
        <w:widowControl/>
        <w:kinsoku/>
        <w:wordWrap/>
        <w:overflowPunct/>
        <w:topLinePunct w:val="0"/>
        <w:autoSpaceDE/>
        <w:autoSpaceDN/>
        <w:bidi w:val="0"/>
        <w:adjustRightInd/>
        <w:snapToGrid w:val="0"/>
        <w:spacing w:line="460" w:lineRule="exact"/>
        <w:ind w:left="0" w:firstLine="422" w:firstLineChars="200"/>
        <w:jc w:val="both"/>
        <w:textAlignment w:val="auto"/>
        <w:rPr>
          <w:rFonts w:ascii="宋体" w:hAnsi="宋体"/>
          <w:b/>
          <w:color w:val="auto"/>
          <w:szCs w:val="21"/>
          <w:highlight w:val="none"/>
        </w:rPr>
      </w:pPr>
      <w:r>
        <w:rPr>
          <w:rFonts w:hint="eastAsia" w:ascii="宋体" w:hAnsi="宋体"/>
          <w:b/>
          <w:color w:val="auto"/>
          <w:szCs w:val="21"/>
          <w:highlight w:val="none"/>
        </w:rPr>
        <w:t>一、采购项目概况</w:t>
      </w:r>
    </w:p>
    <w:p w14:paraId="57F9B425">
      <w:pPr>
        <w:keepNext w:val="0"/>
        <w:keepLines w:val="0"/>
        <w:pageBreakBefore w:val="0"/>
        <w:widowControl/>
        <w:kinsoku/>
        <w:wordWrap/>
        <w:overflowPunct/>
        <w:topLinePunct w:val="0"/>
        <w:autoSpaceDE/>
        <w:autoSpaceDN/>
        <w:bidi w:val="0"/>
        <w:adjustRightInd/>
        <w:snapToGrid w:val="0"/>
        <w:spacing w:line="460" w:lineRule="exact"/>
        <w:ind w:left="0" w:firstLine="420" w:firstLineChars="200"/>
        <w:jc w:val="both"/>
        <w:textAlignment w:val="auto"/>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b/>
          <w:color w:val="auto"/>
          <w:szCs w:val="21"/>
          <w:highlight w:val="none"/>
          <w:u w:val="single"/>
          <w:lang w:eastAsia="zh-CN"/>
        </w:rPr>
        <w:t>东莞市新东欣环保投资有限公司莞惠区域危废运输服务项目</w:t>
      </w:r>
    </w:p>
    <w:p w14:paraId="1F33B42B">
      <w:pPr>
        <w:keepNext w:val="0"/>
        <w:keepLines w:val="0"/>
        <w:pageBreakBefore w:val="0"/>
        <w:widowControl/>
        <w:numPr>
          <w:ilvl w:val="0"/>
          <w:numId w:val="0"/>
        </w:numPr>
        <w:kinsoku/>
        <w:wordWrap/>
        <w:overflowPunct/>
        <w:topLinePunct w:val="0"/>
        <w:autoSpaceDE/>
        <w:autoSpaceDN/>
        <w:bidi w:val="0"/>
        <w:adjustRightInd/>
        <w:snapToGrid w:val="0"/>
        <w:spacing w:line="460" w:lineRule="exact"/>
        <w:ind w:left="0" w:leftChars="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采购范围：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详见用户需求书</w:t>
      </w:r>
      <w:r>
        <w:rPr>
          <w:rFonts w:hint="eastAsia" w:ascii="宋体" w:hAnsi="宋体"/>
          <w:color w:val="auto"/>
          <w:szCs w:val="21"/>
          <w:highlight w:val="none"/>
        </w:rPr>
        <w:t>；</w:t>
      </w:r>
    </w:p>
    <w:p w14:paraId="6D698BB1">
      <w:pPr>
        <w:keepNext w:val="0"/>
        <w:keepLines w:val="0"/>
        <w:pageBreakBefore w:val="0"/>
        <w:widowControl/>
        <w:numPr>
          <w:ilvl w:val="0"/>
          <w:numId w:val="0"/>
        </w:numPr>
        <w:kinsoku/>
        <w:wordWrap/>
        <w:overflowPunct/>
        <w:topLinePunct w:val="0"/>
        <w:autoSpaceDE/>
        <w:autoSpaceDN/>
        <w:bidi w:val="0"/>
        <w:adjustRightInd/>
        <w:snapToGrid w:val="0"/>
        <w:spacing w:line="460" w:lineRule="exact"/>
        <w:ind w:left="0" w:leftChars="0" w:firstLine="420" w:firstLineChars="200"/>
        <w:jc w:val="both"/>
        <w:textAlignment w:val="auto"/>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服务时间（供货时间/工期）：</w:t>
      </w:r>
      <w:r>
        <w:rPr>
          <w:rFonts w:hint="eastAsia" w:ascii="宋体" w:hAnsi="宋体"/>
          <w:color w:val="auto"/>
          <w:szCs w:val="21"/>
          <w:highlight w:val="none"/>
          <w:u w:val="single"/>
        </w:rPr>
        <w:t>合同服务期限自签订运输服务合同之日起</w:t>
      </w:r>
      <w:r>
        <w:rPr>
          <w:rFonts w:hint="eastAsia" w:ascii="宋体" w:hAnsi="宋体"/>
          <w:color w:val="auto"/>
          <w:szCs w:val="21"/>
          <w:highlight w:val="none"/>
          <w:u w:val="single"/>
          <w:lang w:val="en-US" w:eastAsia="zh-CN"/>
        </w:rPr>
        <w:t>一</w:t>
      </w:r>
      <w:r>
        <w:rPr>
          <w:rFonts w:hint="eastAsia" w:ascii="宋体" w:hAnsi="宋体"/>
          <w:color w:val="auto"/>
          <w:szCs w:val="21"/>
          <w:highlight w:val="none"/>
          <w:u w:val="single"/>
        </w:rPr>
        <w:t>年</w:t>
      </w:r>
      <w:r>
        <w:rPr>
          <w:rFonts w:hint="eastAsia" w:ascii="宋体" w:hAnsi="宋体"/>
          <w:color w:val="auto"/>
          <w:szCs w:val="21"/>
          <w:highlight w:val="none"/>
        </w:rPr>
        <w:t>；</w:t>
      </w:r>
    </w:p>
    <w:p w14:paraId="2BF9FD04">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left="0" w:leftChars="0" w:firstLine="420" w:firstLineChars="200"/>
        <w:jc w:val="both"/>
        <w:textAlignment w:val="auto"/>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预算金额：</w:t>
      </w:r>
    </w:p>
    <w:tbl>
      <w:tblPr>
        <w:tblStyle w:val="30"/>
        <w:tblW w:w="4876" w:type="pct"/>
        <w:tblInd w:w="0" w:type="dxa"/>
        <w:tblLayout w:type="fixed"/>
        <w:tblCellMar>
          <w:top w:w="0" w:type="dxa"/>
          <w:left w:w="108" w:type="dxa"/>
          <w:bottom w:w="0" w:type="dxa"/>
          <w:right w:w="108" w:type="dxa"/>
        </w:tblCellMar>
      </w:tblPr>
      <w:tblGrid>
        <w:gridCol w:w="426"/>
        <w:gridCol w:w="1060"/>
        <w:gridCol w:w="1036"/>
        <w:gridCol w:w="1115"/>
        <w:gridCol w:w="863"/>
        <w:gridCol w:w="996"/>
        <w:gridCol w:w="2816"/>
      </w:tblGrid>
      <w:tr w14:paraId="658E25F1">
        <w:tblPrEx>
          <w:tblCellMar>
            <w:top w:w="0" w:type="dxa"/>
            <w:left w:w="108" w:type="dxa"/>
            <w:bottom w:w="0" w:type="dxa"/>
            <w:right w:w="108" w:type="dxa"/>
          </w:tblCellMar>
        </w:tblPrEx>
        <w:trPr>
          <w:trHeight w:val="972" w:hRule="atLeast"/>
          <w:tblHeader/>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D374">
            <w:pPr>
              <w:widowControl/>
              <w:spacing w:line="240" w:lineRule="auto"/>
              <w:jc w:val="center"/>
              <w:textAlignment w:val="center"/>
              <w:rPr>
                <w:rFonts w:hint="eastAsia"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车型</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A35A6">
            <w:pPr>
              <w:widowControl/>
              <w:spacing w:line="240" w:lineRule="auto"/>
              <w:jc w:val="center"/>
              <w:textAlignment w:val="center"/>
              <w:rPr>
                <w:rFonts w:hint="eastAsia"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采购区域</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7EAF">
            <w:pPr>
              <w:widowControl/>
              <w:spacing w:line="240" w:lineRule="auto"/>
              <w:jc w:val="center"/>
              <w:textAlignment w:val="center"/>
              <w:rPr>
                <w:rFonts w:hint="eastAsia" w:ascii="宋体" w:hAnsi="宋体" w:eastAsia="宋体" w:cs="宋体"/>
                <w:b/>
                <w:bCs/>
                <w:color w:val="auto"/>
                <w:sz w:val="20"/>
                <w:szCs w:val="20"/>
                <w:highlight w:val="none"/>
              </w:rPr>
            </w:pPr>
            <w:r>
              <w:rPr>
                <w:rFonts w:hint="eastAsia" w:ascii="宋体" w:hAnsi="宋体" w:eastAsia="宋体" w:cs="宋体"/>
                <w:b/>
                <w:bCs/>
                <w:color w:val="auto"/>
                <w:kern w:val="0"/>
                <w:sz w:val="20"/>
                <w:szCs w:val="20"/>
                <w:highlight w:val="none"/>
                <w:lang w:bidi="ar"/>
              </w:rPr>
              <w:t>详细说明</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95101">
            <w:pPr>
              <w:widowControl/>
              <w:spacing w:line="240" w:lineRule="auto"/>
              <w:jc w:val="center"/>
              <w:textAlignment w:val="center"/>
              <w:rPr>
                <w:rFonts w:hint="eastAsia" w:ascii="宋体" w:hAnsi="宋体" w:eastAsia="宋体" w:cs="宋体"/>
                <w:b/>
                <w:bCs/>
                <w:color w:val="auto"/>
                <w:sz w:val="20"/>
                <w:szCs w:val="20"/>
                <w:highlight w:val="none"/>
                <w:lang w:val="en-US" w:eastAsia="zh-CN" w:bidi="ar-SA"/>
              </w:rPr>
            </w:pPr>
            <w:r>
              <w:rPr>
                <w:rFonts w:hint="eastAsia" w:ascii="宋体" w:hAnsi="宋体" w:eastAsia="宋体" w:cs="宋体"/>
                <w:b/>
                <w:bCs/>
                <w:color w:val="auto"/>
                <w:sz w:val="20"/>
                <w:szCs w:val="20"/>
                <w:highlight w:val="none"/>
              </w:rPr>
              <w:t>区域预算（万元）</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96E1">
            <w:pPr>
              <w:widowControl/>
              <w:spacing w:line="240" w:lineRule="auto"/>
              <w:jc w:val="center"/>
              <w:textAlignment w:val="center"/>
              <w:rPr>
                <w:rFonts w:hint="eastAsia" w:ascii="宋体" w:hAnsi="宋体" w:eastAsia="宋体" w:cs="宋体"/>
                <w:b/>
                <w:bCs/>
                <w:color w:val="auto"/>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合同期（年）</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C93E">
            <w:pPr>
              <w:widowControl/>
              <w:spacing w:line="240" w:lineRule="auto"/>
              <w:jc w:val="center"/>
              <w:textAlignment w:val="center"/>
              <w:rPr>
                <w:rFonts w:hint="eastAsia" w:ascii="宋体" w:hAnsi="宋体" w:eastAsia="宋体" w:cs="宋体"/>
                <w:b/>
                <w:bCs/>
                <w:color w:val="auto"/>
                <w:sz w:val="20"/>
                <w:szCs w:val="20"/>
                <w:highlight w:val="none"/>
                <w:lang w:val="en-US" w:eastAsia="zh-CN" w:bidi="ar-SA"/>
              </w:rPr>
            </w:pPr>
            <w:r>
              <w:rPr>
                <w:rFonts w:hint="eastAsia" w:ascii="宋体" w:hAnsi="宋体" w:eastAsia="宋体" w:cs="宋体"/>
                <w:b/>
                <w:bCs/>
                <w:color w:val="auto"/>
                <w:sz w:val="20"/>
                <w:szCs w:val="20"/>
                <w:highlight w:val="none"/>
                <w:lang w:val="en-US" w:eastAsia="zh-CN"/>
              </w:rPr>
              <w:t>合计</w:t>
            </w:r>
            <w:r>
              <w:rPr>
                <w:rFonts w:hint="eastAsia" w:ascii="宋体" w:hAnsi="宋体" w:eastAsia="宋体" w:cs="宋体"/>
                <w:b/>
                <w:bCs/>
                <w:color w:val="auto"/>
                <w:sz w:val="20"/>
                <w:szCs w:val="20"/>
                <w:highlight w:val="none"/>
              </w:rPr>
              <w:t>（万元）</w:t>
            </w:r>
          </w:p>
        </w:tc>
        <w:tc>
          <w:tcPr>
            <w:tcW w:w="16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AB35D">
            <w:pPr>
              <w:widowControl/>
              <w:spacing w:line="240" w:lineRule="auto"/>
              <w:jc w:val="center"/>
              <w:textAlignment w:val="center"/>
              <w:rPr>
                <w:rFonts w:hint="eastAsia" w:ascii="宋体" w:hAnsi="宋体" w:eastAsia="宋体" w:cs="宋体"/>
                <w:b/>
                <w:bCs/>
                <w:color w:val="auto"/>
                <w:sz w:val="20"/>
                <w:szCs w:val="20"/>
                <w:highlight w:val="none"/>
                <w:lang w:val="en-US" w:eastAsia="zh-CN"/>
              </w:rPr>
            </w:pPr>
            <w:r>
              <w:rPr>
                <w:rFonts w:hint="eastAsia" w:ascii="宋体" w:hAnsi="宋体"/>
                <w:b/>
                <w:color w:val="auto"/>
                <w:sz w:val="20"/>
                <w:szCs w:val="20"/>
                <w:highlight w:val="none"/>
              </w:rPr>
              <w:t>数量</w:t>
            </w:r>
          </w:p>
        </w:tc>
      </w:tr>
      <w:tr w14:paraId="4D1F412B">
        <w:tblPrEx>
          <w:tblCellMar>
            <w:top w:w="0" w:type="dxa"/>
            <w:left w:w="108" w:type="dxa"/>
            <w:bottom w:w="0" w:type="dxa"/>
            <w:right w:w="108" w:type="dxa"/>
          </w:tblCellMar>
        </w:tblPrEx>
        <w:trPr>
          <w:trHeight w:val="1463"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66F39">
            <w:pPr>
              <w:spacing w:line="240" w:lineRule="auto"/>
              <w:jc w:val="center"/>
              <w:rPr>
                <w:rFonts w:hint="eastAsia" w:ascii="宋体" w:hAnsi="宋体" w:eastAsia="宋体" w:cs="宋体"/>
                <w:b/>
                <w:bCs/>
                <w:color w:val="auto"/>
                <w:sz w:val="20"/>
                <w:szCs w:val="20"/>
                <w:highlight w:val="none"/>
                <w:lang w:val="en-US" w:eastAsia="zh-CN"/>
              </w:rPr>
            </w:pPr>
            <w:r>
              <w:rPr>
                <w:rFonts w:hint="eastAsia" w:ascii="宋体" w:hAnsi="宋体" w:eastAsia="宋体" w:cs="宋体"/>
                <w:b/>
                <w:bCs/>
                <w:color w:val="auto"/>
                <w:sz w:val="20"/>
                <w:szCs w:val="20"/>
                <w:highlight w:val="none"/>
                <w:lang w:val="en-US" w:eastAsia="zh-CN"/>
              </w:rPr>
              <w:t>厢车</w:t>
            </w:r>
          </w:p>
        </w:tc>
        <w:tc>
          <w:tcPr>
            <w:tcW w:w="6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5FFA">
            <w:pPr>
              <w:widowControl/>
              <w:spacing w:line="240" w:lineRule="auto"/>
              <w:jc w:val="center"/>
              <w:textAlignment w:val="center"/>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bidi="ar"/>
              </w:rPr>
              <w:t>莞惠区域</w:t>
            </w:r>
          </w:p>
        </w:tc>
        <w:tc>
          <w:tcPr>
            <w:tcW w:w="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12228">
            <w:pPr>
              <w:keepNext w:val="0"/>
              <w:keepLines w:val="0"/>
              <w:widowControl/>
              <w:suppressLineNumbers w:val="0"/>
              <w:spacing w:line="240" w:lineRule="auto"/>
              <w:jc w:val="center"/>
              <w:textAlignment w:val="center"/>
              <w:rPr>
                <w:rFonts w:hint="eastAsia" w:ascii="宋体" w:hAnsi="宋体" w:eastAsia="宋体" w:cs="宋体"/>
                <w:color w:val="auto"/>
                <w:sz w:val="20"/>
                <w:szCs w:val="20"/>
                <w:highlight w:val="none"/>
                <w:lang w:val="en-US"/>
              </w:rPr>
            </w:pPr>
            <w:r>
              <w:rPr>
                <w:rFonts w:hint="eastAsia" w:ascii="宋体" w:hAnsi="宋体" w:eastAsia="宋体" w:cs="宋体"/>
                <w:color w:val="auto"/>
                <w:kern w:val="0"/>
                <w:sz w:val="20"/>
                <w:szCs w:val="20"/>
                <w:highlight w:val="none"/>
                <w:lang w:bidi="ar"/>
              </w:rPr>
              <w:t>东莞、惠州（含以上城市限行区）</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4BF16">
            <w:pPr>
              <w:keepNext w:val="0"/>
              <w:keepLines w:val="0"/>
              <w:widowControl/>
              <w:suppressLineNumbers w:val="0"/>
              <w:spacing w:line="240" w:lineRule="auto"/>
              <w:jc w:val="center"/>
              <w:textAlignment w:val="center"/>
              <w:rPr>
                <w:rFonts w:hint="eastAsia" w:ascii="宋体" w:hAnsi="宋体" w:eastAsia="宋体" w:cs="宋体"/>
                <w:color w:val="auto"/>
                <w:sz w:val="20"/>
                <w:szCs w:val="20"/>
                <w:highlight w:val="none"/>
                <w:lang w:val="en-US" w:eastAsia="zh-CN" w:bidi="ar-SA"/>
              </w:rPr>
            </w:pPr>
            <w:r>
              <w:rPr>
                <w:rFonts w:hint="eastAsia" w:ascii="宋体" w:hAnsi="宋体" w:eastAsia="宋体" w:cs="宋体"/>
                <w:i w:val="0"/>
                <w:iCs w:val="0"/>
                <w:color w:val="auto"/>
                <w:kern w:val="0"/>
                <w:sz w:val="20"/>
                <w:szCs w:val="20"/>
                <w:highlight w:val="none"/>
                <w:u w:val="none"/>
                <w:lang w:val="en-US" w:eastAsia="zh-CN" w:bidi="ar"/>
              </w:rPr>
              <w:t>470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07EF">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76E3">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470</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ADC21">
            <w:pPr>
              <w:keepNext w:val="0"/>
              <w:keepLines w:val="0"/>
              <w:widowControl/>
              <w:suppressLineNumbers w:val="0"/>
              <w:spacing w:line="240" w:lineRule="auto"/>
              <w:jc w:val="both"/>
              <w:textAlignment w:val="center"/>
              <w:rPr>
                <w:rFonts w:hint="eastAsia" w:ascii="宋体" w:hAnsi="宋体" w:cs="宋体"/>
                <w:i w:val="0"/>
                <w:iCs w:val="0"/>
                <w:color w:val="auto"/>
                <w:kern w:val="0"/>
                <w:sz w:val="20"/>
                <w:szCs w:val="20"/>
                <w:highlight w:val="none"/>
                <w:u w:val="none"/>
                <w:lang w:val="en-US" w:eastAsia="zh-CN" w:bidi="ar"/>
              </w:rPr>
            </w:pPr>
            <w:r>
              <w:rPr>
                <w:rFonts w:hint="eastAsia" w:ascii="宋体" w:hAnsi="宋体" w:cs="宋体"/>
                <w:color w:val="auto"/>
                <w:sz w:val="20"/>
                <w:szCs w:val="20"/>
                <w:highlight w:val="none"/>
                <w:lang w:val="en-US" w:eastAsia="zh-CN"/>
              </w:rPr>
              <w:t>本项目成交2家服务单位</w:t>
            </w:r>
            <w:r>
              <w:rPr>
                <w:rFonts w:hint="eastAsia" w:ascii="宋体" w:hAnsi="宋体" w:eastAsia="宋体" w:cs="宋体"/>
                <w:color w:val="auto"/>
                <w:sz w:val="20"/>
                <w:szCs w:val="20"/>
                <w:highlight w:val="none"/>
              </w:rPr>
              <w:t>，以“一用一备，优先使用最低价服务单位”的派单原则开展服务</w:t>
            </w:r>
          </w:p>
        </w:tc>
      </w:tr>
    </w:tbl>
    <w:p w14:paraId="408BDE30">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5、项目需求</w:t>
      </w:r>
    </w:p>
    <w:p w14:paraId="0A0D338F">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b/>
          <w:color w:val="auto"/>
          <w:szCs w:val="21"/>
          <w:highlight w:val="none"/>
        </w:rPr>
      </w:pPr>
      <w:r>
        <w:rPr>
          <w:rFonts w:hint="eastAsia" w:ascii="宋体" w:hAnsi="宋体"/>
          <w:color w:val="auto"/>
          <w:szCs w:val="21"/>
          <w:highlight w:val="none"/>
        </w:rPr>
        <w:t>详细内容请参阅采购文件第三部分《用户需求书》。</w:t>
      </w:r>
    </w:p>
    <w:p w14:paraId="3A865931">
      <w:pPr>
        <w:keepNext w:val="0"/>
        <w:keepLines w:val="0"/>
        <w:pageBreakBefore w:val="0"/>
        <w:kinsoku/>
        <w:wordWrap/>
        <w:overflowPunct/>
        <w:topLinePunct w:val="0"/>
        <w:autoSpaceDE/>
        <w:autoSpaceDN/>
        <w:bidi w:val="0"/>
        <w:spacing w:line="460" w:lineRule="exact"/>
        <w:ind w:firstLine="422" w:firstLineChars="200"/>
        <w:jc w:val="both"/>
        <w:textAlignment w:val="auto"/>
        <w:rPr>
          <w:rFonts w:ascii="宋体" w:hAnsi="宋体"/>
          <w:b/>
          <w:color w:val="auto"/>
          <w:szCs w:val="21"/>
          <w:highlight w:val="none"/>
        </w:rPr>
      </w:pPr>
      <w:r>
        <w:rPr>
          <w:rFonts w:hint="eastAsia" w:ascii="宋体" w:hAnsi="宋体"/>
          <w:b/>
          <w:color w:val="auto"/>
          <w:szCs w:val="21"/>
          <w:highlight w:val="none"/>
        </w:rPr>
        <w:t>二、投标人资格要求</w:t>
      </w:r>
    </w:p>
    <w:p w14:paraId="0B534BFB">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1、一般要求：</w:t>
      </w:r>
    </w:p>
    <w:p w14:paraId="2D31DED2">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p w14:paraId="1751EB81">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（2）参加采购活动前三年内，</w:t>
      </w:r>
      <w:r>
        <w:rPr>
          <w:rFonts w:hint="eastAsia" w:ascii="宋体" w:hAnsi="宋体"/>
          <w:color w:val="auto"/>
          <w:szCs w:val="21"/>
          <w:highlight w:val="none"/>
        </w:rPr>
        <w:t>在经营活动中没有重大违法记录（须提供书面声明</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详见附件</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20C7F395">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（3）投标人的单位负责人为同一人或者存在直接控股、管理关系的不同投标人，不得参加同一合同项下的采购活动。</w:t>
      </w:r>
    </w:p>
    <w:p w14:paraId="3251FB17">
      <w:pPr>
        <w:keepNext w:val="0"/>
        <w:keepLines w:val="0"/>
        <w:pageBreakBefore w:val="0"/>
        <w:kinsoku/>
        <w:wordWrap/>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p w14:paraId="6C8DAA51">
      <w:pPr>
        <w:keepNext w:val="0"/>
        <w:keepLines w:val="0"/>
        <w:pageBreakBefore w:val="0"/>
        <w:widowControl/>
        <w:kinsoku/>
        <w:wordWrap/>
        <w:overflowPunct/>
        <w:topLinePunct w:val="0"/>
        <w:autoSpaceDE/>
        <w:autoSpaceDN/>
        <w:bidi w:val="0"/>
        <w:adjustRightInd w:val="0"/>
        <w:snapToGrid w:val="0"/>
        <w:spacing w:line="460" w:lineRule="exact"/>
        <w:ind w:left="0"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（5）</w:t>
      </w:r>
      <w:r>
        <w:rPr>
          <w:rFonts w:hint="eastAsia" w:ascii="宋体" w:hAnsi="宋体"/>
          <w:color w:val="auto"/>
          <w:szCs w:val="21"/>
          <w:highlight w:val="none"/>
        </w:rPr>
        <w:t>报价人须提供投标截止日前6个月内任意1个月依法缴纳税收的证明材料及无欠税的证明材料。如依法免税的，须提供相应证明材料（提供依法缴纳税收的证明材料及无欠税的证明材料，</w:t>
      </w:r>
      <w:r>
        <w:rPr>
          <w:rFonts w:hint="eastAsia" w:ascii="宋体" w:hAnsi="宋体"/>
          <w:color w:val="auto"/>
          <w:szCs w:val="21"/>
          <w:highlight w:val="none"/>
          <w:lang w:val="en-US" w:eastAsia="zh-CN"/>
        </w:rPr>
        <w:t>详见附件</w:t>
      </w:r>
      <w:r>
        <w:rPr>
          <w:rFonts w:hint="eastAsia" w:ascii="宋体" w:hAnsi="宋体"/>
          <w:color w:val="auto"/>
          <w:szCs w:val="21"/>
          <w:highlight w:val="none"/>
          <w:lang w:eastAsia="zh-CN"/>
        </w:rPr>
        <w:t>，</w:t>
      </w:r>
      <w:r>
        <w:rPr>
          <w:rFonts w:hint="eastAsia" w:ascii="宋体" w:hAnsi="宋体"/>
          <w:color w:val="auto"/>
          <w:szCs w:val="21"/>
          <w:highlight w:val="none"/>
        </w:rPr>
        <w:t>证明材料须加盖公章）。</w:t>
      </w:r>
    </w:p>
    <w:p w14:paraId="1AA2A7A2">
      <w:pPr>
        <w:keepNext w:val="0"/>
        <w:keepLines w:val="0"/>
        <w:pageBreakBefore w:val="0"/>
        <w:kinsoku/>
        <w:wordWrap/>
        <w:overflowPunct/>
        <w:topLinePunct w:val="0"/>
        <w:autoSpaceDE/>
        <w:autoSpaceDN/>
        <w:bidi w:val="0"/>
        <w:spacing w:line="460" w:lineRule="exact"/>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w:t>
      </w:r>
      <w:r>
        <w:rPr>
          <w:rFonts w:hint="eastAsia" w:ascii="宋体" w:hAnsi="宋体"/>
          <w:color w:val="auto"/>
          <w:szCs w:val="21"/>
          <w:highlight w:val="none"/>
        </w:rPr>
        <w:t>未被列入东实环境及下属企业相关领域黑名单。</w:t>
      </w:r>
    </w:p>
    <w:p w14:paraId="0936E765">
      <w:pPr>
        <w:keepNext w:val="0"/>
        <w:keepLines w:val="0"/>
        <w:pageBreakBefore w:val="0"/>
        <w:kinsoku/>
        <w:wordWrap/>
        <w:overflowPunct/>
        <w:topLinePunct w:val="0"/>
        <w:autoSpaceDE/>
        <w:autoSpaceDN/>
        <w:bidi w:val="0"/>
        <w:spacing w:line="460" w:lineRule="exact"/>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）本项目不接受联合体投标。</w:t>
      </w:r>
    </w:p>
    <w:p w14:paraId="5E4DA3BA">
      <w:pPr>
        <w:keepNext w:val="0"/>
        <w:keepLines w:val="0"/>
        <w:pageBreakBefore w:val="0"/>
        <w:kinsoku/>
        <w:wordWrap/>
        <w:overflowPunct/>
        <w:topLinePunct w:val="0"/>
        <w:autoSpaceDE/>
        <w:autoSpaceDN/>
        <w:bidi w:val="0"/>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2、其他要求</w:t>
      </w:r>
    </w:p>
    <w:p w14:paraId="51AF2B2C">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必须持有在有效期内的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道路运输经营许可证</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，经营范围需涵盖“危险</w:t>
      </w:r>
      <w:r>
        <w:rPr>
          <w:rFonts w:hint="eastAsia" w:ascii="宋体" w:hAnsi="宋体" w:cs="宋体"/>
          <w:color w:val="auto"/>
          <w:sz w:val="21"/>
          <w:szCs w:val="21"/>
          <w:highlight w:val="none"/>
          <w:lang w:val="en-US" w:eastAsia="zh-CN"/>
        </w:rPr>
        <w:t>货物运输”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提供许可证复印件并加盖公章。</w:t>
      </w:r>
    </w:p>
    <w:p w14:paraId="6EB8A89C">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ascii="宋体" w:hAnsi="宋体"/>
          <w:b/>
          <w:color w:val="auto"/>
          <w:szCs w:val="21"/>
          <w:highlight w:val="none"/>
        </w:rPr>
      </w:pPr>
      <w:r>
        <w:rPr>
          <w:rFonts w:hint="eastAsia" w:ascii="宋体" w:hAnsi="宋体"/>
          <w:b/>
          <w:color w:val="auto"/>
          <w:szCs w:val="21"/>
          <w:highlight w:val="none"/>
        </w:rPr>
        <w:t>三、获取采购文件方式及要求：</w:t>
      </w:r>
    </w:p>
    <w:p w14:paraId="5D31B8F1">
      <w:pPr>
        <w:keepNext w:val="0"/>
        <w:keepLines w:val="0"/>
        <w:pageBreakBefore w:val="0"/>
        <w:kinsoku/>
        <w:wordWrap w:val="0"/>
        <w:overflowPunct/>
        <w:topLinePunct w:val="0"/>
        <w:autoSpaceDE/>
        <w:autoSpaceDN/>
        <w:bidi w:val="0"/>
        <w:spacing w:line="460" w:lineRule="exact"/>
        <w:ind w:firstLine="420" w:firstLineChars="200"/>
        <w:jc w:val="both"/>
        <w:textAlignment w:val="auto"/>
        <w:rPr>
          <w:color w:val="auto"/>
          <w:highlight w:val="none"/>
        </w:rPr>
      </w:pPr>
      <w:r>
        <w:rPr>
          <w:rFonts w:hint="eastAsia" w:ascii="宋体" w:hAnsi="宋体" w:cs="宋体"/>
          <w:color w:val="auto"/>
          <w:szCs w:val="21"/>
          <w:highlight w:val="none"/>
        </w:rPr>
        <w:t>本项目不进行实名登记报名，拟参加投标的投标人可于投标截止时间前自行网上下载采购文件。</w:t>
      </w:r>
      <w:r>
        <w:rPr>
          <w:rFonts w:ascii="宋体" w:hAnsi="宋体" w:cs="宋体"/>
          <w:color w:val="auto"/>
          <w:szCs w:val="21"/>
          <w:highlight w:val="none"/>
        </w:rPr>
        <w:t>采购文件下载地址：</w:t>
      </w:r>
      <w:r>
        <w:rPr>
          <w:rFonts w:hint="eastAsia" w:ascii="宋体" w:hAnsi="宋体" w:cs="宋体"/>
          <w:color w:val="auto"/>
          <w:szCs w:val="21"/>
          <w:highlight w:val="none"/>
          <w:u w:val="single"/>
        </w:rPr>
        <w:t>中国招标投标公共服务平台（http</w:t>
      </w:r>
      <w:r>
        <w:rPr>
          <w:rFonts w:hint="eastAsia" w:ascii="宋体" w:hAnsi="宋体" w:cs="宋体"/>
          <w:color w:val="auto"/>
          <w:szCs w:val="21"/>
          <w:highlight w:val="none"/>
          <w:u w:val="single"/>
        </w:rPr>
        <w:t>://www.cebpubservice.com/）、东莞市公共资源交易网（http://www.dgzb.com.cn/）、东莞实业投资控股集团有限公司-招标采购栏目（http://www.dgsy.com.cn/）、</w:t>
      </w:r>
      <w:r>
        <w:rPr>
          <w:rFonts w:hint="eastAsia" w:ascii="宋体" w:hAnsi="宋体" w:cs="宋体"/>
          <w:b w:val="0"/>
          <w:bCs w:val="0"/>
          <w:color w:val="auto"/>
          <w:szCs w:val="21"/>
          <w:highlight w:val="none"/>
        </w:rPr>
        <w:t>广东东实环境股份有限公司招采平台(https://pur.yonyou.com/DGDSXNY)</w:t>
      </w:r>
      <w:r>
        <w:rPr>
          <w:rFonts w:hint="eastAsia" w:ascii="宋体" w:hAnsi="宋体" w:cs="宋体"/>
          <w:color w:val="auto"/>
          <w:szCs w:val="21"/>
          <w:highlight w:val="none"/>
          <w:u w:val="single"/>
        </w:rPr>
        <w:t>、</w:t>
      </w:r>
      <w:r>
        <w:rPr>
          <w:rFonts w:hint="eastAsia" w:asciiTheme="minorEastAsia" w:hAnsiTheme="minorEastAsia" w:eastAsiaTheme="minorEastAsia"/>
          <w:color w:val="auto"/>
          <w:highlight w:val="none"/>
          <w:u w:val="single"/>
          <w:lang w:eastAsia="zh-CN"/>
        </w:rPr>
        <w:t>广东人信工程咨询有限公司官网（http://www.gdrxzx.com/）</w:t>
      </w:r>
      <w:r>
        <w:rPr>
          <w:rFonts w:hint="eastAsia" w:asciiTheme="minorEastAsia" w:hAnsiTheme="minorEastAsia" w:eastAsiaTheme="minorEastAsia"/>
          <w:color w:val="auto"/>
          <w:highlight w:val="none"/>
          <w:u w:val="single"/>
        </w:rPr>
        <w:t>。</w:t>
      </w:r>
    </w:p>
    <w:p w14:paraId="2FC64211">
      <w:pPr>
        <w:keepNext w:val="0"/>
        <w:keepLines w:val="0"/>
        <w:pageBreakBefore w:val="0"/>
        <w:kinsoku/>
        <w:overflowPunct/>
        <w:topLinePunct w:val="0"/>
        <w:autoSpaceDE/>
        <w:autoSpaceDN/>
        <w:bidi w:val="0"/>
        <w:spacing w:line="460" w:lineRule="exact"/>
        <w:ind w:firstLine="422" w:firstLineChars="200"/>
        <w:jc w:val="both"/>
        <w:textAlignment w:val="auto"/>
        <w:rPr>
          <w:rFonts w:ascii="宋体" w:hAnsi="宋体"/>
          <w:b/>
          <w:color w:val="auto"/>
          <w:szCs w:val="21"/>
          <w:highlight w:val="none"/>
        </w:rPr>
      </w:pPr>
      <w:r>
        <w:rPr>
          <w:rFonts w:hint="eastAsia" w:ascii="宋体" w:hAnsi="宋体"/>
          <w:b/>
          <w:color w:val="auto"/>
          <w:szCs w:val="21"/>
          <w:highlight w:val="none"/>
        </w:rPr>
        <w:t>四、投标文件的递交</w:t>
      </w:r>
    </w:p>
    <w:p w14:paraId="00320A28">
      <w:pPr>
        <w:keepNext w:val="0"/>
        <w:keepLines w:val="0"/>
        <w:pageBreakBefore w:val="0"/>
        <w:kinsoku/>
        <w:overflowPunct/>
        <w:topLinePunct w:val="0"/>
        <w:autoSpaceDE/>
        <w:autoSpaceDN/>
        <w:bidi w:val="0"/>
        <w:spacing w:line="460" w:lineRule="exact"/>
        <w:ind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1、递交投标文件时间</w:t>
      </w:r>
      <w:r>
        <w:rPr>
          <w:rFonts w:hint="eastAsia" w:ascii="宋体" w:hAnsi="宋体"/>
          <w:color w:val="auto"/>
          <w:szCs w:val="21"/>
          <w:highlight w:val="none"/>
        </w:rPr>
        <w:t>：</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19</w:t>
      </w:r>
      <w:r>
        <w:rPr>
          <w:rFonts w:hint="eastAsia" w:ascii="宋体" w:hAnsi="宋体" w:cs="宋体"/>
          <w:color w:val="auto"/>
          <w:szCs w:val="21"/>
          <w:highlight w:val="none"/>
        </w:rPr>
        <w:t>日（</w:t>
      </w:r>
      <w:r>
        <w:rPr>
          <w:rFonts w:hint="eastAsia" w:ascii="宋体" w:hAnsi="宋体"/>
          <w:color w:val="auto"/>
          <w:szCs w:val="21"/>
          <w:highlight w:val="none"/>
        </w:rPr>
        <w:t>北京时间）</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00</w:t>
      </w:r>
      <w:r>
        <w:rPr>
          <w:rFonts w:ascii="宋体" w:hAnsi="宋体"/>
          <w:color w:val="auto"/>
          <w:szCs w:val="21"/>
          <w:highlight w:val="none"/>
        </w:rPr>
        <w:t>-</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w:t>
      </w:r>
    </w:p>
    <w:p w14:paraId="478DEB2C">
      <w:pPr>
        <w:keepNext w:val="0"/>
        <w:keepLines w:val="0"/>
        <w:pageBreakBefore w:val="0"/>
        <w:kinsoku/>
        <w:overflowPunct/>
        <w:topLinePunct w:val="0"/>
        <w:autoSpaceDE/>
        <w:autoSpaceDN/>
        <w:bidi w:val="0"/>
        <w:spacing w:line="460" w:lineRule="exact"/>
        <w:ind w:firstLine="420" w:firstLineChars="200"/>
        <w:jc w:val="both"/>
        <w:textAlignment w:val="auto"/>
        <w:rPr>
          <w:rFonts w:ascii="宋体" w:hAnsi="宋体"/>
          <w:b/>
          <w:color w:val="auto"/>
          <w:szCs w:val="21"/>
          <w:highlight w:val="none"/>
        </w:rPr>
      </w:pPr>
      <w:r>
        <w:rPr>
          <w:rFonts w:hint="eastAsia" w:ascii="宋体" w:hAnsi="宋体"/>
          <w:color w:val="auto"/>
          <w:szCs w:val="21"/>
          <w:highlight w:val="none"/>
        </w:rPr>
        <w:t>2、递交投标文件</w:t>
      </w:r>
      <w:r>
        <w:rPr>
          <w:rFonts w:ascii="宋体" w:hAnsi="宋体"/>
          <w:color w:val="auto"/>
          <w:szCs w:val="21"/>
          <w:highlight w:val="none"/>
        </w:rPr>
        <w:t>截止</w:t>
      </w:r>
      <w:r>
        <w:rPr>
          <w:rFonts w:hint="eastAsia" w:ascii="宋体" w:hAnsi="宋体"/>
          <w:color w:val="auto"/>
          <w:szCs w:val="21"/>
          <w:highlight w:val="none"/>
        </w:rPr>
        <w:t>及开标时间：</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w:t>
      </w:r>
      <w:r>
        <w:rPr>
          <w:rFonts w:hint="eastAsia" w:ascii="宋体" w:hAnsi="宋体" w:cs="宋体"/>
          <w:color w:val="auto"/>
          <w:szCs w:val="21"/>
          <w:highlight w:val="none"/>
          <w:u w:val="single"/>
          <w:lang w:val="en-US" w:eastAsia="zh-CN"/>
        </w:rPr>
        <w:t>19</w:t>
      </w:r>
      <w:r>
        <w:rPr>
          <w:rFonts w:hint="eastAsia" w:ascii="宋体" w:hAnsi="宋体" w:cs="宋体"/>
          <w:color w:val="auto"/>
          <w:szCs w:val="21"/>
          <w:highlight w:val="none"/>
        </w:rPr>
        <w:t>日</w:t>
      </w:r>
      <w:r>
        <w:rPr>
          <w:rFonts w:hint="eastAsia" w:ascii="宋体" w:hAnsi="宋体"/>
          <w:color w:val="auto"/>
          <w:szCs w:val="21"/>
          <w:highlight w:val="none"/>
          <w:u w:val="single"/>
          <w:lang w:val="en-US" w:eastAsia="zh-CN"/>
        </w:rPr>
        <w:t>09</w:t>
      </w:r>
      <w:r>
        <w:rPr>
          <w:rFonts w:hint="eastAsia" w:ascii="宋体" w:hAnsi="宋体"/>
          <w:color w:val="auto"/>
          <w:szCs w:val="21"/>
          <w:highlight w:val="none"/>
        </w:rPr>
        <w:t>:</w:t>
      </w:r>
      <w:r>
        <w:rPr>
          <w:rFonts w:hint="eastAsia" w:ascii="宋体" w:hAnsi="宋体"/>
          <w:color w:val="auto"/>
          <w:szCs w:val="21"/>
          <w:highlight w:val="none"/>
          <w:u w:val="single"/>
          <w:lang w:val="en-US" w:eastAsia="zh-CN"/>
        </w:rPr>
        <w:t>30</w:t>
      </w:r>
      <w:r>
        <w:rPr>
          <w:rFonts w:hint="eastAsia" w:ascii="宋体" w:hAnsi="宋体"/>
          <w:color w:val="auto"/>
          <w:szCs w:val="21"/>
          <w:highlight w:val="none"/>
        </w:rPr>
        <w:t>（北京时间），所有投标文件应于截止时间之前递交，迟交或以电报、传真形式的投标文件将拒绝接收。</w:t>
      </w:r>
    </w:p>
    <w:p w14:paraId="2218F700">
      <w:pPr>
        <w:keepNext w:val="0"/>
        <w:keepLines w:val="0"/>
        <w:pageBreakBefore w:val="0"/>
        <w:kinsoku/>
        <w:overflowPunct/>
        <w:topLinePunct w:val="0"/>
        <w:autoSpaceDE/>
        <w:autoSpaceDN/>
        <w:bidi w:val="0"/>
        <w:spacing w:line="460" w:lineRule="exact"/>
        <w:ind w:firstLine="420" w:firstLineChars="200"/>
        <w:jc w:val="both"/>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3、</w:t>
      </w:r>
      <w:r>
        <w:rPr>
          <w:rFonts w:ascii="宋体" w:hAnsi="宋体"/>
          <w:color w:val="auto"/>
          <w:szCs w:val="21"/>
          <w:highlight w:val="none"/>
        </w:rPr>
        <w:t>开标地点</w:t>
      </w:r>
      <w:r>
        <w:rPr>
          <w:rFonts w:hint="eastAsia" w:ascii="宋体" w:hAnsi="宋体"/>
          <w:color w:val="auto"/>
          <w:szCs w:val="21"/>
          <w:highlight w:val="none"/>
        </w:rPr>
        <w:t>：</w:t>
      </w:r>
      <w:r>
        <w:rPr>
          <w:rFonts w:hint="eastAsia" w:ascii="宋体" w:hAnsi="宋体"/>
          <w:color w:val="auto"/>
          <w:szCs w:val="21"/>
          <w:highlight w:val="none"/>
        </w:rPr>
        <w:t>东莞市东城街道洋杞坑东路18号302室</w:t>
      </w:r>
      <w:r>
        <w:rPr>
          <w:rFonts w:hint="eastAsia" w:ascii="宋体" w:hAnsi="宋体"/>
          <w:color w:val="auto"/>
          <w:szCs w:val="21"/>
          <w:highlight w:val="none"/>
          <w:u w:val="none"/>
        </w:rPr>
        <w:t>。</w:t>
      </w:r>
    </w:p>
    <w:p w14:paraId="0318909D">
      <w:pPr>
        <w:keepNext w:val="0"/>
        <w:keepLines w:val="0"/>
        <w:pageBreakBefore w:val="0"/>
        <w:kinsoku/>
        <w:overflowPunct/>
        <w:topLinePunct w:val="0"/>
        <w:autoSpaceDE/>
        <w:autoSpaceDN/>
        <w:bidi w:val="0"/>
        <w:spacing w:line="460" w:lineRule="exact"/>
        <w:ind w:firstLine="420" w:firstLineChars="200"/>
        <w:jc w:val="both"/>
        <w:textAlignment w:val="auto"/>
        <w:rPr>
          <w:rFonts w:ascii="宋体" w:hAnsi="宋体"/>
          <w:bCs/>
          <w:color w:val="auto"/>
          <w:szCs w:val="21"/>
          <w:highlight w:val="none"/>
        </w:rPr>
      </w:pPr>
      <w:r>
        <w:rPr>
          <w:rFonts w:hint="eastAsia" w:ascii="宋体" w:hAnsi="宋体"/>
          <w:bCs/>
          <w:color w:val="auto"/>
          <w:szCs w:val="21"/>
          <w:highlight w:val="none"/>
        </w:rPr>
        <w:t>4、开标事宜：</w:t>
      </w:r>
      <w:r>
        <w:rPr>
          <w:rFonts w:hint="eastAsia" w:ascii="宋体" w:hAnsi="宋体"/>
          <w:b/>
          <w:bCs/>
          <w:color w:val="auto"/>
          <w:szCs w:val="21"/>
          <w:highlight w:val="none"/>
        </w:rPr>
        <w:t>届时请投标人的法定代表人或其授权代表务必携带有效身份证明出席开标会</w:t>
      </w:r>
      <w:r>
        <w:rPr>
          <w:rFonts w:hint="eastAsia" w:ascii="宋体" w:hAnsi="宋体"/>
          <w:bCs/>
          <w:color w:val="auto"/>
          <w:szCs w:val="21"/>
          <w:highlight w:val="none"/>
        </w:rPr>
        <w:t>。</w:t>
      </w:r>
    </w:p>
    <w:p w14:paraId="3733F8C9">
      <w:pPr>
        <w:pStyle w:val="38"/>
        <w:keepNext w:val="0"/>
        <w:keepLines w:val="0"/>
        <w:pageBreakBefore w:val="0"/>
        <w:kinsoku/>
        <w:overflowPunct/>
        <w:topLinePunct w:val="0"/>
        <w:autoSpaceDE/>
        <w:autoSpaceDN/>
        <w:bidi w:val="0"/>
        <w:spacing w:line="460" w:lineRule="exact"/>
        <w:ind w:firstLine="420" w:firstLineChars="200"/>
        <w:jc w:val="both"/>
        <w:textAlignment w:val="auto"/>
        <w:rPr>
          <w:color w:val="auto"/>
          <w:sz w:val="21"/>
          <w:szCs w:val="21"/>
          <w:highlight w:val="none"/>
        </w:rPr>
      </w:pPr>
      <w:r>
        <w:rPr>
          <w:rFonts w:hint="eastAsia"/>
          <w:color w:val="auto"/>
          <w:sz w:val="21"/>
          <w:szCs w:val="21"/>
          <w:highlight w:val="none"/>
        </w:rPr>
        <w:t>5、出现以下情形时，采购代理机构不予接收投标（响应）文件：</w:t>
      </w:r>
    </w:p>
    <w:p w14:paraId="252C0CA3">
      <w:pPr>
        <w:pStyle w:val="38"/>
        <w:keepNext w:val="0"/>
        <w:keepLines w:val="0"/>
        <w:pageBreakBefore w:val="0"/>
        <w:kinsoku/>
        <w:overflowPunct/>
        <w:topLinePunct w:val="0"/>
        <w:autoSpaceDE/>
        <w:autoSpaceDN/>
        <w:bidi w:val="0"/>
        <w:spacing w:line="460" w:lineRule="exact"/>
        <w:ind w:firstLine="420" w:firstLineChars="200"/>
        <w:jc w:val="both"/>
        <w:textAlignment w:val="auto"/>
        <w:rPr>
          <w:color w:val="auto"/>
          <w:sz w:val="21"/>
          <w:szCs w:val="21"/>
          <w:highlight w:val="none"/>
        </w:rPr>
      </w:pPr>
      <w:r>
        <w:rPr>
          <w:rFonts w:hint="eastAsia"/>
          <w:color w:val="auto"/>
          <w:sz w:val="21"/>
          <w:szCs w:val="21"/>
          <w:highlight w:val="none"/>
        </w:rPr>
        <w:t>（1）逾期送达或者未送达指定地点的；</w:t>
      </w:r>
    </w:p>
    <w:p w14:paraId="59373F48">
      <w:pPr>
        <w:pStyle w:val="38"/>
        <w:keepNext w:val="0"/>
        <w:keepLines w:val="0"/>
        <w:pageBreakBefore w:val="0"/>
        <w:kinsoku/>
        <w:overflowPunct/>
        <w:topLinePunct w:val="0"/>
        <w:autoSpaceDE/>
        <w:autoSpaceDN/>
        <w:bidi w:val="0"/>
        <w:spacing w:line="460" w:lineRule="exact"/>
        <w:ind w:firstLine="420" w:firstLineChars="200"/>
        <w:jc w:val="both"/>
        <w:textAlignment w:val="auto"/>
        <w:rPr>
          <w:color w:val="auto"/>
          <w:highlight w:val="none"/>
        </w:rPr>
      </w:pPr>
      <w:r>
        <w:rPr>
          <w:rFonts w:hint="eastAsia"/>
          <w:color w:val="auto"/>
          <w:sz w:val="21"/>
          <w:szCs w:val="21"/>
          <w:highlight w:val="none"/>
        </w:rPr>
        <w:t>（2）未按采购文件要求密封的。</w:t>
      </w:r>
    </w:p>
    <w:p w14:paraId="0956E74E">
      <w:pPr>
        <w:pStyle w:val="38"/>
        <w:keepNext w:val="0"/>
        <w:keepLines w:val="0"/>
        <w:pageBreakBefore w:val="0"/>
        <w:kinsoku/>
        <w:overflowPunct/>
        <w:topLinePunct w:val="0"/>
        <w:autoSpaceDE/>
        <w:autoSpaceDN/>
        <w:bidi w:val="0"/>
        <w:spacing w:line="460" w:lineRule="exact"/>
        <w:ind w:firstLine="422" w:firstLineChars="200"/>
        <w:jc w:val="both"/>
        <w:textAlignment w:val="auto"/>
        <w:rPr>
          <w:rFonts w:ascii="宋体" w:hAnsi="宋体" w:eastAsia="宋体" w:cstheme="minorBidi"/>
          <w:b/>
          <w:color w:val="auto"/>
          <w:sz w:val="21"/>
          <w:szCs w:val="21"/>
          <w:highlight w:val="none"/>
        </w:rPr>
      </w:pPr>
      <w:r>
        <w:rPr>
          <w:rFonts w:hint="eastAsia" w:ascii="宋体" w:hAnsi="宋体" w:eastAsia="宋体" w:cstheme="minorBidi"/>
          <w:b/>
          <w:color w:val="auto"/>
          <w:sz w:val="21"/>
          <w:szCs w:val="21"/>
          <w:highlight w:val="none"/>
        </w:rPr>
        <w:t>五</w:t>
      </w:r>
      <w:r>
        <w:rPr>
          <w:rFonts w:ascii="宋体" w:hAnsi="宋体" w:eastAsia="宋体" w:cstheme="minorBidi"/>
          <w:b/>
          <w:color w:val="auto"/>
          <w:sz w:val="21"/>
          <w:szCs w:val="21"/>
          <w:highlight w:val="none"/>
        </w:rPr>
        <w:t>、发布公告的媒介</w:t>
      </w:r>
    </w:p>
    <w:p w14:paraId="05433348">
      <w:pPr>
        <w:pStyle w:val="38"/>
        <w:keepNext w:val="0"/>
        <w:keepLines w:val="0"/>
        <w:pageBreakBefore w:val="0"/>
        <w:kinsoku/>
        <w:overflowPunct/>
        <w:topLinePunct w:val="0"/>
        <w:autoSpaceDE/>
        <w:autoSpaceDN/>
        <w:bidi w:val="0"/>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14:paraId="2D508678">
      <w:pPr>
        <w:pStyle w:val="38"/>
        <w:keepNext w:val="0"/>
        <w:keepLines w:val="0"/>
        <w:pageBreakBefore w:val="0"/>
        <w:kinsoku/>
        <w:overflowPunct/>
        <w:topLinePunct w:val="0"/>
        <w:autoSpaceDE/>
        <w:autoSpaceDN/>
        <w:bidi w:val="0"/>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中国招标投</w:t>
      </w:r>
      <w:bookmarkStart w:id="523" w:name="_GoBack"/>
      <w:bookmarkEnd w:id="523"/>
      <w:r>
        <w:rPr>
          <w:rFonts w:hint="eastAsia" w:ascii="宋体" w:hAnsi="宋体" w:eastAsia="宋体" w:cs="宋体"/>
          <w:color w:val="auto"/>
          <w:sz w:val="21"/>
          <w:szCs w:val="21"/>
          <w:highlight w:val="none"/>
          <w:u w:val="single"/>
        </w:rPr>
        <w:t>标公共服务平台（http</w:t>
      </w:r>
      <w:r>
        <w:rPr>
          <w:rFonts w:hint="eastAsia" w:ascii="宋体" w:hAnsi="宋体" w:eastAsia="宋体" w:cs="宋体"/>
          <w:color w:val="auto"/>
          <w:sz w:val="21"/>
          <w:szCs w:val="21"/>
          <w:highlight w:val="none"/>
          <w:u w:val="single"/>
        </w:rPr>
        <w:t>://www.cebpubservice.com/）、东莞市公共资源交易网（http://www.dgzb.com.cn/）、东莞实业投资控股集团有限公司-招标采购栏目（http://www.dgsy.com.cn/）、</w:t>
      </w:r>
      <w:r>
        <w:rPr>
          <w:rFonts w:hint="eastAsia" w:ascii="宋体" w:hAnsi="宋体" w:eastAsia="宋体" w:cs="宋体"/>
          <w:b w:val="0"/>
          <w:bCs w:val="0"/>
          <w:color w:val="auto"/>
          <w:sz w:val="21"/>
          <w:szCs w:val="21"/>
          <w:highlight w:val="none"/>
        </w:rPr>
        <w:t>广东东实环境股份有限公司招采平台(https://pur.yonyou.com/DGDSXNY)</w:t>
      </w:r>
      <w:r>
        <w:rPr>
          <w:rFonts w:hint="eastAsia" w:ascii="宋体" w:hAnsi="宋体" w:eastAsia="宋体" w:cs="宋体"/>
          <w:color w:val="auto"/>
          <w:sz w:val="21"/>
          <w:szCs w:val="21"/>
          <w:highlight w:val="none"/>
          <w:u w:val="single"/>
        </w:rPr>
        <w:t>、</w:t>
      </w:r>
      <w:r>
        <w:rPr>
          <w:rFonts w:hint="eastAsia" w:ascii="宋体" w:hAnsi="宋体" w:eastAsia="宋体" w:cs="宋体"/>
          <w:color w:val="auto"/>
          <w:sz w:val="21"/>
          <w:szCs w:val="21"/>
          <w:highlight w:val="none"/>
          <w:u w:val="single"/>
          <w:lang w:eastAsia="zh-CN"/>
        </w:rPr>
        <w:t>广东人信工程咨询有限公司官网（http://www.gdrxzx.com/）</w:t>
      </w:r>
      <w:r>
        <w:rPr>
          <w:rFonts w:hint="eastAsia" w:ascii="宋体" w:hAnsi="宋体" w:eastAsia="宋体" w:cs="宋体"/>
          <w:color w:val="auto"/>
          <w:sz w:val="21"/>
          <w:szCs w:val="21"/>
          <w:highlight w:val="none"/>
          <w:u w:val="single"/>
        </w:rPr>
        <w:t>。</w:t>
      </w:r>
    </w:p>
    <w:p w14:paraId="52798817">
      <w:pPr>
        <w:pStyle w:val="38"/>
        <w:keepNext w:val="0"/>
        <w:keepLines w:val="0"/>
        <w:pageBreakBefore w:val="0"/>
        <w:kinsoku/>
        <w:overflowPunct/>
        <w:topLinePunct w:val="0"/>
        <w:autoSpaceDE/>
        <w:autoSpaceDN/>
        <w:bidi w:val="0"/>
        <w:spacing w:line="460" w:lineRule="exact"/>
        <w:ind w:firstLine="420" w:firstLineChars="200"/>
        <w:jc w:val="both"/>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14:paraId="28F3A323">
      <w:pPr>
        <w:keepNext w:val="0"/>
        <w:keepLines w:val="0"/>
        <w:pageBreakBefore w:val="0"/>
        <w:kinsoku/>
        <w:overflowPunct/>
        <w:topLinePunct w:val="0"/>
        <w:autoSpaceDE/>
        <w:autoSpaceDN/>
        <w:bidi w:val="0"/>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东莞实业投资控股集团有限公司-招标采购栏目（http://www.dgsy.com.cn/），广东东实环境股份有限公司招采平台(https://pur.yonyou.com/DGDSXNY)。</w:t>
      </w:r>
    </w:p>
    <w:p w14:paraId="4CB750F4">
      <w:pPr>
        <w:keepNext w:val="0"/>
        <w:keepLines w:val="0"/>
        <w:pageBreakBefore w:val="0"/>
        <w:kinsoku/>
        <w:overflowPunct/>
        <w:topLinePunct w:val="0"/>
        <w:autoSpaceDE/>
        <w:autoSpaceDN/>
        <w:bidi w:val="0"/>
        <w:spacing w:line="460" w:lineRule="exact"/>
        <w:ind w:firstLine="422" w:firstLineChars="200"/>
        <w:jc w:val="both"/>
        <w:textAlignment w:val="auto"/>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14:paraId="6EE5C446">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名称</w:t>
      </w:r>
      <w:r>
        <w:rPr>
          <w:rFonts w:hint="eastAsia" w:ascii="宋体" w:hAnsi="宋体"/>
          <w:color w:val="auto"/>
          <w:szCs w:val="21"/>
          <w:highlight w:val="none"/>
        </w:rPr>
        <w:t>：东莞市新东欣环保投资有限公司</w:t>
      </w:r>
    </w:p>
    <w:p w14:paraId="526A3972">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采购人联系人：杜先生</w:t>
      </w:r>
    </w:p>
    <w:p w14:paraId="3BF10A11">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采购人地址：广东省东莞市麻涌镇海心沙路1号</w:t>
      </w:r>
    </w:p>
    <w:p w14:paraId="0AB94D62">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s="宋体"/>
          <w:bCs/>
          <w:color w:val="auto"/>
          <w:szCs w:val="21"/>
          <w:highlight w:val="none"/>
        </w:rPr>
      </w:pPr>
      <w:r>
        <w:rPr>
          <w:rFonts w:hint="eastAsia" w:ascii="宋体" w:hAnsi="宋体"/>
          <w:color w:val="auto"/>
          <w:szCs w:val="21"/>
          <w:highlight w:val="none"/>
        </w:rPr>
        <w:t>采购人联系电话：0769-39028733</w:t>
      </w:r>
    </w:p>
    <w:p w14:paraId="69F473AC">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采购代理机构名称：广东人信工程咨询有限公司</w:t>
      </w:r>
    </w:p>
    <w:p w14:paraId="1D4BE9CE">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详细地址：东莞市东城街道洋杞坑东路18号302室</w:t>
      </w:r>
    </w:p>
    <w:p w14:paraId="3E5C3203">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采购代理机构联系人：陈靓</w:t>
      </w:r>
    </w:p>
    <w:p w14:paraId="36E26CEB">
      <w:pPr>
        <w:keepNext w:val="0"/>
        <w:keepLines w:val="0"/>
        <w:pageBreakBefore w:val="0"/>
        <w:widowControl w:val="0"/>
        <w:kinsoku/>
        <w:wordWrap/>
        <w:overflowPunct/>
        <w:topLinePunct w:val="0"/>
        <w:autoSpaceDE/>
        <w:autoSpaceDN/>
        <w:bidi w:val="0"/>
        <w:adjustRightInd/>
        <w:snapToGrid/>
        <w:spacing w:line="460" w:lineRule="exact"/>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采购代理机构联系电话：0769-28680091</w:t>
      </w:r>
    </w:p>
    <w:p w14:paraId="43631C62">
      <w:pPr>
        <w:keepNext w:val="0"/>
        <w:keepLines w:val="0"/>
        <w:pageBreakBefore w:val="0"/>
        <w:kinsoku/>
        <w:overflowPunct/>
        <w:topLinePunct w:val="0"/>
        <w:autoSpaceDE/>
        <w:autoSpaceDN/>
        <w:bidi w:val="0"/>
        <w:spacing w:line="460" w:lineRule="exact"/>
        <w:ind w:firstLine="420" w:firstLineChars="200"/>
        <w:jc w:val="both"/>
        <w:textAlignment w:val="auto"/>
        <w:rPr>
          <w:color w:val="auto"/>
          <w:highlight w:val="none"/>
        </w:rPr>
      </w:pPr>
      <w:r>
        <w:rPr>
          <w:rFonts w:hint="eastAsia" w:ascii="宋体" w:hAnsi="宋体"/>
          <w:color w:val="auto"/>
          <w:szCs w:val="21"/>
          <w:highlight w:val="none"/>
        </w:rPr>
        <w:t>采购代理机构邮箱：gdrxdg@163.com</w:t>
      </w:r>
      <w:r>
        <w:rPr>
          <w:rFonts w:hint="eastAsia" w:ascii="宋体" w:hAnsi="宋体"/>
          <w:color w:val="auto"/>
          <w:szCs w:val="21"/>
          <w:highlight w:val="none"/>
        </w:rPr>
        <w:t xml:space="preserve"> </w:t>
      </w:r>
    </w:p>
    <w:p w14:paraId="36A4FE11">
      <w:pPr>
        <w:ind w:firstLine="420" w:firstLineChars="200"/>
        <w:rPr>
          <w:color w:val="auto"/>
          <w:highlight w:val="none"/>
        </w:rPr>
      </w:pPr>
    </w:p>
    <w:p w14:paraId="105B1011">
      <w:pPr>
        <w:keepNext w:val="0"/>
        <w:keepLines w:val="0"/>
        <w:pageBreakBefore w:val="0"/>
        <w:kinsoku/>
        <w:wordWrap/>
        <w:overflowPunct/>
        <w:topLinePunct w:val="0"/>
        <w:autoSpaceDE/>
        <w:autoSpaceDN/>
        <w:bidi w:val="0"/>
        <w:snapToGrid w:val="0"/>
        <w:spacing w:line="460" w:lineRule="exact"/>
        <w:ind w:right="0" w:rightChars="0" w:firstLine="420" w:firstLineChars="200"/>
        <w:jc w:val="right"/>
        <w:textAlignment w:val="auto"/>
        <w:rPr>
          <w:color w:val="auto"/>
          <w:highlight w:val="none"/>
        </w:rPr>
      </w:pPr>
    </w:p>
    <w:p w14:paraId="1D87F180">
      <w:pPr>
        <w:keepNext w:val="0"/>
        <w:keepLines w:val="0"/>
        <w:pageBreakBefore w:val="0"/>
        <w:widowControl w:val="0"/>
        <w:tabs>
          <w:tab w:val="left" w:pos="480"/>
        </w:tabs>
        <w:kinsoku/>
        <w:wordWrap/>
        <w:overflowPunct/>
        <w:topLinePunct w:val="0"/>
        <w:autoSpaceDE/>
        <w:autoSpaceDN/>
        <w:bidi w:val="0"/>
        <w:adjustRightInd/>
        <w:snapToGrid w:val="0"/>
        <w:spacing w:line="460" w:lineRule="exact"/>
        <w:ind w:right="0" w:rightChars="0" w:firstLine="420" w:firstLineChars="200"/>
        <w:jc w:val="right"/>
        <w:textAlignment w:val="auto"/>
        <w:rPr>
          <w:rFonts w:ascii="宋体" w:hAnsi="宋体" w:cs="宋体"/>
          <w:bCs/>
          <w:color w:val="auto"/>
          <w:szCs w:val="21"/>
          <w:highlight w:val="none"/>
        </w:rPr>
      </w:pPr>
      <w:r>
        <w:rPr>
          <w:rFonts w:hint="eastAsia" w:ascii="宋体" w:hAnsi="宋体" w:cs="宋体"/>
          <w:bCs/>
          <w:color w:val="auto"/>
          <w:szCs w:val="21"/>
          <w:highlight w:val="none"/>
        </w:rPr>
        <w:t>东莞市新东欣环保投资有限公司</w:t>
      </w:r>
    </w:p>
    <w:p w14:paraId="46C18FBF">
      <w:pPr>
        <w:keepNext w:val="0"/>
        <w:keepLines w:val="0"/>
        <w:pageBreakBefore w:val="0"/>
        <w:kinsoku/>
        <w:wordWrap/>
        <w:overflowPunct/>
        <w:topLinePunct w:val="0"/>
        <w:autoSpaceDE/>
        <w:autoSpaceDN/>
        <w:bidi w:val="0"/>
        <w:snapToGrid w:val="0"/>
        <w:spacing w:line="460" w:lineRule="exact"/>
        <w:ind w:right="0" w:rightChars="0" w:firstLine="420" w:firstLineChars="200"/>
        <w:jc w:val="right"/>
        <w:textAlignment w:val="auto"/>
        <w:rPr>
          <w:rFonts w:ascii="宋体" w:hAnsi="宋体" w:cs="宋体"/>
          <w:color w:val="auto"/>
          <w:szCs w:val="21"/>
          <w:highlight w:val="none"/>
        </w:rPr>
      </w:pPr>
      <w:r>
        <w:rPr>
          <w:rFonts w:hint="eastAsia" w:ascii="宋体" w:hAnsi="宋体" w:cs="宋体"/>
          <w:bCs/>
          <w:color w:val="auto"/>
          <w:szCs w:val="21"/>
          <w:highlight w:val="none"/>
        </w:rPr>
        <w:t>广东人信工程咨询有限公司</w:t>
      </w:r>
    </w:p>
    <w:p w14:paraId="6CBFF01F">
      <w:pPr>
        <w:keepNext w:val="0"/>
        <w:keepLines w:val="0"/>
        <w:pageBreakBefore w:val="0"/>
        <w:kinsoku/>
        <w:wordWrap/>
        <w:overflowPunct/>
        <w:topLinePunct w:val="0"/>
        <w:autoSpaceDE/>
        <w:autoSpaceDN/>
        <w:bidi w:val="0"/>
        <w:snapToGrid w:val="0"/>
        <w:spacing w:line="460" w:lineRule="exact"/>
        <w:ind w:right="0" w:rightChars="0" w:firstLine="420" w:firstLineChars="200"/>
        <w:jc w:val="righ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30日</w:t>
      </w:r>
    </w:p>
    <w:p w14:paraId="00A1EF6F">
      <w:pP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14:paraId="44161F91">
      <w:pPr>
        <w:pStyle w:val="4"/>
        <w:spacing w:before="0" w:after="0" w:line="240" w:lineRule="auto"/>
        <w:rPr>
          <w:color w:val="auto"/>
          <w:sz w:val="28"/>
          <w:szCs w:val="28"/>
          <w:highlight w:val="none"/>
        </w:rPr>
      </w:pPr>
      <w:bookmarkStart w:id="2" w:name="_Toc2962"/>
      <w:r>
        <w:rPr>
          <w:rFonts w:hint="eastAsia"/>
          <w:color w:val="auto"/>
          <w:sz w:val="28"/>
          <w:szCs w:val="28"/>
          <w:highlight w:val="none"/>
        </w:rPr>
        <w:t>第二部分相关资料表格</w:t>
      </w:r>
      <w:bookmarkEnd w:id="2"/>
    </w:p>
    <w:p w14:paraId="068F070C">
      <w:pPr>
        <w:pStyle w:val="5"/>
        <w:spacing w:before="0" w:after="0" w:line="240" w:lineRule="auto"/>
        <w:jc w:val="center"/>
        <w:rPr>
          <w:rFonts w:ascii="宋体" w:hAnsi="宋体" w:cs="宋体"/>
          <w:color w:val="auto"/>
          <w:sz w:val="24"/>
          <w:szCs w:val="24"/>
          <w:highlight w:val="none"/>
        </w:rPr>
      </w:pPr>
      <w:bookmarkStart w:id="3" w:name="_Toc20179"/>
      <w:r>
        <w:rPr>
          <w:rFonts w:hint="eastAsia" w:ascii="宋体" w:hAnsi="宋体" w:cs="宋体"/>
          <w:color w:val="auto"/>
          <w:sz w:val="24"/>
          <w:szCs w:val="24"/>
          <w:highlight w:val="none"/>
        </w:rPr>
        <w:t>附表一：投标资料表</w:t>
      </w:r>
      <w:bookmarkEnd w:id="3"/>
    </w:p>
    <w:tbl>
      <w:tblPr>
        <w:tblStyle w:val="30"/>
        <w:tblW w:w="4999"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71"/>
        <w:gridCol w:w="2592"/>
        <w:gridCol w:w="4897"/>
      </w:tblGrid>
      <w:tr w14:paraId="03CC76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600" w:hRule="atLeast"/>
        </w:trPr>
        <w:tc>
          <w:tcPr>
            <w:tcW w:w="521" w:type="pct"/>
            <w:tcBorders>
              <w:tl2br w:val="nil"/>
              <w:tr2bl w:val="nil"/>
            </w:tcBorders>
            <w:vAlign w:val="center"/>
          </w:tcPr>
          <w:p w14:paraId="346A4711">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序号</w:t>
            </w:r>
          </w:p>
        </w:tc>
        <w:tc>
          <w:tcPr>
            <w:tcW w:w="4478" w:type="pct"/>
            <w:gridSpan w:val="2"/>
            <w:tcBorders>
              <w:tl2br w:val="nil"/>
              <w:tr2bl w:val="nil"/>
            </w:tcBorders>
            <w:vAlign w:val="center"/>
          </w:tcPr>
          <w:p w14:paraId="29703B31">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内容</w:t>
            </w:r>
          </w:p>
        </w:tc>
      </w:tr>
      <w:tr w14:paraId="40C59E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5000" w:type="pct"/>
            <w:gridSpan w:val="3"/>
            <w:tcBorders>
              <w:tl2br w:val="nil"/>
              <w:tr2bl w:val="nil"/>
            </w:tcBorders>
            <w:vAlign w:val="center"/>
          </w:tcPr>
          <w:p w14:paraId="7FABE774">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一、说明</w:t>
            </w:r>
          </w:p>
        </w:tc>
      </w:tr>
      <w:tr w14:paraId="5AB9290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4955E6D6">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4478" w:type="pct"/>
            <w:gridSpan w:val="2"/>
            <w:tcBorders>
              <w:tl2br w:val="nil"/>
              <w:tr2bl w:val="nil"/>
            </w:tcBorders>
            <w:vAlign w:val="center"/>
          </w:tcPr>
          <w:p w14:paraId="3381237D">
            <w:pPr>
              <w:keepNext w:val="0"/>
              <w:keepLines w:val="0"/>
              <w:pageBreakBefore w:val="0"/>
              <w:kinsoku/>
              <w:wordWrap/>
              <w:overflowPunct/>
              <w:topLinePunct w:val="0"/>
              <w:autoSpaceDE/>
              <w:autoSpaceDN/>
              <w:bidi w:val="0"/>
              <w:spacing w:line="240" w:lineRule="auto"/>
              <w:ind w:left="0"/>
              <w:textAlignment w:val="auto"/>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本</w:t>
            </w:r>
            <w:r>
              <w:rPr>
                <w:rFonts w:hint="eastAsia" w:ascii="宋体" w:hAnsi="宋体"/>
                <w:b/>
                <w:bCs/>
                <w:color w:val="auto"/>
                <w:szCs w:val="21"/>
                <w:highlight w:val="none"/>
              </w:rPr>
              <w:t>项目</w:t>
            </w:r>
            <w:r>
              <w:rPr>
                <w:rFonts w:hint="eastAsia" w:ascii="宋体" w:hAnsi="宋体"/>
                <w:b/>
                <w:bCs/>
                <w:color w:val="auto"/>
                <w:szCs w:val="21"/>
                <w:highlight w:val="none"/>
                <w:lang w:val="en-US" w:eastAsia="zh-CN"/>
              </w:rPr>
              <w:t>单价限价详见</w:t>
            </w:r>
            <w:r>
              <w:rPr>
                <w:rFonts w:hint="eastAsia" w:ascii="宋体" w:hAnsi="宋体"/>
                <w:b/>
                <w:bCs/>
                <w:color w:val="auto"/>
                <w:szCs w:val="21"/>
                <w:highlight w:val="none"/>
              </w:rPr>
              <w:t>附件《危险废物运输费单价表》</w:t>
            </w:r>
          </w:p>
        </w:tc>
      </w:tr>
      <w:tr w14:paraId="0E4628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restart"/>
            <w:tcBorders>
              <w:tl2br w:val="nil"/>
              <w:tr2bl w:val="nil"/>
            </w:tcBorders>
            <w:vAlign w:val="center"/>
          </w:tcPr>
          <w:p w14:paraId="5618D917">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2</w:t>
            </w:r>
          </w:p>
        </w:tc>
        <w:tc>
          <w:tcPr>
            <w:tcW w:w="4478" w:type="pct"/>
            <w:gridSpan w:val="2"/>
            <w:tcBorders>
              <w:tl2br w:val="nil"/>
              <w:tr2bl w:val="nil"/>
            </w:tcBorders>
            <w:vAlign w:val="center"/>
          </w:tcPr>
          <w:p w14:paraId="5B65FCDC">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b/>
                <w:bCs/>
                <w:color w:val="auto"/>
                <w:szCs w:val="21"/>
                <w:highlight w:val="none"/>
              </w:rPr>
              <w:t>发包方式</w:t>
            </w:r>
          </w:p>
        </w:tc>
      </w:tr>
      <w:tr w14:paraId="6CD4968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442326C7">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5EFF4021">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固定总价包干；</w:t>
            </w:r>
          </w:p>
          <w:p w14:paraId="375BF8D2">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b/>
                <w:bCs/>
                <w:color w:val="auto"/>
                <w:szCs w:val="21"/>
                <w:highlight w:val="none"/>
              </w:rPr>
              <w:t>固定单价暂定总价包干；</w:t>
            </w:r>
          </w:p>
          <w:p w14:paraId="48FF8C0F">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u w:val="single"/>
              </w:rPr>
            </w:pPr>
            <w:r>
              <w:rPr>
                <w:rFonts w:hint="eastAsia" w:ascii="宋体" w:hAnsi="宋体"/>
                <w:color w:val="auto"/>
                <w:szCs w:val="21"/>
                <w:highlight w:val="none"/>
              </w:rPr>
              <w:sym w:font="Wingdings 2" w:char="00A3"/>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14:paraId="4D1DA981">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color w:val="auto"/>
                <w:szCs w:val="21"/>
                <w:highlight w:val="none"/>
              </w:rPr>
              <w:sym w:font="Wingdings 2" w:char="00A3"/>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14:paraId="0C6B9A8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restart"/>
            <w:tcBorders>
              <w:tl2br w:val="nil"/>
              <w:tr2bl w:val="nil"/>
            </w:tcBorders>
            <w:vAlign w:val="center"/>
          </w:tcPr>
          <w:p w14:paraId="3A1E9640">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3</w:t>
            </w:r>
          </w:p>
        </w:tc>
        <w:tc>
          <w:tcPr>
            <w:tcW w:w="4478" w:type="pct"/>
            <w:gridSpan w:val="2"/>
            <w:tcBorders>
              <w:tl2br w:val="nil"/>
              <w:tr2bl w:val="nil"/>
            </w:tcBorders>
            <w:vAlign w:val="center"/>
          </w:tcPr>
          <w:p w14:paraId="3A3E1ED7">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b/>
                <w:bCs/>
                <w:color w:val="auto"/>
                <w:szCs w:val="21"/>
                <w:highlight w:val="none"/>
              </w:rPr>
              <w:t>是否接受联合体投标</w:t>
            </w:r>
          </w:p>
        </w:tc>
      </w:tr>
      <w:tr w14:paraId="06DE5B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2DA4284">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7B7EDF39">
            <w:pPr>
              <w:pStyle w:val="41"/>
              <w:keepNext w:val="0"/>
              <w:keepLines w:val="0"/>
              <w:pageBreakBefore w:val="0"/>
              <w:kinsoku/>
              <w:wordWrap/>
              <w:overflowPunct/>
              <w:topLinePunct w:val="0"/>
              <w:autoSpaceDE/>
              <w:autoSpaceDN/>
              <w:bidi w:val="0"/>
              <w:spacing w:line="240" w:lineRule="auto"/>
              <w:ind w:left="0" w:firstLine="0" w:firstLineChars="0"/>
              <w:textAlignment w:val="auto"/>
              <w:rPr>
                <w:rFonts w:ascii="宋体" w:hAnsi="宋体" w:cs="宋体"/>
                <w:color w:val="auto"/>
                <w:szCs w:val="21"/>
                <w:highlight w:val="none"/>
              </w:rPr>
            </w:pPr>
            <w:r>
              <w:rPr>
                <w:rFonts w:hint="eastAsia" w:ascii="宋体" w:hAnsi="宋体"/>
                <w:color w:val="auto"/>
                <w:szCs w:val="21"/>
                <w:highlight w:val="none"/>
              </w:rPr>
              <w:sym w:font="Wingdings 2" w:char="00A3"/>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14:paraId="231192EF">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color w:val="auto"/>
                <w:szCs w:val="21"/>
                <w:highlight w:val="none"/>
              </w:rPr>
              <w:sym w:font="Wingdings 2" w:char="0052"/>
            </w:r>
            <w:r>
              <w:rPr>
                <w:rFonts w:hint="eastAsia" w:ascii="宋体" w:hAnsi="宋体" w:cs="宋体"/>
                <w:color w:val="auto"/>
                <w:szCs w:val="21"/>
                <w:highlight w:val="none"/>
              </w:rPr>
              <w:t>否；</w:t>
            </w:r>
          </w:p>
        </w:tc>
      </w:tr>
      <w:tr w14:paraId="430C775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5EA25160">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4</w:t>
            </w:r>
          </w:p>
        </w:tc>
        <w:tc>
          <w:tcPr>
            <w:tcW w:w="4478" w:type="pct"/>
            <w:gridSpan w:val="2"/>
            <w:tcBorders>
              <w:tl2br w:val="nil"/>
              <w:tr2bl w:val="nil"/>
            </w:tcBorders>
            <w:vAlign w:val="center"/>
          </w:tcPr>
          <w:p w14:paraId="5BB0C752">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b/>
                <w:bCs/>
                <w:color w:val="auto"/>
                <w:szCs w:val="21"/>
                <w:highlight w:val="none"/>
              </w:rPr>
              <w:t>资金来源</w:t>
            </w:r>
          </w:p>
        </w:tc>
      </w:tr>
      <w:tr w14:paraId="7EF7E9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142EF3D">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7C202AEE">
            <w:pPr>
              <w:keepNext w:val="0"/>
              <w:keepLines w:val="0"/>
              <w:pageBreakBefore w:val="0"/>
              <w:kinsoku/>
              <w:wordWrap/>
              <w:overflowPunct/>
              <w:topLinePunct w:val="0"/>
              <w:autoSpaceDE/>
              <w:autoSpaceDN/>
              <w:bidi w:val="0"/>
              <w:spacing w:line="240" w:lineRule="auto"/>
              <w:ind w:left="0"/>
              <w:textAlignment w:val="auto"/>
              <w:rPr>
                <w:rFonts w:ascii="宋体" w:hAnsi="宋体"/>
                <w:b/>
                <w:bCs/>
                <w:color w:val="auto"/>
                <w:szCs w:val="21"/>
                <w:highlight w:val="none"/>
              </w:rPr>
            </w:pPr>
            <w:r>
              <w:rPr>
                <w:rFonts w:hint="eastAsia" w:ascii="宋体" w:hAnsi="宋体"/>
                <w:color w:val="auto"/>
                <w:szCs w:val="21"/>
                <w:highlight w:val="none"/>
                <w:u w:val="single"/>
              </w:rPr>
              <w:t>自筹资金。</w:t>
            </w:r>
          </w:p>
        </w:tc>
      </w:tr>
      <w:tr w14:paraId="13F910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478B1569">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5</w:t>
            </w:r>
          </w:p>
        </w:tc>
        <w:tc>
          <w:tcPr>
            <w:tcW w:w="4478" w:type="pct"/>
            <w:gridSpan w:val="2"/>
            <w:tcBorders>
              <w:tl2br w:val="nil"/>
              <w:tr2bl w:val="nil"/>
            </w:tcBorders>
            <w:vAlign w:val="center"/>
          </w:tcPr>
          <w:p w14:paraId="704677E6">
            <w:pPr>
              <w:keepNext w:val="0"/>
              <w:keepLines w:val="0"/>
              <w:pageBreakBefore w:val="0"/>
              <w:kinsoku/>
              <w:wordWrap/>
              <w:overflowPunct/>
              <w:topLinePunct w:val="0"/>
              <w:autoSpaceDE/>
              <w:autoSpaceDN/>
              <w:bidi w:val="0"/>
              <w:spacing w:line="240" w:lineRule="auto"/>
              <w:ind w:left="0"/>
              <w:textAlignment w:val="auto"/>
              <w:rPr>
                <w:rFonts w:ascii="宋体" w:hAnsi="宋体"/>
                <w:b/>
                <w:color w:val="auto"/>
                <w:szCs w:val="21"/>
                <w:highlight w:val="none"/>
              </w:rPr>
            </w:pPr>
            <w:r>
              <w:rPr>
                <w:rFonts w:hint="eastAsia" w:ascii="宋体" w:hAnsi="宋体"/>
                <w:b/>
                <w:color w:val="auto"/>
                <w:szCs w:val="21"/>
                <w:highlight w:val="none"/>
              </w:rPr>
              <w:t>踏勘现场</w:t>
            </w:r>
          </w:p>
        </w:tc>
      </w:tr>
      <w:tr w14:paraId="5920310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9494E6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0C0EBCD9">
            <w:pPr>
              <w:keepNext w:val="0"/>
              <w:keepLines w:val="0"/>
              <w:pageBreakBefore w:val="0"/>
              <w:kinsoku/>
              <w:wordWrap/>
              <w:overflowPunct/>
              <w:topLinePunct w:val="0"/>
              <w:autoSpaceDE/>
              <w:autoSpaceDN/>
              <w:bidi w:val="0"/>
              <w:spacing w:line="240" w:lineRule="auto"/>
              <w:ind w:left="0"/>
              <w:textAlignment w:val="auto"/>
              <w:rPr>
                <w:rFonts w:ascii="宋体" w:hAnsi="宋体"/>
                <w:bCs/>
                <w:color w:val="auto"/>
                <w:szCs w:val="21"/>
                <w:highlight w:val="none"/>
              </w:rPr>
            </w:pPr>
            <w:r>
              <w:rPr>
                <w:rFonts w:hint="eastAsia" w:ascii="宋体" w:hAnsi="宋体"/>
                <w:bCs/>
                <w:color w:val="auto"/>
                <w:szCs w:val="21"/>
                <w:highlight w:val="none"/>
                <w:lang w:eastAsia="zh-CN"/>
              </w:rPr>
              <w:t>☑</w:t>
            </w:r>
            <w:r>
              <w:rPr>
                <w:rFonts w:hint="eastAsia" w:ascii="宋体" w:hAnsi="宋体"/>
                <w:bCs/>
                <w:color w:val="auto"/>
                <w:szCs w:val="21"/>
                <w:highlight w:val="none"/>
              </w:rPr>
              <w:t>不组织 。</w:t>
            </w:r>
          </w:p>
          <w:p w14:paraId="06DFD5AD">
            <w:pPr>
              <w:keepNext w:val="0"/>
              <w:keepLines w:val="0"/>
              <w:pageBreakBefore w:val="0"/>
              <w:kinsoku/>
              <w:wordWrap/>
              <w:overflowPunct/>
              <w:topLinePunct w:val="0"/>
              <w:autoSpaceDE/>
              <w:autoSpaceDN/>
              <w:bidi w:val="0"/>
              <w:spacing w:line="240" w:lineRule="auto"/>
              <w:ind w:left="0"/>
              <w:textAlignment w:val="auto"/>
              <w:rPr>
                <w:rFonts w:ascii="宋体" w:hAnsi="宋体"/>
                <w:bCs/>
                <w:color w:val="auto"/>
                <w:szCs w:val="21"/>
                <w:highlight w:val="none"/>
              </w:rPr>
            </w:pP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14:paraId="159E63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trPr>
        <w:tc>
          <w:tcPr>
            <w:tcW w:w="5000" w:type="pct"/>
            <w:gridSpan w:val="3"/>
            <w:tcBorders>
              <w:tl2br w:val="nil"/>
              <w:tr2bl w:val="nil"/>
            </w:tcBorders>
            <w:vAlign w:val="center"/>
          </w:tcPr>
          <w:p w14:paraId="33B01853">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二、投标文件的编制</w:t>
            </w:r>
          </w:p>
        </w:tc>
      </w:tr>
      <w:tr w14:paraId="1610F7B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6D12746E">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6</w:t>
            </w:r>
          </w:p>
        </w:tc>
        <w:tc>
          <w:tcPr>
            <w:tcW w:w="4478" w:type="pct"/>
            <w:gridSpan w:val="2"/>
            <w:tcBorders>
              <w:tl2br w:val="nil"/>
              <w:tr2bl w:val="nil"/>
            </w:tcBorders>
            <w:vAlign w:val="center"/>
          </w:tcPr>
          <w:p w14:paraId="1E13D1FA">
            <w:pPr>
              <w:keepNext w:val="0"/>
              <w:keepLines w:val="0"/>
              <w:pageBreakBefore w:val="0"/>
              <w:kinsoku/>
              <w:wordWrap/>
              <w:overflowPunct/>
              <w:topLinePunct w:val="0"/>
              <w:autoSpaceDE/>
              <w:autoSpaceDN/>
              <w:bidi w:val="0"/>
              <w:spacing w:line="240" w:lineRule="auto"/>
              <w:ind w:left="0"/>
              <w:textAlignment w:val="auto"/>
              <w:rPr>
                <w:rFonts w:ascii="宋体" w:hAnsi="宋体"/>
                <w:b/>
                <w:color w:val="auto"/>
                <w:szCs w:val="21"/>
                <w:highlight w:val="none"/>
              </w:rPr>
            </w:pPr>
            <w:r>
              <w:rPr>
                <w:rFonts w:hint="eastAsia" w:ascii="宋体" w:hAnsi="宋体"/>
                <w:b/>
                <w:color w:val="auto"/>
                <w:szCs w:val="21"/>
                <w:highlight w:val="none"/>
              </w:rPr>
              <w:t>投标语言</w:t>
            </w:r>
          </w:p>
        </w:tc>
      </w:tr>
      <w:tr w14:paraId="5A7F9D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0ACF67B1">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71342757">
            <w:pPr>
              <w:keepNext w:val="0"/>
              <w:keepLines w:val="0"/>
              <w:pageBreakBefore w:val="0"/>
              <w:kinsoku/>
              <w:wordWrap/>
              <w:overflowPunct/>
              <w:topLinePunct w:val="0"/>
              <w:autoSpaceDE/>
              <w:autoSpaceDN/>
              <w:bidi w:val="0"/>
              <w:spacing w:line="240" w:lineRule="auto"/>
              <w:ind w:left="0"/>
              <w:textAlignment w:val="auto"/>
              <w:rPr>
                <w:rFonts w:ascii="宋体" w:hAnsi="宋体"/>
                <w:b/>
                <w:color w:val="auto"/>
                <w:szCs w:val="21"/>
                <w:highlight w:val="none"/>
              </w:rPr>
            </w:pPr>
            <w:r>
              <w:rPr>
                <w:rFonts w:hint="eastAsia" w:ascii="宋体" w:hAnsi="宋体"/>
                <w:color w:val="auto"/>
                <w:szCs w:val="21"/>
                <w:highlight w:val="none"/>
              </w:rPr>
              <w:t>中文。</w:t>
            </w:r>
          </w:p>
        </w:tc>
      </w:tr>
      <w:tr w14:paraId="20CDE78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2A9C4A19">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7</w:t>
            </w:r>
          </w:p>
        </w:tc>
        <w:tc>
          <w:tcPr>
            <w:tcW w:w="4478" w:type="pct"/>
            <w:gridSpan w:val="2"/>
            <w:tcBorders>
              <w:tl2br w:val="nil"/>
              <w:tr2bl w:val="nil"/>
            </w:tcBorders>
            <w:vAlign w:val="center"/>
          </w:tcPr>
          <w:p w14:paraId="4F4B6163">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color w:val="auto"/>
                <w:szCs w:val="21"/>
                <w:highlight w:val="none"/>
              </w:rPr>
              <w:t>投标报价</w:t>
            </w:r>
          </w:p>
        </w:tc>
      </w:tr>
      <w:tr w14:paraId="7037A5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E3EB30D">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14F35AF2">
            <w:pPr>
              <w:keepNext w:val="0"/>
              <w:keepLines w:val="0"/>
              <w:pageBreakBefore w:val="0"/>
              <w:kinsoku/>
              <w:wordWrap/>
              <w:overflowPunct/>
              <w:topLinePunct w:val="0"/>
              <w:autoSpaceDE/>
              <w:autoSpaceDN/>
              <w:bidi w:val="0"/>
              <w:spacing w:line="240" w:lineRule="auto"/>
              <w:ind w:left="0"/>
              <w:jc w:val="both"/>
              <w:textAlignment w:val="auto"/>
              <w:rPr>
                <w:rFonts w:ascii="宋体" w:hAnsi="宋体"/>
                <w:color w:val="auto"/>
                <w:szCs w:val="21"/>
                <w:highlight w:val="none"/>
              </w:rPr>
            </w:pPr>
            <w:r>
              <w:rPr>
                <w:rFonts w:hint="eastAsia" w:ascii="宋体" w:hAnsi="宋体"/>
                <w:color w:val="auto"/>
                <w:szCs w:val="21"/>
                <w:highlight w:val="none"/>
              </w:rPr>
              <w:t>详见投标人须知。</w:t>
            </w:r>
          </w:p>
        </w:tc>
      </w:tr>
      <w:tr w14:paraId="5C50E36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521" w:type="pct"/>
            <w:vMerge w:val="restart"/>
            <w:tcBorders>
              <w:tl2br w:val="nil"/>
              <w:tr2bl w:val="nil"/>
            </w:tcBorders>
            <w:vAlign w:val="center"/>
          </w:tcPr>
          <w:p w14:paraId="0AA2ADA7">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8</w:t>
            </w:r>
          </w:p>
        </w:tc>
        <w:tc>
          <w:tcPr>
            <w:tcW w:w="4478" w:type="pct"/>
            <w:gridSpan w:val="2"/>
            <w:tcBorders>
              <w:tl2br w:val="nil"/>
              <w:tr2bl w:val="nil"/>
            </w:tcBorders>
            <w:vAlign w:val="center"/>
          </w:tcPr>
          <w:p w14:paraId="0FF07B00">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color w:val="auto"/>
                <w:szCs w:val="21"/>
                <w:highlight w:val="none"/>
              </w:rPr>
              <w:t>投标保证金</w:t>
            </w:r>
          </w:p>
        </w:tc>
      </w:tr>
      <w:tr w14:paraId="0E54BC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521" w:type="pct"/>
            <w:vMerge w:val="continue"/>
            <w:tcBorders>
              <w:tl2br w:val="nil"/>
              <w:tr2bl w:val="nil"/>
            </w:tcBorders>
            <w:vAlign w:val="center"/>
          </w:tcPr>
          <w:p w14:paraId="31B78974">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04A86B15">
            <w:pPr>
              <w:keepNext w:val="0"/>
              <w:keepLines w:val="0"/>
              <w:pageBreakBefore w:val="0"/>
              <w:kinsoku/>
              <w:wordWrap/>
              <w:overflowPunct/>
              <w:topLinePunct w:val="0"/>
              <w:autoSpaceDE/>
              <w:autoSpaceDN/>
              <w:bidi w:val="0"/>
              <w:spacing w:line="240" w:lineRule="auto"/>
              <w:ind w:left="0"/>
              <w:jc w:val="both"/>
              <w:textAlignment w:val="auto"/>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（大写）</w:t>
            </w:r>
            <w:r>
              <w:rPr>
                <w:rFonts w:hint="eastAsia" w:ascii="宋体" w:hAnsi="宋体"/>
                <w:b/>
                <w:color w:val="auto"/>
                <w:szCs w:val="21"/>
                <w:highlight w:val="none"/>
                <w:u w:val="single"/>
                <w:lang w:val="en-US" w:eastAsia="zh-CN"/>
              </w:rPr>
              <w:t>玖万肆仟元整</w:t>
            </w:r>
            <w:r>
              <w:rPr>
                <w:rFonts w:hint="eastAsia" w:ascii="宋体" w:hAnsi="宋体"/>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u w:val="single"/>
                <w:lang w:val="en-US" w:eastAsia="zh-CN"/>
              </w:rPr>
              <w:t>94,000.00</w:t>
            </w:r>
            <w:r>
              <w:rPr>
                <w:rFonts w:hint="eastAsia" w:ascii="宋体" w:hAnsi="宋体"/>
                <w:b/>
                <w:color w:val="auto"/>
                <w:szCs w:val="21"/>
                <w:highlight w:val="none"/>
                <w:u w:val="single"/>
              </w:rPr>
              <w:t>元</w:t>
            </w:r>
            <w:r>
              <w:rPr>
                <w:rFonts w:hint="eastAsia" w:ascii="宋体" w:hAnsi="宋体"/>
                <w:color w:val="auto"/>
                <w:szCs w:val="21"/>
                <w:highlight w:val="none"/>
              </w:rPr>
              <w:t>）。</w:t>
            </w:r>
          </w:p>
        </w:tc>
      </w:tr>
      <w:tr w14:paraId="29BB35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trPr>
        <w:tc>
          <w:tcPr>
            <w:tcW w:w="521" w:type="pct"/>
            <w:vMerge w:val="continue"/>
            <w:tcBorders>
              <w:tl2br w:val="nil"/>
              <w:tr2bl w:val="nil"/>
            </w:tcBorders>
            <w:vAlign w:val="center"/>
          </w:tcPr>
          <w:p w14:paraId="576F587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721C3AE1">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hint="eastAsia"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投标保证金采用转账、电汇方式提交，应符合以下要求：采用银行转账、电汇方式提交的，保证金汇入以下投标保证金专用账户，不接收由以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14:paraId="6F176AC5">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hint="eastAsia" w:hAnsi="宋体"/>
                <w:b/>
                <w:bCs/>
                <w:color w:val="auto"/>
                <w:kern w:val="2"/>
                <w:szCs w:val="21"/>
                <w:highlight w:val="none"/>
                <w:lang w:val="zh-CN"/>
              </w:rPr>
            </w:pPr>
            <w:r>
              <w:rPr>
                <w:rFonts w:hint="eastAsia" w:hAnsi="宋体"/>
                <w:color w:val="auto"/>
                <w:kern w:val="2"/>
                <w:szCs w:val="21"/>
                <w:highlight w:val="none"/>
                <w:lang w:val="zh-CN"/>
              </w:rPr>
              <w:t>投标保证金专用账户如下：</w:t>
            </w:r>
          </w:p>
          <w:p w14:paraId="7543E7FF">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hint="eastAsia" w:hAnsi="宋体"/>
                <w:b/>
                <w:bCs/>
                <w:color w:val="auto"/>
                <w:kern w:val="2"/>
                <w:szCs w:val="21"/>
                <w:highlight w:val="none"/>
                <w:lang w:val="zh-CN"/>
              </w:rPr>
            </w:pPr>
            <w:r>
              <w:rPr>
                <w:rFonts w:hint="eastAsia" w:hAnsi="宋体"/>
                <w:b/>
                <w:bCs/>
                <w:color w:val="auto"/>
                <w:kern w:val="2"/>
                <w:szCs w:val="21"/>
                <w:highlight w:val="none"/>
                <w:lang w:val="zh-CN"/>
              </w:rPr>
              <w:t>账户名称：东莞市新东欣环保投资有限公司</w:t>
            </w:r>
          </w:p>
          <w:p w14:paraId="1A8FD72C">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hint="eastAsia" w:hAnsi="宋体"/>
                <w:b/>
                <w:bCs/>
                <w:color w:val="auto"/>
                <w:kern w:val="2"/>
                <w:szCs w:val="21"/>
                <w:highlight w:val="none"/>
                <w:lang w:val="zh-CN"/>
              </w:rPr>
            </w:pPr>
            <w:r>
              <w:rPr>
                <w:rFonts w:hint="eastAsia" w:hAnsi="宋体"/>
                <w:b/>
                <w:bCs/>
                <w:color w:val="auto"/>
                <w:kern w:val="2"/>
                <w:szCs w:val="21"/>
                <w:highlight w:val="none"/>
                <w:lang w:val="zh-CN"/>
              </w:rPr>
              <w:t>开户银行：中信银行股份有限公司东莞麻涌支行</w:t>
            </w:r>
          </w:p>
          <w:p w14:paraId="55C782B3">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hint="eastAsia" w:hAnsi="宋体"/>
                <w:b/>
                <w:bCs/>
                <w:color w:val="auto"/>
                <w:kern w:val="2"/>
                <w:szCs w:val="21"/>
                <w:highlight w:val="none"/>
                <w:lang w:val="zh-CN"/>
              </w:rPr>
            </w:pPr>
            <w:r>
              <w:rPr>
                <w:rFonts w:hint="eastAsia" w:hAnsi="宋体"/>
                <w:b/>
                <w:bCs/>
                <w:color w:val="auto"/>
                <w:kern w:val="2"/>
                <w:szCs w:val="21"/>
                <w:highlight w:val="none"/>
                <w:lang w:val="zh-CN"/>
              </w:rPr>
              <w:t>银行账号：8114801014200219007</w:t>
            </w:r>
          </w:p>
          <w:p w14:paraId="01FE07E3">
            <w:pPr>
              <w:keepNext w:val="0"/>
              <w:keepLines w:val="0"/>
              <w:pageBreakBefore w:val="0"/>
              <w:tabs>
                <w:tab w:val="left" w:pos="567"/>
              </w:tabs>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hAnsi="宋体"/>
                <w:color w:val="auto"/>
                <w:kern w:val="2"/>
                <w:szCs w:val="21"/>
                <w:highlight w:val="none"/>
                <w:lang w:val="zh-CN"/>
              </w:rPr>
              <w:t>（注：各投标人在转账或电汇时须在用途栏上备注项目编号，及项目名称，如有字数限制项目名称可简写。）</w:t>
            </w:r>
          </w:p>
        </w:tc>
      </w:tr>
      <w:tr w14:paraId="505D5A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521" w:type="pct"/>
            <w:vMerge w:val="restart"/>
            <w:tcBorders>
              <w:tl2br w:val="nil"/>
              <w:tr2bl w:val="nil"/>
            </w:tcBorders>
            <w:vAlign w:val="center"/>
          </w:tcPr>
          <w:p w14:paraId="14D955C7">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9</w:t>
            </w:r>
          </w:p>
        </w:tc>
        <w:tc>
          <w:tcPr>
            <w:tcW w:w="4478" w:type="pct"/>
            <w:gridSpan w:val="2"/>
            <w:tcBorders>
              <w:tl2br w:val="nil"/>
              <w:tr2bl w:val="nil"/>
            </w:tcBorders>
            <w:vAlign w:val="center"/>
          </w:tcPr>
          <w:p w14:paraId="269CB00A">
            <w:pPr>
              <w:keepNext w:val="0"/>
              <w:keepLines w:val="0"/>
              <w:pageBreakBefore w:val="0"/>
              <w:kinsoku/>
              <w:wordWrap/>
              <w:overflowPunct/>
              <w:topLinePunct w:val="0"/>
              <w:autoSpaceDE/>
              <w:autoSpaceDN/>
              <w:bidi w:val="0"/>
              <w:spacing w:line="240" w:lineRule="auto"/>
              <w:ind w:left="0"/>
              <w:jc w:val="both"/>
              <w:textAlignment w:val="auto"/>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14:paraId="30E31E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135" w:hRule="atLeast"/>
        </w:trPr>
        <w:tc>
          <w:tcPr>
            <w:tcW w:w="521" w:type="pct"/>
            <w:vMerge w:val="continue"/>
            <w:tcBorders>
              <w:tl2br w:val="nil"/>
              <w:tr2bl w:val="nil"/>
            </w:tcBorders>
            <w:vAlign w:val="center"/>
          </w:tcPr>
          <w:p w14:paraId="4B7029DD">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7AB5C848">
            <w:pPr>
              <w:keepNext w:val="0"/>
              <w:keepLines w:val="0"/>
              <w:pageBreakBefore w:val="0"/>
              <w:kinsoku/>
              <w:wordWrap/>
              <w:overflowPunct/>
              <w:topLinePunct w:val="0"/>
              <w:autoSpaceDE/>
              <w:autoSpaceDN/>
              <w:bidi w:val="0"/>
              <w:spacing w:line="240" w:lineRule="auto"/>
              <w:ind w:left="0"/>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）未中标的投标人的保证金应当在中标通知书发出后退还，中标</w:t>
            </w:r>
            <w:r>
              <w:rPr>
                <w:rFonts w:hint="eastAsia" w:ascii="宋体" w:hAnsi="宋体"/>
                <w:color w:val="auto"/>
                <w:szCs w:val="21"/>
                <w:highlight w:val="none"/>
              </w:rPr>
              <w:t>的</w:t>
            </w:r>
            <w:r>
              <w:rPr>
                <w:rFonts w:hint="eastAsia" w:ascii="宋体" w:hAnsi="宋体"/>
                <w:color w:val="auto"/>
                <w:szCs w:val="21"/>
                <w:highlight w:val="none"/>
                <w:lang w:val="zh-CN"/>
              </w:rPr>
              <w:t>投标人的保证金在采购合同签订</w:t>
            </w:r>
            <w:r>
              <w:rPr>
                <w:rFonts w:hint="eastAsia" w:ascii="宋体" w:hAnsi="宋体"/>
                <w:color w:val="auto"/>
                <w:szCs w:val="21"/>
                <w:highlight w:val="none"/>
                <w:lang w:val="en-US" w:eastAsia="zh-CN"/>
              </w:rPr>
              <w:t>后转为履约保证金。</w:t>
            </w:r>
          </w:p>
          <w:p w14:paraId="256D1FA5">
            <w:pPr>
              <w:keepNext w:val="0"/>
              <w:keepLines w:val="0"/>
              <w:pageBreakBefore w:val="0"/>
              <w:kinsoku/>
              <w:wordWrap/>
              <w:overflowPunct/>
              <w:topLinePunct w:val="0"/>
              <w:autoSpaceDE/>
              <w:autoSpaceDN/>
              <w:bidi w:val="0"/>
              <w:spacing w:line="240" w:lineRule="auto"/>
              <w:ind w:left="0"/>
              <w:jc w:val="both"/>
              <w:textAlignment w:val="auto"/>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）为方便退还未中标的投标人的保证金，投标人应制作《投标保证金汇入情况说明》随唱标信封一并递交。</w:t>
            </w:r>
          </w:p>
        </w:tc>
      </w:tr>
      <w:tr w14:paraId="273A8D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22832E6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10</w:t>
            </w:r>
          </w:p>
        </w:tc>
        <w:tc>
          <w:tcPr>
            <w:tcW w:w="4478" w:type="pct"/>
            <w:gridSpan w:val="2"/>
            <w:tcBorders>
              <w:tl2br w:val="nil"/>
              <w:tr2bl w:val="nil"/>
            </w:tcBorders>
            <w:vAlign w:val="center"/>
          </w:tcPr>
          <w:p w14:paraId="58643D41">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bCs/>
                <w:color w:val="auto"/>
                <w:szCs w:val="21"/>
                <w:highlight w:val="none"/>
              </w:rPr>
              <w:t>报价方式</w:t>
            </w:r>
          </w:p>
        </w:tc>
      </w:tr>
      <w:tr w14:paraId="641E62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continue"/>
            <w:tcBorders>
              <w:tl2br w:val="nil"/>
              <w:tr2bl w:val="nil"/>
            </w:tcBorders>
            <w:vAlign w:val="center"/>
          </w:tcPr>
          <w:p w14:paraId="45220460">
            <w:pPr>
              <w:keepNext w:val="0"/>
              <w:keepLines w:val="0"/>
              <w:pageBreakBefore w:val="0"/>
              <w:kinsoku/>
              <w:wordWrap/>
              <w:overflowPunct/>
              <w:topLinePunct w:val="0"/>
              <w:autoSpaceDE/>
              <w:autoSpaceDN/>
              <w:bidi w:val="0"/>
              <w:spacing w:line="240" w:lineRule="auto"/>
              <w:ind w:left="0"/>
              <w:jc w:val="center"/>
              <w:textAlignment w:val="auto"/>
              <w:rPr>
                <w:rFonts w:hint="eastAsia" w:ascii="宋体" w:hAnsi="宋体"/>
                <w:color w:val="auto"/>
                <w:szCs w:val="21"/>
                <w:highlight w:val="none"/>
              </w:rPr>
            </w:pPr>
          </w:p>
        </w:tc>
        <w:tc>
          <w:tcPr>
            <w:tcW w:w="4478" w:type="pct"/>
            <w:gridSpan w:val="2"/>
            <w:tcBorders>
              <w:tl2br w:val="nil"/>
              <w:tr2bl w:val="nil"/>
            </w:tcBorders>
            <w:vAlign w:val="center"/>
          </w:tcPr>
          <w:p w14:paraId="3955D242">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b/>
                <w:color w:val="auto"/>
                <w:szCs w:val="21"/>
                <w:highlight w:val="none"/>
              </w:rPr>
            </w:pPr>
            <w:r>
              <w:rPr>
                <w:rFonts w:hint="eastAsia" w:ascii="宋体" w:hAnsi="宋体"/>
                <w:b/>
                <w:color w:val="auto"/>
                <w:szCs w:val="21"/>
                <w:highlight w:val="none"/>
              </w:rPr>
              <w:t>本项目采用固定单价暂定总价方式报价，投标人必须根据附件《危险废物运输费单价表》规定的各标段、各区域、各车型的单价限价（元/车次）范围内进行报价（报价为含税价且保留至个位数），并结合相应的预计车次计算出暂定总价（含税价），即某标段所有区域各车型供应商所投运输单价报价与对应预计次数的乘积之和；投标人必须严格按照附件《危险废物运输费单价表》进行填写，漏写、错写或报价超过单价限价的，将被视为非实质性响应而予以投标无效处理。</w:t>
            </w:r>
          </w:p>
        </w:tc>
      </w:tr>
      <w:tr w14:paraId="226A3F1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restart"/>
            <w:tcBorders>
              <w:tl2br w:val="nil"/>
              <w:tr2bl w:val="nil"/>
            </w:tcBorders>
            <w:vAlign w:val="center"/>
          </w:tcPr>
          <w:p w14:paraId="716F12D0">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11</w:t>
            </w:r>
          </w:p>
        </w:tc>
        <w:tc>
          <w:tcPr>
            <w:tcW w:w="4478" w:type="pct"/>
            <w:gridSpan w:val="2"/>
            <w:tcBorders>
              <w:tl2br w:val="nil"/>
              <w:tr2bl w:val="nil"/>
            </w:tcBorders>
            <w:vAlign w:val="center"/>
          </w:tcPr>
          <w:p w14:paraId="68272B07">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color w:val="auto"/>
                <w:szCs w:val="21"/>
                <w:highlight w:val="none"/>
              </w:rPr>
              <w:t>投标人应提交以下投标文件（投标文件由唱标信封、价格文件、商务文件、技术文件、电子文档五部分组成；价格文件、商务文件、技术文件分别单独装订成册，电子文档装入唱标信封一同封装；具体编制和封装要求详见第四部分投标人须知）</w:t>
            </w:r>
          </w:p>
        </w:tc>
      </w:tr>
      <w:tr w14:paraId="76A1535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continue"/>
            <w:tcBorders>
              <w:tl2br w:val="nil"/>
              <w:tr2bl w:val="nil"/>
            </w:tcBorders>
            <w:vAlign w:val="center"/>
          </w:tcPr>
          <w:p w14:paraId="5446EEF9">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tcBorders>
              <w:tl2br w:val="nil"/>
              <w:tr2bl w:val="nil"/>
            </w:tcBorders>
            <w:vAlign w:val="center"/>
          </w:tcPr>
          <w:p w14:paraId="271DBB55">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投标文件类型</w:t>
            </w:r>
          </w:p>
        </w:tc>
        <w:tc>
          <w:tcPr>
            <w:tcW w:w="2927" w:type="pct"/>
            <w:tcBorders>
              <w:tl2br w:val="nil"/>
              <w:tr2bl w:val="nil"/>
            </w:tcBorders>
            <w:vAlign w:val="center"/>
          </w:tcPr>
          <w:p w14:paraId="1F027120">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份数</w:t>
            </w:r>
          </w:p>
        </w:tc>
      </w:tr>
      <w:tr w14:paraId="6331E83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continue"/>
            <w:tcBorders>
              <w:tl2br w:val="nil"/>
              <w:tr2bl w:val="nil"/>
            </w:tcBorders>
            <w:vAlign w:val="center"/>
          </w:tcPr>
          <w:p w14:paraId="5331506D">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tcBorders>
              <w:tl2br w:val="nil"/>
              <w:tr2bl w:val="nil"/>
            </w:tcBorders>
            <w:vAlign w:val="center"/>
          </w:tcPr>
          <w:p w14:paraId="082CC89F">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唱标信封</w:t>
            </w:r>
          </w:p>
        </w:tc>
        <w:tc>
          <w:tcPr>
            <w:tcW w:w="2927" w:type="pct"/>
            <w:tcBorders>
              <w:tl2br w:val="nil"/>
              <w:tr2bl w:val="nil"/>
            </w:tcBorders>
            <w:vAlign w:val="center"/>
          </w:tcPr>
          <w:p w14:paraId="229001A3">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1</w:t>
            </w:r>
          </w:p>
        </w:tc>
      </w:tr>
      <w:tr w14:paraId="7768438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continue"/>
            <w:tcBorders>
              <w:tl2br w:val="nil"/>
              <w:tr2bl w:val="nil"/>
            </w:tcBorders>
            <w:vAlign w:val="center"/>
          </w:tcPr>
          <w:p w14:paraId="7AE45F89">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tcBorders>
              <w:tl2br w:val="nil"/>
              <w:tr2bl w:val="nil"/>
            </w:tcBorders>
            <w:vAlign w:val="center"/>
          </w:tcPr>
          <w:p w14:paraId="3332F1F2">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投标文件正本</w:t>
            </w:r>
          </w:p>
        </w:tc>
        <w:tc>
          <w:tcPr>
            <w:tcW w:w="2927" w:type="pct"/>
            <w:tcBorders>
              <w:tl2br w:val="nil"/>
              <w:tr2bl w:val="nil"/>
            </w:tcBorders>
            <w:vAlign w:val="center"/>
          </w:tcPr>
          <w:p w14:paraId="63EB05D3">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1</w:t>
            </w:r>
          </w:p>
        </w:tc>
      </w:tr>
      <w:tr w14:paraId="1D8218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trPr>
        <w:tc>
          <w:tcPr>
            <w:tcW w:w="521" w:type="pct"/>
            <w:vMerge w:val="continue"/>
            <w:tcBorders>
              <w:tl2br w:val="nil"/>
              <w:tr2bl w:val="nil"/>
            </w:tcBorders>
            <w:vAlign w:val="center"/>
          </w:tcPr>
          <w:p w14:paraId="4426DED7">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tcBorders>
              <w:tl2br w:val="nil"/>
              <w:tr2bl w:val="nil"/>
            </w:tcBorders>
            <w:vAlign w:val="center"/>
          </w:tcPr>
          <w:p w14:paraId="15F357F9">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投标文件副本</w:t>
            </w:r>
          </w:p>
        </w:tc>
        <w:tc>
          <w:tcPr>
            <w:tcW w:w="2927" w:type="pct"/>
            <w:tcBorders>
              <w:tl2br w:val="nil"/>
              <w:tr2bl w:val="nil"/>
            </w:tcBorders>
            <w:vAlign w:val="center"/>
          </w:tcPr>
          <w:p w14:paraId="36FC2E01">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sym w:font="Wingdings 2" w:char="0052"/>
            </w:r>
            <w:r>
              <w:rPr>
                <w:rFonts w:hint="eastAsia" w:ascii="宋体" w:hAnsi="宋体"/>
                <w:b/>
                <w:color w:val="auto"/>
                <w:szCs w:val="21"/>
                <w:highlight w:val="none"/>
              </w:rPr>
              <w:t xml:space="preserve">5  </w:t>
            </w:r>
            <w:r>
              <w:rPr>
                <w:rFonts w:hint="eastAsia" w:ascii="宋体" w:hAnsi="宋体"/>
                <w:b/>
                <w:color w:val="auto"/>
                <w:szCs w:val="21"/>
                <w:highlight w:val="none"/>
              </w:rPr>
              <w:sym w:font="Wingdings 2" w:char="00A3"/>
            </w:r>
            <w:r>
              <w:rPr>
                <w:rFonts w:hint="eastAsia" w:ascii="宋体" w:hAnsi="宋体"/>
                <w:b/>
                <w:color w:val="auto"/>
                <w:szCs w:val="21"/>
                <w:highlight w:val="none"/>
              </w:rPr>
              <w:t>7</w:t>
            </w:r>
          </w:p>
        </w:tc>
      </w:tr>
      <w:tr w14:paraId="22682B1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continue"/>
            <w:tcBorders>
              <w:tl2br w:val="nil"/>
              <w:tr2bl w:val="nil"/>
            </w:tcBorders>
            <w:vAlign w:val="center"/>
          </w:tcPr>
          <w:p w14:paraId="176B08CD">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vMerge w:val="restart"/>
            <w:tcBorders>
              <w:tl2br w:val="nil"/>
              <w:tr2bl w:val="nil"/>
            </w:tcBorders>
            <w:vAlign w:val="center"/>
          </w:tcPr>
          <w:p w14:paraId="4E96A1AC">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电子文档</w:t>
            </w:r>
          </w:p>
        </w:tc>
        <w:tc>
          <w:tcPr>
            <w:tcW w:w="2927" w:type="pct"/>
            <w:tcBorders>
              <w:tl2br w:val="nil"/>
              <w:tr2bl w:val="nil"/>
            </w:tcBorders>
            <w:vAlign w:val="center"/>
          </w:tcPr>
          <w:p w14:paraId="07F33266">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1</w:t>
            </w:r>
          </w:p>
        </w:tc>
      </w:tr>
      <w:tr w14:paraId="618419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521" w:type="pct"/>
            <w:vMerge w:val="continue"/>
            <w:tcBorders>
              <w:tl2br w:val="nil"/>
              <w:tr2bl w:val="nil"/>
            </w:tcBorders>
            <w:vAlign w:val="center"/>
          </w:tcPr>
          <w:p w14:paraId="6365C1C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1550" w:type="pct"/>
            <w:vMerge w:val="continue"/>
            <w:tcBorders>
              <w:tl2br w:val="nil"/>
              <w:tr2bl w:val="nil"/>
            </w:tcBorders>
            <w:vAlign w:val="center"/>
          </w:tcPr>
          <w:p w14:paraId="4D2E82BF">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p>
        </w:tc>
        <w:tc>
          <w:tcPr>
            <w:tcW w:w="2927" w:type="pct"/>
            <w:tcBorders>
              <w:tl2br w:val="nil"/>
              <w:tr2bl w:val="nil"/>
            </w:tcBorders>
            <w:vAlign w:val="center"/>
          </w:tcPr>
          <w:p w14:paraId="39713408">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cs="Times New Roman"/>
                <w:b/>
                <w:color w:val="auto"/>
                <w:szCs w:val="21"/>
                <w:highlight w:val="none"/>
              </w:rPr>
              <w:t>U盘，须含盖章版PDF投标文件和WORD版投标文件各一版，文字采用WORD文档，计算表格采用 EXCEL文档。</w:t>
            </w:r>
          </w:p>
        </w:tc>
      </w:tr>
      <w:tr w14:paraId="7F46DA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5000" w:type="pct"/>
            <w:gridSpan w:val="3"/>
            <w:tcBorders>
              <w:tl2br w:val="nil"/>
              <w:tr2bl w:val="nil"/>
            </w:tcBorders>
            <w:vAlign w:val="center"/>
          </w:tcPr>
          <w:p w14:paraId="7FF5568B">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三、开标与评标</w:t>
            </w:r>
          </w:p>
        </w:tc>
      </w:tr>
      <w:tr w14:paraId="1D1FCD1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50B00E02">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12</w:t>
            </w:r>
          </w:p>
        </w:tc>
        <w:tc>
          <w:tcPr>
            <w:tcW w:w="4478" w:type="pct"/>
            <w:gridSpan w:val="2"/>
            <w:tcBorders>
              <w:tl2br w:val="nil"/>
              <w:tr2bl w:val="nil"/>
            </w:tcBorders>
            <w:vAlign w:val="center"/>
          </w:tcPr>
          <w:p w14:paraId="4D867C18">
            <w:pPr>
              <w:keepNext w:val="0"/>
              <w:keepLines w:val="0"/>
              <w:pageBreakBefore w:val="0"/>
              <w:kinsoku/>
              <w:wordWrap/>
              <w:overflowPunct/>
              <w:topLinePunct w:val="0"/>
              <w:autoSpaceDE/>
              <w:autoSpaceDN/>
              <w:bidi w:val="0"/>
              <w:spacing w:line="240" w:lineRule="auto"/>
              <w:ind w:left="0"/>
              <w:jc w:val="both"/>
              <w:textAlignment w:val="auto"/>
              <w:rPr>
                <w:rFonts w:ascii="宋体" w:hAnsi="宋体"/>
                <w:color w:val="auto"/>
                <w:szCs w:val="21"/>
                <w:highlight w:val="none"/>
              </w:rPr>
            </w:pPr>
            <w:r>
              <w:rPr>
                <w:rFonts w:hint="eastAsia" w:ascii="宋体" w:hAnsi="宋体"/>
                <w:b/>
                <w:color w:val="auto"/>
                <w:szCs w:val="21"/>
                <w:highlight w:val="none"/>
              </w:rPr>
              <w:t>本项目评标方法</w:t>
            </w:r>
          </w:p>
        </w:tc>
      </w:tr>
      <w:tr w14:paraId="2669146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289158B">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57D2DEBC">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color w:val="auto"/>
                <w:szCs w:val="21"/>
                <w:highlight w:val="none"/>
              </w:rPr>
              <w:t>综合评分法。</w:t>
            </w:r>
          </w:p>
        </w:tc>
      </w:tr>
      <w:tr w14:paraId="0C1E88B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521" w:type="pct"/>
            <w:vMerge w:val="restart"/>
            <w:tcBorders>
              <w:tl2br w:val="nil"/>
              <w:tr2bl w:val="nil"/>
            </w:tcBorders>
            <w:vAlign w:val="center"/>
          </w:tcPr>
          <w:p w14:paraId="3E819B44">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13</w:t>
            </w:r>
          </w:p>
        </w:tc>
        <w:tc>
          <w:tcPr>
            <w:tcW w:w="4478" w:type="pct"/>
            <w:gridSpan w:val="2"/>
            <w:tcBorders>
              <w:tl2br w:val="nil"/>
              <w:tr2bl w:val="nil"/>
            </w:tcBorders>
            <w:vAlign w:val="center"/>
          </w:tcPr>
          <w:p w14:paraId="403F3EF7">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14:paraId="66050F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3D8412CB">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4AC9D533">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color w:val="auto"/>
                <w:szCs w:val="21"/>
                <w:highlight w:val="none"/>
              </w:rPr>
              <w:t>见附表二。</w:t>
            </w:r>
          </w:p>
        </w:tc>
      </w:tr>
      <w:tr w14:paraId="7F4EEA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restart"/>
            <w:tcBorders>
              <w:tl2br w:val="nil"/>
              <w:tr2bl w:val="nil"/>
            </w:tcBorders>
            <w:vAlign w:val="center"/>
          </w:tcPr>
          <w:p w14:paraId="73DFF54C">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r>
              <w:rPr>
                <w:rFonts w:hint="eastAsia" w:ascii="宋体" w:hAnsi="宋体"/>
                <w:color w:val="auto"/>
                <w:szCs w:val="21"/>
                <w:highlight w:val="none"/>
              </w:rPr>
              <w:t>14</w:t>
            </w:r>
          </w:p>
        </w:tc>
        <w:tc>
          <w:tcPr>
            <w:tcW w:w="4478" w:type="pct"/>
            <w:gridSpan w:val="2"/>
            <w:tcBorders>
              <w:tl2br w:val="nil"/>
              <w:tr2bl w:val="nil"/>
            </w:tcBorders>
            <w:vAlign w:val="center"/>
          </w:tcPr>
          <w:p w14:paraId="5D3AD62F">
            <w:pPr>
              <w:keepNext w:val="0"/>
              <w:keepLines w:val="0"/>
              <w:pageBreakBefore w:val="0"/>
              <w:kinsoku/>
              <w:wordWrap/>
              <w:overflowPunct/>
              <w:topLinePunct w:val="0"/>
              <w:autoSpaceDE/>
              <w:autoSpaceDN/>
              <w:bidi w:val="0"/>
              <w:spacing w:line="240" w:lineRule="auto"/>
              <w:ind w:left="0"/>
              <w:jc w:val="both"/>
              <w:textAlignment w:val="auto"/>
              <w:rPr>
                <w:rFonts w:ascii="宋体" w:hAnsi="宋体"/>
                <w:color w:val="auto"/>
                <w:szCs w:val="21"/>
                <w:highlight w:val="none"/>
              </w:rPr>
            </w:pPr>
            <w:r>
              <w:rPr>
                <w:rFonts w:hint="eastAsia" w:ascii="宋体" w:hAnsi="宋体"/>
                <w:b/>
                <w:color w:val="auto"/>
                <w:szCs w:val="21"/>
                <w:highlight w:val="none"/>
              </w:rPr>
              <w:t>评标委员会</w:t>
            </w:r>
          </w:p>
        </w:tc>
      </w:tr>
      <w:tr w14:paraId="666B7CB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78243A4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38DD310E">
            <w:pPr>
              <w:keepNext w:val="0"/>
              <w:keepLines w:val="0"/>
              <w:pageBreakBefore w:val="0"/>
              <w:kinsoku/>
              <w:wordWrap/>
              <w:overflowPunct/>
              <w:topLinePunct w:val="0"/>
              <w:autoSpaceDE/>
              <w:autoSpaceDN/>
              <w:bidi w:val="0"/>
              <w:spacing w:line="240" w:lineRule="auto"/>
              <w:ind w:left="0"/>
              <w:jc w:val="both"/>
              <w:textAlignment w:val="auto"/>
              <w:rPr>
                <w:rFonts w:ascii="宋体" w:hAnsi="宋体"/>
                <w:color w:val="auto"/>
                <w:szCs w:val="21"/>
                <w:highlight w:val="none"/>
              </w:rPr>
            </w:pPr>
            <w:r>
              <w:rPr>
                <w:rFonts w:hint="eastAsia" w:ascii="宋体" w:hAnsi="宋体"/>
                <w:color w:val="auto"/>
                <w:szCs w:val="21"/>
                <w:highlight w:val="none"/>
              </w:rPr>
              <w:t>评标委员会成员共</w:t>
            </w:r>
            <w:r>
              <w:rPr>
                <w:rFonts w:hint="eastAsia" w:ascii="宋体" w:hAnsi="宋体"/>
                <w:color w:val="auto"/>
                <w:szCs w:val="21"/>
                <w:highlight w:val="none"/>
                <w:u w:val="single"/>
                <w:lang w:val="en-US" w:eastAsia="zh-CN"/>
              </w:rPr>
              <w:t>5</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成员人数为五人或五人以上单数</w:t>
            </w:r>
            <w:r>
              <w:rPr>
                <w:rFonts w:hint="eastAsia" w:ascii="宋体" w:hAnsi="宋体"/>
                <w:color w:val="auto"/>
                <w:szCs w:val="21"/>
                <w:highlight w:val="none"/>
                <w:lang w:val="zh-CN"/>
              </w:rPr>
              <w:t>，其中专家不得少于成员总数的三分之二。</w:t>
            </w:r>
          </w:p>
        </w:tc>
      </w:tr>
      <w:tr w14:paraId="7E3960A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restart"/>
            <w:tcBorders>
              <w:tl2br w:val="nil"/>
              <w:tr2bl w:val="nil"/>
            </w:tcBorders>
            <w:vAlign w:val="center"/>
          </w:tcPr>
          <w:p w14:paraId="2D3A0829">
            <w:pPr>
              <w:keepNext w:val="0"/>
              <w:keepLines w:val="0"/>
              <w:pageBreakBefore w:val="0"/>
              <w:kinsoku/>
              <w:wordWrap/>
              <w:overflowPunct/>
              <w:topLinePunct w:val="0"/>
              <w:autoSpaceDE/>
              <w:autoSpaceDN/>
              <w:bidi w:val="0"/>
              <w:spacing w:line="240" w:lineRule="auto"/>
              <w:ind w:left="0"/>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15</w:t>
            </w:r>
          </w:p>
        </w:tc>
        <w:tc>
          <w:tcPr>
            <w:tcW w:w="4478" w:type="pct"/>
            <w:gridSpan w:val="2"/>
            <w:tcBorders>
              <w:tl2br w:val="nil"/>
              <w:tr2bl w:val="nil"/>
            </w:tcBorders>
            <w:vAlign w:val="center"/>
          </w:tcPr>
          <w:p w14:paraId="21DFEEED">
            <w:pPr>
              <w:keepNext w:val="0"/>
              <w:keepLines w:val="0"/>
              <w:pageBreakBefore w:val="0"/>
              <w:kinsoku/>
              <w:wordWrap/>
              <w:overflowPunct/>
              <w:topLinePunct w:val="0"/>
              <w:autoSpaceDE/>
              <w:autoSpaceDN/>
              <w:bidi w:val="0"/>
              <w:spacing w:line="240" w:lineRule="auto"/>
              <w:ind w:left="0"/>
              <w:jc w:val="both"/>
              <w:textAlignment w:val="auto"/>
              <w:rPr>
                <w:rFonts w:hint="default" w:ascii="宋体" w:hAnsi="宋体" w:eastAsia="宋体"/>
                <w:color w:val="auto"/>
                <w:szCs w:val="21"/>
                <w:highlight w:val="none"/>
                <w:lang w:val="en-US" w:eastAsia="zh-CN"/>
              </w:rPr>
            </w:pPr>
            <w:r>
              <w:rPr>
                <w:rFonts w:hint="eastAsia" w:ascii="宋体" w:hAnsi="宋体"/>
                <w:b/>
                <w:bCs/>
                <w:color w:val="auto"/>
                <w:szCs w:val="21"/>
                <w:highlight w:val="none"/>
                <w:lang w:val="en-US" w:eastAsia="zh-CN"/>
              </w:rPr>
              <w:t>推荐成交候选人</w:t>
            </w:r>
          </w:p>
        </w:tc>
      </w:tr>
      <w:tr w14:paraId="4D288A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521" w:type="pct"/>
            <w:vMerge w:val="continue"/>
            <w:tcBorders>
              <w:tl2br w:val="nil"/>
              <w:tr2bl w:val="nil"/>
            </w:tcBorders>
            <w:vAlign w:val="center"/>
          </w:tcPr>
          <w:p w14:paraId="225642A3">
            <w:pPr>
              <w:keepNext w:val="0"/>
              <w:keepLines w:val="0"/>
              <w:pageBreakBefore w:val="0"/>
              <w:kinsoku/>
              <w:wordWrap/>
              <w:overflowPunct/>
              <w:topLinePunct w:val="0"/>
              <w:autoSpaceDE/>
              <w:autoSpaceDN/>
              <w:bidi w:val="0"/>
              <w:spacing w:line="240" w:lineRule="auto"/>
              <w:ind w:left="0"/>
              <w:jc w:val="center"/>
              <w:textAlignment w:val="auto"/>
              <w:rPr>
                <w:rFonts w:hint="eastAsia" w:ascii="宋体" w:hAnsi="宋体"/>
                <w:color w:val="auto"/>
                <w:szCs w:val="21"/>
                <w:highlight w:val="none"/>
                <w:lang w:val="en-US" w:eastAsia="zh-CN"/>
              </w:rPr>
            </w:pPr>
          </w:p>
        </w:tc>
        <w:tc>
          <w:tcPr>
            <w:tcW w:w="4478" w:type="pct"/>
            <w:gridSpan w:val="2"/>
            <w:tcBorders>
              <w:tl2br w:val="nil"/>
              <w:tr2bl w:val="nil"/>
            </w:tcBorders>
            <w:vAlign w:val="center"/>
          </w:tcPr>
          <w:p w14:paraId="03C06B70">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本项目成交2名供应商。</w:t>
            </w:r>
          </w:p>
          <w:p w14:paraId="388C9B3D">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根据评标委员会</w:t>
            </w:r>
            <w:r>
              <w:rPr>
                <w:rFonts w:hint="eastAsia" w:ascii="宋体" w:hAnsi="宋体"/>
                <w:color w:val="auto"/>
                <w:szCs w:val="21"/>
                <w:highlight w:val="none"/>
              </w:rPr>
              <w:t>评审后的综合得分由高到低顺序排列，并向采购人推荐综合得分排名第一</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第二</w:t>
            </w:r>
            <w:r>
              <w:rPr>
                <w:rFonts w:hint="eastAsia" w:ascii="宋体" w:hAnsi="宋体"/>
                <w:color w:val="auto"/>
                <w:szCs w:val="21"/>
                <w:highlight w:val="none"/>
              </w:rPr>
              <w:t>的供应商为成交候选人，</w:t>
            </w:r>
            <w:r>
              <w:rPr>
                <w:rFonts w:hint="eastAsia" w:ascii="宋体" w:hAnsi="宋体" w:eastAsia="宋体" w:cs="宋体"/>
                <w:color w:val="auto"/>
                <w:sz w:val="21"/>
                <w:szCs w:val="21"/>
                <w:highlight w:val="none"/>
              </w:rPr>
              <w:t>以“一用一备，优先使用最低价服务单位”的派单原则开展服务，</w:t>
            </w:r>
            <w:r>
              <w:rPr>
                <w:rFonts w:hint="eastAsia" w:ascii="宋体" w:hAnsi="宋体" w:eastAsia="宋体" w:cs="宋体"/>
                <w:b/>
                <w:bCs/>
                <w:color w:val="auto"/>
                <w:sz w:val="21"/>
                <w:szCs w:val="21"/>
                <w:highlight w:val="none"/>
              </w:rPr>
              <w:t>若成交人产生跳单</w:t>
            </w:r>
            <w:r>
              <w:rPr>
                <w:rFonts w:hint="eastAsia" w:ascii="宋体" w:hAnsi="宋体" w:eastAsia="宋体" w:cs="宋体"/>
                <w:b/>
                <w:bCs/>
                <w:color w:val="auto"/>
                <w:sz w:val="21"/>
                <w:szCs w:val="21"/>
                <w:highlight w:val="none"/>
                <w:lang w:val="en-US" w:eastAsia="zh-CN"/>
              </w:rPr>
              <w:t>或被投诉</w:t>
            </w:r>
            <w:r>
              <w:rPr>
                <w:rFonts w:hint="eastAsia" w:ascii="宋体" w:hAnsi="宋体" w:eastAsia="宋体" w:cs="宋体"/>
                <w:b/>
                <w:bCs/>
                <w:color w:val="auto"/>
                <w:sz w:val="21"/>
                <w:szCs w:val="21"/>
                <w:highlight w:val="none"/>
              </w:rPr>
              <w:t>情况，采购人有权降低给其的派单数量</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情节严重者，将停止派单处理</w:t>
            </w:r>
            <w:r>
              <w:rPr>
                <w:rFonts w:hint="eastAsia" w:ascii="宋体" w:hAnsi="宋体" w:eastAsia="宋体" w:cs="宋体"/>
                <w:b/>
                <w:bCs/>
                <w:color w:val="auto"/>
                <w:sz w:val="21"/>
                <w:szCs w:val="21"/>
                <w:highlight w:val="none"/>
              </w:rPr>
              <w:t>。</w:t>
            </w:r>
          </w:p>
        </w:tc>
      </w:tr>
      <w:tr w14:paraId="56C8FAF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748" w:hRule="atLeast"/>
        </w:trPr>
        <w:tc>
          <w:tcPr>
            <w:tcW w:w="5000" w:type="pct"/>
            <w:gridSpan w:val="3"/>
            <w:tcBorders>
              <w:tl2br w:val="nil"/>
              <w:tr2bl w:val="nil"/>
            </w:tcBorders>
            <w:vAlign w:val="center"/>
          </w:tcPr>
          <w:p w14:paraId="3818EB62">
            <w:pPr>
              <w:keepNext w:val="0"/>
              <w:keepLines w:val="0"/>
              <w:pageBreakBefore w:val="0"/>
              <w:kinsoku/>
              <w:wordWrap/>
              <w:overflowPunct/>
              <w:topLinePunct w:val="0"/>
              <w:autoSpaceDE/>
              <w:autoSpaceDN/>
              <w:bidi w:val="0"/>
              <w:spacing w:line="240" w:lineRule="auto"/>
              <w:ind w:left="0"/>
              <w:jc w:val="center"/>
              <w:textAlignment w:val="auto"/>
              <w:rPr>
                <w:rFonts w:ascii="宋体" w:hAnsi="宋体"/>
                <w:b/>
                <w:color w:val="auto"/>
                <w:szCs w:val="21"/>
                <w:highlight w:val="none"/>
              </w:rPr>
            </w:pPr>
            <w:r>
              <w:rPr>
                <w:rFonts w:hint="eastAsia" w:ascii="宋体" w:hAnsi="宋体"/>
                <w:b/>
                <w:color w:val="auto"/>
                <w:szCs w:val="21"/>
                <w:highlight w:val="none"/>
              </w:rPr>
              <w:t>四、授予合同</w:t>
            </w:r>
          </w:p>
        </w:tc>
      </w:tr>
      <w:tr w14:paraId="5C2235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521" w:type="pct"/>
            <w:vMerge w:val="restart"/>
            <w:tcBorders>
              <w:tl2br w:val="nil"/>
              <w:tr2bl w:val="nil"/>
            </w:tcBorders>
            <w:vAlign w:val="center"/>
          </w:tcPr>
          <w:p w14:paraId="6C082C48">
            <w:pPr>
              <w:keepNext w:val="0"/>
              <w:keepLines w:val="0"/>
              <w:pageBreakBefore w:val="0"/>
              <w:kinsoku/>
              <w:wordWrap/>
              <w:overflowPunct/>
              <w:topLinePunct w:val="0"/>
              <w:autoSpaceDE/>
              <w:autoSpaceDN/>
              <w:bidi w:val="0"/>
              <w:spacing w:line="240" w:lineRule="auto"/>
              <w:ind w:left="0"/>
              <w:jc w:val="center"/>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4478" w:type="pct"/>
            <w:gridSpan w:val="2"/>
            <w:tcBorders>
              <w:tl2br w:val="nil"/>
              <w:tr2bl w:val="nil"/>
            </w:tcBorders>
            <w:shd w:val="clear" w:color="auto" w:fill="auto"/>
            <w:vAlign w:val="center"/>
          </w:tcPr>
          <w:p w14:paraId="16B7600D">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eastAsia="宋体"/>
                <w:b/>
                <w:color w:val="auto"/>
                <w:szCs w:val="21"/>
                <w:highlight w:val="none"/>
                <w:lang w:val="en-US" w:eastAsia="zh-CN"/>
              </w:rPr>
            </w:pPr>
            <w:r>
              <w:rPr>
                <w:rFonts w:hint="eastAsia" w:ascii="宋体" w:hAnsi="宋体"/>
                <w:b/>
                <w:color w:val="auto"/>
                <w:szCs w:val="21"/>
                <w:highlight w:val="none"/>
              </w:rPr>
              <w:t>履约</w:t>
            </w:r>
            <w:r>
              <w:rPr>
                <w:rFonts w:hint="eastAsia" w:ascii="宋体" w:hAnsi="宋体"/>
                <w:b/>
                <w:color w:val="auto"/>
                <w:szCs w:val="21"/>
                <w:highlight w:val="none"/>
                <w:lang w:val="en-US" w:eastAsia="zh-CN"/>
              </w:rPr>
              <w:t>保证金</w:t>
            </w:r>
          </w:p>
        </w:tc>
      </w:tr>
      <w:tr w14:paraId="5382796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521" w:type="pct"/>
            <w:vMerge w:val="continue"/>
            <w:tcBorders>
              <w:tl2br w:val="nil"/>
              <w:tr2bl w:val="nil"/>
            </w:tcBorders>
            <w:vAlign w:val="center"/>
          </w:tcPr>
          <w:p w14:paraId="2AF08AC2">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shd w:val="clear" w:color="auto" w:fill="auto"/>
            <w:vAlign w:val="center"/>
          </w:tcPr>
          <w:p w14:paraId="2289EC04">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成交人的投标保证金¥94,000.00元（玖万肆仟元整）在合同签订后自动转为履约保证金，履约保证金作为成交人在履约过程中违约金或罚款的扣罚来源之一，履约保证金返还申请时间为合同期满之日，成交人在没有任何违约的情况下提交退款申请，收到成交人申请后30个日历日内，采购人一次性无息退回。</w:t>
            </w:r>
          </w:p>
          <w:p w14:paraId="137CBFC0">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hint="eastAsia" w:ascii="宋体" w:hAnsi="宋体"/>
                <w:color w:val="auto"/>
                <w:szCs w:val="21"/>
                <w:highlight w:val="none"/>
                <w:lang w:eastAsia="zh-CN"/>
              </w:rPr>
              <w:t>）</w:t>
            </w:r>
            <w:r>
              <w:rPr>
                <w:rFonts w:hint="eastAsia" w:ascii="宋体" w:hAnsi="宋体"/>
                <w:color w:val="auto"/>
                <w:szCs w:val="21"/>
                <w:highlight w:val="none"/>
              </w:rPr>
              <w:t>下列任何情况发生时，采购人有权</w:t>
            </w:r>
            <w:r>
              <w:rPr>
                <w:rFonts w:hint="eastAsia" w:ascii="宋体" w:hAnsi="宋体"/>
                <w:color w:val="auto"/>
                <w:szCs w:val="21"/>
                <w:highlight w:val="none"/>
                <w:lang w:val="en-US" w:eastAsia="zh-CN"/>
              </w:rPr>
              <w:t>没收履约保证金</w:t>
            </w:r>
            <w:r>
              <w:rPr>
                <w:rFonts w:hint="eastAsia" w:ascii="宋体" w:hAnsi="宋体"/>
                <w:color w:val="auto"/>
                <w:szCs w:val="21"/>
                <w:highlight w:val="none"/>
              </w:rPr>
              <w:t>：</w:t>
            </w:r>
          </w:p>
          <w:p w14:paraId="6EF0BE9C">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rPr>
            </w:pPr>
            <w:r>
              <w:rPr>
                <w:rFonts w:hint="eastAsia" w:ascii="宋体" w:hAnsi="宋体"/>
                <w:color w:val="auto"/>
                <w:szCs w:val="21"/>
                <w:highlight w:val="none"/>
                <w:lang w:val="en-US" w:eastAsia="zh-CN"/>
              </w:rPr>
              <w:t>①</w:t>
            </w:r>
            <w:r>
              <w:rPr>
                <w:rFonts w:hint="eastAsia" w:ascii="宋体" w:hAnsi="宋体"/>
                <w:color w:val="auto"/>
                <w:szCs w:val="21"/>
                <w:highlight w:val="none"/>
              </w:rPr>
              <w:t>成交人在合同履行过程中出现项目质量事故、工期拖延、欠付工人工资、欠付材料款等情况，</w:t>
            </w:r>
            <w:r>
              <w:rPr>
                <w:rFonts w:hint="eastAsia" w:ascii="宋体" w:eastAsia="宋体" w:cs="宋体"/>
                <w:color w:val="auto"/>
                <w:sz w:val="21"/>
                <w:szCs w:val="21"/>
                <w:highlight w:val="none"/>
                <w:lang w:val="en-US" w:eastAsia="zh-CN"/>
              </w:rPr>
              <w:t>且经</w:t>
            </w:r>
            <w:r>
              <w:rPr>
                <w:rFonts w:hint="eastAsia" w:ascii="宋体" w:cs="宋体"/>
                <w:color w:val="auto"/>
                <w:sz w:val="21"/>
                <w:szCs w:val="21"/>
                <w:highlight w:val="none"/>
                <w:lang w:val="en-US" w:eastAsia="zh-CN"/>
              </w:rPr>
              <w:t>采购人</w:t>
            </w:r>
            <w:r>
              <w:rPr>
                <w:rFonts w:hint="eastAsia" w:ascii="宋体" w:eastAsia="宋体" w:cs="宋体"/>
                <w:color w:val="auto"/>
                <w:sz w:val="21"/>
                <w:szCs w:val="21"/>
                <w:highlight w:val="none"/>
                <w:lang w:val="en-US" w:eastAsia="zh-CN"/>
              </w:rPr>
              <w:t>责令要求整改仍未改正的</w:t>
            </w:r>
            <w:r>
              <w:rPr>
                <w:rFonts w:hint="eastAsia" w:ascii="宋体" w:hAnsi="宋体"/>
                <w:color w:val="auto"/>
                <w:szCs w:val="21"/>
                <w:highlight w:val="none"/>
              </w:rPr>
              <w:t>，成交人造成采购人损失的，采购人有权立即没收其履约</w:t>
            </w:r>
            <w:r>
              <w:rPr>
                <w:rFonts w:hint="eastAsia" w:ascii="宋体" w:hAnsi="宋体"/>
                <w:color w:val="auto"/>
                <w:szCs w:val="21"/>
                <w:highlight w:val="none"/>
                <w:lang w:val="en-US" w:eastAsia="zh-CN"/>
              </w:rPr>
              <w:t>保证金</w:t>
            </w:r>
            <w:r>
              <w:rPr>
                <w:rFonts w:hint="eastAsia" w:ascii="宋体" w:hAnsi="宋体"/>
                <w:color w:val="auto"/>
                <w:szCs w:val="21"/>
                <w:highlight w:val="none"/>
              </w:rPr>
              <w:t>，若造成损失超过履约担保的，还应当对超过部分予以赔偿。</w:t>
            </w:r>
          </w:p>
          <w:p w14:paraId="5B68873A">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rPr>
            </w:pPr>
            <w:r>
              <w:rPr>
                <w:rFonts w:hint="eastAsia" w:ascii="宋体" w:hAnsi="宋体"/>
                <w:color w:val="auto"/>
                <w:szCs w:val="21"/>
                <w:highlight w:val="none"/>
                <w:lang w:val="en-US" w:eastAsia="zh-CN"/>
              </w:rPr>
              <w:t>②</w:t>
            </w:r>
            <w:r>
              <w:rPr>
                <w:rFonts w:hint="eastAsia" w:ascii="宋体" w:hAnsi="宋体"/>
                <w:color w:val="auto"/>
                <w:szCs w:val="21"/>
                <w:highlight w:val="none"/>
              </w:rPr>
              <w:t>成交人将本项目转让给他人，或者在投标文件中未说明，且未经采购人同意，将中标项目分包给他人的；</w:t>
            </w:r>
          </w:p>
          <w:p w14:paraId="72A00642">
            <w:pPr>
              <w:keepNext w:val="0"/>
              <w:keepLines w:val="0"/>
              <w:pageBreakBefore w:val="0"/>
              <w:kinsoku/>
              <w:wordWrap/>
              <w:overflowPunct/>
              <w:topLinePunct w:val="0"/>
              <w:autoSpaceDE/>
              <w:autoSpaceDN/>
              <w:bidi w:val="0"/>
              <w:spacing w:line="240" w:lineRule="auto"/>
              <w:ind w:left="0"/>
              <w:jc w:val="both"/>
              <w:textAlignment w:val="auto"/>
              <w:rPr>
                <w:rFonts w:hint="eastAsia" w:ascii="宋体" w:hAnsi="宋体"/>
                <w:color w:val="auto"/>
                <w:szCs w:val="21"/>
                <w:highlight w:val="none"/>
              </w:rPr>
            </w:pPr>
            <w:r>
              <w:rPr>
                <w:rFonts w:hint="eastAsia" w:ascii="宋体" w:hAnsi="宋体"/>
                <w:color w:val="auto"/>
                <w:szCs w:val="21"/>
                <w:highlight w:val="none"/>
                <w:lang w:val="en-US" w:eastAsia="zh-CN"/>
              </w:rPr>
              <w:t>③</w:t>
            </w:r>
            <w:r>
              <w:rPr>
                <w:rFonts w:hint="eastAsia" w:ascii="宋体" w:hAnsi="宋体"/>
                <w:color w:val="auto"/>
                <w:szCs w:val="21"/>
                <w:highlight w:val="none"/>
              </w:rPr>
              <w:t>成交人在履行采购合同期间，违反有关法律法规的规定及合同约定的条款，损害了采购人的利益。</w:t>
            </w:r>
          </w:p>
          <w:p w14:paraId="2EC08EE6">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）在合同期满后，成交人向采购人提交退回履约保证金的申请，采购人在</w:t>
            </w:r>
            <w:r>
              <w:rPr>
                <w:rFonts w:hint="eastAsia" w:ascii="宋体" w:hAnsi="宋体"/>
                <w:color w:val="auto"/>
                <w:szCs w:val="21"/>
                <w:highlight w:val="none"/>
                <w:lang w:val="en-US" w:eastAsia="zh-CN"/>
              </w:rPr>
              <w:t>成交人</w:t>
            </w:r>
            <w:r>
              <w:rPr>
                <w:rFonts w:hint="eastAsia" w:ascii="宋体" w:hAnsi="宋体"/>
                <w:color w:val="auto"/>
                <w:szCs w:val="21"/>
                <w:highlight w:val="none"/>
              </w:rPr>
              <w:t>将所有未决索赔、争议或违约责任解决完毕后并经</w:t>
            </w:r>
            <w:r>
              <w:rPr>
                <w:rFonts w:hint="eastAsia" w:ascii="宋体" w:hAnsi="宋体"/>
                <w:color w:val="auto"/>
                <w:szCs w:val="21"/>
                <w:highlight w:val="none"/>
                <w:lang w:val="en-US" w:eastAsia="zh-CN"/>
              </w:rPr>
              <w:t>采购人</w:t>
            </w:r>
            <w:r>
              <w:rPr>
                <w:rFonts w:hint="eastAsia" w:ascii="宋体" w:hAnsi="宋体"/>
                <w:color w:val="auto"/>
                <w:szCs w:val="21"/>
                <w:highlight w:val="none"/>
              </w:rPr>
              <w:t>确认后30个日历日内办理履约担保退还手续。</w:t>
            </w:r>
          </w:p>
        </w:tc>
      </w:tr>
      <w:tr w14:paraId="328A61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521" w:type="pct"/>
            <w:vMerge w:val="restart"/>
            <w:tcBorders>
              <w:tl2br w:val="nil"/>
              <w:tr2bl w:val="nil"/>
            </w:tcBorders>
            <w:vAlign w:val="center"/>
          </w:tcPr>
          <w:p w14:paraId="22BD6D92">
            <w:pPr>
              <w:keepNext w:val="0"/>
              <w:keepLines w:val="0"/>
              <w:pageBreakBefore w:val="0"/>
              <w:kinsoku/>
              <w:wordWrap/>
              <w:overflowPunct/>
              <w:topLinePunct w:val="0"/>
              <w:autoSpaceDE/>
              <w:autoSpaceDN/>
              <w:bidi w:val="0"/>
              <w:spacing w:line="240" w:lineRule="auto"/>
              <w:ind w:left="0"/>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4478" w:type="pct"/>
            <w:gridSpan w:val="2"/>
            <w:tcBorders>
              <w:tl2br w:val="nil"/>
              <w:tr2bl w:val="nil"/>
            </w:tcBorders>
            <w:vAlign w:val="center"/>
          </w:tcPr>
          <w:p w14:paraId="29960B00">
            <w:pPr>
              <w:keepNext w:val="0"/>
              <w:keepLines w:val="0"/>
              <w:pageBreakBefore w:val="0"/>
              <w:kinsoku/>
              <w:wordWrap/>
              <w:overflowPunct/>
              <w:topLinePunct w:val="0"/>
              <w:autoSpaceDE/>
              <w:autoSpaceDN/>
              <w:bidi w:val="0"/>
              <w:spacing w:line="240" w:lineRule="auto"/>
              <w:ind w:left="0"/>
              <w:jc w:val="both"/>
              <w:textAlignment w:val="auto"/>
              <w:rPr>
                <w:rFonts w:ascii="宋体" w:hAnsi="宋体"/>
                <w:b/>
                <w:color w:val="auto"/>
                <w:szCs w:val="21"/>
                <w:highlight w:val="none"/>
              </w:rPr>
            </w:pPr>
            <w:r>
              <w:rPr>
                <w:rFonts w:hint="eastAsia" w:ascii="宋体" w:hAnsi="宋体"/>
                <w:b/>
                <w:color w:val="auto"/>
                <w:szCs w:val="21"/>
                <w:highlight w:val="none"/>
              </w:rPr>
              <w:t>中标服务费</w:t>
            </w:r>
          </w:p>
        </w:tc>
      </w:tr>
      <w:tr w14:paraId="6A325C1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trPr>
        <w:tc>
          <w:tcPr>
            <w:tcW w:w="521" w:type="pct"/>
            <w:vMerge w:val="continue"/>
            <w:tcBorders>
              <w:tl2br w:val="nil"/>
              <w:tr2bl w:val="nil"/>
            </w:tcBorders>
            <w:vAlign w:val="center"/>
          </w:tcPr>
          <w:p w14:paraId="5399EB75">
            <w:pPr>
              <w:keepNext w:val="0"/>
              <w:keepLines w:val="0"/>
              <w:pageBreakBefore w:val="0"/>
              <w:kinsoku/>
              <w:wordWrap/>
              <w:overflowPunct/>
              <w:topLinePunct w:val="0"/>
              <w:autoSpaceDE/>
              <w:autoSpaceDN/>
              <w:bidi w:val="0"/>
              <w:spacing w:line="240" w:lineRule="auto"/>
              <w:ind w:left="0"/>
              <w:jc w:val="center"/>
              <w:textAlignment w:val="auto"/>
              <w:rPr>
                <w:rFonts w:ascii="宋体" w:hAnsi="宋体"/>
                <w:color w:val="auto"/>
                <w:szCs w:val="21"/>
                <w:highlight w:val="none"/>
              </w:rPr>
            </w:pPr>
          </w:p>
        </w:tc>
        <w:tc>
          <w:tcPr>
            <w:tcW w:w="4478" w:type="pct"/>
            <w:gridSpan w:val="2"/>
            <w:tcBorders>
              <w:tl2br w:val="nil"/>
              <w:tr2bl w:val="nil"/>
            </w:tcBorders>
            <w:vAlign w:val="center"/>
          </w:tcPr>
          <w:p w14:paraId="2832B842">
            <w:pPr>
              <w:keepNext w:val="0"/>
              <w:keepLines w:val="0"/>
              <w:pageBreakBefore w:val="0"/>
              <w:widowControl w:val="0"/>
              <w:tabs>
                <w:tab w:val="left" w:pos="907"/>
              </w:tabs>
              <w:kinsoku/>
              <w:wordWrap/>
              <w:overflowPunct/>
              <w:topLinePunct w:val="0"/>
              <w:autoSpaceDE/>
              <w:autoSpaceDN/>
              <w:bidi w:val="0"/>
              <w:adjustRightInd/>
              <w:snapToGrid/>
              <w:spacing w:line="240" w:lineRule="auto"/>
              <w:ind w:left="0"/>
              <w:jc w:val="both"/>
              <w:textAlignment w:val="auto"/>
              <w:rPr>
                <w:rFonts w:ascii="宋体" w:hAnsi="宋体"/>
                <w:color w:val="auto"/>
                <w:szCs w:val="21"/>
                <w:highlight w:val="none"/>
              </w:rPr>
            </w:pPr>
            <w:r>
              <w:rPr>
                <w:rFonts w:hint="eastAsia" w:ascii="宋体" w:hAnsi="宋体"/>
                <w:color w:val="auto"/>
                <w:szCs w:val="21"/>
                <w:highlight w:val="none"/>
              </w:rPr>
              <w:t>本项目中标服务费由采购人支付。</w:t>
            </w:r>
          </w:p>
        </w:tc>
      </w:tr>
      <w:tr w14:paraId="4F717BC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5000" w:type="pct"/>
            <w:gridSpan w:val="3"/>
            <w:tcBorders>
              <w:tl2br w:val="nil"/>
              <w:tr2bl w:val="nil"/>
            </w:tcBorders>
            <w:vAlign w:val="center"/>
          </w:tcPr>
          <w:p w14:paraId="08608DD8">
            <w:pPr>
              <w:keepNext w:val="0"/>
              <w:keepLines w:val="0"/>
              <w:pageBreakBefore w:val="0"/>
              <w:widowControl w:val="0"/>
              <w:tabs>
                <w:tab w:val="left" w:pos="907"/>
              </w:tabs>
              <w:kinsoku/>
              <w:wordWrap/>
              <w:overflowPunct/>
              <w:topLinePunct w:val="0"/>
              <w:autoSpaceDE/>
              <w:autoSpaceDN/>
              <w:bidi w:val="0"/>
              <w:adjustRightInd/>
              <w:snapToGrid/>
              <w:spacing w:line="240" w:lineRule="auto"/>
              <w:ind w:left="0" w:firstLine="420" w:firstLineChars="200"/>
              <w:jc w:val="both"/>
              <w:textAlignment w:val="auto"/>
              <w:rPr>
                <w:rFonts w:ascii="宋体" w:hAnsi="宋体"/>
                <w:color w:val="auto"/>
                <w:szCs w:val="21"/>
                <w:highlight w:val="none"/>
              </w:rPr>
            </w:pPr>
            <w:r>
              <w:rPr>
                <w:rFonts w:hint="eastAsia" w:ascii="宋体" w:hAnsi="宋体"/>
                <w:color w:val="auto"/>
                <w:szCs w:val="21"/>
                <w:highlight w:val="none"/>
              </w:rPr>
              <w:t>注：本表关于采购项目的具体资料，是对投标人须知的具体补充和修改，如有矛盾，应以本资料表为准。不满足采购文件中 “★”条款的投标文件将作无效投标处理。</w:t>
            </w:r>
          </w:p>
        </w:tc>
      </w:tr>
    </w:tbl>
    <w:p w14:paraId="2D019939">
      <w:pPr>
        <w:jc w:val="center"/>
        <w:rPr>
          <w:color w:val="auto"/>
          <w:highlight w:val="none"/>
        </w:rPr>
      </w:pPr>
      <w:r>
        <w:rPr>
          <w:rFonts w:hint="eastAsia"/>
          <w:color w:val="auto"/>
          <w:highlight w:val="none"/>
        </w:rPr>
        <w:br w:type="page"/>
      </w:r>
    </w:p>
    <w:p w14:paraId="62CCB22F">
      <w:pPr>
        <w:pStyle w:val="5"/>
        <w:spacing w:before="0" w:after="0" w:line="240" w:lineRule="auto"/>
        <w:jc w:val="center"/>
        <w:rPr>
          <w:rFonts w:hAnsi="宋体" w:cs="宋体"/>
          <w:color w:val="auto"/>
          <w:sz w:val="21"/>
          <w:szCs w:val="21"/>
          <w:highlight w:val="none"/>
        </w:rPr>
      </w:pPr>
      <w:bookmarkStart w:id="4" w:name="_Toc20815"/>
      <w:r>
        <w:rPr>
          <w:rFonts w:hint="eastAsia" w:ascii="宋体" w:hAnsi="宋体" w:cs="宋体"/>
          <w:color w:val="auto"/>
          <w:sz w:val="24"/>
          <w:szCs w:val="24"/>
          <w:highlight w:val="none"/>
        </w:rPr>
        <w:t>附表二：商务技术评分及价格权重表（满分100分）</w:t>
      </w:r>
      <w:bookmarkEnd w:id="4"/>
    </w:p>
    <w:p w14:paraId="4572F5A4">
      <w:pPr>
        <w:rPr>
          <w:rFonts w:hint="eastAsia"/>
          <w:color w:val="auto"/>
          <w:highlight w:val="none"/>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7"/>
        <w:gridCol w:w="1087"/>
        <w:gridCol w:w="457"/>
        <w:gridCol w:w="6521"/>
      </w:tblGrid>
      <w:tr w14:paraId="24CDF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787D5">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B9EE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评审项目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DA2CDD">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分值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0DF3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评审细则</w:t>
            </w:r>
          </w:p>
        </w:tc>
      </w:tr>
      <w:tr w14:paraId="327A6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0CF80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商务技术评审（60分）</w:t>
            </w:r>
          </w:p>
        </w:tc>
      </w:tr>
      <w:tr w14:paraId="4CDD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7D6612">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1D6B1">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体系认证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DDE5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80A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投标人具有由国家认监委批准设立的认证机构颁发并在有效期内的质量管理体系认证、环境管理体系认证、职业健康安全管理体系认证的，每个得2分，本项最高得6分。</w:t>
            </w:r>
          </w:p>
          <w:p w14:paraId="4BD6495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17E308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备注：须提供有效证书复印件并加盖投标人公章，不符合以上要求的不得分。</w:t>
            </w:r>
          </w:p>
        </w:tc>
      </w:tr>
      <w:tr w14:paraId="0BA6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99A39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957478">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财务状况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81A9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38F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根据投标人2019年1月1日至今的财务状况进行评价，每一年盈利得1分，本项最高得5分</w:t>
            </w:r>
            <w:r>
              <w:rPr>
                <w:rFonts w:hint="eastAsia" w:ascii="宋体" w:hAnsi="宋体" w:cs="宋体"/>
                <w:i w:val="0"/>
                <w:iCs w:val="0"/>
                <w:color w:val="auto"/>
                <w:kern w:val="0"/>
                <w:sz w:val="21"/>
                <w:szCs w:val="21"/>
                <w:highlight w:val="none"/>
                <w:u w:val="none"/>
                <w:lang w:val="en-US" w:eastAsia="zh-CN" w:bidi="ar"/>
              </w:rPr>
              <w:t>。</w:t>
            </w:r>
          </w:p>
          <w:p w14:paraId="29FA42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7AB327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备注：须提供会计师事务所审计的完整的财务报表复印件，加盖公章。</w:t>
            </w:r>
          </w:p>
        </w:tc>
      </w:tr>
      <w:tr w14:paraId="3AD0E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FE60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B0D1C2">
            <w:pPr>
              <w:keepNext w:val="0"/>
              <w:keepLines w:val="0"/>
              <w:widowControl/>
              <w:suppressLineNumbers w:val="0"/>
              <w:spacing w:line="240" w:lineRule="auto"/>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焚烧危废运输量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FD3B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7F2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根据投标人2022年8月-2025年8月期间“广东省固体废物环境监管信息平台”（https://www-app.gdeei.cn/gfjgqy-rz/login）处置方式为D10-焚烧危废运输量截图进行评分，其中：</w:t>
            </w:r>
          </w:p>
          <w:p w14:paraId="2E47FB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4万吨以下，不得分；每多1万吨可得1分，本项最高5分，例如：</w:t>
            </w:r>
          </w:p>
          <w:p w14:paraId="28746E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4.00万吨-4.99万吨，得1分</w:t>
            </w:r>
          </w:p>
          <w:p w14:paraId="2F6890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5.00万吨-5.99万吨，得2分</w:t>
            </w:r>
          </w:p>
          <w:p w14:paraId="33D09C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6.00万吨-6.99万吨，得3分，如此类推</w:t>
            </w:r>
          </w:p>
          <w:p w14:paraId="2E7946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2F3282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备注：投标人需提供“广东省固体废物环境监管信息平台”（https://www-app.gdeei.cn/gfjgqy-rz/login）处置方式为D10-焚烧危废运输量截图（见附件），加盖公章。</w:t>
            </w:r>
          </w:p>
        </w:tc>
      </w:tr>
      <w:tr w14:paraId="41E7E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7779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A25AB">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拟投入车辆（需配套驾驶员及押运员）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2EAD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3A45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根据投标人拟投入本项目提供服务的车辆数量进行评分，其中：</w:t>
            </w:r>
          </w:p>
          <w:p w14:paraId="2CA105B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当投入服务的车辆总数量少于5台的，本项不得分；</w:t>
            </w:r>
          </w:p>
          <w:p w14:paraId="5E06048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lang w:val="en-US" w:eastAsia="zh-CN" w:bidi="ar-SA"/>
              </w:rPr>
              <w:t>（2）</w:t>
            </w:r>
            <w:r>
              <w:rPr>
                <w:rFonts w:hint="eastAsia" w:ascii="宋体" w:hAnsi="宋体" w:eastAsia="宋体" w:cs="宋体"/>
                <w:i w:val="0"/>
                <w:iCs w:val="0"/>
                <w:color w:val="auto"/>
                <w:kern w:val="0"/>
                <w:sz w:val="21"/>
                <w:szCs w:val="21"/>
                <w:highlight w:val="none"/>
                <w:u w:val="none"/>
                <w:lang w:val="en-US" w:eastAsia="zh-CN" w:bidi="ar"/>
              </w:rPr>
              <w:t>当投入服务的5.2米厢车少于1辆，或7.6米厢车少于1辆，或9.6米厢车少于2辆，或12.5米厢车少于1辆情况的，本项不得分；</w:t>
            </w:r>
          </w:p>
          <w:p w14:paraId="5AC5BD8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非上述（1）及（2）情况时按以下情况评分：</w:t>
            </w:r>
          </w:p>
          <w:p w14:paraId="1AF85C0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①5.2米厢车，每台得0.5分，最多可得2分</w:t>
            </w:r>
          </w:p>
          <w:p w14:paraId="3E1F79B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②7.6米厢车，每台得1分，最多可得8分</w:t>
            </w:r>
          </w:p>
          <w:p w14:paraId="57E1DCA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③9.6米厢车，每台得1分，最多可得12分</w:t>
            </w:r>
          </w:p>
          <w:p w14:paraId="1512BD1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④12.5米挂车，每台得0.5分，最多可得2分</w:t>
            </w:r>
          </w:p>
          <w:p w14:paraId="071781E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本项最高得分20分</w:t>
            </w:r>
          </w:p>
          <w:p w14:paraId="0736C3A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784211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备注：投标人需在附件《运输车辆名册》上列示并提供对应《道路运输证》复印件（经营范围</w:t>
            </w:r>
            <w:r>
              <w:rPr>
                <w:rFonts w:hint="eastAsia" w:ascii="宋体" w:hAnsi="宋体" w:cs="宋体"/>
                <w:i w:val="0"/>
                <w:iCs w:val="0"/>
                <w:color w:val="auto"/>
                <w:kern w:val="0"/>
                <w:sz w:val="21"/>
                <w:szCs w:val="21"/>
                <w:highlight w:val="none"/>
                <w:u w:val="none"/>
                <w:lang w:val="en-US" w:eastAsia="zh-CN" w:bidi="ar"/>
              </w:rPr>
              <w:t>包括</w:t>
            </w:r>
            <w:r>
              <w:rPr>
                <w:rFonts w:hint="eastAsia" w:ascii="宋体" w:hAnsi="宋体" w:eastAsia="宋体" w:cs="宋体"/>
                <w:i w:val="0"/>
                <w:iCs w:val="0"/>
                <w:color w:val="auto"/>
                <w:kern w:val="0"/>
                <w:sz w:val="21"/>
                <w:szCs w:val="21"/>
                <w:highlight w:val="none"/>
                <w:u w:val="none"/>
                <w:lang w:val="en-US" w:eastAsia="zh-CN" w:bidi="ar"/>
              </w:rPr>
              <w:t>危险货物运输），非投标人自有车辆的，需提供投标人与承租人的租赁合同或合作协议，均加盖公章；中标后如需更换同等规格载重车辆需经采购人同意，服务过程中未按承诺提供配套车辆的，每少一辆处</w:t>
            </w:r>
            <w:r>
              <w:rPr>
                <w:rFonts w:hint="eastAsia" w:ascii="宋体" w:hAnsi="宋体" w:cs="宋体"/>
                <w:i w:val="0"/>
                <w:iCs w:val="0"/>
                <w:color w:val="auto"/>
                <w:kern w:val="0"/>
                <w:sz w:val="21"/>
                <w:szCs w:val="21"/>
                <w:highlight w:val="none"/>
                <w:u w:val="none"/>
                <w:lang w:val="en-US" w:eastAsia="zh-CN" w:bidi="ar"/>
              </w:rPr>
              <w:t>以</w:t>
            </w:r>
            <w:r>
              <w:rPr>
                <w:rFonts w:hint="eastAsia" w:ascii="宋体" w:hAnsi="宋体" w:eastAsia="宋体" w:cs="宋体"/>
                <w:i w:val="0"/>
                <w:iCs w:val="0"/>
                <w:color w:val="auto"/>
                <w:kern w:val="0"/>
                <w:sz w:val="21"/>
                <w:szCs w:val="21"/>
                <w:highlight w:val="none"/>
                <w:u w:val="none"/>
                <w:lang w:val="en-US" w:eastAsia="zh-CN" w:bidi="ar"/>
              </w:rPr>
              <w:t>10000元处罚，超过3辆的采购人有权无责解除合同并没收履约保证金。</w:t>
            </w:r>
          </w:p>
        </w:tc>
      </w:tr>
      <w:tr w14:paraId="1514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5BE0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A400C">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拟投入服务的后备人员情况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B79F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183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法规要求危险废物运输需配备1名驾驶员和1名押运员，除上述第4点“拟投入车辆（需配套驾驶员及押运员）”中所含驾驶员和押运员外，本项根据额外的后备驾驶员及押运员情况进行评分，其中每多1名驾驶员及1名押运员可得1分，最高可得6分，举例如下：</w:t>
            </w:r>
          </w:p>
          <w:p w14:paraId="32F3F8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假设上述第4点“拟投入车辆（需配套驾驶员及押运员）”为10辆并配套10名驾驶员和10名押运员，当投标人拟投入本项目人员为11名驾驶员和11名押运员时，可得1分，但仅为11名驾驶员和10名押运员时不得分，仅为10名驾驶员和11名押运员时不得分，如此类推。</w:t>
            </w:r>
          </w:p>
          <w:p w14:paraId="32ACF6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43D186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人需在附件《运输人员花名册》上列示并提供驾驶员的《道路运输从业人员从业资格证》且从业资格类别包括“道路危险货物运输驾驶员”及押运员的《道路运输从业人员从业资格证》且从业资格类别包括“道路危险货物运输押运人员”，加盖公章；如驾驶员和押运员非投标人自有员工的，需提供投标人与承租人的租赁合同或合作协议，均加盖公章。</w:t>
            </w:r>
          </w:p>
        </w:tc>
      </w:tr>
      <w:tr w14:paraId="7C8AF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B125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D2FD4">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服务方案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D7D8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5E6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根据投标人制定的本项目服务方案进行总体评分，内容应包括但不限于：异常情况处理、车辆故障处理、沟通技巧、打包装卸服务规范等，要求：</w:t>
            </w:r>
          </w:p>
          <w:p w14:paraId="08FEB4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（1）实施方案内容非常全面、思路清晰，对本项目工作的重点难点分析准确、透彻，对应措施可操作性强，服务计划完善、资源支持系统可靠的，得6分；</w:t>
            </w:r>
          </w:p>
          <w:p w14:paraId="3417622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（2）实施方案内容比较全面，对本项目工作的重点分析基本准确、透彻，对应措施可操作性较强，服务计划、资源支持系统可靠的，得4分；</w:t>
            </w:r>
          </w:p>
          <w:p w14:paraId="649795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（3）实施方案内容较一般，思路清晰度一般，对本项目工作的重点、难点分析准确性、透彻性一般，对应措施可操作性一般，服务计划完善性一般、资源支持系统可靠性一般的，得2分；</w:t>
            </w:r>
          </w:p>
          <w:p w14:paraId="51C6CFC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（4）实施方案内容较差、思路清晰度较差，对本项目工作的重点、难点分析准确性、透彻性较差的，内容不完整的，或未提供服务方案的，不得分。</w:t>
            </w:r>
          </w:p>
        </w:tc>
      </w:tr>
      <w:tr w14:paraId="757B8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EBE2C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730C4F">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重点难点分析及方案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3E80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B467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投标人根据项目情况结合经验，自行编制重点难点分析及方案：</w:t>
            </w:r>
          </w:p>
          <w:p w14:paraId="2C63504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重点难点分析准确，重点和难点分析非常具体的，方案可行的，得3分；</w:t>
            </w:r>
          </w:p>
          <w:p w14:paraId="21F9E9B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lang w:val="en-US" w:eastAsia="zh-CN" w:bidi="ar-SA"/>
              </w:rPr>
              <w:t>（2）</w:t>
            </w:r>
            <w:r>
              <w:rPr>
                <w:rFonts w:hint="eastAsia" w:ascii="宋体" w:hAnsi="宋体" w:eastAsia="宋体" w:cs="宋体"/>
                <w:i w:val="0"/>
                <w:iCs w:val="0"/>
                <w:color w:val="auto"/>
                <w:kern w:val="0"/>
                <w:sz w:val="21"/>
                <w:szCs w:val="21"/>
                <w:highlight w:val="none"/>
                <w:u w:val="none"/>
                <w:lang w:val="en-US" w:eastAsia="zh-CN" w:bidi="ar"/>
              </w:rPr>
              <w:t>重点和难点分析比较具体的，方案可行性较强的，得2分；</w:t>
            </w:r>
          </w:p>
          <w:p w14:paraId="0B04DC2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（3）重点和难点分析基本合理，方案基本可行的，得1分；</w:t>
            </w:r>
          </w:p>
          <w:p w14:paraId="68A0F23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（4）重点和难点分析不合理，方案不可行，或未提供重点难点分析及方案的，不得分。</w:t>
            </w:r>
          </w:p>
        </w:tc>
      </w:tr>
      <w:tr w14:paraId="223E4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02DEF">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AEC43">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6A11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954E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投标人承诺接到采购人收运指令并确认响应承运后，按以下时间内完成人员和车辆派单安排，可得对应分值如下：</w:t>
            </w:r>
          </w:p>
          <w:p w14:paraId="3BBC659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承诺1小时内完成派单，可得3分；</w:t>
            </w:r>
          </w:p>
          <w:p w14:paraId="36BA02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承诺1小时以上至2小时内完成派单，可得2分；</w:t>
            </w:r>
          </w:p>
          <w:p w14:paraId="41EF93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承诺2小时以上至3小时内完成派单，可得1分；</w:t>
            </w:r>
          </w:p>
          <w:p w14:paraId="345481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承诺3小时以上完成派单的，不得分</w:t>
            </w:r>
          </w:p>
          <w:p w14:paraId="3FBD5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225969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备注：投标人提供响应时间承诺，如履约过程中未能按承诺时间内派车，采购人有权处</w:t>
            </w:r>
            <w:r>
              <w:rPr>
                <w:rFonts w:hint="eastAsia" w:ascii="宋体" w:hAnsi="宋体" w:cs="宋体"/>
                <w:i w:val="0"/>
                <w:iCs w:val="0"/>
                <w:color w:val="auto"/>
                <w:kern w:val="0"/>
                <w:sz w:val="21"/>
                <w:szCs w:val="21"/>
                <w:highlight w:val="none"/>
                <w:u w:val="none"/>
                <w:lang w:val="en-US" w:eastAsia="zh-CN" w:bidi="ar"/>
              </w:rPr>
              <w:t>以</w:t>
            </w:r>
            <w:r>
              <w:rPr>
                <w:rFonts w:hint="eastAsia" w:ascii="宋体" w:hAnsi="宋体" w:eastAsia="宋体" w:cs="宋体"/>
                <w:i w:val="0"/>
                <w:iCs w:val="0"/>
                <w:color w:val="auto"/>
                <w:kern w:val="0"/>
                <w:sz w:val="21"/>
                <w:szCs w:val="21"/>
                <w:highlight w:val="none"/>
                <w:u w:val="none"/>
                <w:lang w:val="en-US" w:eastAsia="zh-CN" w:bidi="ar"/>
              </w:rPr>
              <w:t>500元/次的处罚，如一个月内出现5次未能按承诺时间内派车且派车时间超过3小时的，采购人有权无责解除合同并保留追责权利。</w:t>
            </w:r>
          </w:p>
        </w:tc>
      </w:tr>
      <w:tr w14:paraId="32FF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9333B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D8E0B">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自有跟踪或视频监控平台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E679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2089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投标人除广东省固废平台外，还另行自有或享有使用权的独立软件或平台，要求软件或平台具备包括但不限于实时车辆位置跟踪和视频监控等功能。每有1个满足上述功能的软件或平台可得1分，本项满分3分。</w:t>
            </w:r>
          </w:p>
          <w:p w14:paraId="6DC7200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3EB42B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备注：投标人需提供软件或平台截图，要求展示软件或平台对车辆位置跟踪和视频监控截图</w:t>
            </w:r>
          </w:p>
        </w:tc>
      </w:tr>
      <w:tr w14:paraId="040D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D1683">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80731">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应急处理方案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FA6F1">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D2E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根据投标人制定的应急处理方案进行总体评分，内容应包括但不限于废物</w:t>
            </w:r>
            <w:r>
              <w:rPr>
                <w:rFonts w:hint="eastAsia" w:ascii="宋体" w:hAnsi="宋体" w:cs="宋体"/>
                <w:i w:val="0"/>
                <w:iCs w:val="0"/>
                <w:color w:val="auto"/>
                <w:kern w:val="0"/>
                <w:sz w:val="21"/>
                <w:szCs w:val="21"/>
                <w:highlight w:val="none"/>
                <w:u w:val="none"/>
                <w:lang w:val="en-US" w:eastAsia="zh-CN" w:bidi="ar"/>
              </w:rPr>
              <w:t>泄漏</w:t>
            </w:r>
            <w:r>
              <w:rPr>
                <w:rFonts w:hint="eastAsia" w:ascii="宋体" w:hAnsi="宋体" w:eastAsia="宋体" w:cs="宋体"/>
                <w:i w:val="0"/>
                <w:iCs w:val="0"/>
                <w:color w:val="auto"/>
                <w:kern w:val="0"/>
                <w:sz w:val="21"/>
                <w:szCs w:val="21"/>
                <w:highlight w:val="none"/>
                <w:u w:val="none"/>
                <w:lang w:val="en-US" w:eastAsia="zh-CN" w:bidi="ar"/>
              </w:rPr>
              <w:t>、冒烟反应、着火、恶劣天气、交通事故、车辆故障和防疫等，要求：</w:t>
            </w:r>
          </w:p>
          <w:p w14:paraId="6FDB4C4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制定的各项安全保障措施合理，针对设备设施故障抢修、意外情况处置能力，制定应急处理方案和具体实施方案可行的，得3分；</w:t>
            </w:r>
          </w:p>
          <w:p w14:paraId="1E40D3C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sz w:val="21"/>
                <w:szCs w:val="21"/>
                <w:highlight w:val="none"/>
                <w:lang w:val="en-US" w:eastAsia="zh-CN" w:bidi="ar-SA"/>
              </w:rPr>
              <w:t>（2）</w:t>
            </w:r>
            <w:r>
              <w:rPr>
                <w:rFonts w:hint="eastAsia" w:ascii="宋体" w:hAnsi="宋体" w:eastAsia="宋体" w:cs="宋体"/>
                <w:i w:val="0"/>
                <w:iCs w:val="0"/>
                <w:color w:val="auto"/>
                <w:kern w:val="0"/>
                <w:sz w:val="21"/>
                <w:szCs w:val="21"/>
                <w:highlight w:val="none"/>
                <w:u w:val="none"/>
                <w:lang w:val="en-US" w:eastAsia="zh-CN" w:bidi="ar"/>
              </w:rPr>
              <w:t>制定的各项安全保障措施较合理，针对设备设施故障抢修、意外情况处置能力，制定应急处理方案和具体实施方案较可行的，得2分；</w:t>
            </w:r>
          </w:p>
          <w:p w14:paraId="66FD85F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（3）制定的各项安全保障措施基本合理，针对设备设施故障抢修、意外情况处置能力，制定应急处理方案和具体实施方案基本可行的，得1分；</w:t>
            </w:r>
          </w:p>
          <w:p w14:paraId="0F71E3D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（4）制定的各项安全保障措施合理性较差，针对设备设施故障抢修、意外情况处置能力，制定应急处理方案和具体实施方案可行性较差的，或未提供的，不得分。</w:t>
            </w:r>
          </w:p>
        </w:tc>
      </w:tr>
      <w:tr w14:paraId="5675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95E146">
            <w:pPr>
              <w:keepNext w:val="0"/>
              <w:keepLines w:val="0"/>
              <w:widowControl/>
              <w:suppressLineNumbers w:val="0"/>
              <w:spacing w:line="240" w:lineRule="auto"/>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（1）无特殊说明外，以上评审项，同一证明文件不重复计分。</w:t>
            </w:r>
            <w:r>
              <w:rPr>
                <w:rFonts w:hint="eastAsia" w:ascii="宋体" w:hAnsi="宋体" w:eastAsia="宋体" w:cs="宋体"/>
                <w:b/>
                <w:bCs/>
                <w:i w:val="0"/>
                <w:iCs w:val="0"/>
                <w:color w:val="auto"/>
                <w:kern w:val="0"/>
                <w:sz w:val="21"/>
                <w:szCs w:val="21"/>
                <w:highlight w:val="none"/>
                <w:u w:val="none"/>
                <w:lang w:val="en-US" w:eastAsia="zh-CN" w:bidi="ar"/>
              </w:rPr>
              <w:br w:type="textWrapping"/>
            </w:r>
            <w:r>
              <w:rPr>
                <w:rFonts w:hint="eastAsia" w:ascii="宋体" w:hAnsi="宋体" w:eastAsia="宋体" w:cs="宋体"/>
                <w:b/>
                <w:bCs/>
                <w:i w:val="0"/>
                <w:iCs w:val="0"/>
                <w:color w:val="auto"/>
                <w:kern w:val="0"/>
                <w:sz w:val="21"/>
                <w:szCs w:val="21"/>
                <w:highlight w:val="none"/>
                <w:u w:val="none"/>
                <w:lang w:val="en-US" w:eastAsia="zh-CN" w:bidi="ar"/>
              </w:rPr>
              <w:t>（2）投标人根据以上评分要求提供的投标材料因模糊不清导致评标委员会无法清晰辨认进行评审的，视为无效材料。</w:t>
            </w:r>
          </w:p>
        </w:tc>
      </w:tr>
      <w:tr w14:paraId="0785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B8A77D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价格评审（40分）</w:t>
            </w:r>
          </w:p>
        </w:tc>
      </w:tr>
      <w:tr w14:paraId="17BAB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DD6A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001A4">
            <w:pPr>
              <w:keepNext w:val="0"/>
              <w:keepLines w:val="0"/>
              <w:widowControl/>
              <w:suppressLineNumbers w:val="0"/>
              <w:spacing w:line="240" w:lineRule="auto"/>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投标总价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F2A3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88A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价格分计算方法：满足采购文件要求且含税暂定总价最低的投标报价为评标基准价，其价格分为满分。其他投标人的价格分统一按照下列公式计算：</w:t>
            </w:r>
          </w:p>
          <w:p w14:paraId="0B61B7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20" w:firstLineChars="20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投标报价得分=(评标基准价／投标报价)×价格权重</w:t>
            </w:r>
          </w:p>
        </w:tc>
      </w:tr>
    </w:tbl>
    <w:p w14:paraId="27171D2C">
      <w:pPr>
        <w:rPr>
          <w:rFonts w:hint="eastAsia"/>
          <w:color w:val="auto"/>
          <w:highlight w:val="none"/>
        </w:rPr>
      </w:pPr>
    </w:p>
    <w:p w14:paraId="5322B11B">
      <w:pPr>
        <w:ind w:firstLine="420" w:firstLineChars="200"/>
        <w:rPr>
          <w:color w:val="auto"/>
          <w:highlight w:val="none"/>
        </w:rPr>
      </w:pPr>
      <w:r>
        <w:rPr>
          <w:rFonts w:hint="eastAsia"/>
          <w:color w:val="auto"/>
          <w:highlight w:val="none"/>
        </w:rPr>
        <w:br w:type="page"/>
      </w:r>
    </w:p>
    <w:p w14:paraId="5C01A0F2">
      <w:pPr>
        <w:pStyle w:val="4"/>
        <w:spacing w:before="0" w:after="0" w:line="240" w:lineRule="auto"/>
        <w:rPr>
          <w:color w:val="auto"/>
          <w:sz w:val="36"/>
          <w:szCs w:val="36"/>
          <w:highlight w:val="none"/>
        </w:rPr>
      </w:pPr>
      <w:bookmarkStart w:id="5" w:name="_Toc462"/>
      <w:r>
        <w:rPr>
          <w:rFonts w:hint="eastAsia"/>
          <w:color w:val="auto"/>
          <w:sz w:val="28"/>
          <w:szCs w:val="28"/>
          <w:highlight w:val="none"/>
        </w:rPr>
        <w:t>第三部分用户需求书</w:t>
      </w:r>
      <w:bookmarkEnd w:id="5"/>
    </w:p>
    <w:p w14:paraId="3728B8CF">
      <w:pPr>
        <w:pStyle w:val="5"/>
        <w:spacing w:before="0" w:after="0" w:line="360" w:lineRule="auto"/>
        <w:jc w:val="center"/>
        <w:rPr>
          <w:rFonts w:ascii="宋体" w:hAnsi="宋体"/>
          <w:color w:val="auto"/>
          <w:highlight w:val="none"/>
        </w:rPr>
      </w:pPr>
      <w:bookmarkStart w:id="6" w:name="_Toc1593"/>
      <w:bookmarkStart w:id="7" w:name="_Toc23668"/>
      <w:bookmarkStart w:id="8" w:name="_Toc308786492"/>
      <w:bookmarkStart w:id="9" w:name="_Toc13112"/>
      <w:bookmarkStart w:id="10" w:name="_Toc14462"/>
      <w:bookmarkStart w:id="11" w:name="_Toc31278"/>
      <w:bookmarkStart w:id="12" w:name="_Toc24679"/>
      <w:r>
        <w:rPr>
          <w:rFonts w:hint="eastAsia" w:ascii="宋体" w:hAnsi="宋体"/>
          <w:color w:val="auto"/>
          <w:highlight w:val="none"/>
        </w:rPr>
        <w:t>第一章 商务需求书</w:t>
      </w:r>
      <w:bookmarkEnd w:id="6"/>
      <w:bookmarkEnd w:id="7"/>
    </w:p>
    <w:tbl>
      <w:tblPr>
        <w:tblStyle w:val="30"/>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188CB8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664B8A0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712A129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01F0923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2520E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4FA7638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01" w:type="dxa"/>
            <w:vAlign w:val="center"/>
          </w:tcPr>
          <w:p w14:paraId="1CA7035E">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4D4F3341">
            <w:pPr>
              <w:pStyle w:val="41"/>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sz w:val="21"/>
                <w:szCs w:val="21"/>
                <w:highlight w:val="none"/>
              </w:rPr>
              <w:t>详见“第一部分 投标邀请”中“二、投标人资格要求”</w:t>
            </w:r>
          </w:p>
        </w:tc>
      </w:tr>
      <w:tr w14:paraId="3808E1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FC31E6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01" w:type="dxa"/>
            <w:vAlign w:val="center"/>
          </w:tcPr>
          <w:p w14:paraId="247AD07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4BEBFACD">
            <w:pPr>
              <w:pStyle w:val="38"/>
              <w:keepNext w:val="0"/>
              <w:keepLines w:val="0"/>
              <w:pageBreakBefore w:val="0"/>
              <w:kinsoku/>
              <w:wordWrap/>
              <w:overflowPunct/>
              <w:topLinePunct w:val="0"/>
              <w:autoSpaceDE/>
              <w:autoSpaceDN/>
              <w:bidi w:val="0"/>
              <w:spacing w:line="240" w:lineRule="auto"/>
              <w:ind w:firstLine="4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合同服务期限自签订运输服务合同之日起一年。</w:t>
            </w:r>
          </w:p>
        </w:tc>
      </w:tr>
      <w:tr w14:paraId="4A369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06423F50">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2E6C08E6">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结算方式</w:t>
            </w:r>
          </w:p>
        </w:tc>
        <w:tc>
          <w:tcPr>
            <w:tcW w:w="6466" w:type="dxa"/>
            <w:vAlign w:val="center"/>
          </w:tcPr>
          <w:p w14:paraId="7BB39A04">
            <w:pPr>
              <w:pStyle w:val="38"/>
              <w:keepNext w:val="0"/>
              <w:keepLines w:val="0"/>
              <w:pageBreakBefore w:val="0"/>
              <w:kinsoku/>
              <w:wordWrap/>
              <w:overflowPunct/>
              <w:topLinePunct w:val="0"/>
              <w:autoSpaceDE/>
              <w:autoSpaceDN/>
              <w:bidi w:val="0"/>
              <w:spacing w:line="240" w:lineRule="auto"/>
              <w:ind w:firstLine="4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周提交电子版对账数据，按月结算运输费，以《危险废物运输费单价表》为计费基准，结合当月实际各区域、车型、派出车次的情况，根据《运输杂费及计费规则》《运输单位搬运费分级标准》据实核算相应的运输杂费等，并扣除《东莞市新东欣环保投资有限公司承运单位违规行为处罚条款》处罚款项，经甲方和乙方核实无误后，计算出当月实际结算费用，即当月实际结算费用=当月实际产生运输费用+运输杂费-处罚款项。</w:t>
            </w:r>
          </w:p>
        </w:tc>
      </w:tr>
      <w:tr w14:paraId="414EAE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8" w:hRule="atLeast"/>
        </w:trPr>
        <w:tc>
          <w:tcPr>
            <w:tcW w:w="718" w:type="dxa"/>
            <w:vAlign w:val="center"/>
          </w:tcPr>
          <w:p w14:paraId="1B7A96FD">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501" w:type="dxa"/>
            <w:vAlign w:val="center"/>
          </w:tcPr>
          <w:p w14:paraId="137DBA98">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6AF5BF3E">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1.成交人25日前提交本月运费盖章版对账单及对应承运单、装卸水印照片等凭证并发出请款需求，采购人收到请款资料并核实无误后，成交人在5个工作日内开出9%增值税专用服务发票。</w:t>
            </w:r>
          </w:p>
          <w:p w14:paraId="071F0C78">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2.采购人在收到成交人发票后十五个工作内将运输服务费支付给成交人。支付方式仅限于双方签约运输服务合同所列公司银行账号进行公对公银行转账。</w:t>
            </w:r>
          </w:p>
          <w:p w14:paraId="713CF56D">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3.成交人延迟提交对账资料的，招采购人按应付期限延期一个月支付运输费用。</w:t>
            </w:r>
          </w:p>
        </w:tc>
      </w:tr>
      <w:tr w14:paraId="02C4A0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2E8ED9D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501" w:type="dxa"/>
            <w:vAlign w:val="center"/>
          </w:tcPr>
          <w:p w14:paraId="646FABA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项目地点</w:t>
            </w:r>
          </w:p>
        </w:tc>
        <w:tc>
          <w:tcPr>
            <w:tcW w:w="6466" w:type="dxa"/>
            <w:vAlign w:val="center"/>
          </w:tcPr>
          <w:p w14:paraId="0FEFDA1A">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60D9D1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65049147">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501" w:type="dxa"/>
            <w:vAlign w:val="center"/>
          </w:tcPr>
          <w:p w14:paraId="2469E232">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报价要求</w:t>
            </w:r>
          </w:p>
        </w:tc>
        <w:tc>
          <w:tcPr>
            <w:tcW w:w="6466" w:type="dxa"/>
            <w:vAlign w:val="center"/>
          </w:tcPr>
          <w:p w14:paraId="688021CA">
            <w:pPr>
              <w:keepNext w:val="0"/>
              <w:keepLines w:val="0"/>
              <w:pageBreakBefore w:val="0"/>
              <w:widowControl w:val="0"/>
              <w:kinsoku/>
              <w:wordWrap/>
              <w:overflowPunct/>
              <w:topLinePunct w:val="0"/>
              <w:autoSpaceDE/>
              <w:autoSpaceDN/>
              <w:bidi w:val="0"/>
              <w:adjustRightInd/>
              <w:snapToGrid/>
              <w:spacing w:line="240" w:lineRule="auto"/>
              <w:ind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投标报价应包括本次采购所有服务内容的费用，包括但不限于人工、</w:t>
            </w:r>
            <w:r>
              <w:rPr>
                <w:rFonts w:hint="eastAsia" w:ascii="宋体" w:hAnsi="宋体" w:eastAsia="宋体" w:cs="宋体"/>
                <w:color w:val="auto"/>
                <w:sz w:val="21"/>
                <w:szCs w:val="21"/>
                <w:highlight w:val="none"/>
                <w:lang w:val="en-US" w:eastAsia="zh-CN"/>
              </w:rPr>
              <w:t>油料、保险（含人员及车辆保险等）、车辆维修保养</w:t>
            </w:r>
            <w:r>
              <w:rPr>
                <w:rFonts w:hint="eastAsia" w:ascii="宋体" w:hAnsi="宋体" w:eastAsia="宋体" w:cs="宋体"/>
                <w:color w:val="auto"/>
                <w:sz w:val="21"/>
                <w:szCs w:val="21"/>
                <w:highlight w:val="none"/>
              </w:rPr>
              <w:t>、成本、利润、措施费、税费以及合同实施过程中的不可预见费用等全部费用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但不含运输杂费及搬运费等，运输杂费及搬运费根据</w:t>
            </w:r>
            <w:r>
              <w:rPr>
                <w:rFonts w:hint="eastAsia" w:ascii="宋体" w:hAnsi="宋体" w:eastAsia="宋体" w:cs="宋体"/>
                <w:b w:val="0"/>
                <w:bCs w:val="0"/>
                <w:color w:val="auto"/>
                <w:sz w:val="21"/>
                <w:szCs w:val="21"/>
                <w:highlight w:val="none"/>
                <w:lang w:val="en-US" w:eastAsia="zh-CN"/>
              </w:rPr>
              <w:t>合同</w:t>
            </w:r>
            <w:r>
              <w:rPr>
                <w:rFonts w:hint="eastAsia" w:ascii="宋体" w:hAnsi="宋体" w:eastAsia="宋体" w:cs="宋体"/>
                <w:color w:val="auto"/>
                <w:sz w:val="21"/>
                <w:szCs w:val="21"/>
                <w:highlight w:val="none"/>
              </w:rPr>
              <w:t>附件4《运输杂费及计费规则》和</w:t>
            </w:r>
            <w:r>
              <w:rPr>
                <w:rFonts w:hint="eastAsia" w:ascii="宋体" w:hAnsi="宋体" w:eastAsia="宋体" w:cs="宋体"/>
                <w:b w:val="0"/>
                <w:bCs w:val="0"/>
                <w:color w:val="auto"/>
                <w:sz w:val="21"/>
                <w:szCs w:val="21"/>
                <w:highlight w:val="none"/>
                <w:lang w:val="en-US" w:eastAsia="zh-CN"/>
              </w:rPr>
              <w:t>合同</w:t>
            </w:r>
            <w:r>
              <w:rPr>
                <w:rFonts w:hint="eastAsia" w:ascii="宋体" w:hAnsi="宋体" w:eastAsia="宋体" w:cs="宋体"/>
                <w:color w:val="auto"/>
                <w:sz w:val="21"/>
                <w:szCs w:val="21"/>
                <w:highlight w:val="none"/>
              </w:rPr>
              <w:t>附件7《运输单位搬运费分级标准》据实结算</w:t>
            </w:r>
            <w:r>
              <w:rPr>
                <w:rFonts w:hint="eastAsia" w:ascii="宋体" w:hAnsi="宋体" w:eastAsia="宋体" w:cs="宋体"/>
                <w:color w:val="auto"/>
                <w:sz w:val="21"/>
                <w:szCs w:val="21"/>
                <w:highlight w:val="none"/>
                <w:lang w:eastAsia="zh-CN"/>
              </w:rPr>
              <w:t>。</w:t>
            </w:r>
          </w:p>
          <w:p w14:paraId="345B6AB1">
            <w:pPr>
              <w:pStyle w:val="9"/>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本项目采用固定单价暂定总价方式报价，</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必须根据附件《</w:t>
            </w:r>
            <w:r>
              <w:rPr>
                <w:rFonts w:hint="eastAsia" w:ascii="宋体" w:hAnsi="宋体" w:eastAsia="宋体" w:cs="宋体"/>
                <w:color w:val="auto"/>
                <w:sz w:val="21"/>
                <w:szCs w:val="21"/>
                <w:highlight w:val="none"/>
                <w:lang w:val="en-US" w:eastAsia="zh-CN"/>
              </w:rPr>
              <w:t>危险废物运输费单价表</w:t>
            </w:r>
            <w:r>
              <w:rPr>
                <w:rFonts w:hint="eastAsia" w:ascii="宋体" w:hAnsi="宋体" w:eastAsia="宋体" w:cs="宋体"/>
                <w:color w:val="auto"/>
                <w:sz w:val="21"/>
                <w:szCs w:val="21"/>
                <w:highlight w:val="none"/>
              </w:rPr>
              <w:t>》规定的各标段、各区域、各车型的单价限价（元/车次）范围内进行报价（报价为含税价且保留至个位数），并结合相应的预计车次计算出暂定总价（含税价），即某标段所有区域各车型供应商所投运输单价报价与对应预计次数的乘积之和；</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必须严格按照附件《</w:t>
            </w:r>
            <w:r>
              <w:rPr>
                <w:rFonts w:hint="eastAsia" w:ascii="宋体" w:hAnsi="宋体" w:eastAsia="宋体" w:cs="宋体"/>
                <w:color w:val="auto"/>
                <w:sz w:val="21"/>
                <w:szCs w:val="21"/>
                <w:highlight w:val="none"/>
                <w:lang w:val="en-US" w:eastAsia="zh-CN"/>
              </w:rPr>
              <w:t>危险废物运输费单价表</w:t>
            </w:r>
            <w:r>
              <w:rPr>
                <w:rFonts w:hint="eastAsia" w:ascii="宋体" w:hAnsi="宋体" w:eastAsia="宋体" w:cs="宋体"/>
                <w:color w:val="auto"/>
                <w:sz w:val="21"/>
                <w:szCs w:val="21"/>
                <w:highlight w:val="none"/>
              </w:rPr>
              <w:t>》进行填写，漏写、错写或报价超过单价限价的，将被视为非实质性响应而予以投标无效处理。</w:t>
            </w:r>
          </w:p>
        </w:tc>
      </w:tr>
      <w:tr w14:paraId="0DA6B5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5753074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0FD3DEEB">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763A8D0F">
            <w:pPr>
              <w:keepNext w:val="0"/>
              <w:keepLines w:val="0"/>
              <w:pageBreakBefore w:val="0"/>
              <w:tabs>
                <w:tab w:val="center" w:pos="3125"/>
              </w:tabs>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自开标之日起90天。</w:t>
            </w:r>
          </w:p>
        </w:tc>
      </w:tr>
      <w:tr w14:paraId="79EB88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718" w:type="dxa"/>
            <w:vAlign w:val="center"/>
          </w:tcPr>
          <w:p w14:paraId="56CE7635">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1501" w:type="dxa"/>
            <w:vAlign w:val="center"/>
          </w:tcPr>
          <w:p w14:paraId="050F23D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3F8B27DC">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投标人实质响应合同各条款。</w:t>
            </w:r>
          </w:p>
        </w:tc>
      </w:tr>
    </w:tbl>
    <w:p w14:paraId="35E36FA6">
      <w:pPr>
        <w:rPr>
          <w:rFonts w:ascii="宋体" w:hAnsi="宋体"/>
          <w:color w:val="auto"/>
          <w:highlight w:val="none"/>
        </w:rPr>
      </w:pPr>
      <w:bookmarkStart w:id="13" w:name="_Toc19316"/>
      <w:r>
        <w:rPr>
          <w:rFonts w:hint="eastAsia" w:ascii="宋体" w:hAnsi="宋体"/>
          <w:color w:val="auto"/>
          <w:highlight w:val="none"/>
        </w:rPr>
        <w:br w:type="page"/>
      </w:r>
    </w:p>
    <w:p w14:paraId="3D7F310B">
      <w:pPr>
        <w:pStyle w:val="5"/>
        <w:spacing w:before="0" w:after="0" w:line="360" w:lineRule="auto"/>
        <w:jc w:val="center"/>
        <w:rPr>
          <w:color w:val="auto"/>
          <w:highlight w:val="none"/>
        </w:rPr>
      </w:pPr>
      <w:bookmarkStart w:id="14" w:name="_Toc25642"/>
      <w:r>
        <w:rPr>
          <w:rFonts w:hint="eastAsia" w:ascii="宋体" w:hAnsi="宋体"/>
          <w:color w:val="auto"/>
          <w:highlight w:val="none"/>
        </w:rPr>
        <w:t>第二章 技术需求书</w:t>
      </w:r>
      <w:bookmarkEnd w:id="13"/>
      <w:bookmarkEnd w:id="14"/>
    </w:p>
    <w:bookmarkEnd w:id="8"/>
    <w:p w14:paraId="43B790B2">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海心沙绿色工业服务项目自2020年12月24日顺利取得《危险废物经营许可证》起，已持续有序开展各项危废处理经营业务。为满足客户危险废物运输、贮存、处置一体化服务需求。为保障本项目运输工作安全、高效开展，我司需再次启动新一轮 “东莞市新东欣环保投资有限公司危险废物运输服务项目（莞惠区域）”采购工作；继续委托有危险废物运输资质且能提高质量服务的运输单位进行危废运输工作。现将相关情况介绍如下：</w:t>
      </w:r>
    </w:p>
    <w:p w14:paraId="50FF883D">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一、项目概况</w:t>
      </w:r>
    </w:p>
    <w:p w14:paraId="2175F40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东莞市新东欣环保投资有限公司（以下简称“我司”）成立于2018年4月，位于东莞市麻涌镇与洪梅镇交界的海心沙岛，是东莞市国有企业东实集团旗下环保产业的全资子公司，主要负责东莞市海心沙绿色工业服务项目（危险废物处置项目）的建设运营，业务涵盖危险废物处理处置、收集/暂存、综合利用，以及环境监测、技术咨询与服务。项目可暂存及处理38大类危险废物，处理能力共计</w:t>
      </w:r>
      <w:r>
        <w:rPr>
          <w:rFonts w:hint="eastAsia" w:ascii="宋体" w:hAnsi="宋体" w:eastAsia="宋体" w:cs="宋体"/>
          <w:color w:val="auto"/>
          <w:sz w:val="21"/>
          <w:szCs w:val="21"/>
          <w:highlight w:val="none"/>
          <w:lang w:val="en-US" w:eastAsia="zh-CN"/>
        </w:rPr>
        <w:t>32.309</w:t>
      </w:r>
      <w:r>
        <w:rPr>
          <w:rFonts w:hint="eastAsia" w:ascii="宋体" w:hAnsi="宋体" w:eastAsia="宋体" w:cs="宋体"/>
          <w:color w:val="auto"/>
          <w:sz w:val="21"/>
          <w:szCs w:val="21"/>
          <w:highlight w:val="none"/>
        </w:rPr>
        <w:t>万吨/年（包括：危险废物焚烧处置6万吨/年、工业废水物化处理</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万吨/年、废酸资源化0.5万/年</w:t>
      </w:r>
      <w:r>
        <w:rPr>
          <w:rFonts w:hint="eastAsia" w:ascii="宋体" w:hAnsi="宋体" w:eastAsia="宋体" w:cs="宋体"/>
          <w:color w:val="auto"/>
          <w:sz w:val="21"/>
          <w:szCs w:val="21"/>
          <w:highlight w:val="none"/>
          <w:lang w:eastAsia="zh-CN"/>
        </w:rPr>
        <w:t>、包装桶清洗0.24万</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eastAsia="zh-CN"/>
        </w:rPr>
        <w:t>、电池、灯管收集300吨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表面处理废物火法冶炼13.3万吨/年、</w:t>
      </w:r>
      <w:r>
        <w:rPr>
          <w:rFonts w:hint="eastAsia" w:ascii="宋体" w:hAnsi="宋体" w:eastAsia="宋体" w:cs="宋体"/>
          <w:color w:val="auto"/>
          <w:sz w:val="21"/>
          <w:szCs w:val="21"/>
          <w:highlight w:val="none"/>
          <w:lang w:val="en-US" w:eastAsia="zh-CN"/>
        </w:rPr>
        <w:t>铝灰渣1万吨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废矿物油综合利用5万吨/年、收集暂存资质1.239万吨/年）。</w:t>
      </w:r>
    </w:p>
    <w:p w14:paraId="3D82882E">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二、服务内容</w:t>
      </w:r>
    </w:p>
    <w:p w14:paraId="1C4A840C">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单位与我司签订《危险废物运输服务合同》，接受我司委托，为我司提供安全、准确、合规、高效的危险废物运输服务。我司根据《危险废物运输服务合同》及其附件，对运输服务进行考核并支付运输服务费用。</w:t>
      </w:r>
    </w:p>
    <w:p w14:paraId="1A25684C">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三、服务承接范围</w:t>
      </w:r>
    </w:p>
    <w:p w14:paraId="23842614">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（一）区域划分</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预算</w:t>
      </w:r>
    </w:p>
    <w:p w14:paraId="017D2748">
      <w:pPr>
        <w:keepNext w:val="0"/>
        <w:keepLines w:val="0"/>
        <w:pageBreakBefore w:val="0"/>
        <w:widowControl w:val="0"/>
        <w:kinsoku/>
        <w:wordWrap/>
        <w:overflowPunct/>
        <w:topLinePunct w:val="0"/>
        <w:autoSpaceDE/>
        <w:autoSpaceDN/>
        <w:bidi w:val="0"/>
        <w:adjustRightInd/>
        <w:snapToGrid/>
        <w:spacing w:line="46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项目范围</w:t>
      </w:r>
    </w:p>
    <w:p w14:paraId="57B806B2">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成交人负责</w:t>
      </w:r>
      <w:r>
        <w:rPr>
          <w:rFonts w:hint="eastAsia" w:ascii="宋体" w:hAnsi="宋体" w:eastAsia="宋体" w:cs="宋体"/>
          <w:color w:val="auto"/>
          <w:sz w:val="21"/>
          <w:szCs w:val="21"/>
          <w:highlight w:val="none"/>
          <w:lang w:val="en-US" w:eastAsia="zh-CN"/>
        </w:rPr>
        <w:t>莞惠</w:t>
      </w:r>
      <w:r>
        <w:rPr>
          <w:rFonts w:hint="eastAsia" w:ascii="宋体" w:hAnsi="宋体" w:eastAsia="宋体" w:cs="宋体"/>
          <w:color w:val="auto"/>
          <w:sz w:val="21"/>
          <w:szCs w:val="21"/>
          <w:highlight w:val="none"/>
        </w:rPr>
        <w:t>区域</w:t>
      </w:r>
      <w:r>
        <w:rPr>
          <w:rFonts w:hint="eastAsia" w:ascii="宋体" w:hAnsi="宋体" w:eastAsia="宋体" w:cs="宋体"/>
          <w:color w:val="auto"/>
          <w:sz w:val="21"/>
          <w:szCs w:val="21"/>
          <w:highlight w:val="none"/>
          <w:lang w:val="en-US" w:eastAsia="zh-CN"/>
        </w:rPr>
        <w:t>厢车</w:t>
      </w:r>
      <w:r>
        <w:rPr>
          <w:rFonts w:hint="eastAsia" w:ascii="宋体" w:hAnsi="宋体" w:eastAsia="宋体" w:cs="宋体"/>
          <w:color w:val="auto"/>
          <w:sz w:val="21"/>
          <w:szCs w:val="21"/>
          <w:highlight w:val="none"/>
        </w:rPr>
        <w:t>运输服务，具体区域划分详见附件1《</w:t>
      </w:r>
      <w:r>
        <w:rPr>
          <w:rFonts w:hint="eastAsia" w:ascii="宋体" w:hAnsi="宋体" w:eastAsia="宋体" w:cs="宋体"/>
          <w:color w:val="auto"/>
          <w:sz w:val="21"/>
          <w:szCs w:val="21"/>
          <w:highlight w:val="none"/>
          <w:lang w:val="en-US" w:eastAsia="zh-CN"/>
        </w:rPr>
        <w:t>莞惠区域详细报价区域</w:t>
      </w:r>
      <w:r>
        <w:rPr>
          <w:rFonts w:hint="eastAsia" w:ascii="宋体" w:hAnsi="宋体" w:eastAsia="宋体" w:cs="宋体"/>
          <w:color w:val="auto"/>
          <w:sz w:val="21"/>
          <w:szCs w:val="21"/>
          <w:highlight w:val="none"/>
        </w:rPr>
        <w:t>》，划分如下：</w:t>
      </w:r>
    </w:p>
    <w:tbl>
      <w:tblPr>
        <w:tblStyle w:val="30"/>
        <w:tblW w:w="4999" w:type="pct"/>
        <w:tblInd w:w="0" w:type="dxa"/>
        <w:tblLayout w:type="autofit"/>
        <w:tblCellMar>
          <w:top w:w="0" w:type="dxa"/>
          <w:left w:w="108" w:type="dxa"/>
          <w:bottom w:w="0" w:type="dxa"/>
          <w:right w:w="108" w:type="dxa"/>
        </w:tblCellMar>
      </w:tblPr>
      <w:tblGrid>
        <w:gridCol w:w="934"/>
        <w:gridCol w:w="1396"/>
        <w:gridCol w:w="6190"/>
      </w:tblGrid>
      <w:tr w14:paraId="2CBAD04B">
        <w:tblPrEx>
          <w:tblCellMar>
            <w:top w:w="0" w:type="dxa"/>
            <w:left w:w="108" w:type="dxa"/>
            <w:bottom w:w="0" w:type="dxa"/>
            <w:right w:w="108" w:type="dxa"/>
          </w:tblCellMar>
        </w:tblPrEx>
        <w:trPr>
          <w:trHeight w:val="600"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E058">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车型</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20A7E">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采购区域</w:t>
            </w:r>
          </w:p>
        </w:tc>
        <w:tc>
          <w:tcPr>
            <w:tcW w:w="3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CBF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详细说明</w:t>
            </w:r>
          </w:p>
        </w:tc>
      </w:tr>
      <w:tr w14:paraId="32F8CC8F">
        <w:tblPrEx>
          <w:tblCellMar>
            <w:top w:w="0" w:type="dxa"/>
            <w:left w:w="108" w:type="dxa"/>
            <w:bottom w:w="0" w:type="dxa"/>
            <w:right w:w="108" w:type="dxa"/>
          </w:tblCellMar>
        </w:tblPrEx>
        <w:trPr>
          <w:trHeight w:val="437"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3A708">
            <w:pPr>
              <w:keepNext w:val="0"/>
              <w:keepLines w:val="0"/>
              <w:pageBreakBefore w:val="0"/>
              <w:kinsoku/>
              <w:wordWrap/>
              <w:overflowPunct/>
              <w:topLinePunct w:val="0"/>
              <w:autoSpaceDE/>
              <w:autoSpaceDN/>
              <w:bidi w:val="0"/>
              <w:adjustRightInd/>
              <w:snapToGrid/>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厢车</w:t>
            </w:r>
          </w:p>
        </w:tc>
        <w:tc>
          <w:tcPr>
            <w:tcW w:w="8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CB46">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莞惠区域</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6BBD">
            <w:pPr>
              <w:keepNext w:val="0"/>
              <w:keepLines w:val="0"/>
              <w:pageBreakBefore w:val="0"/>
              <w:widowControl/>
              <w:kinsoku/>
              <w:wordWrap/>
              <w:overflowPunct/>
              <w:topLinePunct w:val="0"/>
              <w:autoSpaceDE/>
              <w:autoSpaceDN/>
              <w:bidi w:val="0"/>
              <w:adjustRightInd/>
              <w:snapToGrid/>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东莞、惠州（含以上城市限行区）</w:t>
            </w:r>
          </w:p>
        </w:tc>
      </w:tr>
    </w:tbl>
    <w:p w14:paraId="1F483EB0">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采购预算</w:t>
      </w:r>
    </w:p>
    <w:p w14:paraId="4E9A95F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本次采购自签订合同</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年，综合测评的本次招采购</w:t>
      </w:r>
      <w:r>
        <w:rPr>
          <w:rFonts w:hint="eastAsia" w:ascii="宋体" w:hAnsi="宋体" w:cs="宋体"/>
          <w:color w:val="auto"/>
          <w:sz w:val="21"/>
          <w:szCs w:val="21"/>
          <w:highlight w:val="none"/>
          <w:lang w:val="en-US" w:eastAsia="zh-CN"/>
        </w:rPr>
        <w:t>一</w:t>
      </w:r>
      <w:r>
        <w:rPr>
          <w:rFonts w:hint="eastAsia" w:ascii="宋体" w:hAnsi="宋体" w:eastAsia="宋体" w:cs="宋体"/>
          <w:color w:val="auto"/>
          <w:sz w:val="21"/>
          <w:szCs w:val="21"/>
          <w:highlight w:val="none"/>
          <w:lang w:val="en-US" w:eastAsia="zh-CN"/>
        </w:rPr>
        <w:t>年</w:t>
      </w:r>
      <w:r>
        <w:rPr>
          <w:rFonts w:hint="eastAsia" w:ascii="宋体" w:hAnsi="宋体" w:eastAsia="宋体" w:cs="宋体"/>
          <w:color w:val="auto"/>
          <w:sz w:val="21"/>
          <w:szCs w:val="21"/>
          <w:highlight w:val="none"/>
        </w:rPr>
        <w:t>预算约</w:t>
      </w:r>
      <w:r>
        <w:rPr>
          <w:rFonts w:hint="eastAsia" w:ascii="宋体" w:hAnsi="宋体" w:cs="宋体"/>
          <w:color w:val="auto"/>
          <w:sz w:val="21"/>
          <w:szCs w:val="21"/>
          <w:highlight w:val="none"/>
          <w:lang w:val="en-US" w:eastAsia="zh-CN"/>
        </w:rPr>
        <w:t>470</w:t>
      </w:r>
      <w:r>
        <w:rPr>
          <w:rFonts w:hint="eastAsia" w:ascii="宋体" w:hAnsi="宋体" w:eastAsia="宋体" w:cs="宋体"/>
          <w:color w:val="auto"/>
          <w:sz w:val="21"/>
          <w:szCs w:val="21"/>
          <w:highlight w:val="none"/>
        </w:rPr>
        <w:t>万元，采购区域的预算</w:t>
      </w:r>
      <w:r>
        <w:rPr>
          <w:rFonts w:hint="eastAsia" w:ascii="宋体" w:hAnsi="宋体" w:eastAsia="宋体" w:cs="宋体"/>
          <w:color w:val="auto"/>
          <w:sz w:val="21"/>
          <w:szCs w:val="21"/>
          <w:highlight w:val="none"/>
          <w:lang w:val="en-US" w:eastAsia="zh-CN"/>
        </w:rPr>
        <w:t>测算</w:t>
      </w:r>
      <w:r>
        <w:rPr>
          <w:rFonts w:hint="eastAsia" w:ascii="宋体" w:hAnsi="宋体" w:eastAsia="宋体" w:cs="宋体"/>
          <w:color w:val="auto"/>
          <w:sz w:val="21"/>
          <w:szCs w:val="21"/>
          <w:highlight w:val="none"/>
        </w:rPr>
        <w:t>如下所示：</w:t>
      </w:r>
    </w:p>
    <w:tbl>
      <w:tblPr>
        <w:tblStyle w:val="30"/>
        <w:tblW w:w="4998" w:type="pct"/>
        <w:tblInd w:w="0" w:type="dxa"/>
        <w:tblLayout w:type="autofit"/>
        <w:tblCellMar>
          <w:top w:w="0" w:type="dxa"/>
          <w:left w:w="108" w:type="dxa"/>
          <w:bottom w:w="0" w:type="dxa"/>
          <w:right w:w="108" w:type="dxa"/>
        </w:tblCellMar>
      </w:tblPr>
      <w:tblGrid>
        <w:gridCol w:w="808"/>
        <w:gridCol w:w="1367"/>
        <w:gridCol w:w="2487"/>
        <w:gridCol w:w="1928"/>
        <w:gridCol w:w="1929"/>
      </w:tblGrid>
      <w:tr w14:paraId="4F4FF0BF">
        <w:tblPrEx>
          <w:tblCellMar>
            <w:top w:w="0" w:type="dxa"/>
            <w:left w:w="108" w:type="dxa"/>
            <w:bottom w:w="0" w:type="dxa"/>
            <w:right w:w="108" w:type="dxa"/>
          </w:tblCellMar>
        </w:tblPrEx>
        <w:trPr>
          <w:trHeight w:val="600" w:hRule="atLeast"/>
          <w:tblHeader/>
        </w:trPr>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F1B6C">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车型</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930CA">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采购区域</w:t>
            </w:r>
          </w:p>
        </w:tc>
        <w:tc>
          <w:tcPr>
            <w:tcW w:w="14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B88A">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区域预算（万元）</w:t>
            </w:r>
          </w:p>
        </w:tc>
        <w:tc>
          <w:tcPr>
            <w:tcW w:w="11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F4755">
            <w:pPr>
              <w:widowControl/>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合同期（年）</w:t>
            </w:r>
          </w:p>
        </w:tc>
        <w:tc>
          <w:tcPr>
            <w:tcW w:w="11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B55D9">
            <w:pPr>
              <w:widowControl/>
              <w:jc w:val="center"/>
              <w:textAlignment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合计</w:t>
            </w:r>
            <w:r>
              <w:rPr>
                <w:rFonts w:hint="eastAsia" w:ascii="宋体" w:hAnsi="宋体" w:eastAsia="宋体" w:cs="宋体"/>
                <w:b/>
                <w:bCs/>
                <w:color w:val="auto"/>
                <w:sz w:val="21"/>
                <w:szCs w:val="21"/>
                <w:highlight w:val="none"/>
              </w:rPr>
              <w:t>（万元）</w:t>
            </w:r>
          </w:p>
        </w:tc>
      </w:tr>
      <w:tr w14:paraId="5CE48F47">
        <w:tblPrEx>
          <w:tblCellMar>
            <w:top w:w="0" w:type="dxa"/>
            <w:left w:w="108" w:type="dxa"/>
            <w:bottom w:w="0" w:type="dxa"/>
            <w:right w:w="108" w:type="dxa"/>
          </w:tblCellMar>
        </w:tblPrEx>
        <w:trPr>
          <w:trHeight w:val="466" w:hRule="atLeast"/>
        </w:trPr>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9F1F">
            <w:pPr>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厢车</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D4360">
            <w:pPr>
              <w:widowControl/>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莞惠区域</w:t>
            </w:r>
          </w:p>
        </w:tc>
        <w:tc>
          <w:tcPr>
            <w:tcW w:w="14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91FAF">
            <w:pPr>
              <w:keepNext w:val="0"/>
              <w:keepLines w:val="0"/>
              <w:widowControl/>
              <w:suppressLineNumbers w:val="0"/>
              <w:jc w:val="center"/>
              <w:textAlignment w:val="center"/>
              <w:rPr>
                <w:rFonts w:hint="eastAsia" w:ascii="宋体" w:hAnsi="宋体" w:eastAsia="宋体" w:cs="宋体"/>
                <w:color w:val="auto"/>
                <w:sz w:val="21"/>
                <w:szCs w:val="21"/>
                <w:highlight w:val="none"/>
                <w:lang w:val="en-US"/>
              </w:rPr>
            </w:pPr>
            <w:r>
              <w:rPr>
                <w:rFonts w:hint="eastAsia" w:ascii="宋体" w:hAnsi="宋体" w:eastAsia="宋体" w:cs="宋体"/>
                <w:i w:val="0"/>
                <w:iCs w:val="0"/>
                <w:color w:val="auto"/>
                <w:kern w:val="0"/>
                <w:sz w:val="21"/>
                <w:szCs w:val="21"/>
                <w:highlight w:val="none"/>
                <w:u w:val="none"/>
                <w:lang w:val="en-US" w:eastAsia="zh-CN" w:bidi="ar"/>
              </w:rPr>
              <w:t>470</w:t>
            </w:r>
          </w:p>
        </w:tc>
        <w:tc>
          <w:tcPr>
            <w:tcW w:w="11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6442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11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086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470</w:t>
            </w:r>
          </w:p>
        </w:tc>
      </w:tr>
    </w:tbl>
    <w:p w14:paraId="18ED2C37">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（二）采购说明</w:t>
      </w:r>
    </w:p>
    <w:p w14:paraId="38A8C167">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color w:val="auto"/>
          <w:sz w:val="21"/>
          <w:szCs w:val="21"/>
          <w:highlight w:val="none"/>
          <w:lang w:val="en-US" w:eastAsia="zh-CN"/>
        </w:rPr>
        <w:t>本项目成交</w:t>
      </w:r>
      <w:r>
        <w:rPr>
          <w:rFonts w:hint="eastAsia" w:ascii="宋体" w:hAnsi="宋体" w:eastAsia="宋体" w:cs="宋体"/>
          <w:color w:val="auto"/>
          <w:sz w:val="21"/>
          <w:szCs w:val="21"/>
          <w:highlight w:val="none"/>
        </w:rPr>
        <w:t>2家服务单位，以“一用一备，优先使用最低价服务单位”的派单原则开展服务，</w:t>
      </w:r>
      <w:r>
        <w:rPr>
          <w:rFonts w:hint="eastAsia" w:ascii="宋体" w:hAnsi="宋体" w:eastAsia="宋体" w:cs="宋体"/>
          <w:b/>
          <w:bCs/>
          <w:color w:val="auto"/>
          <w:sz w:val="21"/>
          <w:szCs w:val="21"/>
          <w:highlight w:val="none"/>
        </w:rPr>
        <w:t>若成交人产生跳单</w:t>
      </w:r>
      <w:r>
        <w:rPr>
          <w:rFonts w:hint="eastAsia" w:ascii="宋体" w:hAnsi="宋体" w:eastAsia="宋体" w:cs="宋体"/>
          <w:b/>
          <w:bCs/>
          <w:color w:val="auto"/>
          <w:sz w:val="21"/>
          <w:szCs w:val="21"/>
          <w:highlight w:val="none"/>
          <w:lang w:val="en-US" w:eastAsia="zh-CN"/>
        </w:rPr>
        <w:t>或被投诉</w:t>
      </w:r>
      <w:r>
        <w:rPr>
          <w:rFonts w:hint="eastAsia" w:ascii="宋体" w:hAnsi="宋体" w:eastAsia="宋体" w:cs="宋体"/>
          <w:b/>
          <w:bCs/>
          <w:color w:val="auto"/>
          <w:sz w:val="21"/>
          <w:szCs w:val="21"/>
          <w:highlight w:val="none"/>
        </w:rPr>
        <w:t>情况，采购人有权降低给其的派单数量</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情节严重者，将停止派单处理</w:t>
      </w:r>
      <w:r>
        <w:rPr>
          <w:rFonts w:hint="eastAsia" w:ascii="宋体" w:hAnsi="宋体" w:eastAsia="宋体" w:cs="宋体"/>
          <w:b/>
          <w:bCs/>
          <w:color w:val="auto"/>
          <w:sz w:val="21"/>
          <w:szCs w:val="21"/>
          <w:highlight w:val="none"/>
        </w:rPr>
        <w:t>。</w:t>
      </w:r>
    </w:p>
    <w:p w14:paraId="76E9BE4E">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四、用户需求</w:t>
      </w:r>
    </w:p>
    <w:p w14:paraId="72F562AA">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微软雅黑" w:hAnsi="微软雅黑" w:eastAsia="微软雅黑" w:cs="微软雅黑"/>
          <w:b/>
          <w:bCs/>
          <w:color w:val="auto"/>
          <w:sz w:val="28"/>
          <w:szCs w:val="28"/>
          <w:highlight w:val="none"/>
        </w:rPr>
        <w:t>★</w:t>
      </w:r>
      <w:r>
        <w:rPr>
          <w:rFonts w:hint="eastAsia" w:ascii="宋体" w:hAnsi="宋体" w:eastAsia="宋体" w:cs="宋体"/>
          <w:b/>
          <w:bCs/>
          <w:color w:val="auto"/>
          <w:sz w:val="21"/>
          <w:szCs w:val="21"/>
          <w:highlight w:val="none"/>
          <w:lang w:val="en-US" w:eastAsia="zh-CN"/>
        </w:rPr>
        <w:t>（一）运力需求</w:t>
      </w:r>
    </w:p>
    <w:p w14:paraId="4526900E">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结合年度派单情况，综合淡旺季需求考虑，预计日用车约20-40车次（仅供参考，最终以实际用车情况为准），要求响应人为本项目配备车辆包括：不少于1台5.2米厢车，不少于1台7.6米厢车，不少于2台9.6米厢车和不少于1台12.5米挂网，最终以实际用车需求为准。</w:t>
      </w:r>
    </w:p>
    <w:p w14:paraId="6E24DAF0">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（二）服务需求</w:t>
      </w:r>
    </w:p>
    <w:p w14:paraId="197985DB">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投标人</w:t>
      </w:r>
      <w:r>
        <w:rPr>
          <w:rFonts w:hint="eastAsia" w:ascii="宋体" w:hAnsi="宋体" w:eastAsia="宋体" w:cs="宋体"/>
          <w:color w:val="auto"/>
          <w:kern w:val="2"/>
          <w:sz w:val="21"/>
          <w:szCs w:val="21"/>
          <w:highlight w:val="none"/>
          <w:lang w:val="en-US" w:eastAsia="zh-CN" w:bidi="ar-SA"/>
        </w:rPr>
        <w:t>需为本项目配备足够的服务人员，其中驾驶员、押运员及其他危险废物从业人员（包括调度、后勤、管理）</w:t>
      </w:r>
      <w:r>
        <w:rPr>
          <w:rFonts w:hint="eastAsia" w:ascii="宋体" w:hAnsi="宋体" w:cs="宋体"/>
          <w:color w:val="auto"/>
          <w:kern w:val="2"/>
          <w:sz w:val="21"/>
          <w:szCs w:val="21"/>
          <w:highlight w:val="none"/>
          <w:lang w:val="en-US" w:eastAsia="zh-CN" w:bidi="ar-SA"/>
        </w:rPr>
        <w:t>等</w:t>
      </w:r>
      <w:r>
        <w:rPr>
          <w:rFonts w:hint="eastAsia" w:ascii="宋体" w:hAnsi="宋体" w:eastAsia="宋体" w:cs="宋体"/>
          <w:color w:val="auto"/>
          <w:kern w:val="2"/>
          <w:sz w:val="21"/>
          <w:szCs w:val="21"/>
          <w:highlight w:val="none"/>
          <w:lang w:val="en-US" w:eastAsia="zh-CN" w:bidi="ar-SA"/>
        </w:rPr>
        <w:t>，并对本项目相关服务人员购买相应的保险。</w:t>
      </w:r>
    </w:p>
    <w:p w14:paraId="4D929A1C">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（三）管理要求</w:t>
      </w:r>
    </w:p>
    <w:p w14:paraId="4E05B690">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需拥有应急管理能力，包括但不限于对废物</w:t>
      </w:r>
      <w:r>
        <w:rPr>
          <w:rFonts w:hint="eastAsia" w:ascii="宋体" w:hAnsi="宋体" w:cs="宋体"/>
          <w:color w:val="auto"/>
          <w:sz w:val="21"/>
          <w:szCs w:val="21"/>
          <w:highlight w:val="none"/>
          <w:lang w:val="en-US" w:eastAsia="zh-CN"/>
        </w:rPr>
        <w:t>泄漏</w:t>
      </w:r>
      <w:r>
        <w:rPr>
          <w:rFonts w:hint="eastAsia" w:ascii="宋体" w:hAnsi="宋体" w:eastAsia="宋体" w:cs="宋体"/>
          <w:color w:val="auto"/>
          <w:sz w:val="21"/>
          <w:szCs w:val="21"/>
          <w:highlight w:val="none"/>
          <w:lang w:val="en-US" w:eastAsia="zh-CN"/>
        </w:rPr>
        <w:t>、冒烟反应、着火、恶劣天气、交通事故、车辆故障和防疫等情形制定相应的应急预案。</w:t>
      </w:r>
    </w:p>
    <w:p w14:paraId="0D4C0121">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需定期对服务人员开展培训，内容包括但不限于异常情况处置、车辆故障处理、沟通技巧及打包装卸服务规范等。</w:t>
      </w:r>
    </w:p>
    <w:p w14:paraId="34E536A3">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（四）其他要求</w:t>
      </w:r>
    </w:p>
    <w:p w14:paraId="18DF3DED">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需拥有（除省固废平台外）自有的或享有使用权的独立软件或平台，包括但不限于满足实时车辆位置跟踪和视频监控功能。</w:t>
      </w:r>
    </w:p>
    <w:p w14:paraId="0FADEE9D">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五、其他要求</w:t>
      </w:r>
    </w:p>
    <w:p w14:paraId="15E8A234">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color w:val="auto"/>
          <w:sz w:val="21"/>
          <w:szCs w:val="21"/>
          <w:highlight w:val="none"/>
        </w:rPr>
      </w:pPr>
      <w:r>
        <w:rPr>
          <w:rFonts w:hint="eastAsia" w:ascii="微软雅黑" w:hAnsi="微软雅黑" w:eastAsia="微软雅黑" w:cs="微软雅黑"/>
          <w:b/>
          <w:bCs/>
          <w:color w:val="auto"/>
          <w:sz w:val="28"/>
          <w:szCs w:val="28"/>
          <w:highlight w:val="none"/>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需要为危险废物装卸提供必要设备支持，包含</w:t>
      </w:r>
      <w:r>
        <w:rPr>
          <w:rFonts w:hint="eastAsia" w:ascii="宋体" w:hAnsi="宋体" w:eastAsia="宋体" w:cs="宋体"/>
          <w:b/>
          <w:bCs/>
          <w:color w:val="auto"/>
          <w:sz w:val="21"/>
          <w:szCs w:val="21"/>
          <w:highlight w:val="none"/>
        </w:rPr>
        <w:t>升降尾板、手动（电动）叉车、电子叉车秤、抽液设备及管道</w:t>
      </w:r>
      <w:r>
        <w:rPr>
          <w:rFonts w:hint="eastAsia" w:ascii="宋体" w:hAnsi="宋体" w:eastAsia="宋体" w:cs="宋体"/>
          <w:color w:val="auto"/>
          <w:sz w:val="21"/>
          <w:szCs w:val="21"/>
          <w:highlight w:val="none"/>
        </w:rPr>
        <w:t>。</w:t>
      </w:r>
    </w:p>
    <w:p w14:paraId="599D6C96">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须在中标后提供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驾驶员</w:t>
      </w:r>
      <w:r>
        <w:rPr>
          <w:rFonts w:hint="eastAsia" w:ascii="宋体" w:hAnsi="宋体" w:eastAsia="宋体" w:cs="宋体"/>
          <w:color w:val="auto"/>
          <w:sz w:val="21"/>
          <w:szCs w:val="21"/>
          <w:highlight w:val="none"/>
        </w:rPr>
        <w:t>、押运员、车辆购买保险（含强制险，商业险、承运险及第三者责任险累计不低于200万等）。</w:t>
      </w:r>
    </w:p>
    <w:p w14:paraId="4650FAC7">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车辆设施设备完整、车辆必须配置各项应急物资并确保物资及车辆资质证件在期有效，包括但不限于以下：GPS、消防设施、防泄漏物、营运证资等。</w:t>
      </w:r>
    </w:p>
    <w:p w14:paraId="483E488A">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人员管理：运输人员相关从业资质及证件在期有效。</w:t>
      </w:r>
    </w:p>
    <w:p w14:paraId="0ED51F96">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过程管控：废物运输途中，必须符合国家有关环保法规要求，运输单位对废物运输过程发生的任何环境污染事故承担法律责任。</w:t>
      </w:r>
    </w:p>
    <w:p w14:paraId="3EDC924B">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.收运人员培训与能力要求</w:t>
      </w:r>
      <w:r>
        <w:rPr>
          <w:rFonts w:hint="eastAsia" w:ascii="宋体" w:hAnsi="宋体" w:eastAsia="宋体" w:cs="宋体"/>
          <w:color w:val="auto"/>
          <w:sz w:val="21"/>
          <w:szCs w:val="21"/>
          <w:highlight w:val="none"/>
          <w:lang w:val="en-US" w:eastAsia="zh-CN"/>
        </w:rPr>
        <w:t>：建立完善的收运人员培训体系，并提交对应的培训计划、教材和培训记录，</w:t>
      </w:r>
      <w:r>
        <w:rPr>
          <w:rFonts w:hint="eastAsia" w:ascii="宋体" w:hAnsi="宋体" w:eastAsia="宋体" w:cs="宋体"/>
          <w:color w:val="auto"/>
          <w:sz w:val="21"/>
          <w:szCs w:val="21"/>
          <w:highlight w:val="none"/>
        </w:rPr>
        <w:t>培训内容须全面涵盖异常情况处理、车辆故障处理、沟通技巧及打包装卸服务规范等方面。收运人员对客户现场危险废物有初步的识别和判断，具备识别我司下达派车单列表中所列危废名称与客户现场危废的一致性，种类及数量的符合性、包装的规范性、废物标签的完整性。</w:t>
      </w:r>
    </w:p>
    <w:p w14:paraId="092C23E3">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其他服务质量要求</w:t>
      </w:r>
    </w:p>
    <w:p w14:paraId="1D5B9D0D">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严格遵守采购人及其客户现场要求，不得违反相关规定</w:t>
      </w:r>
      <w:r>
        <w:rPr>
          <w:rFonts w:hint="eastAsia" w:ascii="宋体" w:hAnsi="宋体" w:eastAsia="宋体" w:cs="宋体"/>
          <w:color w:val="auto"/>
          <w:sz w:val="21"/>
          <w:szCs w:val="21"/>
          <w:highlight w:val="none"/>
          <w:lang w:eastAsia="zh-CN"/>
        </w:rPr>
        <w:t>。</w:t>
      </w:r>
    </w:p>
    <w:p w14:paraId="3F894036">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必须仔细阅读《东莞市新东欣环保投资有限公司承运单位违规行为处罚条款》，必须认可并接受采购人制定的违规处罚条款；违规行为将根据《东莞市新东欣环保投资有限公司承运单位违规行为处罚条款》进行处罚</w:t>
      </w:r>
      <w:r>
        <w:rPr>
          <w:rFonts w:hint="eastAsia" w:ascii="宋体" w:hAnsi="宋体" w:eastAsia="宋体" w:cs="宋体"/>
          <w:color w:val="auto"/>
          <w:sz w:val="21"/>
          <w:szCs w:val="21"/>
          <w:highlight w:val="none"/>
          <w:lang w:eastAsia="zh-CN"/>
        </w:rPr>
        <w:t>。</w:t>
      </w:r>
    </w:p>
    <w:p w14:paraId="63848013">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成交人根据采购人提供的整改意见，限时整改；成交人可根据实际情况进行举证，经查确不属成交人责任的，免</w:t>
      </w:r>
      <w:r>
        <w:rPr>
          <w:rFonts w:hint="eastAsia" w:ascii="宋体" w:hAnsi="宋体" w:cs="宋体"/>
          <w:color w:val="auto"/>
          <w:sz w:val="21"/>
          <w:szCs w:val="21"/>
          <w:highlight w:val="none"/>
          <w:lang w:val="en-US" w:eastAsia="zh-CN"/>
        </w:rPr>
        <w:t>予</w:t>
      </w:r>
      <w:r>
        <w:rPr>
          <w:rFonts w:hint="eastAsia" w:ascii="宋体" w:hAnsi="宋体" w:eastAsia="宋体" w:cs="宋体"/>
          <w:color w:val="auto"/>
          <w:sz w:val="21"/>
          <w:szCs w:val="21"/>
          <w:highlight w:val="none"/>
        </w:rPr>
        <w:t>处罚</w:t>
      </w:r>
      <w:r>
        <w:rPr>
          <w:rFonts w:hint="eastAsia" w:ascii="宋体" w:hAnsi="宋体" w:eastAsia="宋体" w:cs="宋体"/>
          <w:color w:val="auto"/>
          <w:sz w:val="21"/>
          <w:szCs w:val="21"/>
          <w:highlight w:val="none"/>
          <w:lang w:eastAsia="zh-CN"/>
        </w:rPr>
        <w:t>。</w:t>
      </w:r>
    </w:p>
    <w:p w14:paraId="602F1D17">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携带包装物、处罚标准、装卸费，采购人有最终解释权</w:t>
      </w:r>
      <w:r>
        <w:rPr>
          <w:rFonts w:hint="eastAsia" w:ascii="宋体" w:hAnsi="宋体" w:eastAsia="宋体" w:cs="宋体"/>
          <w:color w:val="auto"/>
          <w:sz w:val="21"/>
          <w:szCs w:val="21"/>
          <w:highlight w:val="none"/>
          <w:lang w:eastAsia="zh-CN"/>
        </w:rPr>
        <w:t>。</w:t>
      </w:r>
    </w:p>
    <w:p w14:paraId="12937029">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必须具有清晰的公司管理组织架构及权责划分，须提供《道路危险货物运输管理规定》要求的安全生产管理制度、危险货物道路运输事故应急预案、安全生产操作规程</w:t>
      </w:r>
      <w:r>
        <w:rPr>
          <w:rFonts w:hint="eastAsia" w:ascii="宋体" w:hAnsi="宋体" w:eastAsia="宋体" w:cs="宋体"/>
          <w:color w:val="auto"/>
          <w:sz w:val="21"/>
          <w:szCs w:val="21"/>
          <w:highlight w:val="none"/>
          <w:lang w:eastAsia="zh-CN"/>
        </w:rPr>
        <w:t>。</w:t>
      </w:r>
    </w:p>
    <w:p w14:paraId="312DCA1C">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六</w:t>
      </w:r>
      <w:r>
        <w:rPr>
          <w:rFonts w:hint="eastAsia" w:ascii="宋体" w:hAnsi="宋体" w:eastAsia="宋体" w:cs="宋体"/>
          <w:b/>
          <w:bCs/>
          <w:color w:val="auto"/>
          <w:sz w:val="21"/>
          <w:szCs w:val="21"/>
          <w:highlight w:val="none"/>
          <w:lang w:val="en-US" w:eastAsia="zh-CN"/>
        </w:rPr>
        <w:t>、服务要求</w:t>
      </w:r>
    </w:p>
    <w:p w14:paraId="568CC025">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成交人在非不可抗力因素下均须无条件响应采购人派单需求（</w:t>
      </w:r>
      <w:r>
        <w:rPr>
          <w:rFonts w:hint="eastAsia" w:ascii="宋体" w:hAnsi="宋体" w:eastAsia="宋体" w:cs="宋体"/>
          <w:b/>
          <w:bCs/>
          <w:color w:val="auto"/>
          <w:sz w:val="21"/>
          <w:szCs w:val="21"/>
          <w:highlight w:val="none"/>
        </w:rPr>
        <w:t>含成交区域的限行区域</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如惠州市石化区和东莞市松山湖园区</w:t>
      </w:r>
      <w:r>
        <w:rPr>
          <w:rFonts w:hint="eastAsia" w:ascii="宋体" w:hAnsi="宋体" w:eastAsia="宋体" w:cs="宋体"/>
          <w:color w:val="auto"/>
          <w:sz w:val="21"/>
          <w:szCs w:val="21"/>
          <w:highlight w:val="none"/>
        </w:rPr>
        <w:t>），不能</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采购人运输服务需求的</w:t>
      </w:r>
      <w:r>
        <w:rPr>
          <w:rFonts w:hint="eastAsia" w:ascii="宋体" w:hAnsi="宋体" w:eastAsia="宋体" w:cs="宋体"/>
          <w:color w:val="auto"/>
          <w:sz w:val="21"/>
          <w:szCs w:val="21"/>
          <w:highlight w:val="none"/>
          <w:lang w:val="en-US" w:eastAsia="zh-CN"/>
        </w:rPr>
        <w:t>行为均</w:t>
      </w:r>
      <w:r>
        <w:rPr>
          <w:rFonts w:hint="eastAsia" w:ascii="宋体" w:hAnsi="宋体" w:eastAsia="宋体" w:cs="宋体"/>
          <w:color w:val="auto"/>
          <w:sz w:val="21"/>
          <w:szCs w:val="21"/>
          <w:highlight w:val="none"/>
        </w:rPr>
        <w:t>视为跳单。采购区域需求优先最低价成交人。</w:t>
      </w:r>
    </w:p>
    <w:p w14:paraId="6E979595">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（一）响应要求</w:t>
      </w:r>
    </w:p>
    <w:p w14:paraId="5CE3CE5F">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1.派单时间：正常情况下，采购人提前1个日历日派单；有突发情况下（派单当天有收运需求），采购人提前2小时派单。</w:t>
      </w:r>
    </w:p>
    <w:p w14:paraId="0CBEB18A">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2.派单形式：采购人以书面形式（包括但不限于以 QQ、微信、短信、Email等形式）向成交人发出收运指令，内容包含：所有需收运服务的客户的收运时间、提货单位及地点、运输车型、危险废物名称、数量、收运联系人、联系电话、所需工具等信息。</w:t>
      </w:r>
    </w:p>
    <w:p w14:paraId="6F981125">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3.响应要求：成交人接到采购人收运指令时，应在1个小时内响应是否能够承运。成交人确认承运后，须在 3个小时内按采购人收运指令安排人员和车辆，并以文字形式（包含但不限于以 QQ、微信、短信、Email 等）告知采购人该运输车辆的车牌号、车辆型号、司机姓名等信息，并准备好承运单等单据。如果成交人确认承运后取消的，或在规定时间内未作出响应，计入相应的考核扣分（不可抗力除外）。若因成交人原因导致采购人不得不自行解决运输导致运费超支的，超支部分由</w:t>
      </w:r>
      <w:r>
        <w:rPr>
          <w:rFonts w:hint="eastAsia" w:ascii="宋体" w:hAnsi="宋体" w:cs="宋体"/>
          <w:color w:val="auto"/>
          <w:sz w:val="21"/>
          <w:szCs w:val="21"/>
          <w:highlight w:val="none"/>
          <w:lang w:val="en-US" w:eastAsia="zh-CN"/>
        </w:rPr>
        <w:t>成交人</w:t>
      </w:r>
      <w:r>
        <w:rPr>
          <w:rFonts w:hint="default" w:ascii="宋体" w:hAnsi="宋体" w:cs="宋体"/>
          <w:color w:val="auto"/>
          <w:sz w:val="21"/>
          <w:szCs w:val="21"/>
          <w:highlight w:val="none"/>
          <w:lang w:val="en-US" w:eastAsia="zh-CN"/>
        </w:rPr>
        <w:t>承担（不可抗力除外）。</w:t>
      </w:r>
    </w:p>
    <w:p w14:paraId="4E19BA55">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★4.限行区域：合同服务期内，成交人必须具有惠州市石化区通行证。成交人须在投标时提供惠州市石化区的通行证（加盖公章），如非自有车辆需提供合作合同（加盖公章）。</w:t>
      </w:r>
    </w:p>
    <w:p w14:paraId="2A325683">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二</w:t>
      </w:r>
      <w:r>
        <w:rPr>
          <w:rFonts w:hint="eastAsia" w:ascii="宋体" w:hAnsi="宋体" w:eastAsia="宋体" w:cs="宋体"/>
          <w:b/>
          <w:bCs/>
          <w:color w:val="auto"/>
          <w:sz w:val="21"/>
          <w:szCs w:val="21"/>
          <w:highlight w:val="none"/>
        </w:rPr>
        <w:t>）顺路拼车运输</w:t>
      </w:r>
    </w:p>
    <w:p w14:paraId="2C006AB8">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按该车次最远地址运费单价为准结算基础运费，拼车费用另计。同一工业园区的不同客户，不计算拼车费；不同工业园区，</w:t>
      </w:r>
      <w:r>
        <w:rPr>
          <w:rFonts w:hint="eastAsia" w:ascii="宋体" w:hAnsi="宋体" w:eastAsia="宋体" w:cs="宋体"/>
          <w:b/>
          <w:bCs/>
          <w:color w:val="auto"/>
          <w:sz w:val="21"/>
          <w:szCs w:val="21"/>
          <w:highlight w:val="none"/>
        </w:rPr>
        <w:t>同一“区/县/镇”</w:t>
      </w:r>
      <w:r>
        <w:rPr>
          <w:rFonts w:hint="eastAsia" w:ascii="宋体" w:hAnsi="宋体" w:eastAsia="宋体" w:cs="宋体"/>
          <w:color w:val="auto"/>
          <w:sz w:val="21"/>
          <w:szCs w:val="21"/>
          <w:highlight w:val="none"/>
        </w:rPr>
        <w:t>按100元/家计算拼车费；</w:t>
      </w:r>
      <w:r>
        <w:rPr>
          <w:rFonts w:hint="eastAsia" w:ascii="宋体" w:hAnsi="宋体" w:eastAsia="宋体" w:cs="宋体"/>
          <w:b/>
          <w:bCs/>
          <w:color w:val="auto"/>
          <w:sz w:val="21"/>
          <w:szCs w:val="21"/>
          <w:highlight w:val="none"/>
        </w:rPr>
        <w:t>不同“区/县/镇”</w:t>
      </w:r>
      <w:r>
        <w:rPr>
          <w:rFonts w:hint="eastAsia" w:ascii="宋体" w:hAnsi="宋体" w:eastAsia="宋体" w:cs="宋体"/>
          <w:color w:val="auto"/>
          <w:sz w:val="21"/>
          <w:szCs w:val="21"/>
          <w:highlight w:val="none"/>
        </w:rPr>
        <w:t>按150元/家计算拼车费。拼车收运不受成交区域限制，按最远地址委派该区域成交人。</w:t>
      </w:r>
      <w:r>
        <w:rPr>
          <w:rFonts w:hint="eastAsia" w:ascii="宋体" w:hAnsi="宋体" w:eastAsia="宋体" w:cs="宋体"/>
          <w:b w:val="0"/>
          <w:bCs w:val="0"/>
          <w:color w:val="auto"/>
          <w:sz w:val="21"/>
          <w:szCs w:val="21"/>
          <w:highlight w:val="none"/>
        </w:rPr>
        <w:t>“区/县/镇”</w:t>
      </w:r>
      <w:r>
        <w:rPr>
          <w:rFonts w:hint="eastAsia" w:ascii="宋体" w:hAnsi="宋体" w:eastAsia="宋体" w:cs="宋体"/>
          <w:b w:val="0"/>
          <w:bCs w:val="0"/>
          <w:color w:val="auto"/>
          <w:sz w:val="21"/>
          <w:szCs w:val="21"/>
          <w:highlight w:val="none"/>
          <w:lang w:eastAsia="zh-CN"/>
        </w:rPr>
        <w:t>的</w:t>
      </w:r>
      <w:r>
        <w:rPr>
          <w:rFonts w:hint="eastAsia" w:ascii="宋体" w:hAnsi="宋体" w:eastAsia="宋体" w:cs="宋体"/>
          <w:b w:val="0"/>
          <w:bCs w:val="0"/>
          <w:color w:val="auto"/>
          <w:sz w:val="21"/>
          <w:szCs w:val="21"/>
          <w:highlight w:val="none"/>
          <w:lang w:val="en-US" w:eastAsia="zh-CN"/>
        </w:rPr>
        <w:t>定义以报价单的</w:t>
      </w:r>
      <w:r>
        <w:rPr>
          <w:rFonts w:hint="eastAsia" w:ascii="宋体" w:hAnsi="宋体" w:eastAsia="宋体" w:cs="宋体"/>
          <w:b w:val="0"/>
          <w:bCs w:val="0"/>
          <w:color w:val="auto"/>
          <w:sz w:val="21"/>
          <w:szCs w:val="21"/>
          <w:highlight w:val="none"/>
        </w:rPr>
        <w:t>“区/县/镇”</w:t>
      </w:r>
      <w:r>
        <w:rPr>
          <w:rFonts w:hint="eastAsia" w:ascii="宋体" w:hAnsi="宋体" w:eastAsia="宋体" w:cs="宋体"/>
          <w:b w:val="0"/>
          <w:bCs w:val="0"/>
          <w:color w:val="auto"/>
          <w:sz w:val="21"/>
          <w:szCs w:val="21"/>
          <w:highlight w:val="none"/>
          <w:lang w:val="en-US" w:eastAsia="zh-CN"/>
        </w:rPr>
        <w:t>划分为准。</w:t>
      </w:r>
    </w:p>
    <w:p w14:paraId="75725617">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三</w:t>
      </w:r>
      <w:r>
        <w:rPr>
          <w:rFonts w:hint="eastAsia" w:ascii="宋体" w:hAnsi="宋体" w:eastAsia="宋体" w:cs="宋体"/>
          <w:b/>
          <w:bCs/>
          <w:color w:val="auto"/>
          <w:sz w:val="21"/>
          <w:szCs w:val="21"/>
          <w:highlight w:val="none"/>
        </w:rPr>
        <w:t>）杂费及搬运费</w:t>
      </w:r>
    </w:p>
    <w:p w14:paraId="6C139730">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涉及其他杂费内容按《运输杂费及计费规则》执行；涉及收运现场需进行搬运的费用</w:t>
      </w:r>
      <w:r>
        <w:rPr>
          <w:rFonts w:hint="eastAsia" w:ascii="宋体" w:hAnsi="宋体" w:cs="宋体"/>
          <w:color w:val="auto"/>
          <w:sz w:val="21"/>
          <w:szCs w:val="21"/>
          <w:highlight w:val="none"/>
          <w:lang w:val="en-US" w:eastAsia="zh-CN"/>
        </w:rPr>
        <w:t>按</w:t>
      </w:r>
      <w:r>
        <w:rPr>
          <w:rFonts w:hint="eastAsia" w:ascii="宋体" w:hAnsi="宋体" w:eastAsia="宋体" w:cs="宋体"/>
          <w:color w:val="auto"/>
          <w:sz w:val="21"/>
          <w:szCs w:val="21"/>
          <w:highlight w:val="none"/>
        </w:rPr>
        <w:t>《运输单位搬运费分级标准》执行。</w:t>
      </w:r>
    </w:p>
    <w:p w14:paraId="6A0D7C25">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rPr>
        <w:t>）跳单处罚</w:t>
      </w:r>
    </w:p>
    <w:p w14:paraId="66932E03">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无法响应采购人派车需求的均属于跳单行为。采购人安排厢车</w:t>
      </w:r>
      <w:r>
        <w:rPr>
          <w:rFonts w:hint="eastAsia" w:ascii="宋体" w:hAnsi="宋体" w:cs="宋体"/>
          <w:b/>
          <w:bCs/>
          <w:color w:val="auto"/>
          <w:sz w:val="21"/>
          <w:szCs w:val="21"/>
          <w:highlight w:val="none"/>
          <w:lang w:val="en-US" w:eastAsia="zh-CN"/>
        </w:rPr>
        <w:t>成交人</w:t>
      </w:r>
      <w:r>
        <w:rPr>
          <w:rFonts w:hint="eastAsia" w:ascii="宋体" w:hAnsi="宋体" w:eastAsia="宋体" w:cs="宋体"/>
          <w:b/>
          <w:bCs/>
          <w:color w:val="auto"/>
          <w:sz w:val="21"/>
          <w:szCs w:val="21"/>
          <w:highlight w:val="none"/>
          <w:lang w:val="en-US" w:eastAsia="zh-CN"/>
        </w:rPr>
        <w:t>20台车/天及以内时，</w:t>
      </w:r>
      <w:r>
        <w:rPr>
          <w:rFonts w:hint="eastAsia" w:ascii="宋体" w:hAnsi="宋体" w:eastAsia="宋体" w:cs="宋体"/>
          <w:b/>
          <w:bCs/>
          <w:color w:val="auto"/>
          <w:sz w:val="21"/>
          <w:szCs w:val="21"/>
          <w:highlight w:val="none"/>
        </w:rPr>
        <w:t>成交人无法响应的，跳单</w:t>
      </w:r>
      <w:r>
        <w:rPr>
          <w:rFonts w:hint="eastAsia" w:ascii="宋体" w:hAnsi="宋体" w:eastAsia="宋体" w:cs="宋体"/>
          <w:b/>
          <w:bCs/>
          <w:color w:val="auto"/>
          <w:sz w:val="21"/>
          <w:szCs w:val="21"/>
          <w:highlight w:val="none"/>
          <w:lang w:val="en-US" w:eastAsia="zh-CN"/>
        </w:rPr>
        <w:t>处罚金额为采购人使用其他运输单位支出运输费用的2倍</w:t>
      </w:r>
      <w:r>
        <w:rPr>
          <w:rFonts w:hint="eastAsia" w:ascii="宋体" w:hAnsi="宋体" w:eastAsia="宋体" w:cs="宋体"/>
          <w:b/>
          <w:bCs/>
          <w:color w:val="auto"/>
          <w:sz w:val="21"/>
          <w:szCs w:val="21"/>
          <w:highlight w:val="none"/>
        </w:rPr>
        <w:t>；采购人当日15时</w:t>
      </w:r>
      <w:r>
        <w:rPr>
          <w:rFonts w:hint="eastAsia" w:ascii="宋体" w:hAnsi="宋体" w:eastAsia="宋体" w:cs="宋体"/>
          <w:b/>
          <w:bCs/>
          <w:color w:val="auto"/>
          <w:sz w:val="21"/>
          <w:szCs w:val="21"/>
          <w:highlight w:val="none"/>
          <w:lang w:val="en-US" w:eastAsia="zh-CN"/>
        </w:rPr>
        <w:t>之后</w:t>
      </w:r>
      <w:r>
        <w:rPr>
          <w:rFonts w:hint="eastAsia" w:ascii="宋体" w:hAnsi="宋体" w:eastAsia="宋体" w:cs="宋体"/>
          <w:b/>
          <w:bCs/>
          <w:color w:val="auto"/>
          <w:sz w:val="21"/>
          <w:szCs w:val="21"/>
          <w:highlight w:val="none"/>
        </w:rPr>
        <w:t>安排次日运输任务</w:t>
      </w:r>
      <w:r>
        <w:rPr>
          <w:rFonts w:hint="eastAsia" w:ascii="宋体" w:hAnsi="宋体" w:eastAsia="宋体" w:cs="宋体"/>
          <w:b/>
          <w:bCs/>
          <w:color w:val="auto"/>
          <w:sz w:val="21"/>
          <w:szCs w:val="21"/>
          <w:highlight w:val="none"/>
          <w:lang w:val="en-US" w:eastAsia="zh-CN"/>
        </w:rPr>
        <w:t>且超过厢车</w:t>
      </w:r>
      <w:r>
        <w:rPr>
          <w:rFonts w:hint="eastAsia" w:ascii="宋体" w:hAnsi="宋体" w:cs="宋体"/>
          <w:b/>
          <w:bCs/>
          <w:color w:val="auto"/>
          <w:sz w:val="21"/>
          <w:szCs w:val="21"/>
          <w:highlight w:val="none"/>
          <w:lang w:val="en-US" w:eastAsia="zh-CN"/>
        </w:rPr>
        <w:t>成交人</w:t>
      </w:r>
      <w:r>
        <w:rPr>
          <w:rFonts w:hint="eastAsia" w:ascii="宋体" w:hAnsi="宋体" w:eastAsia="宋体" w:cs="宋体"/>
          <w:b/>
          <w:bCs/>
          <w:color w:val="auto"/>
          <w:sz w:val="21"/>
          <w:szCs w:val="21"/>
          <w:highlight w:val="none"/>
          <w:lang w:val="en-US" w:eastAsia="zh-CN"/>
        </w:rPr>
        <w:t>20台车/天以上时</w:t>
      </w:r>
      <w:r>
        <w:rPr>
          <w:rFonts w:hint="eastAsia" w:ascii="宋体" w:hAnsi="宋体" w:eastAsia="宋体" w:cs="宋体"/>
          <w:b/>
          <w:bCs/>
          <w:color w:val="auto"/>
          <w:sz w:val="21"/>
          <w:szCs w:val="21"/>
          <w:highlight w:val="none"/>
        </w:rPr>
        <w:t>，成交人无法提供服务的，</w:t>
      </w:r>
      <w:r>
        <w:rPr>
          <w:rFonts w:hint="eastAsia" w:ascii="宋体" w:hAnsi="宋体" w:eastAsia="宋体" w:cs="宋体"/>
          <w:b/>
          <w:bCs/>
          <w:color w:val="auto"/>
          <w:sz w:val="21"/>
          <w:szCs w:val="21"/>
          <w:highlight w:val="none"/>
          <w:lang w:val="en-US" w:eastAsia="zh-CN"/>
        </w:rPr>
        <w:t>仅需承担采购人使用其他运输单位支出的运输费用</w:t>
      </w:r>
      <w:r>
        <w:rPr>
          <w:rFonts w:hint="eastAsia" w:ascii="宋体" w:hAnsi="宋体" w:eastAsia="宋体" w:cs="宋体"/>
          <w:b/>
          <w:bCs/>
          <w:color w:val="auto"/>
          <w:sz w:val="21"/>
          <w:szCs w:val="21"/>
          <w:highlight w:val="none"/>
        </w:rPr>
        <w:t>。跳单处罚款项于跳单所属月份的运输费中扣除。</w:t>
      </w:r>
      <w:r>
        <w:rPr>
          <w:rFonts w:hint="eastAsia" w:ascii="宋体" w:hAnsi="宋体" w:eastAsia="宋体" w:cs="宋体"/>
          <w:b/>
          <w:bCs/>
          <w:color w:val="auto"/>
          <w:sz w:val="21"/>
          <w:szCs w:val="21"/>
          <w:highlight w:val="none"/>
          <w:lang w:val="en-US" w:eastAsia="zh-CN"/>
        </w:rPr>
        <w:t>运费不足</w:t>
      </w:r>
      <w:r>
        <w:rPr>
          <w:rFonts w:hint="eastAsia" w:ascii="宋体" w:hAnsi="宋体" w:cs="宋体"/>
          <w:b/>
          <w:bCs/>
          <w:color w:val="auto"/>
          <w:sz w:val="21"/>
          <w:szCs w:val="21"/>
          <w:highlight w:val="none"/>
          <w:lang w:val="en-US" w:eastAsia="zh-CN"/>
        </w:rPr>
        <w:t>以</w:t>
      </w:r>
      <w:r>
        <w:rPr>
          <w:rFonts w:hint="eastAsia" w:ascii="宋体" w:hAnsi="宋体" w:eastAsia="宋体" w:cs="宋体"/>
          <w:b/>
          <w:bCs/>
          <w:color w:val="auto"/>
          <w:sz w:val="21"/>
          <w:szCs w:val="21"/>
          <w:highlight w:val="none"/>
          <w:lang w:val="en-US" w:eastAsia="zh-CN"/>
        </w:rPr>
        <w:t>抵扣时，从</w:t>
      </w:r>
      <w:r>
        <w:rPr>
          <w:rFonts w:hint="eastAsia" w:ascii="宋体" w:hAnsi="宋体" w:cs="宋体"/>
          <w:b/>
          <w:bCs/>
          <w:color w:val="auto"/>
          <w:sz w:val="21"/>
          <w:szCs w:val="21"/>
          <w:highlight w:val="none"/>
          <w:lang w:val="en-US" w:eastAsia="zh-CN"/>
        </w:rPr>
        <w:t>履约保证金</w:t>
      </w:r>
      <w:r>
        <w:rPr>
          <w:rFonts w:hint="eastAsia" w:ascii="宋体" w:hAnsi="宋体" w:eastAsia="宋体" w:cs="宋体"/>
          <w:b/>
          <w:bCs/>
          <w:color w:val="auto"/>
          <w:sz w:val="21"/>
          <w:szCs w:val="21"/>
          <w:highlight w:val="none"/>
          <w:lang w:val="en-US" w:eastAsia="zh-CN"/>
        </w:rPr>
        <w:t>中扣除。</w:t>
      </w:r>
    </w:p>
    <w:p w14:paraId="64A2137C">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备注</w:t>
      </w:r>
      <w:r>
        <w:rPr>
          <w:rFonts w:hint="eastAsia" w:ascii="宋体" w:hAnsi="宋体" w:eastAsia="宋体" w:cs="宋体"/>
          <w:color w:val="auto"/>
          <w:sz w:val="21"/>
          <w:szCs w:val="21"/>
          <w:highlight w:val="none"/>
        </w:rPr>
        <w:t>：跳单考核包括成交人已进行响应，后因成交人原因，无法按要求日期或逾期超过5小时抵达客户现场进行收运的情况</w:t>
      </w:r>
      <w:r>
        <w:rPr>
          <w:rFonts w:hint="eastAsia" w:ascii="宋体" w:hAnsi="宋体" w:cs="宋体"/>
          <w:color w:val="auto"/>
          <w:sz w:val="21"/>
          <w:szCs w:val="21"/>
          <w:highlight w:val="none"/>
          <w:lang w:eastAsia="zh-CN"/>
        </w:rPr>
        <w:t>。</w:t>
      </w:r>
    </w:p>
    <w:p w14:paraId="02EEA7E8">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五</w:t>
      </w:r>
      <w:r>
        <w:rPr>
          <w:rFonts w:hint="eastAsia" w:ascii="宋体" w:hAnsi="宋体" w:eastAsia="宋体" w:cs="宋体"/>
          <w:color w:val="auto"/>
          <w:sz w:val="21"/>
          <w:szCs w:val="21"/>
          <w:highlight w:val="none"/>
        </w:rPr>
        <w:t>）成交人跳单达</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车/月，</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有权</w:t>
      </w:r>
      <w:r>
        <w:rPr>
          <w:rFonts w:hint="eastAsia" w:ascii="宋体" w:hAnsi="宋体" w:eastAsia="宋体" w:cs="宋体"/>
          <w:color w:val="auto"/>
          <w:sz w:val="21"/>
          <w:szCs w:val="21"/>
          <w:highlight w:val="none"/>
          <w:lang w:val="en-US" w:eastAsia="zh-CN"/>
        </w:rPr>
        <w:t>暂停与该成交人的合作，并视整改情况进行恢复，累计跳单达10车，采购人有权</w:t>
      </w:r>
      <w:r>
        <w:rPr>
          <w:rFonts w:hint="eastAsia" w:ascii="宋体" w:hAnsi="宋体" w:eastAsia="宋体" w:cs="宋体"/>
          <w:color w:val="auto"/>
          <w:sz w:val="21"/>
          <w:szCs w:val="21"/>
          <w:highlight w:val="none"/>
        </w:rPr>
        <w:t>与成交人解除《危险废物运输服务合同》，同时扣除履约保证金。</w:t>
      </w:r>
    </w:p>
    <w:p w14:paraId="24F4A419">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cs="宋体"/>
          <w:b/>
          <w:bCs/>
          <w:color w:val="auto"/>
          <w:sz w:val="21"/>
          <w:szCs w:val="21"/>
          <w:highlight w:val="none"/>
          <w:lang w:val="en-US" w:eastAsia="zh-CN"/>
        </w:rPr>
        <w:t>七</w:t>
      </w:r>
      <w:r>
        <w:rPr>
          <w:rFonts w:hint="eastAsia" w:ascii="宋体" w:hAnsi="宋体" w:eastAsia="宋体" w:cs="宋体"/>
          <w:b/>
          <w:bCs/>
          <w:color w:val="auto"/>
          <w:sz w:val="21"/>
          <w:szCs w:val="21"/>
          <w:highlight w:val="none"/>
        </w:rPr>
        <w:t>、服务质量</w:t>
      </w:r>
    </w:p>
    <w:p w14:paraId="59995BF4">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成交人接受采购人委托，为采购人提供危险废物运输服务，服务期间，需严格遵守道路运输、安全生产相关法律法规要求，采购人对成交人违法违规行为保留处罚权利。因成交人</w:t>
      </w:r>
      <w:r>
        <w:rPr>
          <w:rFonts w:hint="eastAsia" w:ascii="宋体" w:hAnsi="宋体" w:cs="宋体"/>
          <w:color w:val="auto"/>
          <w:sz w:val="21"/>
          <w:szCs w:val="21"/>
          <w:highlight w:val="none"/>
          <w:lang w:eastAsia="zh-CN"/>
        </w:rPr>
        <w:t>违反</w:t>
      </w:r>
      <w:r>
        <w:rPr>
          <w:rFonts w:hint="eastAsia" w:ascii="宋体" w:hAnsi="宋体" w:eastAsia="宋体" w:cs="宋体"/>
          <w:color w:val="auto"/>
          <w:sz w:val="21"/>
          <w:szCs w:val="21"/>
          <w:highlight w:val="none"/>
        </w:rPr>
        <w:t>相关法律法规、国家标准、行业标准造成的损失由成交人自行承担。</w:t>
      </w:r>
    </w:p>
    <w:p w14:paraId="75837AC1">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人需严格遵守采购人相关要求，对于违反相关要求，采购人有权进行考核，并对相关人员进行处罚。对于违反相关要求，导致危害后果的，需进行赔偿，相关要求详见《东莞市新东欣环保投资有限公司承运单位违规行为处罚条款》。</w:t>
      </w:r>
    </w:p>
    <w:p w14:paraId="281D8BD6">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both"/>
        <w:textAlignment w:val="auto"/>
        <w:rPr>
          <w:rFonts w:ascii="宋体" w:hAnsi="宋体" w:cs="Times New Roman"/>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采购人按季度对成交人进行季度评分考核，根据考核结果进行处罚，考核内容详见《运输商季度考核评分表》</w:t>
      </w:r>
    </w:p>
    <w:bookmarkEnd w:id="9"/>
    <w:bookmarkEnd w:id="10"/>
    <w:bookmarkEnd w:id="11"/>
    <w:bookmarkEnd w:id="12"/>
    <w:p w14:paraId="25CB9AFA">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ascii="宋体" w:hAnsi="宋体"/>
          <w:b/>
          <w:color w:val="auto"/>
          <w:sz w:val="21"/>
          <w:szCs w:val="21"/>
          <w:highlight w:val="none"/>
        </w:rPr>
      </w:pPr>
      <w:r>
        <w:rPr>
          <w:rFonts w:hint="eastAsia"/>
          <w:color w:val="auto"/>
          <w:sz w:val="21"/>
          <w:szCs w:val="21"/>
          <w:highlight w:val="none"/>
        </w:rPr>
        <w:br w:type="page"/>
      </w:r>
      <w:r>
        <w:rPr>
          <w:rFonts w:hint="eastAsia" w:ascii="宋体" w:hAnsi="宋体"/>
          <w:b/>
          <w:color w:val="auto"/>
          <w:sz w:val="21"/>
          <w:szCs w:val="21"/>
          <w:highlight w:val="none"/>
        </w:rPr>
        <w:t>技术需求书附件</w:t>
      </w:r>
      <w:r>
        <w:rPr>
          <w:rFonts w:hint="eastAsia" w:ascii="宋体" w:hAnsi="宋体"/>
          <w:b/>
          <w:color w:val="auto"/>
          <w:sz w:val="21"/>
          <w:szCs w:val="21"/>
          <w:highlight w:val="none"/>
          <w:lang w:val="en-US" w:eastAsia="zh-CN"/>
        </w:rPr>
        <w:t>1</w:t>
      </w:r>
      <w:r>
        <w:rPr>
          <w:rFonts w:hint="eastAsia" w:ascii="宋体" w:hAnsi="宋体"/>
          <w:b/>
          <w:color w:val="auto"/>
          <w:sz w:val="21"/>
          <w:szCs w:val="21"/>
          <w:highlight w:val="none"/>
        </w:rPr>
        <w:t>：《运输车辆名册》</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3"/>
        <w:gridCol w:w="2525"/>
      </w:tblGrid>
      <w:tr w14:paraId="657D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7566A71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5095632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车牌号</w:t>
            </w:r>
          </w:p>
        </w:tc>
        <w:tc>
          <w:tcPr>
            <w:tcW w:w="1545" w:type="pct"/>
          </w:tcPr>
          <w:p w14:paraId="203F29E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车型</w:t>
            </w:r>
          </w:p>
        </w:tc>
        <w:tc>
          <w:tcPr>
            <w:tcW w:w="1481" w:type="pct"/>
          </w:tcPr>
          <w:p w14:paraId="0BD10F68">
            <w:pPr>
              <w:widowControl w:val="0"/>
              <w:adjustRightInd/>
              <w:snapToGrid/>
              <w:spacing w:line="360" w:lineRule="exact"/>
              <w:ind w:firstLine="660" w:firstLineChars="300"/>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137F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3AA921E">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105132BC">
            <w:pPr>
              <w:widowControl w:val="0"/>
              <w:adjustRightInd/>
              <w:snapToGrid/>
              <w:spacing w:line="360" w:lineRule="exact"/>
              <w:outlineLvl w:val="9"/>
              <w:rPr>
                <w:rFonts w:ascii="宋体" w:hAnsi="宋体" w:cs="宋体"/>
                <w:color w:val="auto"/>
                <w:sz w:val="22"/>
                <w:highlight w:val="none"/>
              </w:rPr>
            </w:pPr>
          </w:p>
        </w:tc>
        <w:tc>
          <w:tcPr>
            <w:tcW w:w="1545" w:type="pct"/>
          </w:tcPr>
          <w:p w14:paraId="4F4E49BD">
            <w:pPr>
              <w:widowControl w:val="0"/>
              <w:adjustRightInd/>
              <w:snapToGrid/>
              <w:spacing w:line="360" w:lineRule="exact"/>
              <w:outlineLvl w:val="9"/>
              <w:rPr>
                <w:rFonts w:ascii="宋体" w:hAnsi="宋体" w:cs="宋体"/>
                <w:color w:val="auto"/>
                <w:sz w:val="22"/>
                <w:highlight w:val="none"/>
              </w:rPr>
            </w:pPr>
          </w:p>
        </w:tc>
        <w:tc>
          <w:tcPr>
            <w:tcW w:w="1481" w:type="pct"/>
          </w:tcPr>
          <w:p w14:paraId="2DD46547">
            <w:pPr>
              <w:widowControl w:val="0"/>
              <w:adjustRightInd/>
              <w:snapToGrid/>
              <w:spacing w:line="360" w:lineRule="exact"/>
              <w:outlineLvl w:val="9"/>
              <w:rPr>
                <w:rFonts w:ascii="宋体" w:hAnsi="宋体" w:cs="宋体"/>
                <w:color w:val="auto"/>
                <w:sz w:val="22"/>
                <w:highlight w:val="none"/>
              </w:rPr>
            </w:pPr>
          </w:p>
        </w:tc>
      </w:tr>
      <w:tr w14:paraId="32936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8D598BB">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00F1956B">
            <w:pPr>
              <w:widowControl w:val="0"/>
              <w:adjustRightInd/>
              <w:snapToGrid/>
              <w:spacing w:line="360" w:lineRule="exact"/>
              <w:outlineLvl w:val="9"/>
              <w:rPr>
                <w:rFonts w:ascii="宋体" w:hAnsi="宋体" w:cs="宋体"/>
                <w:color w:val="auto"/>
                <w:sz w:val="22"/>
                <w:highlight w:val="none"/>
              </w:rPr>
            </w:pPr>
          </w:p>
        </w:tc>
        <w:tc>
          <w:tcPr>
            <w:tcW w:w="1545" w:type="pct"/>
          </w:tcPr>
          <w:p w14:paraId="3B87EC12">
            <w:pPr>
              <w:widowControl w:val="0"/>
              <w:adjustRightInd/>
              <w:snapToGrid/>
              <w:spacing w:line="360" w:lineRule="exact"/>
              <w:outlineLvl w:val="9"/>
              <w:rPr>
                <w:rFonts w:ascii="宋体" w:hAnsi="宋体" w:cs="宋体"/>
                <w:color w:val="auto"/>
                <w:sz w:val="22"/>
                <w:highlight w:val="none"/>
              </w:rPr>
            </w:pPr>
          </w:p>
        </w:tc>
        <w:tc>
          <w:tcPr>
            <w:tcW w:w="1481" w:type="pct"/>
          </w:tcPr>
          <w:p w14:paraId="3B530E51">
            <w:pPr>
              <w:widowControl w:val="0"/>
              <w:adjustRightInd/>
              <w:snapToGrid/>
              <w:spacing w:line="360" w:lineRule="exact"/>
              <w:outlineLvl w:val="9"/>
              <w:rPr>
                <w:rFonts w:ascii="宋体" w:hAnsi="宋体" w:cs="宋体"/>
                <w:color w:val="auto"/>
                <w:sz w:val="22"/>
                <w:highlight w:val="none"/>
              </w:rPr>
            </w:pPr>
          </w:p>
        </w:tc>
      </w:tr>
      <w:tr w14:paraId="7E82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0B5545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586B0766">
            <w:pPr>
              <w:widowControl w:val="0"/>
              <w:adjustRightInd/>
              <w:snapToGrid/>
              <w:spacing w:line="360" w:lineRule="exact"/>
              <w:outlineLvl w:val="9"/>
              <w:rPr>
                <w:rFonts w:ascii="宋体" w:hAnsi="宋体" w:cs="宋体"/>
                <w:color w:val="auto"/>
                <w:sz w:val="22"/>
                <w:highlight w:val="none"/>
              </w:rPr>
            </w:pPr>
          </w:p>
        </w:tc>
        <w:tc>
          <w:tcPr>
            <w:tcW w:w="1545" w:type="pct"/>
          </w:tcPr>
          <w:p w14:paraId="794734DD">
            <w:pPr>
              <w:widowControl w:val="0"/>
              <w:adjustRightInd/>
              <w:snapToGrid/>
              <w:spacing w:line="360" w:lineRule="exact"/>
              <w:outlineLvl w:val="9"/>
              <w:rPr>
                <w:rFonts w:ascii="宋体" w:hAnsi="宋体" w:cs="宋体"/>
                <w:color w:val="auto"/>
                <w:sz w:val="22"/>
                <w:highlight w:val="none"/>
              </w:rPr>
            </w:pPr>
          </w:p>
        </w:tc>
        <w:tc>
          <w:tcPr>
            <w:tcW w:w="1481" w:type="pct"/>
          </w:tcPr>
          <w:p w14:paraId="7029A51B">
            <w:pPr>
              <w:widowControl w:val="0"/>
              <w:adjustRightInd/>
              <w:snapToGrid/>
              <w:spacing w:line="360" w:lineRule="exact"/>
              <w:outlineLvl w:val="9"/>
              <w:rPr>
                <w:rFonts w:ascii="宋体" w:hAnsi="宋体" w:cs="宋体"/>
                <w:color w:val="auto"/>
                <w:sz w:val="22"/>
                <w:highlight w:val="none"/>
              </w:rPr>
            </w:pPr>
          </w:p>
        </w:tc>
      </w:tr>
      <w:tr w14:paraId="1269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EC62E2F">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6C7B3F0B">
            <w:pPr>
              <w:widowControl w:val="0"/>
              <w:adjustRightInd/>
              <w:snapToGrid/>
              <w:spacing w:line="360" w:lineRule="exact"/>
              <w:outlineLvl w:val="9"/>
              <w:rPr>
                <w:rFonts w:ascii="宋体" w:hAnsi="宋体" w:cs="宋体"/>
                <w:color w:val="auto"/>
                <w:sz w:val="22"/>
                <w:highlight w:val="none"/>
              </w:rPr>
            </w:pPr>
          </w:p>
        </w:tc>
        <w:tc>
          <w:tcPr>
            <w:tcW w:w="1545" w:type="pct"/>
          </w:tcPr>
          <w:p w14:paraId="06FEF92A">
            <w:pPr>
              <w:widowControl w:val="0"/>
              <w:adjustRightInd/>
              <w:snapToGrid/>
              <w:spacing w:line="360" w:lineRule="exact"/>
              <w:outlineLvl w:val="9"/>
              <w:rPr>
                <w:rFonts w:ascii="宋体" w:hAnsi="宋体" w:cs="宋体"/>
                <w:color w:val="auto"/>
                <w:sz w:val="22"/>
                <w:highlight w:val="none"/>
              </w:rPr>
            </w:pPr>
          </w:p>
        </w:tc>
        <w:tc>
          <w:tcPr>
            <w:tcW w:w="1481" w:type="pct"/>
          </w:tcPr>
          <w:p w14:paraId="2266B450">
            <w:pPr>
              <w:widowControl w:val="0"/>
              <w:adjustRightInd/>
              <w:snapToGrid/>
              <w:spacing w:line="360" w:lineRule="exact"/>
              <w:outlineLvl w:val="9"/>
              <w:rPr>
                <w:rFonts w:ascii="宋体" w:hAnsi="宋体" w:cs="宋体"/>
                <w:color w:val="auto"/>
                <w:sz w:val="22"/>
                <w:highlight w:val="none"/>
              </w:rPr>
            </w:pPr>
          </w:p>
        </w:tc>
      </w:tr>
      <w:tr w14:paraId="7804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BEE13C5">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66A02FD8">
            <w:pPr>
              <w:widowControl w:val="0"/>
              <w:adjustRightInd/>
              <w:snapToGrid/>
              <w:spacing w:line="360" w:lineRule="exact"/>
              <w:outlineLvl w:val="9"/>
              <w:rPr>
                <w:rFonts w:ascii="宋体" w:hAnsi="宋体" w:cs="宋体"/>
                <w:color w:val="auto"/>
                <w:sz w:val="22"/>
                <w:highlight w:val="none"/>
              </w:rPr>
            </w:pPr>
          </w:p>
        </w:tc>
        <w:tc>
          <w:tcPr>
            <w:tcW w:w="1545" w:type="pct"/>
          </w:tcPr>
          <w:p w14:paraId="3150C691">
            <w:pPr>
              <w:widowControl w:val="0"/>
              <w:adjustRightInd/>
              <w:snapToGrid/>
              <w:spacing w:line="360" w:lineRule="exact"/>
              <w:outlineLvl w:val="9"/>
              <w:rPr>
                <w:rFonts w:ascii="宋体" w:hAnsi="宋体" w:cs="宋体"/>
                <w:color w:val="auto"/>
                <w:sz w:val="22"/>
                <w:highlight w:val="none"/>
              </w:rPr>
            </w:pPr>
          </w:p>
        </w:tc>
        <w:tc>
          <w:tcPr>
            <w:tcW w:w="1481" w:type="pct"/>
          </w:tcPr>
          <w:p w14:paraId="62D0E151">
            <w:pPr>
              <w:widowControl w:val="0"/>
              <w:adjustRightInd/>
              <w:snapToGrid/>
              <w:spacing w:line="360" w:lineRule="exact"/>
              <w:outlineLvl w:val="9"/>
              <w:rPr>
                <w:rFonts w:ascii="宋体" w:hAnsi="宋体" w:cs="宋体"/>
                <w:color w:val="auto"/>
                <w:sz w:val="22"/>
                <w:highlight w:val="none"/>
              </w:rPr>
            </w:pPr>
          </w:p>
        </w:tc>
      </w:tr>
      <w:tr w14:paraId="5D74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DF24658">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23104856">
            <w:pPr>
              <w:widowControl w:val="0"/>
              <w:adjustRightInd/>
              <w:snapToGrid/>
              <w:spacing w:line="360" w:lineRule="exact"/>
              <w:outlineLvl w:val="9"/>
              <w:rPr>
                <w:rFonts w:ascii="宋体" w:hAnsi="宋体" w:cs="宋体"/>
                <w:color w:val="auto"/>
                <w:sz w:val="22"/>
                <w:highlight w:val="none"/>
              </w:rPr>
            </w:pPr>
          </w:p>
        </w:tc>
        <w:tc>
          <w:tcPr>
            <w:tcW w:w="1545" w:type="pct"/>
          </w:tcPr>
          <w:p w14:paraId="5FFBAE1F">
            <w:pPr>
              <w:widowControl w:val="0"/>
              <w:adjustRightInd/>
              <w:snapToGrid/>
              <w:spacing w:line="360" w:lineRule="exact"/>
              <w:outlineLvl w:val="9"/>
              <w:rPr>
                <w:rFonts w:ascii="宋体" w:hAnsi="宋体" w:cs="宋体"/>
                <w:color w:val="auto"/>
                <w:sz w:val="22"/>
                <w:highlight w:val="none"/>
              </w:rPr>
            </w:pPr>
          </w:p>
        </w:tc>
        <w:tc>
          <w:tcPr>
            <w:tcW w:w="1481" w:type="pct"/>
          </w:tcPr>
          <w:p w14:paraId="52F312E3">
            <w:pPr>
              <w:widowControl w:val="0"/>
              <w:adjustRightInd/>
              <w:snapToGrid/>
              <w:spacing w:line="360" w:lineRule="exact"/>
              <w:outlineLvl w:val="9"/>
              <w:rPr>
                <w:rFonts w:ascii="宋体" w:hAnsi="宋体" w:cs="宋体"/>
                <w:color w:val="auto"/>
                <w:sz w:val="22"/>
                <w:highlight w:val="none"/>
              </w:rPr>
            </w:pPr>
          </w:p>
        </w:tc>
      </w:tr>
      <w:tr w14:paraId="4533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DA98E10">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1ECECBDD">
            <w:pPr>
              <w:widowControl w:val="0"/>
              <w:adjustRightInd/>
              <w:snapToGrid/>
              <w:spacing w:line="360" w:lineRule="exact"/>
              <w:outlineLvl w:val="9"/>
              <w:rPr>
                <w:rFonts w:ascii="宋体" w:hAnsi="宋体" w:cs="宋体"/>
                <w:color w:val="auto"/>
                <w:sz w:val="22"/>
                <w:highlight w:val="none"/>
              </w:rPr>
            </w:pPr>
          </w:p>
        </w:tc>
        <w:tc>
          <w:tcPr>
            <w:tcW w:w="1545" w:type="pct"/>
          </w:tcPr>
          <w:p w14:paraId="765412AD">
            <w:pPr>
              <w:widowControl w:val="0"/>
              <w:adjustRightInd/>
              <w:snapToGrid/>
              <w:spacing w:line="360" w:lineRule="exact"/>
              <w:outlineLvl w:val="9"/>
              <w:rPr>
                <w:rFonts w:ascii="宋体" w:hAnsi="宋体" w:cs="宋体"/>
                <w:color w:val="auto"/>
                <w:sz w:val="22"/>
                <w:highlight w:val="none"/>
              </w:rPr>
            </w:pPr>
          </w:p>
        </w:tc>
        <w:tc>
          <w:tcPr>
            <w:tcW w:w="1481" w:type="pct"/>
          </w:tcPr>
          <w:p w14:paraId="679471A1">
            <w:pPr>
              <w:widowControl w:val="0"/>
              <w:adjustRightInd/>
              <w:snapToGrid/>
              <w:spacing w:line="360" w:lineRule="exact"/>
              <w:outlineLvl w:val="9"/>
              <w:rPr>
                <w:rFonts w:ascii="宋体" w:hAnsi="宋体" w:cs="宋体"/>
                <w:color w:val="auto"/>
                <w:sz w:val="22"/>
                <w:highlight w:val="none"/>
              </w:rPr>
            </w:pPr>
          </w:p>
        </w:tc>
      </w:tr>
      <w:tr w14:paraId="1927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FA61D44">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1F99AC19">
            <w:pPr>
              <w:widowControl w:val="0"/>
              <w:adjustRightInd/>
              <w:snapToGrid/>
              <w:spacing w:line="360" w:lineRule="exact"/>
              <w:outlineLvl w:val="9"/>
              <w:rPr>
                <w:rFonts w:ascii="宋体" w:hAnsi="宋体" w:cs="宋体"/>
                <w:color w:val="auto"/>
                <w:sz w:val="22"/>
                <w:highlight w:val="none"/>
              </w:rPr>
            </w:pPr>
          </w:p>
        </w:tc>
        <w:tc>
          <w:tcPr>
            <w:tcW w:w="1545" w:type="pct"/>
          </w:tcPr>
          <w:p w14:paraId="5CDEDFEB">
            <w:pPr>
              <w:widowControl w:val="0"/>
              <w:adjustRightInd/>
              <w:snapToGrid/>
              <w:spacing w:line="360" w:lineRule="exact"/>
              <w:outlineLvl w:val="9"/>
              <w:rPr>
                <w:rFonts w:ascii="宋体" w:hAnsi="宋体" w:cs="宋体"/>
                <w:color w:val="auto"/>
                <w:sz w:val="22"/>
                <w:highlight w:val="none"/>
              </w:rPr>
            </w:pPr>
          </w:p>
        </w:tc>
        <w:tc>
          <w:tcPr>
            <w:tcW w:w="1481" w:type="pct"/>
          </w:tcPr>
          <w:p w14:paraId="75F6FC36">
            <w:pPr>
              <w:widowControl w:val="0"/>
              <w:adjustRightInd/>
              <w:snapToGrid/>
              <w:spacing w:line="360" w:lineRule="exact"/>
              <w:outlineLvl w:val="9"/>
              <w:rPr>
                <w:rFonts w:ascii="宋体" w:hAnsi="宋体" w:cs="宋体"/>
                <w:color w:val="auto"/>
                <w:sz w:val="22"/>
                <w:highlight w:val="none"/>
              </w:rPr>
            </w:pPr>
          </w:p>
        </w:tc>
      </w:tr>
      <w:tr w14:paraId="6F98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5CB22EA">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101785F6">
            <w:pPr>
              <w:widowControl w:val="0"/>
              <w:adjustRightInd/>
              <w:snapToGrid/>
              <w:spacing w:line="360" w:lineRule="exact"/>
              <w:outlineLvl w:val="9"/>
              <w:rPr>
                <w:rFonts w:ascii="宋体" w:hAnsi="宋体" w:cs="宋体"/>
                <w:color w:val="auto"/>
                <w:sz w:val="22"/>
                <w:highlight w:val="none"/>
              </w:rPr>
            </w:pPr>
          </w:p>
        </w:tc>
        <w:tc>
          <w:tcPr>
            <w:tcW w:w="1545" w:type="pct"/>
          </w:tcPr>
          <w:p w14:paraId="513573F2">
            <w:pPr>
              <w:widowControl w:val="0"/>
              <w:adjustRightInd/>
              <w:snapToGrid/>
              <w:spacing w:line="360" w:lineRule="exact"/>
              <w:outlineLvl w:val="9"/>
              <w:rPr>
                <w:rFonts w:ascii="宋体" w:hAnsi="宋体" w:cs="宋体"/>
                <w:color w:val="auto"/>
                <w:sz w:val="22"/>
                <w:highlight w:val="none"/>
              </w:rPr>
            </w:pPr>
          </w:p>
        </w:tc>
        <w:tc>
          <w:tcPr>
            <w:tcW w:w="1481" w:type="pct"/>
          </w:tcPr>
          <w:p w14:paraId="0DE0E664">
            <w:pPr>
              <w:widowControl w:val="0"/>
              <w:adjustRightInd/>
              <w:snapToGrid/>
              <w:spacing w:line="360" w:lineRule="exact"/>
              <w:outlineLvl w:val="9"/>
              <w:rPr>
                <w:rFonts w:ascii="宋体" w:hAnsi="宋体" w:cs="宋体"/>
                <w:color w:val="auto"/>
                <w:sz w:val="22"/>
                <w:highlight w:val="none"/>
              </w:rPr>
            </w:pPr>
          </w:p>
        </w:tc>
      </w:tr>
      <w:tr w14:paraId="1283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072573F">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2BC14C38">
            <w:pPr>
              <w:widowControl w:val="0"/>
              <w:adjustRightInd/>
              <w:snapToGrid/>
              <w:spacing w:line="360" w:lineRule="exact"/>
              <w:outlineLvl w:val="9"/>
              <w:rPr>
                <w:rFonts w:ascii="宋体" w:hAnsi="宋体" w:cs="宋体"/>
                <w:color w:val="auto"/>
                <w:sz w:val="22"/>
                <w:highlight w:val="none"/>
              </w:rPr>
            </w:pPr>
          </w:p>
        </w:tc>
        <w:tc>
          <w:tcPr>
            <w:tcW w:w="1545" w:type="pct"/>
          </w:tcPr>
          <w:p w14:paraId="0157792B">
            <w:pPr>
              <w:widowControl w:val="0"/>
              <w:adjustRightInd/>
              <w:snapToGrid/>
              <w:spacing w:line="360" w:lineRule="exact"/>
              <w:outlineLvl w:val="9"/>
              <w:rPr>
                <w:rFonts w:ascii="宋体" w:hAnsi="宋体" w:cs="宋体"/>
                <w:color w:val="auto"/>
                <w:sz w:val="22"/>
                <w:highlight w:val="none"/>
              </w:rPr>
            </w:pPr>
          </w:p>
        </w:tc>
        <w:tc>
          <w:tcPr>
            <w:tcW w:w="1481" w:type="pct"/>
          </w:tcPr>
          <w:p w14:paraId="4E7E3105">
            <w:pPr>
              <w:widowControl w:val="0"/>
              <w:adjustRightInd/>
              <w:snapToGrid/>
              <w:spacing w:line="360" w:lineRule="exact"/>
              <w:outlineLvl w:val="9"/>
              <w:rPr>
                <w:rFonts w:ascii="宋体" w:hAnsi="宋体" w:cs="宋体"/>
                <w:color w:val="auto"/>
                <w:sz w:val="22"/>
                <w:highlight w:val="none"/>
              </w:rPr>
            </w:pPr>
          </w:p>
        </w:tc>
      </w:tr>
      <w:tr w14:paraId="0F37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E7B493F">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40912561">
            <w:pPr>
              <w:widowControl w:val="0"/>
              <w:adjustRightInd/>
              <w:snapToGrid/>
              <w:spacing w:line="360" w:lineRule="exact"/>
              <w:outlineLvl w:val="9"/>
              <w:rPr>
                <w:rFonts w:ascii="宋体" w:hAnsi="宋体" w:cs="宋体"/>
                <w:color w:val="auto"/>
                <w:sz w:val="22"/>
                <w:highlight w:val="none"/>
              </w:rPr>
            </w:pPr>
          </w:p>
        </w:tc>
        <w:tc>
          <w:tcPr>
            <w:tcW w:w="1545" w:type="pct"/>
          </w:tcPr>
          <w:p w14:paraId="367B89CB">
            <w:pPr>
              <w:widowControl w:val="0"/>
              <w:adjustRightInd/>
              <w:snapToGrid/>
              <w:spacing w:line="360" w:lineRule="exact"/>
              <w:outlineLvl w:val="9"/>
              <w:rPr>
                <w:rFonts w:ascii="宋体" w:hAnsi="宋体" w:cs="宋体"/>
                <w:color w:val="auto"/>
                <w:sz w:val="22"/>
                <w:highlight w:val="none"/>
              </w:rPr>
            </w:pPr>
          </w:p>
        </w:tc>
        <w:tc>
          <w:tcPr>
            <w:tcW w:w="1481" w:type="pct"/>
          </w:tcPr>
          <w:p w14:paraId="42F983F5">
            <w:pPr>
              <w:widowControl w:val="0"/>
              <w:adjustRightInd/>
              <w:snapToGrid/>
              <w:spacing w:line="360" w:lineRule="exact"/>
              <w:outlineLvl w:val="9"/>
              <w:rPr>
                <w:rFonts w:ascii="宋体" w:hAnsi="宋体" w:cs="宋体"/>
                <w:color w:val="auto"/>
                <w:sz w:val="22"/>
                <w:highlight w:val="none"/>
              </w:rPr>
            </w:pPr>
          </w:p>
        </w:tc>
      </w:tr>
      <w:tr w14:paraId="5C40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BE154F9">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28116E84">
            <w:pPr>
              <w:widowControl w:val="0"/>
              <w:adjustRightInd/>
              <w:snapToGrid/>
              <w:spacing w:line="360" w:lineRule="exact"/>
              <w:outlineLvl w:val="9"/>
              <w:rPr>
                <w:rFonts w:ascii="宋体" w:hAnsi="宋体" w:cs="宋体"/>
                <w:color w:val="auto"/>
                <w:sz w:val="22"/>
                <w:highlight w:val="none"/>
              </w:rPr>
            </w:pPr>
          </w:p>
        </w:tc>
        <w:tc>
          <w:tcPr>
            <w:tcW w:w="1545" w:type="pct"/>
          </w:tcPr>
          <w:p w14:paraId="6CE95AE6">
            <w:pPr>
              <w:widowControl w:val="0"/>
              <w:adjustRightInd/>
              <w:snapToGrid/>
              <w:spacing w:line="360" w:lineRule="exact"/>
              <w:outlineLvl w:val="9"/>
              <w:rPr>
                <w:rFonts w:ascii="宋体" w:hAnsi="宋体" w:cs="宋体"/>
                <w:color w:val="auto"/>
                <w:sz w:val="22"/>
                <w:highlight w:val="none"/>
              </w:rPr>
            </w:pPr>
          </w:p>
        </w:tc>
        <w:tc>
          <w:tcPr>
            <w:tcW w:w="1481" w:type="pct"/>
          </w:tcPr>
          <w:p w14:paraId="3FCC54D1">
            <w:pPr>
              <w:widowControl w:val="0"/>
              <w:adjustRightInd/>
              <w:snapToGrid/>
              <w:spacing w:line="360" w:lineRule="exact"/>
              <w:outlineLvl w:val="9"/>
              <w:rPr>
                <w:rFonts w:ascii="宋体" w:hAnsi="宋体" w:cs="宋体"/>
                <w:color w:val="auto"/>
                <w:sz w:val="22"/>
                <w:highlight w:val="none"/>
              </w:rPr>
            </w:pPr>
          </w:p>
        </w:tc>
      </w:tr>
      <w:tr w14:paraId="36B6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6D033ED">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146488DF">
            <w:pPr>
              <w:widowControl w:val="0"/>
              <w:adjustRightInd/>
              <w:snapToGrid/>
              <w:spacing w:line="360" w:lineRule="exact"/>
              <w:outlineLvl w:val="9"/>
              <w:rPr>
                <w:rFonts w:ascii="宋体" w:hAnsi="宋体" w:cs="宋体"/>
                <w:color w:val="auto"/>
                <w:sz w:val="22"/>
                <w:highlight w:val="none"/>
              </w:rPr>
            </w:pPr>
          </w:p>
        </w:tc>
        <w:tc>
          <w:tcPr>
            <w:tcW w:w="1545" w:type="pct"/>
          </w:tcPr>
          <w:p w14:paraId="545F863A">
            <w:pPr>
              <w:widowControl w:val="0"/>
              <w:adjustRightInd/>
              <w:snapToGrid/>
              <w:spacing w:line="360" w:lineRule="exact"/>
              <w:outlineLvl w:val="9"/>
              <w:rPr>
                <w:rFonts w:ascii="宋体" w:hAnsi="宋体" w:cs="宋体"/>
                <w:color w:val="auto"/>
                <w:sz w:val="22"/>
                <w:highlight w:val="none"/>
              </w:rPr>
            </w:pPr>
          </w:p>
        </w:tc>
        <w:tc>
          <w:tcPr>
            <w:tcW w:w="1481" w:type="pct"/>
          </w:tcPr>
          <w:p w14:paraId="3FA9F929">
            <w:pPr>
              <w:widowControl w:val="0"/>
              <w:adjustRightInd/>
              <w:snapToGrid/>
              <w:spacing w:line="360" w:lineRule="exact"/>
              <w:outlineLvl w:val="9"/>
              <w:rPr>
                <w:rFonts w:ascii="宋体" w:hAnsi="宋体" w:cs="宋体"/>
                <w:color w:val="auto"/>
                <w:sz w:val="22"/>
                <w:highlight w:val="none"/>
              </w:rPr>
            </w:pPr>
          </w:p>
        </w:tc>
      </w:tr>
      <w:tr w14:paraId="41BD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83EA485">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4C4DBB69">
            <w:pPr>
              <w:widowControl w:val="0"/>
              <w:adjustRightInd/>
              <w:snapToGrid/>
              <w:spacing w:line="360" w:lineRule="exact"/>
              <w:outlineLvl w:val="9"/>
              <w:rPr>
                <w:rFonts w:ascii="宋体" w:hAnsi="宋体" w:cs="宋体"/>
                <w:color w:val="auto"/>
                <w:sz w:val="22"/>
                <w:highlight w:val="none"/>
              </w:rPr>
            </w:pPr>
          </w:p>
        </w:tc>
        <w:tc>
          <w:tcPr>
            <w:tcW w:w="1545" w:type="pct"/>
          </w:tcPr>
          <w:p w14:paraId="76CA3D1A">
            <w:pPr>
              <w:widowControl w:val="0"/>
              <w:adjustRightInd/>
              <w:snapToGrid/>
              <w:spacing w:line="360" w:lineRule="exact"/>
              <w:outlineLvl w:val="9"/>
              <w:rPr>
                <w:rFonts w:ascii="宋体" w:hAnsi="宋体" w:cs="宋体"/>
                <w:color w:val="auto"/>
                <w:sz w:val="22"/>
                <w:highlight w:val="none"/>
              </w:rPr>
            </w:pPr>
          </w:p>
        </w:tc>
        <w:tc>
          <w:tcPr>
            <w:tcW w:w="1481" w:type="pct"/>
          </w:tcPr>
          <w:p w14:paraId="262F038E">
            <w:pPr>
              <w:widowControl w:val="0"/>
              <w:adjustRightInd/>
              <w:snapToGrid/>
              <w:spacing w:line="360" w:lineRule="exact"/>
              <w:outlineLvl w:val="9"/>
              <w:rPr>
                <w:rFonts w:ascii="宋体" w:hAnsi="宋体" w:cs="宋体"/>
                <w:color w:val="auto"/>
                <w:sz w:val="22"/>
                <w:highlight w:val="none"/>
              </w:rPr>
            </w:pPr>
          </w:p>
        </w:tc>
      </w:tr>
      <w:tr w14:paraId="3561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41A3238">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5409C9E4">
            <w:pPr>
              <w:widowControl w:val="0"/>
              <w:adjustRightInd/>
              <w:snapToGrid/>
              <w:spacing w:line="360" w:lineRule="exact"/>
              <w:outlineLvl w:val="9"/>
              <w:rPr>
                <w:rFonts w:ascii="宋体" w:hAnsi="宋体" w:cs="宋体"/>
                <w:color w:val="auto"/>
                <w:sz w:val="22"/>
                <w:highlight w:val="none"/>
              </w:rPr>
            </w:pPr>
          </w:p>
        </w:tc>
        <w:tc>
          <w:tcPr>
            <w:tcW w:w="1545" w:type="pct"/>
          </w:tcPr>
          <w:p w14:paraId="00948FB1">
            <w:pPr>
              <w:widowControl w:val="0"/>
              <w:adjustRightInd/>
              <w:snapToGrid/>
              <w:spacing w:line="360" w:lineRule="exact"/>
              <w:outlineLvl w:val="9"/>
              <w:rPr>
                <w:rFonts w:ascii="宋体" w:hAnsi="宋体" w:cs="宋体"/>
                <w:color w:val="auto"/>
                <w:sz w:val="22"/>
                <w:highlight w:val="none"/>
              </w:rPr>
            </w:pPr>
          </w:p>
        </w:tc>
        <w:tc>
          <w:tcPr>
            <w:tcW w:w="1481" w:type="pct"/>
          </w:tcPr>
          <w:p w14:paraId="514EEA98">
            <w:pPr>
              <w:widowControl w:val="0"/>
              <w:adjustRightInd/>
              <w:snapToGrid/>
              <w:spacing w:line="360" w:lineRule="exact"/>
              <w:outlineLvl w:val="9"/>
              <w:rPr>
                <w:rFonts w:ascii="宋体" w:hAnsi="宋体" w:cs="宋体"/>
                <w:color w:val="auto"/>
                <w:sz w:val="22"/>
                <w:highlight w:val="none"/>
              </w:rPr>
            </w:pPr>
          </w:p>
        </w:tc>
      </w:tr>
      <w:tr w14:paraId="7C8D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0200281">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15024679">
            <w:pPr>
              <w:widowControl w:val="0"/>
              <w:adjustRightInd/>
              <w:snapToGrid/>
              <w:spacing w:line="360" w:lineRule="exact"/>
              <w:outlineLvl w:val="9"/>
              <w:rPr>
                <w:rFonts w:ascii="宋体" w:hAnsi="宋体" w:cs="宋体"/>
                <w:color w:val="auto"/>
                <w:sz w:val="22"/>
                <w:highlight w:val="none"/>
              </w:rPr>
            </w:pPr>
          </w:p>
        </w:tc>
        <w:tc>
          <w:tcPr>
            <w:tcW w:w="1545" w:type="pct"/>
          </w:tcPr>
          <w:p w14:paraId="7F2F98FA">
            <w:pPr>
              <w:widowControl w:val="0"/>
              <w:adjustRightInd/>
              <w:snapToGrid/>
              <w:spacing w:line="360" w:lineRule="exact"/>
              <w:outlineLvl w:val="9"/>
              <w:rPr>
                <w:rFonts w:ascii="宋体" w:hAnsi="宋体" w:cs="宋体"/>
                <w:color w:val="auto"/>
                <w:sz w:val="22"/>
                <w:highlight w:val="none"/>
              </w:rPr>
            </w:pPr>
          </w:p>
        </w:tc>
        <w:tc>
          <w:tcPr>
            <w:tcW w:w="1481" w:type="pct"/>
          </w:tcPr>
          <w:p w14:paraId="024315C6">
            <w:pPr>
              <w:widowControl w:val="0"/>
              <w:adjustRightInd/>
              <w:snapToGrid/>
              <w:spacing w:line="360" w:lineRule="exact"/>
              <w:outlineLvl w:val="9"/>
              <w:rPr>
                <w:rFonts w:ascii="宋体" w:hAnsi="宋体" w:cs="宋体"/>
                <w:color w:val="auto"/>
                <w:sz w:val="22"/>
                <w:highlight w:val="none"/>
              </w:rPr>
            </w:pPr>
          </w:p>
        </w:tc>
      </w:tr>
      <w:tr w14:paraId="768F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8306326">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10855C8C">
            <w:pPr>
              <w:widowControl w:val="0"/>
              <w:adjustRightInd/>
              <w:snapToGrid/>
              <w:spacing w:line="360" w:lineRule="exact"/>
              <w:outlineLvl w:val="9"/>
              <w:rPr>
                <w:rFonts w:ascii="宋体" w:hAnsi="宋体" w:cs="宋体"/>
                <w:color w:val="auto"/>
                <w:sz w:val="22"/>
                <w:highlight w:val="none"/>
              </w:rPr>
            </w:pPr>
          </w:p>
        </w:tc>
        <w:tc>
          <w:tcPr>
            <w:tcW w:w="1545" w:type="pct"/>
          </w:tcPr>
          <w:p w14:paraId="49FF4AD3">
            <w:pPr>
              <w:widowControl w:val="0"/>
              <w:adjustRightInd/>
              <w:snapToGrid/>
              <w:spacing w:line="360" w:lineRule="exact"/>
              <w:outlineLvl w:val="9"/>
              <w:rPr>
                <w:rFonts w:ascii="宋体" w:hAnsi="宋体" w:cs="宋体"/>
                <w:color w:val="auto"/>
                <w:sz w:val="22"/>
                <w:highlight w:val="none"/>
              </w:rPr>
            </w:pPr>
          </w:p>
        </w:tc>
        <w:tc>
          <w:tcPr>
            <w:tcW w:w="1481" w:type="pct"/>
          </w:tcPr>
          <w:p w14:paraId="133E20B8">
            <w:pPr>
              <w:widowControl w:val="0"/>
              <w:adjustRightInd/>
              <w:snapToGrid/>
              <w:spacing w:line="360" w:lineRule="exact"/>
              <w:outlineLvl w:val="9"/>
              <w:rPr>
                <w:rFonts w:ascii="宋体" w:hAnsi="宋体" w:cs="宋体"/>
                <w:color w:val="auto"/>
                <w:sz w:val="22"/>
                <w:highlight w:val="none"/>
              </w:rPr>
            </w:pPr>
          </w:p>
        </w:tc>
      </w:tr>
      <w:tr w14:paraId="58FB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EAB49C3">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664F8D26">
            <w:pPr>
              <w:widowControl w:val="0"/>
              <w:adjustRightInd/>
              <w:snapToGrid/>
              <w:spacing w:line="360" w:lineRule="exact"/>
              <w:outlineLvl w:val="9"/>
              <w:rPr>
                <w:rFonts w:ascii="宋体" w:hAnsi="宋体" w:cs="宋体"/>
                <w:color w:val="auto"/>
                <w:sz w:val="22"/>
                <w:highlight w:val="none"/>
              </w:rPr>
            </w:pPr>
          </w:p>
        </w:tc>
        <w:tc>
          <w:tcPr>
            <w:tcW w:w="1545" w:type="pct"/>
          </w:tcPr>
          <w:p w14:paraId="4F96E79D">
            <w:pPr>
              <w:widowControl w:val="0"/>
              <w:adjustRightInd/>
              <w:snapToGrid/>
              <w:spacing w:line="360" w:lineRule="exact"/>
              <w:outlineLvl w:val="9"/>
              <w:rPr>
                <w:rFonts w:ascii="宋体" w:hAnsi="宋体" w:cs="宋体"/>
                <w:color w:val="auto"/>
                <w:sz w:val="22"/>
                <w:highlight w:val="none"/>
              </w:rPr>
            </w:pPr>
          </w:p>
        </w:tc>
        <w:tc>
          <w:tcPr>
            <w:tcW w:w="1481" w:type="pct"/>
          </w:tcPr>
          <w:p w14:paraId="4F122EB8">
            <w:pPr>
              <w:widowControl w:val="0"/>
              <w:adjustRightInd/>
              <w:snapToGrid/>
              <w:spacing w:line="360" w:lineRule="exact"/>
              <w:outlineLvl w:val="9"/>
              <w:rPr>
                <w:rFonts w:ascii="宋体" w:hAnsi="宋体" w:cs="宋体"/>
                <w:color w:val="auto"/>
                <w:sz w:val="22"/>
                <w:highlight w:val="none"/>
              </w:rPr>
            </w:pPr>
          </w:p>
        </w:tc>
      </w:tr>
      <w:tr w14:paraId="1319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A200BB8">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084B93C9">
            <w:pPr>
              <w:widowControl w:val="0"/>
              <w:adjustRightInd/>
              <w:snapToGrid/>
              <w:spacing w:line="360" w:lineRule="exact"/>
              <w:outlineLvl w:val="9"/>
              <w:rPr>
                <w:rFonts w:ascii="宋体" w:hAnsi="宋体" w:cs="宋体"/>
                <w:color w:val="auto"/>
                <w:sz w:val="22"/>
                <w:highlight w:val="none"/>
              </w:rPr>
            </w:pPr>
          </w:p>
        </w:tc>
        <w:tc>
          <w:tcPr>
            <w:tcW w:w="1545" w:type="pct"/>
          </w:tcPr>
          <w:p w14:paraId="14B685B8">
            <w:pPr>
              <w:widowControl w:val="0"/>
              <w:adjustRightInd/>
              <w:snapToGrid/>
              <w:spacing w:line="360" w:lineRule="exact"/>
              <w:outlineLvl w:val="9"/>
              <w:rPr>
                <w:rFonts w:ascii="宋体" w:hAnsi="宋体" w:cs="宋体"/>
                <w:color w:val="auto"/>
                <w:sz w:val="22"/>
                <w:highlight w:val="none"/>
              </w:rPr>
            </w:pPr>
          </w:p>
        </w:tc>
        <w:tc>
          <w:tcPr>
            <w:tcW w:w="1481" w:type="pct"/>
          </w:tcPr>
          <w:p w14:paraId="64C5FB43">
            <w:pPr>
              <w:widowControl w:val="0"/>
              <w:adjustRightInd/>
              <w:snapToGrid/>
              <w:spacing w:line="360" w:lineRule="exact"/>
              <w:outlineLvl w:val="9"/>
              <w:rPr>
                <w:rFonts w:ascii="宋体" w:hAnsi="宋体" w:cs="宋体"/>
                <w:color w:val="auto"/>
                <w:sz w:val="22"/>
                <w:highlight w:val="none"/>
              </w:rPr>
            </w:pPr>
          </w:p>
        </w:tc>
      </w:tr>
      <w:tr w14:paraId="75F2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2C4B4FF">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60D9D8D6">
            <w:pPr>
              <w:widowControl w:val="0"/>
              <w:adjustRightInd/>
              <w:snapToGrid/>
              <w:spacing w:line="360" w:lineRule="exact"/>
              <w:outlineLvl w:val="9"/>
              <w:rPr>
                <w:rFonts w:ascii="宋体" w:hAnsi="宋体" w:cs="宋体"/>
                <w:color w:val="auto"/>
                <w:sz w:val="22"/>
                <w:highlight w:val="none"/>
              </w:rPr>
            </w:pPr>
          </w:p>
        </w:tc>
        <w:tc>
          <w:tcPr>
            <w:tcW w:w="1545" w:type="pct"/>
          </w:tcPr>
          <w:p w14:paraId="52D8E1F2">
            <w:pPr>
              <w:widowControl w:val="0"/>
              <w:adjustRightInd/>
              <w:snapToGrid/>
              <w:spacing w:line="360" w:lineRule="exact"/>
              <w:outlineLvl w:val="9"/>
              <w:rPr>
                <w:rFonts w:ascii="宋体" w:hAnsi="宋体" w:cs="宋体"/>
                <w:color w:val="auto"/>
                <w:sz w:val="22"/>
                <w:highlight w:val="none"/>
              </w:rPr>
            </w:pPr>
          </w:p>
        </w:tc>
        <w:tc>
          <w:tcPr>
            <w:tcW w:w="1481" w:type="pct"/>
          </w:tcPr>
          <w:p w14:paraId="57A43CCA">
            <w:pPr>
              <w:widowControl w:val="0"/>
              <w:adjustRightInd/>
              <w:snapToGrid/>
              <w:spacing w:line="360" w:lineRule="exact"/>
              <w:outlineLvl w:val="9"/>
              <w:rPr>
                <w:rFonts w:ascii="宋体" w:hAnsi="宋体" w:cs="宋体"/>
                <w:color w:val="auto"/>
                <w:sz w:val="22"/>
                <w:highlight w:val="none"/>
              </w:rPr>
            </w:pPr>
          </w:p>
        </w:tc>
      </w:tr>
    </w:tbl>
    <w:p w14:paraId="65ACAFDF">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备注：</w:t>
      </w:r>
    </w:p>
    <w:p w14:paraId="056DB4A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1"/>
          <w:szCs w:val="22"/>
          <w:highlight w:val="none"/>
          <w:lang w:val="en-US" w:eastAsia="zh-CN" w:bidi="ar-SA"/>
        </w:rPr>
        <w:t>1.</w:t>
      </w:r>
      <w:r>
        <w:rPr>
          <w:rFonts w:hint="eastAsia" w:ascii="宋体" w:hAnsi="宋体" w:eastAsia="宋体" w:cs="宋体"/>
          <w:color w:val="auto"/>
          <w:highlight w:val="none"/>
        </w:rPr>
        <w:t>以上为拟投入本项目运输车辆清单，</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可根据情况增加，不得减少。</w:t>
      </w:r>
      <w:r>
        <w:rPr>
          <w:rFonts w:hint="eastAsia" w:ascii="宋体" w:hAnsi="宋体" w:eastAsia="宋体" w:cs="宋体"/>
          <w:color w:val="auto"/>
          <w:highlight w:val="none"/>
          <w:lang w:val="en-US" w:eastAsia="zh-CN"/>
        </w:rPr>
        <w:t>以上</w:t>
      </w:r>
      <w:r>
        <w:rPr>
          <w:rFonts w:hint="eastAsia" w:ascii="宋体" w:hAnsi="宋体" w:eastAsia="宋体" w:cs="宋体"/>
          <w:color w:val="auto"/>
          <w:highlight w:val="none"/>
        </w:rPr>
        <w:t>名单为初步填写，后续如需更换，</w:t>
      </w:r>
      <w:r>
        <w:rPr>
          <w:rFonts w:hint="eastAsia" w:ascii="宋体" w:hAnsi="宋体" w:eastAsia="宋体" w:cs="宋体"/>
          <w:color w:val="auto"/>
          <w:highlight w:val="none"/>
          <w:lang w:val="en-US" w:eastAsia="zh-CN"/>
        </w:rPr>
        <w:t>需</w:t>
      </w:r>
      <w:r>
        <w:rPr>
          <w:rFonts w:hint="eastAsia" w:ascii="宋体" w:hAnsi="宋体" w:eastAsia="宋体" w:cs="宋体"/>
          <w:color w:val="auto"/>
          <w:highlight w:val="none"/>
        </w:rPr>
        <w:t>征得采购人</w:t>
      </w:r>
      <w:r>
        <w:rPr>
          <w:rFonts w:hint="eastAsia" w:ascii="宋体" w:hAnsi="宋体" w:eastAsia="宋体" w:cs="宋体"/>
          <w:color w:val="auto"/>
          <w:highlight w:val="none"/>
          <w:lang w:val="en-US" w:eastAsia="zh-CN"/>
        </w:rPr>
        <w:t>书面</w:t>
      </w:r>
      <w:r>
        <w:rPr>
          <w:rFonts w:hint="eastAsia" w:ascii="宋体" w:hAnsi="宋体" w:eastAsia="宋体" w:cs="宋体"/>
          <w:color w:val="auto"/>
          <w:highlight w:val="none"/>
        </w:rPr>
        <w:t>同意后方可更换。非投标人自有车辆的，需提供投标人与承租人的租赁合同或合作协议，均加盖公章；</w:t>
      </w:r>
      <w:r>
        <w:rPr>
          <w:rFonts w:hint="eastAsia" w:ascii="宋体" w:hAnsi="宋体" w:eastAsia="宋体" w:cs="宋体"/>
          <w:color w:val="auto"/>
          <w:highlight w:val="none"/>
          <w:lang w:val="en-US" w:eastAsia="zh-CN"/>
        </w:rPr>
        <w:t>合同履约过程中，成交人每少一辆</w:t>
      </w:r>
      <w:r>
        <w:rPr>
          <w:rFonts w:hint="eastAsia" w:ascii="宋体" w:hAnsi="宋体" w:cs="宋体"/>
          <w:color w:val="auto"/>
          <w:highlight w:val="none"/>
          <w:lang w:val="en-US" w:eastAsia="zh-CN"/>
        </w:rPr>
        <w:t>处以</w:t>
      </w:r>
      <w:r>
        <w:rPr>
          <w:rFonts w:hint="eastAsia" w:ascii="宋体" w:hAnsi="宋体" w:eastAsia="宋体" w:cs="宋体"/>
          <w:color w:val="auto"/>
          <w:highlight w:val="none"/>
          <w:lang w:val="en-US" w:eastAsia="zh-CN"/>
        </w:rPr>
        <w:t>10000元处罚，超过3辆的采购人有权无责解除合同并没收履约保证金。</w:t>
      </w:r>
    </w:p>
    <w:p w14:paraId="17A93B4D">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资料要求：</w:t>
      </w:r>
    </w:p>
    <w:p w14:paraId="60749EA4">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rPr>
        <w:t>【投标时提供】</w:t>
      </w:r>
      <w:r>
        <w:rPr>
          <w:rFonts w:hint="eastAsia" w:ascii="宋体" w:hAnsi="宋体" w:eastAsia="宋体" w:cs="宋体"/>
          <w:color w:val="auto"/>
          <w:highlight w:val="none"/>
          <w:lang w:val="en-US" w:eastAsia="zh-CN"/>
        </w:rPr>
        <w:t>上述</w:t>
      </w:r>
      <w:r>
        <w:rPr>
          <w:rFonts w:hint="eastAsia" w:ascii="宋体" w:hAnsi="宋体" w:eastAsia="宋体" w:cs="宋体"/>
          <w:color w:val="auto"/>
          <w:highlight w:val="none"/>
        </w:rPr>
        <w:t>运输车辆的《道路运输证》</w:t>
      </w:r>
      <w:r>
        <w:rPr>
          <w:rFonts w:hint="eastAsia" w:ascii="宋体" w:hAnsi="宋体" w:eastAsia="宋体" w:cs="宋体"/>
          <w:color w:val="auto"/>
          <w:highlight w:val="none"/>
          <w:lang w:val="en-US" w:eastAsia="zh-CN"/>
        </w:rPr>
        <w:t>且经营范围包括“危险货物运输”</w:t>
      </w:r>
      <w:r>
        <w:rPr>
          <w:rFonts w:hint="eastAsia" w:ascii="宋体" w:hAnsi="宋体" w:eastAsia="宋体" w:cs="宋体"/>
          <w:color w:val="auto"/>
          <w:highlight w:val="none"/>
        </w:rPr>
        <w:t>（加盖公章）；非投标人自有车辆的，需提供投标人与承租人的租赁合同或合作协议，均加盖公章</w:t>
      </w:r>
      <w:r>
        <w:rPr>
          <w:rFonts w:hint="eastAsia" w:ascii="宋体" w:hAnsi="宋体" w:eastAsia="宋体" w:cs="宋体"/>
          <w:color w:val="auto"/>
          <w:highlight w:val="none"/>
          <w:lang w:eastAsia="zh-CN"/>
        </w:rPr>
        <w:t>。</w:t>
      </w:r>
    </w:p>
    <w:p w14:paraId="5F8B70A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【中标后向</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rPr>
        <w:t>备案】运输车辆的行驶证、道路运输证、强制险保单、商业险保单、危险货物承运人保单、GPS定位系统安装证明、视频监控接入证明等。</w:t>
      </w:r>
    </w:p>
    <w:p w14:paraId="753DE32F">
      <w:pPr>
        <w:keepNext w:val="0"/>
        <w:keepLines w:val="0"/>
        <w:pageBreakBefore w:val="0"/>
        <w:kinsoku/>
        <w:wordWrap/>
        <w:overflowPunct/>
        <w:topLinePunct w:val="0"/>
        <w:autoSpaceDE/>
        <w:autoSpaceDN/>
        <w:bidi w:val="0"/>
        <w:spacing w:line="460" w:lineRule="exact"/>
        <w:textAlignment w:val="auto"/>
        <w:rPr>
          <w:rFonts w:hint="eastAsia" w:ascii="宋体" w:hAnsi="宋体"/>
          <w:b/>
          <w:color w:val="auto"/>
          <w:sz w:val="21"/>
          <w:szCs w:val="21"/>
          <w:highlight w:val="none"/>
        </w:rPr>
      </w:pPr>
      <w:bookmarkStart w:id="15" w:name="_Toc9453"/>
      <w:bookmarkStart w:id="16" w:name="_Toc15740"/>
      <w:bookmarkStart w:id="17" w:name="_Toc32168"/>
      <w:bookmarkStart w:id="18" w:name="_Toc29928"/>
      <w:bookmarkStart w:id="19" w:name="_Toc13772"/>
      <w:bookmarkStart w:id="20" w:name="_Toc25130"/>
      <w:bookmarkStart w:id="21" w:name="_Toc2600"/>
      <w:bookmarkStart w:id="22" w:name="_Toc15014"/>
      <w:r>
        <w:rPr>
          <w:rFonts w:hint="eastAsia" w:ascii="宋体" w:hAnsi="宋体"/>
          <w:b/>
          <w:color w:val="auto"/>
          <w:sz w:val="21"/>
          <w:szCs w:val="21"/>
          <w:highlight w:val="none"/>
        </w:rPr>
        <w:br w:type="page"/>
      </w:r>
    </w:p>
    <w:p w14:paraId="14EC87D4">
      <w:pPr>
        <w:outlineLvl w:val="9"/>
        <w:rPr>
          <w:rFonts w:hint="eastAsia" w:ascii="宋体" w:hAnsi="宋体"/>
          <w:b/>
          <w:color w:val="auto"/>
          <w:sz w:val="21"/>
          <w:szCs w:val="21"/>
          <w:highlight w:val="none"/>
        </w:rPr>
      </w:pPr>
      <w:r>
        <w:rPr>
          <w:rFonts w:hint="eastAsia" w:ascii="宋体" w:hAnsi="宋体"/>
          <w:b/>
          <w:color w:val="auto"/>
          <w:sz w:val="21"/>
          <w:szCs w:val="21"/>
          <w:highlight w:val="none"/>
        </w:rPr>
        <w:t>技术需求书附件</w:t>
      </w:r>
      <w:r>
        <w:rPr>
          <w:rFonts w:hint="eastAsia" w:ascii="宋体" w:hAnsi="宋体"/>
          <w:b/>
          <w:color w:val="auto"/>
          <w:sz w:val="21"/>
          <w:szCs w:val="21"/>
          <w:highlight w:val="none"/>
          <w:lang w:val="en-US" w:eastAsia="zh-CN"/>
        </w:rPr>
        <w:t>2</w:t>
      </w:r>
      <w:r>
        <w:rPr>
          <w:rFonts w:hint="eastAsia" w:ascii="宋体" w:hAnsi="宋体"/>
          <w:b/>
          <w:color w:val="auto"/>
          <w:sz w:val="21"/>
          <w:szCs w:val="21"/>
          <w:highlight w:val="none"/>
        </w:rPr>
        <w:t>：《运输人员花名册》</w:t>
      </w:r>
      <w:bookmarkEnd w:id="15"/>
      <w:bookmarkEnd w:id="16"/>
      <w:bookmarkEnd w:id="17"/>
      <w:bookmarkEnd w:id="18"/>
      <w:r>
        <w:rPr>
          <w:rFonts w:hint="eastAsia" w:ascii="宋体" w:hAnsi="宋体"/>
          <w:b/>
          <w:color w:val="auto"/>
          <w:sz w:val="21"/>
          <w:szCs w:val="21"/>
          <w:highlight w:val="none"/>
        </w:rPr>
        <w:t xml:space="preserve"> </w:t>
      </w:r>
      <w:bookmarkEnd w:id="19"/>
      <w:bookmarkEnd w:id="20"/>
      <w:bookmarkEnd w:id="21"/>
      <w:bookmarkEnd w:id="22"/>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4"/>
        <w:gridCol w:w="2525"/>
      </w:tblGrid>
      <w:tr w14:paraId="3604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2639B917">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6F52B32E">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人员名单</w:t>
            </w:r>
          </w:p>
        </w:tc>
        <w:tc>
          <w:tcPr>
            <w:tcW w:w="1545" w:type="pct"/>
          </w:tcPr>
          <w:p w14:paraId="5DC4E49D">
            <w:pPr>
              <w:widowControl w:val="0"/>
              <w:adjustRightInd/>
              <w:snapToGrid/>
              <w:spacing w:line="360" w:lineRule="exact"/>
              <w:ind w:firstLine="220" w:firstLineChars="100"/>
              <w:jc w:val="center"/>
              <w:outlineLvl w:val="9"/>
              <w:rPr>
                <w:rFonts w:ascii="宋体" w:hAnsi="宋体" w:cs="宋体"/>
                <w:color w:val="auto"/>
                <w:sz w:val="22"/>
                <w:highlight w:val="none"/>
              </w:rPr>
            </w:pPr>
            <w:r>
              <w:rPr>
                <w:rFonts w:hint="eastAsia" w:ascii="宋体" w:hAnsi="宋体" w:cs="宋体"/>
                <w:color w:val="auto"/>
                <w:sz w:val="22"/>
                <w:highlight w:val="none"/>
              </w:rPr>
              <w:t>证照（类别）</w:t>
            </w:r>
          </w:p>
        </w:tc>
        <w:tc>
          <w:tcPr>
            <w:tcW w:w="1481" w:type="pct"/>
          </w:tcPr>
          <w:p w14:paraId="67763976">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0755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14C6B0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36B9CCB7">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A32602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1DC35C46">
            <w:pPr>
              <w:widowControl w:val="0"/>
              <w:adjustRightInd/>
              <w:snapToGrid/>
              <w:spacing w:line="360" w:lineRule="exact"/>
              <w:jc w:val="center"/>
              <w:outlineLvl w:val="9"/>
              <w:rPr>
                <w:rFonts w:ascii="宋体" w:hAnsi="宋体" w:cs="宋体"/>
                <w:color w:val="auto"/>
                <w:sz w:val="22"/>
                <w:highlight w:val="none"/>
              </w:rPr>
            </w:pPr>
          </w:p>
        </w:tc>
      </w:tr>
      <w:tr w14:paraId="5981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802D99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62C6C8F3">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177EA368">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74A7C30">
            <w:pPr>
              <w:widowControl w:val="0"/>
              <w:adjustRightInd/>
              <w:snapToGrid/>
              <w:spacing w:line="360" w:lineRule="exact"/>
              <w:jc w:val="center"/>
              <w:outlineLvl w:val="9"/>
              <w:rPr>
                <w:rFonts w:ascii="宋体" w:hAnsi="宋体" w:cs="宋体"/>
                <w:color w:val="auto"/>
                <w:sz w:val="22"/>
                <w:highlight w:val="none"/>
              </w:rPr>
            </w:pPr>
          </w:p>
        </w:tc>
      </w:tr>
      <w:tr w14:paraId="056E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5508E4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5CE230D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C41244A">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59E704B1">
            <w:pPr>
              <w:widowControl w:val="0"/>
              <w:adjustRightInd/>
              <w:snapToGrid/>
              <w:spacing w:line="360" w:lineRule="exact"/>
              <w:jc w:val="center"/>
              <w:outlineLvl w:val="9"/>
              <w:rPr>
                <w:rFonts w:ascii="宋体" w:hAnsi="宋体" w:cs="宋体"/>
                <w:color w:val="auto"/>
                <w:sz w:val="22"/>
                <w:highlight w:val="none"/>
              </w:rPr>
            </w:pPr>
          </w:p>
        </w:tc>
      </w:tr>
      <w:tr w14:paraId="07E4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B833A9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0B0DE43F">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D07F606">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06641D2">
            <w:pPr>
              <w:widowControl w:val="0"/>
              <w:adjustRightInd/>
              <w:snapToGrid/>
              <w:spacing w:line="360" w:lineRule="exact"/>
              <w:jc w:val="center"/>
              <w:outlineLvl w:val="9"/>
              <w:rPr>
                <w:rFonts w:ascii="宋体" w:hAnsi="宋体" w:cs="宋体"/>
                <w:color w:val="auto"/>
                <w:sz w:val="22"/>
                <w:highlight w:val="none"/>
              </w:rPr>
            </w:pPr>
          </w:p>
        </w:tc>
      </w:tr>
      <w:tr w14:paraId="69DD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F79E52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54F35671">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A116164">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E87C46B">
            <w:pPr>
              <w:widowControl w:val="0"/>
              <w:adjustRightInd/>
              <w:snapToGrid/>
              <w:spacing w:line="360" w:lineRule="exact"/>
              <w:jc w:val="center"/>
              <w:outlineLvl w:val="9"/>
              <w:rPr>
                <w:rFonts w:ascii="宋体" w:hAnsi="宋体" w:cs="宋体"/>
                <w:color w:val="auto"/>
                <w:sz w:val="22"/>
                <w:highlight w:val="none"/>
              </w:rPr>
            </w:pPr>
          </w:p>
        </w:tc>
      </w:tr>
      <w:tr w14:paraId="0D59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578954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72581FE0">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1B7E872">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D5D23EB">
            <w:pPr>
              <w:widowControl w:val="0"/>
              <w:adjustRightInd/>
              <w:snapToGrid/>
              <w:spacing w:line="360" w:lineRule="exact"/>
              <w:jc w:val="center"/>
              <w:outlineLvl w:val="9"/>
              <w:rPr>
                <w:rFonts w:ascii="宋体" w:hAnsi="宋体" w:cs="宋体"/>
                <w:color w:val="auto"/>
                <w:sz w:val="22"/>
                <w:highlight w:val="none"/>
              </w:rPr>
            </w:pPr>
          </w:p>
        </w:tc>
      </w:tr>
      <w:tr w14:paraId="2982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362514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3BB27A64">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78BEEA5C">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E1490EB">
            <w:pPr>
              <w:widowControl w:val="0"/>
              <w:adjustRightInd/>
              <w:snapToGrid/>
              <w:spacing w:line="360" w:lineRule="exact"/>
              <w:jc w:val="center"/>
              <w:outlineLvl w:val="9"/>
              <w:rPr>
                <w:rFonts w:ascii="宋体" w:hAnsi="宋体" w:cs="宋体"/>
                <w:color w:val="auto"/>
                <w:sz w:val="22"/>
                <w:highlight w:val="none"/>
              </w:rPr>
            </w:pPr>
          </w:p>
        </w:tc>
      </w:tr>
      <w:tr w14:paraId="48F6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524FEB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6DCA0359">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4A8FEE8">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D9C618E">
            <w:pPr>
              <w:widowControl w:val="0"/>
              <w:adjustRightInd/>
              <w:snapToGrid/>
              <w:spacing w:line="360" w:lineRule="exact"/>
              <w:jc w:val="center"/>
              <w:outlineLvl w:val="9"/>
              <w:rPr>
                <w:rFonts w:ascii="宋体" w:hAnsi="宋体" w:cs="宋体"/>
                <w:color w:val="auto"/>
                <w:sz w:val="22"/>
                <w:highlight w:val="none"/>
              </w:rPr>
            </w:pPr>
          </w:p>
        </w:tc>
      </w:tr>
      <w:tr w14:paraId="55C7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7E5F4C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0F2732E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6058749">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0DEB1AC">
            <w:pPr>
              <w:widowControl w:val="0"/>
              <w:adjustRightInd/>
              <w:snapToGrid/>
              <w:spacing w:line="360" w:lineRule="exact"/>
              <w:jc w:val="center"/>
              <w:outlineLvl w:val="9"/>
              <w:rPr>
                <w:rFonts w:ascii="宋体" w:hAnsi="宋体" w:cs="宋体"/>
                <w:color w:val="auto"/>
                <w:sz w:val="22"/>
                <w:highlight w:val="none"/>
              </w:rPr>
            </w:pPr>
          </w:p>
        </w:tc>
      </w:tr>
      <w:tr w14:paraId="28100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4A83D8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0A015A2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D91C2E5">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407F3A6">
            <w:pPr>
              <w:widowControl w:val="0"/>
              <w:adjustRightInd/>
              <w:snapToGrid/>
              <w:spacing w:line="360" w:lineRule="exact"/>
              <w:jc w:val="center"/>
              <w:outlineLvl w:val="9"/>
              <w:rPr>
                <w:rFonts w:ascii="宋体" w:hAnsi="宋体" w:cs="宋体"/>
                <w:color w:val="auto"/>
                <w:sz w:val="22"/>
                <w:highlight w:val="none"/>
              </w:rPr>
            </w:pPr>
          </w:p>
        </w:tc>
      </w:tr>
      <w:tr w14:paraId="277F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384266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2D422E64">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451796F">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0705430">
            <w:pPr>
              <w:widowControl w:val="0"/>
              <w:adjustRightInd/>
              <w:snapToGrid/>
              <w:spacing w:line="360" w:lineRule="exact"/>
              <w:jc w:val="center"/>
              <w:outlineLvl w:val="9"/>
              <w:rPr>
                <w:rFonts w:ascii="宋体" w:hAnsi="宋体" w:cs="宋体"/>
                <w:color w:val="auto"/>
                <w:sz w:val="22"/>
                <w:highlight w:val="none"/>
              </w:rPr>
            </w:pPr>
          </w:p>
        </w:tc>
      </w:tr>
      <w:tr w14:paraId="271B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8F6AC1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15B662E8">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FB59ECB">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F8BDBD6">
            <w:pPr>
              <w:widowControl w:val="0"/>
              <w:adjustRightInd/>
              <w:snapToGrid/>
              <w:spacing w:line="360" w:lineRule="exact"/>
              <w:jc w:val="center"/>
              <w:outlineLvl w:val="9"/>
              <w:rPr>
                <w:rFonts w:ascii="宋体" w:hAnsi="宋体" w:cs="宋体"/>
                <w:color w:val="auto"/>
                <w:sz w:val="22"/>
                <w:highlight w:val="none"/>
              </w:rPr>
            </w:pPr>
          </w:p>
        </w:tc>
      </w:tr>
      <w:tr w14:paraId="1FF6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946CF7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41BE2F8E">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7D23806">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976084B">
            <w:pPr>
              <w:widowControl w:val="0"/>
              <w:adjustRightInd/>
              <w:snapToGrid/>
              <w:spacing w:line="360" w:lineRule="exact"/>
              <w:jc w:val="center"/>
              <w:outlineLvl w:val="9"/>
              <w:rPr>
                <w:rFonts w:ascii="宋体" w:hAnsi="宋体" w:cs="宋体"/>
                <w:color w:val="auto"/>
                <w:sz w:val="22"/>
                <w:highlight w:val="none"/>
              </w:rPr>
            </w:pPr>
          </w:p>
        </w:tc>
      </w:tr>
      <w:tr w14:paraId="5875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04448B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7B5E8475">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73690B5">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5A8BFE28">
            <w:pPr>
              <w:widowControl w:val="0"/>
              <w:adjustRightInd/>
              <w:snapToGrid/>
              <w:spacing w:line="360" w:lineRule="exact"/>
              <w:jc w:val="center"/>
              <w:outlineLvl w:val="9"/>
              <w:rPr>
                <w:rFonts w:ascii="宋体" w:hAnsi="宋体" w:cs="宋体"/>
                <w:color w:val="auto"/>
                <w:sz w:val="22"/>
                <w:highlight w:val="none"/>
              </w:rPr>
            </w:pPr>
          </w:p>
        </w:tc>
      </w:tr>
      <w:tr w14:paraId="5F20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3B7F33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083A9ADF">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13E62450">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444922AD">
            <w:pPr>
              <w:widowControl w:val="0"/>
              <w:adjustRightInd/>
              <w:snapToGrid/>
              <w:spacing w:line="360" w:lineRule="exact"/>
              <w:jc w:val="center"/>
              <w:outlineLvl w:val="9"/>
              <w:rPr>
                <w:rFonts w:ascii="宋体" w:hAnsi="宋体" w:cs="宋体"/>
                <w:color w:val="auto"/>
                <w:sz w:val="22"/>
                <w:highlight w:val="none"/>
              </w:rPr>
            </w:pPr>
          </w:p>
        </w:tc>
      </w:tr>
      <w:tr w14:paraId="5ABD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08E05A3">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4494E239">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1461F6C2">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623748F">
            <w:pPr>
              <w:widowControl w:val="0"/>
              <w:adjustRightInd/>
              <w:snapToGrid/>
              <w:spacing w:line="360" w:lineRule="exact"/>
              <w:jc w:val="center"/>
              <w:outlineLvl w:val="9"/>
              <w:rPr>
                <w:rFonts w:ascii="宋体" w:hAnsi="宋体" w:cs="宋体"/>
                <w:color w:val="auto"/>
                <w:sz w:val="22"/>
                <w:highlight w:val="none"/>
              </w:rPr>
            </w:pPr>
          </w:p>
        </w:tc>
      </w:tr>
      <w:tr w14:paraId="0EC4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B573093">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6DBC9E21">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07ECCB8">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4BC69BBC">
            <w:pPr>
              <w:widowControl w:val="0"/>
              <w:adjustRightInd/>
              <w:snapToGrid/>
              <w:spacing w:line="360" w:lineRule="exact"/>
              <w:jc w:val="center"/>
              <w:outlineLvl w:val="9"/>
              <w:rPr>
                <w:rFonts w:ascii="宋体" w:hAnsi="宋体" w:cs="宋体"/>
                <w:color w:val="auto"/>
                <w:sz w:val="22"/>
                <w:highlight w:val="none"/>
              </w:rPr>
            </w:pPr>
          </w:p>
        </w:tc>
      </w:tr>
      <w:tr w14:paraId="154F6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949B8FF">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056D0D5C">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8196627">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FD6ABCC">
            <w:pPr>
              <w:widowControl w:val="0"/>
              <w:adjustRightInd/>
              <w:snapToGrid/>
              <w:spacing w:line="360" w:lineRule="exact"/>
              <w:jc w:val="center"/>
              <w:outlineLvl w:val="9"/>
              <w:rPr>
                <w:rFonts w:ascii="宋体" w:hAnsi="宋体" w:cs="宋体"/>
                <w:color w:val="auto"/>
                <w:sz w:val="22"/>
                <w:highlight w:val="none"/>
              </w:rPr>
            </w:pPr>
          </w:p>
        </w:tc>
      </w:tr>
      <w:tr w14:paraId="4950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AFA7BA1">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62E7A58F">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F44EC9C">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11427B6D">
            <w:pPr>
              <w:widowControl w:val="0"/>
              <w:adjustRightInd/>
              <w:snapToGrid/>
              <w:spacing w:line="360" w:lineRule="exact"/>
              <w:jc w:val="center"/>
              <w:outlineLvl w:val="9"/>
              <w:rPr>
                <w:rFonts w:ascii="宋体" w:hAnsi="宋体" w:cs="宋体"/>
                <w:color w:val="auto"/>
                <w:sz w:val="22"/>
                <w:highlight w:val="none"/>
              </w:rPr>
            </w:pPr>
          </w:p>
        </w:tc>
      </w:tr>
      <w:tr w14:paraId="6674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CD4043C">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7B9C1F67">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A9CE160">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3117DB4">
            <w:pPr>
              <w:widowControl w:val="0"/>
              <w:adjustRightInd/>
              <w:snapToGrid/>
              <w:spacing w:line="360" w:lineRule="exact"/>
              <w:jc w:val="center"/>
              <w:outlineLvl w:val="9"/>
              <w:rPr>
                <w:rFonts w:ascii="宋体" w:hAnsi="宋体" w:cs="宋体"/>
                <w:color w:val="auto"/>
                <w:sz w:val="22"/>
                <w:highlight w:val="none"/>
              </w:rPr>
            </w:pPr>
          </w:p>
        </w:tc>
      </w:tr>
    </w:tbl>
    <w:p w14:paraId="77D286E0">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备注：</w:t>
      </w:r>
    </w:p>
    <w:p w14:paraId="73E653C9">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1</w:t>
      </w:r>
      <w:r>
        <w:rPr>
          <w:rFonts w:hint="eastAsia" w:ascii="宋体" w:hAnsi="宋体" w:cs="宋体"/>
          <w:color w:val="auto"/>
          <w:sz w:val="22"/>
          <w:highlight w:val="none"/>
          <w:lang w:val="en-US" w:eastAsia="zh-CN"/>
        </w:rPr>
        <w:t>.</w:t>
      </w:r>
      <w:r>
        <w:rPr>
          <w:rFonts w:hint="eastAsia" w:ascii="宋体" w:hAnsi="宋体" w:cs="宋体"/>
          <w:color w:val="auto"/>
          <w:sz w:val="22"/>
          <w:highlight w:val="none"/>
        </w:rPr>
        <w:t>投标人须</w:t>
      </w:r>
      <w:r>
        <w:rPr>
          <w:rFonts w:hint="eastAsia" w:ascii="宋体" w:hAnsi="宋体" w:cs="宋体"/>
          <w:color w:val="auto"/>
          <w:sz w:val="22"/>
          <w:highlight w:val="none"/>
          <w:lang w:val="en-US" w:eastAsia="zh-CN"/>
        </w:rPr>
        <w:t>根据《运输车辆名册》车辆数量配备驾驶员、押运员，及调度、后勤、管理等人员</w:t>
      </w:r>
      <w:r>
        <w:rPr>
          <w:rFonts w:hint="eastAsia" w:ascii="宋体" w:hAnsi="宋体" w:cs="宋体"/>
          <w:color w:val="auto"/>
          <w:sz w:val="22"/>
          <w:highlight w:val="none"/>
        </w:rPr>
        <w:t>。如驾驶员和押运员非投标人自有员工的，需提供投标人与承租人的租赁合同或合作协议</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加盖公章</w:t>
      </w:r>
      <w:r>
        <w:rPr>
          <w:rFonts w:hint="eastAsia" w:ascii="宋体" w:hAnsi="宋体" w:cs="宋体"/>
          <w:color w:val="auto"/>
          <w:sz w:val="22"/>
          <w:highlight w:val="none"/>
        </w:rPr>
        <w:t>；具体人员名单为初步填写，后续如需更换，</w:t>
      </w:r>
      <w:r>
        <w:rPr>
          <w:rFonts w:hint="eastAsia" w:ascii="宋体" w:hAnsi="宋体" w:cs="宋体"/>
          <w:color w:val="auto"/>
          <w:sz w:val="22"/>
          <w:highlight w:val="none"/>
          <w:lang w:val="en-US" w:eastAsia="zh-CN"/>
        </w:rPr>
        <w:t>需</w:t>
      </w:r>
      <w:r>
        <w:rPr>
          <w:rFonts w:hint="eastAsia" w:ascii="宋体" w:hAnsi="宋体" w:cs="宋体"/>
          <w:color w:val="auto"/>
          <w:sz w:val="22"/>
          <w:highlight w:val="none"/>
        </w:rPr>
        <w:t>征得采购人</w:t>
      </w:r>
      <w:r>
        <w:rPr>
          <w:rFonts w:hint="eastAsia" w:ascii="宋体" w:hAnsi="宋体" w:cs="宋体"/>
          <w:color w:val="auto"/>
          <w:sz w:val="22"/>
          <w:highlight w:val="none"/>
          <w:lang w:val="en-US" w:eastAsia="zh-CN"/>
        </w:rPr>
        <w:t>书面</w:t>
      </w:r>
      <w:r>
        <w:rPr>
          <w:rFonts w:hint="eastAsia" w:ascii="宋体" w:hAnsi="宋体" w:cs="宋体"/>
          <w:color w:val="auto"/>
          <w:sz w:val="22"/>
          <w:highlight w:val="none"/>
        </w:rPr>
        <w:t>同意后方可更换。</w:t>
      </w:r>
    </w:p>
    <w:p w14:paraId="7C49F571">
      <w:pPr>
        <w:keepNext w:val="0"/>
        <w:keepLines w:val="0"/>
        <w:pageBreakBefore w:val="0"/>
        <w:widowControl w:val="0"/>
        <w:kinsoku/>
        <w:wordWrap/>
        <w:overflowPunct/>
        <w:topLinePunct w:val="0"/>
        <w:autoSpaceDE/>
        <w:autoSpaceDN/>
        <w:bidi w:val="0"/>
        <w:adjustRightInd/>
        <w:snapToGrid/>
        <w:spacing w:line="4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lang w:val="en-US" w:eastAsia="zh-CN"/>
        </w:rPr>
        <w:t>2.</w:t>
      </w:r>
      <w:r>
        <w:rPr>
          <w:rFonts w:hint="eastAsia" w:ascii="宋体" w:hAnsi="宋体" w:cs="宋体"/>
          <w:color w:val="auto"/>
          <w:sz w:val="22"/>
          <w:highlight w:val="none"/>
        </w:rPr>
        <w:t>资料要求：</w:t>
      </w:r>
    </w:p>
    <w:p w14:paraId="46DB60C3">
      <w:pPr>
        <w:keepNext w:val="0"/>
        <w:keepLines w:val="0"/>
        <w:pageBreakBefore w:val="0"/>
        <w:widowControl w:val="0"/>
        <w:kinsoku/>
        <w:wordWrap/>
        <w:overflowPunct/>
        <w:topLinePunct w:val="0"/>
        <w:autoSpaceDE/>
        <w:autoSpaceDN/>
        <w:bidi w:val="0"/>
        <w:adjustRightInd/>
        <w:snapToGrid/>
        <w:spacing w:line="460" w:lineRule="exact"/>
        <w:ind w:firstLine="442" w:firstLineChars="200"/>
        <w:jc w:val="both"/>
        <w:textAlignment w:val="auto"/>
        <w:rPr>
          <w:rFonts w:hint="eastAsia" w:ascii="宋体" w:hAnsi="宋体" w:cs="宋体"/>
          <w:color w:val="auto"/>
          <w:sz w:val="22"/>
          <w:highlight w:val="none"/>
        </w:rPr>
      </w:pPr>
      <w:r>
        <w:rPr>
          <w:rFonts w:hint="eastAsia" w:ascii="宋体" w:hAnsi="宋体" w:cs="宋体"/>
          <w:b/>
          <w:bCs/>
          <w:color w:val="auto"/>
          <w:sz w:val="22"/>
          <w:highlight w:val="none"/>
        </w:rPr>
        <w:t>【投标时提供】</w:t>
      </w:r>
      <w:r>
        <w:rPr>
          <w:rFonts w:hint="eastAsia" w:ascii="宋体" w:hAnsi="宋体" w:cs="宋体"/>
          <w:color w:val="auto"/>
          <w:sz w:val="22"/>
          <w:highlight w:val="none"/>
        </w:rPr>
        <w:t>驾驶员的《道路运输从业人员从业资格证》且从业资格类别包括“道路危险货物运输</w:t>
      </w:r>
      <w:r>
        <w:rPr>
          <w:rFonts w:hint="eastAsia" w:ascii="宋体" w:hAnsi="宋体" w:cs="宋体"/>
          <w:color w:val="auto"/>
          <w:sz w:val="22"/>
          <w:highlight w:val="none"/>
          <w:lang w:val="en-US" w:eastAsia="zh-CN"/>
        </w:rPr>
        <w:t>驾驶员</w:t>
      </w:r>
      <w:r>
        <w:rPr>
          <w:rFonts w:hint="eastAsia" w:ascii="宋体" w:hAnsi="宋体" w:cs="宋体"/>
          <w:color w:val="auto"/>
          <w:sz w:val="22"/>
          <w:highlight w:val="none"/>
        </w:rPr>
        <w:t>”及押运员的《道路运输从业人员从业资格证》且从业资格类别包括“道路危险货物运输押运人员”，加盖公章。</w:t>
      </w:r>
    </w:p>
    <w:p w14:paraId="4B309D65">
      <w:pPr>
        <w:keepNext w:val="0"/>
        <w:keepLines w:val="0"/>
        <w:pageBreakBefore w:val="0"/>
        <w:widowControl w:val="0"/>
        <w:kinsoku/>
        <w:wordWrap/>
        <w:overflowPunct/>
        <w:topLinePunct w:val="0"/>
        <w:autoSpaceDE/>
        <w:autoSpaceDN/>
        <w:bidi w:val="0"/>
        <w:adjustRightInd/>
        <w:snapToGrid/>
        <w:spacing w:line="460" w:lineRule="exact"/>
        <w:ind w:firstLine="442"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cs="宋体"/>
          <w:b/>
          <w:bCs/>
          <w:color w:val="auto"/>
          <w:sz w:val="22"/>
          <w:highlight w:val="none"/>
        </w:rPr>
        <w:t>【中标后</w:t>
      </w:r>
      <w:r>
        <w:rPr>
          <w:rFonts w:hint="eastAsia" w:ascii="宋体" w:hAnsi="宋体" w:cs="宋体"/>
          <w:b/>
          <w:bCs/>
          <w:color w:val="auto"/>
          <w:sz w:val="22"/>
          <w:highlight w:val="none"/>
          <w:lang w:val="en-US" w:eastAsia="zh-CN"/>
        </w:rPr>
        <w:t>向甲方备案</w:t>
      </w:r>
      <w:r>
        <w:rPr>
          <w:rFonts w:hint="eastAsia" w:ascii="宋体" w:hAnsi="宋体" w:cs="宋体"/>
          <w:b/>
          <w:bCs/>
          <w:color w:val="auto"/>
          <w:sz w:val="22"/>
          <w:highlight w:val="none"/>
        </w:rPr>
        <w:t>】</w:t>
      </w:r>
      <w:r>
        <w:rPr>
          <w:rFonts w:hint="eastAsia" w:ascii="宋体" w:hAnsi="宋体" w:cs="宋体"/>
          <w:color w:val="auto"/>
          <w:sz w:val="22"/>
          <w:highlight w:val="none"/>
        </w:rPr>
        <w:t>驾驶员的身份证、</w:t>
      </w:r>
      <w:r>
        <w:rPr>
          <w:rFonts w:hint="eastAsia" w:ascii="宋体" w:hAnsi="宋体" w:cs="宋体"/>
          <w:color w:val="auto"/>
          <w:sz w:val="22"/>
          <w:highlight w:val="none"/>
          <w:lang w:val="en-US" w:eastAsia="zh-CN"/>
        </w:rPr>
        <w:t>驾驶证、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和保险证明等；押运员的身份证、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w:t>
      </w:r>
      <w:r>
        <w:rPr>
          <w:rFonts w:hint="eastAsia" w:ascii="宋体" w:hAnsi="宋体" w:eastAsia="宋体" w:cs="宋体"/>
          <w:color w:val="auto"/>
          <w:sz w:val="21"/>
          <w:szCs w:val="21"/>
          <w:highlight w:val="none"/>
          <w:lang w:val="en-US" w:eastAsia="zh-CN"/>
        </w:rPr>
        <w:br w:type="page"/>
      </w:r>
    </w:p>
    <w:p w14:paraId="6192C79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color w:val="auto"/>
          <w:szCs w:val="21"/>
          <w:highlight w:val="none"/>
        </w:rPr>
      </w:pPr>
      <w:bookmarkStart w:id="23" w:name="_Toc7992"/>
      <w:bookmarkStart w:id="24" w:name="_Toc31213"/>
      <w:bookmarkStart w:id="25" w:name="_Toc20379"/>
      <w:bookmarkStart w:id="26" w:name="_Toc9743"/>
      <w:bookmarkStart w:id="27" w:name="_Toc6753"/>
      <w:bookmarkStart w:id="28" w:name="_Toc8275"/>
      <w:bookmarkStart w:id="29" w:name="_Toc19764"/>
      <w:bookmarkStart w:id="30" w:name="_Toc15465"/>
      <w:bookmarkStart w:id="31" w:name="_Toc15633"/>
      <w:bookmarkStart w:id="32" w:name="_Toc26867"/>
      <w:bookmarkStart w:id="33" w:name="_Toc21152"/>
      <w:bookmarkStart w:id="34" w:name="_Toc7180"/>
      <w:r>
        <w:rPr>
          <w:rFonts w:hint="eastAsia" w:ascii="宋体" w:hAnsi="宋体" w:eastAsia="宋体" w:cs="宋体"/>
          <w:b/>
          <w:color w:val="auto"/>
          <w:sz w:val="21"/>
          <w:szCs w:val="21"/>
          <w:highlight w:val="none"/>
        </w:rPr>
        <w:t>技术需求书</w:t>
      </w:r>
      <w:r>
        <w:rPr>
          <w:rFonts w:hint="eastAsia" w:ascii="宋体" w:hAnsi="宋体" w:eastAsia="宋体" w:cs="宋体"/>
          <w:b/>
          <w:color w:val="auto"/>
          <w:szCs w:val="21"/>
          <w:highlight w:val="none"/>
        </w:rPr>
        <w:t>附件</w:t>
      </w:r>
      <w:r>
        <w:rPr>
          <w:rFonts w:hint="eastAsia" w:ascii="宋体" w:hAnsi="宋体" w:eastAsia="宋体" w:cs="宋体"/>
          <w:b/>
          <w:color w:val="auto"/>
          <w:szCs w:val="21"/>
          <w:highlight w:val="none"/>
          <w:lang w:val="en-US" w:eastAsia="zh-CN"/>
        </w:rPr>
        <w:t>3：</w:t>
      </w:r>
      <w:r>
        <w:rPr>
          <w:rFonts w:hint="eastAsia" w:ascii="宋体" w:hAnsi="宋体" w:eastAsia="宋体" w:cs="宋体"/>
          <w:b/>
          <w:color w:val="auto"/>
          <w:szCs w:val="21"/>
          <w:highlight w:val="none"/>
        </w:rPr>
        <w:t>《</w:t>
      </w:r>
      <w:r>
        <w:rPr>
          <w:rFonts w:hint="eastAsia" w:ascii="宋体" w:hAnsi="宋体" w:eastAsia="宋体" w:cs="宋体"/>
          <w:b/>
          <w:color w:val="auto"/>
          <w:szCs w:val="21"/>
          <w:highlight w:val="none"/>
          <w:lang w:eastAsia="zh-CN"/>
        </w:rPr>
        <w:t>危险废物运输</w:t>
      </w:r>
      <w:r>
        <w:rPr>
          <w:rFonts w:hint="eastAsia" w:ascii="宋体" w:hAnsi="宋体" w:eastAsia="宋体" w:cs="宋体"/>
          <w:b/>
          <w:color w:val="auto"/>
          <w:szCs w:val="21"/>
          <w:highlight w:val="none"/>
          <w:lang w:val="en-US" w:eastAsia="zh-CN"/>
        </w:rPr>
        <w:t>预计车次</w:t>
      </w:r>
      <w:r>
        <w:rPr>
          <w:rFonts w:hint="eastAsia" w:ascii="宋体" w:hAnsi="宋体" w:eastAsia="宋体" w:cs="宋体"/>
          <w:b/>
          <w:color w:val="auto"/>
          <w:szCs w:val="21"/>
          <w:highlight w:val="none"/>
        </w:rPr>
        <w:t>》</w:t>
      </w:r>
      <w:bookmarkEnd w:id="23"/>
      <w:bookmarkEnd w:id="24"/>
      <w:bookmarkEnd w:id="25"/>
      <w:bookmarkEnd w:id="26"/>
      <w:bookmarkEnd w:id="27"/>
      <w:bookmarkEnd w:id="28"/>
      <w:bookmarkEnd w:id="29"/>
      <w:bookmarkEnd w:id="30"/>
      <w:bookmarkEnd w:id="31"/>
      <w:bookmarkEnd w:id="32"/>
      <w:bookmarkEnd w:id="33"/>
      <w:bookmarkEnd w:id="34"/>
    </w:p>
    <w:p w14:paraId="1ED3302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宋体" w:hAnsi="宋体" w:eastAsia="宋体" w:cs="宋体"/>
          <w:b/>
          <w:color w:val="auto"/>
          <w:szCs w:val="21"/>
          <w:highlight w:val="none"/>
        </w:rPr>
      </w:pPr>
    </w:p>
    <w:tbl>
      <w:tblPr>
        <w:tblStyle w:val="30"/>
        <w:tblW w:w="88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611"/>
        <w:gridCol w:w="2940"/>
        <w:gridCol w:w="1199"/>
        <w:gridCol w:w="1199"/>
        <w:gridCol w:w="1199"/>
        <w:gridCol w:w="1200"/>
      </w:tblGrid>
      <w:tr w14:paraId="77B52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6076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bookmarkStart w:id="35" w:name="_Toc6526"/>
            <w:bookmarkStart w:id="36" w:name="_Toc15526"/>
            <w:bookmarkStart w:id="37" w:name="_Toc26928"/>
            <w:bookmarkStart w:id="38" w:name="_Toc22620"/>
            <w:bookmarkStart w:id="39" w:name="_Toc6561"/>
            <w:bookmarkStart w:id="40" w:name="_Toc17292"/>
            <w:bookmarkStart w:id="41" w:name="_Toc19836"/>
            <w:bookmarkStart w:id="42" w:name="_Toc32626"/>
            <w:bookmarkStart w:id="43" w:name="_Toc4642"/>
            <w:bookmarkStart w:id="44" w:name="_Toc18540"/>
            <w:bookmarkStart w:id="45" w:name="_Toc30839"/>
            <w:bookmarkStart w:id="46" w:name="_Toc1563"/>
            <w:bookmarkStart w:id="47" w:name="_Toc25787"/>
            <w:r>
              <w:rPr>
                <w:rFonts w:hint="eastAsia" w:ascii="宋体" w:hAnsi="宋体" w:eastAsia="宋体" w:cs="宋体"/>
                <w:b/>
                <w:bCs/>
                <w:i w:val="0"/>
                <w:iCs w:val="0"/>
                <w:color w:val="auto"/>
                <w:kern w:val="0"/>
                <w:sz w:val="18"/>
                <w:szCs w:val="18"/>
                <w:highlight w:val="none"/>
                <w:u w:val="none"/>
                <w:lang w:val="en-US" w:eastAsia="zh-CN" w:bidi="ar"/>
              </w:rPr>
              <w:t>序号</w:t>
            </w:r>
          </w:p>
        </w:tc>
        <w:tc>
          <w:tcPr>
            <w:tcW w:w="6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D938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区域</w:t>
            </w:r>
          </w:p>
        </w:tc>
        <w:tc>
          <w:tcPr>
            <w:tcW w:w="29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E32F4">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18"/>
                <w:szCs w:val="18"/>
                <w:highlight w:val="none"/>
                <w:u w:val="none"/>
                <w:lang w:val="en-US"/>
              </w:rPr>
            </w:pPr>
            <w:r>
              <w:rPr>
                <w:rFonts w:hint="eastAsia" w:ascii="宋体" w:hAnsi="宋体" w:eastAsia="宋体" w:cs="宋体"/>
                <w:b/>
                <w:bCs/>
                <w:i w:val="0"/>
                <w:iCs w:val="0"/>
                <w:color w:val="auto"/>
                <w:kern w:val="0"/>
                <w:sz w:val="18"/>
                <w:szCs w:val="18"/>
                <w:highlight w:val="none"/>
                <w:u w:val="none"/>
                <w:lang w:val="en-US" w:eastAsia="zh-CN" w:bidi="ar"/>
              </w:rPr>
              <w:t>服务区域</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5FD43">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5.2米厢车预计1年</w:t>
            </w:r>
            <w:r>
              <w:rPr>
                <w:rFonts w:hint="eastAsia" w:ascii="宋体" w:hAnsi="宋体" w:eastAsia="宋体" w:cs="宋体"/>
                <w:b/>
                <w:bCs/>
                <w:i w:val="0"/>
                <w:iCs w:val="0"/>
                <w:color w:val="auto"/>
                <w:kern w:val="0"/>
                <w:sz w:val="18"/>
                <w:szCs w:val="18"/>
                <w:highlight w:val="none"/>
                <w:u w:val="none"/>
                <w:lang w:val="en-US" w:eastAsia="zh-CN" w:bidi="ar"/>
              </w:rPr>
              <w:br w:type="textWrapping"/>
            </w:r>
            <w:r>
              <w:rPr>
                <w:rFonts w:hint="eastAsia" w:ascii="宋体" w:hAnsi="宋体" w:eastAsia="宋体" w:cs="宋体"/>
                <w:b/>
                <w:bCs/>
                <w:i w:val="0"/>
                <w:iCs w:val="0"/>
                <w:color w:val="auto"/>
                <w:kern w:val="0"/>
                <w:sz w:val="18"/>
                <w:szCs w:val="18"/>
                <w:highlight w:val="none"/>
                <w:u w:val="none"/>
                <w:lang w:val="en-US" w:eastAsia="zh-CN" w:bidi="ar"/>
              </w:rPr>
              <w:t>车次</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0744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7.6米厢车预计1年</w:t>
            </w:r>
            <w:r>
              <w:rPr>
                <w:rFonts w:hint="eastAsia" w:ascii="宋体" w:hAnsi="宋体" w:eastAsia="宋体" w:cs="宋体"/>
                <w:b/>
                <w:bCs/>
                <w:i w:val="0"/>
                <w:iCs w:val="0"/>
                <w:color w:val="auto"/>
                <w:kern w:val="0"/>
                <w:sz w:val="18"/>
                <w:szCs w:val="18"/>
                <w:highlight w:val="none"/>
                <w:u w:val="none"/>
                <w:lang w:val="en-US" w:eastAsia="zh-CN" w:bidi="ar"/>
              </w:rPr>
              <w:br w:type="textWrapping"/>
            </w:r>
            <w:r>
              <w:rPr>
                <w:rFonts w:hint="eastAsia" w:ascii="宋体" w:hAnsi="宋体" w:eastAsia="宋体" w:cs="宋体"/>
                <w:b/>
                <w:bCs/>
                <w:i w:val="0"/>
                <w:iCs w:val="0"/>
                <w:color w:val="auto"/>
                <w:kern w:val="0"/>
                <w:sz w:val="18"/>
                <w:szCs w:val="18"/>
                <w:highlight w:val="none"/>
                <w:u w:val="none"/>
                <w:lang w:val="en-US" w:eastAsia="zh-CN" w:bidi="ar"/>
              </w:rPr>
              <w:t>车次</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7F0E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9.6米厢车预计1年</w:t>
            </w:r>
            <w:r>
              <w:rPr>
                <w:rFonts w:hint="eastAsia" w:ascii="宋体" w:hAnsi="宋体" w:eastAsia="宋体" w:cs="宋体"/>
                <w:b/>
                <w:bCs/>
                <w:i w:val="0"/>
                <w:iCs w:val="0"/>
                <w:color w:val="auto"/>
                <w:kern w:val="0"/>
                <w:sz w:val="18"/>
                <w:szCs w:val="18"/>
                <w:highlight w:val="none"/>
                <w:u w:val="none"/>
                <w:lang w:val="en-US" w:eastAsia="zh-CN" w:bidi="ar"/>
              </w:rPr>
              <w:br w:type="textWrapping"/>
            </w:r>
            <w:r>
              <w:rPr>
                <w:rFonts w:hint="eastAsia" w:ascii="宋体" w:hAnsi="宋体" w:eastAsia="宋体" w:cs="宋体"/>
                <w:b/>
                <w:bCs/>
                <w:i w:val="0"/>
                <w:iCs w:val="0"/>
                <w:color w:val="auto"/>
                <w:kern w:val="0"/>
                <w:sz w:val="18"/>
                <w:szCs w:val="18"/>
                <w:highlight w:val="none"/>
                <w:u w:val="none"/>
                <w:lang w:val="en-US" w:eastAsia="zh-CN" w:bidi="ar"/>
              </w:rPr>
              <w:t>车次</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FDFD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12.5米厢车预计1年</w:t>
            </w:r>
            <w:r>
              <w:rPr>
                <w:rFonts w:hint="eastAsia" w:ascii="宋体" w:hAnsi="宋体" w:eastAsia="宋体" w:cs="宋体"/>
                <w:b/>
                <w:bCs/>
                <w:i w:val="0"/>
                <w:iCs w:val="0"/>
                <w:color w:val="auto"/>
                <w:kern w:val="0"/>
                <w:sz w:val="18"/>
                <w:szCs w:val="18"/>
                <w:highlight w:val="none"/>
                <w:u w:val="none"/>
                <w:lang w:val="en-US" w:eastAsia="zh-CN" w:bidi="ar"/>
              </w:rPr>
              <w:br w:type="textWrapping"/>
            </w:r>
            <w:r>
              <w:rPr>
                <w:rFonts w:hint="eastAsia" w:ascii="宋体" w:hAnsi="宋体" w:eastAsia="宋体" w:cs="宋体"/>
                <w:b/>
                <w:bCs/>
                <w:i w:val="0"/>
                <w:iCs w:val="0"/>
                <w:color w:val="auto"/>
                <w:kern w:val="0"/>
                <w:sz w:val="18"/>
                <w:szCs w:val="18"/>
                <w:highlight w:val="none"/>
                <w:u w:val="none"/>
                <w:lang w:val="en-US" w:eastAsia="zh-CN" w:bidi="ar"/>
              </w:rPr>
              <w:t>车次</w:t>
            </w:r>
          </w:p>
        </w:tc>
      </w:tr>
      <w:tr w14:paraId="55CB3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ACBB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1</w:t>
            </w:r>
          </w:p>
        </w:tc>
        <w:tc>
          <w:tcPr>
            <w:tcW w:w="61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7E99B6">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东莞</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66368">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洪梅、麻涌、望牛墩、道滘</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7548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E8C7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31C0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AF62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37573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43554">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EDDA3">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FFBD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莞城、东城、南城、万江（限行）</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528A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E15F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0C1FA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101</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F2220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233A3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A2ECD">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A0E78">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A3BAE">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中堂、高埗、厚街、沙田</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CE314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391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781F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83</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FD02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60D99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444B5">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FA982B">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10401">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石碣、石龙、茶山</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6030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12059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E7A7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A62B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75884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32B02">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957E4">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D6E9B">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石排、横沥、寮步、东坑</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B4A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8958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A734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4940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r>
      <w:tr w14:paraId="567E3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C0346">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F40A9">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4FBE3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松山湖（限行）</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E1F8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B500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903D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3016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r>
      <w:tr w14:paraId="4FECD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E285F">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50F61">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01A30">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大岭山、虎门、长安</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CFBB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93F8D">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70</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E269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8AE2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r>
      <w:tr w14:paraId="3D560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A555B">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F50766">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98A28">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大朗、企石、黄江、常平、桥头</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3BF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FCA2B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5FE7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290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E25B7">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7BB7E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4CB66">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056C66">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C1BF4F">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樟木头、塘厦、谢岗、凤岗、清溪</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2E33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0654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72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1302A">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2FBF9">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220E6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B7881">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2</w:t>
            </w:r>
          </w:p>
        </w:tc>
        <w:tc>
          <w:tcPr>
            <w:tcW w:w="61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45FACD">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惠州</w:t>
            </w: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B569F">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博罗</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E0F7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49027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A899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110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12C3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r>
      <w:tr w14:paraId="45363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65DE6">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92DA82">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5F5C3">
            <w:pPr>
              <w:keepNext w:val="0"/>
              <w:keepLines w:val="0"/>
              <w:widowControl/>
              <w:suppressLineNumbers w:val="0"/>
              <w:spacing w:line="240" w:lineRule="auto"/>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惠城、惠阳</w:t>
            </w:r>
            <w:r>
              <w:rPr>
                <w:rFonts w:hint="eastAsia" w:ascii="宋体" w:hAnsi="宋体" w:cs="宋体"/>
                <w:i w:val="0"/>
                <w:iCs w:val="0"/>
                <w:color w:val="auto"/>
                <w:kern w:val="0"/>
                <w:sz w:val="18"/>
                <w:szCs w:val="18"/>
                <w:highlight w:val="none"/>
                <w:u w:val="none"/>
                <w:lang w:val="en-US" w:eastAsia="zh-CN" w:bidi="ar"/>
              </w:rPr>
              <w:t>、仲恺新区</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E2C0B0">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F941E">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120</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38FEB">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B6F11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1E3DC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6CF92">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5806ED">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2C439">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大亚湾（含石化区）</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6405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52836">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02181">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220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91953">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90</w:t>
            </w:r>
          </w:p>
        </w:tc>
      </w:tr>
      <w:tr w14:paraId="7D01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8E11C7">
            <w:pPr>
              <w:spacing w:line="240" w:lineRule="auto"/>
              <w:jc w:val="center"/>
              <w:rPr>
                <w:rFonts w:hint="eastAsia" w:ascii="宋体" w:hAnsi="宋体" w:eastAsia="宋体" w:cs="宋体"/>
                <w:b/>
                <w:bCs/>
                <w:i w:val="0"/>
                <w:iCs w:val="0"/>
                <w:color w:val="auto"/>
                <w:sz w:val="18"/>
                <w:szCs w:val="18"/>
                <w:highlight w:val="none"/>
                <w:u w:val="none"/>
              </w:rPr>
            </w:pPr>
          </w:p>
        </w:tc>
        <w:tc>
          <w:tcPr>
            <w:tcW w:w="6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CA7897">
            <w:pPr>
              <w:spacing w:line="240" w:lineRule="auto"/>
              <w:jc w:val="center"/>
              <w:rPr>
                <w:rFonts w:hint="eastAsia" w:ascii="宋体" w:hAnsi="宋体" w:eastAsia="宋体" w:cs="宋体"/>
                <w:i w:val="0"/>
                <w:iCs w:val="0"/>
                <w:color w:val="auto"/>
                <w:sz w:val="18"/>
                <w:szCs w:val="18"/>
                <w:highlight w:val="none"/>
                <w:u w:val="none"/>
              </w:rPr>
            </w:pPr>
          </w:p>
        </w:tc>
        <w:tc>
          <w:tcPr>
            <w:tcW w:w="29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8A750">
            <w:pPr>
              <w:keepNext w:val="0"/>
              <w:keepLines w:val="0"/>
              <w:widowControl/>
              <w:suppressLineNumbers w:val="0"/>
              <w:spacing w:line="240" w:lineRule="auto"/>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龙门县、惠东</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F8F1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CA268">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A7784">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81BE2">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r>
      <w:tr w14:paraId="288DF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4008"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C8C148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合计</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C7114">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21</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66AA5">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735</w:t>
            </w:r>
          </w:p>
        </w:tc>
        <w:tc>
          <w:tcPr>
            <w:tcW w:w="11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8A8EA">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1427</w:t>
            </w:r>
          </w:p>
        </w:tc>
        <w:tc>
          <w:tcPr>
            <w:tcW w:w="12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DF8FF">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216</w:t>
            </w:r>
          </w:p>
        </w:tc>
      </w:tr>
    </w:tbl>
    <w:p w14:paraId="58BF8B87">
      <w:pPr>
        <w:adjustRightInd/>
        <w:snapToGrid/>
        <w:spacing w:line="360" w:lineRule="exact"/>
        <w:outlineLvl w:val="9"/>
        <w:rPr>
          <w:rFonts w:hint="eastAsia" w:ascii="宋体" w:hAnsi="宋体"/>
          <w:b/>
          <w:color w:val="auto"/>
          <w:sz w:val="21"/>
          <w:szCs w:val="21"/>
          <w:highlight w:val="none"/>
        </w:rPr>
      </w:pPr>
    </w:p>
    <w:p w14:paraId="5B352871">
      <w:pP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6EA3814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 w:val="21"/>
          <w:szCs w:val="21"/>
          <w:highlight w:val="none"/>
        </w:rPr>
        <w:t>技术需求书</w:t>
      </w:r>
      <w:r>
        <w:rPr>
          <w:rFonts w:hint="eastAsia" w:ascii="宋体" w:hAnsi="宋体" w:eastAsia="宋体" w:cs="宋体"/>
          <w:b/>
          <w:color w:val="auto"/>
          <w:szCs w:val="21"/>
          <w:highlight w:val="none"/>
        </w:rPr>
        <w:t>附件</w:t>
      </w:r>
      <w:r>
        <w:rPr>
          <w:rFonts w:hint="eastAsia" w:ascii="宋体" w:hAnsi="宋体" w:eastAsia="宋体" w:cs="宋体"/>
          <w:b/>
          <w:color w:val="auto"/>
          <w:szCs w:val="21"/>
          <w:highlight w:val="none"/>
          <w:lang w:val="en-US" w:eastAsia="zh-CN"/>
        </w:rPr>
        <w:t>4：</w:t>
      </w:r>
      <w:r>
        <w:rPr>
          <w:rFonts w:hint="eastAsia" w:ascii="宋体" w:hAnsi="宋体" w:eastAsia="宋体" w:cs="宋体"/>
          <w:b/>
          <w:color w:val="auto"/>
          <w:szCs w:val="21"/>
          <w:highlight w:val="none"/>
        </w:rPr>
        <w:t>《运输杂费及计费规则》</w:t>
      </w:r>
      <w:bookmarkEnd w:id="35"/>
      <w:bookmarkEnd w:id="36"/>
      <w:bookmarkEnd w:id="37"/>
      <w:bookmarkEnd w:id="38"/>
      <w:bookmarkEnd w:id="39"/>
      <w:bookmarkEnd w:id="40"/>
      <w:bookmarkEnd w:id="41"/>
      <w:bookmarkEnd w:id="42"/>
      <w:bookmarkEnd w:id="43"/>
      <w:bookmarkEnd w:id="44"/>
      <w:bookmarkEnd w:id="45"/>
      <w:bookmarkEnd w:id="46"/>
      <w:bookmarkEnd w:id="47"/>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2"/>
        <w:gridCol w:w="2708"/>
        <w:gridCol w:w="1845"/>
        <w:gridCol w:w="2824"/>
      </w:tblGrid>
      <w:tr w14:paraId="2DD8D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3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685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DFD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规则</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C3F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计费</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519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5EE55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29E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过磅费</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F23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采购人的客户要求以第三方地磅为准，需在第三方地磅过磅，产生的过磅费用</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F07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按实际执行</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36B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对账需提供：过磅单、收据</w:t>
            </w:r>
          </w:p>
        </w:tc>
      </w:tr>
      <w:tr w14:paraId="782A6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A7E7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顺带包装物费用</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C17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顺带包装物按照重量计费：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1、单车带20个及以上200L桶；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2、单车带10个及以上吨桶；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3、单车带50个及以上卡板；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符合以上任一项即可计费，否则不予计费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64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200元/车</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160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对账需提供：包装物交接单，重量核对清单</w:t>
            </w:r>
          </w:p>
        </w:tc>
      </w:tr>
      <w:tr w14:paraId="5E2D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8F63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专车送包装物</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11F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需专车送包装物的</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FF5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按运价的70%计费</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8E79">
            <w:pPr>
              <w:spacing w:line="240" w:lineRule="auto"/>
              <w:jc w:val="center"/>
              <w:rPr>
                <w:rFonts w:hint="eastAsia" w:ascii="宋体" w:hAnsi="宋体" w:eastAsia="宋体" w:cs="宋体"/>
                <w:i w:val="0"/>
                <w:iCs w:val="0"/>
                <w:color w:val="auto"/>
                <w:sz w:val="20"/>
                <w:szCs w:val="20"/>
                <w:highlight w:val="none"/>
                <w:u w:val="none"/>
              </w:rPr>
            </w:pPr>
          </w:p>
        </w:tc>
      </w:tr>
      <w:tr w14:paraId="423A9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114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7D44F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拼车费</w:t>
            </w:r>
          </w:p>
        </w:tc>
        <w:tc>
          <w:tcPr>
            <w:tcW w:w="2708" w:type="dxa"/>
            <w:tcBorders>
              <w:top w:val="single" w:color="000000" w:sz="4" w:space="0"/>
              <w:left w:val="single" w:color="000000" w:sz="4" w:space="0"/>
              <w:bottom w:val="single" w:color="auto" w:sz="4" w:space="0"/>
              <w:right w:val="single" w:color="000000" w:sz="4" w:space="0"/>
            </w:tcBorders>
            <w:shd w:val="clear" w:color="auto" w:fill="auto"/>
            <w:vAlign w:val="center"/>
          </w:tcPr>
          <w:p w14:paraId="257CD23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1、同一工业园区的不同客户，不计算拼车费；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2、不同工业园区，同一“区/县/镇”按100元/家计算拼车费；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3、不同“区/县/镇”按150元/家计算拼车费。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64DD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按规则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100元/家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150元/家</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986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原则上不顺路不予拼车；“区/县/镇”的定义以报价单的“区/县/镇”划分为准。</w:t>
            </w:r>
          </w:p>
        </w:tc>
      </w:tr>
      <w:tr w14:paraId="46DB0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8" w:hRule="atLeast"/>
        </w:trPr>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97ADE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装卸费</w:t>
            </w:r>
          </w:p>
        </w:tc>
        <w:tc>
          <w:tcPr>
            <w:tcW w:w="2708" w:type="dxa"/>
            <w:tcBorders>
              <w:top w:val="single" w:color="auto" w:sz="4" w:space="0"/>
              <w:left w:val="single" w:color="auto" w:sz="4" w:space="0"/>
              <w:bottom w:val="single" w:color="auto" w:sz="4" w:space="0"/>
              <w:right w:val="single" w:color="auto" w:sz="4" w:space="0"/>
            </w:tcBorders>
            <w:shd w:val="clear" w:color="auto" w:fill="auto"/>
            <w:vAlign w:val="center"/>
          </w:tcPr>
          <w:p w14:paraId="2742BD1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按装卸费标准执行。</w:t>
            </w:r>
          </w:p>
        </w:tc>
        <w:tc>
          <w:tcPr>
            <w:tcW w:w="1845" w:type="dxa"/>
            <w:tcBorders>
              <w:top w:val="single" w:color="000000" w:sz="4" w:space="0"/>
              <w:left w:val="single" w:color="auto" w:sz="4" w:space="0"/>
              <w:bottom w:val="single" w:color="000000" w:sz="4" w:space="0"/>
              <w:right w:val="single" w:color="000000" w:sz="4" w:space="0"/>
            </w:tcBorders>
            <w:shd w:val="clear" w:color="auto" w:fill="auto"/>
            <w:vAlign w:val="center"/>
          </w:tcPr>
          <w:p w14:paraId="416F473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见装卸费标准</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A62D">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费用的申请：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每月制作搬运打包费申请表，表内必须包含收运日期、客户名称、搬运废物的重量，同时提供对应客户现场能体现打包服务的水印照片和短视频，视频及照片文件名须按“日期+客户+重量”格式命名，并电子版打包发至采购人留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2、提供对账单纸质时，须将对应的水印照片打印出来作为结算凭证，对账纸质资料每页盖章。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3、无法提供上述资料的不予支付打包费用（客户现场不允许携带手机的，可与客户沟通协助拍摄，协商不成的需要提前告知采购人，以便采购人与客户确认打包服务属实）。</w:t>
            </w:r>
          </w:p>
        </w:tc>
      </w:tr>
      <w:tr w14:paraId="0DA14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14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13F398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放空费</w:t>
            </w:r>
          </w:p>
        </w:tc>
        <w:tc>
          <w:tcPr>
            <w:tcW w:w="2708" w:type="dxa"/>
            <w:tcBorders>
              <w:top w:val="single" w:color="auto" w:sz="4" w:space="0"/>
              <w:left w:val="single" w:color="000000" w:sz="4" w:space="0"/>
              <w:bottom w:val="single" w:color="000000" w:sz="4" w:space="0"/>
              <w:right w:val="single" w:color="000000" w:sz="4" w:space="0"/>
            </w:tcBorders>
            <w:shd w:val="clear" w:color="auto" w:fill="FFFFFF"/>
            <w:vAlign w:val="center"/>
          </w:tcPr>
          <w:p w14:paraId="2C5364A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采购人派单给到运输公司，运输公司已开始承接运输任务后，由于采购人或其客户原因导致该批次废物无法收运，运输公司空车往返产生的相关费用</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7672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运价的60%</w:t>
            </w:r>
          </w:p>
        </w:tc>
        <w:tc>
          <w:tcPr>
            <w:tcW w:w="2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7A48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不提供放空费情况如下：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1、因不可抗力如台风等因素无法收运的；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2、运输单位车辆故障无法按时抵达客户现场装货的；</w:t>
            </w:r>
          </w:p>
        </w:tc>
      </w:tr>
      <w:tr w14:paraId="1BBFD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8DB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押车费</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2764A">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采购人派单给到运输公司，运输公司已承接该批次废物，但因采购人或其客户原因导致无法当天完成卸货释放运输公司运力，货物需要滞留在车上过夜产生的相关费用，按车型付压车费</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6065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5.2米厢车：600元/夜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7.6米厢车：800元/夜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9.6米厢车：1000元/夜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12米挂车：1200元/夜</w:t>
            </w:r>
          </w:p>
        </w:tc>
        <w:tc>
          <w:tcPr>
            <w:tcW w:w="2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9F8E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Style w:val="87"/>
                <w:color w:val="auto"/>
                <w:sz w:val="20"/>
                <w:szCs w:val="20"/>
                <w:highlight w:val="none"/>
                <w:lang w:val="en-US" w:eastAsia="zh-CN" w:bidi="ar"/>
              </w:rPr>
              <w:t>不提供押车费情况如下：</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1、</w:t>
            </w:r>
            <w:r>
              <w:rPr>
                <w:rStyle w:val="88"/>
                <w:color w:val="auto"/>
                <w:sz w:val="20"/>
                <w:szCs w:val="20"/>
                <w:highlight w:val="none"/>
                <w:lang w:val="en-US" w:eastAsia="zh-CN" w:bidi="ar"/>
              </w:rPr>
              <w:t>因客户运距远，无法当天及时返回导致押车的；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2、因不可抗力如台风等因素无法卸货导致押车的；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3、运输单位车辆故障无法按时抵达采购人厂区卸货导致押车的；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4、非工作时间段进场，且未在当天提前报备（下午16时前报备）导致进场后无法卸货押车的；</w:t>
            </w:r>
          </w:p>
        </w:tc>
      </w:tr>
      <w:tr w14:paraId="6BD45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196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机械租赁费</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A16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因甲方客户装卸货物需要，经采购人同意，需外请叉车、挖掘机、吸污设备进行装货的。</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11A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按照实际价格结算</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4A9C">
            <w:pPr>
              <w:keepNext w:val="0"/>
              <w:keepLines w:val="0"/>
              <w:widowControl/>
              <w:suppressLineNumbers w:val="0"/>
              <w:spacing w:line="240" w:lineRule="auto"/>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对账需提供：带水印的现场照片、收据或付款记录。费用由运输单位垫付，计入当月运输对账单中，于当月开具运输服务发票进行对账结算。</w:t>
            </w:r>
          </w:p>
        </w:tc>
      </w:tr>
      <w:tr w14:paraId="3B3EB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F6C9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剧毒运输</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5EA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成交人不得因资质问题跳单，</w:t>
            </w:r>
            <w:r>
              <w:rPr>
                <w:rFonts w:hint="eastAsia" w:ascii="宋体" w:hAnsi="宋体" w:cs="宋体"/>
                <w:i w:val="0"/>
                <w:iCs w:val="0"/>
                <w:color w:val="auto"/>
                <w:kern w:val="0"/>
                <w:sz w:val="20"/>
                <w:szCs w:val="20"/>
                <w:highlight w:val="none"/>
                <w:u w:val="none"/>
                <w:lang w:val="en-US" w:eastAsia="zh-CN" w:bidi="ar"/>
              </w:rPr>
              <w:t>采购人</w:t>
            </w:r>
            <w:r>
              <w:rPr>
                <w:rFonts w:hint="eastAsia" w:ascii="宋体" w:hAnsi="宋体" w:eastAsia="宋体" w:cs="宋体"/>
                <w:i w:val="0"/>
                <w:iCs w:val="0"/>
                <w:color w:val="auto"/>
                <w:kern w:val="0"/>
                <w:sz w:val="20"/>
                <w:szCs w:val="20"/>
                <w:highlight w:val="none"/>
                <w:u w:val="none"/>
                <w:lang w:val="en-US" w:eastAsia="zh-CN" w:bidi="ar"/>
              </w:rPr>
              <w:t>按正常运输价格上浮500元/车支付运费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054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500元/车</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8F5C">
            <w:pPr>
              <w:spacing w:line="240" w:lineRule="auto"/>
              <w:jc w:val="center"/>
              <w:rPr>
                <w:rFonts w:hint="eastAsia" w:ascii="宋体" w:hAnsi="宋体" w:eastAsia="宋体" w:cs="宋体"/>
                <w:i w:val="0"/>
                <w:iCs w:val="0"/>
                <w:color w:val="auto"/>
                <w:sz w:val="20"/>
                <w:szCs w:val="20"/>
                <w:highlight w:val="none"/>
                <w:u w:val="none"/>
              </w:rPr>
            </w:pPr>
          </w:p>
        </w:tc>
      </w:tr>
    </w:tbl>
    <w:p w14:paraId="6DE9DA32">
      <w:pPr>
        <w:jc w:val="center"/>
        <w:outlineLvl w:val="9"/>
        <w:rPr>
          <w:rFonts w:ascii="黑体" w:eastAsia="黑体"/>
          <w:color w:val="auto"/>
          <w:sz w:val="28"/>
          <w:szCs w:val="28"/>
          <w:highlight w:val="none"/>
        </w:rPr>
      </w:pPr>
    </w:p>
    <w:p w14:paraId="65B20E6B">
      <w:pPr>
        <w:rPr>
          <w:rFonts w:hint="eastAsia" w:ascii="宋体" w:hAnsi="宋体" w:eastAsia="宋体" w:cs="宋体"/>
          <w:b/>
          <w:color w:val="auto"/>
          <w:sz w:val="21"/>
          <w:szCs w:val="21"/>
          <w:highlight w:val="none"/>
        </w:rPr>
      </w:pPr>
      <w:bookmarkStart w:id="48" w:name="_Toc32030"/>
      <w:bookmarkStart w:id="49" w:name="_Toc5306"/>
      <w:bookmarkStart w:id="50" w:name="_Toc22269"/>
      <w:bookmarkStart w:id="51" w:name="_Toc32167"/>
      <w:bookmarkStart w:id="52" w:name="_Toc30801"/>
      <w:bookmarkStart w:id="53" w:name="_Toc2916"/>
      <w:bookmarkStart w:id="54" w:name="_Toc8103"/>
      <w:bookmarkStart w:id="55" w:name="_Toc24751"/>
      <w:bookmarkStart w:id="56" w:name="_Toc8287"/>
      <w:bookmarkStart w:id="57" w:name="_Toc11871"/>
      <w:bookmarkStart w:id="58" w:name="_Toc31994"/>
      <w:bookmarkStart w:id="59" w:name="_Toc21941"/>
      <w:bookmarkStart w:id="60" w:name="_Toc9709"/>
      <w:r>
        <w:rPr>
          <w:rFonts w:hint="eastAsia" w:ascii="宋体" w:hAnsi="宋体" w:eastAsia="宋体" w:cs="宋体"/>
          <w:b/>
          <w:color w:val="auto"/>
          <w:sz w:val="21"/>
          <w:szCs w:val="21"/>
          <w:highlight w:val="none"/>
        </w:rPr>
        <w:br w:type="page"/>
      </w:r>
    </w:p>
    <w:p w14:paraId="0D93DD03">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 w:val="21"/>
          <w:szCs w:val="21"/>
          <w:highlight w:val="none"/>
        </w:rPr>
        <w:t>技术需求书</w:t>
      </w:r>
      <w:r>
        <w:rPr>
          <w:rFonts w:hint="eastAsia" w:ascii="宋体" w:hAnsi="宋体" w:eastAsia="宋体" w:cs="宋体"/>
          <w:b/>
          <w:color w:val="auto"/>
          <w:szCs w:val="21"/>
          <w:highlight w:val="none"/>
        </w:rPr>
        <w:t>附件</w:t>
      </w:r>
      <w:r>
        <w:rPr>
          <w:rFonts w:hint="eastAsia" w:ascii="宋体" w:hAnsi="宋体" w:cs="宋体"/>
          <w:b/>
          <w:color w:val="auto"/>
          <w:szCs w:val="21"/>
          <w:highlight w:val="none"/>
          <w:lang w:val="en-US" w:eastAsia="zh-CN"/>
        </w:rPr>
        <w:t>5</w:t>
      </w:r>
      <w:r>
        <w:rPr>
          <w:rFonts w:hint="eastAsia" w:ascii="宋体" w:hAnsi="宋体" w:eastAsia="宋体" w:cs="宋体"/>
          <w:b/>
          <w:color w:val="auto"/>
          <w:szCs w:val="21"/>
          <w:highlight w:val="none"/>
          <w:lang w:val="en-US" w:eastAsia="zh-CN"/>
        </w:rPr>
        <w:t>：</w:t>
      </w:r>
      <w:r>
        <w:rPr>
          <w:rFonts w:hint="eastAsia" w:ascii="宋体" w:hAnsi="宋体" w:eastAsia="宋体" w:cs="宋体"/>
          <w:b/>
          <w:color w:val="auto"/>
          <w:szCs w:val="21"/>
          <w:highlight w:val="none"/>
        </w:rPr>
        <w:t>《承运单位违规行为处罚条款》</w:t>
      </w:r>
    </w:p>
    <w:tbl>
      <w:tblPr>
        <w:tblStyle w:val="30"/>
        <w:tblpPr w:leftFromText="180" w:rightFromText="180" w:vertAnchor="text" w:horzAnchor="page" w:tblpX="1906" w:tblpY="467"/>
        <w:tblOverlap w:val="neve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3"/>
        <w:gridCol w:w="458"/>
        <w:gridCol w:w="5198"/>
        <w:gridCol w:w="2333"/>
      </w:tblGrid>
      <w:tr w14:paraId="2B0C8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5000"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91842">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东莞市新东欣环保投资有限公司承运单位违规行为处罚条款</w:t>
            </w:r>
          </w:p>
          <w:p w14:paraId="15BFE138">
            <w:pPr>
              <w:keepNext w:val="0"/>
              <w:keepLines w:val="0"/>
              <w:widowControl/>
              <w:suppressLineNumbers w:val="0"/>
              <w:spacing w:line="240" w:lineRule="auto"/>
              <w:jc w:val="both"/>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说明：</w:t>
            </w:r>
            <w:r>
              <w:rPr>
                <w:rFonts w:hint="eastAsia" w:ascii="宋体" w:hAnsi="宋体" w:eastAsia="宋体" w:cs="宋体"/>
                <w:b/>
                <w:bCs/>
                <w:color w:val="auto"/>
                <w:sz w:val="20"/>
                <w:szCs w:val="20"/>
                <w:highlight w:val="none"/>
                <w:u w:val="none"/>
                <w:lang w:val="en-US" w:eastAsia="zh-CN" w:bidi="ar"/>
              </w:rPr>
              <w:t>以下</w:t>
            </w:r>
            <w:r>
              <w:rPr>
                <w:rFonts w:hint="eastAsia" w:ascii="宋体" w:hAnsi="宋体" w:eastAsia="宋体" w:cs="宋体"/>
                <w:b/>
                <w:bCs/>
                <w:color w:val="auto"/>
                <w:sz w:val="20"/>
                <w:szCs w:val="20"/>
                <w:highlight w:val="none"/>
                <w:u w:val="none"/>
                <w:lang w:bidi="ar"/>
              </w:rPr>
              <w:t>罚款属于违约金，均为人民币</w:t>
            </w:r>
            <w:r>
              <w:rPr>
                <w:rFonts w:hint="eastAsia" w:ascii="宋体" w:hAnsi="宋体" w:eastAsia="宋体" w:cs="宋体"/>
                <w:b/>
                <w:bCs/>
                <w:color w:val="auto"/>
                <w:sz w:val="20"/>
                <w:szCs w:val="20"/>
                <w:highlight w:val="none"/>
                <w:u w:val="none"/>
                <w:lang w:eastAsia="zh-CN" w:bidi="ar"/>
              </w:rPr>
              <w:t>。</w:t>
            </w:r>
          </w:p>
        </w:tc>
      </w:tr>
      <w:tr w14:paraId="754F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000"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08FC8">
            <w:pPr>
              <w:spacing w:line="240" w:lineRule="auto"/>
              <w:jc w:val="center"/>
              <w:outlineLvl w:val="9"/>
              <w:rPr>
                <w:rFonts w:hint="eastAsia" w:ascii="宋体" w:hAnsi="宋体" w:eastAsia="宋体" w:cs="宋体"/>
                <w:b/>
                <w:bCs/>
                <w:i w:val="0"/>
                <w:iCs w:val="0"/>
                <w:color w:val="auto"/>
                <w:sz w:val="20"/>
                <w:szCs w:val="20"/>
                <w:highlight w:val="none"/>
                <w:u w:val="none"/>
              </w:rPr>
            </w:pPr>
          </w:p>
        </w:tc>
      </w:tr>
      <w:tr w14:paraId="5431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3" w:type="pct"/>
            <w:tcBorders>
              <w:top w:val="single" w:color="000000" w:sz="4" w:space="0"/>
              <w:left w:val="single" w:color="000000" w:sz="4" w:space="0"/>
              <w:bottom w:val="single" w:color="000000" w:sz="4" w:space="0"/>
              <w:right w:val="nil"/>
            </w:tcBorders>
            <w:shd w:val="clear" w:color="auto" w:fill="auto"/>
            <w:vAlign w:val="center"/>
          </w:tcPr>
          <w:p w14:paraId="152852E9">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项目分类</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76AB2">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79921">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违规行为</w:t>
            </w:r>
          </w:p>
        </w:tc>
        <w:tc>
          <w:tcPr>
            <w:tcW w:w="1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DCD53">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处罚措施</w:t>
            </w:r>
          </w:p>
        </w:tc>
      </w:tr>
      <w:tr w14:paraId="0348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3D2F9">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条款明细</w:t>
            </w: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5850A">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A3BD1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送货单上的废物名称错误、包装物重量错扣、重量错计、数字顺序错填、不同废物重量错调、数量单位写错、现场未与客户一一核对确认送货单数据造成客户漏签字或者代替客户签字、送货单涂改或底联不清晰等造成送货单数据异常引起纠纷后经确认属于运输人员原因造成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936E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罚款300元/次</w:t>
            </w:r>
          </w:p>
        </w:tc>
      </w:tr>
      <w:tr w14:paraId="492F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24102">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F76BA5">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B905E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运输单位原因错扫、漏扫、迟扫联单，导致联单运输时间与实际运输时间不一致的；或者运输单位原因导致联单作废重新提交的。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68FD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罚款300元/次</w:t>
            </w:r>
          </w:p>
        </w:tc>
      </w:tr>
      <w:tr w14:paraId="3F694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2210F">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E69AD5">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2304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运输人员操作不当导致废物</w:t>
            </w:r>
            <w:r>
              <w:rPr>
                <w:rFonts w:hint="eastAsia" w:ascii="宋体" w:hAnsi="宋体" w:cs="宋体"/>
                <w:i w:val="0"/>
                <w:iCs w:val="0"/>
                <w:color w:val="auto"/>
                <w:kern w:val="0"/>
                <w:sz w:val="20"/>
                <w:szCs w:val="20"/>
                <w:highlight w:val="none"/>
                <w:u w:val="none"/>
                <w:lang w:val="en-US" w:eastAsia="zh-CN" w:bidi="ar"/>
              </w:rPr>
              <w:t>泄漏</w:t>
            </w:r>
            <w:r>
              <w:rPr>
                <w:rFonts w:hint="eastAsia" w:ascii="宋体" w:hAnsi="宋体" w:eastAsia="宋体" w:cs="宋体"/>
                <w:i w:val="0"/>
                <w:iCs w:val="0"/>
                <w:color w:val="auto"/>
                <w:kern w:val="0"/>
                <w:sz w:val="20"/>
                <w:szCs w:val="20"/>
                <w:highlight w:val="none"/>
                <w:u w:val="none"/>
                <w:lang w:val="en-US" w:eastAsia="zh-CN" w:bidi="ar"/>
              </w:rPr>
              <w:t>或发生反应的：包括不限于收运前未检查废物包装、液位，包装物破损未及时发现，未按规范打包货装车，缠膜不牢导致废物倾倒，车辆防泄漏措施不当导致废物泄漏至路面。该异常现象发生的地点不限于采购人厂区、运输途中、采购人的客户厂区。</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D915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造成环境污染事故的另行处罚；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采购人的客户方有相关处罚规定并出具罚单的；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以上情况择重者处罚</w:t>
            </w:r>
          </w:p>
        </w:tc>
      </w:tr>
      <w:tr w14:paraId="59623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AFD77">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881A7">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5008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槽车运输前未清理罐内残留导致我司废物被污染，废物多项指标出现异常，处置成本上升或者有价废物贬值；废物在现场反应，存在安全隐患、或导致未遂事故、安全事故。</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F817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1、污染：罚款500元并赔偿因废物指标异常导致的处置成本上涨和有价废物损失；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2、反应：废物反应导致其他罚款或人身伤害的，需承担相关处罚，并承担相关行政、刑事处罚、民事责任。</w:t>
            </w:r>
          </w:p>
        </w:tc>
      </w:tr>
      <w:tr w14:paraId="5009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1581F">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0B6D3">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8D716A">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采购人的客户提出合理收运时间，运输公司确认可按要求时间到达，但最终运输人员未按约定时间抵达，且又未与客户协商达成其他一致的收运时间，导致投诉的，经确认属实。</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8D39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罚款500元/次</w:t>
            </w:r>
          </w:p>
        </w:tc>
      </w:tr>
      <w:tr w14:paraId="35745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0DF92">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9490F">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AE05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运输单位原因导致采购人或者采购人的客户方的设备设施损坏，或者造成人员伤害的。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C39F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据实赔偿并加收罚款500元；采购人的客户方有相关处罚规定，并出具罚单的，择重者处罚。</w:t>
            </w:r>
          </w:p>
        </w:tc>
      </w:tr>
      <w:tr w14:paraId="52277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064F2">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437722">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0336C">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运输作业人员在采购人或者采购人的客户厂内禁止吸烟区吸烟，被现场管理人员发现，并出具书面处罚通知。</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11A3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4AC3F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CC931">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F7A1BA">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913F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运输作业人员在采购人或者采购人的客户厂区内未按现场管理要求佩戴劳保用品，被现场管理人员发现，并出具书面处罚通知。</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617C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272B0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FDF43">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49722">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960B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运输作业人员在采购人或者采购人的客户厂内未按限速规定行驶，被现场管理人员发现，并出具书面处罚通知。</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8AC5B4">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44F3B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81209">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1F487">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184F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除上述第6~9点外，运输作业人员在采购人或者采购人的客户厂内未遵守现场管理制度并引发投诉并出具罚单的其他情况。</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D1AB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每一单罚款500元；客户有相关处罚规定，并出具罚单的，择重处罚。</w:t>
            </w:r>
          </w:p>
        </w:tc>
      </w:tr>
      <w:tr w14:paraId="644D9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7365B">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7334D4">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6769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运输作业人员私自</w:t>
            </w:r>
            <w:r>
              <w:rPr>
                <w:rFonts w:hint="eastAsia" w:ascii="宋体" w:hAnsi="宋体" w:cs="宋体"/>
                <w:i w:val="0"/>
                <w:iCs w:val="0"/>
                <w:color w:val="auto"/>
                <w:kern w:val="0"/>
                <w:sz w:val="20"/>
                <w:szCs w:val="20"/>
                <w:highlight w:val="none"/>
                <w:u w:val="none"/>
                <w:lang w:val="en-US" w:eastAsia="zh-CN" w:bidi="ar"/>
              </w:rPr>
              <w:t>变卖</w:t>
            </w:r>
            <w:r>
              <w:rPr>
                <w:rFonts w:hint="eastAsia" w:ascii="宋体" w:hAnsi="宋体" w:eastAsia="宋体" w:cs="宋体"/>
                <w:i w:val="0"/>
                <w:iCs w:val="0"/>
                <w:color w:val="auto"/>
                <w:kern w:val="0"/>
                <w:sz w:val="20"/>
                <w:szCs w:val="20"/>
                <w:highlight w:val="none"/>
                <w:u w:val="none"/>
                <w:lang w:val="en-US" w:eastAsia="zh-CN" w:bidi="ar"/>
              </w:rPr>
              <w:t>采购人有价物资，包括但不限于：委托运输的具有市场价值的废物、具有市场价值的包装物、具有市场价值的其他物资。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2A21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等价赔偿并解除合同扣除履约</w:t>
            </w:r>
            <w:r>
              <w:rPr>
                <w:rFonts w:hint="eastAsia" w:ascii="宋体" w:hAnsi="宋体" w:cs="宋体"/>
                <w:i w:val="0"/>
                <w:iCs w:val="0"/>
                <w:color w:val="auto"/>
                <w:kern w:val="0"/>
                <w:sz w:val="20"/>
                <w:szCs w:val="20"/>
                <w:highlight w:val="none"/>
                <w:u w:val="none"/>
                <w:lang w:val="en-US" w:eastAsia="zh-CN" w:bidi="ar"/>
              </w:rPr>
              <w:t>保证</w:t>
            </w:r>
            <w:r>
              <w:rPr>
                <w:rFonts w:hint="eastAsia" w:ascii="宋体" w:hAnsi="宋体" w:eastAsia="宋体" w:cs="宋体"/>
                <w:i w:val="0"/>
                <w:iCs w:val="0"/>
                <w:color w:val="auto"/>
                <w:kern w:val="0"/>
                <w:sz w:val="20"/>
                <w:szCs w:val="20"/>
                <w:highlight w:val="none"/>
                <w:u w:val="none"/>
                <w:lang w:val="en-US" w:eastAsia="zh-CN" w:bidi="ar"/>
              </w:rPr>
              <w:t>金；情节严重的报警处理。</w:t>
            </w:r>
          </w:p>
        </w:tc>
      </w:tr>
      <w:tr w14:paraId="17C65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88349">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FBD22">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21660">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运输作业人员在收运现场发现未贴</w:t>
            </w:r>
            <w:r>
              <w:rPr>
                <w:rFonts w:hint="eastAsia" w:ascii="宋体" w:hAnsi="宋体" w:cs="宋体"/>
                <w:i w:val="0"/>
                <w:iCs w:val="0"/>
                <w:color w:val="auto"/>
                <w:kern w:val="0"/>
                <w:sz w:val="20"/>
                <w:szCs w:val="20"/>
                <w:highlight w:val="none"/>
                <w:u w:val="none"/>
                <w:lang w:val="en-US" w:eastAsia="zh-CN" w:bidi="ar"/>
              </w:rPr>
              <w:t>标识</w:t>
            </w:r>
            <w:r>
              <w:rPr>
                <w:rFonts w:hint="eastAsia" w:ascii="宋体" w:hAnsi="宋体" w:eastAsia="宋体" w:cs="宋体"/>
                <w:i w:val="0"/>
                <w:iCs w:val="0"/>
                <w:color w:val="auto"/>
                <w:kern w:val="0"/>
                <w:sz w:val="20"/>
                <w:szCs w:val="20"/>
                <w:highlight w:val="none"/>
                <w:u w:val="none"/>
                <w:lang w:val="en-US" w:eastAsia="zh-CN" w:bidi="ar"/>
              </w:rPr>
              <w:t>、标签的废物，须履行提醒和纠正的义务。未履行前述义务且未使用我司提供的标签填写清楚所收废物名称或采取其他措施进行标识废物，将未贴任何</w:t>
            </w:r>
            <w:r>
              <w:rPr>
                <w:rFonts w:hint="eastAsia" w:ascii="宋体" w:hAnsi="宋体" w:cs="宋体"/>
                <w:i w:val="0"/>
                <w:iCs w:val="0"/>
                <w:color w:val="auto"/>
                <w:kern w:val="0"/>
                <w:sz w:val="20"/>
                <w:szCs w:val="20"/>
                <w:highlight w:val="none"/>
                <w:u w:val="none"/>
                <w:lang w:val="en-US" w:eastAsia="zh-CN" w:bidi="ar"/>
              </w:rPr>
              <w:t>标识</w:t>
            </w:r>
            <w:r>
              <w:rPr>
                <w:rFonts w:hint="eastAsia" w:ascii="宋体" w:hAnsi="宋体" w:eastAsia="宋体" w:cs="宋体"/>
                <w:i w:val="0"/>
                <w:iCs w:val="0"/>
                <w:color w:val="auto"/>
                <w:kern w:val="0"/>
                <w:sz w:val="20"/>
                <w:szCs w:val="20"/>
                <w:highlight w:val="none"/>
                <w:u w:val="none"/>
                <w:lang w:val="en-US" w:eastAsia="zh-CN" w:bidi="ar"/>
              </w:rPr>
              <w:t>、标签的废物收运进入采购人厂区的。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BFE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罚款200元/次；若最终因此发生退货时，由运输公司承担退货费用</w:t>
            </w:r>
          </w:p>
        </w:tc>
      </w:tr>
      <w:tr w14:paraId="390E5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106DE">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4AEBA">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CAC8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运输作业人员中途倾倒危险废物。</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95B61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报警处理并解除合同扣除履约</w:t>
            </w:r>
            <w:r>
              <w:rPr>
                <w:rFonts w:hint="eastAsia" w:ascii="宋体" w:hAnsi="宋体" w:cs="宋体"/>
                <w:i w:val="0"/>
                <w:iCs w:val="0"/>
                <w:color w:val="auto"/>
                <w:kern w:val="0"/>
                <w:sz w:val="20"/>
                <w:szCs w:val="20"/>
                <w:highlight w:val="none"/>
                <w:u w:val="none"/>
                <w:lang w:val="en-US" w:eastAsia="zh-CN" w:bidi="ar"/>
              </w:rPr>
              <w:t>保证</w:t>
            </w:r>
            <w:r>
              <w:rPr>
                <w:rFonts w:hint="eastAsia" w:ascii="宋体" w:hAnsi="宋体" w:eastAsia="宋体" w:cs="宋体"/>
                <w:i w:val="0"/>
                <w:iCs w:val="0"/>
                <w:color w:val="auto"/>
                <w:kern w:val="0"/>
                <w:sz w:val="20"/>
                <w:szCs w:val="20"/>
                <w:highlight w:val="none"/>
                <w:u w:val="none"/>
                <w:lang w:val="en-US" w:eastAsia="zh-CN" w:bidi="ar"/>
              </w:rPr>
              <w:t>金</w:t>
            </w:r>
          </w:p>
        </w:tc>
      </w:tr>
      <w:tr w14:paraId="15E55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AE0F1">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6CA0E">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F758FD">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运输作业人员未听从采购人现场调度人员、现场操作人员的指挥，未按要求装货、填写单据、未在指定的地点卸货，不按照要求携带包装物，或私自领取包装物。</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9CDF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Style w:val="89"/>
                <w:color w:val="auto"/>
                <w:sz w:val="20"/>
                <w:szCs w:val="20"/>
                <w:highlight w:val="none"/>
                <w:lang w:val="en-US" w:eastAsia="zh-CN" w:bidi="ar"/>
              </w:rPr>
              <w:t>罚款1000元/次</w:t>
            </w:r>
          </w:p>
        </w:tc>
      </w:tr>
      <w:tr w14:paraId="4017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5C56D">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94322">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93372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危险货物运输车辆标识不全、无危险标志灯及危险货物标识牌。</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612D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罚款300元/车</w:t>
            </w:r>
          </w:p>
        </w:tc>
      </w:tr>
      <w:tr w14:paraId="42080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AA839">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D7EFBC">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8D69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未安装防火罩、无导静电胶条或胶条未触地的。危险货物车辆技术等级未达到一级、未在检验有效期内的。危险货物运输车辆未配置相应的消防应急设施；消防应急设施未定期检查、保养、未在有效期限内的。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A51B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Style w:val="89"/>
                <w:color w:val="auto"/>
                <w:sz w:val="20"/>
                <w:szCs w:val="20"/>
                <w:highlight w:val="none"/>
                <w:lang w:val="en-US" w:eastAsia="zh-CN" w:bidi="ar"/>
              </w:rPr>
              <w:t>罚款1000元/车</w:t>
            </w:r>
          </w:p>
        </w:tc>
      </w:tr>
      <w:tr w14:paraId="66B8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E39C">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C8299">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18B7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运输作业人员未持证上岗或所持资格证过期失效的。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3B5D0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罚款1000元/人</w:t>
            </w:r>
          </w:p>
        </w:tc>
      </w:tr>
      <w:tr w14:paraId="1D69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C8760">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185B4">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7ABBB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车辆无危险货物运输许可证或证件过期失效的。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C91C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罚款2000元/车</w:t>
            </w:r>
          </w:p>
        </w:tc>
      </w:tr>
      <w:tr w14:paraId="15761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615ED">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2C7B7E">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304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4F0A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收到同一个客户连续2次及以上投诉。</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42BD8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罚款5000元/次</w:t>
            </w:r>
          </w:p>
        </w:tc>
      </w:tr>
      <w:tr w14:paraId="2B505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2282F">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A05E2">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20</w:t>
            </w:r>
          </w:p>
        </w:tc>
        <w:tc>
          <w:tcPr>
            <w:tcW w:w="3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6EC2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非因不可抗力因素（包括气象灾害、地质灾害、行政措施/管制、社会异常事件、战争）不安排车辆，或者无理由超时回复派车需求的，视为跳单。</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95B13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按采购文件约定处罚条款进行处罚</w:t>
            </w:r>
          </w:p>
        </w:tc>
      </w:tr>
      <w:tr w14:paraId="64B9C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83E30">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A1EA1">
            <w:pPr>
              <w:keepNext w:val="0"/>
              <w:keepLines w:val="0"/>
              <w:widowControl/>
              <w:suppressLineNumbers w:val="0"/>
              <w:spacing w:line="240" w:lineRule="auto"/>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21</w:t>
            </w:r>
          </w:p>
        </w:tc>
        <w:tc>
          <w:tcPr>
            <w:tcW w:w="30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9524">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服务期间在信用中国上查询到运输公司有不良记录的</w:t>
            </w:r>
          </w:p>
        </w:tc>
        <w:tc>
          <w:tcPr>
            <w:tcW w:w="1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A0AA3">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解除合同扣除履约</w:t>
            </w:r>
            <w:r>
              <w:rPr>
                <w:rFonts w:hint="eastAsia" w:ascii="宋体" w:hAnsi="宋体" w:cs="宋体"/>
                <w:b/>
                <w:bCs/>
                <w:i w:val="0"/>
                <w:iCs w:val="0"/>
                <w:color w:val="auto"/>
                <w:kern w:val="0"/>
                <w:sz w:val="20"/>
                <w:szCs w:val="20"/>
                <w:highlight w:val="none"/>
                <w:u w:val="none"/>
                <w:lang w:val="en-US" w:eastAsia="zh-CN" w:bidi="ar"/>
              </w:rPr>
              <w:t>保证</w:t>
            </w:r>
            <w:r>
              <w:rPr>
                <w:rFonts w:hint="eastAsia" w:ascii="宋体" w:hAnsi="宋体" w:eastAsia="宋体" w:cs="宋体"/>
                <w:b/>
                <w:bCs/>
                <w:i w:val="0"/>
                <w:iCs w:val="0"/>
                <w:color w:val="auto"/>
                <w:kern w:val="0"/>
                <w:sz w:val="20"/>
                <w:szCs w:val="20"/>
                <w:highlight w:val="none"/>
                <w:u w:val="none"/>
                <w:lang w:val="en-US" w:eastAsia="zh-CN" w:bidi="ar"/>
              </w:rPr>
              <w:t>金</w:t>
            </w:r>
          </w:p>
        </w:tc>
      </w:tr>
      <w:tr w14:paraId="15A74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3632" w:type="pct"/>
            <w:gridSpan w:val="3"/>
            <w:tcBorders>
              <w:top w:val="nil"/>
              <w:left w:val="nil"/>
              <w:bottom w:val="nil"/>
              <w:right w:val="nil"/>
            </w:tcBorders>
            <w:shd w:val="clear" w:color="auto" w:fill="auto"/>
            <w:vAlign w:val="center"/>
          </w:tcPr>
          <w:p w14:paraId="0D39E606">
            <w:pPr>
              <w:keepNext w:val="0"/>
              <w:keepLines w:val="0"/>
              <w:widowControl/>
              <w:suppressLineNumbers w:val="0"/>
              <w:spacing w:line="240" w:lineRule="auto"/>
              <w:jc w:val="left"/>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我司确认上述条款内容无误，如发生违规行为，愿按照上述条款执行！</w:t>
            </w:r>
          </w:p>
        </w:tc>
        <w:tc>
          <w:tcPr>
            <w:tcW w:w="1367" w:type="pct"/>
            <w:tcBorders>
              <w:top w:val="nil"/>
              <w:left w:val="nil"/>
              <w:bottom w:val="nil"/>
              <w:right w:val="nil"/>
            </w:tcBorders>
            <w:shd w:val="clear" w:color="auto" w:fill="auto"/>
            <w:vAlign w:val="center"/>
          </w:tcPr>
          <w:p w14:paraId="7C82C1FF">
            <w:pPr>
              <w:spacing w:line="240" w:lineRule="auto"/>
              <w:jc w:val="center"/>
              <w:outlineLvl w:val="9"/>
              <w:rPr>
                <w:rFonts w:hint="eastAsia" w:ascii="宋体" w:hAnsi="宋体" w:eastAsia="宋体" w:cs="宋体"/>
                <w:i w:val="0"/>
                <w:iCs w:val="0"/>
                <w:color w:val="auto"/>
                <w:sz w:val="20"/>
                <w:szCs w:val="20"/>
                <w:highlight w:val="none"/>
                <w:u w:val="none"/>
              </w:rPr>
            </w:pPr>
          </w:p>
        </w:tc>
      </w:tr>
      <w:tr w14:paraId="3FA4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3632" w:type="pct"/>
            <w:gridSpan w:val="3"/>
            <w:tcBorders>
              <w:top w:val="nil"/>
              <w:left w:val="nil"/>
              <w:bottom w:val="nil"/>
              <w:right w:val="nil"/>
            </w:tcBorders>
            <w:shd w:val="clear" w:color="auto" w:fill="auto"/>
            <w:vAlign w:val="center"/>
          </w:tcPr>
          <w:p w14:paraId="011759F1">
            <w:pPr>
              <w:keepNext w:val="0"/>
              <w:keepLines w:val="0"/>
              <w:widowControl/>
              <w:suppressLineNumbers w:val="0"/>
              <w:spacing w:line="240" w:lineRule="auto"/>
              <w:jc w:val="left"/>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运输单位签字（盖章）/日期：</w:t>
            </w:r>
          </w:p>
        </w:tc>
        <w:tc>
          <w:tcPr>
            <w:tcW w:w="1367" w:type="pct"/>
            <w:tcBorders>
              <w:top w:val="nil"/>
              <w:left w:val="nil"/>
              <w:bottom w:val="nil"/>
              <w:right w:val="nil"/>
            </w:tcBorders>
            <w:shd w:val="clear" w:color="auto" w:fill="auto"/>
            <w:vAlign w:val="center"/>
          </w:tcPr>
          <w:p w14:paraId="761BD9E1">
            <w:pPr>
              <w:spacing w:line="240" w:lineRule="auto"/>
              <w:jc w:val="center"/>
              <w:outlineLvl w:val="9"/>
              <w:rPr>
                <w:rFonts w:hint="eastAsia" w:ascii="宋体" w:hAnsi="宋体" w:eastAsia="宋体" w:cs="宋体"/>
                <w:i w:val="0"/>
                <w:iCs w:val="0"/>
                <w:color w:val="auto"/>
                <w:sz w:val="20"/>
                <w:szCs w:val="20"/>
                <w:highlight w:val="none"/>
                <w:u w:val="none"/>
              </w:rPr>
            </w:pPr>
          </w:p>
        </w:tc>
      </w:tr>
    </w:tbl>
    <w:p w14:paraId="27420427">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bookmarkEnd w:id="48"/>
    <w:bookmarkEnd w:id="49"/>
    <w:bookmarkEnd w:id="50"/>
    <w:bookmarkEnd w:id="51"/>
    <w:bookmarkEnd w:id="52"/>
    <w:bookmarkEnd w:id="53"/>
    <w:bookmarkEnd w:id="54"/>
    <w:bookmarkEnd w:id="55"/>
    <w:bookmarkEnd w:id="56"/>
    <w:bookmarkEnd w:id="57"/>
    <w:bookmarkEnd w:id="58"/>
    <w:bookmarkEnd w:id="59"/>
    <w:bookmarkEnd w:id="60"/>
    <w:p w14:paraId="202EFF32">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color w:val="auto"/>
          <w:szCs w:val="21"/>
          <w:highlight w:val="none"/>
          <w:lang w:val="en-US" w:eastAsia="zh-CN"/>
        </w:rPr>
      </w:pPr>
      <w:bookmarkStart w:id="61" w:name="_Toc19343"/>
      <w:bookmarkStart w:id="62" w:name="_Toc22472"/>
      <w:bookmarkStart w:id="63" w:name="_Toc22179"/>
      <w:bookmarkStart w:id="64" w:name="_Toc30579"/>
      <w:bookmarkStart w:id="65" w:name="_Toc6857"/>
      <w:bookmarkStart w:id="66" w:name="_Toc281"/>
      <w:bookmarkStart w:id="67" w:name="_Toc18"/>
      <w:bookmarkStart w:id="68" w:name="_Toc5020"/>
      <w:bookmarkStart w:id="69" w:name="_Toc14141"/>
      <w:bookmarkStart w:id="70" w:name="_Toc11942"/>
      <w:bookmarkStart w:id="71" w:name="_Toc31987"/>
      <w:bookmarkStart w:id="72" w:name="_Toc20765"/>
      <w:bookmarkStart w:id="73" w:name="_Toc1558"/>
      <w:r>
        <w:rPr>
          <w:rFonts w:hint="eastAsia" w:ascii="宋体" w:hAnsi="宋体" w:eastAsia="宋体" w:cs="宋体"/>
          <w:b/>
          <w:color w:val="auto"/>
          <w:sz w:val="21"/>
          <w:szCs w:val="21"/>
          <w:highlight w:val="none"/>
        </w:rPr>
        <w:t>技术需求书</w:t>
      </w:r>
      <w:r>
        <w:rPr>
          <w:rFonts w:hint="eastAsia" w:ascii="宋体" w:hAnsi="宋体" w:eastAsia="宋体" w:cs="宋体"/>
          <w:b/>
          <w:color w:val="auto"/>
          <w:szCs w:val="21"/>
          <w:highlight w:val="none"/>
        </w:rPr>
        <w:t>附件</w:t>
      </w:r>
      <w:r>
        <w:rPr>
          <w:rFonts w:hint="eastAsia" w:ascii="宋体" w:hAnsi="宋体" w:cs="宋体"/>
          <w:b/>
          <w:color w:val="auto"/>
          <w:szCs w:val="21"/>
          <w:highlight w:val="none"/>
          <w:lang w:val="en-US" w:eastAsia="zh-CN"/>
        </w:rPr>
        <w:t>6</w:t>
      </w:r>
      <w:r>
        <w:rPr>
          <w:rFonts w:hint="eastAsia" w:ascii="宋体" w:hAnsi="宋体" w:eastAsia="宋体" w:cs="宋体"/>
          <w:b/>
          <w:color w:val="auto"/>
          <w:szCs w:val="21"/>
          <w:highlight w:val="none"/>
          <w:lang w:val="en-US" w:eastAsia="zh-CN"/>
        </w:rPr>
        <w:t>：</w:t>
      </w:r>
      <w:r>
        <w:rPr>
          <w:rFonts w:hint="eastAsia" w:ascii="宋体" w:hAnsi="宋体" w:eastAsia="宋体" w:cs="宋体"/>
          <w:b/>
          <w:color w:val="auto"/>
          <w:szCs w:val="21"/>
          <w:highlight w:val="none"/>
        </w:rPr>
        <w:t>《</w:t>
      </w:r>
      <w:r>
        <w:rPr>
          <w:rFonts w:hint="eastAsia" w:ascii="宋体" w:hAnsi="宋体" w:eastAsia="宋体" w:cs="宋体"/>
          <w:b/>
          <w:color w:val="auto"/>
          <w:szCs w:val="21"/>
          <w:highlight w:val="none"/>
          <w:lang w:val="en-US" w:eastAsia="zh-CN"/>
        </w:rPr>
        <w:t>运输商季度考核评分表》</w:t>
      </w:r>
      <w:bookmarkEnd w:id="61"/>
      <w:bookmarkEnd w:id="62"/>
      <w:bookmarkEnd w:id="63"/>
      <w:bookmarkEnd w:id="64"/>
      <w:bookmarkEnd w:id="65"/>
      <w:bookmarkEnd w:id="66"/>
      <w:bookmarkEnd w:id="67"/>
      <w:bookmarkEnd w:id="68"/>
      <w:bookmarkEnd w:id="69"/>
      <w:bookmarkEnd w:id="70"/>
      <w:bookmarkEnd w:id="71"/>
      <w:bookmarkEnd w:id="72"/>
      <w:bookmarkEnd w:id="73"/>
    </w:p>
    <w:p w14:paraId="1B84D8A4">
      <w:pPr>
        <w:jc w:val="left"/>
        <w:outlineLvl w:val="9"/>
        <w:rPr>
          <w:rFonts w:hint="eastAsia" w:cs="Times New Roman"/>
          <w:b/>
          <w:color w:val="auto"/>
          <w:szCs w:val="21"/>
          <w:highlight w:val="none"/>
          <w:lang w:val="en-US" w:eastAsia="zh-CN"/>
        </w:rPr>
      </w:pPr>
      <w:r>
        <w:rPr>
          <w:rFonts w:hint="eastAsia" w:ascii="方正小标宋简体" w:hAnsi="方正小标宋简体" w:eastAsia="方正小标宋简体" w:cs="方正小标宋简体"/>
          <w:color w:val="auto"/>
          <w:sz w:val="28"/>
          <w:szCs w:val="22"/>
          <w:highlight w:val="none"/>
          <w:lang w:val="en-US"/>
        </w:rPr>
        <w:drawing>
          <wp:inline distT="0" distB="0" distL="114300" distR="114300">
            <wp:extent cx="1275080" cy="429895"/>
            <wp:effectExtent l="0" t="0" r="1270" b="0"/>
            <wp:docPr id="8" name="图片 8" descr="东实环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东实环境logo"/>
                    <pic:cNvPicPr>
                      <a:picLocks noChangeAspect="1"/>
                    </pic:cNvPicPr>
                  </pic:nvPicPr>
                  <pic:blipFill>
                    <a:blip r:embed="rId16"/>
                    <a:stretch>
                      <a:fillRect/>
                    </a:stretch>
                  </pic:blipFill>
                  <pic:spPr>
                    <a:xfrm>
                      <a:off x="0" y="0"/>
                      <a:ext cx="1275080" cy="429895"/>
                    </a:xfrm>
                    <a:prstGeom prst="rect">
                      <a:avLst/>
                    </a:prstGeom>
                    <a:noFill/>
                    <a:ln>
                      <a:noFill/>
                    </a:ln>
                  </pic:spPr>
                </pic:pic>
              </a:graphicData>
            </a:graphic>
          </wp:inline>
        </w:drawing>
      </w:r>
    </w:p>
    <w:tbl>
      <w:tblPr>
        <w:tblStyle w:val="3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396"/>
        <w:gridCol w:w="256"/>
        <w:gridCol w:w="3736"/>
        <w:gridCol w:w="939"/>
        <w:gridCol w:w="486"/>
        <w:gridCol w:w="397"/>
        <w:gridCol w:w="1883"/>
      </w:tblGrid>
      <w:tr w14:paraId="2A6C4B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5000" w:type="pct"/>
            <w:gridSpan w:val="8"/>
            <w:noWrap w:val="0"/>
            <w:vAlign w:val="center"/>
          </w:tcPr>
          <w:p w14:paraId="5D71E52D">
            <w:pPr>
              <w:spacing w:line="240" w:lineRule="auto"/>
              <w:jc w:val="center"/>
              <w:outlineLvl w:val="9"/>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lang w:val="en-US"/>
              </w:rPr>
              <w:t>东莞市新东欣环保投资</w:t>
            </w:r>
            <w:r>
              <w:rPr>
                <w:rFonts w:hint="eastAsia" w:ascii="方正小标宋简体" w:hAnsi="方正小标宋简体" w:eastAsia="方正小标宋简体" w:cs="方正小标宋简体"/>
                <w:color w:val="auto"/>
                <w:sz w:val="28"/>
                <w:szCs w:val="28"/>
                <w:highlight w:val="none"/>
              </w:rPr>
              <w:t>有限公司</w:t>
            </w:r>
          </w:p>
          <w:p w14:paraId="2CAD6DAE">
            <w:pPr>
              <w:spacing w:line="240" w:lineRule="auto"/>
              <w:jc w:val="center"/>
              <w:outlineLvl w:val="9"/>
              <w:rPr>
                <w:rFonts w:eastAsia="宋体" w:cs="Arial"/>
                <w:color w:val="auto"/>
                <w:sz w:val="18"/>
                <w:szCs w:val="18"/>
                <w:highlight w:val="none"/>
                <w:lang w:val="fr-FR"/>
              </w:rPr>
            </w:pPr>
            <w:r>
              <w:rPr>
                <w:rFonts w:ascii="Times New Roman" w:hAnsi="Times New Roman" w:eastAsia="宋体"/>
                <w:color w:val="auto"/>
                <w:sz w:val="18"/>
                <w:szCs w:val="18"/>
                <w:highlight w:val="none"/>
                <w:lang w:val="en-US"/>
              </w:rPr>
              <w:t>Dongguan Xin Dongxin Environmental Protection Investment</w:t>
            </w:r>
            <w:r>
              <w:rPr>
                <w:rFonts w:ascii="Times New Roman" w:hAnsi="Times New Roman" w:eastAsia="宋体"/>
                <w:color w:val="auto"/>
                <w:sz w:val="18"/>
                <w:szCs w:val="18"/>
                <w:highlight w:val="none"/>
                <w:lang w:val="fr-FR"/>
              </w:rPr>
              <w:t xml:space="preserve"> Co., Ltd.</w:t>
            </w:r>
          </w:p>
        </w:tc>
      </w:tr>
      <w:tr w14:paraId="0EE86C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5000" w:type="pct"/>
            <w:gridSpan w:val="8"/>
            <w:noWrap w:val="0"/>
            <w:vAlign w:val="center"/>
          </w:tcPr>
          <w:p w14:paraId="661DD202">
            <w:pPr>
              <w:spacing w:line="240" w:lineRule="auto"/>
              <w:jc w:val="center"/>
              <w:outlineLvl w:val="9"/>
              <w:rPr>
                <w:rFonts w:ascii="Times New Roman" w:hAnsi="Times New Roman" w:eastAsia="宋体"/>
                <w:color w:val="auto"/>
                <w:sz w:val="18"/>
                <w:szCs w:val="18"/>
                <w:highlight w:val="none"/>
                <w:lang w:val="en-US"/>
              </w:rPr>
            </w:pPr>
            <w:r>
              <w:rPr>
                <w:rFonts w:hint="eastAsia" w:ascii="宋体" w:hAnsi="宋体" w:eastAsia="宋体"/>
                <w:color w:val="auto"/>
                <w:sz w:val="21"/>
                <w:szCs w:val="21"/>
                <w:highlight w:val="none"/>
              </w:rPr>
              <w:t>运输商季度考核评分表</w:t>
            </w:r>
          </w:p>
        </w:tc>
      </w:tr>
      <w:tr w14:paraId="4D639B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3"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68E6CC17">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考核目的</w:t>
            </w:r>
          </w:p>
        </w:tc>
        <w:tc>
          <w:tcPr>
            <w:tcW w:w="4366" w:type="pct"/>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6D23D4">
            <w:pPr>
              <w:overflowPunct/>
              <w:autoSpaceDE/>
              <w:autoSpaceDN/>
              <w:adjustRightInd/>
              <w:spacing w:line="320" w:lineRule="exact"/>
              <w:ind w:right="-380" w:rightChars="-181"/>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为规范运输商管理，督促运输商提高运输服务质量制定本考核评分表；</w:t>
            </w:r>
          </w:p>
        </w:tc>
      </w:tr>
      <w:tr w14:paraId="421C47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3"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619A60A2">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考核分级</w:t>
            </w:r>
          </w:p>
        </w:tc>
        <w:tc>
          <w:tcPr>
            <w:tcW w:w="4366" w:type="pct"/>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62A0EA">
            <w:pPr>
              <w:overflowPunct/>
              <w:autoSpaceDE/>
              <w:adjustRightInd/>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总体评分</w:t>
            </w:r>
          </w:p>
          <w:p w14:paraId="4ADA4306">
            <w:pPr>
              <w:overflowPunct/>
              <w:autoSpaceDE/>
              <w:adjustRightInd/>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A级：考评得分＞80分</w:t>
            </w:r>
          </w:p>
          <w:p w14:paraId="0D602BB4">
            <w:pPr>
              <w:overflowPunct/>
              <w:autoSpaceDE/>
              <w:adjustRightInd/>
              <w:rPr>
                <w:rFonts w:hint="eastAsia" w:ascii="宋体" w:hAnsi="宋体" w:eastAsia="宋体" w:cs="宋体"/>
                <w:color w:val="auto"/>
                <w:sz w:val="18"/>
                <w:szCs w:val="18"/>
                <w:highlight w:val="none"/>
                <w:lang w:val="en-US"/>
              </w:rPr>
            </w:pPr>
            <w:r>
              <w:rPr>
                <w:rFonts w:ascii="宋体" w:hAnsi="宋体" w:eastAsia="宋体" w:cs="宋体"/>
                <w:color w:val="auto"/>
                <w:sz w:val="18"/>
                <w:szCs w:val="18"/>
                <w:highlight w:val="none"/>
                <w:lang w:val="en-US"/>
              </w:rPr>
              <w:t>B</w:t>
            </w:r>
            <w:r>
              <w:rPr>
                <w:rFonts w:hint="eastAsia" w:ascii="宋体" w:hAnsi="宋体" w:eastAsia="宋体" w:cs="宋体"/>
                <w:color w:val="auto"/>
                <w:sz w:val="18"/>
                <w:szCs w:val="18"/>
                <w:highlight w:val="none"/>
                <w:lang w:val="en-US"/>
              </w:rPr>
              <w:t>级：70分＜考评得分≤80分</w:t>
            </w:r>
          </w:p>
          <w:p w14:paraId="3E467431">
            <w:pPr>
              <w:overflowPunct/>
              <w:autoSpaceDE/>
              <w:autoSpaceDN/>
              <w:adjustRightInd/>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color w:val="auto"/>
                <w:sz w:val="18"/>
                <w:szCs w:val="18"/>
                <w:highlight w:val="none"/>
                <w:lang w:val="en-US"/>
              </w:rPr>
              <w:t>C级：考评得分≤70分</w:t>
            </w:r>
          </w:p>
        </w:tc>
      </w:tr>
      <w:tr w14:paraId="34D84AE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3"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28A7B7E8">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考核细则</w:t>
            </w:r>
          </w:p>
        </w:tc>
        <w:tc>
          <w:tcPr>
            <w:tcW w:w="4366" w:type="pct"/>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AB4668">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季度考核评分级别为B级，扣除运输款项1</w:t>
            </w:r>
            <w:r>
              <w:rPr>
                <w:rFonts w:ascii="宋体" w:hAnsi="宋体" w:eastAsia="宋体" w:cs="宋体"/>
                <w:color w:val="auto"/>
                <w:sz w:val="18"/>
                <w:szCs w:val="18"/>
                <w:highlight w:val="none"/>
                <w:lang w:val="en-US"/>
              </w:rPr>
              <w:t>000</w:t>
            </w:r>
            <w:r>
              <w:rPr>
                <w:rFonts w:hint="eastAsia" w:ascii="宋体" w:hAnsi="宋体" w:eastAsia="宋体" w:cs="宋体"/>
                <w:color w:val="auto"/>
                <w:sz w:val="18"/>
                <w:szCs w:val="18"/>
                <w:highlight w:val="none"/>
                <w:lang w:val="en-US"/>
              </w:rPr>
              <w:t>元，并在最近一个月的运输费对账中进行扣减；</w:t>
            </w:r>
          </w:p>
          <w:p w14:paraId="12A2D39A">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连续2个季度评分为B级，降低其派单数量；</w:t>
            </w:r>
          </w:p>
          <w:p w14:paraId="3D6ED46A">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季度考核评分级别为C级，经评分部门评估，可解除《运输服务合同》；</w:t>
            </w:r>
          </w:p>
          <w:p w14:paraId="56392845">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不同评分部门对同一件事不重复扣分，同一考核扣分事件适用多条考核标准时以最严厉考核标准扣分且</w:t>
            </w:r>
          </w:p>
          <w:p w14:paraId="087B14B7">
            <w:p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不重复扣分。</w:t>
            </w:r>
          </w:p>
        </w:tc>
      </w:tr>
      <w:tr w14:paraId="42B8AD9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3"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15AE4691">
            <w:pPr>
              <w:overflowPunct/>
              <w:autoSpaceDE/>
              <w:autoSpaceDN/>
              <w:adjustRightInd/>
              <w:spacing w:line="320" w:lineRule="exact"/>
              <w:ind w:right="-380" w:rightChars="-181"/>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运输单位</w:t>
            </w:r>
          </w:p>
        </w:tc>
        <w:tc>
          <w:tcPr>
            <w:tcW w:w="274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33358E">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p>
        </w:tc>
        <w:tc>
          <w:tcPr>
            <w:tcW w:w="518"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B0AB38">
            <w:pPr>
              <w:overflowPunct/>
              <w:autoSpaceDE/>
              <w:autoSpaceDN/>
              <w:adjustRightInd/>
              <w:spacing w:line="320" w:lineRule="exact"/>
              <w:ind w:right="-380" w:rightChars="-181"/>
              <w:jc w:val="both"/>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考核周期</w:t>
            </w:r>
          </w:p>
        </w:tc>
        <w:tc>
          <w:tcPr>
            <w:tcW w:w="110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C47C5E">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p>
        </w:tc>
      </w:tr>
      <w:tr w14:paraId="6B56141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C0C0C0"/>
            <w:noWrap/>
            <w:vAlign w:val="center"/>
          </w:tcPr>
          <w:p w14:paraId="018F4B0D">
            <w:pPr>
              <w:overflowPunct/>
              <w:autoSpaceDE/>
              <w:autoSpaceDN/>
              <w:adjustRightInd/>
              <w:spacing w:line="320" w:lineRule="exact"/>
              <w:ind w:right="-380" w:rightChars="-181"/>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A.考核内容</w:t>
            </w:r>
          </w:p>
        </w:tc>
      </w:tr>
      <w:tr w14:paraId="417E98C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5" w:hRule="atLeast"/>
          <w:jc w:val="center"/>
        </w:trPr>
        <w:tc>
          <w:tcPr>
            <w:tcW w:w="2826" w:type="pct"/>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77C68A0F">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评分项目</w:t>
            </w:r>
          </w:p>
        </w:tc>
        <w:tc>
          <w:tcPr>
            <w:tcW w:w="551" w:type="pct"/>
            <w:tcBorders>
              <w:top w:val="nil"/>
              <w:left w:val="nil"/>
              <w:bottom w:val="single" w:color="auto" w:sz="4" w:space="0"/>
              <w:right w:val="single" w:color="auto" w:sz="4" w:space="0"/>
            </w:tcBorders>
            <w:shd w:val="clear" w:color="auto" w:fill="FFFFFF"/>
            <w:noWrap/>
            <w:vAlign w:val="center"/>
          </w:tcPr>
          <w:p w14:paraId="32B8C391">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评分部门</w:t>
            </w:r>
          </w:p>
        </w:tc>
        <w:tc>
          <w:tcPr>
            <w:tcW w:w="285" w:type="pct"/>
            <w:tcBorders>
              <w:top w:val="nil"/>
              <w:left w:val="nil"/>
              <w:bottom w:val="single" w:color="auto" w:sz="4" w:space="0"/>
              <w:right w:val="single" w:color="auto" w:sz="4" w:space="0"/>
            </w:tcBorders>
            <w:shd w:val="clear" w:color="auto" w:fill="FFFFFF"/>
            <w:noWrap w:val="0"/>
            <w:vAlign w:val="center"/>
          </w:tcPr>
          <w:p w14:paraId="764B577A">
            <w:pPr>
              <w:overflowPunct/>
              <w:autoSpaceDE/>
              <w:autoSpaceDN/>
              <w:adjustRightInd/>
              <w:spacing w:line="320" w:lineRule="exact"/>
              <w:jc w:val="center"/>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分值</w:t>
            </w:r>
          </w:p>
        </w:tc>
        <w:tc>
          <w:tcPr>
            <w:tcW w:w="233" w:type="pct"/>
            <w:tcBorders>
              <w:top w:val="nil"/>
              <w:left w:val="nil"/>
              <w:bottom w:val="single" w:color="auto" w:sz="4" w:space="0"/>
              <w:right w:val="single" w:color="auto" w:sz="4" w:space="0"/>
            </w:tcBorders>
            <w:shd w:val="clear" w:color="auto" w:fill="FFFFFF"/>
            <w:noWrap w:val="0"/>
            <w:vAlign w:val="center"/>
          </w:tcPr>
          <w:p w14:paraId="7075835A">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得分</w:t>
            </w:r>
          </w:p>
        </w:tc>
        <w:tc>
          <w:tcPr>
            <w:tcW w:w="1104" w:type="pct"/>
            <w:tcBorders>
              <w:top w:val="nil"/>
              <w:left w:val="nil"/>
              <w:bottom w:val="single" w:color="auto" w:sz="4" w:space="0"/>
              <w:right w:val="single" w:color="auto" w:sz="4" w:space="0"/>
            </w:tcBorders>
            <w:shd w:val="clear" w:color="auto" w:fill="FFFFFF"/>
            <w:noWrap/>
            <w:vAlign w:val="center"/>
          </w:tcPr>
          <w:p w14:paraId="1F3F023C">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评分说明</w:t>
            </w:r>
          </w:p>
        </w:tc>
      </w:tr>
      <w:tr w14:paraId="25EDB67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5" w:hRule="atLeast"/>
          <w:jc w:val="center"/>
        </w:trPr>
        <w:tc>
          <w:tcPr>
            <w:tcW w:w="250" w:type="pct"/>
            <w:vMerge w:val="restart"/>
            <w:tcBorders>
              <w:top w:val="nil"/>
              <w:left w:val="single" w:color="auto" w:sz="4" w:space="0"/>
              <w:right w:val="single" w:color="auto" w:sz="4" w:space="0"/>
            </w:tcBorders>
            <w:noWrap w:val="0"/>
            <w:vAlign w:val="center"/>
          </w:tcPr>
          <w:p w14:paraId="6E0AF7FF">
            <w:pPr>
              <w:jc w:val="center"/>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安全环保</w:t>
            </w:r>
          </w:p>
        </w:tc>
        <w:tc>
          <w:tcPr>
            <w:tcW w:w="232" w:type="pct"/>
            <w:tcBorders>
              <w:top w:val="nil"/>
              <w:left w:val="nil"/>
              <w:bottom w:val="single" w:color="auto" w:sz="4" w:space="0"/>
              <w:right w:val="single" w:color="auto" w:sz="4" w:space="0"/>
            </w:tcBorders>
            <w:noWrap w:val="0"/>
            <w:vAlign w:val="center"/>
          </w:tcPr>
          <w:p w14:paraId="21B197A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w:t>
            </w:r>
          </w:p>
        </w:tc>
        <w:tc>
          <w:tcPr>
            <w:tcW w:w="2343" w:type="pct"/>
            <w:gridSpan w:val="2"/>
            <w:tcBorders>
              <w:top w:val="nil"/>
              <w:left w:val="nil"/>
              <w:bottom w:val="single" w:color="auto" w:sz="4" w:space="0"/>
              <w:right w:val="single" w:color="auto" w:sz="4" w:space="0"/>
            </w:tcBorders>
            <w:noWrap w:val="0"/>
            <w:vAlign w:val="center"/>
          </w:tcPr>
          <w:p w14:paraId="13DB5CA9">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在“客户现场、运输途中、新东欣公司”发生</w:t>
            </w:r>
            <w:r>
              <w:rPr>
                <w:rFonts w:hint="eastAsia" w:ascii="宋体" w:hAnsi="宋体" w:cs="宋体"/>
                <w:color w:val="auto"/>
                <w:sz w:val="18"/>
                <w:szCs w:val="18"/>
                <w:highlight w:val="none"/>
                <w:lang w:val="en-US" w:eastAsia="zh-CN"/>
              </w:rPr>
              <w:t>泄漏</w:t>
            </w:r>
            <w:r>
              <w:rPr>
                <w:rFonts w:hint="eastAsia" w:ascii="宋体" w:hAnsi="宋体" w:eastAsia="宋体" w:cs="宋体"/>
                <w:color w:val="auto"/>
                <w:sz w:val="18"/>
                <w:szCs w:val="18"/>
                <w:highlight w:val="none"/>
                <w:lang w:val="en-US"/>
              </w:rPr>
              <w:t>。</w:t>
            </w:r>
          </w:p>
        </w:tc>
        <w:tc>
          <w:tcPr>
            <w:tcW w:w="551" w:type="pct"/>
            <w:tcBorders>
              <w:top w:val="nil"/>
              <w:left w:val="nil"/>
              <w:bottom w:val="single" w:color="auto" w:sz="4" w:space="0"/>
              <w:right w:val="single" w:color="auto" w:sz="4" w:space="0"/>
            </w:tcBorders>
            <w:noWrap w:val="0"/>
            <w:vAlign w:val="center"/>
          </w:tcPr>
          <w:p w14:paraId="44577CD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rPr>
              <w:t>市场</w:t>
            </w:r>
            <w:r>
              <w:rPr>
                <w:rFonts w:hint="eastAsia" w:ascii="宋体" w:hAnsi="宋体" w:eastAsia="宋体" w:cs="宋体"/>
                <w:color w:val="auto"/>
                <w:sz w:val="18"/>
                <w:szCs w:val="18"/>
                <w:highlight w:val="none"/>
                <w:lang w:val="en-US" w:eastAsia="zh-CN"/>
              </w:rPr>
              <w:t>中心</w:t>
            </w:r>
          </w:p>
          <w:p w14:paraId="7CB9844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rPr>
              <w:t>物控</w:t>
            </w:r>
            <w:r>
              <w:rPr>
                <w:rFonts w:hint="eastAsia" w:ascii="宋体" w:hAnsi="宋体" w:eastAsia="宋体" w:cs="宋体"/>
                <w:color w:val="auto"/>
                <w:sz w:val="18"/>
                <w:szCs w:val="18"/>
                <w:highlight w:val="none"/>
                <w:lang w:val="en-US" w:eastAsia="zh-CN"/>
              </w:rPr>
              <w:t>车间</w:t>
            </w:r>
          </w:p>
          <w:p w14:paraId="53E5AA5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3531EB9C">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66453525">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08C72327">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73AFB44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jc w:val="center"/>
        </w:trPr>
        <w:tc>
          <w:tcPr>
            <w:tcW w:w="250" w:type="pct"/>
            <w:vMerge w:val="continue"/>
            <w:tcBorders>
              <w:left w:val="single" w:color="auto" w:sz="4" w:space="0"/>
              <w:right w:val="single" w:color="auto" w:sz="4" w:space="0"/>
            </w:tcBorders>
            <w:noWrap w:val="0"/>
            <w:vAlign w:val="center"/>
          </w:tcPr>
          <w:p w14:paraId="1BA7DB0C">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4878FB2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2</w:t>
            </w:r>
          </w:p>
        </w:tc>
        <w:tc>
          <w:tcPr>
            <w:tcW w:w="2343" w:type="pct"/>
            <w:gridSpan w:val="2"/>
            <w:tcBorders>
              <w:top w:val="nil"/>
              <w:left w:val="nil"/>
              <w:bottom w:val="single" w:color="auto" w:sz="4" w:space="0"/>
              <w:right w:val="single" w:color="auto" w:sz="4" w:space="0"/>
            </w:tcBorders>
            <w:noWrap w:val="0"/>
            <w:vAlign w:val="center"/>
          </w:tcPr>
          <w:p w14:paraId="57076B2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在服务过程中发生“人、车、设备、运输的货物”相关的事故。</w:t>
            </w:r>
          </w:p>
        </w:tc>
        <w:tc>
          <w:tcPr>
            <w:tcW w:w="551" w:type="pct"/>
            <w:tcBorders>
              <w:top w:val="nil"/>
              <w:left w:val="nil"/>
              <w:bottom w:val="single" w:color="auto" w:sz="4" w:space="0"/>
              <w:right w:val="single" w:color="auto" w:sz="4" w:space="0"/>
            </w:tcBorders>
            <w:noWrap w:val="0"/>
            <w:vAlign w:val="center"/>
          </w:tcPr>
          <w:p w14:paraId="5D359AC0">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7B80B33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57298C86">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408D7D3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56A4398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4ECD00A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2187051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jc w:val="center"/>
        </w:trPr>
        <w:tc>
          <w:tcPr>
            <w:tcW w:w="250" w:type="pct"/>
            <w:vMerge w:val="continue"/>
            <w:tcBorders>
              <w:left w:val="single" w:color="auto" w:sz="4" w:space="0"/>
              <w:right w:val="single" w:color="auto" w:sz="4" w:space="0"/>
            </w:tcBorders>
            <w:noWrap w:val="0"/>
            <w:vAlign w:val="center"/>
          </w:tcPr>
          <w:p w14:paraId="0B562F8E">
            <w:pPr>
              <w:jc w:val="center"/>
              <w:rPr>
                <w:rFonts w:hint="eastAsia" w:ascii="宋体" w:hAnsi="宋体" w:eastAsia="宋体" w:cs="宋体"/>
                <w:color w:val="auto"/>
                <w:sz w:val="18"/>
                <w:szCs w:val="18"/>
                <w:highlight w:val="none"/>
                <w:lang w:val="en-US"/>
              </w:rPr>
            </w:pPr>
          </w:p>
        </w:tc>
        <w:tc>
          <w:tcPr>
            <w:tcW w:w="232" w:type="pct"/>
            <w:tcBorders>
              <w:top w:val="single" w:color="auto" w:sz="4" w:space="0"/>
              <w:left w:val="nil"/>
              <w:bottom w:val="single" w:color="auto" w:sz="4" w:space="0"/>
              <w:right w:val="single" w:color="auto" w:sz="4" w:space="0"/>
            </w:tcBorders>
            <w:noWrap w:val="0"/>
            <w:vAlign w:val="center"/>
          </w:tcPr>
          <w:p w14:paraId="4FCAD02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3</w:t>
            </w:r>
          </w:p>
        </w:tc>
        <w:tc>
          <w:tcPr>
            <w:tcW w:w="2343" w:type="pct"/>
            <w:gridSpan w:val="2"/>
            <w:tcBorders>
              <w:top w:val="nil"/>
              <w:left w:val="nil"/>
              <w:bottom w:val="single" w:color="auto" w:sz="4" w:space="0"/>
              <w:right w:val="single" w:color="auto" w:sz="4" w:space="0"/>
            </w:tcBorders>
            <w:noWrap w:val="0"/>
            <w:vAlign w:val="center"/>
          </w:tcPr>
          <w:p w14:paraId="38286295">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在服务过程中未正确佩戴劳保用品。</w:t>
            </w:r>
          </w:p>
        </w:tc>
        <w:tc>
          <w:tcPr>
            <w:tcW w:w="551" w:type="pct"/>
            <w:tcBorders>
              <w:top w:val="nil"/>
              <w:left w:val="nil"/>
              <w:bottom w:val="single" w:color="auto" w:sz="4" w:space="0"/>
              <w:right w:val="single" w:color="auto" w:sz="4" w:space="0"/>
            </w:tcBorders>
            <w:noWrap w:val="0"/>
            <w:vAlign w:val="center"/>
          </w:tcPr>
          <w:p w14:paraId="2A84F0C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40F4B540">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4DAFEF76">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706DDFC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19B8347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1437BD42">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01DDBCC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3" w:hRule="atLeast"/>
          <w:jc w:val="center"/>
        </w:trPr>
        <w:tc>
          <w:tcPr>
            <w:tcW w:w="250" w:type="pct"/>
            <w:vMerge w:val="continue"/>
            <w:tcBorders>
              <w:left w:val="single" w:color="auto" w:sz="4" w:space="0"/>
              <w:bottom w:val="single" w:color="000000" w:sz="4" w:space="0"/>
              <w:right w:val="single" w:color="auto" w:sz="4" w:space="0"/>
            </w:tcBorders>
            <w:noWrap w:val="0"/>
            <w:vAlign w:val="center"/>
          </w:tcPr>
          <w:p w14:paraId="1050E6B8">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2E23270E">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4</w:t>
            </w:r>
          </w:p>
        </w:tc>
        <w:tc>
          <w:tcPr>
            <w:tcW w:w="2343" w:type="pct"/>
            <w:gridSpan w:val="2"/>
            <w:tcBorders>
              <w:top w:val="nil"/>
              <w:left w:val="nil"/>
              <w:bottom w:val="nil"/>
              <w:right w:val="nil"/>
            </w:tcBorders>
            <w:noWrap/>
            <w:vAlign w:val="center"/>
          </w:tcPr>
          <w:p w14:paraId="0BB9C075">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服务车辆</w:t>
            </w:r>
            <w:r>
              <w:rPr>
                <w:rFonts w:hint="eastAsia" w:ascii="宋体" w:hAnsi="宋体" w:eastAsia="宋体" w:cs="宋体"/>
                <w:color w:val="auto"/>
                <w:sz w:val="18"/>
                <w:szCs w:val="18"/>
                <w:highlight w:val="none"/>
                <w:lang w:val="en-US"/>
              </w:rPr>
              <w:t>未</w:t>
            </w:r>
            <w:r>
              <w:rPr>
                <w:rFonts w:hint="eastAsia" w:ascii="宋体" w:hAnsi="宋体" w:eastAsia="宋体" w:cs="宋体"/>
                <w:color w:val="auto"/>
                <w:sz w:val="18"/>
                <w:szCs w:val="18"/>
                <w:highlight w:val="none"/>
                <w:lang w:val="en-US"/>
              </w:rPr>
              <w:t>配置合适的消防用品</w:t>
            </w:r>
            <w:r>
              <w:rPr>
                <w:rFonts w:hint="eastAsia" w:ascii="宋体" w:hAnsi="宋体" w:eastAsia="宋体" w:cs="宋体"/>
                <w:color w:val="auto"/>
                <w:sz w:val="18"/>
                <w:szCs w:val="18"/>
                <w:highlight w:val="none"/>
                <w:lang w:val="en-US"/>
              </w:rPr>
              <w:t>或应急物资。</w:t>
            </w:r>
          </w:p>
        </w:tc>
        <w:tc>
          <w:tcPr>
            <w:tcW w:w="551" w:type="pct"/>
            <w:tcBorders>
              <w:top w:val="nil"/>
              <w:left w:val="single" w:color="auto" w:sz="4" w:space="0"/>
              <w:bottom w:val="single" w:color="auto" w:sz="4" w:space="0"/>
              <w:right w:val="single" w:color="auto" w:sz="4" w:space="0"/>
            </w:tcBorders>
            <w:noWrap w:val="0"/>
            <w:vAlign w:val="center"/>
          </w:tcPr>
          <w:p w14:paraId="0235C30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2AC55EA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7AAA3FBC">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5C50112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1191C9FB">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1D70CCC4">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1647FF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restart"/>
            <w:tcBorders>
              <w:top w:val="nil"/>
              <w:left w:val="single" w:color="auto" w:sz="4" w:space="0"/>
              <w:right w:val="single" w:color="auto" w:sz="4" w:space="0"/>
            </w:tcBorders>
            <w:noWrap w:val="0"/>
            <w:vAlign w:val="center"/>
          </w:tcPr>
          <w:p w14:paraId="6E412584">
            <w:pPr>
              <w:overflowPunct/>
              <w:autoSpaceDE/>
              <w:autoSpaceDN/>
              <w:adjustRightInd/>
              <w:jc w:val="center"/>
              <w:textAlignment w:val="auto"/>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服务质量</w:t>
            </w:r>
          </w:p>
        </w:tc>
        <w:tc>
          <w:tcPr>
            <w:tcW w:w="232" w:type="pct"/>
            <w:tcBorders>
              <w:top w:val="nil"/>
              <w:left w:val="nil"/>
              <w:bottom w:val="single" w:color="auto" w:sz="4" w:space="0"/>
              <w:right w:val="single" w:color="auto" w:sz="4" w:space="0"/>
            </w:tcBorders>
            <w:noWrap w:val="0"/>
            <w:vAlign w:val="center"/>
          </w:tcPr>
          <w:p w14:paraId="684B08E0">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43" w:type="pct"/>
            <w:gridSpan w:val="2"/>
            <w:tcBorders>
              <w:top w:val="single" w:color="auto" w:sz="4" w:space="0"/>
              <w:left w:val="nil"/>
              <w:bottom w:val="single" w:color="auto" w:sz="4" w:space="0"/>
              <w:right w:val="single" w:color="auto" w:sz="4" w:space="0"/>
            </w:tcBorders>
            <w:noWrap w:val="0"/>
            <w:vAlign w:val="center"/>
          </w:tcPr>
          <w:p w14:paraId="53C5D2E3">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因运力不足导致</w:t>
            </w:r>
            <w:r>
              <w:rPr>
                <w:rFonts w:hint="eastAsia" w:ascii="宋体" w:hAnsi="宋体" w:eastAsia="宋体" w:cs="宋体"/>
                <w:color w:val="auto"/>
                <w:sz w:val="18"/>
                <w:szCs w:val="18"/>
                <w:highlight w:val="none"/>
                <w:lang w:val="en-US"/>
              </w:rPr>
              <w:t>跳单。</w:t>
            </w:r>
          </w:p>
        </w:tc>
        <w:tc>
          <w:tcPr>
            <w:tcW w:w="551" w:type="pct"/>
            <w:tcBorders>
              <w:top w:val="nil"/>
              <w:left w:val="nil"/>
              <w:bottom w:val="single" w:color="auto" w:sz="4" w:space="0"/>
              <w:right w:val="single" w:color="auto" w:sz="4" w:space="0"/>
            </w:tcBorders>
            <w:noWrap w:val="0"/>
            <w:vAlign w:val="center"/>
          </w:tcPr>
          <w:p w14:paraId="7B0CC6E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30D8D38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302DC959">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6512BEEF">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每次扣1分；</w:t>
            </w:r>
          </w:p>
        </w:tc>
      </w:tr>
      <w:tr w14:paraId="67F0E77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061CB394">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722E485E">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6</w:t>
            </w:r>
          </w:p>
        </w:tc>
        <w:tc>
          <w:tcPr>
            <w:tcW w:w="2343" w:type="pct"/>
            <w:gridSpan w:val="2"/>
            <w:tcBorders>
              <w:top w:val="nil"/>
              <w:left w:val="nil"/>
              <w:bottom w:val="single" w:color="auto" w:sz="4" w:space="0"/>
              <w:right w:val="single" w:color="auto" w:sz="4" w:space="0"/>
            </w:tcBorders>
            <w:noWrap w:val="0"/>
            <w:vAlign w:val="center"/>
          </w:tcPr>
          <w:p w14:paraId="39FCF7DF">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正常派单情况下，未</w:t>
            </w:r>
            <w:r>
              <w:rPr>
                <w:rFonts w:hint="eastAsia" w:ascii="宋体" w:hAnsi="宋体" w:eastAsia="宋体" w:cs="宋体"/>
                <w:color w:val="auto"/>
                <w:sz w:val="18"/>
                <w:szCs w:val="18"/>
                <w:highlight w:val="none"/>
                <w:lang w:val="en-US"/>
              </w:rPr>
              <w:t>按时响应新东欣派单计划。</w:t>
            </w:r>
          </w:p>
        </w:tc>
        <w:tc>
          <w:tcPr>
            <w:tcW w:w="551" w:type="pct"/>
            <w:tcBorders>
              <w:top w:val="nil"/>
              <w:left w:val="nil"/>
              <w:bottom w:val="single" w:color="auto" w:sz="4" w:space="0"/>
              <w:right w:val="single" w:color="auto" w:sz="4" w:space="0"/>
            </w:tcBorders>
            <w:noWrap w:val="0"/>
            <w:vAlign w:val="center"/>
          </w:tcPr>
          <w:p w14:paraId="3E0631A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3AC4A989">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57FA1731">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31D44CE0">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不按时，每次扣0.5分；</w:t>
            </w:r>
          </w:p>
        </w:tc>
      </w:tr>
      <w:tr w14:paraId="346AB6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7EDC2EF9">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26C4DCA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7</w:t>
            </w:r>
          </w:p>
        </w:tc>
        <w:tc>
          <w:tcPr>
            <w:tcW w:w="2343" w:type="pct"/>
            <w:gridSpan w:val="2"/>
            <w:tcBorders>
              <w:top w:val="nil"/>
              <w:left w:val="nil"/>
              <w:bottom w:val="single" w:color="auto" w:sz="4" w:space="0"/>
              <w:right w:val="single" w:color="auto" w:sz="4" w:space="0"/>
            </w:tcBorders>
            <w:noWrap w:val="0"/>
            <w:vAlign w:val="center"/>
          </w:tcPr>
          <w:p w14:paraId="233DB400">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未按约定时间抵达客户现场，且未与客户提供沟通取得同意，导致客户投诉的</w:t>
            </w:r>
          </w:p>
        </w:tc>
        <w:tc>
          <w:tcPr>
            <w:tcW w:w="551" w:type="pct"/>
            <w:tcBorders>
              <w:top w:val="nil"/>
              <w:left w:val="nil"/>
              <w:bottom w:val="single" w:color="auto" w:sz="4" w:space="0"/>
              <w:right w:val="single" w:color="auto" w:sz="4" w:space="0"/>
            </w:tcBorders>
            <w:noWrap w:val="0"/>
            <w:vAlign w:val="center"/>
          </w:tcPr>
          <w:p w14:paraId="0463F88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0E08C5BE">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785AE78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4DD45031">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造成投诉，每次扣1分；</w:t>
            </w:r>
          </w:p>
        </w:tc>
      </w:tr>
      <w:tr w14:paraId="4C6A3EF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57DFEC28">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638EACA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8</w:t>
            </w:r>
          </w:p>
        </w:tc>
        <w:tc>
          <w:tcPr>
            <w:tcW w:w="2343" w:type="pct"/>
            <w:gridSpan w:val="2"/>
            <w:tcBorders>
              <w:top w:val="nil"/>
              <w:left w:val="nil"/>
              <w:bottom w:val="single" w:color="auto" w:sz="4" w:space="0"/>
              <w:right w:val="single" w:color="auto" w:sz="4" w:space="0"/>
            </w:tcBorders>
            <w:noWrap w:val="0"/>
            <w:vAlign w:val="center"/>
          </w:tcPr>
          <w:p w14:paraId="41604D88">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运输服务过程发生异常情况，</w:t>
            </w:r>
            <w:r>
              <w:rPr>
                <w:rFonts w:hint="eastAsia" w:ascii="宋体" w:hAnsi="宋体" w:eastAsia="宋体" w:cs="宋体"/>
                <w:color w:val="auto"/>
                <w:sz w:val="18"/>
                <w:szCs w:val="18"/>
                <w:highlight w:val="none"/>
                <w:lang w:val="en-US"/>
              </w:rPr>
              <w:t>未</w:t>
            </w:r>
            <w:r>
              <w:rPr>
                <w:rFonts w:hint="eastAsia" w:ascii="宋体" w:hAnsi="宋体" w:eastAsia="宋体" w:cs="宋体"/>
                <w:color w:val="auto"/>
                <w:sz w:val="18"/>
                <w:szCs w:val="18"/>
                <w:highlight w:val="none"/>
                <w:lang w:val="en-US"/>
              </w:rPr>
              <w:t>在30分钟内反馈给新东欣调度人员（包括装卸货、</w:t>
            </w:r>
            <w:r>
              <w:rPr>
                <w:rFonts w:hint="eastAsia" w:ascii="宋体" w:hAnsi="宋体" w:eastAsia="宋体" w:cs="宋体"/>
                <w:color w:val="auto"/>
                <w:sz w:val="18"/>
                <w:szCs w:val="18"/>
                <w:highlight w:val="none"/>
                <w:lang w:val="en-US"/>
              </w:rPr>
              <w:t>数量异常</w:t>
            </w:r>
            <w:r>
              <w:rPr>
                <w:rFonts w:hint="eastAsia" w:ascii="宋体" w:hAnsi="宋体" w:eastAsia="宋体" w:cs="宋体"/>
                <w:color w:val="auto"/>
                <w:sz w:val="18"/>
                <w:szCs w:val="18"/>
                <w:highlight w:val="none"/>
                <w:lang w:val="en-US"/>
              </w:rPr>
              <w:t>、废物异常、沟通异常等）。</w:t>
            </w:r>
          </w:p>
        </w:tc>
        <w:tc>
          <w:tcPr>
            <w:tcW w:w="551" w:type="pct"/>
            <w:tcBorders>
              <w:top w:val="nil"/>
              <w:left w:val="nil"/>
              <w:bottom w:val="single" w:color="auto" w:sz="4" w:space="0"/>
              <w:right w:val="single" w:color="auto" w:sz="4" w:space="0"/>
            </w:tcBorders>
            <w:noWrap w:val="0"/>
            <w:vAlign w:val="center"/>
          </w:tcPr>
          <w:p w14:paraId="4DBEB782">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3E3226C6">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548516DE">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3572ACEA">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不及时，每次扣0.5分；不反馈，每次扣1分；</w:t>
            </w:r>
          </w:p>
        </w:tc>
      </w:tr>
      <w:tr w14:paraId="09658B8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9" w:hRule="atLeast"/>
          <w:jc w:val="center"/>
        </w:trPr>
        <w:tc>
          <w:tcPr>
            <w:tcW w:w="250" w:type="pct"/>
            <w:vMerge w:val="continue"/>
            <w:tcBorders>
              <w:left w:val="single" w:color="auto" w:sz="4" w:space="0"/>
              <w:right w:val="single" w:color="auto" w:sz="4" w:space="0"/>
            </w:tcBorders>
            <w:noWrap w:val="0"/>
            <w:vAlign w:val="center"/>
          </w:tcPr>
          <w:p w14:paraId="45227562">
            <w:pPr>
              <w:overflowPunct/>
              <w:autoSpaceDE/>
              <w:autoSpaceDN/>
              <w:adjustRightInd/>
              <w:spacing w:line="320" w:lineRule="exact"/>
              <w:jc w:val="center"/>
              <w:textAlignment w:val="auto"/>
              <w:rPr>
                <w:rFonts w:ascii="宋体" w:hAnsi="宋体" w:eastAsia="宋体" w:cs="宋体"/>
                <w:color w:val="auto"/>
                <w:sz w:val="21"/>
                <w:szCs w:val="21"/>
                <w:highlight w:val="none"/>
                <w:lang w:val="en-US"/>
              </w:rPr>
            </w:pPr>
          </w:p>
        </w:tc>
        <w:tc>
          <w:tcPr>
            <w:tcW w:w="232" w:type="pct"/>
            <w:tcBorders>
              <w:top w:val="nil"/>
              <w:left w:val="nil"/>
              <w:bottom w:val="single" w:color="auto" w:sz="4" w:space="0"/>
              <w:right w:val="single" w:color="auto" w:sz="4" w:space="0"/>
            </w:tcBorders>
            <w:noWrap w:val="0"/>
            <w:vAlign w:val="center"/>
          </w:tcPr>
          <w:p w14:paraId="177E87C4">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9</w:t>
            </w:r>
          </w:p>
        </w:tc>
        <w:tc>
          <w:tcPr>
            <w:tcW w:w="2343" w:type="pct"/>
            <w:gridSpan w:val="2"/>
            <w:tcBorders>
              <w:top w:val="nil"/>
              <w:left w:val="nil"/>
              <w:bottom w:val="single" w:color="auto" w:sz="4" w:space="0"/>
              <w:right w:val="single" w:color="auto" w:sz="4" w:space="0"/>
            </w:tcBorders>
            <w:noWrap w:val="0"/>
            <w:vAlign w:val="center"/>
          </w:tcPr>
          <w:p w14:paraId="2760630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运输服务过程态度</w:t>
            </w:r>
            <w:r>
              <w:rPr>
                <w:rFonts w:hint="eastAsia" w:ascii="宋体" w:hAnsi="宋体" w:eastAsia="宋体" w:cs="宋体"/>
                <w:color w:val="auto"/>
                <w:sz w:val="18"/>
                <w:szCs w:val="18"/>
                <w:highlight w:val="none"/>
                <w:lang w:val="en-US"/>
              </w:rPr>
              <w:t>不佳</w:t>
            </w:r>
            <w:r>
              <w:rPr>
                <w:rFonts w:hint="eastAsia" w:ascii="宋体" w:hAnsi="宋体" w:eastAsia="宋体" w:cs="宋体"/>
                <w:color w:val="auto"/>
                <w:sz w:val="18"/>
                <w:szCs w:val="18"/>
                <w:highlight w:val="none"/>
                <w:lang w:val="en-US"/>
              </w:rPr>
              <w:t>，与客户或新东欣公司人员发生纠纷、冲突、或被投诉且经调查属实的情况。</w:t>
            </w:r>
          </w:p>
        </w:tc>
        <w:tc>
          <w:tcPr>
            <w:tcW w:w="551" w:type="pct"/>
            <w:tcBorders>
              <w:top w:val="nil"/>
              <w:left w:val="nil"/>
              <w:bottom w:val="single" w:color="auto" w:sz="4" w:space="0"/>
              <w:right w:val="single" w:color="auto" w:sz="4" w:space="0"/>
            </w:tcBorders>
            <w:noWrap w:val="0"/>
            <w:vAlign w:val="center"/>
          </w:tcPr>
          <w:p w14:paraId="1A7D20E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6D01E99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175B950C">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640D8BD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发生每次扣1分</w:t>
            </w:r>
          </w:p>
        </w:tc>
      </w:tr>
      <w:tr w14:paraId="7156F87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9" w:hRule="atLeast"/>
          <w:jc w:val="center"/>
        </w:trPr>
        <w:tc>
          <w:tcPr>
            <w:tcW w:w="250" w:type="pct"/>
            <w:vMerge w:val="continue"/>
            <w:tcBorders>
              <w:left w:val="single" w:color="auto" w:sz="4" w:space="0"/>
              <w:right w:val="single" w:color="auto" w:sz="4" w:space="0"/>
            </w:tcBorders>
            <w:noWrap w:val="0"/>
            <w:vAlign w:val="center"/>
          </w:tcPr>
          <w:p w14:paraId="4B326B89">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5BED4A1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43" w:type="pct"/>
            <w:gridSpan w:val="2"/>
            <w:tcBorders>
              <w:top w:val="nil"/>
              <w:left w:val="nil"/>
              <w:bottom w:val="single" w:color="auto" w:sz="4" w:space="0"/>
              <w:right w:val="single" w:color="auto" w:sz="4" w:space="0"/>
            </w:tcBorders>
            <w:noWrap w:val="0"/>
            <w:vAlign w:val="center"/>
          </w:tcPr>
          <w:p w14:paraId="4EE5C51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运输服务人员</w:t>
            </w:r>
            <w:r>
              <w:rPr>
                <w:rFonts w:hint="eastAsia" w:ascii="宋体" w:hAnsi="宋体" w:eastAsia="宋体" w:cs="宋体"/>
                <w:color w:val="auto"/>
                <w:sz w:val="18"/>
                <w:szCs w:val="18"/>
                <w:highlight w:val="none"/>
                <w:lang w:val="en-US"/>
              </w:rPr>
              <w:t>不专业</w:t>
            </w:r>
            <w:r>
              <w:rPr>
                <w:rFonts w:hint="eastAsia" w:ascii="宋体" w:hAnsi="宋体" w:eastAsia="宋体" w:cs="宋体"/>
                <w:color w:val="auto"/>
                <w:sz w:val="18"/>
                <w:szCs w:val="18"/>
                <w:highlight w:val="none"/>
                <w:lang w:val="en-US"/>
              </w:rPr>
              <w:t>，如：装车</w:t>
            </w:r>
            <w:r>
              <w:rPr>
                <w:rFonts w:hint="eastAsia" w:ascii="宋体" w:hAnsi="宋体" w:eastAsia="宋体" w:cs="宋体"/>
                <w:color w:val="auto"/>
                <w:sz w:val="18"/>
                <w:szCs w:val="18"/>
                <w:highlight w:val="none"/>
                <w:lang w:val="en-US"/>
              </w:rPr>
              <w:t>不合理</w:t>
            </w:r>
            <w:r>
              <w:rPr>
                <w:rFonts w:hint="eastAsia" w:ascii="宋体" w:hAnsi="宋体" w:eastAsia="宋体" w:cs="宋体"/>
                <w:color w:val="auto"/>
                <w:sz w:val="18"/>
                <w:szCs w:val="18"/>
                <w:highlight w:val="none"/>
                <w:lang w:val="en-US"/>
              </w:rPr>
              <w:t>、遇到废物发生异常时</w:t>
            </w:r>
            <w:r>
              <w:rPr>
                <w:rFonts w:hint="eastAsia" w:ascii="宋体" w:hAnsi="宋体" w:eastAsia="宋体" w:cs="宋体"/>
                <w:color w:val="auto"/>
                <w:sz w:val="18"/>
                <w:szCs w:val="18"/>
                <w:highlight w:val="none"/>
                <w:lang w:val="en-US"/>
              </w:rPr>
              <w:t>处置不合理</w:t>
            </w:r>
            <w:r>
              <w:rPr>
                <w:rFonts w:hint="eastAsia" w:ascii="宋体" w:hAnsi="宋体" w:eastAsia="宋体" w:cs="宋体"/>
                <w:color w:val="auto"/>
                <w:sz w:val="18"/>
                <w:szCs w:val="18"/>
                <w:highlight w:val="none"/>
                <w:lang w:val="en-US"/>
              </w:rPr>
              <w:t>、遇到车辆突发</w:t>
            </w:r>
            <w:r>
              <w:rPr>
                <w:rFonts w:hint="eastAsia" w:ascii="宋体" w:hAnsi="宋体" w:eastAsia="宋体" w:cs="宋体"/>
                <w:color w:val="auto"/>
                <w:sz w:val="18"/>
                <w:szCs w:val="18"/>
                <w:highlight w:val="none"/>
                <w:lang w:val="en-US"/>
              </w:rPr>
              <w:t>异常时处置不合理</w:t>
            </w:r>
          </w:p>
        </w:tc>
        <w:tc>
          <w:tcPr>
            <w:tcW w:w="551" w:type="pct"/>
            <w:tcBorders>
              <w:top w:val="nil"/>
              <w:left w:val="nil"/>
              <w:bottom w:val="single" w:color="auto" w:sz="4" w:space="0"/>
              <w:right w:val="single" w:color="auto" w:sz="4" w:space="0"/>
            </w:tcBorders>
            <w:noWrap w:val="0"/>
            <w:vAlign w:val="top"/>
          </w:tcPr>
          <w:p w14:paraId="49D9910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3B54058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676A9747">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3006E8D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15</w:t>
            </w:r>
          </w:p>
        </w:tc>
        <w:tc>
          <w:tcPr>
            <w:tcW w:w="233" w:type="pct"/>
            <w:tcBorders>
              <w:top w:val="nil"/>
              <w:left w:val="nil"/>
              <w:bottom w:val="single" w:color="auto" w:sz="4" w:space="0"/>
              <w:right w:val="single" w:color="auto" w:sz="4" w:space="0"/>
            </w:tcBorders>
            <w:noWrap w:val="0"/>
            <w:vAlign w:val="center"/>
          </w:tcPr>
          <w:p w14:paraId="47C47FAF">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47229696">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不专业造成轻微事故每次扣1分；造成严重事故的，每次扣5分</w:t>
            </w:r>
          </w:p>
        </w:tc>
      </w:tr>
      <w:tr w14:paraId="5863D1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2" w:hRule="atLeast"/>
          <w:jc w:val="center"/>
        </w:trPr>
        <w:tc>
          <w:tcPr>
            <w:tcW w:w="250" w:type="pct"/>
            <w:vMerge w:val="restart"/>
            <w:tcBorders>
              <w:top w:val="nil"/>
              <w:left w:val="single" w:color="auto" w:sz="4" w:space="0"/>
              <w:right w:val="single" w:color="auto" w:sz="4" w:space="0"/>
            </w:tcBorders>
            <w:noWrap w:val="0"/>
            <w:vAlign w:val="center"/>
          </w:tcPr>
          <w:p w14:paraId="0165AF9E">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其他</w:t>
            </w:r>
          </w:p>
        </w:tc>
        <w:tc>
          <w:tcPr>
            <w:tcW w:w="232" w:type="pct"/>
            <w:tcBorders>
              <w:top w:val="nil"/>
              <w:left w:val="nil"/>
              <w:bottom w:val="single" w:color="auto" w:sz="4" w:space="0"/>
              <w:right w:val="single" w:color="auto" w:sz="4" w:space="0"/>
            </w:tcBorders>
            <w:noWrap w:val="0"/>
            <w:vAlign w:val="center"/>
          </w:tcPr>
          <w:p w14:paraId="43AD904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11</w:t>
            </w:r>
          </w:p>
        </w:tc>
        <w:tc>
          <w:tcPr>
            <w:tcW w:w="2343" w:type="pct"/>
            <w:gridSpan w:val="2"/>
            <w:tcBorders>
              <w:top w:val="nil"/>
              <w:left w:val="nil"/>
              <w:bottom w:val="single" w:color="auto" w:sz="4" w:space="0"/>
              <w:right w:val="single" w:color="auto" w:sz="4" w:space="0"/>
            </w:tcBorders>
            <w:noWrap w:val="0"/>
            <w:vAlign w:val="center"/>
          </w:tcPr>
          <w:p w14:paraId="30E778BC">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现场收货的承运单</w:t>
            </w:r>
            <w:r>
              <w:rPr>
                <w:rFonts w:hint="eastAsia" w:ascii="宋体" w:hAnsi="宋体" w:eastAsia="宋体" w:cs="宋体"/>
                <w:color w:val="auto"/>
                <w:sz w:val="18"/>
                <w:szCs w:val="18"/>
                <w:highlight w:val="none"/>
                <w:lang w:val="en-US"/>
              </w:rPr>
              <w:t>未</w:t>
            </w:r>
            <w:r>
              <w:rPr>
                <w:rFonts w:hint="eastAsia" w:ascii="宋体" w:hAnsi="宋体" w:eastAsia="宋体" w:cs="宋体"/>
                <w:color w:val="auto"/>
                <w:sz w:val="18"/>
                <w:szCs w:val="18"/>
                <w:highlight w:val="none"/>
                <w:lang w:val="en-US"/>
              </w:rPr>
              <w:t>与客户确认并签字、或漏签字或代替客户签字，</w:t>
            </w:r>
            <w:r>
              <w:rPr>
                <w:rFonts w:hint="eastAsia" w:ascii="宋体" w:hAnsi="宋体" w:eastAsia="宋体" w:cs="宋体"/>
                <w:color w:val="auto"/>
                <w:sz w:val="18"/>
                <w:szCs w:val="18"/>
                <w:highlight w:val="none"/>
                <w:lang w:val="en-US"/>
              </w:rPr>
              <w:t>或运输公司人员将废物明细及数量填写错误或错扣皮重，导致</w:t>
            </w:r>
            <w:r>
              <w:rPr>
                <w:rFonts w:hint="eastAsia" w:ascii="宋体" w:hAnsi="宋体" w:eastAsia="宋体" w:cs="宋体"/>
                <w:color w:val="auto"/>
                <w:sz w:val="18"/>
                <w:szCs w:val="18"/>
                <w:highlight w:val="none"/>
                <w:lang w:val="en-US"/>
              </w:rPr>
              <w:t>新东欣入库后修改数据。</w:t>
            </w:r>
          </w:p>
        </w:tc>
        <w:tc>
          <w:tcPr>
            <w:tcW w:w="551" w:type="pct"/>
            <w:tcBorders>
              <w:top w:val="nil"/>
              <w:left w:val="nil"/>
              <w:bottom w:val="single" w:color="auto" w:sz="4" w:space="0"/>
              <w:right w:val="single" w:color="auto" w:sz="4" w:space="0"/>
            </w:tcBorders>
            <w:noWrap w:val="0"/>
            <w:vAlign w:val="center"/>
          </w:tcPr>
          <w:p w14:paraId="70A5F6A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49264B8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tc>
        <w:tc>
          <w:tcPr>
            <w:tcW w:w="285" w:type="pct"/>
            <w:tcBorders>
              <w:top w:val="nil"/>
              <w:left w:val="nil"/>
              <w:bottom w:val="single" w:color="auto" w:sz="4" w:space="0"/>
              <w:right w:val="single" w:color="auto" w:sz="4" w:space="0"/>
            </w:tcBorders>
            <w:noWrap w:val="0"/>
            <w:vAlign w:val="center"/>
          </w:tcPr>
          <w:p w14:paraId="5E39DEF2">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2525754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7BD6E642">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每次扣0.5分</w:t>
            </w:r>
          </w:p>
        </w:tc>
      </w:tr>
      <w:tr w14:paraId="5C81E8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0" w:hRule="atLeast"/>
          <w:jc w:val="center"/>
        </w:trPr>
        <w:tc>
          <w:tcPr>
            <w:tcW w:w="250" w:type="pct"/>
            <w:vMerge w:val="continue"/>
            <w:tcBorders>
              <w:left w:val="single" w:color="auto" w:sz="4" w:space="0"/>
              <w:right w:val="single" w:color="auto" w:sz="4" w:space="0"/>
            </w:tcBorders>
            <w:noWrap w:val="0"/>
            <w:vAlign w:val="center"/>
          </w:tcPr>
          <w:p w14:paraId="44A4DB33">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0E5E2A4C">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12</w:t>
            </w:r>
          </w:p>
        </w:tc>
        <w:tc>
          <w:tcPr>
            <w:tcW w:w="2343" w:type="pct"/>
            <w:gridSpan w:val="2"/>
            <w:tcBorders>
              <w:top w:val="nil"/>
              <w:left w:val="nil"/>
              <w:bottom w:val="single" w:color="auto" w:sz="4" w:space="0"/>
              <w:right w:val="single" w:color="auto" w:sz="4" w:space="0"/>
            </w:tcBorders>
            <w:noWrap w:val="0"/>
            <w:vAlign w:val="center"/>
          </w:tcPr>
          <w:p w14:paraId="451E1B0B">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因运输人员原因导致</w:t>
            </w:r>
            <w:r>
              <w:rPr>
                <w:rFonts w:hint="eastAsia" w:ascii="宋体" w:hAnsi="宋体" w:eastAsia="宋体" w:cs="宋体"/>
                <w:color w:val="auto"/>
                <w:sz w:val="18"/>
                <w:szCs w:val="18"/>
                <w:highlight w:val="none"/>
                <w:lang w:val="en-US"/>
              </w:rPr>
              <w:t>漏扫联单或错扫联单</w:t>
            </w:r>
          </w:p>
        </w:tc>
        <w:tc>
          <w:tcPr>
            <w:tcW w:w="551" w:type="pct"/>
            <w:tcBorders>
              <w:top w:val="nil"/>
              <w:left w:val="nil"/>
              <w:bottom w:val="single" w:color="auto" w:sz="4" w:space="0"/>
              <w:right w:val="single" w:color="auto" w:sz="4" w:space="0"/>
            </w:tcBorders>
            <w:noWrap w:val="0"/>
            <w:vAlign w:val="center"/>
          </w:tcPr>
          <w:p w14:paraId="1E3625A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6F0C4E4A">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6EEE921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14511BD3">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每次扣1分</w:t>
            </w:r>
          </w:p>
        </w:tc>
      </w:tr>
      <w:tr w14:paraId="1BC289E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9" w:hRule="atLeast"/>
          <w:jc w:val="center"/>
        </w:trPr>
        <w:tc>
          <w:tcPr>
            <w:tcW w:w="250" w:type="pct"/>
            <w:vMerge w:val="continue"/>
            <w:tcBorders>
              <w:left w:val="single" w:color="auto" w:sz="4" w:space="0"/>
              <w:right w:val="single" w:color="auto" w:sz="4" w:space="0"/>
            </w:tcBorders>
            <w:noWrap w:val="0"/>
            <w:vAlign w:val="center"/>
          </w:tcPr>
          <w:p w14:paraId="66225BEC">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5EE1919B">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13</w:t>
            </w:r>
          </w:p>
        </w:tc>
        <w:tc>
          <w:tcPr>
            <w:tcW w:w="2343" w:type="pct"/>
            <w:gridSpan w:val="2"/>
            <w:tcBorders>
              <w:top w:val="nil"/>
              <w:left w:val="nil"/>
              <w:bottom w:val="single" w:color="auto" w:sz="4" w:space="0"/>
              <w:right w:val="single" w:color="auto" w:sz="4" w:space="0"/>
            </w:tcBorders>
            <w:noWrap w:val="0"/>
            <w:vAlign w:val="center"/>
          </w:tcPr>
          <w:p w14:paraId="1A226A74">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运输费对账资料和发票未按时提交，数据存在反复修改</w:t>
            </w:r>
          </w:p>
        </w:tc>
        <w:tc>
          <w:tcPr>
            <w:tcW w:w="551" w:type="pct"/>
            <w:tcBorders>
              <w:top w:val="nil"/>
              <w:left w:val="nil"/>
              <w:bottom w:val="single" w:color="auto" w:sz="4" w:space="0"/>
              <w:right w:val="single" w:color="auto" w:sz="4" w:space="0"/>
            </w:tcBorders>
            <w:noWrap w:val="0"/>
            <w:vAlign w:val="center"/>
          </w:tcPr>
          <w:p w14:paraId="5AC729F7">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5DD2A030">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2</w:t>
            </w:r>
          </w:p>
        </w:tc>
        <w:tc>
          <w:tcPr>
            <w:tcW w:w="233" w:type="pct"/>
            <w:tcBorders>
              <w:top w:val="nil"/>
              <w:left w:val="nil"/>
              <w:bottom w:val="single" w:color="auto" w:sz="4" w:space="0"/>
              <w:right w:val="single" w:color="auto" w:sz="4" w:space="0"/>
            </w:tcBorders>
            <w:noWrap w:val="0"/>
            <w:vAlign w:val="center"/>
          </w:tcPr>
          <w:p w14:paraId="4DEBCC7C">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456E7518">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延迟提交一次扣0.2分；反复修改扣0.5分</w:t>
            </w:r>
          </w:p>
        </w:tc>
      </w:tr>
      <w:tr w14:paraId="78F01EE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6" w:hRule="atLeast"/>
          <w:jc w:val="center"/>
        </w:trPr>
        <w:tc>
          <w:tcPr>
            <w:tcW w:w="250" w:type="pct"/>
            <w:vMerge w:val="continue"/>
            <w:tcBorders>
              <w:left w:val="single" w:color="auto" w:sz="4" w:space="0"/>
              <w:right w:val="single" w:color="auto" w:sz="4" w:space="0"/>
            </w:tcBorders>
            <w:noWrap w:val="0"/>
            <w:vAlign w:val="center"/>
          </w:tcPr>
          <w:p w14:paraId="5D70FB36">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7379CEF6">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14</w:t>
            </w:r>
          </w:p>
        </w:tc>
        <w:tc>
          <w:tcPr>
            <w:tcW w:w="2343" w:type="pct"/>
            <w:gridSpan w:val="2"/>
            <w:tcBorders>
              <w:top w:val="nil"/>
              <w:left w:val="nil"/>
              <w:bottom w:val="single" w:color="auto" w:sz="4" w:space="0"/>
              <w:right w:val="single" w:color="auto" w:sz="4" w:space="0"/>
            </w:tcBorders>
            <w:noWrap w:val="0"/>
            <w:vAlign w:val="center"/>
          </w:tcPr>
          <w:p w14:paraId="5D710798">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整改报告未按时提交，整改措施不合理且无效</w:t>
            </w:r>
          </w:p>
        </w:tc>
        <w:tc>
          <w:tcPr>
            <w:tcW w:w="551" w:type="pct"/>
            <w:tcBorders>
              <w:top w:val="nil"/>
              <w:left w:val="nil"/>
              <w:bottom w:val="single" w:color="auto" w:sz="4" w:space="0"/>
              <w:right w:val="single" w:color="auto" w:sz="4" w:space="0"/>
            </w:tcBorders>
            <w:noWrap w:val="0"/>
            <w:vAlign w:val="center"/>
          </w:tcPr>
          <w:p w14:paraId="08613A7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7270FFD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3</w:t>
            </w:r>
          </w:p>
        </w:tc>
        <w:tc>
          <w:tcPr>
            <w:tcW w:w="233" w:type="pct"/>
            <w:tcBorders>
              <w:top w:val="nil"/>
              <w:left w:val="nil"/>
              <w:bottom w:val="single" w:color="auto" w:sz="4" w:space="0"/>
              <w:right w:val="single" w:color="auto" w:sz="4" w:space="0"/>
            </w:tcBorders>
            <w:noWrap w:val="0"/>
            <w:vAlign w:val="center"/>
          </w:tcPr>
          <w:p w14:paraId="71AB0CC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1A4CAAAF">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不符合一次扣0.5分</w:t>
            </w:r>
          </w:p>
        </w:tc>
      </w:tr>
      <w:tr w14:paraId="727B38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7" w:hRule="exact"/>
          <w:jc w:val="center"/>
        </w:trPr>
        <w:tc>
          <w:tcPr>
            <w:tcW w:w="3377" w:type="pct"/>
            <w:gridSpan w:val="5"/>
            <w:tcBorders>
              <w:top w:val="single" w:color="auto" w:sz="4" w:space="0"/>
              <w:left w:val="single" w:color="auto" w:sz="4" w:space="0"/>
              <w:bottom w:val="single" w:color="auto" w:sz="4" w:space="0"/>
              <w:right w:val="nil"/>
            </w:tcBorders>
            <w:noWrap w:val="0"/>
            <w:vAlign w:val="center"/>
          </w:tcPr>
          <w:p w14:paraId="175D3758">
            <w:pPr>
              <w:overflowPunct/>
              <w:autoSpaceDE/>
              <w:autoSpaceDN/>
              <w:adjustRightInd/>
              <w:spacing w:line="320" w:lineRule="exact"/>
              <w:jc w:val="center"/>
              <w:textAlignment w:val="auto"/>
              <w:rPr>
                <w:rFonts w:ascii="宋体" w:hAnsi="宋体" w:eastAsia="宋体" w:cs="宋体"/>
                <w:b/>
                <w:color w:val="auto"/>
                <w:sz w:val="18"/>
                <w:szCs w:val="18"/>
                <w:highlight w:val="none"/>
                <w:lang w:val="en-US"/>
              </w:rPr>
            </w:pPr>
            <w:r>
              <w:rPr>
                <w:rFonts w:hint="eastAsia" w:ascii="宋体" w:hAnsi="宋体" w:eastAsia="宋体" w:cs="宋体"/>
                <w:b/>
                <w:color w:val="auto"/>
                <w:sz w:val="18"/>
                <w:szCs w:val="18"/>
                <w:highlight w:val="none"/>
                <w:lang w:val="en-US"/>
              </w:rPr>
              <w:t>合计</w:t>
            </w:r>
          </w:p>
        </w:tc>
        <w:tc>
          <w:tcPr>
            <w:tcW w:w="285" w:type="pct"/>
            <w:tcBorders>
              <w:top w:val="nil"/>
              <w:left w:val="single" w:color="auto" w:sz="4" w:space="0"/>
              <w:bottom w:val="single" w:color="auto" w:sz="4" w:space="0"/>
              <w:right w:val="single" w:color="auto" w:sz="4" w:space="0"/>
            </w:tcBorders>
            <w:noWrap w:val="0"/>
            <w:vAlign w:val="center"/>
          </w:tcPr>
          <w:p w14:paraId="16DBC971">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100</w:t>
            </w:r>
          </w:p>
        </w:tc>
        <w:tc>
          <w:tcPr>
            <w:tcW w:w="233" w:type="pct"/>
            <w:tcBorders>
              <w:top w:val="nil"/>
              <w:left w:val="nil"/>
              <w:bottom w:val="single" w:color="auto" w:sz="4" w:space="0"/>
              <w:right w:val="single" w:color="auto" w:sz="4" w:space="0"/>
            </w:tcBorders>
            <w:noWrap w:val="0"/>
            <w:vAlign w:val="center"/>
          </w:tcPr>
          <w:p w14:paraId="475D67AD">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4" w:type="pct"/>
            <w:tcBorders>
              <w:top w:val="nil"/>
              <w:left w:val="nil"/>
              <w:bottom w:val="single" w:color="auto" w:sz="4" w:space="0"/>
              <w:right w:val="single" w:color="auto" w:sz="4" w:space="0"/>
            </w:tcBorders>
            <w:noWrap w:val="0"/>
            <w:vAlign w:val="center"/>
          </w:tcPr>
          <w:p w14:paraId="2C9A68D9">
            <w:pPr>
              <w:overflowPunct/>
              <w:autoSpaceDE/>
              <w:autoSpaceDN/>
              <w:adjustRightInd/>
              <w:spacing w:line="320" w:lineRule="exact"/>
              <w:textAlignment w:val="auto"/>
              <w:rPr>
                <w:rFonts w:ascii="宋体" w:hAnsi="宋体" w:eastAsia="宋体" w:cs="宋体"/>
                <w:color w:val="auto"/>
                <w:sz w:val="18"/>
                <w:szCs w:val="18"/>
                <w:highlight w:val="none"/>
                <w:lang w:val="en-US"/>
              </w:rPr>
            </w:pPr>
          </w:p>
        </w:tc>
      </w:tr>
    </w:tbl>
    <w:p w14:paraId="7C1E9869">
      <w:pPr>
        <w:tabs>
          <w:tab w:val="left" w:pos="8090"/>
        </w:tabs>
        <w:rPr>
          <w:rFonts w:hint="eastAsia" w:ascii="宋体" w:hAnsi="宋体" w:eastAsia="宋体"/>
          <w:color w:val="auto"/>
          <w:sz w:val="21"/>
          <w:szCs w:val="21"/>
          <w:highlight w:val="none"/>
          <w:lang w:val="en-US" w:eastAsia="zh-CN"/>
        </w:rPr>
      </w:pPr>
      <w:bookmarkStart w:id="74" w:name="_Toc9724"/>
      <w:bookmarkStart w:id="75" w:name="_Toc6933"/>
    </w:p>
    <w:p w14:paraId="32A57059">
      <w:pPr>
        <w:tabs>
          <w:tab w:val="left" w:pos="8090"/>
        </w:tabs>
        <w:rPr>
          <w:rFonts w:hint="eastAsia" w:ascii="宋体" w:hAnsi="宋体" w:eastAsia="宋体"/>
          <w:color w:val="auto"/>
          <w:sz w:val="21"/>
          <w:szCs w:val="21"/>
          <w:highlight w:val="none"/>
          <w:lang w:val="en-US"/>
        </w:rPr>
      </w:pPr>
      <w:r>
        <w:rPr>
          <w:rFonts w:hint="eastAsia" w:ascii="宋体" w:hAnsi="宋体" w:eastAsia="宋体"/>
          <w:color w:val="auto"/>
          <w:sz w:val="21"/>
          <w:szCs w:val="21"/>
          <w:highlight w:val="none"/>
          <w:lang w:val="en-US" w:eastAsia="zh-CN"/>
        </w:rPr>
        <w:t>市场中心</w:t>
      </w:r>
      <w:r>
        <w:rPr>
          <w:rFonts w:hint="eastAsia" w:ascii="宋体" w:hAnsi="宋体" w:eastAsia="宋体"/>
          <w:color w:val="auto"/>
          <w:sz w:val="21"/>
          <w:szCs w:val="21"/>
          <w:highlight w:val="none"/>
          <w:lang w:val="en-US"/>
        </w:rPr>
        <w:t>签字：</w:t>
      </w:r>
    </w:p>
    <w:p w14:paraId="0BC00D8B">
      <w:pPr>
        <w:outlineLvl w:val="9"/>
        <w:rPr>
          <w:rFonts w:ascii="宋体" w:hAnsi="宋体" w:eastAsia="宋体"/>
          <w:color w:val="auto"/>
          <w:sz w:val="21"/>
          <w:szCs w:val="21"/>
          <w:highlight w:val="none"/>
          <w:lang w:val="en-US"/>
        </w:rPr>
      </w:pPr>
      <w:r>
        <w:rPr>
          <w:rFonts w:ascii="宋体" w:hAnsi="宋体" w:eastAsia="宋体"/>
          <w:color w:val="auto"/>
          <w:sz w:val="21"/>
          <w:szCs w:val="21"/>
          <w:highlight w:val="none"/>
          <w:lang w:val="en-US"/>
        </w:rPr>
        <w:br w:type="page"/>
      </w:r>
    </w:p>
    <w:p w14:paraId="12BC1860">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color w:val="auto"/>
          <w:sz w:val="21"/>
          <w:szCs w:val="21"/>
          <w:highlight w:val="none"/>
          <w:lang w:val="en-US"/>
        </w:rPr>
      </w:pPr>
      <w:bookmarkStart w:id="76" w:name="_Toc25465"/>
      <w:bookmarkStart w:id="77" w:name="_Toc18890"/>
      <w:bookmarkStart w:id="78" w:name="_Toc11092"/>
      <w:bookmarkStart w:id="79" w:name="_Toc14514"/>
      <w:bookmarkStart w:id="80" w:name="_Toc8642"/>
      <w:bookmarkStart w:id="81" w:name="_Toc7535"/>
      <w:bookmarkStart w:id="82" w:name="_Toc7676"/>
      <w:bookmarkStart w:id="83" w:name="_Toc3352"/>
      <w:r>
        <w:rPr>
          <w:rFonts w:hint="eastAsia" w:ascii="宋体" w:hAnsi="宋体" w:eastAsia="宋体" w:cs="宋体"/>
          <w:b/>
          <w:color w:val="auto"/>
          <w:sz w:val="21"/>
          <w:szCs w:val="21"/>
          <w:highlight w:val="none"/>
        </w:rPr>
        <w:t>技术需求书附件</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运输单位搬运费分级标准》</w:t>
      </w:r>
      <w:bookmarkEnd w:id="74"/>
      <w:bookmarkEnd w:id="75"/>
      <w:bookmarkEnd w:id="76"/>
      <w:bookmarkEnd w:id="77"/>
      <w:bookmarkEnd w:id="78"/>
      <w:bookmarkEnd w:id="79"/>
      <w:bookmarkEnd w:id="80"/>
      <w:bookmarkEnd w:id="81"/>
      <w:bookmarkEnd w:id="82"/>
      <w:bookmarkEnd w:id="83"/>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6237"/>
        <w:gridCol w:w="1326"/>
      </w:tblGrid>
      <w:tr w14:paraId="2859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FDB92A">
            <w:pPr>
              <w:spacing w:line="240" w:lineRule="auto"/>
              <w:jc w:val="center"/>
              <w:rPr>
                <w:rFonts w:hint="eastAsia" w:ascii="宋体" w:hAnsi="宋体" w:eastAsia="宋体" w:cs="宋体"/>
                <w:b/>
                <w:color w:val="auto"/>
                <w:sz w:val="20"/>
                <w:szCs w:val="20"/>
                <w:highlight w:val="none"/>
                <w:lang w:eastAsia="zh-CN"/>
              </w:rPr>
            </w:pPr>
            <w:r>
              <w:rPr>
                <w:rFonts w:hint="eastAsia" w:ascii="宋体" w:hAnsi="宋体" w:eastAsia="宋体" w:cs="宋体"/>
                <w:b/>
                <w:color w:val="auto"/>
                <w:sz w:val="20"/>
                <w:szCs w:val="20"/>
                <w:highlight w:val="none"/>
                <w:lang w:val="en-US" w:eastAsia="zh-CN"/>
              </w:rPr>
              <w:t>类别</w:t>
            </w:r>
          </w:p>
        </w:tc>
        <w:tc>
          <w:tcPr>
            <w:tcW w:w="6237" w:type="dxa"/>
          </w:tcPr>
          <w:p w14:paraId="115A88A6">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标准</w:t>
            </w:r>
          </w:p>
        </w:tc>
        <w:tc>
          <w:tcPr>
            <w:tcW w:w="1326" w:type="dxa"/>
          </w:tcPr>
          <w:p w14:paraId="3C89F0F3">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lang w:val="en-US" w:eastAsia="zh-CN"/>
              </w:rPr>
              <w:t>打包费</w:t>
            </w:r>
          </w:p>
        </w:tc>
      </w:tr>
      <w:tr w14:paraId="74EA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DBA598">
            <w:pPr>
              <w:tabs>
                <w:tab w:val="left" w:pos="358"/>
              </w:tabs>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正常</w:t>
            </w:r>
          </w:p>
          <w:p w14:paraId="2792C895">
            <w:pPr>
              <w:tabs>
                <w:tab w:val="left" w:pos="358"/>
              </w:tabs>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服务</w:t>
            </w:r>
          </w:p>
        </w:tc>
        <w:tc>
          <w:tcPr>
            <w:tcW w:w="6237" w:type="dxa"/>
          </w:tcPr>
          <w:p w14:paraId="731E761C">
            <w:pPr>
              <w:spacing w:line="240" w:lineRule="auto"/>
              <w:jc w:val="left"/>
              <w:rPr>
                <w:rFonts w:hint="eastAsia" w:ascii="宋体" w:hAnsi="宋体" w:eastAsia="宋体" w:cs="宋体"/>
                <w:bCs/>
                <w:color w:val="auto"/>
                <w:sz w:val="20"/>
                <w:szCs w:val="20"/>
                <w:highlight w:val="none"/>
                <w:lang w:val="en-US" w:eastAsia="zh-CN"/>
              </w:rPr>
            </w:pPr>
            <w:r>
              <w:rPr>
                <w:rFonts w:hint="eastAsia" w:ascii="宋体" w:hAnsi="宋体" w:eastAsia="宋体" w:cs="宋体"/>
                <w:color w:val="auto"/>
                <w:sz w:val="20"/>
                <w:szCs w:val="20"/>
                <w:highlight w:val="none"/>
                <w:lang w:val="en-US" w:eastAsia="zh-CN"/>
              </w:rPr>
              <w:t>收运现场废物已码好卡板，</w:t>
            </w:r>
            <w:r>
              <w:rPr>
                <w:rFonts w:hint="eastAsia" w:ascii="宋体" w:hAnsi="宋体" w:eastAsia="宋体" w:cs="宋体"/>
                <w:bCs/>
                <w:color w:val="auto"/>
                <w:sz w:val="20"/>
                <w:szCs w:val="20"/>
                <w:highlight w:val="none"/>
              </w:rPr>
              <w:t>仅</w:t>
            </w:r>
            <w:r>
              <w:rPr>
                <w:rFonts w:hint="eastAsia" w:ascii="宋体" w:hAnsi="宋体" w:eastAsia="宋体" w:cs="宋体"/>
                <w:bCs/>
                <w:color w:val="auto"/>
                <w:sz w:val="20"/>
                <w:szCs w:val="20"/>
                <w:highlight w:val="none"/>
                <w:lang w:val="en-US" w:eastAsia="zh-CN"/>
              </w:rPr>
              <w:t>需要缠膜固定（采购人提供拉伸膜）和</w:t>
            </w:r>
            <w:r>
              <w:rPr>
                <w:rFonts w:hint="eastAsia" w:ascii="宋体" w:hAnsi="宋体" w:eastAsia="宋体" w:cs="宋体"/>
                <w:bCs/>
                <w:color w:val="auto"/>
                <w:sz w:val="20"/>
                <w:szCs w:val="20"/>
                <w:highlight w:val="none"/>
              </w:rPr>
              <w:t>使用手叉车上车，</w:t>
            </w:r>
            <w:r>
              <w:rPr>
                <w:rFonts w:hint="eastAsia" w:ascii="宋体" w:hAnsi="宋体" w:eastAsia="宋体" w:cs="宋体"/>
                <w:bCs/>
                <w:color w:val="auto"/>
                <w:sz w:val="20"/>
                <w:szCs w:val="20"/>
                <w:highlight w:val="none"/>
                <w:lang w:val="en-US" w:eastAsia="zh-CN"/>
              </w:rPr>
              <w:t>或者机动叉车装货时需要运输人员协助挂耳操作，属于正常服务，不额外支付装卸服务费。</w:t>
            </w:r>
          </w:p>
        </w:tc>
        <w:tc>
          <w:tcPr>
            <w:tcW w:w="1326" w:type="dxa"/>
            <w:vAlign w:val="center"/>
          </w:tcPr>
          <w:p w14:paraId="2F57A057">
            <w:pPr>
              <w:spacing w:line="240" w:lineRule="auto"/>
              <w:jc w:val="center"/>
              <w:rPr>
                <w:rFonts w:hint="eastAsia" w:ascii="宋体" w:hAnsi="宋体" w:eastAsia="宋体" w:cs="宋体"/>
                <w:bCs/>
                <w:color w:val="auto"/>
                <w:sz w:val="20"/>
                <w:szCs w:val="20"/>
                <w:highlight w:val="none"/>
                <w:lang w:val="en-US" w:eastAsia="zh-CN"/>
              </w:rPr>
            </w:pPr>
            <w:r>
              <w:rPr>
                <w:rFonts w:hint="eastAsia" w:ascii="宋体" w:hAnsi="宋体" w:eastAsia="宋体" w:cs="宋体"/>
                <w:bCs/>
                <w:color w:val="auto"/>
                <w:sz w:val="20"/>
                <w:szCs w:val="20"/>
                <w:highlight w:val="none"/>
                <w:lang w:val="en-US" w:eastAsia="zh-CN"/>
              </w:rPr>
              <w:t>0元</w:t>
            </w:r>
          </w:p>
        </w:tc>
      </w:tr>
      <w:tr w14:paraId="0EDE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C2EF8D7">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属于</w:t>
            </w:r>
          </w:p>
          <w:p w14:paraId="25B27B4A">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搬运</w:t>
            </w:r>
          </w:p>
          <w:p w14:paraId="02E1A40B">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打包</w:t>
            </w:r>
          </w:p>
          <w:p w14:paraId="41A70CA1">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服务</w:t>
            </w:r>
          </w:p>
          <w:p w14:paraId="0523B489">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的</w:t>
            </w:r>
          </w:p>
          <w:p w14:paraId="64211DBA">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类型</w:t>
            </w:r>
          </w:p>
        </w:tc>
        <w:tc>
          <w:tcPr>
            <w:tcW w:w="6237" w:type="dxa"/>
          </w:tcPr>
          <w:p w14:paraId="7053E82E">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SA"/>
              </w:rPr>
              <w:t>1、</w:t>
            </w:r>
            <w:r>
              <w:rPr>
                <w:rFonts w:hint="eastAsia" w:ascii="宋体" w:hAnsi="宋体" w:eastAsia="宋体" w:cs="宋体"/>
                <w:bCs/>
                <w:color w:val="auto"/>
                <w:sz w:val="20"/>
                <w:szCs w:val="20"/>
                <w:highlight w:val="none"/>
                <w:lang w:val="en-US" w:eastAsia="zh-CN"/>
              </w:rPr>
              <w:t>客户</w:t>
            </w:r>
            <w:r>
              <w:rPr>
                <w:rFonts w:hint="eastAsia" w:ascii="宋体" w:hAnsi="宋体" w:eastAsia="宋体" w:cs="宋体"/>
                <w:color w:val="auto"/>
                <w:sz w:val="20"/>
                <w:szCs w:val="20"/>
                <w:highlight w:val="none"/>
              </w:rPr>
              <w:t>废物码放不规范，需运输人员重新拆包并重新码板打包的。</w:t>
            </w:r>
          </w:p>
          <w:p w14:paraId="6C5A6160">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SA"/>
              </w:rPr>
              <w:t>2、</w:t>
            </w:r>
            <w:r>
              <w:rPr>
                <w:rFonts w:hint="eastAsia" w:ascii="宋体" w:hAnsi="宋体" w:eastAsia="宋体" w:cs="宋体"/>
                <w:color w:val="auto"/>
                <w:sz w:val="20"/>
                <w:szCs w:val="20"/>
                <w:highlight w:val="none"/>
              </w:rPr>
              <w:t>桶装液体类废物，客户未提前码板，需运输人员搬上卡板的</w:t>
            </w:r>
            <w:r>
              <w:rPr>
                <w:rFonts w:hint="eastAsia" w:ascii="宋体" w:hAnsi="宋体" w:eastAsia="宋体" w:cs="宋体"/>
                <w:color w:val="auto"/>
                <w:sz w:val="20"/>
                <w:szCs w:val="20"/>
                <w:highlight w:val="none"/>
                <w:lang w:eastAsia="zh-CN"/>
              </w:rPr>
              <w:t>。</w:t>
            </w:r>
          </w:p>
          <w:p w14:paraId="3DCE7F71">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SA"/>
              </w:rPr>
              <w:t>3、</w:t>
            </w:r>
            <w:r>
              <w:rPr>
                <w:rFonts w:hint="eastAsia" w:ascii="宋体" w:hAnsi="宋体" w:eastAsia="宋体" w:cs="宋体"/>
                <w:color w:val="auto"/>
                <w:sz w:val="20"/>
                <w:szCs w:val="20"/>
                <w:highlight w:val="none"/>
                <w:lang w:val="en-US" w:eastAsia="zh-CN"/>
              </w:rPr>
              <w:t>小袋装的固体废物，</w:t>
            </w:r>
            <w:r>
              <w:rPr>
                <w:rFonts w:hint="eastAsia" w:ascii="宋体" w:hAnsi="宋体" w:eastAsia="宋体" w:cs="宋体"/>
                <w:color w:val="auto"/>
                <w:sz w:val="20"/>
                <w:szCs w:val="20"/>
                <w:highlight w:val="none"/>
              </w:rPr>
              <w:t>客户未提前码板，需运输人员搬上卡板的</w:t>
            </w:r>
            <w:r>
              <w:rPr>
                <w:rFonts w:hint="eastAsia" w:ascii="宋体" w:hAnsi="宋体" w:eastAsia="宋体" w:cs="宋体"/>
                <w:color w:val="auto"/>
                <w:sz w:val="20"/>
                <w:szCs w:val="20"/>
                <w:highlight w:val="none"/>
                <w:lang w:eastAsia="zh-CN"/>
              </w:rPr>
              <w:t>。</w:t>
            </w:r>
          </w:p>
          <w:p w14:paraId="05183A02">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SA"/>
              </w:rPr>
              <w:t>4、</w:t>
            </w:r>
            <w:r>
              <w:rPr>
                <w:rFonts w:hint="eastAsia" w:ascii="宋体" w:hAnsi="宋体" w:eastAsia="宋体" w:cs="宋体"/>
                <w:color w:val="auto"/>
                <w:sz w:val="20"/>
                <w:szCs w:val="20"/>
                <w:highlight w:val="none"/>
                <w:lang w:val="en-US" w:eastAsia="zh-CN"/>
              </w:rPr>
              <w:t>散装的粉末状或污泥状固体废物，客户未提前装桶或装吨袋的，需要运输人员装桶或者装袋的。</w:t>
            </w:r>
          </w:p>
          <w:p w14:paraId="7D90D647">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bidi="ar-SA"/>
              </w:rPr>
              <w:t>5、</w:t>
            </w:r>
            <w:r>
              <w:rPr>
                <w:rFonts w:hint="eastAsia" w:ascii="宋体" w:hAnsi="宋体" w:eastAsia="宋体" w:cs="宋体"/>
                <w:color w:val="auto"/>
                <w:sz w:val="20"/>
                <w:szCs w:val="20"/>
                <w:highlight w:val="none"/>
                <w:lang w:val="en-US" w:eastAsia="zh-CN"/>
              </w:rPr>
              <w:t>装货现场条件限制，无法使用</w:t>
            </w:r>
            <w:r>
              <w:rPr>
                <w:rFonts w:hint="eastAsia" w:ascii="宋体" w:hAnsi="宋体" w:eastAsia="宋体" w:cs="宋体"/>
                <w:color w:val="auto"/>
                <w:sz w:val="20"/>
                <w:szCs w:val="20"/>
                <w:highlight w:val="none"/>
              </w:rPr>
              <w:t>手动叉车</w:t>
            </w:r>
            <w:r>
              <w:rPr>
                <w:rFonts w:hint="eastAsia" w:ascii="宋体" w:hAnsi="宋体" w:eastAsia="宋体" w:cs="宋体"/>
                <w:color w:val="auto"/>
                <w:sz w:val="20"/>
                <w:szCs w:val="20"/>
                <w:highlight w:val="none"/>
                <w:lang w:val="en-US" w:eastAsia="zh-CN"/>
              </w:rPr>
              <w:t>装货（例如台阶，无电梯的楼层），需要人工搬动转移货物的。</w:t>
            </w:r>
          </w:p>
          <w:p w14:paraId="2CA31058">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6、现场抽取废液的操作环境十分不便，需要人工反复上下或者管线超长</w:t>
            </w:r>
          </w:p>
        </w:tc>
        <w:tc>
          <w:tcPr>
            <w:tcW w:w="1326" w:type="dxa"/>
            <w:vAlign w:val="center"/>
          </w:tcPr>
          <w:p w14:paraId="76FA0AE6">
            <w:pPr>
              <w:spacing w:line="240" w:lineRule="auto"/>
              <w:jc w:val="center"/>
              <w:rPr>
                <w:rFonts w:hint="eastAsia" w:ascii="宋体" w:hAnsi="宋体" w:eastAsia="宋体" w:cs="宋体"/>
                <w:bCs/>
                <w:color w:val="auto"/>
                <w:sz w:val="20"/>
                <w:szCs w:val="20"/>
                <w:highlight w:val="none"/>
                <w:lang w:val="en-US" w:eastAsia="zh-CN"/>
              </w:rPr>
            </w:pPr>
            <w:r>
              <w:rPr>
                <w:rFonts w:hint="eastAsia" w:ascii="宋体" w:hAnsi="宋体" w:eastAsia="宋体" w:cs="宋体"/>
                <w:bCs/>
                <w:color w:val="auto"/>
                <w:sz w:val="20"/>
                <w:szCs w:val="20"/>
                <w:highlight w:val="none"/>
                <w:lang w:val="en-US" w:eastAsia="zh-CN"/>
              </w:rPr>
              <w:t>按本表的</w:t>
            </w:r>
          </w:p>
          <w:p w14:paraId="3FEEE440">
            <w:pPr>
              <w:spacing w:line="240" w:lineRule="auto"/>
              <w:jc w:val="center"/>
              <w:rPr>
                <w:rFonts w:hint="eastAsia" w:ascii="宋体" w:hAnsi="宋体" w:eastAsia="宋体" w:cs="宋体"/>
                <w:bCs/>
                <w:color w:val="auto"/>
                <w:sz w:val="20"/>
                <w:szCs w:val="20"/>
                <w:highlight w:val="none"/>
                <w:lang w:val="en-US" w:eastAsia="zh-CN"/>
              </w:rPr>
            </w:pPr>
            <w:r>
              <w:rPr>
                <w:rFonts w:hint="eastAsia" w:ascii="宋体" w:hAnsi="宋体" w:eastAsia="宋体" w:cs="宋体"/>
                <w:bCs/>
                <w:color w:val="auto"/>
                <w:sz w:val="20"/>
                <w:szCs w:val="20"/>
                <w:highlight w:val="none"/>
                <w:lang w:val="en-US" w:eastAsia="zh-CN"/>
              </w:rPr>
              <w:t>标准付费</w:t>
            </w:r>
          </w:p>
        </w:tc>
      </w:tr>
      <w:tr w14:paraId="187D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959" w:type="dxa"/>
            <w:vMerge w:val="restart"/>
            <w:vAlign w:val="center"/>
          </w:tcPr>
          <w:p w14:paraId="138A1320">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5-6米</w:t>
            </w:r>
          </w:p>
          <w:p w14:paraId="1A64A0F4">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厢车</w:t>
            </w:r>
          </w:p>
        </w:tc>
        <w:tc>
          <w:tcPr>
            <w:tcW w:w="6237" w:type="dxa"/>
            <w:vAlign w:val="center"/>
          </w:tcPr>
          <w:p w14:paraId="65F7C2F5">
            <w:pPr>
              <w:spacing w:line="240" w:lineRule="auto"/>
              <w:jc w:val="left"/>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符合上述类型</w:t>
            </w:r>
          </w:p>
        </w:tc>
        <w:tc>
          <w:tcPr>
            <w:tcW w:w="1326" w:type="dxa"/>
            <w:vMerge w:val="restart"/>
            <w:vAlign w:val="center"/>
          </w:tcPr>
          <w:p w14:paraId="0C0119C6">
            <w:pPr>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100元/车</w:t>
            </w:r>
          </w:p>
        </w:tc>
      </w:tr>
      <w:tr w14:paraId="3065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59" w:type="dxa"/>
            <w:vAlign w:val="center"/>
          </w:tcPr>
          <w:p w14:paraId="14604E83">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7-8米</w:t>
            </w:r>
          </w:p>
          <w:p w14:paraId="2468B3F1">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lang w:val="en-US" w:eastAsia="zh-CN"/>
              </w:rPr>
              <w:t>厢车</w:t>
            </w:r>
          </w:p>
        </w:tc>
        <w:tc>
          <w:tcPr>
            <w:tcW w:w="6237" w:type="dxa"/>
            <w:vAlign w:val="center"/>
          </w:tcPr>
          <w:p w14:paraId="6485463B">
            <w:p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符合上述类型</w:t>
            </w:r>
          </w:p>
        </w:tc>
        <w:tc>
          <w:tcPr>
            <w:tcW w:w="1326" w:type="dxa"/>
            <w:vAlign w:val="center"/>
          </w:tcPr>
          <w:p w14:paraId="665F0989">
            <w:pPr>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150元/车</w:t>
            </w:r>
          </w:p>
        </w:tc>
      </w:tr>
      <w:tr w14:paraId="14E9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59" w:type="dxa"/>
            <w:vAlign w:val="center"/>
          </w:tcPr>
          <w:p w14:paraId="3C1EAE79">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9-10米</w:t>
            </w:r>
          </w:p>
          <w:p w14:paraId="6412B6E1">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lang w:val="en-US" w:eastAsia="zh-CN"/>
              </w:rPr>
              <w:t>厢车</w:t>
            </w:r>
          </w:p>
        </w:tc>
        <w:tc>
          <w:tcPr>
            <w:tcW w:w="6237" w:type="dxa"/>
            <w:vAlign w:val="center"/>
          </w:tcPr>
          <w:p w14:paraId="57739928">
            <w:p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符合上述类型</w:t>
            </w:r>
          </w:p>
        </w:tc>
        <w:tc>
          <w:tcPr>
            <w:tcW w:w="1326" w:type="dxa"/>
            <w:vAlign w:val="center"/>
          </w:tcPr>
          <w:p w14:paraId="4188298E">
            <w:pPr>
              <w:spacing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250元/车</w:t>
            </w:r>
          </w:p>
        </w:tc>
      </w:tr>
      <w:tr w14:paraId="3222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71CC1A1">
            <w:pPr>
              <w:spacing w:line="240" w:lineRule="auto"/>
              <w:jc w:val="center"/>
              <w:rPr>
                <w:rFonts w:hint="eastAsia" w:ascii="宋体" w:hAnsi="宋体" w:eastAsia="宋体" w:cs="宋体"/>
                <w:b/>
                <w:color w:val="auto"/>
                <w:sz w:val="20"/>
                <w:szCs w:val="20"/>
                <w:highlight w:val="none"/>
                <w:lang w:val="en-US" w:eastAsia="zh-CN"/>
              </w:rPr>
            </w:pPr>
            <w:r>
              <w:rPr>
                <w:rFonts w:hint="eastAsia" w:ascii="宋体" w:hAnsi="宋体" w:eastAsia="宋体" w:cs="宋体"/>
                <w:b/>
                <w:color w:val="auto"/>
                <w:sz w:val="20"/>
                <w:szCs w:val="20"/>
                <w:highlight w:val="none"/>
                <w:lang w:val="en-US" w:eastAsia="zh-CN"/>
              </w:rPr>
              <w:t>槽车</w:t>
            </w:r>
          </w:p>
        </w:tc>
        <w:tc>
          <w:tcPr>
            <w:tcW w:w="6237" w:type="dxa"/>
            <w:vAlign w:val="center"/>
          </w:tcPr>
          <w:p w14:paraId="071DEE52">
            <w:pPr>
              <w:spacing w:line="240" w:lineRule="auto"/>
              <w:jc w:val="left"/>
              <w:rPr>
                <w:rFonts w:hint="eastAsia" w:ascii="宋体" w:hAnsi="宋体" w:eastAsia="宋体" w:cs="宋体"/>
                <w:color w:val="auto"/>
                <w:sz w:val="20"/>
                <w:szCs w:val="20"/>
                <w:highlight w:val="none"/>
                <w:lang w:val="en-US"/>
              </w:rPr>
            </w:pPr>
            <w:r>
              <w:rPr>
                <w:rFonts w:hint="eastAsia" w:ascii="宋体" w:hAnsi="宋体" w:eastAsia="宋体" w:cs="宋体"/>
                <w:color w:val="auto"/>
                <w:sz w:val="20"/>
                <w:szCs w:val="20"/>
                <w:highlight w:val="none"/>
                <w:lang w:val="en-US" w:eastAsia="zh-CN"/>
              </w:rPr>
              <w:t>符合上述第6点</w:t>
            </w:r>
          </w:p>
        </w:tc>
        <w:tc>
          <w:tcPr>
            <w:tcW w:w="1326" w:type="dxa"/>
            <w:vAlign w:val="center"/>
          </w:tcPr>
          <w:p w14:paraId="28D1D7AA">
            <w:pPr>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100元/车</w:t>
            </w:r>
          </w:p>
        </w:tc>
      </w:tr>
      <w:tr w14:paraId="4660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7F27B70C">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特殊</w:t>
            </w:r>
          </w:p>
        </w:tc>
        <w:tc>
          <w:tcPr>
            <w:tcW w:w="6237" w:type="dxa"/>
            <w:vAlign w:val="center"/>
          </w:tcPr>
          <w:p w14:paraId="5E687267">
            <w:p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现场</w:t>
            </w:r>
            <w:r>
              <w:rPr>
                <w:rFonts w:hint="eastAsia" w:ascii="宋体" w:hAnsi="宋体" w:eastAsia="宋体" w:cs="宋体"/>
                <w:color w:val="auto"/>
                <w:sz w:val="20"/>
                <w:szCs w:val="20"/>
                <w:highlight w:val="none"/>
                <w:lang w:val="en-US" w:eastAsia="zh-CN"/>
              </w:rPr>
              <w:t>打包工作量巨大，</w:t>
            </w:r>
            <w:r>
              <w:rPr>
                <w:rFonts w:hint="eastAsia" w:ascii="宋体" w:hAnsi="宋体" w:eastAsia="宋体" w:cs="宋体"/>
                <w:color w:val="auto"/>
                <w:sz w:val="20"/>
                <w:szCs w:val="20"/>
                <w:highlight w:val="none"/>
              </w:rPr>
              <w:t>不适用按车次支付搬运费，</w:t>
            </w:r>
            <w:r>
              <w:rPr>
                <w:rFonts w:hint="eastAsia" w:ascii="宋体" w:hAnsi="宋体" w:eastAsia="宋体" w:cs="宋体"/>
                <w:color w:val="auto"/>
                <w:sz w:val="20"/>
                <w:szCs w:val="20"/>
                <w:highlight w:val="none"/>
                <w:lang w:val="en-US" w:eastAsia="zh-CN"/>
              </w:rPr>
              <w:t>提供凭证，可</w:t>
            </w:r>
            <w:r>
              <w:rPr>
                <w:rFonts w:hint="eastAsia" w:ascii="宋体" w:hAnsi="宋体" w:eastAsia="宋体" w:cs="宋体"/>
                <w:color w:val="auto"/>
                <w:sz w:val="20"/>
                <w:szCs w:val="20"/>
                <w:highlight w:val="none"/>
              </w:rPr>
              <w:t>按吨支付搬运费。</w:t>
            </w:r>
          </w:p>
        </w:tc>
        <w:tc>
          <w:tcPr>
            <w:tcW w:w="1326" w:type="dxa"/>
            <w:vAlign w:val="center"/>
          </w:tcPr>
          <w:p w14:paraId="7DE3B386">
            <w:pPr>
              <w:spacing w:line="240" w:lineRule="auto"/>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50元/吨</w:t>
            </w:r>
          </w:p>
        </w:tc>
      </w:tr>
      <w:tr w14:paraId="72B7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93D1CA1">
            <w:pPr>
              <w:spacing w:line="240" w:lineRule="auto"/>
              <w:jc w:val="center"/>
              <w:rPr>
                <w:rFonts w:hint="eastAsia" w:ascii="宋体" w:hAnsi="宋体" w:eastAsia="宋体" w:cs="宋体"/>
                <w:b/>
                <w:color w:val="auto"/>
                <w:sz w:val="20"/>
                <w:szCs w:val="20"/>
                <w:highlight w:val="none"/>
              </w:rPr>
            </w:pPr>
            <w:r>
              <w:rPr>
                <w:rFonts w:hint="eastAsia" w:ascii="宋体" w:hAnsi="宋体" w:eastAsia="宋体" w:cs="宋体"/>
                <w:b/>
                <w:color w:val="auto"/>
                <w:sz w:val="20"/>
                <w:szCs w:val="20"/>
                <w:highlight w:val="none"/>
              </w:rPr>
              <w:t>备注</w:t>
            </w:r>
          </w:p>
        </w:tc>
        <w:tc>
          <w:tcPr>
            <w:tcW w:w="7563" w:type="dxa"/>
            <w:gridSpan w:val="2"/>
            <w:vAlign w:val="center"/>
          </w:tcPr>
          <w:p w14:paraId="27BC3E44">
            <w:p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费用的申请</w:t>
            </w:r>
            <w:r>
              <w:rPr>
                <w:rFonts w:hint="eastAsia" w:ascii="宋体" w:hAnsi="宋体" w:eastAsia="宋体" w:cs="宋体"/>
                <w:color w:val="auto"/>
                <w:sz w:val="20"/>
                <w:szCs w:val="20"/>
                <w:highlight w:val="none"/>
              </w:rPr>
              <w:t>：</w:t>
            </w:r>
          </w:p>
          <w:p w14:paraId="4DB418A7">
            <w:pPr>
              <w:numPr>
                <w:ilvl w:val="0"/>
                <w:numId w:val="2"/>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每月制作搬运</w:t>
            </w:r>
            <w:r>
              <w:rPr>
                <w:rFonts w:hint="eastAsia" w:ascii="宋体" w:hAnsi="宋体" w:eastAsia="宋体" w:cs="宋体"/>
                <w:color w:val="auto"/>
                <w:sz w:val="20"/>
                <w:szCs w:val="20"/>
                <w:highlight w:val="none"/>
                <w:lang w:val="en-US" w:eastAsia="zh-CN"/>
              </w:rPr>
              <w:t>打包</w:t>
            </w:r>
            <w:r>
              <w:rPr>
                <w:rFonts w:hint="eastAsia" w:ascii="宋体" w:hAnsi="宋体" w:eastAsia="宋体" w:cs="宋体"/>
                <w:color w:val="auto"/>
                <w:sz w:val="20"/>
                <w:szCs w:val="20"/>
                <w:highlight w:val="none"/>
              </w:rPr>
              <w:t>费申请表，表内必须</w:t>
            </w:r>
            <w:r>
              <w:rPr>
                <w:rFonts w:hint="eastAsia" w:ascii="宋体" w:hAnsi="宋体" w:eastAsia="宋体" w:cs="宋体"/>
                <w:color w:val="auto"/>
                <w:sz w:val="20"/>
                <w:szCs w:val="20"/>
                <w:highlight w:val="none"/>
                <w:lang w:val="en-US" w:eastAsia="zh-CN"/>
              </w:rPr>
              <w:t>包含收运</w:t>
            </w:r>
            <w:r>
              <w:rPr>
                <w:rFonts w:hint="eastAsia" w:ascii="宋体" w:hAnsi="宋体" w:eastAsia="宋体" w:cs="宋体"/>
                <w:color w:val="auto"/>
                <w:sz w:val="20"/>
                <w:szCs w:val="20"/>
                <w:highlight w:val="none"/>
              </w:rPr>
              <w:t>日期、客户名称、搬运废物的重量</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同时提供对应客户现场能体现打包服务的水印照片和短</w:t>
            </w:r>
            <w:r>
              <w:rPr>
                <w:rFonts w:hint="eastAsia" w:ascii="宋体" w:hAnsi="宋体" w:eastAsia="宋体" w:cs="宋体"/>
                <w:color w:val="auto"/>
                <w:sz w:val="20"/>
                <w:szCs w:val="20"/>
                <w:highlight w:val="none"/>
              </w:rPr>
              <w:t>视频</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lang w:val="en-US" w:eastAsia="zh-CN"/>
              </w:rPr>
              <w:t>视频及照片文件名须按</w:t>
            </w:r>
            <w:r>
              <w:rPr>
                <w:rFonts w:hint="eastAsia" w:ascii="宋体" w:hAnsi="宋体" w:eastAsia="宋体" w:cs="宋体"/>
                <w:color w:val="auto"/>
                <w:sz w:val="20"/>
                <w:szCs w:val="20"/>
                <w:highlight w:val="none"/>
              </w:rPr>
              <w:t>“日期+客户+重量”</w:t>
            </w:r>
            <w:r>
              <w:rPr>
                <w:rFonts w:hint="eastAsia" w:ascii="宋体" w:hAnsi="宋体" w:eastAsia="宋体" w:cs="宋体"/>
                <w:color w:val="auto"/>
                <w:sz w:val="20"/>
                <w:szCs w:val="20"/>
                <w:highlight w:val="none"/>
                <w:lang w:val="en-US" w:eastAsia="zh-CN"/>
              </w:rPr>
              <w:t>格式命名，并电子版</w:t>
            </w:r>
            <w:r>
              <w:rPr>
                <w:rFonts w:hint="eastAsia" w:ascii="宋体" w:hAnsi="宋体" w:eastAsia="宋体" w:cs="宋体"/>
                <w:color w:val="auto"/>
                <w:sz w:val="20"/>
                <w:szCs w:val="20"/>
                <w:highlight w:val="none"/>
              </w:rPr>
              <w:t>打包发至</w:t>
            </w:r>
            <w:r>
              <w:rPr>
                <w:rFonts w:hint="eastAsia" w:ascii="宋体" w:hAnsi="宋体" w:eastAsia="宋体" w:cs="宋体"/>
                <w:color w:val="auto"/>
                <w:sz w:val="20"/>
                <w:szCs w:val="20"/>
                <w:highlight w:val="none"/>
                <w:lang w:val="en-US" w:eastAsia="zh-CN"/>
              </w:rPr>
              <w:t>采购人</w:t>
            </w:r>
            <w:r>
              <w:rPr>
                <w:rFonts w:hint="eastAsia" w:ascii="宋体" w:hAnsi="宋体" w:eastAsia="宋体" w:cs="宋体"/>
                <w:color w:val="auto"/>
                <w:sz w:val="20"/>
                <w:szCs w:val="20"/>
                <w:highlight w:val="none"/>
              </w:rPr>
              <w:t>留存。</w:t>
            </w:r>
          </w:p>
          <w:p w14:paraId="3613ABC3">
            <w:pPr>
              <w:numPr>
                <w:ilvl w:val="0"/>
                <w:numId w:val="2"/>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提供对账单纸质时，须将对应的水印照片打印出来作为结算凭证，对账纸质资料每页盖章。</w:t>
            </w:r>
          </w:p>
          <w:p w14:paraId="05CAB10D">
            <w:pPr>
              <w:numPr>
                <w:ilvl w:val="0"/>
                <w:numId w:val="0"/>
              </w:numPr>
              <w:spacing w:line="240" w:lineRule="auto"/>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3、无法提供上述资料的不予支付打包费用（客户现场不允许携带手机的，可与客户沟通协助拍摄，协商不成的需要提前告知采购人，以便采购人与客户确认打包服务属实）</w:t>
            </w:r>
            <w:r>
              <w:rPr>
                <w:rFonts w:hint="eastAsia" w:ascii="宋体" w:hAnsi="宋体" w:eastAsia="宋体" w:cs="宋体"/>
                <w:color w:val="auto"/>
                <w:sz w:val="20"/>
                <w:szCs w:val="20"/>
                <w:highlight w:val="none"/>
              </w:rPr>
              <w:t>。</w:t>
            </w:r>
          </w:p>
        </w:tc>
      </w:tr>
    </w:tbl>
    <w:p w14:paraId="4E06D3AC">
      <w:pPr>
        <w:outlineLvl w:val="9"/>
        <w:rPr>
          <w:rFonts w:hint="eastAsia" w:ascii="宋体" w:hAnsi="宋体" w:eastAsia="宋体" w:cs="宋体"/>
          <w:b/>
          <w:color w:val="auto"/>
          <w:sz w:val="21"/>
          <w:szCs w:val="21"/>
          <w:highlight w:val="none"/>
        </w:rPr>
      </w:pPr>
    </w:p>
    <w:p w14:paraId="0A1192D7">
      <w:pPr>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br w:type="page"/>
      </w:r>
    </w:p>
    <w:p w14:paraId="71DD7E8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auto"/>
          <w:sz w:val="21"/>
          <w:szCs w:val="21"/>
          <w:highlight w:val="none"/>
        </w:rPr>
      </w:pPr>
      <w:bookmarkStart w:id="84" w:name="_Toc23989"/>
      <w:bookmarkStart w:id="85" w:name="_Toc5074"/>
      <w:bookmarkStart w:id="86" w:name="_Toc1897"/>
      <w:bookmarkStart w:id="87" w:name="_Toc12277"/>
      <w:bookmarkStart w:id="88" w:name="_Toc2153"/>
      <w:bookmarkStart w:id="89" w:name="_Toc145"/>
      <w:bookmarkStart w:id="90" w:name="_Toc11449"/>
      <w:bookmarkStart w:id="91" w:name="_Toc4565"/>
      <w:bookmarkStart w:id="92" w:name="_Toc31602"/>
      <w:bookmarkStart w:id="93" w:name="_Toc25396"/>
      <w:bookmarkStart w:id="94" w:name="_Toc19064"/>
      <w:bookmarkStart w:id="95" w:name="_Toc28533"/>
      <w:r>
        <w:rPr>
          <w:rFonts w:hint="eastAsia" w:ascii="宋体" w:hAnsi="宋体" w:eastAsia="宋体" w:cs="宋体"/>
          <w:b/>
          <w:color w:val="auto"/>
          <w:sz w:val="21"/>
          <w:szCs w:val="21"/>
          <w:highlight w:val="none"/>
        </w:rPr>
        <w:t>技术需求书附件</w:t>
      </w: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rPr>
        <w:t>：《承运单》</w:t>
      </w:r>
      <w:bookmarkEnd w:id="84"/>
      <w:bookmarkEnd w:id="85"/>
      <w:bookmarkEnd w:id="86"/>
      <w:bookmarkEnd w:id="87"/>
      <w:bookmarkEnd w:id="88"/>
      <w:bookmarkEnd w:id="89"/>
      <w:bookmarkEnd w:id="90"/>
      <w:bookmarkEnd w:id="91"/>
      <w:bookmarkEnd w:id="92"/>
      <w:bookmarkEnd w:id="93"/>
      <w:bookmarkEnd w:id="94"/>
      <w:bookmarkEnd w:id="95"/>
    </w:p>
    <w:tbl>
      <w:tblPr>
        <w:tblStyle w:val="30"/>
        <w:tblW w:w="4999" w:type="pct"/>
        <w:jc w:val="center"/>
        <w:tblLayout w:type="fixed"/>
        <w:tblCellMar>
          <w:top w:w="0" w:type="dxa"/>
          <w:left w:w="108" w:type="dxa"/>
          <w:bottom w:w="0" w:type="dxa"/>
          <w:right w:w="108" w:type="dxa"/>
        </w:tblCellMar>
      </w:tblPr>
      <w:tblGrid>
        <w:gridCol w:w="765"/>
        <w:gridCol w:w="1100"/>
        <w:gridCol w:w="870"/>
        <w:gridCol w:w="790"/>
        <w:gridCol w:w="1180"/>
        <w:gridCol w:w="997"/>
        <w:gridCol w:w="1303"/>
        <w:gridCol w:w="850"/>
        <w:gridCol w:w="666"/>
      </w:tblGrid>
      <w:tr w14:paraId="14080692">
        <w:tblPrEx>
          <w:tblCellMar>
            <w:top w:w="0" w:type="dxa"/>
            <w:left w:w="108" w:type="dxa"/>
            <w:bottom w:w="0" w:type="dxa"/>
            <w:right w:w="108" w:type="dxa"/>
          </w:tblCellMar>
        </w:tblPrEx>
        <w:trPr>
          <w:trHeight w:val="500" w:hRule="atLeast"/>
          <w:jc w:val="center"/>
        </w:trPr>
        <w:tc>
          <w:tcPr>
            <w:tcW w:w="5000" w:type="pct"/>
            <w:gridSpan w:val="9"/>
            <w:tcBorders>
              <w:top w:val="nil"/>
              <w:left w:val="nil"/>
              <w:bottom w:val="nil"/>
              <w:right w:val="nil"/>
            </w:tcBorders>
            <w:noWrap/>
            <w:vAlign w:val="center"/>
          </w:tcPr>
          <w:p w14:paraId="56928F48">
            <w:pPr>
              <w:jc w:val="both"/>
              <w:textAlignment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承  运  单                                               </w:t>
            </w:r>
            <w:r>
              <w:rPr>
                <w:rStyle w:val="85"/>
                <w:rFonts w:hint="eastAsia" w:ascii="宋体" w:hAnsi="宋体" w:eastAsia="宋体" w:cs="宋体"/>
                <w:color w:val="auto"/>
                <w:sz w:val="21"/>
                <w:szCs w:val="21"/>
                <w:highlight w:val="none"/>
              </w:rPr>
              <w:t xml:space="preserve"> 编号：  XXXXXXXXX   </w:t>
            </w:r>
          </w:p>
        </w:tc>
      </w:tr>
      <w:tr w14:paraId="001DA811">
        <w:tblPrEx>
          <w:tblCellMar>
            <w:top w:w="0" w:type="dxa"/>
            <w:left w:w="108" w:type="dxa"/>
            <w:bottom w:w="0" w:type="dxa"/>
            <w:right w:w="108" w:type="dxa"/>
          </w:tblCellMar>
        </w:tblPrEx>
        <w:trPr>
          <w:trHeight w:val="54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7BE95313">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产废单位：</w:t>
            </w:r>
          </w:p>
        </w:tc>
        <w:tc>
          <w:tcPr>
            <w:tcW w:w="1619" w:type="pct"/>
            <w:gridSpan w:val="3"/>
            <w:tcBorders>
              <w:top w:val="single" w:color="000000" w:sz="4" w:space="0"/>
              <w:left w:val="single" w:color="000000" w:sz="4" w:space="0"/>
              <w:bottom w:val="single" w:color="000000" w:sz="4" w:space="0"/>
              <w:right w:val="single" w:color="000000" w:sz="4" w:space="0"/>
            </w:tcBorders>
            <w:noWrap/>
            <w:vAlign w:val="center"/>
          </w:tcPr>
          <w:p w14:paraId="14BB13DD">
            <w:pP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496424DF">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收运日期：</w:t>
            </w:r>
          </w:p>
        </w:tc>
        <w:tc>
          <w:tcPr>
            <w:tcW w:w="2239" w:type="pct"/>
            <w:gridSpan w:val="4"/>
            <w:tcBorders>
              <w:top w:val="single" w:color="000000" w:sz="4" w:space="0"/>
              <w:left w:val="single" w:color="000000" w:sz="4" w:space="0"/>
              <w:bottom w:val="single" w:color="000000" w:sz="4" w:space="0"/>
              <w:right w:val="single" w:color="000000" w:sz="4" w:space="0"/>
            </w:tcBorders>
            <w:noWrap/>
            <w:vAlign w:val="center"/>
          </w:tcPr>
          <w:p w14:paraId="1325C408">
            <w:pP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XX年XX月XX日</w:t>
            </w:r>
          </w:p>
        </w:tc>
      </w:tr>
      <w:tr w14:paraId="5684BCD1">
        <w:tblPrEx>
          <w:tblCellMar>
            <w:top w:w="0" w:type="dxa"/>
            <w:left w:w="108" w:type="dxa"/>
            <w:bottom w:w="0" w:type="dxa"/>
            <w:right w:w="108" w:type="dxa"/>
          </w:tblCellMar>
        </w:tblPrEx>
        <w:trPr>
          <w:trHeight w:val="500"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147F6B76">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运输单位：</w:t>
            </w:r>
          </w:p>
        </w:tc>
        <w:tc>
          <w:tcPr>
            <w:tcW w:w="1619" w:type="pct"/>
            <w:gridSpan w:val="3"/>
            <w:tcBorders>
              <w:top w:val="single" w:color="000000" w:sz="4" w:space="0"/>
              <w:left w:val="single" w:color="000000" w:sz="4" w:space="0"/>
              <w:bottom w:val="single" w:color="000000" w:sz="4" w:space="0"/>
              <w:right w:val="single" w:color="000000" w:sz="4" w:space="0"/>
            </w:tcBorders>
            <w:noWrap/>
            <w:vAlign w:val="center"/>
          </w:tcPr>
          <w:p w14:paraId="3F0D08E3">
            <w:pPr>
              <w:outlineLvl w:val="9"/>
              <w:rPr>
                <w:rFonts w:hint="eastAsia" w:ascii="宋体" w:hAnsi="宋体" w:eastAsia="宋体" w:cs="宋体"/>
                <w:color w:val="auto"/>
                <w:sz w:val="20"/>
                <w:szCs w:val="20"/>
                <w:highlight w:val="none"/>
              </w:rPr>
            </w:pPr>
          </w:p>
        </w:tc>
        <w:tc>
          <w:tcPr>
            <w:tcW w:w="692" w:type="pct"/>
            <w:vMerge w:val="restart"/>
            <w:tcBorders>
              <w:top w:val="single" w:color="000000" w:sz="4" w:space="0"/>
              <w:left w:val="single" w:color="000000" w:sz="4" w:space="0"/>
              <w:bottom w:val="single" w:color="000000" w:sz="4" w:space="0"/>
              <w:right w:val="single" w:color="000000" w:sz="4" w:space="0"/>
            </w:tcBorders>
            <w:vAlign w:val="center"/>
          </w:tcPr>
          <w:p w14:paraId="1727760C">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收运地址</w:t>
            </w:r>
          </w:p>
          <w:p w14:paraId="03E828DC">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所属区域</w:t>
            </w:r>
          </w:p>
        </w:tc>
        <w:tc>
          <w:tcPr>
            <w:tcW w:w="2239" w:type="pct"/>
            <w:gridSpan w:val="4"/>
            <w:vMerge w:val="restart"/>
            <w:tcBorders>
              <w:top w:val="single" w:color="000000" w:sz="4" w:space="0"/>
              <w:left w:val="single" w:color="000000" w:sz="4" w:space="0"/>
              <w:bottom w:val="single" w:color="000000" w:sz="4" w:space="0"/>
              <w:right w:val="single" w:color="000000" w:sz="4" w:space="0"/>
            </w:tcBorders>
            <w:vAlign w:val="center"/>
          </w:tcPr>
          <w:p w14:paraId="18E6898A">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□东莞 □广州 □深圳 □惠州 □中山</w:t>
            </w:r>
          </w:p>
          <w:p w14:paraId="78EB7703">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□佛山 □珠海 □江门 □肇庆 □云浮</w:t>
            </w:r>
          </w:p>
          <w:p w14:paraId="0CF7D066">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□清远 □茂名 □湛江 □阳江 □汕尾</w:t>
            </w:r>
          </w:p>
          <w:p w14:paraId="11BCAC04">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□韶关 □揭阳 □河源 □梅州 □潮州</w:t>
            </w:r>
          </w:p>
          <w:p w14:paraId="588106D0">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□汕头</w:t>
            </w:r>
          </w:p>
        </w:tc>
      </w:tr>
      <w:tr w14:paraId="42F3A213">
        <w:tblPrEx>
          <w:tblCellMar>
            <w:top w:w="0" w:type="dxa"/>
            <w:left w:w="108" w:type="dxa"/>
            <w:bottom w:w="0" w:type="dxa"/>
            <w:right w:w="108" w:type="dxa"/>
          </w:tblCellMar>
        </w:tblPrEx>
        <w:trPr>
          <w:trHeight w:val="500"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20BBE496">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处置单位：</w:t>
            </w:r>
          </w:p>
        </w:tc>
        <w:tc>
          <w:tcPr>
            <w:tcW w:w="1619" w:type="pct"/>
            <w:gridSpan w:val="3"/>
            <w:tcBorders>
              <w:top w:val="single" w:color="000000" w:sz="4" w:space="0"/>
              <w:left w:val="single" w:color="000000" w:sz="4" w:space="0"/>
              <w:bottom w:val="single" w:color="000000" w:sz="4" w:space="0"/>
              <w:right w:val="single" w:color="000000" w:sz="4" w:space="0"/>
            </w:tcBorders>
            <w:noWrap/>
            <w:vAlign w:val="center"/>
          </w:tcPr>
          <w:p w14:paraId="6C7F45A1">
            <w:pP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东莞市新东欣环保投资有限公司</w:t>
            </w:r>
          </w:p>
        </w:tc>
        <w:tc>
          <w:tcPr>
            <w:tcW w:w="692" w:type="pct"/>
            <w:vMerge w:val="continue"/>
            <w:tcBorders>
              <w:top w:val="single" w:color="000000" w:sz="4" w:space="0"/>
              <w:left w:val="single" w:color="000000" w:sz="4" w:space="0"/>
              <w:bottom w:val="single" w:color="000000" w:sz="4" w:space="0"/>
              <w:right w:val="single" w:color="000000" w:sz="4" w:space="0"/>
            </w:tcBorders>
            <w:vAlign w:val="center"/>
          </w:tcPr>
          <w:p w14:paraId="0D7DDECC">
            <w:pPr>
              <w:jc w:val="center"/>
              <w:outlineLvl w:val="9"/>
              <w:rPr>
                <w:rFonts w:hint="eastAsia" w:ascii="宋体" w:hAnsi="宋体" w:eastAsia="宋体" w:cs="宋体"/>
                <w:color w:val="auto"/>
                <w:sz w:val="20"/>
                <w:szCs w:val="20"/>
                <w:highlight w:val="none"/>
              </w:rPr>
            </w:pPr>
          </w:p>
        </w:tc>
        <w:tc>
          <w:tcPr>
            <w:tcW w:w="2239"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6A506BD7">
            <w:pPr>
              <w:jc w:val="both"/>
              <w:outlineLvl w:val="9"/>
              <w:rPr>
                <w:rFonts w:hint="eastAsia" w:ascii="宋体" w:hAnsi="宋体" w:eastAsia="宋体" w:cs="宋体"/>
                <w:color w:val="auto"/>
                <w:sz w:val="20"/>
                <w:szCs w:val="20"/>
                <w:highlight w:val="none"/>
              </w:rPr>
            </w:pPr>
          </w:p>
        </w:tc>
      </w:tr>
      <w:tr w14:paraId="4A72B289">
        <w:tblPrEx>
          <w:tblCellMar>
            <w:top w:w="0" w:type="dxa"/>
            <w:left w:w="108" w:type="dxa"/>
            <w:bottom w:w="0" w:type="dxa"/>
            <w:right w:w="108" w:type="dxa"/>
          </w:tblCellMar>
        </w:tblPrEx>
        <w:trPr>
          <w:trHeight w:val="810"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2AD07DAF">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645" w:type="pct"/>
            <w:tcBorders>
              <w:top w:val="single" w:color="000000" w:sz="4" w:space="0"/>
              <w:left w:val="single" w:color="000000" w:sz="4" w:space="0"/>
              <w:bottom w:val="single" w:color="000000" w:sz="4" w:space="0"/>
              <w:right w:val="single" w:color="000000" w:sz="4" w:space="0"/>
            </w:tcBorders>
            <w:vAlign w:val="center"/>
          </w:tcPr>
          <w:p w14:paraId="7EB312C2">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废物名称</w:t>
            </w:r>
          </w:p>
          <w:p w14:paraId="03528BFA">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（按合同废物名称，每种废物写一行）</w:t>
            </w:r>
          </w:p>
        </w:tc>
        <w:tc>
          <w:tcPr>
            <w:tcW w:w="510" w:type="pct"/>
            <w:tcBorders>
              <w:top w:val="single" w:color="000000" w:sz="4" w:space="0"/>
              <w:left w:val="single" w:color="000000" w:sz="4" w:space="0"/>
              <w:bottom w:val="single" w:color="000000" w:sz="4" w:space="0"/>
              <w:right w:val="single" w:color="000000" w:sz="4" w:space="0"/>
            </w:tcBorders>
            <w:vAlign w:val="center"/>
          </w:tcPr>
          <w:p w14:paraId="4BEB7F50">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包装方式</w:t>
            </w:r>
          </w:p>
          <w:p w14:paraId="7E3C1836">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（桶/袋/散装）</w:t>
            </w:r>
          </w:p>
        </w:tc>
        <w:tc>
          <w:tcPr>
            <w:tcW w:w="463" w:type="pct"/>
            <w:tcBorders>
              <w:top w:val="single" w:color="000000" w:sz="4" w:space="0"/>
              <w:left w:val="single" w:color="000000" w:sz="4" w:space="0"/>
              <w:bottom w:val="single" w:color="000000" w:sz="4" w:space="0"/>
              <w:right w:val="single" w:color="000000" w:sz="4" w:space="0"/>
            </w:tcBorders>
            <w:vAlign w:val="center"/>
          </w:tcPr>
          <w:p w14:paraId="0AF86C06">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包装物规格</w:t>
            </w:r>
          </w:p>
          <w:p w14:paraId="4A7FEF3B">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(L/KG)</w:t>
            </w:r>
          </w:p>
        </w:tc>
        <w:tc>
          <w:tcPr>
            <w:tcW w:w="692" w:type="pct"/>
            <w:tcBorders>
              <w:top w:val="single" w:color="000000" w:sz="4" w:space="0"/>
              <w:left w:val="single" w:color="000000" w:sz="4" w:space="0"/>
              <w:bottom w:val="single" w:color="000000" w:sz="4" w:space="0"/>
              <w:right w:val="single" w:color="000000" w:sz="4" w:space="0"/>
            </w:tcBorders>
            <w:vAlign w:val="center"/>
          </w:tcPr>
          <w:p w14:paraId="799526E5">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数量</w:t>
            </w:r>
          </w:p>
          <w:p w14:paraId="54DF5F69">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（个）</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DCE7517">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废物毛重</w:t>
            </w:r>
          </w:p>
          <w:p w14:paraId="18B20362">
            <w:pPr>
              <w:jc w:val="center"/>
              <w:textAlignment w:val="center"/>
              <w:outlineLvl w:val="9"/>
              <w:rPr>
                <w:rFonts w:hint="eastAsia" w:ascii="宋体" w:hAnsi="宋体" w:eastAsia="宋体" w:cs="宋体"/>
                <w:b/>
                <w:bCs/>
                <w:color w:val="auto"/>
                <w:sz w:val="20"/>
                <w:szCs w:val="20"/>
                <w:highlight w:val="none"/>
              </w:rPr>
            </w:pPr>
            <w:r>
              <w:rPr>
                <w:rFonts w:hint="eastAsia" w:ascii="宋体" w:hAnsi="宋体" w:eastAsia="宋体" w:cs="宋体"/>
                <w:color w:val="auto"/>
                <w:sz w:val="20"/>
                <w:szCs w:val="20"/>
                <w:highlight w:val="none"/>
              </w:rPr>
              <w:t>（KG）</w:t>
            </w: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2178CFE6">
            <w:pPr>
              <w:jc w:val="both"/>
              <w:textAlignment w:val="center"/>
              <w:outlineLvl w:val="9"/>
              <w:rPr>
                <w:rStyle w:val="86"/>
                <w:rFonts w:hint="eastAsia" w:ascii="宋体" w:hAnsi="宋体" w:eastAsia="宋体" w:cs="宋体"/>
                <w:b w:val="0"/>
                <w:bCs w:val="0"/>
                <w:color w:val="auto"/>
                <w:sz w:val="20"/>
                <w:szCs w:val="20"/>
                <w:highlight w:val="none"/>
              </w:rPr>
            </w:pPr>
            <w:r>
              <w:rPr>
                <w:rStyle w:val="86"/>
                <w:rFonts w:hint="eastAsia" w:ascii="宋体" w:hAnsi="宋体" w:eastAsia="宋体" w:cs="宋体"/>
                <w:b w:val="0"/>
                <w:bCs w:val="0"/>
                <w:color w:val="auto"/>
                <w:sz w:val="20"/>
                <w:szCs w:val="20"/>
                <w:highlight w:val="none"/>
              </w:rPr>
              <w:t>（卡板/桶）皮重</w:t>
            </w:r>
          </w:p>
          <w:p w14:paraId="56C05C7D">
            <w:pPr>
              <w:jc w:val="center"/>
              <w:textAlignment w:val="center"/>
              <w:outlineLvl w:val="9"/>
              <w:rPr>
                <w:rFonts w:hint="eastAsia" w:ascii="宋体" w:hAnsi="宋体" w:eastAsia="宋体" w:cs="宋体"/>
                <w:b/>
                <w:bCs/>
                <w:color w:val="auto"/>
                <w:sz w:val="20"/>
                <w:szCs w:val="20"/>
                <w:highlight w:val="none"/>
              </w:rPr>
            </w:pPr>
            <w:r>
              <w:rPr>
                <w:rFonts w:hint="eastAsia" w:ascii="宋体" w:hAnsi="宋体" w:eastAsia="宋体" w:cs="宋体"/>
                <w:color w:val="auto"/>
                <w:sz w:val="20"/>
                <w:szCs w:val="20"/>
                <w:highlight w:val="none"/>
              </w:rPr>
              <w:t>（KG）</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833E404">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废物净重</w:t>
            </w:r>
          </w:p>
          <w:p w14:paraId="75F085B1">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（KG）</w:t>
            </w:r>
          </w:p>
        </w:tc>
        <w:tc>
          <w:tcPr>
            <w:tcW w:w="390" w:type="pct"/>
            <w:tcBorders>
              <w:top w:val="single" w:color="000000" w:sz="4" w:space="0"/>
              <w:left w:val="single" w:color="000000" w:sz="4" w:space="0"/>
              <w:bottom w:val="single" w:color="000000" w:sz="4" w:space="0"/>
              <w:right w:val="single" w:color="000000" w:sz="4" w:space="0"/>
            </w:tcBorders>
            <w:vAlign w:val="center"/>
          </w:tcPr>
          <w:p w14:paraId="52CDF51E">
            <w:pPr>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扣皮个数说明或其他备注</w:t>
            </w:r>
          </w:p>
        </w:tc>
      </w:tr>
      <w:tr w14:paraId="68EB42A1">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4498C80F">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5C77211B">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5C81ACAC">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4A780058">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203D38F0">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2F72A71">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203D023F">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B93FFBD">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1A5B2DDB">
            <w:pPr>
              <w:jc w:val="center"/>
              <w:outlineLvl w:val="9"/>
              <w:rPr>
                <w:rFonts w:hint="eastAsia" w:ascii="宋体" w:hAnsi="宋体" w:eastAsia="宋体" w:cs="宋体"/>
                <w:color w:val="auto"/>
                <w:sz w:val="20"/>
                <w:szCs w:val="20"/>
                <w:highlight w:val="none"/>
              </w:rPr>
            </w:pPr>
          </w:p>
        </w:tc>
      </w:tr>
      <w:tr w14:paraId="5F87F321">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4AA64812">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0149247">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54B2C9F">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6FD83014">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A856300">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7DFF768">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038693E0">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BBBDD9A">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465817DD">
            <w:pPr>
              <w:jc w:val="center"/>
              <w:outlineLvl w:val="9"/>
              <w:rPr>
                <w:rFonts w:hint="eastAsia" w:ascii="宋体" w:hAnsi="宋体" w:eastAsia="宋体" w:cs="宋体"/>
                <w:color w:val="auto"/>
                <w:sz w:val="20"/>
                <w:szCs w:val="20"/>
                <w:highlight w:val="none"/>
              </w:rPr>
            </w:pPr>
          </w:p>
        </w:tc>
      </w:tr>
      <w:tr w14:paraId="4C3B9002">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57DE3A46">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FDA3B57">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463BCEB4">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713D1F4D">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33F4E5A4">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DAB5394">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7DCA4B79">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469AAD87">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162C0638">
            <w:pPr>
              <w:jc w:val="center"/>
              <w:outlineLvl w:val="9"/>
              <w:rPr>
                <w:rFonts w:hint="eastAsia" w:ascii="宋体" w:hAnsi="宋体" w:eastAsia="宋体" w:cs="宋体"/>
                <w:color w:val="auto"/>
                <w:sz w:val="20"/>
                <w:szCs w:val="20"/>
                <w:highlight w:val="none"/>
              </w:rPr>
            </w:pPr>
          </w:p>
        </w:tc>
      </w:tr>
      <w:tr w14:paraId="1C377D22">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5E4E77A3">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256EFA92">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04D617E2">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7B98CF18">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4FB77CD">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FE14CA3">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591300AF">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7782CCF4">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3B2F5946">
            <w:pPr>
              <w:jc w:val="center"/>
              <w:outlineLvl w:val="9"/>
              <w:rPr>
                <w:rFonts w:hint="eastAsia" w:ascii="宋体" w:hAnsi="宋体" w:eastAsia="宋体" w:cs="宋体"/>
                <w:color w:val="auto"/>
                <w:sz w:val="20"/>
                <w:szCs w:val="20"/>
                <w:highlight w:val="none"/>
              </w:rPr>
            </w:pPr>
          </w:p>
        </w:tc>
      </w:tr>
      <w:tr w14:paraId="52A2D6C1">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722FC167">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1C9F5029">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5F94B2EB">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596236D0">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63F9325B">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523904A">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5914A0CA">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6737CED8">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060FACB8">
            <w:pPr>
              <w:jc w:val="center"/>
              <w:outlineLvl w:val="9"/>
              <w:rPr>
                <w:rFonts w:hint="eastAsia" w:ascii="宋体" w:hAnsi="宋体" w:eastAsia="宋体" w:cs="宋体"/>
                <w:color w:val="auto"/>
                <w:sz w:val="20"/>
                <w:szCs w:val="20"/>
                <w:highlight w:val="none"/>
              </w:rPr>
            </w:pPr>
          </w:p>
        </w:tc>
      </w:tr>
      <w:tr w14:paraId="0AEB55DB">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490D6E94">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7A23B65C">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6779A348">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38586836">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88FD0D9">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A5D1CE8">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384A504A">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5685D84E">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42C43D90">
            <w:pPr>
              <w:jc w:val="center"/>
              <w:outlineLvl w:val="9"/>
              <w:rPr>
                <w:rFonts w:hint="eastAsia" w:ascii="宋体" w:hAnsi="宋体" w:eastAsia="宋体" w:cs="宋体"/>
                <w:color w:val="auto"/>
                <w:sz w:val="20"/>
                <w:szCs w:val="20"/>
                <w:highlight w:val="none"/>
              </w:rPr>
            </w:pPr>
          </w:p>
        </w:tc>
      </w:tr>
      <w:tr w14:paraId="22843D6C">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49D1BA45">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B1D6043">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6AEB75D5">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07E95128">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7600CEC1">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1946667">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1BA6253B">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0329CF39">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03B9CA6C">
            <w:pPr>
              <w:jc w:val="center"/>
              <w:outlineLvl w:val="9"/>
              <w:rPr>
                <w:rFonts w:hint="eastAsia" w:ascii="宋体" w:hAnsi="宋体" w:eastAsia="宋体" w:cs="宋体"/>
                <w:color w:val="auto"/>
                <w:sz w:val="20"/>
                <w:szCs w:val="20"/>
                <w:highlight w:val="none"/>
              </w:rPr>
            </w:pPr>
          </w:p>
        </w:tc>
      </w:tr>
      <w:tr w14:paraId="46797D58">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22F65A5C">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8</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5B90411">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17442DC6">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7CEC3859">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61682B4C">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72B9147E">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56D34E23">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0AF59B3">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4A1A5BA4">
            <w:pPr>
              <w:jc w:val="center"/>
              <w:outlineLvl w:val="9"/>
              <w:rPr>
                <w:rFonts w:hint="eastAsia" w:ascii="宋体" w:hAnsi="宋体" w:eastAsia="宋体" w:cs="宋体"/>
                <w:color w:val="auto"/>
                <w:sz w:val="20"/>
                <w:szCs w:val="20"/>
                <w:highlight w:val="none"/>
              </w:rPr>
            </w:pPr>
          </w:p>
        </w:tc>
      </w:tr>
      <w:tr w14:paraId="4FE3EF26">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3BE2A74B">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9</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BC6F487">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751D127">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59015537">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74733DEC">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B37FE5A">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198FE056">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4D8BF044">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0B36BF54">
            <w:pPr>
              <w:jc w:val="center"/>
              <w:outlineLvl w:val="9"/>
              <w:rPr>
                <w:rFonts w:hint="eastAsia" w:ascii="宋体" w:hAnsi="宋体" w:eastAsia="宋体" w:cs="宋体"/>
                <w:color w:val="auto"/>
                <w:sz w:val="20"/>
                <w:szCs w:val="20"/>
                <w:highlight w:val="none"/>
              </w:rPr>
            </w:pPr>
          </w:p>
        </w:tc>
      </w:tr>
      <w:tr w14:paraId="503BB531">
        <w:tblPrEx>
          <w:tblCellMar>
            <w:top w:w="0" w:type="dxa"/>
            <w:left w:w="108" w:type="dxa"/>
            <w:bottom w:w="0" w:type="dxa"/>
            <w:right w:w="108" w:type="dxa"/>
          </w:tblCellMar>
        </w:tblPrEx>
        <w:trPr>
          <w:trHeight w:val="397"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67E06FF9">
            <w:pPr>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10</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E921951">
            <w:pPr>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3D3F0B76">
            <w:pPr>
              <w:jc w:val="center"/>
              <w:outlineLvl w:val="9"/>
              <w:rPr>
                <w:rFonts w:hint="eastAsia" w:ascii="宋体" w:hAnsi="宋体" w:eastAsia="宋体" w:cs="宋体"/>
                <w:color w:val="auto"/>
                <w:sz w:val="20"/>
                <w:szCs w:val="20"/>
                <w:highlight w:val="none"/>
              </w:rPr>
            </w:pP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0BC48B94">
            <w:pPr>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2D324B21">
            <w:pPr>
              <w:jc w:val="center"/>
              <w:outlineLvl w:val="9"/>
              <w:rPr>
                <w:rFonts w:hint="eastAsia" w:ascii="宋体" w:hAnsi="宋体" w:eastAsia="宋体" w:cs="宋体"/>
                <w:color w:val="auto"/>
                <w:sz w:val="20"/>
                <w:szCs w:val="20"/>
                <w:highlight w:val="none"/>
              </w:rPr>
            </w:pP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0653A25">
            <w:pPr>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3E3497A2">
            <w:pPr>
              <w:jc w:val="center"/>
              <w:outlineLvl w:val="9"/>
              <w:rPr>
                <w:rFonts w:hint="eastAsia" w:ascii="宋体" w:hAnsi="宋体" w:eastAsia="宋体" w:cs="宋体"/>
                <w:color w:val="auto"/>
                <w:sz w:val="20"/>
                <w:szCs w:val="20"/>
                <w:highlight w:val="none"/>
              </w:rPr>
            </w:pP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082B04D5">
            <w:pPr>
              <w:jc w:val="center"/>
              <w:outlineLvl w:val="9"/>
              <w:rPr>
                <w:rFonts w:hint="eastAsia" w:ascii="宋体" w:hAnsi="宋体" w:eastAsia="宋体" w:cs="宋体"/>
                <w:color w:val="auto"/>
                <w:sz w:val="20"/>
                <w:szCs w:val="20"/>
                <w:highlight w:val="none"/>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3E314A81">
            <w:pPr>
              <w:jc w:val="center"/>
              <w:outlineLvl w:val="9"/>
              <w:rPr>
                <w:rFonts w:hint="eastAsia" w:ascii="宋体" w:hAnsi="宋体" w:eastAsia="宋体" w:cs="宋体"/>
                <w:color w:val="auto"/>
                <w:sz w:val="20"/>
                <w:szCs w:val="20"/>
                <w:highlight w:val="none"/>
              </w:rPr>
            </w:pPr>
          </w:p>
        </w:tc>
      </w:tr>
      <w:tr w14:paraId="4AEF1F12">
        <w:tblPrEx>
          <w:tblCellMar>
            <w:top w:w="0" w:type="dxa"/>
            <w:left w:w="108" w:type="dxa"/>
            <w:bottom w:w="0" w:type="dxa"/>
            <w:right w:w="108" w:type="dxa"/>
          </w:tblCellMar>
        </w:tblPrEx>
        <w:trPr>
          <w:trHeight w:val="86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14:paraId="51C694DA">
            <w:pPr>
              <w:spacing w:line="240" w:lineRule="auto"/>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备注：</w:t>
            </w:r>
          </w:p>
          <w:p w14:paraId="6531524B">
            <w:pPr>
              <w:spacing w:line="240" w:lineRule="auto"/>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1、此承运单一式四联，白联存根，其余三联三方各执一联；</w:t>
            </w:r>
          </w:p>
          <w:p w14:paraId="59585F50">
            <w:pPr>
              <w:spacing w:line="240" w:lineRule="auto"/>
              <w:jc w:val="both"/>
              <w:textAlignment w:val="center"/>
              <w:outlineLvl w:val="9"/>
              <w:rPr>
                <w:rFonts w:hint="eastAsia" w:ascii="宋体" w:hAnsi="宋体" w:eastAsia="宋体" w:cs="宋体"/>
                <w:color w:val="auto"/>
                <w:sz w:val="20"/>
                <w:szCs w:val="20"/>
                <w:highlight w:val="none"/>
              </w:rPr>
            </w:pPr>
            <w:r>
              <w:rPr>
                <w:rFonts w:hint="eastAsia" w:ascii="宋体" w:hAnsi="宋体" w:eastAsia="宋体" w:cs="宋体"/>
                <w:b/>
                <w:bCs/>
                <w:color w:val="auto"/>
                <w:sz w:val="20"/>
                <w:szCs w:val="20"/>
                <w:highlight w:val="none"/>
              </w:rPr>
              <w:t>2、袋装不扣皮，200L以下桶不扣皮，卡板和200L及以上桶按实际情况扣皮。</w:t>
            </w:r>
          </w:p>
        </w:tc>
      </w:tr>
      <w:tr w14:paraId="0411EAD0">
        <w:tblPrEx>
          <w:tblCellMar>
            <w:top w:w="0" w:type="dxa"/>
            <w:left w:w="108" w:type="dxa"/>
            <w:bottom w:w="0" w:type="dxa"/>
            <w:right w:w="108" w:type="dxa"/>
          </w:tblCellMar>
        </w:tblPrEx>
        <w:trPr>
          <w:trHeight w:val="493" w:hRule="atLeast"/>
          <w:jc w:val="center"/>
        </w:trPr>
        <w:tc>
          <w:tcPr>
            <w:tcW w:w="448" w:type="pct"/>
            <w:tcBorders>
              <w:top w:val="single" w:color="000000" w:sz="4" w:space="0"/>
              <w:left w:val="single" w:color="000000" w:sz="4" w:space="0"/>
              <w:bottom w:val="single" w:color="000000" w:sz="4" w:space="0"/>
              <w:right w:val="single" w:color="000000" w:sz="4" w:space="0"/>
            </w:tcBorders>
            <w:noWrap/>
            <w:vAlign w:val="center"/>
          </w:tcPr>
          <w:p w14:paraId="152EC86C">
            <w:pPr>
              <w:spacing w:line="240" w:lineRule="auto"/>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车牌号：</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07433DB2">
            <w:pPr>
              <w:spacing w:line="240" w:lineRule="auto"/>
              <w:jc w:val="center"/>
              <w:outlineLvl w:val="9"/>
              <w:rPr>
                <w:rFonts w:hint="eastAsia" w:ascii="宋体" w:hAnsi="宋体" w:eastAsia="宋体" w:cs="宋体"/>
                <w:color w:val="auto"/>
                <w:sz w:val="20"/>
                <w:szCs w:val="20"/>
                <w:highlight w:val="none"/>
              </w:rPr>
            </w:pPr>
          </w:p>
        </w:tc>
        <w:tc>
          <w:tcPr>
            <w:tcW w:w="510" w:type="pct"/>
            <w:tcBorders>
              <w:top w:val="single" w:color="000000" w:sz="4" w:space="0"/>
              <w:left w:val="single" w:color="000000" w:sz="4" w:space="0"/>
              <w:bottom w:val="single" w:color="000000" w:sz="4" w:space="0"/>
              <w:right w:val="single" w:color="000000" w:sz="4" w:space="0"/>
            </w:tcBorders>
            <w:noWrap/>
            <w:vAlign w:val="center"/>
          </w:tcPr>
          <w:p w14:paraId="7DE22E7E">
            <w:pPr>
              <w:spacing w:line="240" w:lineRule="auto"/>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司机/押运：</w:t>
            </w:r>
          </w:p>
        </w:tc>
        <w:tc>
          <w:tcPr>
            <w:tcW w:w="463" w:type="pct"/>
            <w:tcBorders>
              <w:top w:val="single" w:color="000000" w:sz="4" w:space="0"/>
              <w:left w:val="single" w:color="000000" w:sz="4" w:space="0"/>
              <w:bottom w:val="single" w:color="000000" w:sz="4" w:space="0"/>
              <w:right w:val="single" w:color="000000" w:sz="4" w:space="0"/>
            </w:tcBorders>
            <w:noWrap/>
            <w:vAlign w:val="center"/>
          </w:tcPr>
          <w:p w14:paraId="3BA872C7">
            <w:pPr>
              <w:spacing w:line="240" w:lineRule="auto"/>
              <w:jc w:val="center"/>
              <w:outlineLvl w:val="9"/>
              <w:rPr>
                <w:rFonts w:hint="eastAsia" w:ascii="宋体" w:hAnsi="宋体" w:eastAsia="宋体" w:cs="宋体"/>
                <w:color w:val="auto"/>
                <w:sz w:val="20"/>
                <w:szCs w:val="20"/>
                <w:highlight w:val="none"/>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19A2187D">
            <w:pPr>
              <w:spacing w:line="240" w:lineRule="auto"/>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产废单位签名：</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24DF9822">
            <w:pPr>
              <w:spacing w:line="240" w:lineRule="auto"/>
              <w:jc w:val="center"/>
              <w:outlineLvl w:val="9"/>
              <w:rPr>
                <w:rFonts w:hint="eastAsia" w:ascii="宋体" w:hAnsi="宋体" w:eastAsia="宋体" w:cs="宋体"/>
                <w:color w:val="auto"/>
                <w:sz w:val="20"/>
                <w:szCs w:val="20"/>
                <w:highlight w:val="none"/>
              </w:rPr>
            </w:pPr>
          </w:p>
        </w:tc>
        <w:tc>
          <w:tcPr>
            <w:tcW w:w="764" w:type="pct"/>
            <w:tcBorders>
              <w:top w:val="single" w:color="000000" w:sz="4" w:space="0"/>
              <w:left w:val="single" w:color="000000" w:sz="4" w:space="0"/>
              <w:bottom w:val="single" w:color="000000" w:sz="4" w:space="0"/>
              <w:right w:val="single" w:color="000000" w:sz="4" w:space="0"/>
            </w:tcBorders>
            <w:noWrap/>
            <w:vAlign w:val="center"/>
          </w:tcPr>
          <w:p w14:paraId="670B0192">
            <w:pPr>
              <w:spacing w:line="240" w:lineRule="auto"/>
              <w:jc w:val="center"/>
              <w:textAlignment w:val="center"/>
              <w:outlineLvl w:val="9"/>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处置单位签字/日期：</w:t>
            </w:r>
          </w:p>
        </w:tc>
        <w:tc>
          <w:tcPr>
            <w:tcW w:w="889" w:type="pct"/>
            <w:gridSpan w:val="2"/>
            <w:tcBorders>
              <w:top w:val="single" w:color="000000" w:sz="4" w:space="0"/>
              <w:left w:val="single" w:color="000000" w:sz="4" w:space="0"/>
              <w:bottom w:val="single" w:color="000000" w:sz="4" w:space="0"/>
              <w:right w:val="single" w:color="000000" w:sz="4" w:space="0"/>
            </w:tcBorders>
            <w:noWrap/>
            <w:vAlign w:val="center"/>
          </w:tcPr>
          <w:p w14:paraId="1012AE1A">
            <w:pPr>
              <w:spacing w:line="240" w:lineRule="auto"/>
              <w:jc w:val="center"/>
              <w:outlineLvl w:val="9"/>
              <w:rPr>
                <w:rFonts w:hint="eastAsia" w:ascii="宋体" w:hAnsi="宋体" w:eastAsia="宋体" w:cs="宋体"/>
                <w:color w:val="auto"/>
                <w:sz w:val="20"/>
                <w:szCs w:val="20"/>
                <w:highlight w:val="none"/>
              </w:rPr>
            </w:pPr>
          </w:p>
        </w:tc>
      </w:tr>
    </w:tbl>
    <w:p w14:paraId="70EF8E8C">
      <w:pPr>
        <w:outlineLvl w:val="9"/>
        <w:rPr>
          <w:rFonts w:ascii="黑体" w:eastAsia="黑体"/>
          <w:color w:val="auto"/>
          <w:sz w:val="28"/>
          <w:szCs w:val="28"/>
          <w:highlight w:val="none"/>
        </w:rPr>
      </w:pPr>
    </w:p>
    <w:p w14:paraId="033FF0EF">
      <w:pPr>
        <w:rPr>
          <w:color w:val="auto"/>
          <w:sz w:val="28"/>
          <w:szCs w:val="28"/>
          <w:highlight w:val="none"/>
        </w:rPr>
      </w:pPr>
      <w:r>
        <w:rPr>
          <w:rFonts w:hint="eastAsia"/>
          <w:color w:val="auto"/>
          <w:sz w:val="28"/>
          <w:szCs w:val="28"/>
          <w:highlight w:val="none"/>
        </w:rPr>
        <w:br w:type="page"/>
      </w:r>
    </w:p>
    <w:p w14:paraId="233CA0D3">
      <w:pPr>
        <w:pStyle w:val="4"/>
        <w:spacing w:before="0" w:after="0" w:line="240" w:lineRule="auto"/>
        <w:rPr>
          <w:color w:val="auto"/>
          <w:sz w:val="24"/>
          <w:szCs w:val="24"/>
          <w:highlight w:val="none"/>
        </w:rPr>
      </w:pPr>
      <w:bookmarkStart w:id="96" w:name="_Toc20293"/>
      <w:r>
        <w:rPr>
          <w:rFonts w:hint="eastAsia"/>
          <w:color w:val="auto"/>
          <w:sz w:val="28"/>
          <w:szCs w:val="28"/>
          <w:highlight w:val="none"/>
        </w:rPr>
        <w:t>第四部分投标人须知</w:t>
      </w:r>
      <w:bookmarkEnd w:id="96"/>
    </w:p>
    <w:p w14:paraId="404F19B9">
      <w:pPr>
        <w:pStyle w:val="5"/>
        <w:numPr>
          <w:ilvl w:val="0"/>
          <w:numId w:val="3"/>
        </w:numPr>
        <w:spacing w:before="0" w:after="0" w:line="480" w:lineRule="auto"/>
        <w:jc w:val="center"/>
        <w:rPr>
          <w:rFonts w:ascii="宋体" w:hAnsi="宋体"/>
          <w:color w:val="auto"/>
          <w:highlight w:val="none"/>
        </w:rPr>
      </w:pPr>
      <w:bookmarkStart w:id="97" w:name="_Toc3120"/>
      <w:r>
        <w:rPr>
          <w:rFonts w:hint="eastAsia" w:ascii="宋体" w:hAnsi="宋体"/>
          <w:color w:val="auto"/>
          <w:highlight w:val="none"/>
        </w:rPr>
        <w:t>说明</w:t>
      </w:r>
      <w:bookmarkEnd w:id="97"/>
    </w:p>
    <w:p w14:paraId="0DFA49A7">
      <w:pPr>
        <w:pStyle w:val="6"/>
        <w:widowControl w:val="0"/>
        <w:numPr>
          <w:ilvl w:val="0"/>
          <w:numId w:val="4"/>
        </w:numPr>
        <w:overflowPunct w:val="0"/>
        <w:rPr>
          <w:rFonts w:ascii="宋体" w:hAnsi="宋体" w:cs="宋体"/>
          <w:color w:val="auto"/>
          <w:sz w:val="21"/>
          <w:szCs w:val="21"/>
          <w:highlight w:val="none"/>
        </w:rPr>
      </w:pPr>
      <w:bookmarkStart w:id="98" w:name="_Toc3054"/>
      <w:bookmarkStart w:id="99" w:name="_Toc3534"/>
      <w:r>
        <w:rPr>
          <w:rFonts w:hint="eastAsia" w:ascii="宋体" w:hAnsi="宋体" w:cs="宋体"/>
          <w:color w:val="auto"/>
          <w:sz w:val="21"/>
          <w:szCs w:val="21"/>
          <w:highlight w:val="none"/>
        </w:rPr>
        <w:t>适用范围</w:t>
      </w:r>
      <w:bookmarkEnd w:id="98"/>
      <w:bookmarkEnd w:id="99"/>
    </w:p>
    <w:p w14:paraId="468D5F2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14:paraId="549FFEF8">
      <w:pPr>
        <w:rPr>
          <w:rFonts w:ascii="宋体" w:hAnsi="宋体" w:cs="宋体"/>
          <w:color w:val="auto"/>
          <w:highlight w:val="none"/>
        </w:rPr>
      </w:pPr>
    </w:p>
    <w:p w14:paraId="796E14D5">
      <w:pPr>
        <w:pStyle w:val="6"/>
        <w:widowControl w:val="0"/>
        <w:numPr>
          <w:ilvl w:val="0"/>
          <w:numId w:val="4"/>
        </w:numPr>
        <w:overflowPunct w:val="0"/>
        <w:rPr>
          <w:rFonts w:ascii="宋体" w:hAnsi="宋体" w:cs="宋体"/>
          <w:color w:val="auto"/>
          <w:sz w:val="21"/>
          <w:szCs w:val="21"/>
          <w:highlight w:val="none"/>
        </w:rPr>
      </w:pPr>
      <w:bookmarkStart w:id="100" w:name="_Toc298847174"/>
      <w:bookmarkStart w:id="101" w:name="_Toc382049092"/>
      <w:bookmarkStart w:id="102" w:name="_Toc20286"/>
      <w:bookmarkStart w:id="103" w:name="_Toc303084246"/>
      <w:bookmarkStart w:id="104" w:name="_Toc5540"/>
      <w:bookmarkStart w:id="105" w:name="_Toc1530"/>
      <w:r>
        <w:rPr>
          <w:rFonts w:hint="eastAsia" w:ascii="宋体" w:hAnsi="宋体" w:cs="宋体"/>
          <w:color w:val="auto"/>
          <w:sz w:val="21"/>
          <w:szCs w:val="21"/>
          <w:highlight w:val="none"/>
        </w:rPr>
        <w:t>定义</w:t>
      </w:r>
      <w:bookmarkEnd w:id="100"/>
      <w:bookmarkEnd w:id="101"/>
      <w:bookmarkEnd w:id="102"/>
      <w:bookmarkEnd w:id="103"/>
      <w:bookmarkEnd w:id="104"/>
      <w:bookmarkEnd w:id="105"/>
    </w:p>
    <w:p w14:paraId="7C4D7FE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采购人：见投标邀请书。</w:t>
      </w:r>
    </w:p>
    <w:p w14:paraId="09167BD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投标人：响应采购并且符合采购文件规定资格条件和参加投标竞争的法人、其他组织或者自然人。</w:t>
      </w:r>
    </w:p>
    <w:p w14:paraId="2161E7B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14:paraId="493F5DC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：指经评标委员会评审推荐、采购人确认的获得本项目中标资格的投标人。</w:t>
      </w:r>
    </w:p>
    <w:p w14:paraId="0E9DC0D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采购代理机构：见投标邀请书。</w:t>
      </w:r>
    </w:p>
    <w:p w14:paraId="4DC0FFC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评标委员会：评标委员会是依据相关规定组建的专门负责本次采购评标工作的临时性机构。</w:t>
      </w:r>
    </w:p>
    <w:p w14:paraId="3778624B">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14:paraId="149AE50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p>
    <w:p w14:paraId="75968A0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14:paraId="1496AD9D">
      <w:pPr>
        <w:rPr>
          <w:rFonts w:ascii="宋体" w:hAnsi="宋体" w:cs="宋体"/>
          <w:color w:val="auto"/>
          <w:highlight w:val="none"/>
        </w:rPr>
      </w:pPr>
    </w:p>
    <w:p w14:paraId="6E82584D">
      <w:pPr>
        <w:pStyle w:val="6"/>
        <w:widowControl w:val="0"/>
        <w:numPr>
          <w:ilvl w:val="0"/>
          <w:numId w:val="4"/>
        </w:numPr>
        <w:overflowPunct w:val="0"/>
        <w:rPr>
          <w:rFonts w:ascii="宋体" w:hAnsi="宋体" w:cs="宋体"/>
          <w:color w:val="auto"/>
          <w:sz w:val="21"/>
          <w:szCs w:val="21"/>
          <w:highlight w:val="none"/>
        </w:rPr>
      </w:pPr>
      <w:bookmarkStart w:id="106" w:name="_Toc11624"/>
      <w:bookmarkStart w:id="107" w:name="_Toc6245"/>
      <w:r>
        <w:rPr>
          <w:rFonts w:hint="eastAsia" w:ascii="宋体" w:hAnsi="宋体" w:cs="宋体"/>
          <w:color w:val="auto"/>
          <w:sz w:val="21"/>
          <w:szCs w:val="21"/>
          <w:highlight w:val="none"/>
        </w:rPr>
        <w:t>货物和服务</w:t>
      </w:r>
      <w:bookmarkEnd w:id="106"/>
      <w:bookmarkEnd w:id="107"/>
    </w:p>
    <w:p w14:paraId="6078A707">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14:paraId="6FB21C27">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14:paraId="379AAA8D">
      <w:pPr>
        <w:rPr>
          <w:rFonts w:ascii="宋体" w:hAnsi="宋体" w:cs="宋体"/>
          <w:color w:val="auto"/>
          <w:highlight w:val="none"/>
        </w:rPr>
      </w:pPr>
    </w:p>
    <w:p w14:paraId="4387FF42">
      <w:pPr>
        <w:pStyle w:val="6"/>
        <w:widowControl w:val="0"/>
        <w:numPr>
          <w:ilvl w:val="0"/>
          <w:numId w:val="4"/>
        </w:numPr>
        <w:overflowPunct w:val="0"/>
        <w:rPr>
          <w:rFonts w:ascii="宋体" w:hAnsi="宋体" w:cs="宋体"/>
          <w:color w:val="auto"/>
          <w:sz w:val="21"/>
          <w:szCs w:val="21"/>
          <w:highlight w:val="none"/>
        </w:rPr>
      </w:pPr>
      <w:bookmarkStart w:id="108" w:name="_Toc15719"/>
      <w:bookmarkStart w:id="109" w:name="_Toc16486"/>
      <w:r>
        <w:rPr>
          <w:rFonts w:hint="eastAsia" w:ascii="宋体" w:hAnsi="宋体" w:cs="宋体"/>
          <w:color w:val="auto"/>
          <w:sz w:val="21"/>
          <w:szCs w:val="21"/>
          <w:highlight w:val="none"/>
        </w:rPr>
        <w:t>投标费用</w:t>
      </w:r>
      <w:bookmarkEnd w:id="108"/>
      <w:bookmarkEnd w:id="109"/>
    </w:p>
    <w:p w14:paraId="5C23EF0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7326A4B3">
      <w:pPr>
        <w:widowControl w:val="0"/>
        <w:adjustRightInd/>
        <w:snapToGrid/>
        <w:jc w:val="both"/>
        <w:rPr>
          <w:rFonts w:ascii="宋体" w:hAnsi="宋体" w:cs="宋体"/>
          <w:color w:val="auto"/>
          <w:szCs w:val="21"/>
          <w:highlight w:val="none"/>
        </w:rPr>
      </w:pPr>
    </w:p>
    <w:p w14:paraId="0784A1D6">
      <w:pPr>
        <w:pStyle w:val="6"/>
        <w:widowControl w:val="0"/>
        <w:numPr>
          <w:ilvl w:val="0"/>
          <w:numId w:val="4"/>
        </w:numPr>
        <w:overflowPunct w:val="0"/>
        <w:rPr>
          <w:rFonts w:ascii="宋体" w:hAnsi="宋体" w:cs="宋体"/>
          <w:color w:val="auto"/>
          <w:sz w:val="21"/>
          <w:szCs w:val="21"/>
          <w:highlight w:val="none"/>
        </w:rPr>
      </w:pPr>
      <w:bookmarkStart w:id="110" w:name="_Toc6180"/>
      <w:bookmarkStart w:id="111" w:name="_Toc18369"/>
      <w:r>
        <w:rPr>
          <w:rFonts w:hint="eastAsia" w:ascii="宋体" w:hAnsi="宋体" w:cs="宋体"/>
          <w:color w:val="auto"/>
          <w:sz w:val="21"/>
          <w:szCs w:val="21"/>
          <w:highlight w:val="none"/>
        </w:rPr>
        <w:t>知识产权</w:t>
      </w:r>
      <w:bookmarkEnd w:id="110"/>
      <w:bookmarkEnd w:id="111"/>
    </w:p>
    <w:p w14:paraId="29077D4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C0086D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14:paraId="1E24D06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0151113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采购货物为计算机办公设备时，投标人提供的产品必须是预装正版操作系统软件的计算机产品。</w:t>
      </w:r>
    </w:p>
    <w:p w14:paraId="5B91A44E">
      <w:pPr>
        <w:widowControl w:val="0"/>
        <w:adjustRightInd/>
        <w:snapToGrid/>
        <w:ind w:left="567"/>
        <w:jc w:val="both"/>
        <w:rPr>
          <w:rFonts w:ascii="宋体" w:hAnsi="宋体" w:cs="宋体"/>
          <w:color w:val="auto"/>
          <w:szCs w:val="21"/>
          <w:highlight w:val="none"/>
        </w:rPr>
      </w:pPr>
    </w:p>
    <w:p w14:paraId="4ECA6A9A">
      <w:pPr>
        <w:pStyle w:val="6"/>
        <w:widowControl w:val="0"/>
        <w:numPr>
          <w:ilvl w:val="0"/>
          <w:numId w:val="4"/>
        </w:numPr>
        <w:overflowPunct w:val="0"/>
        <w:rPr>
          <w:rFonts w:ascii="宋体" w:hAnsi="宋体" w:cs="宋体"/>
          <w:color w:val="auto"/>
          <w:sz w:val="21"/>
          <w:szCs w:val="21"/>
          <w:highlight w:val="none"/>
        </w:rPr>
      </w:pPr>
      <w:bookmarkStart w:id="112" w:name="_Toc2352"/>
      <w:bookmarkStart w:id="113" w:name="_Toc17160"/>
      <w:r>
        <w:rPr>
          <w:rFonts w:hint="eastAsia" w:ascii="宋体" w:hAnsi="宋体" w:cs="宋体"/>
          <w:color w:val="auto"/>
          <w:sz w:val="21"/>
          <w:szCs w:val="21"/>
          <w:highlight w:val="none"/>
        </w:rPr>
        <w:t>关于联合体投标</w:t>
      </w:r>
      <w:bookmarkEnd w:id="112"/>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本项目不接受联合体投标</w:t>
      </w:r>
      <w:r>
        <w:rPr>
          <w:rFonts w:hint="eastAsia" w:ascii="宋体" w:hAnsi="宋体" w:cs="宋体"/>
          <w:color w:val="auto"/>
          <w:sz w:val="21"/>
          <w:szCs w:val="21"/>
          <w:highlight w:val="none"/>
          <w:lang w:eastAsia="zh-CN"/>
        </w:rPr>
        <w:t>）</w:t>
      </w:r>
      <w:bookmarkEnd w:id="113"/>
    </w:p>
    <w:p w14:paraId="1A5A792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对接受联合体投标的项目：两个以上的自然人、法人或者其他组织可以组成一个联合体，以一个投标人的身份共同参加采购活动。</w:t>
      </w:r>
    </w:p>
    <w:p w14:paraId="42F4364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以联合体形式参与项目的供应商在领购采购文件时，应提供所有联合体组成成员的营业执照复印件，并加盖各联合体组成成员的公章。</w:t>
      </w:r>
    </w:p>
    <w:p w14:paraId="63790B5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14:paraId="3E65366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25504D90">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采购文件对投标人资格条件有规定的，联合体各方均应当具备规定的相应资格条件。由同一专业的单位组成的联合体，按照资质等级较低的单位确定资质等级。</w:t>
      </w:r>
    </w:p>
    <w:p w14:paraId="699000B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投标文件内提交，明确约定联合体各方承担的工作和相应的责任。联合体各方签订共同投标协议后，不得再以自己名义单独在同一项目中投标，也不得组成新的联合体参加同一项目投标。</w:t>
      </w:r>
    </w:p>
    <w:p w14:paraId="026D714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14:paraId="31D3B25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除联合体协议明确授权盖章单位外，联合体投标时投标文件中所有要求盖章的地方均须加盖联合体所有组成成员的公章，否则该处盖章无效。</w:t>
      </w:r>
    </w:p>
    <w:p w14:paraId="48A6DF9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14:paraId="252BC59F">
      <w:pPr>
        <w:widowControl w:val="0"/>
        <w:adjustRightInd/>
        <w:snapToGrid/>
        <w:ind w:left="567"/>
        <w:jc w:val="both"/>
        <w:rPr>
          <w:rFonts w:ascii="宋体" w:hAnsi="宋体" w:cs="宋体"/>
          <w:color w:val="auto"/>
          <w:szCs w:val="21"/>
          <w:highlight w:val="none"/>
        </w:rPr>
      </w:pPr>
    </w:p>
    <w:p w14:paraId="5CF71FAF">
      <w:pPr>
        <w:pStyle w:val="6"/>
        <w:widowControl w:val="0"/>
        <w:numPr>
          <w:ilvl w:val="0"/>
          <w:numId w:val="4"/>
        </w:numPr>
        <w:overflowPunct w:val="0"/>
        <w:rPr>
          <w:rFonts w:ascii="宋体" w:hAnsi="宋体" w:cs="宋体"/>
          <w:color w:val="auto"/>
          <w:sz w:val="21"/>
          <w:szCs w:val="21"/>
          <w:highlight w:val="none"/>
        </w:rPr>
      </w:pPr>
      <w:bookmarkStart w:id="114" w:name="_Toc11994"/>
      <w:bookmarkStart w:id="115" w:name="_Toc3572"/>
      <w:r>
        <w:rPr>
          <w:rFonts w:hint="eastAsia" w:ascii="宋体" w:hAnsi="宋体" w:cs="宋体"/>
          <w:color w:val="auto"/>
          <w:sz w:val="21"/>
          <w:szCs w:val="21"/>
          <w:highlight w:val="none"/>
        </w:rPr>
        <w:t>关于分支机构投标</w:t>
      </w:r>
      <w:bookmarkEnd w:id="114"/>
      <w:bookmarkEnd w:id="115"/>
    </w:p>
    <w:p w14:paraId="6560F809">
      <w:pPr>
        <w:widowControl w:val="0"/>
        <w:numPr>
          <w:ilvl w:val="1"/>
          <w:numId w:val="4"/>
        </w:numPr>
        <w:overflowPunct w:val="0"/>
        <w:rPr>
          <w:rFonts w:ascii="宋体" w:hAnsi="宋体" w:cs="宋体"/>
          <w:color w:val="auto"/>
          <w:szCs w:val="21"/>
          <w:highlight w:val="none"/>
        </w:rPr>
      </w:pPr>
      <w:bookmarkStart w:id="116" w:name="EB389f116341dd4693875bc7987e7327f3"/>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116"/>
    </w:p>
    <w:p w14:paraId="015B7F78">
      <w:pPr>
        <w:widowControl w:val="0"/>
        <w:adjustRightInd/>
        <w:snapToGrid/>
        <w:ind w:left="567"/>
        <w:jc w:val="both"/>
        <w:rPr>
          <w:rFonts w:ascii="宋体" w:hAnsi="宋体" w:cs="宋体"/>
          <w:color w:val="auto"/>
          <w:szCs w:val="21"/>
          <w:highlight w:val="none"/>
        </w:rPr>
      </w:pPr>
    </w:p>
    <w:p w14:paraId="6308BEA1">
      <w:pPr>
        <w:pStyle w:val="6"/>
        <w:widowControl w:val="0"/>
        <w:numPr>
          <w:ilvl w:val="0"/>
          <w:numId w:val="4"/>
        </w:numPr>
        <w:overflowPunct w:val="0"/>
        <w:rPr>
          <w:rFonts w:ascii="宋体" w:hAnsi="宋体" w:cs="宋体"/>
          <w:color w:val="auto"/>
          <w:sz w:val="21"/>
          <w:szCs w:val="21"/>
          <w:highlight w:val="none"/>
        </w:rPr>
      </w:pPr>
      <w:bookmarkStart w:id="117" w:name="_Toc23907"/>
      <w:r>
        <w:rPr>
          <w:rFonts w:hint="eastAsia" w:ascii="宋体" w:hAnsi="宋体" w:cs="宋体"/>
          <w:color w:val="auto"/>
          <w:sz w:val="21"/>
          <w:szCs w:val="21"/>
          <w:highlight w:val="none"/>
        </w:rPr>
        <w:t>踏勘现场</w:t>
      </w:r>
      <w:bookmarkEnd w:id="117"/>
    </w:p>
    <w:p w14:paraId="6C6B516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《投标资料表》规定组织踏勘现场的，采购人按《投标资料表》规定的时间、地点组织</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踏勘项目现场；</w:t>
      </w:r>
    </w:p>
    <w:p w14:paraId="1E8C4DB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踏勘现场发生的费用自理；</w:t>
      </w:r>
    </w:p>
    <w:p w14:paraId="28B8CB33">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除采购人的原因外，</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自行负责在踏勘现场中所发生的人员伤亡和财产损失；</w:t>
      </w:r>
    </w:p>
    <w:p w14:paraId="68C7231B">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在编制响应文件时参考，采购人不对</w:t>
      </w:r>
      <w:r>
        <w:rPr>
          <w:rFonts w:hint="eastAsia" w:ascii="宋体" w:hAnsi="宋体" w:cs="宋体"/>
          <w:color w:val="auto"/>
          <w:szCs w:val="21"/>
          <w:highlight w:val="none"/>
          <w:lang w:eastAsia="zh-CN"/>
        </w:rPr>
        <w:t>投标人</w:t>
      </w:r>
      <w:r>
        <w:rPr>
          <w:rFonts w:hint="eastAsia" w:ascii="宋体" w:hAnsi="宋体" w:cs="宋体"/>
          <w:color w:val="auto"/>
          <w:szCs w:val="21"/>
          <w:highlight w:val="none"/>
        </w:rPr>
        <w:t>据此作出的判断和决策负责；</w:t>
      </w:r>
    </w:p>
    <w:p w14:paraId="00EA5A44">
      <w:pPr>
        <w:rPr>
          <w:rFonts w:ascii="宋体" w:hAnsi="宋体" w:cs="宋体"/>
          <w:color w:val="auto"/>
          <w:highlight w:val="none"/>
        </w:rPr>
      </w:pPr>
    </w:p>
    <w:p w14:paraId="1471ECCB">
      <w:pPr>
        <w:pStyle w:val="5"/>
        <w:numPr>
          <w:ilvl w:val="0"/>
          <w:numId w:val="3"/>
        </w:numPr>
        <w:spacing w:before="0" w:after="0" w:line="360" w:lineRule="auto"/>
        <w:jc w:val="center"/>
        <w:rPr>
          <w:rFonts w:ascii="宋体" w:hAnsi="宋体" w:cs="宋体"/>
          <w:color w:val="auto"/>
          <w:highlight w:val="none"/>
        </w:rPr>
      </w:pPr>
      <w:bookmarkStart w:id="118" w:name="_Toc9444"/>
      <w:bookmarkStart w:id="119" w:name="_Toc6908"/>
      <w:r>
        <w:rPr>
          <w:rFonts w:hint="eastAsia" w:ascii="宋体" w:hAnsi="宋体" w:cs="宋体"/>
          <w:color w:val="auto"/>
          <w:highlight w:val="none"/>
        </w:rPr>
        <w:t>采购文件</w:t>
      </w:r>
      <w:bookmarkEnd w:id="118"/>
      <w:bookmarkEnd w:id="119"/>
    </w:p>
    <w:p w14:paraId="59277A84">
      <w:pPr>
        <w:pStyle w:val="6"/>
        <w:widowControl w:val="0"/>
        <w:numPr>
          <w:ilvl w:val="0"/>
          <w:numId w:val="4"/>
        </w:numPr>
        <w:overflowPunct w:val="0"/>
        <w:rPr>
          <w:rFonts w:ascii="宋体" w:hAnsi="宋体" w:cs="宋体"/>
          <w:color w:val="auto"/>
          <w:sz w:val="21"/>
          <w:szCs w:val="21"/>
          <w:highlight w:val="none"/>
        </w:rPr>
      </w:pPr>
      <w:bookmarkStart w:id="120" w:name="_Toc26880"/>
      <w:bookmarkStart w:id="121" w:name="_Toc10638"/>
      <w:r>
        <w:rPr>
          <w:rFonts w:hint="eastAsia" w:ascii="宋体" w:hAnsi="宋体" w:cs="宋体"/>
          <w:color w:val="auto"/>
          <w:sz w:val="21"/>
          <w:szCs w:val="21"/>
          <w:highlight w:val="none"/>
        </w:rPr>
        <w:t>采购文件的组成</w:t>
      </w:r>
      <w:bookmarkEnd w:id="120"/>
      <w:bookmarkEnd w:id="121"/>
    </w:p>
    <w:p w14:paraId="64472C4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采购文件包括：</w:t>
      </w:r>
    </w:p>
    <w:p w14:paraId="265DCA0D">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（1）投标邀请书；</w:t>
      </w:r>
    </w:p>
    <w:p w14:paraId="3D088494">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（2）投标资料表；</w:t>
      </w:r>
    </w:p>
    <w:p w14:paraId="20D1003F">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（3）用户需求书；</w:t>
      </w:r>
    </w:p>
    <w:p w14:paraId="77E6F4C7">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（4）投标人须知；</w:t>
      </w:r>
    </w:p>
    <w:p w14:paraId="1DB11A8A">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（5）拟签订的合同文本；</w:t>
      </w:r>
    </w:p>
    <w:p w14:paraId="71B93B11">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（6）投标文件格式；</w:t>
      </w:r>
    </w:p>
    <w:p w14:paraId="38AB4961">
      <w:pPr>
        <w:widowControl w:val="0"/>
        <w:adjustRightInd/>
        <w:snapToGrid/>
        <w:jc w:val="both"/>
        <w:rPr>
          <w:rFonts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14:paraId="7BD0007C">
      <w:pPr>
        <w:rPr>
          <w:rFonts w:ascii="宋体" w:hAnsi="宋体" w:cs="宋体"/>
          <w:color w:val="auto"/>
          <w:highlight w:val="none"/>
        </w:rPr>
      </w:pPr>
    </w:p>
    <w:p w14:paraId="594F8ECD">
      <w:pPr>
        <w:pStyle w:val="6"/>
        <w:widowControl w:val="0"/>
        <w:numPr>
          <w:ilvl w:val="0"/>
          <w:numId w:val="4"/>
        </w:numPr>
        <w:overflowPunct w:val="0"/>
        <w:rPr>
          <w:rFonts w:ascii="宋体" w:hAnsi="宋体" w:cs="宋体"/>
          <w:color w:val="auto"/>
          <w:sz w:val="21"/>
          <w:szCs w:val="21"/>
          <w:highlight w:val="none"/>
        </w:rPr>
      </w:pPr>
      <w:bookmarkStart w:id="122" w:name="_Toc21392"/>
      <w:bookmarkStart w:id="123" w:name="_Toc824"/>
      <w:r>
        <w:rPr>
          <w:rFonts w:hint="eastAsia" w:ascii="宋体" w:hAnsi="宋体" w:cs="宋体"/>
          <w:color w:val="auto"/>
          <w:sz w:val="21"/>
          <w:szCs w:val="21"/>
          <w:highlight w:val="none"/>
        </w:rPr>
        <w:t>采购文件的澄清或修改</w:t>
      </w:r>
      <w:bookmarkEnd w:id="122"/>
      <w:bookmarkEnd w:id="123"/>
    </w:p>
    <w:p w14:paraId="6463410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采购文件、资格预审文件、投标邀请书进行必要的澄清或者修改。澄清或者修改的内容为采购文件、资格预审文件、投标邀请书的组成部分，具有约束作用。当采购文件、采购文件的澄清或修改等在同一内容的表述上不一致时，以最后发出的书面文件及公告为准。</w:t>
      </w:r>
    </w:p>
    <w:p w14:paraId="171EB3F0">
      <w:pPr>
        <w:widowControl w:val="0"/>
        <w:numPr>
          <w:ilvl w:val="1"/>
          <w:numId w:val="4"/>
        </w:numP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采购期间，投标人有义务上网查看，公告一经上网发布，即视为送达。因投标人未及时上网查看而造成的所有后果，由投标人自行承担。</w:t>
      </w:r>
    </w:p>
    <w:p w14:paraId="22858054">
      <w:pPr>
        <w:widowControl w:val="0"/>
        <w:adjustRightInd/>
        <w:snapToGrid/>
        <w:ind w:left="567"/>
        <w:jc w:val="both"/>
        <w:rPr>
          <w:rFonts w:ascii="宋体" w:hAnsi="宋体" w:cs="宋体"/>
          <w:color w:val="auto"/>
          <w:szCs w:val="21"/>
          <w:highlight w:val="none"/>
        </w:rPr>
      </w:pPr>
    </w:p>
    <w:p w14:paraId="3B243C7C">
      <w:pPr>
        <w:pStyle w:val="5"/>
        <w:numPr>
          <w:ilvl w:val="0"/>
          <w:numId w:val="3"/>
        </w:numPr>
        <w:spacing w:before="0" w:after="0" w:line="360" w:lineRule="auto"/>
        <w:jc w:val="center"/>
        <w:rPr>
          <w:rFonts w:ascii="宋体" w:hAnsi="宋体" w:cs="宋体"/>
          <w:color w:val="auto"/>
          <w:highlight w:val="none"/>
        </w:rPr>
      </w:pPr>
      <w:bookmarkStart w:id="124" w:name="_Toc12343"/>
      <w:bookmarkStart w:id="125" w:name="_Toc7603"/>
      <w:r>
        <w:rPr>
          <w:rFonts w:hint="eastAsia" w:ascii="宋体" w:hAnsi="宋体" w:cs="宋体"/>
          <w:color w:val="auto"/>
          <w:highlight w:val="none"/>
        </w:rPr>
        <w:t>投标文件的编制</w:t>
      </w:r>
      <w:bookmarkEnd w:id="124"/>
      <w:bookmarkEnd w:id="125"/>
    </w:p>
    <w:p w14:paraId="70D24DC9">
      <w:pPr>
        <w:pStyle w:val="6"/>
        <w:widowControl w:val="0"/>
        <w:numPr>
          <w:ilvl w:val="0"/>
          <w:numId w:val="4"/>
        </w:numPr>
        <w:overflowPunct w:val="0"/>
        <w:rPr>
          <w:rFonts w:ascii="宋体" w:hAnsi="宋体" w:cs="宋体"/>
          <w:color w:val="auto"/>
          <w:sz w:val="21"/>
          <w:szCs w:val="21"/>
          <w:highlight w:val="none"/>
        </w:rPr>
      </w:pPr>
      <w:bookmarkStart w:id="126" w:name="_Toc28939"/>
      <w:bookmarkStart w:id="127" w:name="_Toc16938"/>
      <w:r>
        <w:rPr>
          <w:rFonts w:hint="eastAsia" w:ascii="宋体" w:hAnsi="宋体" w:cs="宋体"/>
          <w:color w:val="auto"/>
          <w:sz w:val="21"/>
          <w:szCs w:val="21"/>
          <w:highlight w:val="none"/>
        </w:rPr>
        <w:t>投标文件的语言及度量衡单位</w:t>
      </w:r>
      <w:bookmarkEnd w:id="126"/>
      <w:bookmarkEnd w:id="127"/>
    </w:p>
    <w:p w14:paraId="3101577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7B79B2A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除非采购文件在技术规格中另有规定，投标人在投标文件中及其与采购代理机构和采购人所有往来文件中的所有计量单位均应采用中华人民共和国法定计量单位。</w:t>
      </w:r>
    </w:p>
    <w:p w14:paraId="1A534244">
      <w:pPr>
        <w:widowControl w:val="0"/>
        <w:adjustRightInd/>
        <w:snapToGrid/>
        <w:ind w:left="567"/>
        <w:jc w:val="both"/>
        <w:rPr>
          <w:rFonts w:ascii="宋体" w:hAnsi="宋体" w:cs="宋体"/>
          <w:color w:val="auto"/>
          <w:szCs w:val="21"/>
          <w:highlight w:val="none"/>
        </w:rPr>
      </w:pPr>
    </w:p>
    <w:p w14:paraId="0BE9F07E">
      <w:pPr>
        <w:pStyle w:val="6"/>
        <w:widowControl w:val="0"/>
        <w:numPr>
          <w:ilvl w:val="0"/>
          <w:numId w:val="4"/>
        </w:numPr>
        <w:overflowPunct w:val="0"/>
        <w:rPr>
          <w:rFonts w:ascii="宋体" w:hAnsi="宋体" w:cs="宋体"/>
          <w:color w:val="auto"/>
          <w:sz w:val="21"/>
          <w:szCs w:val="21"/>
          <w:highlight w:val="none"/>
        </w:rPr>
      </w:pPr>
      <w:bookmarkStart w:id="128" w:name="_Toc307934854"/>
      <w:bookmarkStart w:id="129" w:name="_Toc13332"/>
      <w:bookmarkStart w:id="130" w:name="_Toc303084256"/>
      <w:bookmarkStart w:id="131" w:name="_Toc28866"/>
      <w:bookmarkStart w:id="132" w:name="_Toc382049103"/>
      <w:bookmarkStart w:id="133" w:name="_Toc11466"/>
      <w:r>
        <w:rPr>
          <w:rFonts w:hint="eastAsia" w:ascii="宋体" w:hAnsi="宋体" w:cs="宋体"/>
          <w:color w:val="auto"/>
          <w:sz w:val="21"/>
          <w:szCs w:val="21"/>
          <w:highlight w:val="none"/>
        </w:rPr>
        <w:t>投标文件的组成</w:t>
      </w:r>
      <w:bookmarkEnd w:id="128"/>
      <w:bookmarkEnd w:id="129"/>
      <w:bookmarkEnd w:id="130"/>
      <w:bookmarkEnd w:id="131"/>
      <w:bookmarkEnd w:id="132"/>
      <w:bookmarkEnd w:id="133"/>
    </w:p>
    <w:p w14:paraId="37A95CF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包括但不限于采购文件附件格式中要求提供的表格。</w:t>
      </w:r>
    </w:p>
    <w:p w14:paraId="75A739A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上述文件须按顺序装订成册，并编制投标文件目录。除上述文件资料外投标人还须按投标人须知的要求制作“唱标信封”。“唱标信封”作为投标文件的一部分，但须单独密封。</w:t>
      </w:r>
    </w:p>
    <w:p w14:paraId="5D7FDBEA">
      <w:pPr>
        <w:rPr>
          <w:rFonts w:ascii="宋体" w:hAnsi="宋体" w:cs="宋体"/>
          <w:color w:val="auto"/>
          <w:highlight w:val="none"/>
        </w:rPr>
      </w:pPr>
    </w:p>
    <w:p w14:paraId="53F58B18">
      <w:pPr>
        <w:pStyle w:val="6"/>
        <w:widowControl w:val="0"/>
        <w:numPr>
          <w:ilvl w:val="0"/>
          <w:numId w:val="4"/>
        </w:numPr>
        <w:overflowPunct w:val="0"/>
        <w:rPr>
          <w:rFonts w:ascii="宋体" w:hAnsi="宋体" w:cs="宋体"/>
          <w:color w:val="auto"/>
          <w:sz w:val="21"/>
          <w:szCs w:val="21"/>
          <w:highlight w:val="none"/>
        </w:rPr>
      </w:pPr>
      <w:bookmarkStart w:id="134" w:name="_Toc889"/>
      <w:bookmarkStart w:id="135" w:name="_Toc755"/>
      <w:r>
        <w:rPr>
          <w:rFonts w:hint="eastAsia" w:ascii="宋体" w:hAnsi="宋体" w:cs="宋体"/>
          <w:color w:val="auto"/>
          <w:sz w:val="21"/>
          <w:szCs w:val="21"/>
          <w:highlight w:val="none"/>
        </w:rPr>
        <w:t>投标文件编制</w:t>
      </w:r>
      <w:bookmarkEnd w:id="134"/>
      <w:bookmarkEnd w:id="135"/>
    </w:p>
    <w:p w14:paraId="7BF1E828">
      <w:pPr>
        <w:widowControl w:val="0"/>
        <w:numPr>
          <w:ilvl w:val="1"/>
          <w:numId w:val="4"/>
        </w:numPr>
        <w:overflowPunct w:val="0"/>
        <w:rPr>
          <w:rFonts w:ascii="宋体" w:hAnsi="宋体" w:cs="宋体"/>
          <w:color w:val="auto"/>
          <w:szCs w:val="21"/>
          <w:highlight w:val="none"/>
        </w:rPr>
      </w:pPr>
      <w:bookmarkStart w:id="136" w:name="_Toc303084258"/>
      <w:r>
        <w:rPr>
          <w:rFonts w:hint="eastAsia" w:ascii="宋体" w:hAnsi="宋体" w:cs="宋体"/>
          <w:color w:val="auto"/>
          <w:szCs w:val="21"/>
          <w:highlight w:val="none"/>
        </w:rPr>
        <w:t>投标人应按采购文件的规定以及附件要求的内容和格式完整地填写（表格可以按同样格式扩展）和提供资料，投标人必须对投标文件所提供的全部材料的真实性承担法律责任，并无条件接受采购人或采购代理机构对其中任何资料进行核实的要求。</w:t>
      </w:r>
    </w:p>
    <w:p w14:paraId="35A64A0B">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因投标文件编制存在歧义对投标人产生负面影响的，投标人自行承担后果。</w:t>
      </w:r>
    </w:p>
    <w:p w14:paraId="3680EA70">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投标单位名称与投标人公章不一致，若投标单位名称已进行变更，应在投标文件中提供相应的证明材料并加盖公章，否则投标文件无效。</w:t>
      </w:r>
    </w:p>
    <w:p w14:paraId="045CD83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投标文件密封、标记及内容与本项目采购信息不符，导致无法分辨所投项目为本项目的，投标文件无效。</w:t>
      </w:r>
    </w:p>
    <w:p w14:paraId="37C7E124">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投标人须客观撰写投标人简介（格式自理，并提供相关证明）以及所投的产品或服务说明。</w:t>
      </w:r>
    </w:p>
    <w:p w14:paraId="54678E87">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投标文件若出现以下内容，经评标委员会认定有可能间接影响评审秩序，作废标处理。</w:t>
      </w:r>
    </w:p>
    <w:p w14:paraId="193C6286">
      <w:pPr>
        <w:pStyle w:val="41"/>
        <w:widowControl w:val="0"/>
        <w:numPr>
          <w:ilvl w:val="0"/>
          <w:numId w:val="5"/>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投标文件内出现无官方证明文件的行业地域排名或使用“国家级”、“最高级”、“最佳”等用语字眼的。</w:t>
      </w:r>
    </w:p>
    <w:p w14:paraId="659B39CE">
      <w:pPr>
        <w:pStyle w:val="41"/>
        <w:widowControl w:val="0"/>
        <w:numPr>
          <w:ilvl w:val="0"/>
          <w:numId w:val="5"/>
        </w:numPr>
        <w:adjustRightInd/>
        <w:snapToGrid/>
        <w:ind w:firstLineChars="0"/>
        <w:jc w:val="both"/>
        <w:rPr>
          <w:rFonts w:ascii="宋体" w:hAnsi="宋体" w:cs="宋体"/>
          <w:color w:val="auto"/>
          <w:szCs w:val="21"/>
          <w:highlight w:val="none"/>
        </w:rPr>
      </w:pPr>
      <w:r>
        <w:rPr>
          <w:rFonts w:hint="eastAsia" w:ascii="宋体" w:hAnsi="宋体" w:cs="宋体"/>
          <w:color w:val="auto"/>
          <w:szCs w:val="21"/>
          <w:highlight w:val="none"/>
        </w:rPr>
        <w:t>投标文件内出现恶意诋毁、贬低其他生产经营者的商品或者服务的内容。</w:t>
      </w:r>
    </w:p>
    <w:p w14:paraId="1EE7BC6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有下列情形之一的，视为投标人串通投标，其投标无效：</w:t>
      </w:r>
    </w:p>
    <w:p w14:paraId="3D427130">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（1）不同投标人的投标文件由同一单位或者个人编制；</w:t>
      </w:r>
    </w:p>
    <w:p w14:paraId="2BC409FB">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393F5594">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（3）不同投标人的投标文件载明的项目管理成员或者联系人员为同一人；</w:t>
      </w:r>
    </w:p>
    <w:p w14:paraId="402A6146">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03931C91">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1D552619">
      <w:pPr>
        <w:widowControl w:val="0"/>
        <w:adjustRightInd/>
        <w:snapToGri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（6）不同投标人的投标保证金从同一单位或者个人的账户转出。</w:t>
      </w:r>
    </w:p>
    <w:bookmarkEnd w:id="136"/>
    <w:p w14:paraId="00C4E4E0">
      <w:pPr>
        <w:rPr>
          <w:rFonts w:ascii="宋体" w:hAnsi="宋体" w:cs="宋体"/>
          <w:color w:val="auto"/>
          <w:highlight w:val="none"/>
        </w:rPr>
      </w:pPr>
    </w:p>
    <w:p w14:paraId="45BD83EA">
      <w:pPr>
        <w:pStyle w:val="6"/>
        <w:widowControl w:val="0"/>
        <w:numPr>
          <w:ilvl w:val="0"/>
          <w:numId w:val="4"/>
        </w:numPr>
        <w:overflowPunct w:val="0"/>
        <w:rPr>
          <w:rFonts w:ascii="宋体" w:hAnsi="宋体" w:cs="宋体"/>
          <w:color w:val="auto"/>
          <w:sz w:val="21"/>
          <w:szCs w:val="21"/>
          <w:highlight w:val="none"/>
        </w:rPr>
      </w:pPr>
      <w:bookmarkStart w:id="137" w:name="_Toc6154"/>
      <w:bookmarkStart w:id="138" w:name="_Toc7355"/>
      <w:r>
        <w:rPr>
          <w:rFonts w:hint="eastAsia" w:ascii="宋体" w:hAnsi="宋体" w:cs="宋体"/>
          <w:color w:val="auto"/>
          <w:sz w:val="21"/>
          <w:szCs w:val="21"/>
          <w:highlight w:val="none"/>
        </w:rPr>
        <w:t>投标报价说明</w:t>
      </w:r>
      <w:bookmarkEnd w:id="137"/>
      <w:bookmarkEnd w:id="138"/>
    </w:p>
    <w:p w14:paraId="0B4D0F5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本次采购，投标人应按用户需求中的要求进行投标报价，少报无效。</w:t>
      </w:r>
    </w:p>
    <w:p w14:paraId="05763C40">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投标人所提供的货物或服务均以人民币（或相关费率）报价。</w:t>
      </w:r>
    </w:p>
    <w:p w14:paraId="4117F6B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投标报价应包含完成本次采购所有服务内容的费用，包含各种税务费及合同实施过程中的全部费用和售后服务费等。</w:t>
      </w:r>
    </w:p>
    <w:p w14:paraId="0641D62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57A215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中标后开出的所有发票必须与</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的名称一致。</w:t>
      </w:r>
    </w:p>
    <w:p w14:paraId="552125C6">
      <w:pPr>
        <w:rPr>
          <w:rFonts w:ascii="宋体" w:hAnsi="宋体" w:cs="宋体"/>
          <w:color w:val="auto"/>
          <w:highlight w:val="none"/>
        </w:rPr>
      </w:pPr>
    </w:p>
    <w:p w14:paraId="4AC66635">
      <w:pPr>
        <w:pStyle w:val="6"/>
        <w:widowControl w:val="0"/>
        <w:numPr>
          <w:ilvl w:val="0"/>
          <w:numId w:val="4"/>
        </w:numPr>
        <w:overflowPunct w:val="0"/>
        <w:rPr>
          <w:rFonts w:ascii="宋体" w:hAnsi="宋体" w:cs="宋体"/>
          <w:color w:val="auto"/>
          <w:sz w:val="21"/>
          <w:szCs w:val="21"/>
          <w:highlight w:val="none"/>
        </w:rPr>
      </w:pPr>
      <w:bookmarkStart w:id="139" w:name="_Toc17669"/>
      <w:bookmarkStart w:id="140" w:name="_Toc2001"/>
      <w:r>
        <w:rPr>
          <w:rFonts w:hint="eastAsia" w:ascii="宋体" w:hAnsi="宋体" w:cs="宋体"/>
          <w:color w:val="auto"/>
          <w:sz w:val="21"/>
          <w:szCs w:val="21"/>
          <w:highlight w:val="none"/>
        </w:rPr>
        <w:t>投标人所提供的服务或货物的证明文件</w:t>
      </w:r>
      <w:bookmarkEnd w:id="139"/>
      <w:bookmarkEnd w:id="140"/>
    </w:p>
    <w:p w14:paraId="33F698AC">
      <w:pPr>
        <w:widowControl w:val="0"/>
        <w:numPr>
          <w:ilvl w:val="1"/>
          <w:numId w:val="4"/>
        </w:numPr>
        <w:overflowPunct w:val="0"/>
        <w:rPr>
          <w:rFonts w:ascii="宋体" w:hAnsi="宋体" w:cs="宋体"/>
          <w:color w:val="auto"/>
          <w:szCs w:val="21"/>
          <w:highlight w:val="none"/>
        </w:rPr>
      </w:pPr>
      <w:bookmarkStart w:id="141" w:name="_Hlt107925668"/>
      <w:bookmarkEnd w:id="141"/>
      <w:bookmarkStart w:id="142" w:name="_Hlt107925638"/>
      <w:bookmarkEnd w:id="142"/>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采购文件第三部分《用户需求书》中规定的要求进行详细应答和说明。</w:t>
      </w:r>
    </w:p>
    <w:p w14:paraId="6E03101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有下列情形之一的，视为投标人弄虚作假，其投标无效：</w:t>
      </w:r>
    </w:p>
    <w:p w14:paraId="26A08D11">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1、使用通过受让或者租借等方式获取的资格、资质证书投标的，属于以他人名义投标。</w:t>
      </w:r>
    </w:p>
    <w:p w14:paraId="20509EC6">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2、投标人有下列情形之一的，属于以其他方式弄虚作假的行为：</w:t>
      </w:r>
    </w:p>
    <w:p w14:paraId="3A3AD871">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（1）使用伪造、变造的许可证件；</w:t>
      </w:r>
    </w:p>
    <w:p w14:paraId="761696EB">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（2）提供虚假的财务状况或者业绩；</w:t>
      </w:r>
    </w:p>
    <w:p w14:paraId="6C8ECB16">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（3）提供虚假的项目负责人或者主要技术人员简历、劳动关系证明；</w:t>
      </w:r>
    </w:p>
    <w:p w14:paraId="2A2F1A86">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（4）提供虚假的信用状况；</w:t>
      </w:r>
    </w:p>
    <w:p w14:paraId="3A9A2113">
      <w:pPr>
        <w:pStyle w:val="41"/>
        <w:widowControl w:val="0"/>
        <w:adjustRightInd/>
        <w:snapToGrid/>
        <w:ind w:left="425" w:firstLine="0" w:firstLineChars="0"/>
        <w:jc w:val="both"/>
        <w:rPr>
          <w:rFonts w:ascii="宋体" w:hAnsi="宋体" w:cs="宋体"/>
          <w:color w:val="auto"/>
          <w:highlight w:val="none"/>
        </w:rPr>
      </w:pPr>
      <w:r>
        <w:rPr>
          <w:rFonts w:hint="eastAsia" w:ascii="宋体" w:hAnsi="宋体" w:cs="宋体"/>
          <w:color w:val="auto"/>
          <w:highlight w:val="none"/>
        </w:rPr>
        <w:t>（5）其他弄虚作假的行为。</w:t>
      </w:r>
    </w:p>
    <w:p w14:paraId="5BDB586A">
      <w:pPr>
        <w:pStyle w:val="6"/>
        <w:widowControl w:val="0"/>
        <w:numPr>
          <w:ilvl w:val="0"/>
          <w:numId w:val="4"/>
        </w:numPr>
        <w:overflowPunct w:val="0"/>
        <w:rPr>
          <w:rFonts w:ascii="宋体" w:hAnsi="宋体" w:cs="宋体"/>
          <w:color w:val="auto"/>
          <w:sz w:val="21"/>
          <w:szCs w:val="21"/>
          <w:highlight w:val="none"/>
        </w:rPr>
      </w:pPr>
      <w:bookmarkStart w:id="143" w:name="_Toc31342"/>
      <w:bookmarkStart w:id="144" w:name="_Toc8324"/>
      <w:r>
        <w:rPr>
          <w:rFonts w:hint="eastAsia" w:ascii="宋体" w:hAnsi="宋体" w:cs="宋体"/>
          <w:color w:val="auto"/>
          <w:sz w:val="21"/>
          <w:szCs w:val="21"/>
          <w:highlight w:val="none"/>
        </w:rPr>
        <w:t>投标有效期</w:t>
      </w:r>
      <w:bookmarkEnd w:id="143"/>
      <w:bookmarkEnd w:id="144"/>
    </w:p>
    <w:p w14:paraId="30FDB8B4">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投标文件应根据投标人须知的规定在投标截止日后的90天内保持有效。</w:t>
      </w:r>
    </w:p>
    <w:p w14:paraId="6B622985">
      <w:pPr>
        <w:widowControl w:val="0"/>
        <w:adjustRightInd/>
        <w:snapToGrid/>
        <w:ind w:left="567"/>
        <w:jc w:val="both"/>
        <w:rPr>
          <w:rFonts w:ascii="宋体" w:hAnsi="宋体" w:cs="宋体"/>
          <w:color w:val="auto"/>
          <w:highlight w:val="none"/>
        </w:rPr>
      </w:pPr>
    </w:p>
    <w:p w14:paraId="3D8677BD">
      <w:pPr>
        <w:pStyle w:val="6"/>
        <w:widowControl w:val="0"/>
        <w:numPr>
          <w:ilvl w:val="0"/>
          <w:numId w:val="4"/>
        </w:numPr>
        <w:overflowPunct w:val="0"/>
        <w:rPr>
          <w:rFonts w:ascii="宋体" w:hAnsi="宋体" w:cs="宋体"/>
          <w:color w:val="auto"/>
          <w:sz w:val="21"/>
          <w:szCs w:val="21"/>
          <w:highlight w:val="none"/>
        </w:rPr>
      </w:pPr>
      <w:bookmarkStart w:id="145" w:name="_Toc12582"/>
      <w:bookmarkStart w:id="146" w:name="_Toc15789"/>
      <w:r>
        <w:rPr>
          <w:rFonts w:hint="eastAsia" w:ascii="宋体" w:hAnsi="宋体" w:cs="宋体"/>
          <w:color w:val="auto"/>
          <w:sz w:val="21"/>
          <w:szCs w:val="21"/>
          <w:highlight w:val="none"/>
        </w:rPr>
        <w:t>投标保证金</w:t>
      </w:r>
      <w:bookmarkEnd w:id="145"/>
      <w:bookmarkEnd w:id="146"/>
    </w:p>
    <w:p w14:paraId="13874E74">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bookmarkStart w:id="147" w:name="_Ref179619405"/>
      <w:r>
        <w:rPr>
          <w:rFonts w:hint="eastAsia" w:ascii="宋体" w:hAnsi="宋体" w:cs="宋体"/>
          <w:color w:val="auto"/>
          <w:szCs w:val="21"/>
          <w:highlight w:val="none"/>
        </w:rPr>
        <w:t>投标人应在投标文件递交截止前提交相应的投标保证金，并作为其投标的一部分。</w:t>
      </w:r>
      <w:bookmarkEnd w:id="147"/>
    </w:p>
    <w:p w14:paraId="2E90CA67">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投标保证金是为了保护采购代理机构和采购人免遭因投标人的行为而蒙受的损失。采购代理机构和采购人在因投标人的行为受到损害时可根据本须知（17.7）的规定没收投标人的投标保证金。</w:t>
      </w:r>
    </w:p>
    <w:p w14:paraId="5BDBD4E2">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投标保证金采用转账、电汇方式提交，应符合以下要求：采用银行转账、电汇方式提交的，保证金汇入《投标资料表》中投标保证金专用账户，不接收由投标人分支机构、私人账户和其他单位转入的保证金。投标保证金必须在投标文件递交截止前到账，投标保证金未按规定时间到达指定账户或提交金额不足的，将被视为无效投标。且在备注或用途中注明本项目的项目编号。</w:t>
      </w:r>
    </w:p>
    <w:p w14:paraId="4FA8F527">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凡没有根据本须知（17.1和17.3）的规定随附有效的投标保证金的投标，将被视为非响应性投标予以拒绝。</w:t>
      </w:r>
    </w:p>
    <w:p w14:paraId="6DB560A5">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投标保证金有效期应当与投标有效期一致。采购人如果按照采购文件另外规定延长了投标文件有效期，则投标担保的有效期也相应延长。</w:t>
      </w:r>
    </w:p>
    <w:p w14:paraId="0ECA369A">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未中标的投标人的保证金应当在中标通知书发出后退还，中标的投标人的保证金在采购合同签订后转为履约保证金。为方便退还未中标的投标人的保证金，投标人应制作《投标保证金汇入情况说明》随唱标信封一并递交。</w:t>
      </w:r>
    </w:p>
    <w:p w14:paraId="1B74F1EB">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下列任何情况发生时，投标保证金将不予退还：</w:t>
      </w:r>
    </w:p>
    <w:p w14:paraId="12582261">
      <w:pPr>
        <w:keepNext w:val="0"/>
        <w:keepLines w:val="0"/>
        <w:pageBreakBefore w:val="0"/>
        <w:widowControl w:val="0"/>
        <w:kinsoku/>
        <w:wordWrap/>
        <w:topLinePunct w:val="0"/>
        <w:autoSpaceDE/>
        <w:autoSpaceDN/>
        <w:bidi w:val="0"/>
        <w:adjustRightInd/>
        <w:snapToGrid/>
        <w:spacing w:line="460" w:lineRule="exact"/>
        <w:ind w:left="540" w:leftChars="257"/>
        <w:jc w:val="both"/>
        <w:textAlignment w:val="auto"/>
        <w:rPr>
          <w:rFonts w:ascii="宋体" w:hAnsi="宋体" w:cs="宋体"/>
          <w:color w:val="auto"/>
          <w:szCs w:val="21"/>
          <w:highlight w:val="none"/>
        </w:rPr>
      </w:pPr>
      <w:r>
        <w:rPr>
          <w:rFonts w:hint="eastAsia" w:ascii="宋体" w:hAnsi="宋体" w:cs="宋体"/>
          <w:color w:val="auto"/>
          <w:szCs w:val="21"/>
          <w:highlight w:val="none"/>
        </w:rPr>
        <w:t>（1）投标人在采购文件中规定的投标有效期内撤回其投标；</w:t>
      </w:r>
    </w:p>
    <w:p w14:paraId="0011E224">
      <w:pPr>
        <w:keepNext w:val="0"/>
        <w:keepLines w:val="0"/>
        <w:pageBreakBefore w:val="0"/>
        <w:widowControl w:val="0"/>
        <w:kinsoku/>
        <w:wordWrap/>
        <w:topLinePunct w:val="0"/>
        <w:autoSpaceDE/>
        <w:autoSpaceDN/>
        <w:bidi w:val="0"/>
        <w:adjustRightInd/>
        <w:snapToGrid/>
        <w:spacing w:line="460" w:lineRule="exact"/>
        <w:ind w:left="540" w:leftChars="257"/>
        <w:jc w:val="both"/>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无正当理由不与采购人订立合同，在签订合同时向采购人提出附加条件，或者不按照采购文件要求提交履约保证金的；</w:t>
      </w:r>
    </w:p>
    <w:p w14:paraId="0BB87002">
      <w:pPr>
        <w:keepNext w:val="0"/>
        <w:keepLines w:val="0"/>
        <w:pageBreakBefore w:val="0"/>
        <w:widowControl w:val="0"/>
        <w:kinsoku/>
        <w:wordWrap/>
        <w:topLinePunct w:val="0"/>
        <w:autoSpaceDE/>
        <w:autoSpaceDN/>
        <w:bidi w:val="0"/>
        <w:adjustRightInd/>
        <w:snapToGrid/>
        <w:spacing w:line="460" w:lineRule="exact"/>
        <w:ind w:left="540" w:leftChars="257"/>
        <w:jc w:val="both"/>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将本项目转让给他人，或者在投标文件中未说明，且未经采购人同意，将中标项目分包给他人的；</w:t>
      </w:r>
    </w:p>
    <w:p w14:paraId="09A68079">
      <w:pPr>
        <w:keepNext w:val="0"/>
        <w:keepLines w:val="0"/>
        <w:pageBreakBefore w:val="0"/>
        <w:widowControl w:val="0"/>
        <w:kinsoku/>
        <w:wordWrap/>
        <w:topLinePunct w:val="0"/>
        <w:autoSpaceDE/>
        <w:autoSpaceDN/>
        <w:bidi w:val="0"/>
        <w:adjustRightInd/>
        <w:snapToGrid/>
        <w:spacing w:line="460" w:lineRule="exact"/>
        <w:ind w:left="540" w:leftChars="257"/>
        <w:jc w:val="both"/>
        <w:textAlignment w:val="auto"/>
        <w:rPr>
          <w:rFonts w:ascii="宋体" w:hAnsi="宋体" w:cs="宋体"/>
          <w:color w:val="auto"/>
          <w:szCs w:val="21"/>
          <w:highlight w:val="none"/>
        </w:rPr>
      </w:pPr>
      <w:r>
        <w:rPr>
          <w:rFonts w:hint="eastAsia" w:ascii="宋体" w:hAnsi="宋体" w:cs="宋体"/>
          <w:color w:val="auto"/>
          <w:szCs w:val="21"/>
          <w:highlight w:val="none"/>
        </w:rPr>
        <w:t>（4）投标人提供虚假投标文件或虚假补充文件的。</w:t>
      </w:r>
    </w:p>
    <w:p w14:paraId="069A1E02">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在中标通知书发出后，未中标投标人的投标保证金，由采购人自行返还至投标人的原转出账户。</w:t>
      </w:r>
    </w:p>
    <w:p w14:paraId="6D9C0CE8">
      <w:pPr>
        <w:rPr>
          <w:rFonts w:ascii="宋体" w:hAnsi="宋体" w:cs="宋体"/>
          <w:color w:val="auto"/>
          <w:highlight w:val="none"/>
        </w:rPr>
      </w:pPr>
    </w:p>
    <w:p w14:paraId="5B4D87A2">
      <w:pPr>
        <w:pStyle w:val="5"/>
        <w:numPr>
          <w:ilvl w:val="0"/>
          <w:numId w:val="3"/>
        </w:numPr>
        <w:spacing w:before="0" w:after="0" w:line="360" w:lineRule="auto"/>
        <w:jc w:val="center"/>
        <w:rPr>
          <w:rFonts w:ascii="宋体" w:hAnsi="宋体" w:cs="宋体"/>
          <w:color w:val="auto"/>
          <w:highlight w:val="none"/>
        </w:rPr>
      </w:pPr>
      <w:bookmarkStart w:id="148" w:name="_Toc16028"/>
      <w:bookmarkStart w:id="149" w:name="_Toc30352"/>
      <w:r>
        <w:rPr>
          <w:rFonts w:hint="eastAsia" w:ascii="宋体" w:hAnsi="宋体" w:cs="宋体"/>
          <w:color w:val="auto"/>
          <w:highlight w:val="none"/>
        </w:rPr>
        <w:t>投标文件的递交</w:t>
      </w:r>
      <w:bookmarkEnd w:id="148"/>
      <w:bookmarkEnd w:id="149"/>
    </w:p>
    <w:p w14:paraId="57D334B5">
      <w:pPr>
        <w:pStyle w:val="6"/>
        <w:widowControl w:val="0"/>
        <w:numPr>
          <w:ilvl w:val="0"/>
          <w:numId w:val="4"/>
        </w:numPr>
        <w:overflowPunct w:val="0"/>
        <w:rPr>
          <w:rFonts w:ascii="宋体" w:hAnsi="宋体" w:cs="宋体"/>
          <w:color w:val="auto"/>
          <w:sz w:val="21"/>
          <w:szCs w:val="21"/>
          <w:highlight w:val="none"/>
        </w:rPr>
      </w:pPr>
      <w:bookmarkStart w:id="150" w:name="_Toc24150"/>
      <w:bookmarkStart w:id="151" w:name="_Toc18423"/>
      <w:bookmarkStart w:id="152" w:name="_Toc382049111"/>
      <w:bookmarkStart w:id="153" w:name="_Toc303084264"/>
      <w:bookmarkStart w:id="154" w:name="_Toc24997"/>
      <w:r>
        <w:rPr>
          <w:rFonts w:hint="eastAsia" w:ascii="宋体" w:hAnsi="宋体" w:cs="宋体"/>
          <w:color w:val="auto"/>
          <w:sz w:val="21"/>
          <w:szCs w:val="21"/>
          <w:highlight w:val="none"/>
        </w:rPr>
        <w:t>投标文件的装订，签署，密封和标记</w:t>
      </w:r>
      <w:bookmarkEnd w:id="150"/>
      <w:bookmarkEnd w:id="151"/>
      <w:bookmarkEnd w:id="152"/>
      <w:bookmarkEnd w:id="153"/>
      <w:bookmarkEnd w:id="154"/>
    </w:p>
    <w:p w14:paraId="34BEB1B1">
      <w:pPr>
        <w:widowControl w:val="0"/>
        <w:numPr>
          <w:ilvl w:val="1"/>
          <w:numId w:val="4"/>
        </w:numPr>
        <w:overflowPunct w:val="0"/>
        <w:rPr>
          <w:rFonts w:ascii="宋体" w:hAnsi="宋体" w:cs="宋体"/>
          <w:color w:val="auto"/>
          <w:szCs w:val="21"/>
          <w:highlight w:val="none"/>
        </w:rPr>
      </w:pPr>
      <w:r>
        <w:rPr>
          <w:rFonts w:hint="eastAsia" w:ascii="宋体" w:hAnsi="宋体"/>
          <w:color w:val="auto"/>
          <w:szCs w:val="21"/>
          <w:highlight w:val="none"/>
        </w:rPr>
        <w:t>投标人应按《投标资料表》的份数准备价格文件、商务文件、技术文件、唱标信封和电子文件（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），每一份投标文件均需编上页次，装订成册（不允许使用活页夹，否则由此产生的风险由投标人自行承担）。所有投标文件必须封入密封完好的信封或包装，封口加盖公章</w:t>
      </w:r>
      <w:r>
        <w:rPr>
          <w:rFonts w:hint="eastAsia" w:ascii="宋体" w:hAnsi="宋体" w:cs="宋体"/>
          <w:color w:val="auto"/>
          <w:szCs w:val="21"/>
          <w:highlight w:val="none"/>
        </w:rPr>
        <w:t>。</w:t>
      </w:r>
    </w:p>
    <w:p w14:paraId="1925C92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投标文件正本均须用不褪色墨水书写或打印。投标文件的副本可采用投标文件的正本复印件，每套投标文件应当标明“正本”、“副本”的字样。投标文件的</w:t>
      </w:r>
      <w:r>
        <w:rPr>
          <w:rFonts w:hint="eastAsia" w:ascii="宋体" w:hAnsi="宋体" w:cs="宋体"/>
          <w:color w:val="auto"/>
          <w:szCs w:val="21"/>
          <w:highlight w:val="none"/>
        </w:rPr>
        <w:t>【正本】及所有【副本】的封面及骑缝均须加盖投标人公章（文件每页盖章等同于盖骑缝章）。若正本与副本不符，以正本为准。</w:t>
      </w:r>
    </w:p>
    <w:p w14:paraId="0E786CC0">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联合体投标文件的【正本】及【副本】的封面及骑缝均须加盖所有联合体组成成员的公章。（文件每页盖章等同于盖骑缝章）</w:t>
      </w:r>
    </w:p>
    <w:p w14:paraId="14F8575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电子文件内容包括：由投标人自行制作的与正本文件一致的所有文件。电子文件由光盘或U盘储存，并注明投标人名称及项目名称、采购项目编号，随投标文件一同密封提交。</w:t>
      </w:r>
    </w:p>
    <w:p w14:paraId="4585F4C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除投标人对错误处修改外，全套投标文件应无涂改或行间插字和增删。如有修改，修改处须由法定代表人或其正式授权代表在旁边签字及盖章。</w:t>
      </w:r>
    </w:p>
    <w:p w14:paraId="42407154">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投标人应将投标文件进行非透明的封装，以防止投标文件内容的</w:t>
      </w:r>
      <w:r>
        <w:rPr>
          <w:rFonts w:hint="eastAsia" w:ascii="宋体" w:hAnsi="宋体" w:cs="宋体"/>
          <w:color w:val="auto"/>
          <w:szCs w:val="21"/>
          <w:highlight w:val="none"/>
          <w:lang w:eastAsia="zh-CN"/>
        </w:rPr>
        <w:t>泄漏</w:t>
      </w:r>
      <w:r>
        <w:rPr>
          <w:rFonts w:hint="eastAsia" w:ascii="宋体" w:hAnsi="宋体" w:cs="宋体"/>
          <w:color w:val="auto"/>
          <w:szCs w:val="21"/>
          <w:highlight w:val="none"/>
        </w:rPr>
        <w:t>。采购代理机构将拒绝接收采用透明包装进行密封的投标文件。</w:t>
      </w:r>
    </w:p>
    <w:p w14:paraId="11D4E07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密封破损导致投标文件内容直接或间接</w:t>
      </w:r>
      <w:r>
        <w:rPr>
          <w:rFonts w:hint="eastAsia" w:ascii="宋体" w:hAnsi="宋体" w:cs="宋体"/>
          <w:color w:val="auto"/>
          <w:szCs w:val="21"/>
          <w:highlight w:val="none"/>
          <w:lang w:eastAsia="zh-CN"/>
        </w:rPr>
        <w:t>泄漏</w:t>
      </w:r>
      <w:r>
        <w:rPr>
          <w:rFonts w:hint="eastAsia" w:ascii="宋体" w:hAnsi="宋体" w:cs="宋体"/>
          <w:color w:val="auto"/>
          <w:szCs w:val="21"/>
          <w:highlight w:val="none"/>
        </w:rPr>
        <w:t>的投标文件，采购代理机构将拒绝接收。</w:t>
      </w:r>
    </w:p>
    <w:p w14:paraId="3F2F07C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为方便开标唱标，投标人应将开标一览表和授权委托书单独密封提交，并在信封上标明“唱标信封”字样。唱标信封内还须包括并不限于：投标保证金支付凭证银行汇款底单（复印件加盖公章，原件随身携带，以备查核）和投标保证金汇入情况说明（加盖公章）。投标人的法定代表人参加投标时，须开具法定代表人证明书，按上述要求与开标一览表一并密封提交。“唱标信封”份数及签章等要求与投标文件正本相同（1份）。</w:t>
      </w:r>
    </w:p>
    <w:p w14:paraId="4813F596">
      <w:pPr>
        <w:widowControl w:val="0"/>
        <w:numPr>
          <w:ilvl w:val="1"/>
          <w:numId w:val="4"/>
        </w:numP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未单独提交唱标信封的投标人投标文件不进行唱标，投标文件作无效处理。</w:t>
      </w:r>
    </w:p>
    <w:p w14:paraId="3DCD3AA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14:paraId="42D19185">
      <w:pPr>
        <w:widowControl w:val="0"/>
        <w:numPr>
          <w:ilvl w:val="0"/>
          <w:numId w:val="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 xml:space="preserve">收件人： </w:t>
      </w:r>
    </w:p>
    <w:p w14:paraId="137E14BD">
      <w:pPr>
        <w:widowControl w:val="0"/>
        <w:numPr>
          <w:ilvl w:val="0"/>
          <w:numId w:val="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投标单位名称：</w:t>
      </w:r>
    </w:p>
    <w:p w14:paraId="7F038D73">
      <w:pPr>
        <w:widowControl w:val="0"/>
        <w:numPr>
          <w:ilvl w:val="0"/>
          <w:numId w:val="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项目名称：</w:t>
      </w:r>
    </w:p>
    <w:p w14:paraId="3261237F">
      <w:pPr>
        <w:widowControl w:val="0"/>
        <w:numPr>
          <w:ilvl w:val="0"/>
          <w:numId w:val="6"/>
        </w:numPr>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项目采购项目编号：</w:t>
      </w:r>
    </w:p>
    <w:p w14:paraId="4426370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14:paraId="627A02C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采购代理机构对所有投标文件的误投或提前启封概不负责。</w:t>
      </w:r>
    </w:p>
    <w:p w14:paraId="02317A0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投标人同时参加几个包投标时必须按采购文件要求按包号分别制作投标文件，分别密封递交。</w:t>
      </w:r>
    </w:p>
    <w:p w14:paraId="02131D9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传真、电传的投标文件将被拒绝。</w:t>
      </w:r>
    </w:p>
    <w:p w14:paraId="2C0AD1B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递交的投标文件中所提供的通讯方式应保持联络畅通，因联系不上而导致的所有后果由投标人自行承担。</w:t>
      </w:r>
    </w:p>
    <w:p w14:paraId="46EA1EA7">
      <w:pPr>
        <w:rPr>
          <w:rFonts w:ascii="宋体" w:hAnsi="宋体" w:cs="宋体"/>
          <w:color w:val="auto"/>
          <w:highlight w:val="none"/>
        </w:rPr>
      </w:pPr>
    </w:p>
    <w:p w14:paraId="04771CBE">
      <w:pPr>
        <w:pStyle w:val="6"/>
        <w:widowControl w:val="0"/>
        <w:numPr>
          <w:ilvl w:val="0"/>
          <w:numId w:val="4"/>
        </w:numPr>
        <w:overflowPunct w:val="0"/>
        <w:rPr>
          <w:rFonts w:ascii="宋体" w:hAnsi="宋体" w:cs="宋体"/>
          <w:color w:val="auto"/>
          <w:sz w:val="21"/>
          <w:szCs w:val="21"/>
          <w:highlight w:val="none"/>
        </w:rPr>
      </w:pPr>
      <w:bookmarkStart w:id="155" w:name="_Toc736"/>
      <w:bookmarkStart w:id="156" w:name="_Toc25895"/>
      <w:r>
        <w:rPr>
          <w:rFonts w:hint="eastAsia" w:ascii="宋体" w:hAnsi="宋体" w:cs="宋体"/>
          <w:color w:val="auto"/>
          <w:sz w:val="21"/>
          <w:szCs w:val="21"/>
          <w:highlight w:val="none"/>
        </w:rPr>
        <w:t>迟交的投标文件</w:t>
      </w:r>
      <w:bookmarkEnd w:id="155"/>
      <w:bookmarkEnd w:id="156"/>
    </w:p>
    <w:p w14:paraId="030E6ED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投标人在投标截止时间之后提交的投标文件，采购代理机构将拒绝接收。</w:t>
      </w:r>
    </w:p>
    <w:p w14:paraId="139C938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14:paraId="771CB0CA">
      <w:pPr>
        <w:rPr>
          <w:rFonts w:ascii="宋体" w:hAnsi="宋体" w:cs="宋体"/>
          <w:color w:val="auto"/>
          <w:highlight w:val="none"/>
        </w:rPr>
      </w:pPr>
    </w:p>
    <w:p w14:paraId="14E4141D">
      <w:pPr>
        <w:pStyle w:val="6"/>
        <w:widowControl w:val="0"/>
        <w:numPr>
          <w:ilvl w:val="0"/>
          <w:numId w:val="4"/>
        </w:numPr>
        <w:overflowPunct w:val="0"/>
        <w:rPr>
          <w:rFonts w:ascii="宋体" w:hAnsi="宋体" w:cs="宋体"/>
          <w:color w:val="auto"/>
          <w:sz w:val="21"/>
          <w:szCs w:val="21"/>
          <w:highlight w:val="none"/>
        </w:rPr>
      </w:pPr>
      <w:bookmarkStart w:id="157" w:name="_Toc6893"/>
      <w:bookmarkStart w:id="158" w:name="_Toc9143"/>
      <w:r>
        <w:rPr>
          <w:rFonts w:hint="eastAsia" w:ascii="宋体" w:hAnsi="宋体" w:cs="宋体"/>
          <w:color w:val="auto"/>
          <w:sz w:val="21"/>
          <w:szCs w:val="21"/>
          <w:highlight w:val="none"/>
        </w:rPr>
        <w:t>投标样品</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本项目无需</w:t>
      </w:r>
      <w:r>
        <w:rPr>
          <w:rFonts w:hint="eastAsia" w:ascii="宋体" w:hAnsi="宋体" w:cs="宋体"/>
          <w:color w:val="auto"/>
          <w:sz w:val="21"/>
          <w:szCs w:val="21"/>
          <w:highlight w:val="none"/>
        </w:rPr>
        <w:t>提交）</w:t>
      </w:r>
      <w:bookmarkEnd w:id="157"/>
      <w:bookmarkEnd w:id="158"/>
    </w:p>
    <w:p w14:paraId="109448B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如有必要，采购代理机构可以要求投标人提供本服务项目涉及的部分设备或产品样品，投标人在投标时应提交《样品清单》。</w:t>
      </w:r>
    </w:p>
    <w:p w14:paraId="7AD8761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为方便评标，投标人在提供样品时，应在所提供的样品表面显著位置标注投标人的名称、包号、样品名称、采购文件规定的服务或货物编号。</w:t>
      </w:r>
    </w:p>
    <w:p w14:paraId="14338C3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568FDEBF">
      <w:pPr>
        <w:rPr>
          <w:rFonts w:ascii="宋体" w:hAnsi="宋体" w:cs="宋体"/>
          <w:color w:val="auto"/>
          <w:highlight w:val="none"/>
        </w:rPr>
      </w:pPr>
    </w:p>
    <w:p w14:paraId="7FDA12BA">
      <w:pPr>
        <w:pStyle w:val="6"/>
        <w:widowControl w:val="0"/>
        <w:numPr>
          <w:ilvl w:val="0"/>
          <w:numId w:val="4"/>
        </w:numPr>
        <w:overflowPunct w:val="0"/>
        <w:rPr>
          <w:rFonts w:ascii="宋体" w:hAnsi="宋体" w:cs="宋体"/>
          <w:color w:val="auto"/>
          <w:sz w:val="21"/>
          <w:szCs w:val="21"/>
          <w:highlight w:val="none"/>
        </w:rPr>
      </w:pPr>
      <w:bookmarkStart w:id="159" w:name="_Toc1712"/>
      <w:bookmarkStart w:id="160" w:name="_Toc20315"/>
      <w:bookmarkStart w:id="161" w:name="_Toc382049112"/>
      <w:bookmarkStart w:id="162" w:name="_Toc303084265"/>
      <w:bookmarkStart w:id="163" w:name="_Toc9777"/>
      <w:r>
        <w:rPr>
          <w:rFonts w:hint="eastAsia" w:ascii="宋体" w:hAnsi="宋体" w:cs="宋体"/>
          <w:color w:val="auto"/>
          <w:sz w:val="21"/>
          <w:szCs w:val="21"/>
          <w:highlight w:val="none"/>
        </w:rPr>
        <w:t>投标截止期</w:t>
      </w:r>
      <w:bookmarkEnd w:id="159"/>
      <w:bookmarkEnd w:id="160"/>
      <w:bookmarkEnd w:id="161"/>
      <w:bookmarkEnd w:id="162"/>
      <w:bookmarkEnd w:id="163"/>
    </w:p>
    <w:p w14:paraId="1C775FA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投标人应在采购文件规定的截止日期和时间内，将投标文件送达到指定地点。</w:t>
      </w:r>
    </w:p>
    <w:p w14:paraId="7D457DA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采购代理机构可按本须知规定以澄清或修改通知的方式，酌情延长递交投标文件的截止时间。在此情况下，投标人的所有权利和义务以及投标人受制约的截止时间，均以延长后新的投标截止时间为准。</w:t>
      </w:r>
    </w:p>
    <w:p w14:paraId="6987D171">
      <w:pPr>
        <w:rPr>
          <w:rFonts w:ascii="宋体" w:hAnsi="宋体" w:cs="宋体"/>
          <w:color w:val="auto"/>
          <w:highlight w:val="none"/>
        </w:rPr>
      </w:pPr>
    </w:p>
    <w:p w14:paraId="73CA2A30">
      <w:pPr>
        <w:pStyle w:val="6"/>
        <w:widowControl w:val="0"/>
        <w:numPr>
          <w:ilvl w:val="0"/>
          <w:numId w:val="4"/>
        </w:numPr>
        <w:overflowPunct w:val="0"/>
        <w:rPr>
          <w:rFonts w:ascii="宋体" w:hAnsi="宋体" w:cs="宋体"/>
          <w:color w:val="auto"/>
          <w:sz w:val="21"/>
          <w:szCs w:val="21"/>
          <w:highlight w:val="none"/>
        </w:rPr>
      </w:pPr>
      <w:bookmarkStart w:id="164" w:name="_Toc30595"/>
      <w:bookmarkStart w:id="165" w:name="_Toc31417"/>
      <w:r>
        <w:rPr>
          <w:rFonts w:hint="eastAsia" w:ascii="宋体" w:hAnsi="宋体" w:cs="宋体"/>
          <w:color w:val="auto"/>
          <w:sz w:val="21"/>
          <w:szCs w:val="21"/>
          <w:highlight w:val="none"/>
        </w:rPr>
        <w:t>投标文件的补充、修改与撤回</w:t>
      </w:r>
      <w:bookmarkEnd w:id="164"/>
      <w:bookmarkEnd w:id="165"/>
    </w:p>
    <w:p w14:paraId="1428FFA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F3FA60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投标人对投标文件的补充、修改的内容应当按采购文件的要求签署、盖章、密封后，作为投标文件的组成部分。并按照采购文件规定密封和标记的要求提交，并在投标文件密封袋上标明“补充、修改”字样。</w:t>
      </w:r>
    </w:p>
    <w:p w14:paraId="7DBBBDB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投标文件一经递交不予退还。</w:t>
      </w:r>
    </w:p>
    <w:p w14:paraId="1FBDB59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在提交投标文件截止时间至投标有效期满之前，投标人不得撤回其投标，否则其投标保证金将不予退还。</w:t>
      </w:r>
    </w:p>
    <w:p w14:paraId="28985D66">
      <w:pPr>
        <w:pStyle w:val="10"/>
        <w:rPr>
          <w:color w:val="auto"/>
          <w:highlight w:val="none"/>
        </w:rPr>
      </w:pPr>
    </w:p>
    <w:p w14:paraId="2ED28808">
      <w:pPr>
        <w:pStyle w:val="5"/>
        <w:numPr>
          <w:ilvl w:val="0"/>
          <w:numId w:val="3"/>
        </w:numPr>
        <w:spacing w:before="0" w:after="0" w:line="360" w:lineRule="auto"/>
        <w:jc w:val="center"/>
        <w:rPr>
          <w:rFonts w:ascii="宋体" w:hAnsi="宋体" w:cs="宋体"/>
          <w:color w:val="auto"/>
          <w:highlight w:val="none"/>
        </w:rPr>
      </w:pPr>
      <w:bookmarkStart w:id="166" w:name="_Toc7410"/>
      <w:bookmarkStart w:id="167" w:name="_Toc15656"/>
      <w:r>
        <w:rPr>
          <w:rFonts w:hint="eastAsia" w:ascii="宋体" w:hAnsi="宋体" w:cs="宋体"/>
          <w:color w:val="auto"/>
          <w:highlight w:val="none"/>
        </w:rPr>
        <w:t>开标与评标</w:t>
      </w:r>
      <w:bookmarkEnd w:id="166"/>
      <w:bookmarkEnd w:id="167"/>
    </w:p>
    <w:p w14:paraId="22705A08">
      <w:pPr>
        <w:pStyle w:val="6"/>
        <w:widowControl w:val="0"/>
        <w:numPr>
          <w:ilvl w:val="0"/>
          <w:numId w:val="4"/>
        </w:numPr>
        <w:overflowPunct w:val="0"/>
        <w:rPr>
          <w:rFonts w:ascii="宋体" w:hAnsi="宋体" w:cs="宋体"/>
          <w:color w:val="auto"/>
          <w:sz w:val="21"/>
          <w:szCs w:val="21"/>
          <w:highlight w:val="none"/>
        </w:rPr>
      </w:pPr>
      <w:bookmarkStart w:id="168" w:name="_Toc31671"/>
      <w:bookmarkStart w:id="169" w:name="_Toc18065"/>
      <w:r>
        <w:rPr>
          <w:rFonts w:hint="eastAsia" w:ascii="宋体" w:hAnsi="宋体" w:cs="宋体"/>
          <w:color w:val="auto"/>
          <w:sz w:val="21"/>
          <w:szCs w:val="21"/>
          <w:highlight w:val="none"/>
        </w:rPr>
        <w:t>开标</w:t>
      </w:r>
      <w:bookmarkEnd w:id="168"/>
      <w:bookmarkEnd w:id="169"/>
    </w:p>
    <w:p w14:paraId="3B851E8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采购代理机构按本采购文件所规定的时间和地点公开开标，并邀请所有投标人代表参加。</w:t>
      </w:r>
    </w:p>
    <w:p w14:paraId="1C44388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开标程序：</w:t>
      </w:r>
    </w:p>
    <w:p w14:paraId="1BFF3AE4">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开标会由采购代理机构主持，投标人的法定代表人或其授权代表携带有效身份证明准时参加开标会并签名报到。</w:t>
      </w:r>
    </w:p>
    <w:p w14:paraId="7D2D92F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开标时，由投标人或者其推选的代表检查投标文件的密封情况；经确认无误后，由采购人或者采购代理机构工作人员当众拆封，宣布投标人名称、投标价格和采购文件规定的需要宣布的其他内容；</w:t>
      </w:r>
    </w:p>
    <w:p w14:paraId="58CE8A4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1A48D65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投标人未参加开标的，视同认可开标结果。</w:t>
      </w:r>
    </w:p>
    <w:p w14:paraId="0EFBC25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合格投标人不足3家的，不得开标；</w:t>
      </w:r>
    </w:p>
    <w:p w14:paraId="68FBC64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开标过程应当由采购人或者采购代理机构负责记录，由参加开标的各投标人代表和相关工作人员签字确认。</w:t>
      </w:r>
    </w:p>
    <w:p w14:paraId="5AB11682">
      <w:pPr>
        <w:widowControl w:val="0"/>
        <w:adjustRightInd/>
        <w:snapToGrid/>
        <w:ind w:left="567"/>
        <w:jc w:val="both"/>
        <w:rPr>
          <w:rFonts w:ascii="宋体" w:hAnsi="宋体" w:cs="宋体"/>
          <w:color w:val="auto"/>
          <w:highlight w:val="none"/>
        </w:rPr>
      </w:pPr>
    </w:p>
    <w:p w14:paraId="329A6B07">
      <w:pPr>
        <w:pStyle w:val="6"/>
        <w:widowControl w:val="0"/>
        <w:numPr>
          <w:ilvl w:val="0"/>
          <w:numId w:val="4"/>
        </w:numPr>
        <w:overflowPunct w:val="0"/>
        <w:rPr>
          <w:rFonts w:ascii="宋体" w:hAnsi="宋体" w:cs="宋体"/>
          <w:color w:val="auto"/>
          <w:sz w:val="21"/>
          <w:szCs w:val="21"/>
          <w:highlight w:val="none"/>
        </w:rPr>
      </w:pPr>
      <w:bookmarkStart w:id="170" w:name="_Toc7486"/>
      <w:bookmarkStart w:id="171" w:name="_Toc3528"/>
      <w:r>
        <w:rPr>
          <w:rFonts w:hint="eastAsia" w:ascii="宋体" w:hAnsi="宋体" w:cs="宋体"/>
          <w:color w:val="auto"/>
          <w:sz w:val="21"/>
          <w:szCs w:val="21"/>
          <w:highlight w:val="none"/>
        </w:rPr>
        <w:t>评标委员会及评标方法</w:t>
      </w:r>
      <w:bookmarkEnd w:id="170"/>
      <w:bookmarkEnd w:id="171"/>
    </w:p>
    <w:p w14:paraId="03A69199">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依法组成评标委员会，评标委员会由采购人和有关技术、经济等方面的专家组成，成员人数为五人或五人以上单数，其中技术、经济等方面的专家不少于成员总数的三分之二，并负责评标工作。</w:t>
      </w:r>
    </w:p>
    <w:p w14:paraId="7D585AF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14:paraId="576CFB37">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定标原则：在最大限度满足采购文件实质性要求前提下，按照采购文件规定的各项评价因素进行量化打分，以评标总得分最高的投标人作为中标候选人或</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w:t>
      </w:r>
    </w:p>
    <w:p w14:paraId="5DB59F4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评标委员会对投标文件的评审内容，分为商务评议、技术评议和价格评议。评审流程包括符合性检查、澄清问题、比较与评价、推荐中标候选人或确定</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、编写评标报告等步骤。</w:t>
      </w:r>
    </w:p>
    <w:p w14:paraId="003CB4A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3DE6AB2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评标委员会和采购人在评审过程中有权核对投标文件中相关材料的原件，投标人在接到通知后应在评标委员会规定的时间内提交原件核查。</w:t>
      </w:r>
    </w:p>
    <w:p w14:paraId="5AB9DDB3">
      <w:pPr>
        <w:rPr>
          <w:rFonts w:ascii="宋体" w:hAnsi="宋体" w:cs="宋体"/>
          <w:color w:val="auto"/>
          <w:highlight w:val="none"/>
        </w:rPr>
      </w:pPr>
    </w:p>
    <w:p w14:paraId="264498E9">
      <w:pPr>
        <w:pStyle w:val="6"/>
        <w:widowControl w:val="0"/>
        <w:numPr>
          <w:ilvl w:val="0"/>
          <w:numId w:val="4"/>
        </w:numPr>
        <w:overflowPunct w:val="0"/>
        <w:rPr>
          <w:rFonts w:ascii="宋体" w:hAnsi="宋体" w:cs="宋体"/>
          <w:color w:val="auto"/>
          <w:sz w:val="21"/>
          <w:szCs w:val="21"/>
          <w:highlight w:val="none"/>
        </w:rPr>
      </w:pPr>
      <w:bookmarkStart w:id="172" w:name="_Toc31404"/>
      <w:bookmarkStart w:id="173" w:name="_Toc4198"/>
      <w:r>
        <w:rPr>
          <w:rFonts w:hint="eastAsia" w:ascii="宋体" w:hAnsi="宋体" w:cs="宋体"/>
          <w:color w:val="auto"/>
          <w:sz w:val="21"/>
          <w:szCs w:val="21"/>
          <w:highlight w:val="none"/>
        </w:rPr>
        <w:t>评审原则及评标过程的保密</w:t>
      </w:r>
      <w:bookmarkEnd w:id="172"/>
      <w:bookmarkEnd w:id="173"/>
    </w:p>
    <w:p w14:paraId="467A1C2C">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评审的基本原则：评标委员会将依据采购文件的规定，遵循“公开、公平、公正、择优、信用”的原则进行评审工作。</w:t>
      </w:r>
    </w:p>
    <w:p w14:paraId="0B05DE4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从公开开标到签订合同，凡与审查、澄清、评审和投标有关的资料以及定标意见相关的事项，均不得向投标人及与评标无关的其他人透露。</w:t>
      </w:r>
    </w:p>
    <w:p w14:paraId="31D69B1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14:paraId="6D60DB2C">
      <w:pPr>
        <w:rPr>
          <w:rFonts w:ascii="宋体" w:hAnsi="宋体" w:cs="宋体"/>
          <w:color w:val="auto"/>
          <w:highlight w:val="none"/>
        </w:rPr>
      </w:pPr>
    </w:p>
    <w:p w14:paraId="2DDCF727">
      <w:pPr>
        <w:pStyle w:val="6"/>
        <w:widowControl w:val="0"/>
        <w:numPr>
          <w:ilvl w:val="0"/>
          <w:numId w:val="4"/>
        </w:numPr>
        <w:overflowPunct w:val="0"/>
        <w:rPr>
          <w:rFonts w:ascii="宋体" w:hAnsi="宋体" w:cs="宋体"/>
          <w:color w:val="auto"/>
          <w:sz w:val="21"/>
          <w:szCs w:val="21"/>
          <w:highlight w:val="none"/>
        </w:rPr>
      </w:pPr>
      <w:bookmarkStart w:id="174" w:name="_Toc20338"/>
      <w:r>
        <w:rPr>
          <w:rFonts w:hint="eastAsia" w:ascii="宋体" w:hAnsi="宋体" w:cs="宋体"/>
          <w:color w:val="auto"/>
          <w:sz w:val="21"/>
          <w:szCs w:val="21"/>
          <w:highlight w:val="none"/>
        </w:rPr>
        <w:t>评标程序</w:t>
      </w:r>
      <w:bookmarkEnd w:id="174"/>
    </w:p>
    <w:p w14:paraId="1F8C3048">
      <w:pPr>
        <w:widowControl w:val="0"/>
        <w:numPr>
          <w:ilvl w:val="1"/>
          <w:numId w:val="4"/>
        </w:numP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14:paraId="72854E77">
      <w:pPr>
        <w:widowControl w:val="0"/>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公开采购项目开标结束后，评标委员会根据《资格性、符合性审查表》将依法对投标人进行资格性、符合性审查。投标人必须严格按照《资格性、符合性审查表》的评审内容的要求如实提供证明材料并应加盖投标人公章，对缺漏或不符合项将直接导致无效投标。合格投标人不足3家的，不得评标。未通过资格性、符合性审查的投标人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14:paraId="5018DBA1">
      <w:pP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7823"/>
      </w:tblGrid>
      <w:tr w14:paraId="6C51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0FF9E208">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1BEAC4B9">
            <w:pPr>
              <w:keepNext w:val="0"/>
              <w:keepLines w:val="0"/>
              <w:pageBreakBefore w:val="0"/>
              <w:widowControl/>
              <w:kinsoku/>
              <w:wordWrap/>
              <w:overflowPunct/>
              <w:topLinePunct w:val="0"/>
              <w:autoSpaceDE/>
              <w:autoSpaceDN/>
              <w:bidi w:val="0"/>
              <w:adjustRightInd w:val="0"/>
              <w:snapToGrid w:val="0"/>
              <w:spacing w:line="240" w:lineRule="auto"/>
              <w:ind w:left="0"/>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14:paraId="52C7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restart"/>
            <w:tcBorders>
              <w:top w:val="single" w:color="auto" w:sz="4" w:space="0"/>
              <w:left w:val="single" w:color="auto" w:sz="4" w:space="0"/>
              <w:right w:val="single" w:color="auto" w:sz="4" w:space="0"/>
              <w:tl2br w:val="nil"/>
              <w:tr2bl w:val="nil"/>
            </w:tcBorders>
            <w:vAlign w:val="center"/>
          </w:tcPr>
          <w:p w14:paraId="4793D180">
            <w:pPr>
              <w:keepNext w:val="0"/>
              <w:keepLines w:val="0"/>
              <w:pageBreakBefore w:val="0"/>
              <w:widowControl/>
              <w:numPr>
                <w:ilvl w:val="0"/>
                <w:numId w:val="0"/>
              </w:numPr>
              <w:tabs>
                <w:tab w:val="left" w:pos="176"/>
                <w:tab w:val="left" w:pos="612"/>
              </w:tabs>
              <w:kinsoku/>
              <w:wordWrap/>
              <w:overflowPunct/>
              <w:topLinePunct w:val="0"/>
              <w:autoSpaceDE/>
              <w:autoSpaceDN/>
              <w:bidi w:val="0"/>
              <w:adjustRightInd w:val="0"/>
              <w:snapToGrid w:val="0"/>
              <w:spacing w:line="240" w:lineRule="auto"/>
              <w:ind w:left="0" w:leftChars="0"/>
              <w:jc w:val="center"/>
              <w:rPr>
                <w:rFonts w:hint="default"/>
                <w:color w:val="auto"/>
                <w:highlight w:val="none"/>
                <w:lang w:val="en-US" w:eastAsia="zh-CN"/>
              </w:rPr>
            </w:pPr>
            <w:r>
              <w:rPr>
                <w:rFonts w:hint="eastAsia"/>
                <w:color w:val="auto"/>
                <w:highlight w:val="none"/>
                <w:lang w:val="en-US" w:eastAsia="zh-CN"/>
              </w:rPr>
              <w:t>1</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70D48910">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1）投标人须为在中华人民共和国境内登记注册的具有独立承担民事责任能力的法人或其他组织【提供《营业执照》复印件（加盖公章）或《事业单位法人证书》复印件（加盖公章）或其他主体证书复印件（加盖公章）】；</w:t>
            </w:r>
          </w:p>
        </w:tc>
      </w:tr>
      <w:tr w14:paraId="308D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45B5C0F9">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6C7962A8">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参加采购活动前三年内，</w:t>
            </w:r>
            <w:r>
              <w:rPr>
                <w:rFonts w:hint="eastAsia" w:ascii="宋体" w:hAnsi="宋体"/>
                <w:color w:val="auto"/>
                <w:szCs w:val="21"/>
                <w:highlight w:val="none"/>
              </w:rPr>
              <w:t>在经营活动中没有重大违法记录（</w:t>
            </w:r>
            <w:r>
              <w:rPr>
                <w:rFonts w:hint="eastAsia" w:ascii="宋体" w:hAnsi="宋体"/>
                <w:b/>
                <w:bCs/>
                <w:color w:val="auto"/>
                <w:szCs w:val="21"/>
                <w:highlight w:val="none"/>
              </w:rPr>
              <w:t>须提供书面声明</w:t>
            </w:r>
            <w:r>
              <w:rPr>
                <w:rFonts w:hint="eastAsia" w:ascii="宋体" w:hAnsi="宋体"/>
                <w:color w:val="auto"/>
                <w:szCs w:val="21"/>
                <w:highlight w:val="none"/>
                <w:lang w:eastAsia="zh-CN"/>
              </w:rPr>
              <w:t>，</w:t>
            </w:r>
            <w:r>
              <w:rPr>
                <w:rFonts w:hint="eastAsia" w:ascii="宋体" w:hAnsi="宋体"/>
                <w:b/>
                <w:bCs/>
                <w:color w:val="auto"/>
                <w:szCs w:val="21"/>
                <w:highlight w:val="none"/>
                <w:lang w:val="en-US" w:eastAsia="zh-CN"/>
              </w:rPr>
              <w:t>详见附件</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tc>
      </w:tr>
      <w:tr w14:paraId="1E07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12918EFC">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118C9B7C">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olor w:val="auto"/>
                <w:szCs w:val="21"/>
                <w:highlight w:val="none"/>
              </w:rPr>
              <w:t>投标人的单位负责人为同一人或者存在直接控股、管理关系的不同投标人，不得参加同一合同项下的采购活动。</w:t>
            </w:r>
          </w:p>
        </w:tc>
      </w:tr>
      <w:tr w14:paraId="090A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4515A9DD">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68DA5086">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（4）</w:t>
            </w:r>
            <w:r>
              <w:rPr>
                <w:rFonts w:hint="eastAsia" w:ascii="宋体" w:hAnsi="宋体"/>
                <w:color w:val="auto"/>
                <w:szCs w:val="21"/>
                <w:highlight w:val="none"/>
              </w:rPr>
              <w:t>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或政府采购严重违法失信行为”记录名单。以代理机构于投标截止日当天在“信用中国”网站查询结果为准，如相关失信记录已失效，投标人需提供相关证明资料。</w:t>
            </w:r>
          </w:p>
        </w:tc>
      </w:tr>
      <w:tr w14:paraId="1A64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580787FB">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25FC4838">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olor w:val="auto"/>
                <w:szCs w:val="21"/>
                <w:highlight w:val="none"/>
              </w:rPr>
              <w:t>报价人须提供投标截止日前6个月内任意1个月依法缴纳税收的证明材料及无欠税的证明材料。如依法免税的，须提供相应证明材料（</w:t>
            </w:r>
            <w:r>
              <w:rPr>
                <w:rFonts w:hint="eastAsia" w:ascii="宋体" w:hAnsi="宋体"/>
                <w:b/>
                <w:bCs/>
                <w:color w:val="auto"/>
                <w:szCs w:val="21"/>
                <w:highlight w:val="none"/>
              </w:rPr>
              <w:t>提供依法缴纳税收的证明材料及无欠税的证明材料，</w:t>
            </w:r>
            <w:r>
              <w:rPr>
                <w:rFonts w:hint="eastAsia" w:ascii="宋体" w:hAnsi="宋体"/>
                <w:b/>
                <w:bCs/>
                <w:color w:val="auto"/>
                <w:szCs w:val="21"/>
                <w:highlight w:val="none"/>
                <w:lang w:val="en-US" w:eastAsia="zh-CN"/>
              </w:rPr>
              <w:t>详见附件</w:t>
            </w:r>
            <w:r>
              <w:rPr>
                <w:rFonts w:hint="eastAsia" w:ascii="宋体" w:hAnsi="宋体"/>
                <w:color w:val="auto"/>
                <w:szCs w:val="21"/>
                <w:highlight w:val="none"/>
                <w:lang w:eastAsia="zh-CN"/>
              </w:rPr>
              <w:t>，</w:t>
            </w:r>
            <w:r>
              <w:rPr>
                <w:rFonts w:hint="eastAsia" w:ascii="宋体" w:hAnsi="宋体"/>
                <w:color w:val="auto"/>
                <w:szCs w:val="21"/>
                <w:highlight w:val="none"/>
              </w:rPr>
              <w:t>证明材料须加盖公章）。</w:t>
            </w:r>
          </w:p>
        </w:tc>
      </w:tr>
      <w:tr w14:paraId="7A69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5869C0A0">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0EBF7B79">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（6）</w:t>
            </w:r>
            <w:r>
              <w:rPr>
                <w:rFonts w:hint="eastAsia" w:ascii="宋体" w:hAnsi="宋体"/>
                <w:color w:val="auto"/>
                <w:szCs w:val="21"/>
                <w:highlight w:val="none"/>
              </w:rPr>
              <w:t>未被列入东实环境及下属企业相关领域黑名单</w:t>
            </w:r>
            <w:r>
              <w:rPr>
                <w:rFonts w:hint="eastAsia" w:ascii="宋体" w:hAnsi="宋体"/>
                <w:color w:val="auto"/>
                <w:szCs w:val="21"/>
                <w:highlight w:val="none"/>
                <w:lang w:eastAsia="zh-CN"/>
              </w:rPr>
              <w:t>。</w:t>
            </w:r>
          </w:p>
        </w:tc>
      </w:tr>
      <w:tr w14:paraId="606D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2234B79F">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43CA12BC">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w:t>
            </w:r>
            <w:r>
              <w:rPr>
                <w:rFonts w:hint="eastAsia" w:ascii="宋体" w:hAnsi="宋体"/>
                <w:color w:val="auto"/>
                <w:szCs w:val="21"/>
                <w:highlight w:val="none"/>
              </w:rPr>
              <w:t>本项目不接受联合体投标</w:t>
            </w:r>
            <w:r>
              <w:rPr>
                <w:rFonts w:hint="eastAsia" w:ascii="宋体" w:hAnsi="宋体" w:cs="宋体"/>
                <w:color w:val="auto"/>
                <w:szCs w:val="21"/>
                <w:highlight w:val="none"/>
              </w:rPr>
              <w:t>。</w:t>
            </w:r>
          </w:p>
        </w:tc>
      </w:tr>
      <w:tr w14:paraId="3106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vMerge w:val="continue"/>
            <w:tcBorders>
              <w:left w:val="single" w:color="auto" w:sz="4" w:space="0"/>
              <w:right w:val="single" w:color="auto" w:sz="4" w:space="0"/>
              <w:tl2br w:val="nil"/>
              <w:tr2bl w:val="nil"/>
            </w:tcBorders>
            <w:vAlign w:val="center"/>
          </w:tcPr>
          <w:p w14:paraId="3D7F341A">
            <w:pPr>
              <w:keepNext w:val="0"/>
              <w:keepLines w:val="0"/>
              <w:pageBreakBefore w:val="0"/>
              <w:widowControl/>
              <w:tabs>
                <w:tab w:val="left" w:pos="176"/>
                <w:tab w:val="left" w:pos="420"/>
                <w:tab w:val="left" w:pos="612"/>
              </w:tabs>
              <w:kinsoku/>
              <w:wordWrap/>
              <w:overflowPunct/>
              <w:topLinePunct w:val="0"/>
              <w:autoSpaceDE/>
              <w:autoSpaceDN/>
              <w:bidi w:val="0"/>
              <w:adjustRightInd w:val="0"/>
              <w:snapToGrid w:val="0"/>
              <w:spacing w:line="240" w:lineRule="auto"/>
              <w:ind w:left="0"/>
              <w:jc w:val="center"/>
              <w:rPr>
                <w:rFonts w:ascii="宋体" w:hAnsi="宋体" w:cs="宋体"/>
                <w:color w:val="auto"/>
                <w:szCs w:val="21"/>
                <w:highlight w:val="none"/>
              </w:rPr>
            </w:pP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28137A04">
            <w:pPr>
              <w:keepNext w:val="0"/>
              <w:keepLines w:val="0"/>
              <w:pageBreakBefore w:val="0"/>
              <w:widowControl/>
              <w:tabs>
                <w:tab w:val="left" w:pos="612"/>
              </w:tabs>
              <w:kinsoku/>
              <w:wordWrap/>
              <w:overflowPunct/>
              <w:topLinePunct w:val="0"/>
              <w:autoSpaceDE/>
              <w:autoSpaceDN/>
              <w:bidi w:val="0"/>
              <w:adjustRightInd w:val="0"/>
              <w:snapToGrid w:val="0"/>
              <w:spacing w:line="240" w:lineRule="auto"/>
              <w:ind w:left="0"/>
              <w:jc w:val="both"/>
              <w:rPr>
                <w:rFonts w:hint="eastAsia" w:ascii="宋体" w:hAnsi="宋体" w:cs="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）投标人必须持有在有效期内的《道路运输经营许可证》，经营范围需涵盖“危险货物运输”，提供许可证复印件并加盖公章。</w:t>
            </w:r>
          </w:p>
        </w:tc>
      </w:tr>
      <w:tr w14:paraId="11AB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48624278">
            <w:pPr>
              <w:keepNext w:val="0"/>
              <w:keepLines w:val="0"/>
              <w:pageBreakBefore w:val="0"/>
              <w:widowControl/>
              <w:numPr>
                <w:ilvl w:val="0"/>
                <w:numId w:val="0"/>
              </w:numPr>
              <w:tabs>
                <w:tab w:val="center" w:pos="241"/>
                <w:tab w:val="left" w:pos="612"/>
              </w:tabs>
              <w:kinsoku/>
              <w:wordWrap/>
              <w:overflowPunct/>
              <w:topLinePunct w:val="0"/>
              <w:autoSpaceDE/>
              <w:autoSpaceDN/>
              <w:bidi w:val="0"/>
              <w:adjustRightInd w:val="0"/>
              <w:snapToGrid w:val="0"/>
              <w:spacing w:line="240" w:lineRule="auto"/>
              <w:ind w:left="0" w:leftChars="0"/>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7E7455FF">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投标人按照采购文件要求提交投标保证金；</w:t>
            </w:r>
          </w:p>
        </w:tc>
      </w:tr>
      <w:tr w14:paraId="59F5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3790948E">
            <w:pPr>
              <w:keepNext w:val="0"/>
              <w:keepLines w:val="0"/>
              <w:pageBreakBefore w:val="0"/>
              <w:widowControl/>
              <w:numPr>
                <w:ilvl w:val="0"/>
                <w:numId w:val="0"/>
              </w:numPr>
              <w:tabs>
                <w:tab w:val="left" w:pos="612"/>
              </w:tabs>
              <w:kinsoku/>
              <w:wordWrap/>
              <w:overflowPunct/>
              <w:topLinePunct w:val="0"/>
              <w:autoSpaceDE/>
              <w:autoSpaceDN/>
              <w:bidi w:val="0"/>
              <w:adjustRightInd w:val="0"/>
              <w:snapToGrid w:val="0"/>
              <w:spacing w:line="240" w:lineRule="auto"/>
              <w:ind w:left="0" w:leftChars="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0E67DE2C">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rPr>
            </w:pPr>
            <w:r>
              <w:rPr>
                <w:rFonts w:hint="eastAsia" w:ascii="宋体" w:hAnsi="宋体" w:cs="宋体"/>
                <w:color w:val="auto"/>
                <w:szCs w:val="21"/>
                <w:highlight w:val="none"/>
                <w:lang w:bidi="ar"/>
              </w:rPr>
              <w:t>投标文件按照采购文件要求签署盖章；</w:t>
            </w:r>
          </w:p>
        </w:tc>
      </w:tr>
      <w:tr w14:paraId="17E3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00302D65">
            <w:pPr>
              <w:keepNext w:val="0"/>
              <w:keepLines w:val="0"/>
              <w:pageBreakBefore w:val="0"/>
              <w:widowControl/>
              <w:numPr>
                <w:ilvl w:val="0"/>
                <w:numId w:val="0"/>
              </w:numPr>
              <w:tabs>
                <w:tab w:val="left" w:pos="176"/>
                <w:tab w:val="left" w:pos="612"/>
              </w:tabs>
              <w:kinsoku/>
              <w:wordWrap/>
              <w:overflowPunct/>
              <w:topLinePunct w:val="0"/>
              <w:autoSpaceDE/>
              <w:autoSpaceDN/>
              <w:bidi w:val="0"/>
              <w:adjustRightInd w:val="0"/>
              <w:snapToGrid w:val="0"/>
              <w:spacing w:line="240" w:lineRule="auto"/>
              <w:ind w:left="0" w:leftChars="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3176A4E9">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rPr>
            </w:pPr>
            <w:r>
              <w:rPr>
                <w:rFonts w:hint="eastAsia" w:ascii="宋体" w:hAnsi="宋体" w:cs="宋体"/>
                <w:color w:val="auto"/>
                <w:szCs w:val="21"/>
                <w:highlight w:val="none"/>
                <w:lang w:bidi="ar"/>
              </w:rPr>
              <w:t>投标</w:t>
            </w:r>
            <w:r>
              <w:rPr>
                <w:rFonts w:hint="eastAsia" w:ascii="宋体" w:hAnsi="宋体" w:cs="宋体"/>
                <w:color w:val="auto"/>
                <w:szCs w:val="21"/>
                <w:highlight w:val="none"/>
                <w:lang w:val="en-US" w:eastAsia="zh-CN" w:bidi="ar"/>
              </w:rPr>
              <w:t>单价未超过单价限价；</w:t>
            </w:r>
          </w:p>
        </w:tc>
      </w:tr>
      <w:tr w14:paraId="57CC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35CBFD45">
            <w:pPr>
              <w:keepNext w:val="0"/>
              <w:keepLines w:val="0"/>
              <w:pageBreakBefore w:val="0"/>
              <w:widowControl/>
              <w:tabs>
                <w:tab w:val="left" w:pos="176"/>
                <w:tab w:val="left" w:pos="612"/>
              </w:tabs>
              <w:kinsoku/>
              <w:wordWrap/>
              <w:overflowPunct/>
              <w:topLinePunct w:val="0"/>
              <w:autoSpaceDE/>
              <w:autoSpaceDN/>
              <w:bidi w:val="0"/>
              <w:adjustRightInd w:val="0"/>
              <w:snapToGrid w:val="0"/>
              <w:spacing w:line="240" w:lineRule="auto"/>
              <w:ind w:left="0"/>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1B6AC85B">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投标文件未含有采购人不能接受的附加条件；</w:t>
            </w:r>
          </w:p>
        </w:tc>
      </w:tr>
      <w:tr w14:paraId="7B1C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014C6395">
            <w:pPr>
              <w:keepNext w:val="0"/>
              <w:keepLines w:val="0"/>
              <w:pageBreakBefore w:val="0"/>
              <w:widowControl/>
              <w:tabs>
                <w:tab w:val="left" w:pos="176"/>
                <w:tab w:val="left" w:pos="612"/>
              </w:tabs>
              <w:kinsoku/>
              <w:wordWrap/>
              <w:overflowPunct/>
              <w:topLinePunct w:val="0"/>
              <w:autoSpaceDE/>
              <w:autoSpaceDN/>
              <w:bidi w:val="0"/>
              <w:adjustRightInd w:val="0"/>
              <w:snapToGrid w:val="0"/>
              <w:spacing w:line="240" w:lineRule="auto"/>
              <w:ind w:left="0" w:firstLine="210" w:firstLineChars="100"/>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687F52AB">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14:paraId="313F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 w:type="pct"/>
            <w:tcBorders>
              <w:top w:val="single" w:color="auto" w:sz="4" w:space="0"/>
              <w:left w:val="single" w:color="auto" w:sz="4" w:space="0"/>
              <w:bottom w:val="single" w:color="auto" w:sz="4" w:space="0"/>
              <w:right w:val="single" w:color="auto" w:sz="4" w:space="0"/>
              <w:tl2br w:val="nil"/>
              <w:tr2bl w:val="nil"/>
            </w:tcBorders>
            <w:vAlign w:val="center"/>
          </w:tcPr>
          <w:p w14:paraId="0177E204">
            <w:pPr>
              <w:keepNext w:val="0"/>
              <w:keepLines w:val="0"/>
              <w:pageBreakBefore w:val="0"/>
              <w:widowControl/>
              <w:tabs>
                <w:tab w:val="left" w:pos="176"/>
                <w:tab w:val="left" w:pos="612"/>
              </w:tabs>
              <w:kinsoku/>
              <w:wordWrap/>
              <w:overflowPunct/>
              <w:topLinePunct w:val="0"/>
              <w:autoSpaceDE/>
              <w:autoSpaceDN/>
              <w:bidi w:val="0"/>
              <w:adjustRightInd w:val="0"/>
              <w:snapToGrid w:val="0"/>
              <w:spacing w:line="240" w:lineRule="auto"/>
              <w:ind w:left="0" w:firstLine="210" w:firstLineChars="100"/>
              <w:jc w:val="both"/>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4589" w:type="pct"/>
            <w:tcBorders>
              <w:top w:val="single" w:color="auto" w:sz="4" w:space="0"/>
              <w:left w:val="single" w:color="auto" w:sz="4" w:space="0"/>
              <w:bottom w:val="single" w:color="auto" w:sz="4" w:space="0"/>
              <w:right w:val="single" w:color="auto" w:sz="4" w:space="0"/>
              <w:tl2br w:val="nil"/>
              <w:tr2bl w:val="nil"/>
            </w:tcBorders>
            <w:vAlign w:val="center"/>
          </w:tcPr>
          <w:p w14:paraId="242C37A3">
            <w:pPr>
              <w:keepNext w:val="0"/>
              <w:keepLines w:val="0"/>
              <w:pageBreakBefore w:val="0"/>
              <w:widowControl/>
              <w:kinsoku/>
              <w:wordWrap/>
              <w:overflowPunct/>
              <w:topLinePunct w:val="0"/>
              <w:autoSpaceDE/>
              <w:autoSpaceDN/>
              <w:bidi w:val="0"/>
              <w:adjustRightInd w:val="0"/>
              <w:snapToGrid w:val="0"/>
              <w:spacing w:line="240" w:lineRule="auto"/>
              <w:ind w:left="0"/>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法律、法规和招标文件规定的其他无效情形。</w:t>
            </w:r>
          </w:p>
        </w:tc>
      </w:tr>
    </w:tbl>
    <w:p w14:paraId="55879925">
      <w:pPr>
        <w:widowControl w:val="0"/>
        <w:overflowPunct w:val="0"/>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以上资格性、符合性审查中带有不合格分项的投标文件，将作无效标处理。经评标委员会确认的无效投标文件，采购人和采购代理机构将予以拒绝，并且不允许通过修正或撤</w:t>
      </w:r>
      <w:r>
        <w:rPr>
          <w:rFonts w:hint="eastAsia" w:ascii="宋体" w:hAnsi="宋体"/>
          <w:color w:val="auto"/>
          <w:szCs w:val="21"/>
          <w:highlight w:val="none"/>
          <w:lang w:val="en-US" w:eastAsia="zh-CN"/>
        </w:rPr>
        <w:t>销</w:t>
      </w:r>
      <w:r>
        <w:rPr>
          <w:rFonts w:hint="eastAsia" w:ascii="宋体" w:hAnsi="宋体"/>
          <w:color w:val="auto"/>
          <w:szCs w:val="21"/>
          <w:highlight w:val="none"/>
        </w:rPr>
        <w:t>其不符合要求的差异，使之成为具有符合性的投标文件。经评标委员会资格性、符合性审查确认具有有效投标文件的投标人不足三家时将重新组织采购</w:t>
      </w:r>
    </w:p>
    <w:p w14:paraId="090F9257">
      <w:pPr>
        <w:widowControl w:val="0"/>
        <w:numPr>
          <w:ilvl w:val="1"/>
          <w:numId w:val="4"/>
        </w:numPr>
        <w:overflowPunct w:val="0"/>
        <w:rPr>
          <w:rFonts w:ascii="宋体" w:hAnsi="宋体" w:cs="宋体"/>
          <w:b/>
          <w:bCs/>
          <w:color w:val="auto"/>
          <w:szCs w:val="21"/>
          <w:highlight w:val="none"/>
        </w:rPr>
      </w:pPr>
      <w:r>
        <w:rPr>
          <w:rFonts w:hint="eastAsia" w:ascii="宋体" w:hAnsi="宋体" w:cs="宋体"/>
          <w:b/>
          <w:bCs/>
          <w:color w:val="auto"/>
          <w:szCs w:val="21"/>
          <w:highlight w:val="none"/>
        </w:rPr>
        <w:t>投标文件报价出现前后不一致的，评标委员会按照下列规定修正：</w:t>
      </w:r>
    </w:p>
    <w:p w14:paraId="6DAEB44A">
      <w:pPr>
        <w:widowControl w:val="0"/>
        <w:numPr>
          <w:ilvl w:val="0"/>
          <w:numId w:val="7"/>
        </w:numPr>
        <w:overflowPunct w:val="0"/>
        <w:rPr>
          <w:rFonts w:ascii="宋体" w:hAnsi="宋体" w:cs="宋体"/>
          <w:color w:val="auto"/>
          <w:szCs w:val="21"/>
          <w:highlight w:val="none"/>
        </w:rPr>
      </w:pPr>
      <w:r>
        <w:rPr>
          <w:rFonts w:hint="eastAsia" w:ascii="宋体" w:hAnsi="宋体" w:cs="宋体"/>
          <w:color w:val="auto"/>
          <w:szCs w:val="21"/>
          <w:highlight w:val="none"/>
        </w:rPr>
        <w:t>投标文件中开标一览表（报价表）内容与投标文件中相应内容不一致的，以开标一览表（报价表）为准；</w:t>
      </w:r>
    </w:p>
    <w:p w14:paraId="4BD9D710">
      <w:pPr>
        <w:widowControl w:val="0"/>
        <w:numPr>
          <w:ilvl w:val="0"/>
          <w:numId w:val="7"/>
        </w:numPr>
        <w:overflowPunct w:val="0"/>
        <w:rPr>
          <w:rFonts w:ascii="宋体" w:hAnsi="宋体" w:cs="宋体"/>
          <w:color w:val="auto"/>
          <w:szCs w:val="21"/>
          <w:highlight w:val="none"/>
        </w:rPr>
      </w:pPr>
      <w:r>
        <w:rPr>
          <w:rFonts w:hint="eastAsia" w:ascii="宋体" w:hAnsi="宋体" w:cs="宋体"/>
          <w:color w:val="auto"/>
          <w:szCs w:val="21"/>
          <w:highlight w:val="none"/>
        </w:rPr>
        <w:t>大写金额和小写金额不一致的，以大写金额为准；</w:t>
      </w:r>
    </w:p>
    <w:p w14:paraId="37DB3578">
      <w:pPr>
        <w:widowControl w:val="0"/>
        <w:numPr>
          <w:ilvl w:val="0"/>
          <w:numId w:val="7"/>
        </w:numPr>
        <w:overflowPunct w:val="0"/>
        <w:rPr>
          <w:rFonts w:ascii="宋体" w:hAnsi="宋体" w:cs="宋体"/>
          <w:color w:val="auto"/>
          <w:szCs w:val="21"/>
          <w:highlight w:val="none"/>
        </w:rPr>
      </w:pPr>
      <w:r>
        <w:rPr>
          <w:rFonts w:hint="eastAsia" w:ascii="宋体" w:hAnsi="宋体" w:cs="宋体"/>
          <w:color w:val="auto"/>
          <w:szCs w:val="21"/>
          <w:highlight w:val="none"/>
        </w:rPr>
        <w:t>单价金额小数点或者百分比有明显错位的，</w:t>
      </w:r>
      <w:r>
        <w:rPr>
          <w:rFonts w:hint="eastAsia"/>
          <w:color w:val="auto"/>
          <w:highlight w:val="none"/>
          <w:lang w:val="en-US" w:eastAsia="zh-CN"/>
        </w:rPr>
        <w:t>以清单报价为准，并修正总价</w:t>
      </w:r>
      <w:r>
        <w:rPr>
          <w:rFonts w:hint="eastAsia" w:ascii="宋体" w:hAnsi="宋体" w:cs="宋体"/>
          <w:color w:val="auto"/>
          <w:szCs w:val="21"/>
          <w:highlight w:val="none"/>
        </w:rPr>
        <w:t>；</w:t>
      </w:r>
    </w:p>
    <w:p w14:paraId="67AC9D37">
      <w:pPr>
        <w:widowControl w:val="0"/>
        <w:numPr>
          <w:ilvl w:val="0"/>
          <w:numId w:val="7"/>
        </w:numPr>
        <w:overflowPunct w:val="0"/>
        <w:rPr>
          <w:rFonts w:ascii="宋体" w:hAnsi="宋体" w:cs="宋体"/>
          <w:color w:val="auto"/>
          <w:szCs w:val="21"/>
          <w:highlight w:val="none"/>
        </w:rPr>
      </w:pPr>
      <w:r>
        <w:rPr>
          <w:rFonts w:hint="eastAsia" w:ascii="宋体" w:hAnsi="宋体" w:cs="宋体"/>
          <w:color w:val="auto"/>
          <w:szCs w:val="21"/>
          <w:highlight w:val="none"/>
        </w:rPr>
        <w:t>总价金额与按单价汇总金额不一致的，以单价金额计算结果为准。</w:t>
      </w:r>
    </w:p>
    <w:p w14:paraId="7A0DD56F">
      <w:pPr>
        <w:widowControl w:val="0"/>
        <w:numPr>
          <w:ilvl w:val="0"/>
          <w:numId w:val="7"/>
        </w:numPr>
        <w:overflowPunct w:val="0"/>
        <w:rPr>
          <w:rFonts w:ascii="宋体" w:hAnsi="宋体" w:cs="宋体"/>
          <w:color w:val="auto"/>
          <w:szCs w:val="21"/>
          <w:highlight w:val="none"/>
        </w:rPr>
      </w:pPr>
      <w:r>
        <w:rPr>
          <w:rFonts w:hint="eastAsia" w:ascii="宋体" w:hAnsi="宋体" w:cs="宋体"/>
          <w:color w:val="auto"/>
          <w:szCs w:val="21"/>
          <w:highlight w:val="none"/>
        </w:rPr>
        <w:t>同时出现两种以上不一致的，按照前款规定的顺序修正。修正后的报价按照经投标人确认后产生约束力，投标人不确认的，其投标无效。</w:t>
      </w:r>
    </w:p>
    <w:p w14:paraId="0B60154F">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投标人的报价明显低于其他通过符合性审查投标人的报价，有可能影响产品质量或者不能诚信履约的，应当要求其在评标现场合理的时间内提供书面说明（以现场通知时间为准），必要时提交相关证明材料；投标人不能证明其报价合理性的，评标委员会应当将其作为无效投标处理。</w:t>
      </w:r>
    </w:p>
    <w:p w14:paraId="760910B5">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对于投标文件中不构成实质性偏差的不正规、不一致或不规则，评标委员会可以接受，但这种接受不能损害或影响任何投标人的相对排序。</w:t>
      </w:r>
    </w:p>
    <w:p w14:paraId="189E8E33">
      <w:pPr>
        <w:widowControl w:val="0"/>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投标文件是否实质上响应了采购文件的要求。实质上响应的投标应该是与采购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5792E542">
      <w:pPr>
        <w:pStyle w:val="10"/>
        <w:rPr>
          <w:color w:val="auto"/>
          <w:highlight w:val="none"/>
        </w:rPr>
      </w:pPr>
    </w:p>
    <w:p w14:paraId="4C84512A">
      <w:pPr>
        <w:pStyle w:val="6"/>
        <w:widowControl w:val="0"/>
        <w:numPr>
          <w:ilvl w:val="0"/>
          <w:numId w:val="4"/>
        </w:numPr>
        <w:overflowPunct w:val="0"/>
        <w:rPr>
          <w:rFonts w:ascii="宋体" w:hAnsi="宋体" w:cs="宋体"/>
          <w:color w:val="auto"/>
          <w:sz w:val="21"/>
          <w:szCs w:val="21"/>
          <w:highlight w:val="none"/>
        </w:rPr>
      </w:pPr>
      <w:bookmarkStart w:id="175" w:name="_Toc5539"/>
      <w:bookmarkStart w:id="176" w:name="_Toc4799"/>
      <w:r>
        <w:rPr>
          <w:rFonts w:hint="eastAsia" w:ascii="宋体" w:hAnsi="宋体" w:cs="宋体"/>
          <w:color w:val="auto"/>
          <w:sz w:val="21"/>
          <w:szCs w:val="21"/>
          <w:highlight w:val="none"/>
        </w:rPr>
        <w:t>商务、技术、价格评审（具体评审项目详见投标资料表）</w:t>
      </w:r>
      <w:bookmarkEnd w:id="175"/>
      <w:bookmarkEnd w:id="176"/>
    </w:p>
    <w:p w14:paraId="1EC7113B">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采购文件中要求投标人提供的相关资质证书证明材料因国家政策变动导致新旧证书名称不一致，旧证书未取消且新旧证书具有同等效力的，投标人提供新证书与提供在有效期内的旧证书给予同等认可。 </w:t>
      </w:r>
    </w:p>
    <w:p w14:paraId="4620A90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投标文件进行详细评审。评标委员会对每一投标文件进行详细的商务评审、技术评审。按照评审程序的规定和依据评分标准，各位评委就每个投标人的技术、商务状况及其对采购文件要求的响应情况进行评议和比较，评出其技术评分和商务评分。根据采购文件规定评出得分，将价格得分、商务得分、技术得分相加得出最终评标得分。</w:t>
      </w:r>
    </w:p>
    <w:p w14:paraId="03E7AFE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采用综合评</w:t>
      </w:r>
      <w:r>
        <w:rPr>
          <w:rFonts w:hint="eastAsia" w:ascii="宋体" w:hAnsi="宋体" w:cs="宋体"/>
          <w:color w:val="auto"/>
          <w:szCs w:val="21"/>
          <w:highlight w:val="none"/>
        </w:rPr>
        <w:t>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投标人得票数相同时，再次进行投票，如此类推，直到能确定排序次序为止</w:t>
      </w:r>
      <w:r>
        <w:rPr>
          <w:rFonts w:hint="eastAsia" w:ascii="宋体" w:hAnsi="宋体" w:cs="宋体"/>
          <w:color w:val="auto"/>
          <w:szCs w:val="21"/>
          <w:highlight w:val="none"/>
        </w:rPr>
        <w:t>。</w:t>
      </w:r>
    </w:p>
    <w:p w14:paraId="20729C11">
      <w:pPr>
        <w:widowControl w:val="0"/>
        <w:tabs>
          <w:tab w:val="left" w:pos="907"/>
        </w:tabs>
        <w:adjustRightInd/>
        <w:snapToGrid/>
        <w:ind w:left="567"/>
        <w:jc w:val="both"/>
        <w:rPr>
          <w:rFonts w:ascii="宋体" w:hAnsi="宋体" w:cs="宋体"/>
          <w:color w:val="auto"/>
          <w:szCs w:val="21"/>
          <w:highlight w:val="none"/>
        </w:rPr>
      </w:pPr>
    </w:p>
    <w:p w14:paraId="03024BAD">
      <w:pPr>
        <w:pStyle w:val="6"/>
        <w:widowControl w:val="0"/>
        <w:numPr>
          <w:ilvl w:val="0"/>
          <w:numId w:val="4"/>
        </w:numPr>
        <w:overflowPunct w:val="0"/>
        <w:rPr>
          <w:rFonts w:ascii="宋体" w:hAnsi="宋体" w:cs="宋体"/>
          <w:color w:val="auto"/>
          <w:sz w:val="21"/>
          <w:szCs w:val="21"/>
          <w:highlight w:val="none"/>
        </w:rPr>
      </w:pPr>
      <w:bookmarkStart w:id="177" w:name="_Toc316375620"/>
      <w:bookmarkStart w:id="178" w:name="_Toc20328"/>
      <w:bookmarkStart w:id="179" w:name="_Toc382049120"/>
      <w:bookmarkStart w:id="180" w:name="_Toc21663"/>
      <w:bookmarkStart w:id="181" w:name="_Toc4729"/>
      <w:r>
        <w:rPr>
          <w:rFonts w:hint="eastAsia" w:ascii="宋体" w:hAnsi="宋体" w:cs="宋体"/>
          <w:color w:val="auto"/>
          <w:sz w:val="21"/>
          <w:szCs w:val="21"/>
          <w:highlight w:val="none"/>
        </w:rPr>
        <w:t>纪律和保密</w:t>
      </w:r>
      <w:bookmarkEnd w:id="177"/>
      <w:r>
        <w:rPr>
          <w:rFonts w:hint="eastAsia" w:ascii="宋体" w:hAnsi="宋体" w:cs="宋体"/>
          <w:color w:val="auto"/>
          <w:sz w:val="21"/>
          <w:szCs w:val="21"/>
          <w:highlight w:val="none"/>
        </w:rPr>
        <w:t>事项</w:t>
      </w:r>
      <w:bookmarkEnd w:id="178"/>
      <w:bookmarkEnd w:id="179"/>
      <w:bookmarkEnd w:id="180"/>
      <w:bookmarkEnd w:id="181"/>
    </w:p>
    <w:p w14:paraId="37C5C5A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01B8204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投标人不得串通作弊，以不正当的手段妨碍、排挤其他投标人，扰乱采购市场，破坏公平竞争原则。否则将按相关法律规定严肃处理。</w:t>
      </w:r>
    </w:p>
    <w:p w14:paraId="105B77F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获得本采购文件的投标人，应对文件进行保密，不得用作本次投标以外的任何用途。开标后，投标人应归还采购文件中要求保密的文件和资料。</w:t>
      </w:r>
    </w:p>
    <w:p w14:paraId="53B7B7E7">
      <w:pPr>
        <w:rPr>
          <w:rFonts w:ascii="宋体" w:hAnsi="宋体" w:cs="宋体"/>
          <w:color w:val="auto"/>
          <w:highlight w:val="none"/>
        </w:rPr>
      </w:pPr>
    </w:p>
    <w:p w14:paraId="5BD4E038">
      <w:pPr>
        <w:pStyle w:val="5"/>
        <w:numPr>
          <w:ilvl w:val="0"/>
          <w:numId w:val="3"/>
        </w:numPr>
        <w:spacing w:before="0" w:after="0" w:line="360" w:lineRule="auto"/>
        <w:jc w:val="center"/>
        <w:rPr>
          <w:rFonts w:ascii="宋体" w:hAnsi="宋体" w:cs="宋体"/>
          <w:color w:val="auto"/>
          <w:highlight w:val="none"/>
        </w:rPr>
      </w:pPr>
      <w:bookmarkStart w:id="182" w:name="_Toc5868"/>
      <w:bookmarkStart w:id="183" w:name="_Toc1109"/>
      <w:r>
        <w:rPr>
          <w:rFonts w:hint="eastAsia" w:ascii="宋体" w:hAnsi="宋体" w:cs="宋体"/>
          <w:color w:val="auto"/>
          <w:highlight w:val="none"/>
        </w:rPr>
        <w:t>授予合同</w:t>
      </w:r>
      <w:bookmarkEnd w:id="182"/>
      <w:bookmarkEnd w:id="183"/>
    </w:p>
    <w:p w14:paraId="67ACA2A2">
      <w:pPr>
        <w:pStyle w:val="6"/>
        <w:widowControl w:val="0"/>
        <w:numPr>
          <w:ilvl w:val="0"/>
          <w:numId w:val="4"/>
        </w:numPr>
        <w:overflowPunct w:val="0"/>
        <w:rPr>
          <w:rFonts w:ascii="宋体" w:hAnsi="宋体" w:cs="宋体"/>
          <w:color w:val="auto"/>
          <w:sz w:val="21"/>
          <w:szCs w:val="21"/>
          <w:highlight w:val="none"/>
        </w:rPr>
      </w:pPr>
      <w:bookmarkStart w:id="184" w:name="_Toc508284011"/>
      <w:bookmarkStart w:id="185" w:name="_Toc7454"/>
      <w:bookmarkStart w:id="186" w:name="_Toc22623"/>
      <w:r>
        <w:rPr>
          <w:rFonts w:hint="eastAsia" w:ascii="宋体" w:hAnsi="宋体" w:cs="宋体"/>
          <w:color w:val="auto"/>
          <w:sz w:val="21"/>
          <w:szCs w:val="21"/>
          <w:highlight w:val="none"/>
        </w:rPr>
        <w:t>合同授予标准</w:t>
      </w:r>
      <w:bookmarkEnd w:id="184"/>
      <w:bookmarkEnd w:id="185"/>
      <w:bookmarkEnd w:id="186"/>
    </w:p>
    <w:p w14:paraId="58A3068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根据评标委员会的评审结果，采购人按照评审报告推荐的中标候选人中按顺序依法确定</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w:t>
      </w:r>
    </w:p>
    <w:p w14:paraId="08EB631E">
      <w:pPr>
        <w:rPr>
          <w:rFonts w:ascii="宋体" w:hAnsi="宋体" w:cs="宋体"/>
          <w:color w:val="auto"/>
          <w:highlight w:val="none"/>
        </w:rPr>
      </w:pPr>
    </w:p>
    <w:p w14:paraId="21451822">
      <w:pPr>
        <w:pStyle w:val="6"/>
        <w:widowControl w:val="0"/>
        <w:numPr>
          <w:ilvl w:val="0"/>
          <w:numId w:val="4"/>
        </w:numPr>
        <w:overflowPunct w:val="0"/>
        <w:rPr>
          <w:rFonts w:ascii="宋体" w:hAnsi="宋体" w:cs="宋体"/>
          <w:color w:val="auto"/>
          <w:sz w:val="21"/>
          <w:szCs w:val="21"/>
          <w:highlight w:val="none"/>
        </w:rPr>
      </w:pPr>
      <w:bookmarkStart w:id="187" w:name="_Toc10545"/>
      <w:bookmarkStart w:id="188" w:name="_Toc659"/>
      <w:bookmarkStart w:id="189" w:name="_Toc508284013"/>
      <w:r>
        <w:rPr>
          <w:rFonts w:hint="eastAsia" w:ascii="宋体" w:hAnsi="宋体" w:cs="宋体"/>
          <w:color w:val="auto"/>
          <w:sz w:val="21"/>
          <w:szCs w:val="21"/>
          <w:highlight w:val="none"/>
        </w:rPr>
        <w:t>发布中标结果</w:t>
      </w:r>
      <w:bookmarkEnd w:id="187"/>
      <w:bookmarkEnd w:id="188"/>
      <w:bookmarkEnd w:id="189"/>
    </w:p>
    <w:p w14:paraId="18269F0B">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评标委员会提出评标书面报告和推荐中标意见报采购人确认后，采购代理机构将在指定的信息发布媒体上发布公告。</w:t>
      </w:r>
    </w:p>
    <w:p w14:paraId="229CF055">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中标公告期限为3个日历日。</w:t>
      </w:r>
    </w:p>
    <w:p w14:paraId="531A970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《中标通知书》是合同的一个组成部分，《中标通知书》对采购人和</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均具有同等法律效力。</w:t>
      </w:r>
    </w:p>
    <w:p w14:paraId="07CC808F">
      <w:pPr>
        <w:widowControl w:val="0"/>
        <w:tabs>
          <w:tab w:val="left" w:pos="907"/>
        </w:tabs>
        <w:adjustRightInd/>
        <w:snapToGrid/>
        <w:jc w:val="both"/>
        <w:rPr>
          <w:rFonts w:ascii="宋体" w:hAnsi="宋体" w:cs="宋体"/>
          <w:color w:val="auto"/>
          <w:szCs w:val="21"/>
          <w:highlight w:val="none"/>
        </w:rPr>
      </w:pPr>
    </w:p>
    <w:p w14:paraId="36BD58B9">
      <w:pPr>
        <w:pStyle w:val="6"/>
        <w:widowControl w:val="0"/>
        <w:numPr>
          <w:ilvl w:val="0"/>
          <w:numId w:val="4"/>
        </w:numPr>
        <w:overflowPunct w:val="0"/>
        <w:rPr>
          <w:rFonts w:ascii="宋体" w:hAnsi="宋体" w:cs="宋体"/>
          <w:color w:val="auto"/>
          <w:sz w:val="21"/>
          <w:szCs w:val="21"/>
          <w:highlight w:val="none"/>
        </w:rPr>
      </w:pPr>
      <w:bookmarkStart w:id="190" w:name="_Toc11420"/>
      <w:bookmarkStart w:id="191" w:name="_Toc4617"/>
      <w:r>
        <w:rPr>
          <w:rFonts w:hint="eastAsia" w:ascii="宋体" w:hAnsi="宋体" w:cs="宋体"/>
          <w:color w:val="auto"/>
          <w:sz w:val="21"/>
          <w:szCs w:val="21"/>
          <w:highlight w:val="none"/>
        </w:rPr>
        <w:t>资格后审</w:t>
      </w:r>
      <w:bookmarkEnd w:id="190"/>
      <w:bookmarkEnd w:id="191"/>
    </w:p>
    <w:p w14:paraId="25CE8FED">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采购人将有权根据本文件中的要求，对评委会推荐的中标候选人进行资格后审。</w:t>
      </w:r>
    </w:p>
    <w:p w14:paraId="4F1215B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中标候选人须无条件配合资格后审，否则采购人有权取消其中标资格，且投标保证金可不予退还。</w:t>
      </w:r>
    </w:p>
    <w:p w14:paraId="75F55824">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资格后审须提供包括但不限于营业执照、税务登记证和在投标文件中提供的资质证明文件、业绩等重要证明文件的原件进行核对，综合考察</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的履约能力。如采购人要求还须提供业绩证明的其他材料,中标候选人须配合提供。如授权其分支机构进行项目实施或提供售后服务的，亦应提供其与分支机构关系的法律证明材料。</w:t>
      </w:r>
    </w:p>
    <w:p w14:paraId="295947D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如发现中标候选人以他人名义投标或者以其他方式弄虚作假，骗取中标的，采购人有权取消其中标资格，且投标保证金可不予退还；给采购人造成损失的，应依法承担赔偿责任。</w:t>
      </w:r>
    </w:p>
    <w:p w14:paraId="100349DF">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采购人有权审查中标候选人是否具备履行合同的能力，包括但不限于对其规模、人员、场地、生产能力、供货能力等方面的核实或现场考察。如果审查通过，采购人将把合同授予该</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；如果审查没有通过，采购人有权取消其中标资格，且投标保证金可不予退还，并依次审查下一名中标候选人是否具备履行合同的能力或重新采购。</w:t>
      </w:r>
    </w:p>
    <w:p w14:paraId="4FBD8801">
      <w:pPr>
        <w:rPr>
          <w:rFonts w:ascii="宋体" w:hAnsi="宋体" w:cs="宋体"/>
          <w:color w:val="auto"/>
          <w:highlight w:val="none"/>
        </w:rPr>
      </w:pPr>
    </w:p>
    <w:p w14:paraId="47E32476">
      <w:pPr>
        <w:pStyle w:val="6"/>
        <w:widowControl w:val="0"/>
        <w:numPr>
          <w:ilvl w:val="0"/>
          <w:numId w:val="4"/>
        </w:numPr>
        <w:overflowPunct w:val="0"/>
        <w:rPr>
          <w:rFonts w:ascii="宋体" w:hAnsi="宋体" w:cs="宋体"/>
          <w:color w:val="auto"/>
          <w:sz w:val="21"/>
          <w:szCs w:val="21"/>
          <w:highlight w:val="none"/>
        </w:rPr>
      </w:pPr>
      <w:bookmarkStart w:id="192" w:name="_Toc27302"/>
      <w:bookmarkStart w:id="193" w:name="_Toc27736"/>
      <w:r>
        <w:rPr>
          <w:rFonts w:hint="eastAsia" w:ascii="宋体" w:hAnsi="宋体" w:cs="宋体"/>
          <w:color w:val="auto"/>
          <w:sz w:val="21"/>
          <w:szCs w:val="21"/>
          <w:highlight w:val="none"/>
        </w:rPr>
        <w:t>合同的签订与履行</w:t>
      </w:r>
      <w:bookmarkEnd w:id="192"/>
      <w:bookmarkEnd w:id="193"/>
    </w:p>
    <w:p w14:paraId="694AADD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应当自采购人发出中标通知书之日起30日内，按照采购文件和</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投标文件的规定，与采购人签订书面合同，否则采购人有权取消其中标资格。所签订的合同不得对采购文件确定的事项和</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投标文件作实质性修改。在合同签订时，应注意合同中约定的工期开始时间不得早于合同签订时间。</w:t>
      </w:r>
    </w:p>
    <w:p w14:paraId="23CE219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采购人与</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应当根据合同的约定依法履行合同义务。</w:t>
      </w:r>
    </w:p>
    <w:p w14:paraId="26B1B7B1">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14:paraId="190AB15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在评审结束当天至合同履行结束，若因不可抗力的因素（如国家出台新法律法规等）造成投标人资质的变动，投标人应以纸质版形式通知采购人。若资质变动导致</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不再具备履行合同资质要求，采购人有权中止合同。</w:t>
      </w:r>
    </w:p>
    <w:p w14:paraId="3D4E4335">
      <w:pPr>
        <w:widowControl w:val="0"/>
        <w:tabs>
          <w:tab w:val="left" w:pos="907"/>
        </w:tabs>
        <w:adjustRightInd/>
        <w:snapToGrid/>
        <w:jc w:val="both"/>
        <w:rPr>
          <w:rFonts w:ascii="宋体" w:hAnsi="宋体" w:cs="宋体"/>
          <w:color w:val="auto"/>
          <w:highlight w:val="none"/>
        </w:rPr>
      </w:pPr>
    </w:p>
    <w:p w14:paraId="43B135E5">
      <w:pPr>
        <w:pStyle w:val="6"/>
        <w:widowControl w:val="0"/>
        <w:numPr>
          <w:ilvl w:val="0"/>
          <w:numId w:val="4"/>
        </w:numPr>
        <w:overflowPunct w:val="0"/>
        <w:rPr>
          <w:rFonts w:ascii="宋体" w:hAnsi="宋体" w:cs="宋体"/>
          <w:color w:val="auto"/>
          <w:sz w:val="21"/>
          <w:szCs w:val="21"/>
          <w:highlight w:val="none"/>
        </w:rPr>
      </w:pPr>
      <w:bookmarkStart w:id="194" w:name="_Toc303084277"/>
      <w:bookmarkStart w:id="195" w:name="_Toc382049124"/>
      <w:bookmarkStart w:id="196" w:name="_Toc29009"/>
      <w:bookmarkStart w:id="197" w:name="_Toc6617"/>
      <w:bookmarkStart w:id="198" w:name="_Toc10948"/>
      <w:r>
        <w:rPr>
          <w:rFonts w:hint="eastAsia" w:ascii="宋体" w:hAnsi="宋体" w:cs="宋体"/>
          <w:color w:val="auto"/>
          <w:sz w:val="21"/>
          <w:szCs w:val="21"/>
          <w:highlight w:val="none"/>
        </w:rPr>
        <w:t>履约</w:t>
      </w:r>
      <w:bookmarkEnd w:id="194"/>
      <w:bookmarkEnd w:id="195"/>
      <w:bookmarkEnd w:id="196"/>
      <w:r>
        <w:rPr>
          <w:rFonts w:hint="eastAsia" w:ascii="宋体" w:hAnsi="宋体" w:cs="宋体"/>
          <w:color w:val="auto"/>
          <w:sz w:val="21"/>
          <w:szCs w:val="21"/>
          <w:highlight w:val="none"/>
        </w:rPr>
        <w:t>担保</w:t>
      </w:r>
      <w:bookmarkEnd w:id="197"/>
      <w:bookmarkEnd w:id="198"/>
    </w:p>
    <w:p w14:paraId="0F1F9A41">
      <w:pPr>
        <w:widowControl w:val="0"/>
        <w:numPr>
          <w:ilvl w:val="1"/>
          <w:numId w:val="4"/>
        </w:numPr>
        <w:overflowPunct w:val="0"/>
        <w:rPr>
          <w:rFonts w:hint="eastAsia" w:ascii="宋体" w:hAnsi="宋体" w:cs="宋体"/>
          <w:color w:val="auto"/>
          <w:szCs w:val="21"/>
          <w:highlight w:val="none"/>
        </w:rPr>
      </w:pPr>
      <w:r>
        <w:rPr>
          <w:rFonts w:hint="eastAsia" w:ascii="宋体" w:hAnsi="宋体" w:cs="宋体"/>
          <w:color w:val="auto"/>
          <w:szCs w:val="21"/>
          <w:highlight w:val="none"/>
        </w:rPr>
        <w:t>成交人的投标保证金¥94,000.00元（玖万肆仟元整）在合同签订后自动转为履约保证金，履约保证金作为成交人在履约过程中违约金或罚款的扣罚来源之一，履约保证金返还申请时间为合同期满之日，成交人在没有任何违约的情况下提交退款申请，收到成交人申请后30个日历日内，采购人一次性无息退回。</w:t>
      </w:r>
    </w:p>
    <w:p w14:paraId="69D8D9A6">
      <w:pPr>
        <w:widowControl w:val="0"/>
        <w:numPr>
          <w:ilvl w:val="1"/>
          <w:numId w:val="4"/>
        </w:numPr>
        <w:overflowPunct w:val="0"/>
        <w:rPr>
          <w:rFonts w:hint="eastAsia" w:ascii="宋体" w:hAnsi="宋体" w:cs="宋体"/>
          <w:color w:val="auto"/>
          <w:szCs w:val="21"/>
          <w:highlight w:val="none"/>
        </w:rPr>
      </w:pPr>
      <w:r>
        <w:rPr>
          <w:rFonts w:hint="eastAsia" w:ascii="宋体" w:hAnsi="宋体" w:cs="宋体"/>
          <w:color w:val="auto"/>
          <w:szCs w:val="21"/>
          <w:highlight w:val="none"/>
        </w:rPr>
        <w:t>（1）下列任何情况发生时，采购人有权没收履约保证金：</w:t>
      </w:r>
    </w:p>
    <w:p w14:paraId="13FD45C5">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eastAsia="宋体" w:cs="宋体"/>
          <w:color w:val="auto"/>
          <w:szCs w:val="21"/>
          <w:highlight w:val="none"/>
        </w:rPr>
        <w:t>①成交人在合同履行过程中出现项目质量事故、工期拖延、欠付工人工资、欠付材料款等情况，</w:t>
      </w:r>
      <w:r>
        <w:rPr>
          <w:rFonts w:hint="eastAsia" w:ascii="宋体" w:eastAsia="宋体" w:cs="宋体"/>
          <w:color w:val="auto"/>
          <w:sz w:val="21"/>
          <w:szCs w:val="21"/>
          <w:highlight w:val="none"/>
          <w:lang w:val="en-US" w:eastAsia="zh-CN"/>
        </w:rPr>
        <w:t>且经</w:t>
      </w:r>
      <w:r>
        <w:rPr>
          <w:rFonts w:hint="eastAsia" w:ascii="宋体" w:cs="宋体"/>
          <w:color w:val="auto"/>
          <w:sz w:val="21"/>
          <w:szCs w:val="21"/>
          <w:highlight w:val="none"/>
          <w:lang w:val="en-US" w:eastAsia="zh-CN"/>
        </w:rPr>
        <w:t>采购人</w:t>
      </w:r>
      <w:r>
        <w:rPr>
          <w:rFonts w:hint="eastAsia" w:ascii="宋体" w:eastAsia="宋体" w:cs="宋体"/>
          <w:color w:val="auto"/>
          <w:sz w:val="21"/>
          <w:szCs w:val="21"/>
          <w:highlight w:val="none"/>
          <w:lang w:val="en-US" w:eastAsia="zh-CN"/>
        </w:rPr>
        <w:t>责令要求整改仍未改正的，</w:t>
      </w:r>
      <w:r>
        <w:rPr>
          <w:rFonts w:hint="eastAsia" w:ascii="宋体" w:hAnsi="宋体" w:eastAsia="宋体" w:cs="宋体"/>
          <w:color w:val="auto"/>
          <w:szCs w:val="21"/>
          <w:highlight w:val="none"/>
        </w:rPr>
        <w:t>采购人在经核查属实后，成交人造成采购人损失的，采购人有权立即没收其履约保</w:t>
      </w:r>
      <w:r>
        <w:rPr>
          <w:rFonts w:hint="eastAsia" w:ascii="宋体" w:hAnsi="宋体" w:cs="宋体"/>
          <w:color w:val="auto"/>
          <w:szCs w:val="21"/>
          <w:highlight w:val="none"/>
        </w:rPr>
        <w:t>证金，若造成损失超过履约担保的，还应当对超过部分予以赔偿。</w:t>
      </w:r>
    </w:p>
    <w:p w14:paraId="7A5D1898">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②成交人将本项目转让给他人，或者在投标文件中未说明，且未经采购人同意，将中标项目分包给他人的；</w:t>
      </w:r>
    </w:p>
    <w:p w14:paraId="598C88E2">
      <w:pPr>
        <w:keepNext w:val="0"/>
        <w:keepLines w:val="0"/>
        <w:pageBreakBefore w:val="0"/>
        <w:widowControl w:val="0"/>
        <w:numPr>
          <w:ilvl w:val="0"/>
          <w:numId w:val="0"/>
        </w:numP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③成交人在履行采购合同期间，违反有关法律法规的规定及合同约定的条款，损害了采购人的利益。</w:t>
      </w:r>
    </w:p>
    <w:p w14:paraId="02D4CBFA">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（2）在合同期满后，成交人向采购人提交退回履约保证金的申请，采购人</w:t>
      </w:r>
      <w:r>
        <w:rPr>
          <w:rFonts w:hint="eastAsia" w:ascii="宋体" w:eastAsia="宋体" w:cs="宋体"/>
          <w:color w:val="auto"/>
          <w:sz w:val="21"/>
          <w:szCs w:val="21"/>
          <w:highlight w:val="none"/>
          <w:lang w:val="en-US" w:eastAsia="zh-CN"/>
        </w:rPr>
        <w:t>在</w:t>
      </w:r>
      <w:r>
        <w:rPr>
          <w:rFonts w:hint="eastAsia" w:ascii="宋体" w:cs="宋体"/>
          <w:color w:val="auto"/>
          <w:sz w:val="21"/>
          <w:szCs w:val="21"/>
          <w:highlight w:val="none"/>
          <w:lang w:val="en-US" w:eastAsia="zh-CN"/>
        </w:rPr>
        <w:t>成交人</w:t>
      </w:r>
      <w:r>
        <w:rPr>
          <w:rFonts w:hint="eastAsia" w:ascii="宋体" w:eastAsia="宋体" w:cs="宋体"/>
          <w:color w:val="auto"/>
          <w:sz w:val="21"/>
          <w:szCs w:val="21"/>
          <w:highlight w:val="none"/>
          <w:lang w:val="en-US" w:eastAsia="zh-CN"/>
        </w:rPr>
        <w:t>将所有未决索赔、争议或违约责任解决完毕后并经</w:t>
      </w:r>
      <w:r>
        <w:rPr>
          <w:rFonts w:hint="eastAsia" w:ascii="宋体" w:cs="宋体"/>
          <w:color w:val="auto"/>
          <w:sz w:val="21"/>
          <w:szCs w:val="21"/>
          <w:highlight w:val="none"/>
          <w:lang w:val="en-US" w:eastAsia="zh-CN"/>
        </w:rPr>
        <w:t>采购人</w:t>
      </w:r>
      <w:r>
        <w:rPr>
          <w:rFonts w:hint="eastAsia" w:ascii="宋体" w:eastAsia="宋体" w:cs="宋体"/>
          <w:color w:val="auto"/>
          <w:sz w:val="21"/>
          <w:szCs w:val="21"/>
          <w:highlight w:val="none"/>
          <w:lang w:val="en-US" w:eastAsia="zh-CN"/>
        </w:rPr>
        <w:t>确认后30个日历日内</w:t>
      </w:r>
      <w:r>
        <w:rPr>
          <w:rFonts w:hint="eastAsia" w:ascii="宋体" w:hAnsi="宋体" w:cs="宋体"/>
          <w:color w:val="auto"/>
          <w:szCs w:val="21"/>
          <w:highlight w:val="none"/>
        </w:rPr>
        <w:t>办理履约担保退还手续。</w:t>
      </w:r>
    </w:p>
    <w:p w14:paraId="053AFC61">
      <w:pPr>
        <w:widowControl w:val="0"/>
        <w:tabs>
          <w:tab w:val="left" w:pos="907"/>
        </w:tabs>
        <w:adjustRightInd/>
        <w:snapToGrid/>
        <w:jc w:val="both"/>
        <w:rPr>
          <w:rFonts w:ascii="宋体" w:hAnsi="宋体" w:cs="宋体"/>
          <w:color w:val="auto"/>
          <w:highlight w:val="none"/>
        </w:rPr>
      </w:pPr>
    </w:p>
    <w:p w14:paraId="085175BA">
      <w:pPr>
        <w:pStyle w:val="6"/>
        <w:widowControl w:val="0"/>
        <w:numPr>
          <w:ilvl w:val="0"/>
          <w:numId w:val="4"/>
        </w:numPr>
        <w:overflowPunct w:val="0"/>
        <w:rPr>
          <w:rFonts w:ascii="宋体" w:hAnsi="宋体" w:cs="宋体"/>
          <w:color w:val="auto"/>
          <w:sz w:val="21"/>
          <w:szCs w:val="21"/>
          <w:highlight w:val="none"/>
        </w:rPr>
      </w:pPr>
      <w:bookmarkStart w:id="199" w:name="_Toc18880"/>
      <w:bookmarkStart w:id="200" w:name="_Toc4395"/>
      <w:r>
        <w:rPr>
          <w:rFonts w:hint="eastAsia" w:ascii="宋体" w:hAnsi="宋体" w:cs="宋体"/>
          <w:color w:val="auto"/>
          <w:sz w:val="21"/>
          <w:szCs w:val="21"/>
          <w:highlight w:val="none"/>
        </w:rPr>
        <w:t>预付款保函（</w:t>
      </w:r>
      <w:r>
        <w:rPr>
          <w:rFonts w:hint="eastAsia" w:ascii="宋体" w:hAnsi="宋体" w:cs="宋体"/>
          <w:color w:val="auto"/>
          <w:sz w:val="21"/>
          <w:szCs w:val="21"/>
          <w:highlight w:val="none"/>
          <w:lang w:val="en-US" w:eastAsia="zh-CN"/>
        </w:rPr>
        <w:t>本项目无</w:t>
      </w:r>
      <w:r>
        <w:rPr>
          <w:rFonts w:hint="eastAsia" w:ascii="宋体" w:hAnsi="宋体" w:cs="宋体"/>
          <w:color w:val="auto"/>
          <w:sz w:val="21"/>
          <w:szCs w:val="21"/>
          <w:highlight w:val="none"/>
        </w:rPr>
        <w:t>预付款）</w:t>
      </w:r>
      <w:bookmarkEnd w:id="199"/>
      <w:bookmarkEnd w:id="200"/>
    </w:p>
    <w:p w14:paraId="15195658">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在签订合同时，</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应按本须知规定向</w:t>
      </w:r>
      <w:r>
        <w:rPr>
          <w:rFonts w:hint="eastAsia" w:ascii="宋体" w:hAnsi="宋体" w:cs="宋体"/>
          <w:color w:val="auto"/>
          <w:szCs w:val="21"/>
          <w:highlight w:val="none"/>
        </w:rPr>
        <w:t>采购人提交一份合同预付款等额有效的预付款保函。预付款保函有效期从保函开立之日起至采购人向</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抵扣完所有预付款之日止。如果</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提交的预付款保函的有效期先于采购文件要求的预付款保函有效期到达，</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应在原提交的预付款保函有效期前15日内，无条件办理预付款保函延期手续。否则视为</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违约，采购人可在预付款保函到期前将未抵扣的预付款转为现金存入采购人账户</w:t>
      </w:r>
    </w:p>
    <w:p w14:paraId="2DCA3BCE">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预付款保函应：</w:t>
      </w:r>
    </w:p>
    <w:p w14:paraId="2AEA7744">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（1）由东莞市行政区域内的银行支行及以上银行机构开具。非东莞市行政区内的银行开具的保函要由银行所在地公证部门出具的公证书。</w:t>
      </w:r>
    </w:p>
    <w:p w14:paraId="13BC979F">
      <w:pPr>
        <w:widowControl w:val="0"/>
        <w:tabs>
          <w:tab w:val="left" w:pos="907"/>
        </w:tabs>
        <w:adjustRightInd/>
        <w:snapToGrid/>
        <w:ind w:left="567"/>
        <w:jc w:val="both"/>
        <w:rPr>
          <w:rFonts w:ascii="宋体" w:hAnsi="宋体" w:cs="宋体"/>
          <w:color w:val="auto"/>
          <w:szCs w:val="21"/>
          <w:highlight w:val="none"/>
        </w:rPr>
      </w:pPr>
      <w:r>
        <w:rPr>
          <w:rFonts w:hint="eastAsia" w:ascii="宋体" w:hAnsi="宋体" w:cs="宋体"/>
          <w:color w:val="auto"/>
          <w:szCs w:val="21"/>
          <w:highlight w:val="none"/>
        </w:rPr>
        <w:t>（2）必须打印，手写、涂改无效</w:t>
      </w:r>
    </w:p>
    <w:p w14:paraId="3067F8E6">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若</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不能按本须知（34.1至34.2）的规定执行，采购人将不予支付预付款。</w:t>
      </w:r>
    </w:p>
    <w:p w14:paraId="5AFBB363">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如果</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提交的预付款保函的有效期先于采购文件要求的预付款保函有效期到达，</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应在原提交的预付款保函有效期满前15天内，无条件办理预付款保函延期手续。否则视为</w:t>
      </w:r>
      <w:r>
        <w:rPr>
          <w:rFonts w:hint="eastAsia" w:ascii="宋体" w:hAnsi="宋体" w:cs="宋体"/>
          <w:color w:val="auto"/>
          <w:szCs w:val="21"/>
          <w:highlight w:val="none"/>
          <w:lang w:eastAsia="zh-CN"/>
        </w:rPr>
        <w:t>成交人</w:t>
      </w:r>
      <w:r>
        <w:rPr>
          <w:rFonts w:hint="eastAsia" w:ascii="宋体" w:hAnsi="宋体" w:cs="宋体"/>
          <w:color w:val="auto"/>
          <w:szCs w:val="21"/>
          <w:highlight w:val="none"/>
        </w:rPr>
        <w:t>违约，采购人可在预付款保函到期前将未抵扣的预付</w:t>
      </w:r>
      <w:r>
        <w:rPr>
          <w:rFonts w:hint="eastAsia" w:ascii="宋体" w:hAnsi="宋体" w:cs="宋体"/>
          <w:color w:val="auto"/>
          <w:szCs w:val="21"/>
          <w:highlight w:val="none"/>
        </w:rPr>
        <w:t>款金额转为现金存入采购人账户。</w:t>
      </w:r>
    </w:p>
    <w:p w14:paraId="57EA9F01">
      <w:pPr>
        <w:rPr>
          <w:rFonts w:ascii="宋体" w:hAnsi="宋体" w:cs="宋体"/>
          <w:color w:val="auto"/>
          <w:highlight w:val="none"/>
        </w:rPr>
      </w:pPr>
    </w:p>
    <w:p w14:paraId="7118121D">
      <w:pPr>
        <w:pStyle w:val="5"/>
        <w:numPr>
          <w:ilvl w:val="0"/>
          <w:numId w:val="3"/>
        </w:numPr>
        <w:spacing w:before="0" w:after="0" w:line="360" w:lineRule="auto"/>
        <w:jc w:val="center"/>
        <w:rPr>
          <w:rFonts w:ascii="宋体" w:hAnsi="宋体" w:cs="宋体"/>
          <w:color w:val="auto"/>
          <w:highlight w:val="none"/>
        </w:rPr>
      </w:pPr>
      <w:bookmarkStart w:id="201" w:name="_Toc21814"/>
      <w:bookmarkStart w:id="202" w:name="_Toc7137"/>
      <w:r>
        <w:rPr>
          <w:rFonts w:hint="eastAsia" w:ascii="宋体" w:hAnsi="宋体" w:cs="宋体"/>
          <w:color w:val="auto"/>
          <w:highlight w:val="none"/>
        </w:rPr>
        <w:t>异议</w:t>
      </w:r>
      <w:bookmarkEnd w:id="201"/>
      <w:bookmarkEnd w:id="202"/>
    </w:p>
    <w:p w14:paraId="234D5FCA">
      <w:pPr>
        <w:pStyle w:val="6"/>
        <w:widowControl w:val="0"/>
        <w:numPr>
          <w:ilvl w:val="0"/>
          <w:numId w:val="4"/>
        </w:numPr>
        <w:overflowPunct w:val="0"/>
        <w:rPr>
          <w:rFonts w:ascii="宋体" w:hAnsi="宋体" w:cs="宋体"/>
          <w:color w:val="auto"/>
          <w:sz w:val="21"/>
          <w:szCs w:val="21"/>
          <w:highlight w:val="none"/>
        </w:rPr>
      </w:pPr>
      <w:bookmarkStart w:id="203" w:name="_Toc6445"/>
      <w:bookmarkStart w:id="204" w:name="_Toc9791"/>
      <w:r>
        <w:rPr>
          <w:rFonts w:hint="eastAsia" w:ascii="宋体" w:hAnsi="宋体" w:cs="宋体"/>
          <w:color w:val="auto"/>
          <w:sz w:val="21"/>
          <w:szCs w:val="21"/>
          <w:highlight w:val="none"/>
        </w:rPr>
        <w:t>异议</w:t>
      </w:r>
      <w:bookmarkEnd w:id="203"/>
      <w:bookmarkEnd w:id="204"/>
    </w:p>
    <w:p w14:paraId="4080B518">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lang w:val="zh-CN"/>
        </w:rPr>
        <w:t>采购文件的异议</w:t>
      </w:r>
      <w:r>
        <w:rPr>
          <w:rFonts w:hint="eastAsia" w:ascii="宋体" w:hAnsi="宋体" w:cs="宋体"/>
          <w:color w:val="auto"/>
          <w:szCs w:val="21"/>
          <w:highlight w:val="none"/>
        </w:rPr>
        <w:t xml:space="preserve">  </w:t>
      </w:r>
    </w:p>
    <w:p w14:paraId="3DB633AA">
      <w:pPr>
        <w:keepNext w:val="0"/>
        <w:keepLines w:val="0"/>
        <w:pageBreakBefore w:val="0"/>
        <w:widowControl w:val="0"/>
        <w:tabs>
          <w:tab w:val="left" w:pos="907"/>
        </w:tabs>
        <w:kinsoku/>
        <w:wordWrap/>
        <w:topLinePunct w:val="0"/>
        <w:autoSpaceDE/>
        <w:autoSpaceDN/>
        <w:bidi w:val="0"/>
        <w:adjustRightInd/>
        <w:snapToGrid/>
        <w:spacing w:line="460" w:lineRule="exact"/>
        <w:ind w:firstLine="420" w:firstLineChars="200"/>
        <w:jc w:val="both"/>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投标人或者其他利害关系人对采购文件有异议的，应当在投标截止时间10日前</w:t>
      </w:r>
      <w:r>
        <w:rPr>
          <w:rFonts w:hint="eastAsia" w:ascii="宋体" w:hAnsi="宋体" w:cs="宋体"/>
          <w:color w:val="auto"/>
          <w:kern w:val="2"/>
          <w:szCs w:val="21"/>
          <w:highlight w:val="none"/>
          <w:lang w:val="zh-CN"/>
        </w:rPr>
        <w:t>以书面形式向采购代理机构提出，并将材料原件送达采购代理机构，逾期则视为对采购文件所有内容无异议。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书面材料必须加盖投标人法人公章，并注明联系人、联系电话、联系地址。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14:paraId="7F7B4FBB">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14:paraId="210CC3BC">
      <w:pPr>
        <w:keepNext w:val="0"/>
        <w:keepLines w:val="0"/>
        <w:pageBreakBefore w:val="0"/>
        <w:widowControl w:val="0"/>
        <w:tabs>
          <w:tab w:val="left" w:pos="907"/>
        </w:tabs>
        <w:kinsoku/>
        <w:wordWrap/>
        <w:topLinePunct w:val="0"/>
        <w:autoSpaceDE/>
        <w:autoSpaceDN/>
        <w:bidi w:val="0"/>
        <w:adjustRightInd/>
        <w:snapToGrid/>
        <w:spacing w:line="460" w:lineRule="exact"/>
        <w:ind w:firstLine="420" w:firstLineChars="200"/>
        <w:jc w:val="both"/>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投标人或者其他利害关系人对评标结果有异议的，应当在中标候选人公示期间向采购代理机构以书面的形式提出，并将完整的异议书面材料原件送达采购代理机构，逾期则视为对评标结果无异议。超出提交异议截止时间而提出的任何疑问，采购代理机构可不予答复。</w:t>
      </w:r>
    </w:p>
    <w:p w14:paraId="6B3BF335">
      <w:pPr>
        <w:keepNext w:val="0"/>
        <w:keepLines w:val="0"/>
        <w:pageBreakBefore w:val="0"/>
        <w:widowControl w:val="0"/>
        <w:tabs>
          <w:tab w:val="left" w:pos="907"/>
        </w:tabs>
        <w:kinsoku/>
        <w:wordWrap/>
        <w:topLinePunct w:val="0"/>
        <w:autoSpaceDE/>
        <w:autoSpaceDN/>
        <w:bidi w:val="0"/>
        <w:adjustRightInd/>
        <w:snapToGrid/>
        <w:spacing w:line="460" w:lineRule="exact"/>
        <w:ind w:firstLine="420" w:firstLineChars="200"/>
        <w:jc w:val="both"/>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公章，并注明联系人、联系电话、联系地址）、授权提交异议的法定代表人授权书原件、反映异议人主体资格的营业执照复印件（加盖法人公章）、以及合法来源的证据证明材料。</w:t>
      </w:r>
    </w:p>
    <w:p w14:paraId="56622FCD">
      <w:pPr>
        <w:keepNext w:val="0"/>
        <w:keepLines w:val="0"/>
        <w:pageBreakBefore w:val="0"/>
        <w:widowControl w:val="0"/>
        <w:numPr>
          <w:ilvl w:val="1"/>
          <w:numId w:val="4"/>
        </w:numPr>
        <w:kinsoku/>
        <w:wordWrap/>
        <w:overflowPunct w:val="0"/>
        <w:topLinePunct w:val="0"/>
        <w:autoSpaceDE/>
        <w:autoSpaceDN/>
        <w:bidi w:val="0"/>
        <w:spacing w:line="460" w:lineRule="exact"/>
        <w:textAlignment w:val="auto"/>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以联合体形式参加采购活动的，其异议应当由组成联合体的所有投标人共同提出。</w:t>
      </w:r>
    </w:p>
    <w:p w14:paraId="75B4FA37">
      <w:pPr>
        <w:rPr>
          <w:rFonts w:ascii="宋体" w:hAnsi="宋体" w:cs="宋体"/>
          <w:color w:val="auto"/>
          <w:highlight w:val="none"/>
        </w:rPr>
      </w:pPr>
    </w:p>
    <w:p w14:paraId="35558AA8">
      <w:pPr>
        <w:pStyle w:val="5"/>
        <w:numPr>
          <w:ilvl w:val="0"/>
          <w:numId w:val="3"/>
        </w:numPr>
        <w:spacing w:before="0" w:after="0" w:line="360" w:lineRule="auto"/>
        <w:jc w:val="center"/>
        <w:rPr>
          <w:rFonts w:ascii="宋体" w:hAnsi="宋体" w:cs="宋体"/>
          <w:color w:val="auto"/>
          <w:highlight w:val="none"/>
        </w:rPr>
      </w:pPr>
      <w:bookmarkStart w:id="205" w:name="_Toc885"/>
      <w:bookmarkStart w:id="206" w:name="_Toc18965"/>
      <w:r>
        <w:rPr>
          <w:rFonts w:hint="eastAsia" w:ascii="宋体" w:hAnsi="宋体" w:cs="宋体"/>
          <w:color w:val="auto"/>
          <w:highlight w:val="none"/>
        </w:rPr>
        <w:t>其他</w:t>
      </w:r>
      <w:bookmarkEnd w:id="205"/>
      <w:bookmarkEnd w:id="206"/>
    </w:p>
    <w:p w14:paraId="0BDC5538">
      <w:pPr>
        <w:pStyle w:val="6"/>
        <w:widowControl w:val="0"/>
        <w:numPr>
          <w:ilvl w:val="0"/>
          <w:numId w:val="4"/>
        </w:numPr>
        <w:overflowPunct w:val="0"/>
        <w:rPr>
          <w:rFonts w:ascii="宋体" w:hAnsi="宋体" w:cs="宋体"/>
          <w:color w:val="auto"/>
          <w:sz w:val="21"/>
          <w:szCs w:val="21"/>
          <w:highlight w:val="none"/>
        </w:rPr>
      </w:pPr>
      <w:bookmarkStart w:id="207" w:name="_Toc1587"/>
      <w:bookmarkStart w:id="208" w:name="_Toc11974"/>
      <w:r>
        <w:rPr>
          <w:rFonts w:hint="eastAsia" w:ascii="宋体" w:hAnsi="宋体" w:cs="宋体"/>
          <w:color w:val="auto"/>
          <w:sz w:val="21"/>
          <w:szCs w:val="21"/>
          <w:highlight w:val="none"/>
        </w:rPr>
        <w:t>采购文件的解释权</w:t>
      </w:r>
      <w:bookmarkEnd w:id="207"/>
      <w:bookmarkEnd w:id="208"/>
    </w:p>
    <w:p w14:paraId="3C575A72">
      <w:pPr>
        <w:widowControl w:val="0"/>
        <w:numPr>
          <w:ilvl w:val="1"/>
          <w:numId w:val="4"/>
        </w:numPr>
        <w:overflowPunct w:val="0"/>
        <w:rPr>
          <w:rFonts w:ascii="宋体" w:hAnsi="宋体" w:cs="宋体"/>
          <w:color w:val="auto"/>
          <w:szCs w:val="21"/>
          <w:highlight w:val="none"/>
        </w:rPr>
      </w:pPr>
      <w:r>
        <w:rPr>
          <w:rFonts w:hint="eastAsia" w:ascii="宋体" w:hAnsi="宋体" w:cs="宋体"/>
          <w:color w:val="auto"/>
          <w:szCs w:val="21"/>
          <w:highlight w:val="none"/>
        </w:rPr>
        <w:t>本采购文件是根据国家有关法律、法规以及采购管理有关规定和参照国际惯例编制，解释权属本采购代理机构。</w:t>
      </w:r>
    </w:p>
    <w:p w14:paraId="686C0FCB">
      <w:pPr>
        <w:widowControl w:val="0"/>
        <w:numPr>
          <w:ilvl w:val="1"/>
          <w:numId w:val="8"/>
        </w:numP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br w:type="page"/>
      </w:r>
    </w:p>
    <w:p w14:paraId="7D9F7AC1">
      <w:pPr>
        <w:pStyle w:val="4"/>
        <w:spacing w:before="0" w:after="0" w:line="240" w:lineRule="auto"/>
        <w:rPr>
          <w:color w:val="auto"/>
          <w:sz w:val="28"/>
          <w:szCs w:val="28"/>
          <w:highlight w:val="none"/>
        </w:rPr>
      </w:pPr>
      <w:bookmarkStart w:id="209" w:name="_Toc31812"/>
      <w:r>
        <w:rPr>
          <w:rFonts w:hint="eastAsia"/>
          <w:color w:val="auto"/>
          <w:sz w:val="28"/>
          <w:szCs w:val="28"/>
          <w:highlight w:val="none"/>
        </w:rPr>
        <w:t>第五部分  合同条款格式</w:t>
      </w:r>
      <w:bookmarkEnd w:id="209"/>
      <w:bookmarkStart w:id="210" w:name="_Toc15636"/>
    </w:p>
    <w:bookmarkEnd w:id="210"/>
    <w:p w14:paraId="4DC799AC">
      <w:pPr>
        <w:outlineLvl w:val="9"/>
        <w:rPr>
          <w:rFonts w:hint="eastAsia"/>
          <w:color w:val="auto"/>
          <w:highlight w:val="none"/>
          <w:lang w:val="en-US" w:bidi="zh-CN"/>
        </w:rPr>
      </w:pPr>
      <w:bookmarkStart w:id="211" w:name="_Hlt109815959"/>
      <w:bookmarkEnd w:id="211"/>
      <w:r>
        <w:rPr>
          <w:rFonts w:hint="eastAsia"/>
          <w:color w:val="auto"/>
          <w:highlight w:val="none"/>
          <w:lang w:val="en-US" w:bidi="zh-CN"/>
        </w:rPr>
        <w:t>甲方合同编号：</w:t>
      </w:r>
    </w:p>
    <w:p w14:paraId="15CE72CA">
      <w:pPr>
        <w:outlineLvl w:val="9"/>
        <w:rPr>
          <w:rFonts w:hint="default"/>
          <w:color w:val="auto"/>
          <w:highlight w:val="none"/>
          <w:lang w:val="en-US" w:bidi="zh-CN"/>
        </w:rPr>
      </w:pPr>
      <w:r>
        <w:rPr>
          <w:rFonts w:hint="eastAsia"/>
          <w:color w:val="auto"/>
          <w:highlight w:val="none"/>
          <w:lang w:val="en-US" w:bidi="zh-CN"/>
        </w:rPr>
        <w:t>乙方合同编号：</w:t>
      </w:r>
    </w:p>
    <w:p w14:paraId="215A0BCF">
      <w:pPr>
        <w:jc w:val="center"/>
        <w:outlineLvl w:val="9"/>
        <w:rPr>
          <w:rFonts w:hint="eastAsia"/>
          <w:b/>
          <w:bCs/>
          <w:color w:val="auto"/>
          <w:sz w:val="28"/>
          <w:szCs w:val="28"/>
          <w:highlight w:val="none"/>
          <w:lang w:val="zh-TW" w:eastAsia="zh-TW"/>
        </w:rPr>
      </w:pPr>
      <w:bookmarkStart w:id="212" w:name="OLE_LINK1"/>
      <w:bookmarkStart w:id="213" w:name="_Toc11272"/>
      <w:bookmarkStart w:id="214" w:name="_Toc30161"/>
      <w:bookmarkStart w:id="215" w:name="_Toc25265"/>
      <w:bookmarkStart w:id="216" w:name="_Toc15098"/>
      <w:bookmarkStart w:id="217" w:name="_Toc9159"/>
      <w:bookmarkStart w:id="218" w:name="_Toc30884"/>
      <w:bookmarkStart w:id="219" w:name="_Toc31864"/>
      <w:r>
        <w:rPr>
          <w:rFonts w:hint="eastAsia"/>
          <w:b/>
          <w:bCs/>
          <w:color w:val="auto"/>
          <w:sz w:val="28"/>
          <w:szCs w:val="28"/>
          <w:highlight w:val="none"/>
          <w:lang w:val="zh-TW" w:eastAsia="zh-TW"/>
        </w:rPr>
        <w:t>东莞市新东欣环保投资有限公司</w:t>
      </w:r>
    </w:p>
    <w:bookmarkEnd w:id="212"/>
    <w:p w14:paraId="4EAB7FA7">
      <w:pPr>
        <w:jc w:val="center"/>
        <w:outlineLvl w:val="9"/>
        <w:rPr>
          <w:b/>
          <w:bCs/>
          <w:color w:val="auto"/>
          <w:sz w:val="28"/>
          <w:szCs w:val="28"/>
          <w:highlight w:val="none"/>
          <w:lang w:val="zh-TW" w:eastAsia="zh-TW"/>
        </w:rPr>
      </w:pPr>
      <w:r>
        <w:rPr>
          <w:rFonts w:hint="eastAsia"/>
          <w:b/>
          <w:bCs/>
          <w:color w:val="auto"/>
          <w:sz w:val="28"/>
          <w:szCs w:val="28"/>
          <w:highlight w:val="none"/>
          <w:lang w:val="zh-TW" w:eastAsia="zh-TW"/>
        </w:rPr>
        <w:t>莞惠区域危废运输服务项目合同</w:t>
      </w:r>
      <w:bookmarkEnd w:id="213"/>
      <w:bookmarkEnd w:id="214"/>
      <w:bookmarkEnd w:id="215"/>
      <w:bookmarkEnd w:id="216"/>
      <w:bookmarkEnd w:id="217"/>
      <w:bookmarkEnd w:id="218"/>
      <w:bookmarkEnd w:id="219"/>
    </w:p>
    <w:p w14:paraId="3DFEEBD6">
      <w:pPr>
        <w:spacing w:before="156" w:line="360" w:lineRule="exact"/>
        <w:jc w:val="both"/>
        <w:outlineLvl w:val="9"/>
        <w:rPr>
          <w:rFonts w:hAnsi="宋体" w:cs="宋体"/>
          <w:b/>
          <w:bCs/>
          <w:color w:val="auto"/>
          <w:szCs w:val="21"/>
          <w:highlight w:val="none"/>
        </w:rPr>
      </w:pPr>
      <w:r>
        <w:rPr>
          <w:rFonts w:hint="eastAsia" w:hAnsi="宋体" w:cs="宋体"/>
          <w:b/>
          <w:bCs/>
          <w:color w:val="auto"/>
          <w:szCs w:val="21"/>
          <w:highlight w:val="none"/>
        </w:rPr>
        <w:t xml:space="preserve">                              </w:t>
      </w:r>
    </w:p>
    <w:p w14:paraId="70513B63">
      <w:pPr>
        <w:pStyle w:val="27"/>
        <w:keepNext w:val="0"/>
        <w:keepLines w:val="0"/>
        <w:pageBreakBefore w:val="0"/>
        <w:widowControl/>
        <w:kinsoku/>
        <w:wordWrap/>
        <w:overflowPunct/>
        <w:topLinePunct w:val="0"/>
        <w:autoSpaceDE/>
        <w:autoSpaceDN/>
        <w:bidi w:val="0"/>
        <w:adjustRightInd w:val="0"/>
        <w:snapToGrid w:val="0"/>
        <w:spacing w:before="0" w:after="0" w:line="460" w:lineRule="exact"/>
        <w:ind w:left="0" w:firstLine="482" w:firstLineChars="200"/>
        <w:textAlignment w:val="auto"/>
        <w:outlineLvl w:val="9"/>
        <w:rPr>
          <w:b/>
          <w:color w:val="auto"/>
          <w:highlight w:val="none"/>
        </w:rPr>
      </w:pPr>
      <w:r>
        <w:rPr>
          <w:rFonts w:hint="eastAsia"/>
          <w:b/>
          <w:color w:val="auto"/>
          <w:highlight w:val="none"/>
        </w:rPr>
        <w:t>委托方（以下简称甲方）：东莞市新东欣环保投资有限公司</w:t>
      </w:r>
    </w:p>
    <w:p w14:paraId="46C88CCF">
      <w:pPr>
        <w:pStyle w:val="27"/>
        <w:keepNext w:val="0"/>
        <w:keepLines w:val="0"/>
        <w:pageBreakBefore w:val="0"/>
        <w:widowControl/>
        <w:kinsoku/>
        <w:wordWrap/>
        <w:overflowPunct/>
        <w:topLinePunct w:val="0"/>
        <w:autoSpaceDE/>
        <w:autoSpaceDN/>
        <w:bidi w:val="0"/>
        <w:adjustRightInd w:val="0"/>
        <w:snapToGrid w:val="0"/>
        <w:spacing w:before="0" w:after="0" w:line="460" w:lineRule="exact"/>
        <w:ind w:left="0" w:firstLine="482" w:firstLineChars="200"/>
        <w:textAlignment w:val="auto"/>
        <w:outlineLvl w:val="9"/>
        <w:rPr>
          <w:b/>
          <w:color w:val="auto"/>
          <w:highlight w:val="none"/>
        </w:rPr>
      </w:pPr>
      <w:r>
        <w:rPr>
          <w:rFonts w:hint="eastAsia"/>
          <w:b/>
          <w:color w:val="auto"/>
          <w:highlight w:val="none"/>
        </w:rPr>
        <w:t xml:space="preserve">承运方（以下简称乙方）： </w:t>
      </w:r>
    </w:p>
    <w:p w14:paraId="126693F1">
      <w:pPr>
        <w:keepNext w:val="0"/>
        <w:keepLines w:val="0"/>
        <w:pageBreakBefore w:val="0"/>
        <w:kinsoku/>
        <w:wordWrap/>
        <w:overflowPunct/>
        <w:topLinePunct w:val="0"/>
        <w:autoSpaceDE/>
        <w:autoSpaceDN/>
        <w:bidi w:val="0"/>
        <w:spacing w:line="460" w:lineRule="exact"/>
        <w:ind w:left="0" w:firstLine="420" w:firstLineChars="200"/>
        <w:textAlignment w:val="auto"/>
        <w:outlineLvl w:val="9"/>
        <w:rPr>
          <w:rFonts w:hAnsi="宋体" w:cs="宋体"/>
          <w:color w:val="auto"/>
          <w:szCs w:val="21"/>
          <w:highlight w:val="none"/>
        </w:rPr>
      </w:pPr>
    </w:p>
    <w:p w14:paraId="0CCB045F">
      <w:pPr>
        <w:pStyle w:val="44"/>
        <w:keepNext w:val="0"/>
        <w:keepLines w:val="0"/>
        <w:pageBreakBefore w:val="0"/>
        <w:kinsoku/>
        <w:wordWrap/>
        <w:overflowPunct/>
        <w:topLinePunct w:val="0"/>
        <w:autoSpaceDE/>
        <w:autoSpaceDN/>
        <w:bidi w:val="0"/>
        <w:spacing w:line="460" w:lineRule="exact"/>
        <w:ind w:left="0" w:firstLine="420" w:firstLineChars="200"/>
        <w:textAlignment w:val="auto"/>
        <w:outlineLvl w:val="9"/>
        <w:rPr>
          <w:rFonts w:ascii="宋体" w:eastAsia="宋体" w:cs="宋体"/>
          <w:color w:val="auto"/>
          <w:sz w:val="21"/>
          <w:szCs w:val="21"/>
          <w:highlight w:val="none"/>
        </w:rPr>
      </w:pPr>
      <w:r>
        <w:rPr>
          <w:rFonts w:hint="eastAsia" w:ascii="宋体" w:eastAsia="宋体" w:cs="宋体"/>
          <w:color w:val="auto"/>
          <w:sz w:val="21"/>
          <w:szCs w:val="21"/>
          <w:highlight w:val="none"/>
        </w:rPr>
        <w:t>根据《中华人民共和国民法典》及国家有关运输规定，经过双方充分协商，特订立本合同，以便双方共同遵守。</w:t>
      </w:r>
    </w:p>
    <w:p w14:paraId="514BB003">
      <w:pPr>
        <w:keepNext w:val="0"/>
        <w:keepLines w:val="0"/>
        <w:pageBreakBefore w:val="0"/>
        <w:kinsoku/>
        <w:wordWrap/>
        <w:overflowPunct/>
        <w:topLinePunct w:val="0"/>
        <w:autoSpaceDE/>
        <w:autoSpaceDN/>
        <w:bidi w:val="0"/>
        <w:spacing w:line="460" w:lineRule="exact"/>
        <w:ind w:left="0" w:firstLine="0" w:firstLineChars="0"/>
        <w:textAlignment w:val="auto"/>
        <w:outlineLvl w:val="9"/>
        <w:rPr>
          <w:b/>
          <w:bCs/>
          <w:color w:val="auto"/>
          <w:highlight w:val="none"/>
        </w:rPr>
      </w:pPr>
      <w:bookmarkStart w:id="220" w:name="_Toc26134"/>
      <w:bookmarkStart w:id="221" w:name="_Toc919"/>
      <w:bookmarkStart w:id="222" w:name="_Toc10064"/>
      <w:bookmarkStart w:id="223" w:name="_Toc26470"/>
      <w:bookmarkStart w:id="224" w:name="_Toc3763"/>
      <w:bookmarkStart w:id="225" w:name="_Toc6767"/>
      <w:bookmarkStart w:id="226" w:name="_Toc4675"/>
      <w:r>
        <w:rPr>
          <w:rFonts w:hint="eastAsia"/>
          <w:b/>
          <w:bCs/>
          <w:color w:val="auto"/>
          <w:highlight w:val="none"/>
        </w:rPr>
        <w:t>第一条 合同标的</w:t>
      </w:r>
      <w:bookmarkEnd w:id="220"/>
      <w:bookmarkEnd w:id="221"/>
      <w:bookmarkEnd w:id="222"/>
      <w:bookmarkEnd w:id="223"/>
      <w:bookmarkEnd w:id="224"/>
      <w:bookmarkEnd w:id="225"/>
      <w:bookmarkEnd w:id="226"/>
    </w:p>
    <w:p w14:paraId="4928367E">
      <w:pPr>
        <w:pStyle w:val="44"/>
        <w:keepNext w:val="0"/>
        <w:keepLines w:val="0"/>
        <w:pageBreakBefore w:val="0"/>
        <w:kinsoku/>
        <w:wordWrap/>
        <w:overflowPunct/>
        <w:topLinePunct w:val="0"/>
        <w:autoSpaceDE/>
        <w:autoSpaceDN/>
        <w:bidi w:val="0"/>
        <w:spacing w:line="460" w:lineRule="exact"/>
        <w:ind w:left="0" w:firstLine="420" w:firstLineChars="200"/>
        <w:textAlignment w:val="auto"/>
        <w:outlineLvl w:val="9"/>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甲方作为广东省处理处置危险废物的经营单位，委托乙方对甲方的客户提供危险废物的运输、打包、装卸服务工作。合作标准依据国家标准《危险废物收集、贮存、运输技术规范》(HJ2025-2012)、危险货物分类和品名编号(GB 6944-2012)、道路危险货物运输管理规定(交通运输部令2019年第42号)等法律法规</w:t>
      </w:r>
      <w:r>
        <w:rPr>
          <w:rFonts w:hint="eastAsia" w:ascii="宋体" w:eastAsia="宋体" w:cs="宋体"/>
          <w:color w:val="auto"/>
          <w:sz w:val="21"/>
          <w:szCs w:val="21"/>
          <w:highlight w:val="none"/>
          <w:lang w:val="en-US" w:eastAsia="zh-CN"/>
        </w:rPr>
        <w:t>和《</w:t>
      </w:r>
      <w:r>
        <w:rPr>
          <w:rFonts w:hint="eastAsia" w:ascii="宋体" w:eastAsia="宋体" w:cs="宋体"/>
          <w:color w:val="auto"/>
          <w:sz w:val="21"/>
          <w:szCs w:val="21"/>
          <w:highlight w:val="none"/>
          <w:lang w:eastAsia="zh-CN"/>
        </w:rPr>
        <w:t>东莞市新东欣环保投资有限公司莞惠区域危废运输服务项目</w:t>
      </w:r>
      <w:r>
        <w:rPr>
          <w:rFonts w:hint="eastAsia" w:ascii="宋体" w:eastAsia="宋体" w:cs="宋体"/>
          <w:color w:val="auto"/>
          <w:sz w:val="21"/>
          <w:szCs w:val="21"/>
          <w:highlight w:val="none"/>
          <w:lang w:val="en-US" w:eastAsia="zh-CN"/>
        </w:rPr>
        <w:t>技术需求书》（详见合同附件9）</w:t>
      </w:r>
      <w:r>
        <w:rPr>
          <w:rFonts w:hint="eastAsia" w:ascii="宋体" w:eastAsia="宋体" w:cs="宋体"/>
          <w:color w:val="auto"/>
          <w:sz w:val="21"/>
          <w:szCs w:val="21"/>
          <w:highlight w:val="none"/>
        </w:rPr>
        <w:t>。本合同所有附件是本合同不可分割的组成部分，与本合同具有同等法律效力</w:t>
      </w:r>
      <w:r>
        <w:rPr>
          <w:rFonts w:hint="eastAsia" w:ascii="宋体" w:eastAsia="宋体" w:cs="宋体"/>
          <w:color w:val="auto"/>
          <w:sz w:val="21"/>
          <w:szCs w:val="21"/>
          <w:highlight w:val="none"/>
          <w:lang w:eastAsia="zh-CN"/>
        </w:rPr>
        <w:t>。</w:t>
      </w:r>
    </w:p>
    <w:p w14:paraId="012000D4">
      <w:pPr>
        <w:pStyle w:val="44"/>
        <w:keepNext w:val="0"/>
        <w:keepLines w:val="0"/>
        <w:pageBreakBefore w:val="0"/>
        <w:kinsoku/>
        <w:wordWrap/>
        <w:overflowPunct/>
        <w:topLinePunct w:val="0"/>
        <w:autoSpaceDE/>
        <w:autoSpaceDN/>
        <w:bidi w:val="0"/>
        <w:spacing w:line="460" w:lineRule="exact"/>
        <w:ind w:left="0" w:firstLine="420" w:firstLineChars="200"/>
        <w:textAlignment w:val="auto"/>
        <w:outlineLvl w:val="9"/>
        <w:rPr>
          <w:rFonts w:ascii="宋体" w:eastAsia="宋体" w:cs="宋体"/>
          <w:color w:val="auto"/>
          <w:sz w:val="21"/>
          <w:szCs w:val="21"/>
          <w:highlight w:val="none"/>
        </w:rPr>
      </w:pPr>
      <w:r>
        <w:rPr>
          <w:rFonts w:hint="eastAsia" w:ascii="宋体" w:eastAsia="宋体" w:cs="宋体"/>
          <w:color w:val="auto"/>
          <w:sz w:val="21"/>
          <w:szCs w:val="21"/>
          <w:highlight w:val="none"/>
        </w:rPr>
        <w:t>合同存续期间，乙方需</w:t>
      </w:r>
      <w:r>
        <w:rPr>
          <w:rFonts w:hint="eastAsia" w:ascii="宋体" w:eastAsia="宋体" w:cs="宋体"/>
          <w:color w:val="auto"/>
          <w:sz w:val="21"/>
          <w:szCs w:val="21"/>
          <w:highlight w:val="none"/>
          <w:lang w:val="en-US" w:eastAsia="zh-CN"/>
        </w:rPr>
        <w:t>满足相关法律法规对本项目运输单位有关资质的要求，乙方</w:t>
      </w:r>
      <w:r>
        <w:rPr>
          <w:rFonts w:hint="eastAsia" w:ascii="宋体" w:eastAsia="宋体" w:cs="宋体"/>
          <w:color w:val="auto"/>
          <w:sz w:val="21"/>
          <w:szCs w:val="21"/>
          <w:highlight w:val="none"/>
        </w:rPr>
        <w:t>在相关资质到期2个月前</w:t>
      </w:r>
      <w:r>
        <w:rPr>
          <w:rFonts w:hint="eastAsia" w:ascii="宋体" w:eastAsia="宋体" w:cs="宋体"/>
          <w:color w:val="auto"/>
          <w:sz w:val="21"/>
          <w:szCs w:val="21"/>
          <w:highlight w:val="none"/>
          <w:lang w:val="en-US" w:eastAsia="zh-CN"/>
        </w:rPr>
        <w:t>应</w:t>
      </w:r>
      <w:r>
        <w:rPr>
          <w:rFonts w:hint="eastAsia" w:ascii="宋体" w:eastAsia="宋体" w:cs="宋体"/>
          <w:color w:val="auto"/>
          <w:sz w:val="21"/>
          <w:szCs w:val="21"/>
          <w:highlight w:val="none"/>
        </w:rPr>
        <w:t>书面知会甲方，并及时办理报审/延期手续，如果</w:t>
      </w:r>
      <w:r>
        <w:rPr>
          <w:rFonts w:hint="eastAsia" w:ascii="宋体" w:eastAsia="宋体" w:cs="宋体"/>
          <w:color w:val="auto"/>
          <w:sz w:val="21"/>
          <w:szCs w:val="21"/>
          <w:highlight w:val="none"/>
          <w:lang w:val="en-US" w:eastAsia="zh-CN"/>
        </w:rPr>
        <w:t>资质</w:t>
      </w:r>
      <w:r>
        <w:rPr>
          <w:rFonts w:hint="eastAsia" w:ascii="宋体" w:eastAsia="宋体" w:cs="宋体"/>
          <w:color w:val="auto"/>
          <w:sz w:val="21"/>
          <w:szCs w:val="21"/>
          <w:highlight w:val="none"/>
        </w:rPr>
        <w:t>到期未通过审核或未提前2个月知会甲方，造成甲方经济损失或处罚的</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均由乙方承担，且本合同自动终止。</w:t>
      </w:r>
    </w:p>
    <w:p w14:paraId="32169BA4">
      <w:pPr>
        <w:spacing w:line="400" w:lineRule="exact"/>
        <w:outlineLvl w:val="9"/>
        <w:rPr>
          <w:b/>
          <w:bCs/>
          <w:color w:val="auto"/>
          <w:highlight w:val="none"/>
        </w:rPr>
      </w:pPr>
      <w:bookmarkStart w:id="227" w:name="_Toc26163"/>
      <w:bookmarkStart w:id="228" w:name="_Toc27151"/>
      <w:bookmarkStart w:id="229" w:name="_Toc21778"/>
      <w:bookmarkStart w:id="230" w:name="_Toc18397"/>
      <w:bookmarkStart w:id="231" w:name="_Toc25834"/>
      <w:bookmarkStart w:id="232" w:name="_Toc30288"/>
      <w:bookmarkStart w:id="233" w:name="_Toc1196"/>
      <w:r>
        <w:rPr>
          <w:rFonts w:hint="eastAsia"/>
          <w:b/>
          <w:bCs/>
          <w:color w:val="auto"/>
          <w:highlight w:val="none"/>
        </w:rPr>
        <w:t>第二条 承运货物、起止地点</w:t>
      </w:r>
      <w:bookmarkEnd w:id="227"/>
      <w:bookmarkEnd w:id="228"/>
      <w:bookmarkEnd w:id="229"/>
      <w:bookmarkEnd w:id="230"/>
      <w:bookmarkEnd w:id="231"/>
      <w:bookmarkEnd w:id="232"/>
      <w:bookmarkEnd w:id="233"/>
    </w:p>
    <w:p w14:paraId="3D195D6E">
      <w:pPr>
        <w:pStyle w:val="44"/>
        <w:spacing w:line="400" w:lineRule="exact"/>
        <w:ind w:firstLine="433"/>
        <w:outlineLvl w:val="9"/>
        <w:rPr>
          <w:rFonts w:ascii="宋体" w:eastAsia="宋体" w:cs="宋体"/>
          <w:color w:val="auto"/>
          <w:sz w:val="21"/>
          <w:szCs w:val="21"/>
          <w:highlight w:val="none"/>
        </w:rPr>
      </w:pPr>
      <w:r>
        <w:rPr>
          <w:rFonts w:ascii="宋体" w:eastAsia="宋体" w:cs="宋体"/>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863600</wp:posOffset>
                </wp:positionH>
                <wp:positionV relativeFrom="paragraph">
                  <wp:posOffset>241300</wp:posOffset>
                </wp:positionV>
                <wp:extent cx="104394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1043940" cy="635"/>
                        </a:xfrm>
                        <a:prstGeom prst="line">
                          <a:avLst/>
                        </a:prstGeom>
                        <a:ln w="31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8pt;margin-top:19pt;height:0.05pt;width:82.2pt;z-index:251663360;mso-width-relative:page;mso-height-relative:page;" filled="f" stroked="t" coordsize="21600,21600" o:gfxdata="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pMeOXYAAAACQEAAA8AAAAAAAAAAQAgAAAAIgAAAGRycy9kb3ducmV2LnhtbFBLAQIU&#10;ABQAAAAIAIdO4kB5rknK8wEAAOgDAAAOAAAAAAAAAAEAIAAAACcBAABkcnMvZTJvRG9jLnhtbFBL&#10;BQYAAAAABgAGAFkBAACMBQAAAAA=&#10;">
                <v:fill on="f" focussize="0,0"/>
                <v:stroke weight="0.25pt" color="#000000" joinstyle="round"/>
                <v:imagedata o:title=""/>
                <o:lock v:ext="edit" aspectratio="f"/>
              </v:line>
            </w:pict>
          </mc:Fallback>
        </mc:AlternateContent>
      </w:r>
      <w:r>
        <w:rPr>
          <w:rFonts w:hint="eastAsia" w:ascii="宋体" w:eastAsia="宋体" w:cs="宋体"/>
          <w:color w:val="auto"/>
          <w:sz w:val="21"/>
          <w:szCs w:val="21"/>
          <w:highlight w:val="none"/>
        </w:rPr>
        <w:t>2.1标段：</w:t>
      </w:r>
      <w:r>
        <w:rPr>
          <w:rFonts w:hint="eastAsia" w:ascii="宋体" w:eastAsia="宋体" w:cs="宋体"/>
          <w:color w:val="auto"/>
          <w:sz w:val="21"/>
          <w:szCs w:val="21"/>
          <w:highlight w:val="none"/>
          <w:lang w:val="en-US" w:eastAsia="zh-CN"/>
        </w:rPr>
        <w:t xml:space="preserve">莞惠区域 </w:t>
      </w:r>
    </w:p>
    <w:p w14:paraId="36EB688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2.2承运的主要货物为：</w:t>
      </w:r>
      <w:r>
        <w:rPr>
          <w:rFonts w:hint="eastAsia" w:ascii="宋体" w:eastAsia="宋体" w:cs="宋体"/>
          <w:color w:val="auto"/>
          <w:sz w:val="21"/>
          <w:szCs w:val="21"/>
          <w:highlight w:val="none"/>
          <w:u w:val="single"/>
        </w:rPr>
        <w:t xml:space="preserve"> 危险废物  </w:t>
      </w:r>
    </w:p>
    <w:p w14:paraId="26878253">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2.3货物的起运（装货）、到达（卸货）地：</w:t>
      </w:r>
      <w:r>
        <w:rPr>
          <w:rFonts w:hint="eastAsia" w:ascii="宋体" w:eastAsia="宋体" w:cs="宋体"/>
          <w:b/>
          <w:bCs/>
          <w:color w:val="auto"/>
          <w:sz w:val="21"/>
          <w:szCs w:val="21"/>
          <w:highlight w:val="none"/>
        </w:rPr>
        <w:t>见</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附件3《危险废物运输费单价表》</w:t>
      </w:r>
      <w:r>
        <w:rPr>
          <w:rFonts w:hint="eastAsia" w:ascii="宋体" w:eastAsia="宋体" w:cs="宋体"/>
          <w:color w:val="auto"/>
          <w:sz w:val="21"/>
          <w:szCs w:val="21"/>
          <w:highlight w:val="none"/>
        </w:rPr>
        <w:t>。</w:t>
      </w:r>
    </w:p>
    <w:p w14:paraId="2A768FCC">
      <w:pPr>
        <w:spacing w:line="400" w:lineRule="exact"/>
        <w:outlineLvl w:val="9"/>
        <w:rPr>
          <w:b/>
          <w:bCs/>
          <w:color w:val="auto"/>
          <w:highlight w:val="none"/>
        </w:rPr>
      </w:pPr>
      <w:bookmarkStart w:id="234" w:name="_Toc4455"/>
      <w:bookmarkStart w:id="235" w:name="_Toc28030"/>
      <w:bookmarkStart w:id="236" w:name="_Toc10423"/>
      <w:bookmarkStart w:id="237" w:name="_Toc30464"/>
      <w:bookmarkStart w:id="238" w:name="_Toc28627"/>
      <w:bookmarkStart w:id="239" w:name="_Toc14867"/>
      <w:bookmarkStart w:id="240" w:name="_Toc17631"/>
      <w:r>
        <w:rPr>
          <w:rFonts w:hint="eastAsia"/>
          <w:b/>
          <w:bCs/>
          <w:color w:val="auto"/>
          <w:highlight w:val="none"/>
        </w:rPr>
        <w:t>第三条 甲方的权利、义务和责任</w:t>
      </w:r>
      <w:bookmarkEnd w:id="234"/>
      <w:bookmarkEnd w:id="235"/>
      <w:bookmarkEnd w:id="236"/>
      <w:bookmarkEnd w:id="237"/>
      <w:bookmarkEnd w:id="238"/>
      <w:bookmarkEnd w:id="239"/>
      <w:bookmarkEnd w:id="240"/>
    </w:p>
    <w:p w14:paraId="21F8BC8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3.1 甲方应确保合同存续期间甲方资质证件合法有效。</w:t>
      </w:r>
    </w:p>
    <w:p w14:paraId="7012B68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3.2甲方应要求其客户将各类危险废物分类/集中存放，做好标记标识，不可混入其他杂物，以保障乙方安全、快捷作业。</w:t>
      </w:r>
    </w:p>
    <w:p w14:paraId="1D97EAFF">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rPr>
        <w:t>3.3派单时间：正常情况下，</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提前1个日历日派单；有突发情况下（派单当天有收运需求），</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提前2小时派单。</w:t>
      </w:r>
    </w:p>
    <w:p w14:paraId="1053C5C7">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3.4</w:t>
      </w:r>
      <w:r>
        <w:rPr>
          <w:rFonts w:hint="eastAsia" w:ascii="宋体" w:eastAsia="宋体" w:cs="宋体"/>
          <w:color w:val="auto"/>
          <w:sz w:val="21"/>
          <w:szCs w:val="21"/>
          <w:highlight w:val="none"/>
        </w:rPr>
        <w:t>派单形式：</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以书面形式（包括但不限于以 QQ、微信、短信、Email等形式）向</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发出收运指令，内容包含：所有</w:t>
      </w:r>
      <w:r>
        <w:rPr>
          <w:rFonts w:hint="eastAsia" w:ascii="宋体" w:eastAsia="宋体" w:cs="宋体"/>
          <w:color w:val="auto"/>
          <w:sz w:val="21"/>
          <w:szCs w:val="21"/>
          <w:highlight w:val="none"/>
          <w:lang w:eastAsia="zh-CN"/>
        </w:rPr>
        <w:t>需</w:t>
      </w:r>
      <w:r>
        <w:rPr>
          <w:rFonts w:hint="eastAsia" w:ascii="宋体" w:eastAsia="宋体" w:cs="宋体"/>
          <w:color w:val="auto"/>
          <w:sz w:val="21"/>
          <w:szCs w:val="21"/>
          <w:highlight w:val="none"/>
        </w:rPr>
        <w:t>收运服务的客户的收运时间、提货单位及地点、运输车型、危险废物名称、数量、收运联系人、联系电话、所需工具等信息。</w:t>
      </w:r>
    </w:p>
    <w:p w14:paraId="67BE037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甲方需把收运指令中每个客户的详细收运信息及特殊要求以书面（必要时附上照片）的形式告知乙方，并提前做好关于废物的贮存情况、包装方式、危险性及客户能够提供的装车协助等沟通衔接工作。</w:t>
      </w:r>
    </w:p>
    <w:p w14:paraId="5631AAFF">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甲方应提前与其客户沟通确认好收运时间、承运单位名称、车牌号等信息，以便乙方在甲方客户端顺利办理收运交接等手续。</w:t>
      </w:r>
    </w:p>
    <w:p w14:paraId="0F552E56">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甲方须按照《中华人民共和国固体废物污染环境防治法》的要求，协助甲方客户负责向环境保护行政主管部门办理危险废物转移手续。</w:t>
      </w:r>
    </w:p>
    <w:p w14:paraId="250EFBB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甲方有权随时掌握危险废物的接收及在途情况，乙方须积极配合。任何与甲方发出的收运指令不符的异常情况，</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包括但不限于货物包装破损、泄漏风险、数量差异、客户拒收等实质性异常</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乙方须在发现不符情况30分钟内反馈甲方，以便甲方及时协调沟通，确保收运工作的顺利完成。如因乙方未提前沟通异常情况导致产生额外费用，甲方不予承认和支付，造成甲方损失的，乙方需承担赔偿责任，甲方有权从乙方运输费中抵扣。</w:t>
      </w:r>
    </w:p>
    <w:p w14:paraId="707BCE26">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9</w:t>
      </w:r>
      <w:r>
        <w:rPr>
          <w:rFonts w:hint="eastAsia" w:ascii="宋体" w:eastAsia="宋体" w:cs="宋体"/>
          <w:color w:val="auto"/>
          <w:sz w:val="21"/>
          <w:szCs w:val="21"/>
          <w:highlight w:val="none"/>
        </w:rPr>
        <w:t>甲方有权随时检查乙方运输配置及服务，对不符合合同约定或</w:t>
      </w:r>
      <w:r>
        <w:rPr>
          <w:rFonts w:hint="eastAsia" w:ascii="宋体" w:eastAsia="宋体" w:cs="宋体"/>
          <w:color w:val="auto"/>
          <w:sz w:val="21"/>
          <w:szCs w:val="21"/>
          <w:highlight w:val="none"/>
          <w:lang w:val="en-US" w:eastAsia="zh-CN"/>
        </w:rPr>
        <w:t>法律</w:t>
      </w:r>
      <w:r>
        <w:rPr>
          <w:rFonts w:hint="eastAsia" w:ascii="宋体" w:eastAsia="宋体" w:cs="宋体"/>
          <w:color w:val="auto"/>
          <w:sz w:val="21"/>
          <w:szCs w:val="21"/>
          <w:highlight w:val="none"/>
        </w:rPr>
        <w:t>法规要求或有跑冒滴漏风险的，甲方有权对乙方提出限期整改通知，乙方应积极配合完成整改。</w:t>
      </w:r>
    </w:p>
    <w:p w14:paraId="3D1439A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当发生针对乙方服务的投诉时，甲方有知情权、调查权以及</w:t>
      </w:r>
      <w:r>
        <w:rPr>
          <w:rFonts w:hint="eastAsia" w:ascii="宋体" w:eastAsia="宋体" w:cs="宋体"/>
          <w:color w:val="auto"/>
          <w:sz w:val="21"/>
          <w:szCs w:val="21"/>
          <w:highlight w:val="none"/>
          <w:lang w:val="en-US" w:eastAsia="zh-CN"/>
        </w:rPr>
        <w:t>追究违约责任的</w:t>
      </w:r>
      <w:r>
        <w:rPr>
          <w:rFonts w:hint="eastAsia" w:ascii="宋体" w:eastAsia="宋体" w:cs="宋体"/>
          <w:color w:val="auto"/>
          <w:sz w:val="21"/>
          <w:szCs w:val="21"/>
          <w:highlight w:val="none"/>
        </w:rPr>
        <w:t>权</w:t>
      </w:r>
      <w:r>
        <w:rPr>
          <w:rFonts w:hint="eastAsia" w:ascii="宋体" w:eastAsia="宋体" w:cs="宋体"/>
          <w:color w:val="auto"/>
          <w:sz w:val="21"/>
          <w:szCs w:val="21"/>
          <w:highlight w:val="none"/>
          <w:lang w:val="en-US" w:eastAsia="zh-CN"/>
        </w:rPr>
        <w:t>利</w:t>
      </w:r>
      <w:r>
        <w:rPr>
          <w:rFonts w:hint="eastAsia" w:ascii="宋体" w:eastAsia="宋体" w:cs="宋体"/>
          <w:color w:val="auto"/>
          <w:sz w:val="21"/>
          <w:szCs w:val="21"/>
          <w:highlight w:val="none"/>
        </w:rPr>
        <w:t xml:space="preserve">，乙方有澄清及申诉权。 </w:t>
      </w:r>
    </w:p>
    <w:p w14:paraId="7D62F93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3.1</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如乙方在收运服务过程中造成甲方经济损失的，甲方有权要求乙方</w:t>
      </w:r>
      <w:r>
        <w:rPr>
          <w:rFonts w:hint="eastAsia" w:ascii="宋体" w:eastAsia="宋体" w:cs="宋体"/>
          <w:color w:val="auto"/>
          <w:sz w:val="21"/>
          <w:szCs w:val="21"/>
          <w:highlight w:val="none"/>
          <w:lang w:val="en-US" w:eastAsia="zh-CN"/>
        </w:rPr>
        <w:t>赔</w:t>
      </w:r>
      <w:r>
        <w:rPr>
          <w:rFonts w:hint="eastAsia" w:ascii="宋体" w:eastAsia="宋体" w:cs="宋体"/>
          <w:color w:val="auto"/>
          <w:sz w:val="21"/>
          <w:szCs w:val="21"/>
          <w:highlight w:val="none"/>
        </w:rPr>
        <w:t>偿。</w:t>
      </w:r>
    </w:p>
    <w:p w14:paraId="609B9A78">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甲方在装卸等过程中应提醒客户配合乙方安全规范操作，确保乙方运输车辆不受损。</w:t>
      </w:r>
    </w:p>
    <w:p w14:paraId="59F1E057">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3.1</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甲方每季度对乙方进行服务质量评分考核，具体考核标准见附件。</w:t>
      </w:r>
    </w:p>
    <w:p w14:paraId="60F7B8C8">
      <w:pPr>
        <w:spacing w:line="400" w:lineRule="exact"/>
        <w:outlineLvl w:val="9"/>
        <w:rPr>
          <w:b/>
          <w:bCs/>
          <w:color w:val="auto"/>
          <w:highlight w:val="none"/>
        </w:rPr>
      </w:pPr>
      <w:bookmarkStart w:id="241" w:name="_Toc6399"/>
      <w:bookmarkStart w:id="242" w:name="_Toc4220"/>
      <w:bookmarkStart w:id="243" w:name="_Toc23991"/>
      <w:bookmarkStart w:id="244" w:name="_Toc27708"/>
      <w:bookmarkStart w:id="245" w:name="_Toc27121"/>
      <w:bookmarkStart w:id="246" w:name="_Toc4073"/>
      <w:bookmarkStart w:id="247" w:name="_Toc20196"/>
      <w:r>
        <w:rPr>
          <w:rFonts w:hint="eastAsia"/>
          <w:b/>
          <w:bCs/>
          <w:color w:val="auto"/>
          <w:highlight w:val="none"/>
        </w:rPr>
        <w:t>第四条 乙方的权利、义务和责任</w:t>
      </w:r>
      <w:bookmarkEnd w:id="241"/>
      <w:bookmarkEnd w:id="242"/>
      <w:bookmarkEnd w:id="243"/>
      <w:bookmarkEnd w:id="244"/>
      <w:bookmarkEnd w:id="245"/>
      <w:bookmarkEnd w:id="246"/>
      <w:bookmarkEnd w:id="247"/>
    </w:p>
    <w:p w14:paraId="11CFE1A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 乙方确保其《道路运输经营许可证》及所有承运车辆相关证照及运输手续真实、完整、合法、有效。乙方原则上须使用自有车辆为甲方提供服务，司机及押运员负责全程的运输</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以</w:t>
      </w:r>
      <w:r>
        <w:rPr>
          <w:rFonts w:hint="eastAsia" w:ascii="宋体" w:eastAsia="宋体" w:cs="宋体"/>
          <w:color w:val="auto"/>
          <w:sz w:val="21"/>
          <w:szCs w:val="21"/>
          <w:highlight w:val="none"/>
        </w:rPr>
        <w:t>确保危险运输的安全。若乙方使用第三方合约车辆，乙方承诺在本合同约定服务内容及范围内</w:t>
      </w:r>
      <w:r>
        <w:rPr>
          <w:rFonts w:hint="eastAsia" w:ascii="宋体" w:eastAsia="宋体" w:cs="宋体"/>
          <w:color w:val="auto"/>
          <w:sz w:val="21"/>
          <w:szCs w:val="21"/>
          <w:highlight w:val="none"/>
          <w:lang w:val="en-US" w:eastAsia="zh-CN"/>
        </w:rPr>
        <w:t>就</w:t>
      </w:r>
      <w:r>
        <w:rPr>
          <w:rFonts w:hint="eastAsia" w:ascii="宋体" w:eastAsia="宋体" w:cs="宋体"/>
          <w:color w:val="auto"/>
          <w:sz w:val="21"/>
          <w:szCs w:val="21"/>
          <w:highlight w:val="none"/>
        </w:rPr>
        <w:t>第三方</w:t>
      </w:r>
      <w:r>
        <w:rPr>
          <w:rFonts w:hint="eastAsia" w:ascii="宋体" w:eastAsia="宋体" w:cs="宋体"/>
          <w:color w:val="auto"/>
          <w:sz w:val="21"/>
          <w:szCs w:val="21"/>
          <w:highlight w:val="none"/>
          <w:lang w:val="en-US" w:eastAsia="zh-CN"/>
        </w:rPr>
        <w:t>完成的工作向甲方承担连带责任</w:t>
      </w:r>
      <w:r>
        <w:rPr>
          <w:rFonts w:hint="eastAsia" w:ascii="宋体" w:eastAsia="宋体" w:cs="宋体"/>
          <w:color w:val="auto"/>
          <w:sz w:val="21"/>
          <w:szCs w:val="21"/>
          <w:highlight w:val="none"/>
        </w:rPr>
        <w:t>，且确保第三方相关资质、资格均合法有效，完全具有履行本合同的资质。</w:t>
      </w:r>
    </w:p>
    <w:p w14:paraId="1332FF4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4.2乙方应向甲方提供司机驾驶证、车辆行驶证及押运员身份证等运输人员相关资料（复印件，原件供核对）备案。</w:t>
      </w:r>
    </w:p>
    <w:p w14:paraId="09B5A64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4.3乙方运输人员应按照《道路运输从业人员管理规定》具备道路危险货物运输从业人员从业资格并具备相应的危废运输经验，对其</w:t>
      </w:r>
      <w:r>
        <w:rPr>
          <w:rFonts w:hint="eastAsia" w:ascii="宋体" w:eastAsia="宋体" w:cs="宋体"/>
          <w:color w:val="auto"/>
          <w:sz w:val="21"/>
          <w:szCs w:val="21"/>
          <w:highlight w:val="none"/>
          <w:lang w:val="en-US" w:eastAsia="zh-CN"/>
        </w:rPr>
        <w:t>运输服务</w:t>
      </w:r>
      <w:r>
        <w:rPr>
          <w:rFonts w:hint="eastAsia" w:ascii="宋体" w:eastAsia="宋体" w:cs="宋体"/>
          <w:color w:val="auto"/>
          <w:sz w:val="21"/>
          <w:szCs w:val="21"/>
          <w:highlight w:val="none"/>
        </w:rPr>
        <w:t>人员及车辆购买保险</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其中驾驶员、押运员、车辆购买保险包括但不限于：强制险，商业险、承运险及第三者责任险累计不低于200万等</w:t>
      </w:r>
      <w:r>
        <w:rPr>
          <w:rFonts w:hint="eastAsia" w:ascii="宋体" w:eastAsia="宋体" w:cs="宋体"/>
          <w:color w:val="auto"/>
          <w:sz w:val="21"/>
          <w:szCs w:val="21"/>
          <w:highlight w:val="none"/>
        </w:rPr>
        <w:t>，并对运输服务在途过程中发生所有的意外、事故、伤害产生的损失负责。</w:t>
      </w:r>
    </w:p>
    <w:p w14:paraId="02058056">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4.4乙方需针对危险废物运输的特殊性制定完善的运作方案，其中应包含车辆的安全配置、内部组织管理架构及责任划分、事故应急预案等基本内容，并接受甲方的合理化建议。服务期间，需严格遵守道路运输、安全生产相关法律法规要求，甲方对乙方违法违规行为保留</w:t>
      </w:r>
      <w:r>
        <w:rPr>
          <w:rFonts w:hint="eastAsia" w:ascii="宋体" w:eastAsia="宋体" w:cs="宋体"/>
          <w:color w:val="auto"/>
          <w:sz w:val="21"/>
          <w:szCs w:val="21"/>
          <w:highlight w:val="none"/>
          <w:lang w:val="en-US" w:eastAsia="zh-CN"/>
        </w:rPr>
        <w:t>追究违约责任的</w:t>
      </w:r>
      <w:r>
        <w:rPr>
          <w:rFonts w:hint="eastAsia" w:ascii="宋体" w:eastAsia="宋体" w:cs="宋体"/>
          <w:color w:val="auto"/>
          <w:sz w:val="21"/>
          <w:szCs w:val="21"/>
          <w:highlight w:val="none"/>
        </w:rPr>
        <w:t>权利。因乙方违反相关法律法规、国家标准、行业标准造成的损失由乙方</w:t>
      </w:r>
      <w:r>
        <w:rPr>
          <w:rFonts w:hint="eastAsia" w:ascii="宋体" w:eastAsia="宋体" w:cs="宋体"/>
          <w:color w:val="auto"/>
          <w:sz w:val="21"/>
          <w:szCs w:val="21"/>
          <w:highlight w:val="none"/>
          <w:lang w:val="en-US" w:eastAsia="zh-CN"/>
        </w:rPr>
        <w:t>全部</w:t>
      </w:r>
      <w:r>
        <w:rPr>
          <w:rFonts w:hint="eastAsia" w:ascii="宋体" w:eastAsia="宋体" w:cs="宋体"/>
          <w:color w:val="auto"/>
          <w:sz w:val="21"/>
          <w:szCs w:val="21"/>
          <w:highlight w:val="none"/>
        </w:rPr>
        <w:t>承担。</w:t>
      </w:r>
      <w:r>
        <w:rPr>
          <w:rFonts w:hint="eastAsia" w:ascii="宋体" w:eastAsia="宋体" w:cs="宋体"/>
          <w:color w:val="auto"/>
          <w:sz w:val="21"/>
          <w:szCs w:val="21"/>
          <w:highlight w:val="none"/>
          <w:lang w:val="en-US" w:eastAsia="zh-CN"/>
        </w:rPr>
        <w:t>如乙方需要对</w:t>
      </w:r>
      <w:r>
        <w:rPr>
          <w:rFonts w:hint="eastAsia" w:ascii="宋体" w:eastAsia="宋体" w:cs="宋体"/>
          <w:color w:val="auto"/>
          <w:sz w:val="21"/>
          <w:szCs w:val="21"/>
          <w:highlight w:val="none"/>
        </w:rPr>
        <w:t>运作方案</w:t>
      </w:r>
      <w:r>
        <w:rPr>
          <w:rFonts w:hint="eastAsia" w:ascii="宋体" w:eastAsia="宋体" w:cs="宋体"/>
          <w:color w:val="auto"/>
          <w:sz w:val="21"/>
          <w:szCs w:val="21"/>
          <w:highlight w:val="none"/>
          <w:lang w:val="en-US" w:eastAsia="zh-CN"/>
        </w:rPr>
        <w:t>进行</w:t>
      </w:r>
      <w:r>
        <w:rPr>
          <w:rFonts w:hint="eastAsia" w:ascii="宋体" w:eastAsia="宋体" w:cs="宋体"/>
          <w:color w:val="auto"/>
          <w:sz w:val="21"/>
          <w:szCs w:val="21"/>
          <w:highlight w:val="none"/>
        </w:rPr>
        <w:t>重大修订（如车辆配置标准变更、应急预案调整</w:t>
      </w:r>
      <w:r>
        <w:rPr>
          <w:rFonts w:hint="eastAsia" w:ascii="宋体" w:eastAsia="宋体" w:cs="宋体"/>
          <w:color w:val="auto"/>
          <w:sz w:val="21"/>
          <w:szCs w:val="21"/>
          <w:highlight w:val="none"/>
          <w:lang w:val="en-US" w:eastAsia="zh-CN"/>
        </w:rPr>
        <w:t>等</w:t>
      </w:r>
      <w:r>
        <w:rPr>
          <w:rFonts w:hint="eastAsia" w:ascii="宋体" w:eastAsia="宋体" w:cs="宋体"/>
          <w:color w:val="auto"/>
          <w:sz w:val="21"/>
          <w:szCs w:val="21"/>
          <w:highlight w:val="none"/>
        </w:rPr>
        <w:t>）需提前5个工作日书面通知甲方。</w:t>
      </w:r>
    </w:p>
    <w:p w14:paraId="54BD8BE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4.5乙方应配备足够的人员、工器具和运输车辆，并对相关人员进行必要的岗前培训，确保安全、准时、准确地将危险废物从客户端运至甲方指定的目的地。</w:t>
      </w:r>
    </w:p>
    <w:p w14:paraId="222DD6D1">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4.6乙方自费配备必须的劳动保护用品及防护措施(配置最低标准:安全帽、劳保服、劳保鞋、防护口罩、护目镜)，特殊用品可由甲方协助提供，费用仍由乙方承担。</w:t>
      </w:r>
    </w:p>
    <w:p w14:paraId="17375080">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4.7 </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接到</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收运指令时，应在1个小时内响应是否能够承运。</w:t>
      </w:r>
    </w:p>
    <w:p w14:paraId="63B9F924">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4.8乙方</w:t>
      </w:r>
      <w:r>
        <w:rPr>
          <w:rFonts w:hint="eastAsia" w:ascii="宋体" w:eastAsia="宋体" w:cs="宋体"/>
          <w:color w:val="auto"/>
          <w:sz w:val="21"/>
          <w:szCs w:val="21"/>
          <w:highlight w:val="none"/>
        </w:rPr>
        <w:t>确认承运后，须在3个小时内按</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收运指令安排人员和车辆，并以文字形式（包含但不限于以 QQ、微信、短信、Email 等）告知</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该运输车辆的车牌号、车辆型号、司机姓名等信息，并准备好承运单等单据。如果</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确认承运后取消的，或在规定时间内未作出响应，计入相应的考核扣分（不可抗力除外）。若因</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原因导致</w:t>
      </w:r>
      <w:r>
        <w:rPr>
          <w:rFonts w:hint="eastAsia" w:ascii="宋体" w:eastAsia="宋体" w:cs="宋体"/>
          <w:color w:val="auto"/>
          <w:sz w:val="21"/>
          <w:szCs w:val="21"/>
          <w:highlight w:val="none"/>
          <w:lang w:val="en-US" w:eastAsia="zh-CN"/>
        </w:rPr>
        <w:t>甲方</w:t>
      </w:r>
      <w:r>
        <w:rPr>
          <w:rFonts w:hint="eastAsia" w:ascii="宋体" w:eastAsia="宋体" w:cs="宋体"/>
          <w:color w:val="auto"/>
          <w:sz w:val="21"/>
          <w:szCs w:val="21"/>
          <w:highlight w:val="none"/>
        </w:rPr>
        <w:t>不得不自行解决运输导致运费超支的，超支部分由乙方承担（不可抗力除外）。</w:t>
      </w:r>
    </w:p>
    <w:p w14:paraId="56AC9708">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w:t>
      </w:r>
      <w:r>
        <w:rPr>
          <w:rFonts w:hint="eastAsia" w:ascii="宋体" w:eastAsia="宋体" w:cs="宋体"/>
          <w:color w:val="auto"/>
          <w:sz w:val="21"/>
          <w:szCs w:val="21"/>
          <w:highlight w:val="none"/>
          <w:lang w:val="en-US" w:eastAsia="zh-CN"/>
        </w:rPr>
        <w:t>9</w:t>
      </w:r>
      <w:r>
        <w:rPr>
          <w:rFonts w:hint="eastAsia" w:ascii="宋体" w:eastAsia="宋体" w:cs="宋体"/>
          <w:color w:val="auto"/>
          <w:sz w:val="21"/>
          <w:szCs w:val="21"/>
          <w:highlight w:val="none"/>
        </w:rPr>
        <w:t>乙方将危废运送至甲方厂区时，乙方工作人员必须穿着符合劳保规定的防护用品，按甲方要求进行过磅，并听从甲方指挥人员将车辆开到指定区域卸货，并严格遵守甲方厂区相关环境以及安全规章制度，听取甲方人员指挥及督导。保持工作现场整洁，及时清理工作过程中产生的废物，及时清理污染的路面。如在现场提供服务时损坏了甲方的设备/设施，</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应照价赔偿。因乙方人员及车辆违反甲方厂区管理要求造成事故，责任原因在乙方的，一切责任由乙方承担。</w:t>
      </w:r>
    </w:p>
    <w:p w14:paraId="7E309B6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乙方应严格按甲方通知的运输时间执行，危险废物没有按预定时间到达时，乙方应及时与甲方取得联系，以便甲方安排人员接收废物。若因乙方超时到达客户或甲方厂区且未提前通知甲方协调接收废物造成押车的，甲方不予支付</w:t>
      </w:r>
      <w:r>
        <w:rPr>
          <w:rFonts w:hint="eastAsia" w:ascii="宋体" w:eastAsia="宋体" w:cs="宋体"/>
          <w:color w:val="auto"/>
          <w:sz w:val="21"/>
          <w:szCs w:val="21"/>
          <w:highlight w:val="none"/>
          <w:lang w:val="en-US" w:eastAsia="zh-CN"/>
        </w:rPr>
        <w:t>运输</w:t>
      </w:r>
      <w:r>
        <w:rPr>
          <w:rFonts w:hint="eastAsia" w:ascii="宋体" w:eastAsia="宋体" w:cs="宋体"/>
          <w:color w:val="auto"/>
          <w:sz w:val="21"/>
          <w:szCs w:val="21"/>
          <w:highlight w:val="none"/>
        </w:rPr>
        <w:t>费用。</w:t>
      </w:r>
    </w:p>
    <w:p w14:paraId="0B72A12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w:t>
      </w:r>
      <w:r>
        <w:rPr>
          <w:rFonts w:hint="eastAsia" w:ascii="宋体" w:eastAsia="宋体" w:cs="宋体"/>
          <w:color w:val="auto"/>
          <w:sz w:val="21"/>
          <w:szCs w:val="21"/>
          <w:highlight w:val="none"/>
          <w:lang w:val="en-US" w:eastAsia="zh-CN"/>
        </w:rPr>
        <w:t>11</w:t>
      </w:r>
      <w:r>
        <w:rPr>
          <w:rFonts w:hint="eastAsia" w:ascii="宋体" w:eastAsia="宋体" w:cs="宋体"/>
          <w:color w:val="auto"/>
          <w:sz w:val="21"/>
          <w:szCs w:val="21"/>
          <w:highlight w:val="none"/>
        </w:rPr>
        <w:t xml:space="preserve"> 乙方承担危险废物从装运上车后到安全送达目的地并完全卸货之前的全部风险</w:t>
      </w:r>
      <w:r>
        <w:rPr>
          <w:rFonts w:hint="eastAsia" w:ascii="宋体" w:eastAsia="宋体" w:cs="宋体"/>
          <w:color w:val="auto"/>
          <w:sz w:val="21"/>
          <w:szCs w:val="21"/>
          <w:highlight w:val="none"/>
          <w:lang w:val="en-US" w:eastAsia="zh-CN"/>
        </w:rPr>
        <w:t>和</w:t>
      </w:r>
      <w:r>
        <w:rPr>
          <w:rFonts w:hint="eastAsia" w:ascii="宋体" w:eastAsia="宋体" w:cs="宋体"/>
          <w:color w:val="auto"/>
          <w:sz w:val="21"/>
          <w:szCs w:val="21"/>
          <w:highlight w:val="none"/>
        </w:rPr>
        <w:t>责任（包括但不限于货物因不可抗力等因素导致的灭失、毁损风险）。乙方在承运过程中发生的包括但不限于货物被盗、丢失、淋湿、泄漏、货损、交货不清、货物破损、人员伤亡、车辆损坏、交通事故等，由乙方承担全部责任及损失，造成甲方损失（包括但不限于甲方对客户支付的违约金和赔偿金、货物价值减损或灭失的损失、行政罚款等）应由乙方负责赔偿，甲方有权就损失在</w:t>
      </w:r>
      <w:r>
        <w:rPr>
          <w:rFonts w:hint="eastAsia" w:ascii="宋体" w:eastAsia="宋体" w:cs="宋体"/>
          <w:color w:val="auto"/>
          <w:sz w:val="21"/>
          <w:szCs w:val="21"/>
          <w:highlight w:val="none"/>
          <w:lang w:val="en-US" w:eastAsia="zh-CN"/>
        </w:rPr>
        <w:t>应</w:t>
      </w:r>
      <w:r>
        <w:rPr>
          <w:rFonts w:hint="eastAsia" w:ascii="宋体" w:eastAsia="宋体" w:cs="宋体"/>
          <w:color w:val="auto"/>
          <w:sz w:val="21"/>
          <w:szCs w:val="21"/>
          <w:highlight w:val="none"/>
        </w:rPr>
        <w:t xml:space="preserve">支付乙方的运输费用中予以扣除。 </w:t>
      </w:r>
    </w:p>
    <w:p w14:paraId="56D3787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 xml:space="preserve"> 废物运输途中，必须符合国家有关环保</w:t>
      </w:r>
      <w:r>
        <w:rPr>
          <w:rFonts w:hint="eastAsia" w:ascii="宋体" w:eastAsia="宋体" w:cs="宋体"/>
          <w:color w:val="auto"/>
          <w:sz w:val="21"/>
          <w:szCs w:val="21"/>
          <w:highlight w:val="none"/>
          <w:lang w:val="en-US" w:eastAsia="zh-CN"/>
        </w:rPr>
        <w:t>法律</w:t>
      </w:r>
      <w:r>
        <w:rPr>
          <w:rFonts w:hint="eastAsia" w:ascii="宋体" w:eastAsia="宋体" w:cs="宋体"/>
          <w:color w:val="auto"/>
          <w:sz w:val="21"/>
          <w:szCs w:val="21"/>
          <w:highlight w:val="none"/>
        </w:rPr>
        <w:t>法规要求，乙方对废物运输过程</w:t>
      </w:r>
      <w:r>
        <w:rPr>
          <w:rFonts w:hint="eastAsia" w:ascii="宋体" w:eastAsia="宋体" w:cs="宋体"/>
          <w:color w:val="auto"/>
          <w:sz w:val="21"/>
          <w:szCs w:val="21"/>
          <w:highlight w:val="none"/>
          <w:lang w:val="en-US" w:eastAsia="zh-CN"/>
        </w:rPr>
        <w:t>中</w:t>
      </w:r>
      <w:r>
        <w:rPr>
          <w:rFonts w:hint="eastAsia" w:ascii="宋体" w:eastAsia="宋体" w:cs="宋体"/>
          <w:color w:val="auto"/>
          <w:sz w:val="21"/>
          <w:szCs w:val="21"/>
          <w:highlight w:val="none"/>
        </w:rPr>
        <w:t>发生的任何环境污染事故承担法律责任。在整个运输服务过程中，因乙方人员及车辆原因造成事故，责任原因在乙方的，一切责任由乙方承担。</w:t>
      </w:r>
    </w:p>
    <w:p w14:paraId="078C763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 xml:space="preserve"> 乙方必须长期对甲方的货物秘密和商业秘密承担保密义务，不得将任何货物和商业信息透露给第三方。否则乙方</w:t>
      </w:r>
      <w:r>
        <w:rPr>
          <w:rFonts w:hint="eastAsia" w:ascii="宋体" w:eastAsia="宋体" w:cs="宋体"/>
          <w:color w:val="auto"/>
          <w:sz w:val="21"/>
          <w:szCs w:val="21"/>
          <w:highlight w:val="none"/>
          <w:lang w:val="en-US" w:eastAsia="zh-CN"/>
        </w:rPr>
        <w:t>应向甲方支付违约金20万元，违约金不足以弥补甲方因此造成的损失的，乙方还应继续赔偿</w:t>
      </w:r>
      <w:r>
        <w:rPr>
          <w:rFonts w:hint="eastAsia" w:ascii="宋体" w:eastAsia="宋体" w:cs="宋体"/>
          <w:color w:val="auto"/>
          <w:sz w:val="21"/>
          <w:szCs w:val="21"/>
          <w:highlight w:val="none"/>
        </w:rPr>
        <w:t>甲方全部损失。</w:t>
      </w:r>
    </w:p>
    <w:p w14:paraId="05FEE71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 xml:space="preserve"> 其他服务要求</w:t>
      </w:r>
    </w:p>
    <w:p w14:paraId="6DFDDC27">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.1 乙方需要为危险废物装卸提供必要设备支持，包含但不限于升降尾板、手动（电动）叉车、电子叉车秤、抽液设备及管道。</w:t>
      </w:r>
    </w:p>
    <w:p w14:paraId="399C3F2C">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.2 乙方运输车辆设施设备完整、并确保消防应急物资、防泄漏物资的充分配置，同时需确保车辆资质证件在有效期内。</w:t>
      </w:r>
    </w:p>
    <w:p w14:paraId="02B9A5A4">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3乙方需对甲方现场危险废物有初步的识别和判断，具备甲方下发派车单列表中载明的危废名称与甲方现场危废的一致性评估的能力，具备废物种类分辨、废物包装的规范性核查、废物标签的完整性辨识的能力。若出现运输人员无法判断的异常情况时，应及时反馈甲方协助处理；经运输人员判断有风险时亦须立刻反馈甲方协助处理。</w:t>
      </w:r>
    </w:p>
    <w:p w14:paraId="4A7B1C0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.4 其他：</w:t>
      </w:r>
    </w:p>
    <w:p w14:paraId="4E2636F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Ⅰ、严格遵守甲方现场要求，不得违反相关厂规厂纪；</w:t>
      </w:r>
    </w:p>
    <w:p w14:paraId="6596EA4F">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Ⅱ、乙方违规行为将根据采购文件及本合同约定</w:t>
      </w:r>
      <w:r>
        <w:rPr>
          <w:rFonts w:hint="eastAsia" w:ascii="宋体" w:eastAsia="宋体" w:cs="宋体"/>
          <w:color w:val="auto"/>
          <w:sz w:val="21"/>
          <w:szCs w:val="21"/>
          <w:highlight w:val="none"/>
          <w:lang w:val="en-US" w:eastAsia="zh-CN"/>
        </w:rPr>
        <w:t>追究违约责任</w:t>
      </w:r>
      <w:r>
        <w:rPr>
          <w:rFonts w:hint="eastAsia" w:ascii="宋体" w:eastAsia="宋体" w:cs="宋体"/>
          <w:color w:val="auto"/>
          <w:sz w:val="21"/>
          <w:szCs w:val="21"/>
          <w:highlight w:val="none"/>
        </w:rPr>
        <w:t>；</w:t>
      </w:r>
    </w:p>
    <w:p w14:paraId="0BEF4A91">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Ⅲ、乙方根据甲方提供的整改意见限时整改；乙方可根据实际情况进行举证，经查确不属于乙方责任的，</w:t>
      </w:r>
      <w:r>
        <w:rPr>
          <w:rFonts w:hint="eastAsia" w:ascii="宋体" w:eastAsia="宋体" w:cs="宋体"/>
          <w:color w:val="auto"/>
          <w:sz w:val="21"/>
          <w:szCs w:val="21"/>
          <w:highlight w:val="none"/>
          <w:lang w:eastAsia="zh-CN"/>
        </w:rPr>
        <w:t>免予</w:t>
      </w:r>
      <w:r>
        <w:rPr>
          <w:rFonts w:hint="eastAsia" w:ascii="宋体" w:eastAsia="宋体" w:cs="宋体"/>
          <w:color w:val="auto"/>
          <w:sz w:val="21"/>
          <w:szCs w:val="21"/>
          <w:highlight w:val="none"/>
          <w:lang w:val="en-US" w:eastAsia="zh-CN"/>
        </w:rPr>
        <w:t>追究违约责任</w:t>
      </w:r>
      <w:r>
        <w:rPr>
          <w:rFonts w:hint="eastAsia" w:ascii="宋体" w:eastAsia="宋体" w:cs="宋体"/>
          <w:color w:val="auto"/>
          <w:sz w:val="21"/>
          <w:szCs w:val="21"/>
          <w:highlight w:val="none"/>
        </w:rPr>
        <w:t>；</w:t>
      </w:r>
    </w:p>
    <w:p w14:paraId="360C6705">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Ⅳ、携带包装物费用、装卸费、</w:t>
      </w:r>
      <w:r>
        <w:rPr>
          <w:rFonts w:hint="eastAsia" w:ascii="宋体" w:eastAsia="宋体" w:cs="宋体"/>
          <w:color w:val="auto"/>
          <w:sz w:val="21"/>
          <w:szCs w:val="21"/>
          <w:highlight w:val="none"/>
          <w:lang w:val="en-US" w:eastAsia="zh-CN"/>
        </w:rPr>
        <w:t>违约责任</w:t>
      </w:r>
      <w:r>
        <w:rPr>
          <w:rFonts w:hint="eastAsia" w:ascii="宋体" w:eastAsia="宋体" w:cs="宋体"/>
          <w:color w:val="auto"/>
          <w:sz w:val="21"/>
          <w:szCs w:val="21"/>
          <w:highlight w:val="none"/>
        </w:rPr>
        <w:t>标准，甲方有最终解释权。</w:t>
      </w:r>
    </w:p>
    <w:p w14:paraId="6843DA03">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Ⅴ、乙方应提供</w:t>
      </w:r>
      <w:r>
        <w:rPr>
          <w:rFonts w:hint="eastAsia" w:ascii="宋体" w:eastAsia="宋体" w:cs="宋体"/>
          <w:color w:val="auto"/>
          <w:sz w:val="21"/>
          <w:szCs w:val="21"/>
          <w:highlight w:val="none"/>
          <w:lang w:val="en-US" w:eastAsia="zh-CN"/>
        </w:rPr>
        <w:t>危废</w:t>
      </w:r>
      <w:r>
        <w:rPr>
          <w:rFonts w:hint="eastAsia" w:ascii="宋体" w:eastAsia="宋体" w:cs="宋体"/>
          <w:color w:val="auto"/>
          <w:sz w:val="21"/>
          <w:szCs w:val="21"/>
          <w:highlight w:val="none"/>
        </w:rPr>
        <w:t>运输车辆的《行驶证》《道路运输证》、强制险保单、商业险保单、危险货物承运人保单证件资料。（乙方提供相关证明材料）</w:t>
      </w:r>
    </w:p>
    <w:p w14:paraId="0AEFA76C">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Ⅵ、乙方应提供</w:t>
      </w:r>
      <w:r>
        <w:rPr>
          <w:rFonts w:hint="eastAsia" w:ascii="宋体" w:eastAsia="宋体" w:cs="宋体"/>
          <w:color w:val="auto"/>
          <w:sz w:val="21"/>
          <w:szCs w:val="21"/>
          <w:highlight w:val="none"/>
          <w:lang w:val="en-US" w:eastAsia="zh-CN"/>
        </w:rPr>
        <w:t>危废</w:t>
      </w:r>
      <w:r>
        <w:rPr>
          <w:rFonts w:hint="eastAsia" w:ascii="宋体" w:eastAsia="宋体" w:cs="宋体"/>
          <w:color w:val="auto"/>
          <w:sz w:val="21"/>
          <w:szCs w:val="21"/>
          <w:highlight w:val="none"/>
        </w:rPr>
        <w:t>运输司机《身份证》《驾驶证》《危运证》、近半年内所在公司给予购买的任意1个月社保证明证件资料。（乙方提供相关证明材料）</w:t>
      </w:r>
    </w:p>
    <w:p w14:paraId="2C1934A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Ⅶ、乙方应提供</w:t>
      </w:r>
      <w:r>
        <w:rPr>
          <w:rFonts w:hint="eastAsia" w:ascii="宋体" w:eastAsia="宋体" w:cs="宋体"/>
          <w:color w:val="auto"/>
          <w:sz w:val="21"/>
          <w:szCs w:val="21"/>
          <w:highlight w:val="none"/>
          <w:lang w:val="en-US" w:eastAsia="zh-CN"/>
        </w:rPr>
        <w:t>危废运输</w:t>
      </w:r>
      <w:r>
        <w:rPr>
          <w:rFonts w:hint="eastAsia" w:ascii="宋体" w:eastAsia="宋体" w:cs="宋体"/>
          <w:color w:val="auto"/>
          <w:sz w:val="21"/>
          <w:szCs w:val="21"/>
          <w:highlight w:val="none"/>
        </w:rPr>
        <w:t>押运员《身份证》《押运证》、近半年内所在公司给予购买的任意1个月社保证明证件资料。（乙方提供相关证明材料）</w:t>
      </w:r>
    </w:p>
    <w:p w14:paraId="41570741">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5跳单处罚：无法响应甲方派车需求的均属于跳单行为。甲方安排厢车乙方20台车/天及以内时，乙方无法响应的，跳单处罚金额为甲方使用其他运输单位支出运输费用的2倍；甲方当日15时之后安排次日运输任务且超过20台车/天以上时，乙方无法提供服务的，仅需承担甲方使用其他运输单位支出的运输费用。跳单处罚款项于跳单所属月份的运输费中扣除。运费不足以与抵扣时，从履约保证金中扣除。备注：跳单考核包括乙方已进行响应，后因乙方原因，无法按要求日期或逾期超过5小时抵达客户现场进行收运的情况。</w:t>
      </w:r>
    </w:p>
    <w:p w14:paraId="096B10D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4.16乙方跳单达3车/月，甲方有权暂停与乙方的合作，并视整改情况进行恢复，累计跳单达10车，甲方有权与乙方解除《危险废物运输服务合同》，同时扣除履约保证金。</w:t>
      </w:r>
    </w:p>
    <w:p w14:paraId="456D5D58">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4.1</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除本合同约定外，乙方所提供运输服务同时应满足本服务项目采购文件中的《用户需求书》等相关文件关于运输服务的要求，如有违反，同样视为违约。</w:t>
      </w:r>
    </w:p>
    <w:p w14:paraId="7F5C52AE">
      <w:pPr>
        <w:spacing w:line="400" w:lineRule="exact"/>
        <w:outlineLvl w:val="9"/>
        <w:rPr>
          <w:b/>
          <w:bCs/>
          <w:color w:val="auto"/>
          <w:highlight w:val="none"/>
        </w:rPr>
      </w:pPr>
      <w:bookmarkStart w:id="248" w:name="_Toc19544"/>
      <w:bookmarkStart w:id="249" w:name="_Toc12139"/>
      <w:bookmarkStart w:id="250" w:name="_Toc12374"/>
      <w:bookmarkStart w:id="251" w:name="_Toc1843"/>
      <w:bookmarkStart w:id="252" w:name="_Toc3344"/>
      <w:bookmarkStart w:id="253" w:name="_Toc11363"/>
      <w:bookmarkStart w:id="254" w:name="_Toc11502"/>
      <w:r>
        <w:rPr>
          <w:rFonts w:hint="eastAsia"/>
          <w:b/>
          <w:bCs/>
          <w:color w:val="auto"/>
          <w:highlight w:val="none"/>
        </w:rPr>
        <w:t>第五条 乙方运输方式、车辆配置及安全要求</w:t>
      </w:r>
      <w:bookmarkEnd w:id="248"/>
      <w:bookmarkEnd w:id="249"/>
      <w:bookmarkEnd w:id="250"/>
      <w:bookmarkEnd w:id="251"/>
      <w:bookmarkEnd w:id="252"/>
      <w:bookmarkEnd w:id="253"/>
      <w:bookmarkEnd w:id="254"/>
      <w:r>
        <w:rPr>
          <w:rFonts w:hint="eastAsia"/>
          <w:b/>
          <w:bCs/>
          <w:color w:val="auto"/>
          <w:highlight w:val="none"/>
        </w:rPr>
        <w:t xml:space="preserve">  </w:t>
      </w:r>
    </w:p>
    <w:p w14:paraId="307BA605">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5.1 运输方式：符合国家相关法律法规文件规定的特种危险品货物运输汽车。 </w:t>
      </w:r>
    </w:p>
    <w:p w14:paraId="4A5E2230">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5.2 车辆配置及安全要求：  </w:t>
      </w:r>
    </w:p>
    <w:p w14:paraId="21D681B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5.2.1 参与承运甲方货物的车辆必须保持车况良好，车容整洁。 </w:t>
      </w:r>
    </w:p>
    <w:p w14:paraId="32BF3C57">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5.2.2 乙方所承运的危险品车辆，除了符合上述要求外，还必须具备交通运输部令2019年第42号文件等相关法律法规规定的承运危险品车辆的一切条件和物资： </w:t>
      </w:r>
    </w:p>
    <w:p w14:paraId="39745F5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Ⅰ、危险品专用车辆技术等级达到行业标准《营运车辆技术等级划分和评定要求》（JT/T198）规定的一级技术等级。   </w:t>
      </w:r>
    </w:p>
    <w:p w14:paraId="03A7EA6E">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Ⅱ、危险品专用车辆需安装GPS定位装置、行车记录仪等安全行车监控系统，并实施24小时全天候监控。  </w:t>
      </w:r>
    </w:p>
    <w:p w14:paraId="1EF857D4">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Ⅲ、专用车辆驾驶员应当随车携带《道路运输经营许可证》。</w:t>
      </w:r>
    </w:p>
    <w:p w14:paraId="3F09A50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Ⅳ、每辆运输车司机在与客户签收完提货单后手机APP扫码产废单位二维码，如实填写承运人基本信息。</w:t>
      </w:r>
    </w:p>
    <w:p w14:paraId="60026323">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Ⅴ、在承运甲方货物整个过程中，除驾驶人员外，专用车辆上应当另外配备押运人员，其应随身携带从业资格证，并对运输全过程进行监管。 </w:t>
      </w:r>
    </w:p>
    <w:p w14:paraId="59E94D60">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5.2.3行车前必须检查车辆安全情况，随车附2条备用轮胎以及必须的消防设施，确保正常运输。配备倒车警报系统及倒车照明装置。进入甲方厂区内车辆必须佩戴防火罩。</w:t>
      </w:r>
    </w:p>
    <w:p w14:paraId="272B13FC">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5.2.4 运输途中需要停车住宿或者遇有无法正常运输的情况时，依法应当向当地公安部门报告。 </w:t>
      </w:r>
    </w:p>
    <w:p w14:paraId="353FB4AF">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rPr>
        <w:t>5.2.5 乙方承运车辆及人员到达目的地时，甲方收货人有权对其进行检查，对不符合上述要求，甲方有权提出限时整改，乙方应积极配合完成整改。</w:t>
      </w:r>
    </w:p>
    <w:p w14:paraId="587A695A">
      <w:pPr>
        <w:pStyle w:val="44"/>
        <w:spacing w:line="400" w:lineRule="exact"/>
        <w:ind w:firstLine="433"/>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5.2.6乙方必须具备城市内各限行区域的通行证，若交管部门变动限行区域，乙方需要承诺及时办理通行证，且不得因此拒绝提供服务。</w:t>
      </w:r>
    </w:p>
    <w:p w14:paraId="747FF992">
      <w:pPr>
        <w:spacing w:line="400" w:lineRule="exact"/>
        <w:outlineLvl w:val="9"/>
        <w:rPr>
          <w:b/>
          <w:bCs/>
          <w:color w:val="auto"/>
          <w:highlight w:val="none"/>
        </w:rPr>
      </w:pPr>
      <w:bookmarkStart w:id="255" w:name="_Toc31318"/>
      <w:bookmarkStart w:id="256" w:name="_Toc12011"/>
      <w:bookmarkStart w:id="257" w:name="_Toc14696"/>
      <w:bookmarkStart w:id="258" w:name="_Toc14072"/>
      <w:bookmarkStart w:id="259" w:name="_Toc20080"/>
      <w:bookmarkStart w:id="260" w:name="_Toc22021"/>
      <w:bookmarkStart w:id="261" w:name="_Toc5105"/>
      <w:r>
        <w:rPr>
          <w:rFonts w:hint="eastAsia"/>
          <w:b/>
          <w:bCs/>
          <w:color w:val="auto"/>
          <w:highlight w:val="none"/>
        </w:rPr>
        <w:t>第六条 转运注意事项</w:t>
      </w:r>
      <w:bookmarkEnd w:id="255"/>
      <w:bookmarkEnd w:id="256"/>
      <w:bookmarkEnd w:id="257"/>
      <w:bookmarkEnd w:id="258"/>
      <w:bookmarkEnd w:id="259"/>
      <w:bookmarkEnd w:id="260"/>
      <w:bookmarkEnd w:id="261"/>
    </w:p>
    <w:p w14:paraId="2C20DDF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6.1 甲乙双方必须严格执行《中华人民共和国固体废物污染环境防治法》的规定，本合同涉及的危险废物必须经环境保护行政主管部门批准及甲方同意后方可进行转移运输。</w:t>
      </w:r>
    </w:p>
    <w:p w14:paraId="6163FD07">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6.2 甲乙双方交接危险废物时，必须认真执行《危险废物转移管理办法》的相关规定，甲方需协助甲方客户在“广东省固体废物环境监管信息平台”及时准确填写危险废物转移电子联单。</w:t>
      </w:r>
    </w:p>
    <w:p w14:paraId="20D50E8F">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rPr>
        <w:t>6.3乙方的所有操作过程均应严格遵守相关法律法规如《危险货物运输包装通用技术条件》（GB12463-2009）等、国家环保和卫生要求、双方合同约定、</w:t>
      </w:r>
      <w:r>
        <w:rPr>
          <w:rFonts w:hint="eastAsia" w:ascii="宋体" w:eastAsia="宋体" w:cs="宋体"/>
          <w:color w:val="auto"/>
          <w:sz w:val="21"/>
          <w:szCs w:val="21"/>
          <w:highlight w:val="none"/>
          <w:lang w:eastAsia="zh-CN"/>
        </w:rPr>
        <w:t>甲方</w:t>
      </w:r>
      <w:r>
        <w:rPr>
          <w:rFonts w:hint="eastAsia" w:ascii="宋体" w:eastAsia="宋体" w:cs="宋体"/>
          <w:color w:val="auto"/>
          <w:sz w:val="21"/>
          <w:szCs w:val="21"/>
          <w:highlight w:val="none"/>
        </w:rPr>
        <w:t>现场管理规定，确保安全。</w:t>
      </w:r>
    </w:p>
    <w:p w14:paraId="5D27B2A4">
      <w:pPr>
        <w:spacing w:line="400" w:lineRule="exact"/>
        <w:outlineLvl w:val="9"/>
        <w:rPr>
          <w:rFonts w:hint="default" w:eastAsia="宋体"/>
          <w:b/>
          <w:bCs/>
          <w:color w:val="auto"/>
          <w:highlight w:val="none"/>
          <w:lang w:val="en-US" w:eastAsia="zh-CN"/>
        </w:rPr>
      </w:pPr>
      <w:bookmarkStart w:id="262" w:name="_Toc13739"/>
      <w:bookmarkStart w:id="263" w:name="_Toc5780"/>
      <w:bookmarkStart w:id="264" w:name="_Toc4841"/>
      <w:bookmarkStart w:id="265" w:name="_Toc29975"/>
      <w:bookmarkStart w:id="266" w:name="_Toc17455"/>
      <w:bookmarkStart w:id="267" w:name="_Toc8581"/>
      <w:bookmarkStart w:id="268" w:name="_Toc31145"/>
      <w:r>
        <w:rPr>
          <w:rFonts w:hint="eastAsia"/>
          <w:b/>
          <w:bCs/>
          <w:color w:val="auto"/>
          <w:highlight w:val="none"/>
        </w:rPr>
        <w:t xml:space="preserve">第七条 </w:t>
      </w:r>
      <w:r>
        <w:rPr>
          <w:rFonts w:hint="eastAsia"/>
          <w:b/>
          <w:bCs/>
          <w:color w:val="auto"/>
          <w:highlight w:val="none"/>
          <w:lang w:val="en-US" w:eastAsia="zh-CN"/>
        </w:rPr>
        <w:t>计费规则</w:t>
      </w:r>
    </w:p>
    <w:p w14:paraId="43216905">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7.1</w:t>
      </w:r>
      <w:r>
        <w:rPr>
          <w:rFonts w:hint="eastAsia" w:ascii="宋体" w:eastAsia="宋体" w:cs="宋体"/>
          <w:color w:val="auto"/>
          <w:sz w:val="21"/>
          <w:szCs w:val="21"/>
          <w:highlight w:val="none"/>
        </w:rPr>
        <w:t>货物的起运（装货）、到达（卸货）地及运输费用：</w:t>
      </w:r>
      <w:r>
        <w:rPr>
          <w:rFonts w:hint="eastAsia" w:ascii="宋体" w:eastAsia="宋体" w:cs="宋体"/>
          <w:b/>
          <w:bCs/>
          <w:color w:val="auto"/>
          <w:sz w:val="21"/>
          <w:szCs w:val="21"/>
          <w:highlight w:val="none"/>
        </w:rPr>
        <w:t>见</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附件3《危险废物运输费单价表》</w:t>
      </w:r>
      <w:r>
        <w:rPr>
          <w:rFonts w:hint="eastAsia" w:ascii="宋体" w:eastAsia="宋体" w:cs="宋体"/>
          <w:color w:val="auto"/>
          <w:sz w:val="21"/>
          <w:szCs w:val="21"/>
          <w:highlight w:val="none"/>
        </w:rPr>
        <w:t>。</w:t>
      </w:r>
    </w:p>
    <w:p w14:paraId="76B925A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7.2</w:t>
      </w:r>
      <w:r>
        <w:rPr>
          <w:rFonts w:hint="eastAsia" w:ascii="宋体" w:eastAsia="宋体" w:cs="宋体"/>
          <w:color w:val="auto"/>
          <w:sz w:val="21"/>
          <w:szCs w:val="21"/>
          <w:highlight w:val="none"/>
        </w:rPr>
        <w:t>乙方在提供收运服务过程中发现甲方客户危险废物的包装或标识标签不符合要求时，应与甲方客户做必要沟通，如甲方客户无意配合，乙方应第一时间知会甲方，以便甲方及时与客户沟通及做出相应处理（承运、拒运或其它），乙方应予以配合。未经甲方同意，乙方不得从甲方客户处空车返回，否则甲方有权拒付该趟空车运输费用；乙方经甲方同意空车返回的，空车返回费用参照</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附件4《运输杂费及计费规则》</w:t>
      </w:r>
      <w:r>
        <w:rPr>
          <w:rFonts w:hint="eastAsia" w:ascii="宋体" w:eastAsia="宋体" w:cs="宋体"/>
          <w:color w:val="auto"/>
          <w:sz w:val="21"/>
          <w:szCs w:val="21"/>
          <w:highlight w:val="none"/>
        </w:rPr>
        <w:t>处理。</w:t>
      </w:r>
    </w:p>
    <w:p w14:paraId="7844412D">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7.3</w:t>
      </w:r>
      <w:r>
        <w:rPr>
          <w:rFonts w:hint="eastAsia" w:ascii="宋体" w:eastAsia="宋体" w:cs="宋体"/>
          <w:color w:val="auto"/>
          <w:sz w:val="21"/>
          <w:szCs w:val="21"/>
          <w:highlight w:val="none"/>
        </w:rPr>
        <w:t>乙方工作人员（司机、押运人员）在甲方客户工厂提货时应严格遵守客户相关管理要求。同时，必须核对危险废物的种类、数量、包装、标识标签，在与客户交接时必须要求客户在</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附件8《承运单》</w:t>
      </w:r>
      <w:r>
        <w:rPr>
          <w:rFonts w:hint="eastAsia" w:ascii="宋体" w:eastAsia="宋体" w:cs="宋体"/>
          <w:color w:val="auto"/>
          <w:sz w:val="21"/>
          <w:szCs w:val="21"/>
          <w:highlight w:val="none"/>
        </w:rPr>
        <w:t>上签名确认，如会额外产生装卸及其他费用，必须提前与甲方联系并解决（经甲方确认额外费用属实且必须时，按</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附件4《运输杂费及计费规则》</w:t>
      </w:r>
      <w:r>
        <w:rPr>
          <w:rFonts w:hint="eastAsia" w:ascii="宋体" w:eastAsia="宋体" w:cs="宋体"/>
          <w:color w:val="auto"/>
          <w:sz w:val="21"/>
          <w:szCs w:val="21"/>
          <w:highlight w:val="none"/>
        </w:rPr>
        <w:t>、</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w:t>
      </w:r>
      <w:r>
        <w:rPr>
          <w:rFonts w:hint="eastAsia" w:ascii="宋体" w:eastAsia="宋体" w:cs="宋体"/>
          <w:b/>
          <w:bCs/>
          <w:color w:val="auto"/>
          <w:sz w:val="21"/>
          <w:szCs w:val="21"/>
          <w:highlight w:val="none"/>
          <w:lang w:val="en-US" w:eastAsia="zh-CN"/>
        </w:rPr>
        <w:t>7</w:t>
      </w:r>
      <w:r>
        <w:rPr>
          <w:rFonts w:hint="eastAsia" w:ascii="宋体" w:eastAsia="宋体" w:cs="宋体"/>
          <w:b/>
          <w:bCs/>
          <w:color w:val="auto"/>
          <w:sz w:val="21"/>
          <w:szCs w:val="21"/>
          <w:highlight w:val="none"/>
        </w:rPr>
        <w:t>《运输单位搬运费分级标准》</w:t>
      </w:r>
      <w:r>
        <w:rPr>
          <w:rFonts w:hint="eastAsia" w:ascii="宋体" w:eastAsia="宋体" w:cs="宋体"/>
          <w:color w:val="auto"/>
          <w:sz w:val="21"/>
          <w:szCs w:val="21"/>
          <w:highlight w:val="none"/>
        </w:rPr>
        <w:t>计费），否则甲方不予承认此费用。乙方在甲方客户作业不当或因乙方原因造成客户损失的，由乙方承担相关赔偿责任，甲方有权就损失在</w:t>
      </w:r>
      <w:r>
        <w:rPr>
          <w:rFonts w:hint="eastAsia" w:ascii="宋体" w:eastAsia="宋体" w:cs="宋体"/>
          <w:color w:val="auto"/>
          <w:sz w:val="21"/>
          <w:szCs w:val="21"/>
          <w:highlight w:val="none"/>
          <w:lang w:val="en-US" w:eastAsia="zh-CN"/>
        </w:rPr>
        <w:t>应</w:t>
      </w:r>
      <w:r>
        <w:rPr>
          <w:rFonts w:hint="eastAsia" w:ascii="宋体" w:eastAsia="宋体" w:cs="宋体"/>
          <w:color w:val="auto"/>
          <w:sz w:val="21"/>
          <w:szCs w:val="21"/>
          <w:highlight w:val="none"/>
        </w:rPr>
        <w:t>支付乙方的运输费用中予以扣除。</w:t>
      </w:r>
    </w:p>
    <w:p w14:paraId="3A1CA18A">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7.4</w:t>
      </w:r>
      <w:r>
        <w:rPr>
          <w:rFonts w:hint="eastAsia" w:ascii="宋体" w:eastAsia="宋体" w:cs="宋体"/>
          <w:color w:val="auto"/>
          <w:sz w:val="21"/>
          <w:szCs w:val="21"/>
          <w:highlight w:val="none"/>
        </w:rPr>
        <w:t>乙方需严格遵守甲方相关要求，甲方有权进行考核，并对乙方进行处罚；对于违反相关要求的人员和行为，甲方有权对相关人员进行处罚。对于违反相关要求导致危害后果的，乙方需进行赔偿。相关要求详见</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w:t>
      </w:r>
      <w:r>
        <w:rPr>
          <w:rFonts w:hint="eastAsia" w:ascii="宋体" w:eastAsia="宋体" w:cs="宋体"/>
          <w:b/>
          <w:bCs/>
          <w:color w:val="auto"/>
          <w:sz w:val="21"/>
          <w:szCs w:val="21"/>
          <w:highlight w:val="none"/>
          <w:lang w:val="en-US" w:eastAsia="zh-CN"/>
        </w:rPr>
        <w:t>5</w:t>
      </w:r>
      <w:r>
        <w:rPr>
          <w:rFonts w:hint="eastAsia" w:ascii="宋体" w:eastAsia="宋体" w:cs="宋体"/>
          <w:b/>
          <w:bCs/>
          <w:color w:val="auto"/>
          <w:sz w:val="21"/>
          <w:szCs w:val="21"/>
          <w:highlight w:val="none"/>
        </w:rPr>
        <w:t>《东莞市新东欣环保投资有限公司承运单位违规行为处罚条款》</w:t>
      </w:r>
      <w:r>
        <w:rPr>
          <w:rFonts w:hint="eastAsia" w:ascii="宋体" w:eastAsia="宋体" w:cs="宋体"/>
          <w:color w:val="auto"/>
          <w:sz w:val="21"/>
          <w:szCs w:val="21"/>
          <w:highlight w:val="none"/>
        </w:rPr>
        <w:t>。甲方按季度对乙方进行季度评分考核，根据考核结果</w:t>
      </w:r>
      <w:r>
        <w:rPr>
          <w:rFonts w:hint="eastAsia" w:ascii="宋体" w:eastAsia="宋体" w:cs="宋体"/>
          <w:color w:val="auto"/>
          <w:sz w:val="21"/>
          <w:szCs w:val="21"/>
          <w:highlight w:val="none"/>
          <w:lang w:val="en-US" w:eastAsia="zh-CN"/>
        </w:rPr>
        <w:t>追究违约责任</w:t>
      </w:r>
      <w:r>
        <w:rPr>
          <w:rFonts w:hint="eastAsia" w:ascii="宋体" w:eastAsia="宋体" w:cs="宋体"/>
          <w:color w:val="auto"/>
          <w:sz w:val="21"/>
          <w:szCs w:val="21"/>
          <w:highlight w:val="none"/>
        </w:rPr>
        <w:t>，考核内容详见</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附件6《运输商季度考核评分表》</w:t>
      </w:r>
      <w:r>
        <w:rPr>
          <w:rFonts w:hint="eastAsia" w:ascii="宋体" w:eastAsia="宋体" w:cs="宋体"/>
          <w:color w:val="auto"/>
          <w:sz w:val="21"/>
          <w:szCs w:val="21"/>
          <w:highlight w:val="none"/>
        </w:rPr>
        <w:t>。</w:t>
      </w:r>
    </w:p>
    <w:p w14:paraId="6D505BCE">
      <w:pPr>
        <w:spacing w:line="400" w:lineRule="exact"/>
        <w:outlineLvl w:val="9"/>
        <w:rPr>
          <w:b/>
          <w:bCs/>
          <w:color w:val="auto"/>
          <w:highlight w:val="none"/>
        </w:rPr>
      </w:pPr>
      <w:r>
        <w:rPr>
          <w:rFonts w:hint="eastAsia"/>
          <w:b/>
          <w:bCs/>
          <w:color w:val="auto"/>
          <w:highlight w:val="none"/>
        </w:rPr>
        <w:t>第</w:t>
      </w:r>
      <w:r>
        <w:rPr>
          <w:rFonts w:hint="eastAsia"/>
          <w:b/>
          <w:bCs/>
          <w:color w:val="auto"/>
          <w:highlight w:val="none"/>
          <w:lang w:val="en-US" w:eastAsia="zh-CN"/>
        </w:rPr>
        <w:t>八</w:t>
      </w:r>
      <w:r>
        <w:rPr>
          <w:rFonts w:hint="eastAsia"/>
          <w:b/>
          <w:bCs/>
          <w:color w:val="auto"/>
          <w:highlight w:val="none"/>
        </w:rPr>
        <w:t>条 结算方式</w:t>
      </w:r>
      <w:bookmarkEnd w:id="262"/>
      <w:bookmarkEnd w:id="263"/>
      <w:bookmarkEnd w:id="264"/>
      <w:bookmarkEnd w:id="265"/>
      <w:bookmarkEnd w:id="266"/>
      <w:bookmarkEnd w:id="267"/>
      <w:bookmarkEnd w:id="268"/>
    </w:p>
    <w:p w14:paraId="3AA0CDAA">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履约保证金：乙方的投标保证金¥94,000.00元（玖万肆仟元整）在合同签订后自动转为履约保证金，履约保证金作为乙方在履约过程中违约金或罚款的扣罚来源之一，履约保证金返还申请时间为合同期满之日，乙方在没有任何违约的情况下提交退款申请，收到乙方申请后30个日历日内，甲方一次性无息退回。</w:t>
      </w:r>
    </w:p>
    <w:p w14:paraId="267B67BC">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（1）下列任何情况发生时，甲方有权没收履约保证金：</w:t>
      </w:r>
    </w:p>
    <w:p w14:paraId="67E3C28A">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①乙方在合同履行过程中出现项目质量事故、工期拖延、欠付工人工资、欠付材料款等情况，且经甲方责令要求整改仍未改正的，甲方在经核查属实后，乙方造成甲方损失的，甲方有权立即没收其履约保证金，若造成损失超过履约担保的，还应当对超过部分予以赔偿。</w:t>
      </w:r>
    </w:p>
    <w:p w14:paraId="7884A0AB">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②乙方将本项目转让给他人，或者在投标文件中未说明，且未经甲方同意，将中标项目分包给他人的；</w:t>
      </w:r>
    </w:p>
    <w:p w14:paraId="300862F7">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③乙方在履行采购合同期间，违反有关法律法规的规定及合同约定的条款，损害了甲方的利益。</w:t>
      </w:r>
    </w:p>
    <w:p w14:paraId="3EA7BB1F">
      <w:pPr>
        <w:pStyle w:val="44"/>
        <w:spacing w:line="400" w:lineRule="exact"/>
        <w:ind w:firstLine="433"/>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（2）在合同期满后，乙方向甲方提交退回履约保证金的申请，甲方在乙方将所有未决索赔、争议或违约责任解决完毕后并经甲方确认后30个日历日内办理履约担保退还手续。</w:t>
      </w:r>
    </w:p>
    <w:p w14:paraId="23C6C8A9">
      <w:pPr>
        <w:pStyle w:val="44"/>
        <w:spacing w:line="400" w:lineRule="exact"/>
        <w:ind w:firstLine="433"/>
        <w:outlineLvl w:val="9"/>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.2</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附件3《危险废物运输费单价表》</w:t>
      </w:r>
      <w:r>
        <w:rPr>
          <w:rFonts w:hint="eastAsia" w:ascii="宋体" w:eastAsia="宋体" w:cs="宋体"/>
          <w:color w:val="auto"/>
          <w:sz w:val="21"/>
          <w:szCs w:val="21"/>
          <w:highlight w:val="none"/>
        </w:rPr>
        <w:t>报价为含税价，包括本次采购所有服务内容的费用</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包括但不限于人工、油料、保险（含人员及车辆保险等）、车辆维修保养、成本、利润、措施费、税费及合同实施过程中的不可预见费用等全部费用</w:t>
      </w:r>
      <w:r>
        <w:rPr>
          <w:rFonts w:hint="eastAsia" w:ascii="宋体" w:eastAsia="宋体" w:cs="宋体"/>
          <w:color w:val="auto"/>
          <w:sz w:val="21"/>
          <w:szCs w:val="21"/>
          <w:highlight w:val="none"/>
          <w:lang w:eastAsia="zh-CN"/>
        </w:rPr>
        <w:t>，</w:t>
      </w:r>
      <w:r>
        <w:rPr>
          <w:rFonts w:hint="eastAsia" w:ascii="宋体" w:eastAsia="宋体" w:cs="宋体"/>
          <w:color w:val="auto"/>
          <w:sz w:val="21"/>
          <w:szCs w:val="21"/>
          <w:highlight w:val="none"/>
        </w:rPr>
        <w:t>但不含运输杂费及搬运费等，运输杂费及搬运费根据</w:t>
      </w:r>
      <w:r>
        <w:rPr>
          <w:rFonts w:hint="eastAsia" w:ascii="宋体" w:eastAsia="宋体" w:cs="宋体"/>
          <w:b w:val="0"/>
          <w:bCs w:val="0"/>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《运输杂费及计费规则》和</w:t>
      </w:r>
      <w:r>
        <w:rPr>
          <w:rFonts w:hint="eastAsia" w:ascii="宋体" w:eastAsia="宋体" w:cs="宋体"/>
          <w:b w:val="0"/>
          <w:bCs w:val="0"/>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《运输单位搬运费分级标准》据实结算</w:t>
      </w:r>
      <w:r>
        <w:rPr>
          <w:rFonts w:hint="eastAsia" w:ascii="宋体" w:eastAsia="宋体" w:cs="宋体"/>
          <w:color w:val="auto"/>
          <w:sz w:val="21"/>
          <w:szCs w:val="21"/>
          <w:highlight w:val="none"/>
          <w:lang w:eastAsia="zh-CN"/>
        </w:rPr>
        <w:t>。</w:t>
      </w:r>
    </w:p>
    <w:p w14:paraId="76148934">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.3结算方法：</w:t>
      </w:r>
    </w:p>
    <w:p w14:paraId="127FD83F">
      <w:pPr>
        <w:pStyle w:val="44"/>
        <w:spacing w:line="400" w:lineRule="exact"/>
        <w:ind w:firstLine="433"/>
        <w:outlineLvl w:val="9"/>
        <w:rPr>
          <w:rFonts w:ascii="宋体" w:eastAsia="宋体" w:cs="宋体"/>
          <w:color w:val="auto"/>
          <w:sz w:val="21"/>
          <w:szCs w:val="21"/>
          <w:highlight w:val="none"/>
        </w:rPr>
      </w:pPr>
      <w:r>
        <w:rPr>
          <w:rFonts w:hint="default" w:ascii="宋体" w:eastAsia="宋体" w:cs="宋体"/>
          <w:color w:val="auto"/>
          <w:sz w:val="21"/>
          <w:szCs w:val="21"/>
          <w:highlight w:val="none"/>
          <w:lang w:val="en-US" w:eastAsia="zh-CN"/>
        </w:rPr>
        <w:t>按周提交电子版对账数据，按月结算运输费，以《危险废物运输费单价表》为计费基准，结合当月实际各区域、车型、派出车次的情况，根据《运输杂费及计费规则》、《运输单位搬运费分级标准》据实核算相应的运输杂费等，并扣除《东莞市新东欣环保投资有限公司承运单位违规行为处罚条款》处罚款项，经甲方和乙方核实无误后，计算出当月实际结算费用，即当月实际结算费用=当月实际产生运输费用+运输杂费-处罚款项。</w:t>
      </w:r>
    </w:p>
    <w:p w14:paraId="249CEEE7">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8</w:t>
      </w:r>
      <w:r>
        <w:rPr>
          <w:rFonts w:ascii="宋体" w:eastAsia="宋体" w:cs="宋体"/>
          <w:color w:val="auto"/>
          <w:sz w:val="21"/>
          <w:szCs w:val="21"/>
          <w:highlight w:val="none"/>
        </w:rPr>
        <w:t xml:space="preserve">.4 </w:t>
      </w:r>
      <w:r>
        <w:rPr>
          <w:rFonts w:hint="eastAsia" w:ascii="宋体" w:eastAsia="宋体" w:cs="宋体"/>
          <w:color w:val="auto"/>
          <w:sz w:val="21"/>
          <w:szCs w:val="21"/>
          <w:highlight w:val="none"/>
        </w:rPr>
        <w:t>付款方式：</w:t>
      </w:r>
    </w:p>
    <w:p w14:paraId="0DE411EF">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8.4.1</w:t>
      </w:r>
      <w:r>
        <w:rPr>
          <w:rFonts w:hint="eastAsia" w:ascii="宋体" w:eastAsia="宋体" w:cs="宋体"/>
          <w:color w:val="auto"/>
          <w:sz w:val="21"/>
          <w:szCs w:val="21"/>
          <w:highlight w:val="none"/>
          <w:lang w:eastAsia="zh-CN"/>
        </w:rPr>
        <w:t>乙方</w:t>
      </w:r>
      <w:r>
        <w:rPr>
          <w:rFonts w:hint="eastAsia" w:ascii="宋体" w:eastAsia="宋体" w:cs="宋体"/>
          <w:color w:val="auto"/>
          <w:sz w:val="21"/>
          <w:szCs w:val="21"/>
          <w:highlight w:val="none"/>
        </w:rPr>
        <w:t>25日前提交本月运费盖章版对账单及对应承运单、装卸水印照片等凭证并发出请款需求，</w:t>
      </w:r>
      <w:r>
        <w:rPr>
          <w:rFonts w:hint="eastAsia" w:ascii="宋体" w:eastAsia="宋体" w:cs="宋体"/>
          <w:color w:val="auto"/>
          <w:sz w:val="21"/>
          <w:szCs w:val="21"/>
          <w:highlight w:val="none"/>
          <w:lang w:eastAsia="zh-CN"/>
        </w:rPr>
        <w:t>甲方</w:t>
      </w:r>
      <w:r>
        <w:rPr>
          <w:rFonts w:hint="eastAsia" w:ascii="宋体" w:eastAsia="宋体" w:cs="宋体"/>
          <w:color w:val="auto"/>
          <w:sz w:val="21"/>
          <w:szCs w:val="21"/>
          <w:highlight w:val="none"/>
        </w:rPr>
        <w:t>收到请款资料并核实无误后，</w:t>
      </w:r>
      <w:r>
        <w:rPr>
          <w:rFonts w:hint="eastAsia" w:ascii="宋体" w:eastAsia="宋体" w:cs="宋体"/>
          <w:color w:val="auto"/>
          <w:sz w:val="21"/>
          <w:szCs w:val="21"/>
          <w:highlight w:val="none"/>
          <w:lang w:eastAsia="zh-CN"/>
        </w:rPr>
        <w:t>乙方</w:t>
      </w:r>
      <w:r>
        <w:rPr>
          <w:rFonts w:hint="eastAsia" w:ascii="宋体" w:eastAsia="宋体" w:cs="宋体"/>
          <w:color w:val="auto"/>
          <w:sz w:val="21"/>
          <w:szCs w:val="21"/>
          <w:highlight w:val="none"/>
        </w:rPr>
        <w:t>在5个工作日内开出9%增值税专用服务发票。</w:t>
      </w:r>
    </w:p>
    <w:p w14:paraId="2A4C0289">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8.4.2</w:t>
      </w:r>
      <w:r>
        <w:rPr>
          <w:rFonts w:hint="eastAsia" w:ascii="宋体" w:eastAsia="宋体" w:cs="宋体"/>
          <w:color w:val="auto"/>
          <w:sz w:val="21"/>
          <w:szCs w:val="21"/>
          <w:highlight w:val="none"/>
          <w:lang w:eastAsia="zh-CN"/>
        </w:rPr>
        <w:t>甲方</w:t>
      </w:r>
      <w:r>
        <w:rPr>
          <w:rFonts w:hint="eastAsia" w:ascii="宋体" w:eastAsia="宋体" w:cs="宋体"/>
          <w:color w:val="auto"/>
          <w:sz w:val="21"/>
          <w:szCs w:val="21"/>
          <w:highlight w:val="none"/>
        </w:rPr>
        <w:t>在收到</w:t>
      </w:r>
      <w:r>
        <w:rPr>
          <w:rFonts w:hint="eastAsia" w:ascii="宋体" w:eastAsia="宋体" w:cs="宋体"/>
          <w:color w:val="auto"/>
          <w:sz w:val="21"/>
          <w:szCs w:val="21"/>
          <w:highlight w:val="none"/>
          <w:lang w:eastAsia="zh-CN"/>
        </w:rPr>
        <w:t>乙方</w:t>
      </w:r>
      <w:r>
        <w:rPr>
          <w:rFonts w:hint="eastAsia" w:ascii="宋体" w:eastAsia="宋体" w:cs="宋体"/>
          <w:color w:val="auto"/>
          <w:sz w:val="21"/>
          <w:szCs w:val="21"/>
          <w:highlight w:val="none"/>
        </w:rPr>
        <w:t>发票后十五个工作内将运输服务费支付给</w:t>
      </w:r>
      <w:r>
        <w:rPr>
          <w:rFonts w:hint="eastAsia" w:ascii="宋体" w:eastAsia="宋体" w:cs="宋体"/>
          <w:color w:val="auto"/>
          <w:sz w:val="21"/>
          <w:szCs w:val="21"/>
          <w:highlight w:val="none"/>
          <w:lang w:eastAsia="zh-CN"/>
        </w:rPr>
        <w:t>乙方</w:t>
      </w:r>
      <w:r>
        <w:rPr>
          <w:rFonts w:hint="eastAsia" w:ascii="宋体" w:eastAsia="宋体" w:cs="宋体"/>
          <w:color w:val="auto"/>
          <w:sz w:val="21"/>
          <w:szCs w:val="21"/>
          <w:highlight w:val="none"/>
        </w:rPr>
        <w:t>。支付方式仅限于双方签约运输服务合同所列公司银行账号进行公对公银行转账。</w:t>
      </w:r>
    </w:p>
    <w:p w14:paraId="22370E1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8.4.</w:t>
      </w:r>
      <w:r>
        <w:rPr>
          <w:rFonts w:hint="eastAsia" w:ascii="宋体" w:eastAsia="宋体" w:cs="宋体"/>
          <w:color w:val="auto"/>
          <w:sz w:val="21"/>
          <w:szCs w:val="21"/>
          <w:highlight w:val="none"/>
        </w:rPr>
        <w:t>3</w:t>
      </w:r>
      <w:r>
        <w:rPr>
          <w:rFonts w:hint="eastAsia" w:ascii="宋体" w:eastAsia="宋体" w:cs="宋体"/>
          <w:color w:val="auto"/>
          <w:sz w:val="21"/>
          <w:szCs w:val="21"/>
          <w:highlight w:val="none"/>
          <w:lang w:eastAsia="zh-CN"/>
        </w:rPr>
        <w:t>乙方</w:t>
      </w:r>
      <w:r>
        <w:rPr>
          <w:rFonts w:hint="eastAsia" w:ascii="宋体" w:eastAsia="宋体" w:cs="宋体"/>
          <w:color w:val="auto"/>
          <w:sz w:val="21"/>
          <w:szCs w:val="21"/>
          <w:highlight w:val="none"/>
        </w:rPr>
        <w:t>延迟提交对账资料的，</w:t>
      </w:r>
      <w:r>
        <w:rPr>
          <w:rFonts w:hint="eastAsia" w:ascii="宋体" w:eastAsia="宋体" w:cs="宋体"/>
          <w:color w:val="auto"/>
          <w:sz w:val="21"/>
          <w:szCs w:val="21"/>
          <w:highlight w:val="none"/>
          <w:lang w:eastAsia="zh-CN"/>
        </w:rPr>
        <w:t>甲方</w:t>
      </w:r>
      <w:r>
        <w:rPr>
          <w:rFonts w:hint="eastAsia" w:ascii="宋体" w:eastAsia="宋体" w:cs="宋体"/>
          <w:color w:val="auto"/>
          <w:sz w:val="21"/>
          <w:szCs w:val="21"/>
          <w:highlight w:val="none"/>
        </w:rPr>
        <w:t>按应付期限延期一个月支付运输费用。</w:t>
      </w:r>
    </w:p>
    <w:p w14:paraId="39444B88">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w:t>
      </w:r>
      <w:r>
        <w:rPr>
          <w:rFonts w:ascii="宋体" w:eastAsia="宋体" w:cs="宋体"/>
          <w:color w:val="auto"/>
          <w:sz w:val="21"/>
          <w:szCs w:val="21"/>
          <w:highlight w:val="none"/>
        </w:rPr>
        <w:t>5</w:t>
      </w:r>
      <w:r>
        <w:rPr>
          <w:rFonts w:hint="eastAsia" w:ascii="宋体" w:eastAsia="宋体" w:cs="宋体"/>
          <w:color w:val="auto"/>
          <w:sz w:val="21"/>
          <w:szCs w:val="21"/>
          <w:highlight w:val="none"/>
        </w:rPr>
        <w:t xml:space="preserve"> 乙方指定以下银行账户作为收款账户：</w:t>
      </w:r>
    </w:p>
    <w:p w14:paraId="7160ADE8">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开户名： </w:t>
      </w:r>
    </w:p>
    <w:p w14:paraId="4FC1BC5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开户行： </w:t>
      </w:r>
    </w:p>
    <w:p w14:paraId="6431B9C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账  号：</w:t>
      </w:r>
    </w:p>
    <w:p w14:paraId="74AA5A4E">
      <w:pPr>
        <w:spacing w:line="400" w:lineRule="exact"/>
        <w:outlineLvl w:val="9"/>
        <w:rPr>
          <w:b/>
          <w:bCs/>
          <w:color w:val="auto"/>
          <w:highlight w:val="none"/>
        </w:rPr>
      </w:pPr>
      <w:bookmarkStart w:id="269" w:name="_Toc816"/>
      <w:bookmarkStart w:id="270" w:name="_Toc22853"/>
      <w:bookmarkStart w:id="271" w:name="_Toc7275"/>
      <w:bookmarkStart w:id="272" w:name="_Toc28609"/>
      <w:bookmarkStart w:id="273" w:name="_Toc11658"/>
      <w:bookmarkStart w:id="274" w:name="_Toc23797"/>
      <w:bookmarkStart w:id="275" w:name="_Toc27748"/>
      <w:r>
        <w:rPr>
          <w:rFonts w:hint="eastAsia"/>
          <w:b/>
          <w:bCs/>
          <w:color w:val="auto"/>
          <w:highlight w:val="none"/>
        </w:rPr>
        <w:t>第</w:t>
      </w:r>
      <w:r>
        <w:rPr>
          <w:rFonts w:hint="eastAsia"/>
          <w:b/>
          <w:bCs/>
          <w:color w:val="auto"/>
          <w:highlight w:val="none"/>
          <w:lang w:val="en-US" w:eastAsia="zh-CN"/>
        </w:rPr>
        <w:t>九</w:t>
      </w:r>
      <w:r>
        <w:rPr>
          <w:rFonts w:hint="eastAsia"/>
          <w:b/>
          <w:bCs/>
          <w:color w:val="auto"/>
          <w:highlight w:val="none"/>
        </w:rPr>
        <w:t>条 相关违约责任</w:t>
      </w:r>
      <w:bookmarkEnd w:id="269"/>
      <w:bookmarkEnd w:id="270"/>
      <w:bookmarkEnd w:id="271"/>
      <w:bookmarkEnd w:id="272"/>
      <w:bookmarkEnd w:id="273"/>
      <w:bookmarkEnd w:id="274"/>
      <w:bookmarkEnd w:id="275"/>
    </w:p>
    <w:p w14:paraId="62039A4E">
      <w:pPr>
        <w:pStyle w:val="44"/>
        <w:spacing w:line="400" w:lineRule="exact"/>
        <w:ind w:firstLine="433"/>
        <w:outlineLvl w:val="9"/>
        <w:rPr>
          <w:rFonts w:hint="eastAsia" w:ascii="宋体" w:eastAsia="宋体" w:cs="宋体"/>
          <w:color w:val="auto"/>
          <w:sz w:val="21"/>
          <w:szCs w:val="21"/>
          <w:highlight w:val="none"/>
        </w:rPr>
      </w:pPr>
      <w:r>
        <w:rPr>
          <w:rFonts w:hint="eastAsia" w:ascii="宋体" w:eastAsia="宋体" w:cs="宋体"/>
          <w:color w:val="auto"/>
          <w:sz w:val="21"/>
          <w:szCs w:val="21"/>
          <w:highlight w:val="none"/>
          <w:lang w:val="en-US" w:eastAsia="zh-CN"/>
        </w:rPr>
        <w:t xml:space="preserve">9.1 </w:t>
      </w:r>
      <w:r>
        <w:rPr>
          <w:rFonts w:hint="eastAsia" w:ascii="宋体" w:eastAsia="宋体" w:cs="宋体"/>
          <w:color w:val="auto"/>
          <w:sz w:val="21"/>
          <w:szCs w:val="21"/>
          <w:highlight w:val="none"/>
        </w:rPr>
        <w:t>具体合同违约责任以及</w:t>
      </w:r>
      <w:r>
        <w:rPr>
          <w:rFonts w:hint="eastAsia" w:ascii="宋体" w:eastAsia="宋体" w:cs="宋体"/>
          <w:color w:val="auto"/>
          <w:sz w:val="21"/>
          <w:szCs w:val="21"/>
          <w:highlight w:val="none"/>
          <w:lang w:val="en-US" w:eastAsia="zh-CN"/>
        </w:rPr>
        <w:t>违约金</w:t>
      </w:r>
      <w:r>
        <w:rPr>
          <w:rFonts w:hint="eastAsia" w:ascii="宋体" w:eastAsia="宋体" w:cs="宋体"/>
          <w:color w:val="auto"/>
          <w:sz w:val="21"/>
          <w:szCs w:val="21"/>
          <w:highlight w:val="none"/>
        </w:rPr>
        <w:t>标准详见</w:t>
      </w:r>
      <w:r>
        <w:rPr>
          <w:rFonts w:hint="eastAsia" w:ascii="宋体" w:eastAsia="宋体" w:cs="宋体"/>
          <w:b/>
          <w:bCs/>
          <w:color w:val="auto"/>
          <w:sz w:val="21"/>
          <w:szCs w:val="21"/>
          <w:highlight w:val="none"/>
          <w:lang w:val="en-US" w:eastAsia="zh-CN"/>
        </w:rPr>
        <w:t>合同</w:t>
      </w:r>
      <w:r>
        <w:rPr>
          <w:rFonts w:hint="eastAsia" w:ascii="宋体" w:eastAsia="宋体" w:cs="宋体"/>
          <w:b/>
          <w:bCs/>
          <w:color w:val="auto"/>
          <w:sz w:val="21"/>
          <w:szCs w:val="21"/>
          <w:highlight w:val="none"/>
        </w:rPr>
        <w:t>附件6《运输商季度考核评分表》</w:t>
      </w:r>
      <w:r>
        <w:rPr>
          <w:rFonts w:hint="eastAsia" w:ascii="宋体" w:eastAsia="宋体" w:cs="宋体"/>
          <w:color w:val="auto"/>
          <w:sz w:val="21"/>
          <w:szCs w:val="21"/>
          <w:highlight w:val="none"/>
        </w:rPr>
        <w:t>。</w:t>
      </w:r>
    </w:p>
    <w:p w14:paraId="6592664F">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9.2 甲方因乙方违约所产生的全部损失均由乙方承担，此损失</w:t>
      </w:r>
      <w:r>
        <w:rPr>
          <w:rFonts w:hint="eastAsia" w:ascii="宋体" w:eastAsia="宋体" w:cs="宋体"/>
          <w:color w:val="auto"/>
          <w:sz w:val="21"/>
          <w:szCs w:val="21"/>
          <w:highlight w:val="none"/>
        </w:rPr>
        <w:t>包括</w:t>
      </w:r>
      <w:r>
        <w:rPr>
          <w:rFonts w:hint="eastAsia" w:ascii="宋体" w:eastAsia="宋体" w:cs="宋体"/>
          <w:color w:val="auto"/>
          <w:sz w:val="21"/>
          <w:szCs w:val="21"/>
          <w:highlight w:val="none"/>
          <w:lang w:val="en-US" w:eastAsia="zh-CN"/>
        </w:rPr>
        <w:t>但不限于</w:t>
      </w:r>
      <w:r>
        <w:rPr>
          <w:rFonts w:hint="eastAsia" w:ascii="宋体" w:eastAsia="宋体" w:cs="宋体"/>
          <w:color w:val="auto"/>
          <w:sz w:val="21"/>
          <w:szCs w:val="21"/>
          <w:highlight w:val="none"/>
        </w:rPr>
        <w:t>直接损失、预期</w:t>
      </w:r>
      <w:r>
        <w:rPr>
          <w:rFonts w:hint="eastAsia" w:ascii="宋体" w:eastAsia="宋体" w:cs="宋体"/>
          <w:color w:val="auto"/>
          <w:sz w:val="21"/>
          <w:szCs w:val="21"/>
          <w:highlight w:val="none"/>
          <w:lang w:val="en-US" w:eastAsia="zh-CN"/>
        </w:rPr>
        <w:t>可得利益</w:t>
      </w:r>
      <w:r>
        <w:rPr>
          <w:rFonts w:hint="eastAsia" w:ascii="宋体" w:eastAsia="宋体" w:cs="宋体"/>
          <w:color w:val="auto"/>
          <w:sz w:val="21"/>
          <w:szCs w:val="21"/>
          <w:highlight w:val="none"/>
        </w:rPr>
        <w:t>损失、实现债权所发生的追索费用、诉讼费、财产保全费、律师费等。</w:t>
      </w:r>
    </w:p>
    <w:p w14:paraId="311AC10F">
      <w:pPr>
        <w:spacing w:line="400" w:lineRule="exact"/>
        <w:outlineLvl w:val="9"/>
        <w:rPr>
          <w:b/>
          <w:bCs/>
          <w:color w:val="auto"/>
          <w:highlight w:val="none"/>
        </w:rPr>
      </w:pPr>
      <w:bookmarkStart w:id="276" w:name="_Toc13774"/>
      <w:bookmarkStart w:id="277" w:name="_Toc5395"/>
      <w:bookmarkStart w:id="278" w:name="_Toc3024"/>
      <w:bookmarkStart w:id="279" w:name="_Toc10957"/>
      <w:bookmarkStart w:id="280" w:name="_Toc10026"/>
      <w:bookmarkStart w:id="281" w:name="_Toc28103"/>
      <w:bookmarkStart w:id="282" w:name="_Toc16825"/>
      <w:r>
        <w:rPr>
          <w:rFonts w:hint="eastAsia"/>
          <w:b/>
          <w:bCs/>
          <w:color w:val="auto"/>
          <w:highlight w:val="none"/>
        </w:rPr>
        <w:t>第</w:t>
      </w:r>
      <w:r>
        <w:rPr>
          <w:rFonts w:hint="eastAsia"/>
          <w:b/>
          <w:bCs/>
          <w:color w:val="auto"/>
          <w:highlight w:val="none"/>
          <w:lang w:val="en-US" w:eastAsia="zh-CN"/>
        </w:rPr>
        <w:t>十</w:t>
      </w:r>
      <w:r>
        <w:rPr>
          <w:rFonts w:hint="eastAsia"/>
          <w:b/>
          <w:bCs/>
          <w:color w:val="auto"/>
          <w:highlight w:val="none"/>
        </w:rPr>
        <w:t>条 合同变更和解除</w:t>
      </w:r>
      <w:bookmarkEnd w:id="276"/>
      <w:bookmarkEnd w:id="277"/>
      <w:bookmarkEnd w:id="278"/>
      <w:bookmarkEnd w:id="279"/>
      <w:bookmarkEnd w:id="280"/>
      <w:bookmarkEnd w:id="281"/>
      <w:bookmarkEnd w:id="282"/>
      <w:r>
        <w:rPr>
          <w:rFonts w:hint="eastAsia"/>
          <w:b/>
          <w:bCs/>
          <w:color w:val="auto"/>
          <w:highlight w:val="none"/>
        </w:rPr>
        <w:t xml:space="preserve">  </w:t>
      </w:r>
    </w:p>
    <w:p w14:paraId="133D7F9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.1 双方协商一致，可以书面方式变更或解除合同。</w:t>
      </w:r>
    </w:p>
    <w:p w14:paraId="53B9D406">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.2</w:t>
      </w:r>
      <w:r>
        <w:rPr>
          <w:rFonts w:hint="eastAsia" w:ascii="宋体" w:eastAsia="宋体" w:cs="宋体"/>
          <w:color w:val="auto"/>
          <w:sz w:val="21"/>
          <w:szCs w:val="21"/>
          <w:highlight w:val="none"/>
          <w:lang w:val="en-US" w:eastAsia="zh-CN"/>
        </w:rPr>
        <w:t>乙方</w:t>
      </w:r>
      <w:r>
        <w:rPr>
          <w:rFonts w:hint="eastAsia" w:ascii="宋体" w:eastAsia="宋体" w:cs="宋体"/>
          <w:color w:val="auto"/>
          <w:sz w:val="21"/>
          <w:szCs w:val="21"/>
          <w:highlight w:val="none"/>
        </w:rPr>
        <w:t>具备下列情形之一的，甲方有权</w:t>
      </w:r>
      <w:r>
        <w:rPr>
          <w:rFonts w:hint="eastAsia" w:ascii="宋体" w:eastAsia="宋体" w:cs="宋体"/>
          <w:color w:val="auto"/>
          <w:sz w:val="21"/>
          <w:szCs w:val="21"/>
          <w:highlight w:val="none"/>
          <w:lang w:val="en-US" w:eastAsia="zh-CN"/>
        </w:rPr>
        <w:t>随时</w:t>
      </w:r>
      <w:r>
        <w:rPr>
          <w:rFonts w:hint="eastAsia" w:ascii="宋体" w:eastAsia="宋体" w:cs="宋体"/>
          <w:color w:val="auto"/>
          <w:sz w:val="21"/>
          <w:szCs w:val="21"/>
          <w:highlight w:val="none"/>
        </w:rPr>
        <w:t>单方解除合同，</w:t>
      </w:r>
      <w:r>
        <w:rPr>
          <w:rFonts w:hint="eastAsia" w:ascii="宋体" w:eastAsia="宋体" w:cs="宋体"/>
          <w:color w:val="auto"/>
          <w:sz w:val="21"/>
          <w:szCs w:val="21"/>
          <w:highlight w:val="none"/>
          <w:lang w:val="en-US" w:eastAsia="zh-CN"/>
        </w:rPr>
        <w:t>没收乙方履约保证金，</w:t>
      </w:r>
      <w:r>
        <w:rPr>
          <w:rFonts w:hint="eastAsia" w:ascii="宋体" w:eastAsia="宋体" w:cs="宋体"/>
          <w:color w:val="auto"/>
          <w:sz w:val="21"/>
          <w:szCs w:val="21"/>
          <w:highlight w:val="none"/>
        </w:rPr>
        <w:t>并追究乙方违约和赔偿责任，合同解除后，双方在一个月内结清所有运费以及赔偿金、违约金：</w:t>
      </w:r>
    </w:p>
    <w:p w14:paraId="5F7CFBFF">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.2.1 乙方明确表示或者以自己实际行为表明其不履行合同义务的。</w:t>
      </w:r>
    </w:p>
    <w:p w14:paraId="344A028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.2.2 乙方未按合同约定派车且拒不调换或拒不整改的，或给甲方造成损失拒不赔偿的。</w:t>
      </w:r>
    </w:p>
    <w:p w14:paraId="07F1D229">
      <w:pPr>
        <w:pStyle w:val="44"/>
        <w:spacing w:line="400" w:lineRule="exact"/>
        <w:ind w:firstLine="433"/>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10.2.3 乙方违反本合同约定，未按甲方要求限期完成整改或拒不整改的。</w:t>
      </w:r>
    </w:p>
    <w:p w14:paraId="63AE08B6">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.2.</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 xml:space="preserve"> 本合同约定的或相关法律法规规定</w:t>
      </w:r>
      <w:r>
        <w:rPr>
          <w:rFonts w:hint="eastAsia" w:ascii="宋体" w:eastAsia="宋体" w:cs="宋体"/>
          <w:color w:val="auto"/>
          <w:sz w:val="21"/>
          <w:szCs w:val="21"/>
          <w:highlight w:val="none"/>
          <w:lang w:val="en-US" w:eastAsia="zh-CN"/>
        </w:rPr>
        <w:t>可以</w:t>
      </w:r>
      <w:r>
        <w:rPr>
          <w:rFonts w:hint="eastAsia" w:ascii="宋体" w:eastAsia="宋体" w:cs="宋体"/>
          <w:color w:val="auto"/>
          <w:sz w:val="21"/>
          <w:szCs w:val="21"/>
          <w:highlight w:val="none"/>
        </w:rPr>
        <w:t>解除合同的情形。</w:t>
      </w:r>
    </w:p>
    <w:p w14:paraId="393611C9">
      <w:pPr>
        <w:spacing w:line="400" w:lineRule="exact"/>
        <w:outlineLvl w:val="9"/>
        <w:rPr>
          <w:b/>
          <w:bCs/>
          <w:color w:val="auto"/>
          <w:highlight w:val="none"/>
        </w:rPr>
      </w:pPr>
      <w:bookmarkStart w:id="283" w:name="_Toc2879"/>
      <w:bookmarkStart w:id="284" w:name="_Toc31272"/>
      <w:bookmarkStart w:id="285" w:name="_Toc30117"/>
      <w:bookmarkStart w:id="286" w:name="_Toc22075"/>
      <w:bookmarkStart w:id="287" w:name="_Toc19114"/>
      <w:bookmarkStart w:id="288" w:name="_Toc2508"/>
      <w:bookmarkStart w:id="289" w:name="_Toc10194"/>
      <w:r>
        <w:rPr>
          <w:rFonts w:hint="eastAsia"/>
          <w:b/>
          <w:bCs/>
          <w:color w:val="auto"/>
          <w:highlight w:val="none"/>
        </w:rPr>
        <w:t>第十</w:t>
      </w:r>
      <w:r>
        <w:rPr>
          <w:rFonts w:hint="eastAsia"/>
          <w:b/>
          <w:bCs/>
          <w:color w:val="auto"/>
          <w:highlight w:val="none"/>
          <w:lang w:val="en-US" w:eastAsia="zh-CN"/>
        </w:rPr>
        <w:t>一</w:t>
      </w:r>
      <w:r>
        <w:rPr>
          <w:rFonts w:hint="eastAsia"/>
          <w:b/>
          <w:bCs/>
          <w:color w:val="auto"/>
          <w:highlight w:val="none"/>
        </w:rPr>
        <w:t>条 不可抗力</w:t>
      </w:r>
      <w:bookmarkEnd w:id="283"/>
      <w:bookmarkEnd w:id="284"/>
      <w:bookmarkEnd w:id="285"/>
      <w:bookmarkEnd w:id="286"/>
      <w:bookmarkEnd w:id="287"/>
      <w:bookmarkEnd w:id="288"/>
      <w:bookmarkEnd w:id="289"/>
      <w:r>
        <w:rPr>
          <w:rFonts w:hint="eastAsia"/>
          <w:b/>
          <w:bCs/>
          <w:color w:val="auto"/>
          <w:highlight w:val="none"/>
        </w:rPr>
        <w:t xml:space="preserve">  </w:t>
      </w:r>
    </w:p>
    <w:p w14:paraId="24512B2F">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 xml:space="preserve">.1不可抗力事件指合同当事人不能预见、不能避免、不能克服的客观情况，包括但不限于地震、水灾、雷击、雪灾等自然事件以及疫情、战争等社会事件。    </w:t>
      </w:r>
    </w:p>
    <w:p w14:paraId="2FCDE6BB">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 xml:space="preserve">.2由于不可抗力原因，使双方或任何一方不能履行合同义务时，应采取有效措施，尽量避免或减少损失，将损失降低到最低程度，并在不可抗力发生后12小时内以书面形式通知对方，并在其后10日内向对方提供有效证明文件。 </w:t>
      </w:r>
    </w:p>
    <w:p w14:paraId="0A9126D3">
      <w:pPr>
        <w:spacing w:line="400" w:lineRule="exact"/>
        <w:outlineLvl w:val="9"/>
        <w:rPr>
          <w:b/>
          <w:bCs/>
          <w:color w:val="auto"/>
          <w:highlight w:val="none"/>
        </w:rPr>
      </w:pPr>
      <w:bookmarkStart w:id="290" w:name="_Toc22876"/>
      <w:bookmarkStart w:id="291" w:name="_Toc22284"/>
      <w:bookmarkStart w:id="292" w:name="_Toc426"/>
      <w:bookmarkStart w:id="293" w:name="_Toc19020"/>
      <w:bookmarkStart w:id="294" w:name="_Toc13179"/>
      <w:bookmarkStart w:id="295" w:name="_Toc8252"/>
      <w:r>
        <w:rPr>
          <w:rFonts w:hint="eastAsia"/>
          <w:b/>
          <w:bCs/>
          <w:color w:val="auto"/>
          <w:highlight w:val="none"/>
        </w:rPr>
        <w:t>第十</w:t>
      </w:r>
      <w:r>
        <w:rPr>
          <w:rFonts w:hint="eastAsia"/>
          <w:b/>
          <w:bCs/>
          <w:color w:val="auto"/>
          <w:highlight w:val="none"/>
          <w:lang w:val="en-US" w:eastAsia="zh-CN"/>
        </w:rPr>
        <w:t>二</w:t>
      </w:r>
      <w:r>
        <w:rPr>
          <w:rFonts w:hint="eastAsia"/>
          <w:b/>
          <w:bCs/>
          <w:color w:val="auto"/>
          <w:highlight w:val="none"/>
        </w:rPr>
        <w:t>条 合同其它事宜</w:t>
      </w:r>
      <w:bookmarkEnd w:id="290"/>
      <w:bookmarkEnd w:id="291"/>
      <w:bookmarkEnd w:id="292"/>
      <w:bookmarkEnd w:id="293"/>
      <w:bookmarkEnd w:id="294"/>
      <w:bookmarkEnd w:id="295"/>
    </w:p>
    <w:p w14:paraId="7261F10C">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.1 合同履行中发生争议时，甲、乙双方按危废运输相关的法律法规友好协商解决，协商不成时，因本协议引起的或与本协议有关的争议，均向甲方所在地人民法院提起诉讼。</w:t>
      </w:r>
    </w:p>
    <w:p w14:paraId="570912E2">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.2 本合同有效</w:t>
      </w:r>
      <w:r>
        <w:rPr>
          <w:rFonts w:hint="eastAsia" w:ascii="宋体" w:eastAsia="宋体" w:cs="宋体"/>
          <w:color w:val="auto"/>
          <w:sz w:val="21"/>
          <w:szCs w:val="21"/>
          <w:highlight w:val="none"/>
          <w:lang w:val="en-US" w:eastAsia="zh-CN"/>
        </w:rPr>
        <w:t>期限为自签订本合同之日起一年</w:t>
      </w:r>
    </w:p>
    <w:p w14:paraId="49F9A9E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.3 本合同一式</w:t>
      </w:r>
      <w:r>
        <w:rPr>
          <w:rFonts w:hint="eastAsia" w:ascii="宋体" w:eastAsia="宋体" w:cs="宋体"/>
          <w:color w:val="auto"/>
          <w:sz w:val="21"/>
          <w:szCs w:val="21"/>
          <w:highlight w:val="none"/>
          <w:u w:val="single"/>
        </w:rPr>
        <w:t xml:space="preserve"> 柒 </w:t>
      </w:r>
      <w:r>
        <w:rPr>
          <w:rFonts w:hint="eastAsia" w:ascii="宋体" w:eastAsia="宋体" w:cs="宋体"/>
          <w:color w:val="auto"/>
          <w:sz w:val="21"/>
          <w:szCs w:val="21"/>
          <w:highlight w:val="none"/>
        </w:rPr>
        <w:t>份，甲方持</w:t>
      </w:r>
      <w:r>
        <w:rPr>
          <w:rFonts w:hint="eastAsia" w:ascii="宋体" w:eastAsia="宋体" w:cs="宋体"/>
          <w:color w:val="auto"/>
          <w:sz w:val="21"/>
          <w:szCs w:val="21"/>
          <w:highlight w:val="none"/>
          <w:u w:val="single"/>
        </w:rPr>
        <w:t xml:space="preserve"> 肆 </w:t>
      </w:r>
      <w:r>
        <w:rPr>
          <w:rFonts w:hint="eastAsia" w:ascii="宋体" w:eastAsia="宋体" w:cs="宋体"/>
          <w:color w:val="auto"/>
          <w:sz w:val="21"/>
          <w:szCs w:val="21"/>
          <w:highlight w:val="none"/>
        </w:rPr>
        <w:t>份，乙方持</w:t>
      </w:r>
      <w:r>
        <w:rPr>
          <w:rFonts w:hint="eastAsia" w:ascii="宋体" w:eastAsia="宋体" w:cs="宋体"/>
          <w:color w:val="auto"/>
          <w:sz w:val="21"/>
          <w:szCs w:val="21"/>
          <w:highlight w:val="none"/>
          <w:u w:val="single"/>
        </w:rPr>
        <w:t xml:space="preserve"> 叁 </w:t>
      </w:r>
      <w:r>
        <w:rPr>
          <w:rFonts w:hint="eastAsia" w:ascii="宋体" w:eastAsia="宋体" w:cs="宋体"/>
          <w:color w:val="auto"/>
          <w:sz w:val="21"/>
          <w:szCs w:val="21"/>
          <w:highlight w:val="none"/>
        </w:rPr>
        <w:t>份，双方签字盖章之日起生效。本服务项目采购文件中的其他文件视为本合同的组成部分，与本合同具有同等法律效力。</w:t>
      </w:r>
    </w:p>
    <w:p w14:paraId="0167E32D">
      <w:pPr>
        <w:pStyle w:val="44"/>
        <w:spacing w:line="400" w:lineRule="exact"/>
        <w:ind w:firstLine="433"/>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rPr>
        <w:t>1</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w:t>
      </w:r>
      <w:r>
        <w:rPr>
          <w:rFonts w:hint="eastAsia" w:ascii="宋体" w:eastAsia="宋体" w:cs="宋体"/>
          <w:color w:val="auto"/>
          <w:sz w:val="21"/>
          <w:szCs w:val="21"/>
          <w:highlight w:val="none"/>
          <w:lang w:val="en-US" w:eastAsia="zh-CN"/>
        </w:rPr>
        <w:t>4</w:t>
      </w:r>
      <w:r>
        <w:rPr>
          <w:rFonts w:hint="eastAsia" w:ascii="宋体" w:eastAsia="宋体" w:cs="宋体"/>
          <w:color w:val="auto"/>
          <w:sz w:val="21"/>
          <w:szCs w:val="21"/>
          <w:highlight w:val="none"/>
        </w:rPr>
        <w:t xml:space="preserve"> </w:t>
      </w:r>
      <w:r>
        <w:rPr>
          <w:rFonts w:hint="eastAsia" w:ascii="宋体" w:eastAsia="宋体" w:cs="宋体"/>
          <w:color w:val="auto"/>
          <w:sz w:val="21"/>
          <w:szCs w:val="21"/>
          <w:highlight w:val="none"/>
          <w:lang w:val="en-US" w:eastAsia="zh-CN"/>
        </w:rPr>
        <w:t>合同附件如下：</w:t>
      </w:r>
    </w:p>
    <w:p w14:paraId="0A0467A0">
      <w:pPr>
        <w:pStyle w:val="44"/>
        <w:spacing w:line="400" w:lineRule="exact"/>
        <w:ind w:firstLine="433"/>
        <w:outlineLvl w:val="9"/>
        <w:rPr>
          <w:rFonts w:hint="eastAsia" w:ascii="宋体" w:eastAsia="宋体" w:cs="宋体"/>
          <w:color w:val="auto"/>
          <w:sz w:val="21"/>
          <w:szCs w:val="21"/>
          <w:highlight w:val="none"/>
        </w:rPr>
      </w:pPr>
      <w:bookmarkStart w:id="296" w:name="OLE_LINK8"/>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1</w:t>
      </w:r>
      <w:r>
        <w:rPr>
          <w:rFonts w:hint="eastAsia" w:ascii="宋体" w:eastAsia="宋体" w:cs="宋体"/>
          <w:color w:val="auto"/>
          <w:sz w:val="21"/>
          <w:szCs w:val="21"/>
          <w:highlight w:val="none"/>
        </w:rPr>
        <w:t>：《运输车辆名册》</w:t>
      </w:r>
    </w:p>
    <w:p w14:paraId="3C17A4E1">
      <w:pPr>
        <w:pStyle w:val="44"/>
        <w:spacing w:line="400" w:lineRule="exact"/>
        <w:ind w:firstLine="433"/>
        <w:outlineLvl w:val="9"/>
        <w:rPr>
          <w:rFonts w:hint="eastAsia"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：《运输人员花名册》</w:t>
      </w:r>
    </w:p>
    <w:p w14:paraId="03EAC9F1">
      <w:pPr>
        <w:pStyle w:val="44"/>
        <w:spacing w:line="400" w:lineRule="exact"/>
        <w:ind w:firstLine="433"/>
        <w:outlineLvl w:val="9"/>
        <w:rPr>
          <w:rFonts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附件3：《</w:t>
      </w:r>
      <w:r>
        <w:rPr>
          <w:rFonts w:hint="eastAsia" w:ascii="宋体" w:eastAsia="宋体" w:cs="宋体"/>
          <w:color w:val="auto"/>
          <w:sz w:val="21"/>
          <w:szCs w:val="21"/>
          <w:highlight w:val="none"/>
          <w:lang w:val="en-US" w:eastAsia="zh-CN"/>
        </w:rPr>
        <w:t>危险废物运输费单价表</w:t>
      </w:r>
      <w:r>
        <w:rPr>
          <w:rFonts w:hint="eastAsia" w:ascii="宋体" w:eastAsia="宋体" w:cs="宋体"/>
          <w:color w:val="auto"/>
          <w:sz w:val="21"/>
          <w:szCs w:val="21"/>
          <w:highlight w:val="none"/>
        </w:rPr>
        <w:t>》</w:t>
      </w:r>
    </w:p>
    <w:p w14:paraId="1D5168BA">
      <w:pPr>
        <w:pStyle w:val="44"/>
        <w:spacing w:line="400" w:lineRule="exact"/>
        <w:ind w:firstLine="433"/>
        <w:outlineLvl w:val="9"/>
        <w:rPr>
          <w:rFonts w:hint="eastAsia"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附件4：《运输杂费及计费规则》</w:t>
      </w:r>
    </w:p>
    <w:p w14:paraId="5FDAAE68">
      <w:pPr>
        <w:pStyle w:val="44"/>
        <w:spacing w:line="400" w:lineRule="exact"/>
        <w:ind w:firstLine="433"/>
        <w:outlineLvl w:val="9"/>
        <w:rPr>
          <w:rFonts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：《东莞市新东欣环保投资有限公司承运单位违规行为处罚条款》</w:t>
      </w:r>
    </w:p>
    <w:p w14:paraId="24D1BE09">
      <w:pPr>
        <w:pStyle w:val="44"/>
        <w:spacing w:line="400" w:lineRule="exact"/>
        <w:ind w:firstLine="433"/>
        <w:outlineLvl w:val="9"/>
        <w:rPr>
          <w:rFonts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附件6：《运输商季度考核评分表》</w:t>
      </w:r>
    </w:p>
    <w:p w14:paraId="51D170F8">
      <w:pPr>
        <w:pStyle w:val="44"/>
        <w:spacing w:line="400" w:lineRule="exact"/>
        <w:ind w:firstLine="433"/>
        <w:outlineLvl w:val="9"/>
        <w:rPr>
          <w:rFonts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7</w:t>
      </w:r>
      <w:r>
        <w:rPr>
          <w:rFonts w:hint="eastAsia" w:ascii="宋体" w:eastAsia="宋体" w:cs="宋体"/>
          <w:color w:val="auto"/>
          <w:sz w:val="21"/>
          <w:szCs w:val="21"/>
          <w:highlight w:val="none"/>
        </w:rPr>
        <w:t xml:space="preserve">：《运输单位搬运费分级标准》 </w:t>
      </w:r>
    </w:p>
    <w:p w14:paraId="1E95380F">
      <w:pPr>
        <w:pStyle w:val="44"/>
        <w:spacing w:line="400" w:lineRule="exact"/>
        <w:ind w:firstLine="433"/>
        <w:outlineLvl w:val="9"/>
        <w:rPr>
          <w:rFonts w:hint="eastAsia" w:ascii="宋体" w:eastAsia="宋体" w:cs="宋体"/>
          <w:color w:val="auto"/>
          <w:sz w:val="21"/>
          <w:szCs w:val="21"/>
          <w:highlight w:val="none"/>
        </w:rPr>
      </w:pPr>
      <w:bookmarkStart w:id="297" w:name="OLE_LINK2"/>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附件8</w:t>
      </w:r>
      <w:bookmarkEnd w:id="297"/>
      <w:r>
        <w:rPr>
          <w:rFonts w:hint="eastAsia" w:ascii="宋体" w:eastAsia="宋体" w:cs="宋体"/>
          <w:color w:val="auto"/>
          <w:sz w:val="21"/>
          <w:szCs w:val="21"/>
          <w:highlight w:val="none"/>
        </w:rPr>
        <w:t>：《承运单》</w:t>
      </w:r>
    </w:p>
    <w:p w14:paraId="077F249F">
      <w:pPr>
        <w:pStyle w:val="44"/>
        <w:spacing w:line="400" w:lineRule="exact"/>
        <w:ind w:firstLine="433"/>
        <w:outlineLvl w:val="9"/>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rPr>
        <w:t>合同附件</w:t>
      </w:r>
      <w:r>
        <w:rPr>
          <w:rFonts w:hint="eastAsia" w:ascii="宋体" w:eastAsia="宋体" w:cs="宋体"/>
          <w:color w:val="auto"/>
          <w:sz w:val="21"/>
          <w:szCs w:val="21"/>
          <w:highlight w:val="none"/>
          <w:lang w:val="en-US" w:eastAsia="zh-CN"/>
        </w:rPr>
        <w:t>9：《</w:t>
      </w:r>
      <w:r>
        <w:rPr>
          <w:rFonts w:hint="eastAsia" w:ascii="宋体" w:eastAsia="宋体" w:cs="宋体"/>
          <w:color w:val="auto"/>
          <w:sz w:val="21"/>
          <w:szCs w:val="21"/>
          <w:highlight w:val="none"/>
          <w:lang w:eastAsia="zh-CN"/>
        </w:rPr>
        <w:t>东莞市新东欣环保投资有限公司莞惠区域危废运输服务项目</w:t>
      </w:r>
      <w:r>
        <w:rPr>
          <w:rFonts w:hint="eastAsia" w:ascii="宋体" w:eastAsia="宋体" w:cs="宋体"/>
          <w:color w:val="auto"/>
          <w:sz w:val="21"/>
          <w:szCs w:val="21"/>
          <w:highlight w:val="none"/>
        </w:rPr>
        <w:t>技术需求书</w:t>
      </w:r>
      <w:r>
        <w:rPr>
          <w:rFonts w:hint="eastAsia" w:ascii="宋体" w:eastAsia="宋体" w:cs="宋体"/>
          <w:color w:val="auto"/>
          <w:sz w:val="21"/>
          <w:szCs w:val="21"/>
          <w:highlight w:val="none"/>
          <w:lang w:val="en-US" w:eastAsia="zh-CN"/>
        </w:rPr>
        <w:t>》</w:t>
      </w:r>
    </w:p>
    <w:p w14:paraId="0A84E903">
      <w:pPr>
        <w:pStyle w:val="44"/>
        <w:spacing w:line="400" w:lineRule="exact"/>
        <w:ind w:firstLine="433"/>
        <w:outlineLvl w:val="9"/>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合同附件10：安全管理协议书</w:t>
      </w:r>
    </w:p>
    <w:p w14:paraId="57D1E909">
      <w:pPr>
        <w:pStyle w:val="44"/>
        <w:spacing w:line="400" w:lineRule="exact"/>
        <w:ind w:firstLine="433"/>
        <w:outlineLvl w:val="9"/>
        <w:rPr>
          <w:rFonts w:ascii="宋体" w:eastAsia="宋体" w:cs="宋体"/>
          <w:color w:val="auto"/>
          <w:sz w:val="21"/>
          <w:szCs w:val="21"/>
          <w:highlight w:val="none"/>
        </w:rPr>
      </w:pPr>
      <w:r>
        <w:rPr>
          <w:rFonts w:hint="eastAsia" w:ascii="宋体" w:hAnsi="宋体" w:eastAsia="宋体" w:cs="宋体"/>
          <w:b w:val="0"/>
          <w:bCs/>
          <w:color w:val="auto"/>
          <w:sz w:val="21"/>
          <w:szCs w:val="21"/>
          <w:highlight w:val="none"/>
          <w:lang w:val="en-US" w:eastAsia="zh-CN"/>
        </w:rPr>
        <w:t>合同</w:t>
      </w:r>
      <w:r>
        <w:rPr>
          <w:rFonts w:hint="eastAsia" w:ascii="宋体" w:eastAsia="宋体" w:cs="宋体"/>
          <w:color w:val="auto"/>
          <w:sz w:val="21"/>
          <w:szCs w:val="21"/>
          <w:highlight w:val="none"/>
        </w:rPr>
        <w:t>附件</w:t>
      </w:r>
      <w:r>
        <w:rPr>
          <w:rFonts w:hint="eastAsia" w:ascii="宋体" w:eastAsia="宋体" w:cs="宋体"/>
          <w:color w:val="auto"/>
          <w:sz w:val="21"/>
          <w:szCs w:val="21"/>
          <w:highlight w:val="none"/>
          <w:lang w:val="en-US" w:eastAsia="zh-CN"/>
        </w:rPr>
        <w:t>11</w:t>
      </w:r>
      <w:r>
        <w:rPr>
          <w:rFonts w:hint="eastAsia" w:ascii="宋体" w:eastAsia="宋体" w:cs="宋体"/>
          <w:color w:val="auto"/>
          <w:sz w:val="21"/>
          <w:szCs w:val="21"/>
          <w:highlight w:val="none"/>
        </w:rPr>
        <w:t>：《阳光合作协议》</w:t>
      </w:r>
    </w:p>
    <w:bookmarkEnd w:id="296"/>
    <w:p w14:paraId="4C7488C3">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（以下无正文）</w:t>
      </w:r>
    </w:p>
    <w:p w14:paraId="6F33C999">
      <w:pPr>
        <w:pStyle w:val="44"/>
        <w:spacing w:line="400" w:lineRule="exact"/>
        <w:ind w:firstLine="433"/>
        <w:outlineLvl w:val="9"/>
        <w:rPr>
          <w:rFonts w:ascii="宋体" w:eastAsia="宋体" w:cs="宋体"/>
          <w:color w:val="auto"/>
          <w:sz w:val="21"/>
          <w:szCs w:val="21"/>
          <w:highlight w:val="none"/>
        </w:rPr>
      </w:pPr>
      <w:r>
        <w:rPr>
          <w:rFonts w:hint="eastAsia" w:ascii="宋体" w:eastAsia="宋体" w:cs="宋体"/>
          <w:color w:val="auto"/>
          <w:sz w:val="21"/>
          <w:szCs w:val="21"/>
          <w:highlight w:val="none"/>
        </w:rPr>
        <w:t>（签署页）</w:t>
      </w:r>
    </w:p>
    <w:p w14:paraId="62F5CF33">
      <w:pPr>
        <w:pStyle w:val="44"/>
        <w:spacing w:line="400" w:lineRule="exact"/>
        <w:ind w:firstLine="0" w:firstLineChars="0"/>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甲方（盖章）：                                       乙方（盖章）： </w:t>
      </w:r>
    </w:p>
    <w:p w14:paraId="3A9F18DD">
      <w:pPr>
        <w:pStyle w:val="44"/>
        <w:spacing w:line="400" w:lineRule="exact"/>
        <w:ind w:firstLine="0" w:firstLineChars="0"/>
        <w:outlineLvl w:val="9"/>
        <w:rPr>
          <w:rFonts w:ascii="宋体" w:eastAsia="宋体" w:cs="宋体"/>
          <w:color w:val="auto"/>
          <w:sz w:val="21"/>
          <w:szCs w:val="21"/>
          <w:highlight w:val="none"/>
        </w:rPr>
      </w:pPr>
      <w:r>
        <w:rPr>
          <w:rFonts w:hint="eastAsia" w:ascii="宋体" w:eastAsia="宋体" w:cs="宋体"/>
          <w:color w:val="auto"/>
          <w:sz w:val="21"/>
          <w:szCs w:val="21"/>
          <w:highlight w:val="none"/>
        </w:rPr>
        <w:t xml:space="preserve">法定代表人（签章）：                                 法定代表人（签章）： </w:t>
      </w:r>
    </w:p>
    <w:p w14:paraId="39F1CEDD">
      <w:pPr>
        <w:pStyle w:val="44"/>
        <w:spacing w:line="400" w:lineRule="exact"/>
        <w:ind w:firstLine="0" w:firstLineChars="0"/>
        <w:outlineLvl w:val="9"/>
        <w:rPr>
          <w:rFonts w:ascii="宋体" w:eastAsia="宋体" w:cs="宋体"/>
          <w:color w:val="auto"/>
          <w:sz w:val="21"/>
          <w:szCs w:val="21"/>
          <w:highlight w:val="none"/>
        </w:rPr>
      </w:pPr>
      <w:r>
        <w:rPr>
          <w:rFonts w:hint="eastAsia" w:ascii="宋体" w:eastAsia="宋体" w:cs="宋体"/>
          <w:color w:val="auto"/>
          <w:sz w:val="21"/>
          <w:szCs w:val="21"/>
          <w:highlight w:val="none"/>
        </w:rPr>
        <w:t>或授权委托人（签字）：                               或授权委托人（签字）：</w:t>
      </w:r>
    </w:p>
    <w:p w14:paraId="055616D5">
      <w:pPr>
        <w:spacing w:line="400" w:lineRule="exact"/>
        <w:outlineLvl w:val="9"/>
        <w:rPr>
          <w:rFonts w:hint="eastAsia" w:ascii="宋体" w:cs="宋体"/>
          <w:color w:val="auto"/>
          <w:szCs w:val="21"/>
          <w:highlight w:val="none"/>
        </w:rPr>
      </w:pPr>
      <w:r>
        <w:rPr>
          <w:rFonts w:hint="eastAsia" w:ascii="宋体" w:cs="宋体"/>
          <w:color w:val="auto"/>
          <w:szCs w:val="21"/>
          <w:highlight w:val="none"/>
        </w:rPr>
        <w:t>年       月       日                                   年        月       日</w:t>
      </w:r>
    </w:p>
    <w:p w14:paraId="78F72DEA">
      <w:pPr>
        <w:spacing w:line="400" w:lineRule="exact"/>
        <w:outlineLvl w:val="9"/>
        <w:rPr>
          <w:rFonts w:ascii="宋体" w:hAnsi="宋体"/>
          <w:b/>
          <w:color w:val="auto"/>
          <w:sz w:val="24"/>
          <w:highlight w:val="none"/>
        </w:rPr>
      </w:pPr>
      <w:r>
        <w:rPr>
          <w:rFonts w:ascii="宋体" w:hAnsi="宋体"/>
          <w:b/>
          <w:color w:val="auto"/>
          <w:sz w:val="24"/>
          <w:highlight w:val="none"/>
        </w:rPr>
        <w:br w:type="page"/>
      </w:r>
    </w:p>
    <w:p w14:paraId="311CC8E7">
      <w:pPr>
        <w:outlineLvl w:val="9"/>
        <w:rPr>
          <w:rFonts w:ascii="宋体" w:hAnsi="宋体"/>
          <w:b/>
          <w:color w:val="auto"/>
          <w:sz w:val="21"/>
          <w:szCs w:val="21"/>
          <w:highlight w:val="none"/>
        </w:rPr>
      </w:pPr>
      <w:bookmarkStart w:id="298" w:name="_Toc7549"/>
      <w:bookmarkStart w:id="299" w:name="_Toc28601"/>
      <w:bookmarkStart w:id="300" w:name="_Toc6490"/>
      <w:bookmarkStart w:id="301" w:name="_Toc18791"/>
      <w:bookmarkStart w:id="302" w:name="_Toc10186"/>
      <w:bookmarkStart w:id="303" w:name="_Toc29714"/>
      <w:bookmarkStart w:id="304" w:name="_Toc22266"/>
      <w:bookmarkStart w:id="305" w:name="_Toc22996"/>
      <w:bookmarkStart w:id="306" w:name="_Toc28684"/>
      <w:bookmarkStart w:id="307" w:name="_Toc25562"/>
      <w:bookmarkStart w:id="308" w:name="_Toc22062"/>
      <w:bookmarkStart w:id="309" w:name="_Toc18133"/>
      <w:bookmarkStart w:id="310" w:name="_Toc25582"/>
      <w:r>
        <w:rPr>
          <w:rFonts w:hint="eastAsia" w:ascii="宋体" w:hAnsi="宋体"/>
          <w:b/>
          <w:color w:val="auto"/>
          <w:sz w:val="21"/>
          <w:szCs w:val="21"/>
          <w:highlight w:val="none"/>
          <w:lang w:val="en-US" w:eastAsia="zh-CN"/>
        </w:rPr>
        <w:t>合同</w:t>
      </w:r>
      <w:r>
        <w:rPr>
          <w:rFonts w:hint="eastAsia" w:ascii="宋体" w:hAnsi="宋体"/>
          <w:b/>
          <w:color w:val="auto"/>
          <w:sz w:val="21"/>
          <w:szCs w:val="21"/>
          <w:highlight w:val="none"/>
        </w:rPr>
        <w:t>附件</w:t>
      </w:r>
      <w:r>
        <w:rPr>
          <w:rFonts w:hint="eastAsia" w:ascii="宋体" w:hAnsi="宋体"/>
          <w:b/>
          <w:color w:val="auto"/>
          <w:sz w:val="21"/>
          <w:szCs w:val="21"/>
          <w:highlight w:val="none"/>
          <w:lang w:val="en-US" w:eastAsia="zh-CN"/>
        </w:rPr>
        <w:t>1</w:t>
      </w:r>
      <w:r>
        <w:rPr>
          <w:rFonts w:hint="eastAsia" w:ascii="宋体" w:hAnsi="宋体"/>
          <w:b/>
          <w:color w:val="auto"/>
          <w:sz w:val="21"/>
          <w:szCs w:val="21"/>
          <w:highlight w:val="none"/>
        </w:rPr>
        <w:t>：《运输车辆名册》</w:t>
      </w:r>
      <w:bookmarkEnd w:id="298"/>
      <w:bookmarkEnd w:id="299"/>
      <w:bookmarkEnd w:id="300"/>
      <w:bookmarkEnd w:id="301"/>
      <w:bookmarkEnd w:id="302"/>
      <w:bookmarkEnd w:id="303"/>
      <w:bookmarkEnd w:id="304"/>
      <w:bookmarkEnd w:id="305"/>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3"/>
        <w:gridCol w:w="2525"/>
      </w:tblGrid>
      <w:tr w14:paraId="3C89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7D49392F">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3E2FF1F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车牌号</w:t>
            </w:r>
          </w:p>
        </w:tc>
        <w:tc>
          <w:tcPr>
            <w:tcW w:w="1545" w:type="pct"/>
          </w:tcPr>
          <w:p w14:paraId="330552F8">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车型</w:t>
            </w:r>
          </w:p>
        </w:tc>
        <w:tc>
          <w:tcPr>
            <w:tcW w:w="1481" w:type="pct"/>
          </w:tcPr>
          <w:p w14:paraId="21961ADA">
            <w:pPr>
              <w:widowControl w:val="0"/>
              <w:adjustRightInd/>
              <w:snapToGrid/>
              <w:spacing w:line="360" w:lineRule="exact"/>
              <w:ind w:firstLine="660" w:firstLineChars="300"/>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16B8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D4CEF16">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4ABB1D40">
            <w:pPr>
              <w:widowControl w:val="0"/>
              <w:adjustRightInd/>
              <w:snapToGrid/>
              <w:spacing w:line="360" w:lineRule="exact"/>
              <w:outlineLvl w:val="9"/>
              <w:rPr>
                <w:rFonts w:ascii="宋体" w:hAnsi="宋体" w:cs="宋体"/>
                <w:color w:val="auto"/>
                <w:sz w:val="22"/>
                <w:highlight w:val="none"/>
              </w:rPr>
            </w:pPr>
          </w:p>
        </w:tc>
        <w:tc>
          <w:tcPr>
            <w:tcW w:w="1545" w:type="pct"/>
          </w:tcPr>
          <w:p w14:paraId="010C9AC7">
            <w:pPr>
              <w:widowControl w:val="0"/>
              <w:adjustRightInd/>
              <w:snapToGrid/>
              <w:spacing w:line="360" w:lineRule="exact"/>
              <w:outlineLvl w:val="9"/>
              <w:rPr>
                <w:rFonts w:ascii="宋体" w:hAnsi="宋体" w:cs="宋体"/>
                <w:color w:val="auto"/>
                <w:sz w:val="22"/>
                <w:highlight w:val="none"/>
              </w:rPr>
            </w:pPr>
          </w:p>
        </w:tc>
        <w:tc>
          <w:tcPr>
            <w:tcW w:w="1481" w:type="pct"/>
          </w:tcPr>
          <w:p w14:paraId="168BE4B4">
            <w:pPr>
              <w:widowControl w:val="0"/>
              <w:adjustRightInd/>
              <w:snapToGrid/>
              <w:spacing w:line="360" w:lineRule="exact"/>
              <w:outlineLvl w:val="9"/>
              <w:rPr>
                <w:rFonts w:ascii="宋体" w:hAnsi="宋体" w:cs="宋体"/>
                <w:color w:val="auto"/>
                <w:sz w:val="22"/>
                <w:highlight w:val="none"/>
              </w:rPr>
            </w:pPr>
          </w:p>
        </w:tc>
      </w:tr>
      <w:tr w14:paraId="3C32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C72BB2A">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61DBDC3E">
            <w:pPr>
              <w:widowControl w:val="0"/>
              <w:adjustRightInd/>
              <w:snapToGrid/>
              <w:spacing w:line="360" w:lineRule="exact"/>
              <w:outlineLvl w:val="9"/>
              <w:rPr>
                <w:rFonts w:ascii="宋体" w:hAnsi="宋体" w:cs="宋体"/>
                <w:color w:val="auto"/>
                <w:sz w:val="22"/>
                <w:highlight w:val="none"/>
              </w:rPr>
            </w:pPr>
          </w:p>
        </w:tc>
        <w:tc>
          <w:tcPr>
            <w:tcW w:w="1545" w:type="pct"/>
          </w:tcPr>
          <w:p w14:paraId="6B2A70AE">
            <w:pPr>
              <w:widowControl w:val="0"/>
              <w:adjustRightInd/>
              <w:snapToGrid/>
              <w:spacing w:line="360" w:lineRule="exact"/>
              <w:outlineLvl w:val="9"/>
              <w:rPr>
                <w:rFonts w:ascii="宋体" w:hAnsi="宋体" w:cs="宋体"/>
                <w:color w:val="auto"/>
                <w:sz w:val="22"/>
                <w:highlight w:val="none"/>
              </w:rPr>
            </w:pPr>
          </w:p>
        </w:tc>
        <w:tc>
          <w:tcPr>
            <w:tcW w:w="1481" w:type="pct"/>
          </w:tcPr>
          <w:p w14:paraId="0D4CFB7A">
            <w:pPr>
              <w:widowControl w:val="0"/>
              <w:adjustRightInd/>
              <w:snapToGrid/>
              <w:spacing w:line="360" w:lineRule="exact"/>
              <w:outlineLvl w:val="9"/>
              <w:rPr>
                <w:rFonts w:ascii="宋体" w:hAnsi="宋体" w:cs="宋体"/>
                <w:color w:val="auto"/>
                <w:sz w:val="22"/>
                <w:highlight w:val="none"/>
              </w:rPr>
            </w:pPr>
          </w:p>
        </w:tc>
      </w:tr>
      <w:tr w14:paraId="34D0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720AF24">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0120BDB4">
            <w:pPr>
              <w:widowControl w:val="0"/>
              <w:adjustRightInd/>
              <w:snapToGrid/>
              <w:spacing w:line="360" w:lineRule="exact"/>
              <w:outlineLvl w:val="9"/>
              <w:rPr>
                <w:rFonts w:ascii="宋体" w:hAnsi="宋体" w:cs="宋体"/>
                <w:color w:val="auto"/>
                <w:sz w:val="22"/>
                <w:highlight w:val="none"/>
              </w:rPr>
            </w:pPr>
          </w:p>
        </w:tc>
        <w:tc>
          <w:tcPr>
            <w:tcW w:w="1545" w:type="pct"/>
          </w:tcPr>
          <w:p w14:paraId="222FAF19">
            <w:pPr>
              <w:widowControl w:val="0"/>
              <w:adjustRightInd/>
              <w:snapToGrid/>
              <w:spacing w:line="360" w:lineRule="exact"/>
              <w:outlineLvl w:val="9"/>
              <w:rPr>
                <w:rFonts w:ascii="宋体" w:hAnsi="宋体" w:cs="宋体"/>
                <w:color w:val="auto"/>
                <w:sz w:val="22"/>
                <w:highlight w:val="none"/>
              </w:rPr>
            </w:pPr>
          </w:p>
        </w:tc>
        <w:tc>
          <w:tcPr>
            <w:tcW w:w="1481" w:type="pct"/>
          </w:tcPr>
          <w:p w14:paraId="2BD8BE71">
            <w:pPr>
              <w:widowControl w:val="0"/>
              <w:adjustRightInd/>
              <w:snapToGrid/>
              <w:spacing w:line="360" w:lineRule="exact"/>
              <w:outlineLvl w:val="9"/>
              <w:rPr>
                <w:rFonts w:ascii="宋体" w:hAnsi="宋体" w:cs="宋体"/>
                <w:color w:val="auto"/>
                <w:sz w:val="22"/>
                <w:highlight w:val="none"/>
              </w:rPr>
            </w:pPr>
          </w:p>
        </w:tc>
      </w:tr>
      <w:tr w14:paraId="6183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240C6A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084A7D8C">
            <w:pPr>
              <w:widowControl w:val="0"/>
              <w:adjustRightInd/>
              <w:snapToGrid/>
              <w:spacing w:line="360" w:lineRule="exact"/>
              <w:outlineLvl w:val="9"/>
              <w:rPr>
                <w:rFonts w:ascii="宋体" w:hAnsi="宋体" w:cs="宋体"/>
                <w:color w:val="auto"/>
                <w:sz w:val="22"/>
                <w:highlight w:val="none"/>
              </w:rPr>
            </w:pPr>
          </w:p>
        </w:tc>
        <w:tc>
          <w:tcPr>
            <w:tcW w:w="1545" w:type="pct"/>
          </w:tcPr>
          <w:p w14:paraId="25F49260">
            <w:pPr>
              <w:widowControl w:val="0"/>
              <w:adjustRightInd/>
              <w:snapToGrid/>
              <w:spacing w:line="360" w:lineRule="exact"/>
              <w:outlineLvl w:val="9"/>
              <w:rPr>
                <w:rFonts w:ascii="宋体" w:hAnsi="宋体" w:cs="宋体"/>
                <w:color w:val="auto"/>
                <w:sz w:val="22"/>
                <w:highlight w:val="none"/>
              </w:rPr>
            </w:pPr>
          </w:p>
        </w:tc>
        <w:tc>
          <w:tcPr>
            <w:tcW w:w="1481" w:type="pct"/>
          </w:tcPr>
          <w:p w14:paraId="5A55C45D">
            <w:pPr>
              <w:widowControl w:val="0"/>
              <w:adjustRightInd/>
              <w:snapToGrid/>
              <w:spacing w:line="360" w:lineRule="exact"/>
              <w:outlineLvl w:val="9"/>
              <w:rPr>
                <w:rFonts w:ascii="宋体" w:hAnsi="宋体" w:cs="宋体"/>
                <w:color w:val="auto"/>
                <w:sz w:val="22"/>
                <w:highlight w:val="none"/>
              </w:rPr>
            </w:pPr>
          </w:p>
        </w:tc>
      </w:tr>
      <w:tr w14:paraId="78AB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8A970FD">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45C301DD">
            <w:pPr>
              <w:widowControl w:val="0"/>
              <w:adjustRightInd/>
              <w:snapToGrid/>
              <w:spacing w:line="360" w:lineRule="exact"/>
              <w:outlineLvl w:val="9"/>
              <w:rPr>
                <w:rFonts w:ascii="宋体" w:hAnsi="宋体" w:cs="宋体"/>
                <w:color w:val="auto"/>
                <w:sz w:val="22"/>
                <w:highlight w:val="none"/>
              </w:rPr>
            </w:pPr>
          </w:p>
        </w:tc>
        <w:tc>
          <w:tcPr>
            <w:tcW w:w="1545" w:type="pct"/>
          </w:tcPr>
          <w:p w14:paraId="35A796ED">
            <w:pPr>
              <w:widowControl w:val="0"/>
              <w:adjustRightInd/>
              <w:snapToGrid/>
              <w:spacing w:line="360" w:lineRule="exact"/>
              <w:outlineLvl w:val="9"/>
              <w:rPr>
                <w:rFonts w:ascii="宋体" w:hAnsi="宋体" w:cs="宋体"/>
                <w:color w:val="auto"/>
                <w:sz w:val="22"/>
                <w:highlight w:val="none"/>
              </w:rPr>
            </w:pPr>
          </w:p>
        </w:tc>
        <w:tc>
          <w:tcPr>
            <w:tcW w:w="1481" w:type="pct"/>
          </w:tcPr>
          <w:p w14:paraId="3837EA5A">
            <w:pPr>
              <w:widowControl w:val="0"/>
              <w:adjustRightInd/>
              <w:snapToGrid/>
              <w:spacing w:line="360" w:lineRule="exact"/>
              <w:outlineLvl w:val="9"/>
              <w:rPr>
                <w:rFonts w:ascii="宋体" w:hAnsi="宋体" w:cs="宋体"/>
                <w:color w:val="auto"/>
                <w:sz w:val="22"/>
                <w:highlight w:val="none"/>
              </w:rPr>
            </w:pPr>
          </w:p>
        </w:tc>
      </w:tr>
      <w:tr w14:paraId="2C79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793ECC3">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274B385C">
            <w:pPr>
              <w:widowControl w:val="0"/>
              <w:adjustRightInd/>
              <w:snapToGrid/>
              <w:spacing w:line="360" w:lineRule="exact"/>
              <w:outlineLvl w:val="9"/>
              <w:rPr>
                <w:rFonts w:ascii="宋体" w:hAnsi="宋体" w:cs="宋体"/>
                <w:color w:val="auto"/>
                <w:sz w:val="22"/>
                <w:highlight w:val="none"/>
              </w:rPr>
            </w:pPr>
          </w:p>
        </w:tc>
        <w:tc>
          <w:tcPr>
            <w:tcW w:w="1545" w:type="pct"/>
          </w:tcPr>
          <w:p w14:paraId="64D816D1">
            <w:pPr>
              <w:widowControl w:val="0"/>
              <w:adjustRightInd/>
              <w:snapToGrid/>
              <w:spacing w:line="360" w:lineRule="exact"/>
              <w:outlineLvl w:val="9"/>
              <w:rPr>
                <w:rFonts w:ascii="宋体" w:hAnsi="宋体" w:cs="宋体"/>
                <w:color w:val="auto"/>
                <w:sz w:val="22"/>
                <w:highlight w:val="none"/>
              </w:rPr>
            </w:pPr>
          </w:p>
        </w:tc>
        <w:tc>
          <w:tcPr>
            <w:tcW w:w="1481" w:type="pct"/>
          </w:tcPr>
          <w:p w14:paraId="6B7C8A53">
            <w:pPr>
              <w:widowControl w:val="0"/>
              <w:adjustRightInd/>
              <w:snapToGrid/>
              <w:spacing w:line="360" w:lineRule="exact"/>
              <w:outlineLvl w:val="9"/>
              <w:rPr>
                <w:rFonts w:ascii="宋体" w:hAnsi="宋体" w:cs="宋体"/>
                <w:color w:val="auto"/>
                <w:sz w:val="22"/>
                <w:highlight w:val="none"/>
              </w:rPr>
            </w:pPr>
          </w:p>
        </w:tc>
      </w:tr>
      <w:tr w14:paraId="46F7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42A353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2182899D">
            <w:pPr>
              <w:widowControl w:val="0"/>
              <w:adjustRightInd/>
              <w:snapToGrid/>
              <w:spacing w:line="360" w:lineRule="exact"/>
              <w:outlineLvl w:val="9"/>
              <w:rPr>
                <w:rFonts w:ascii="宋体" w:hAnsi="宋体" w:cs="宋体"/>
                <w:color w:val="auto"/>
                <w:sz w:val="22"/>
                <w:highlight w:val="none"/>
              </w:rPr>
            </w:pPr>
          </w:p>
        </w:tc>
        <w:tc>
          <w:tcPr>
            <w:tcW w:w="1545" w:type="pct"/>
          </w:tcPr>
          <w:p w14:paraId="2A1449C1">
            <w:pPr>
              <w:widowControl w:val="0"/>
              <w:adjustRightInd/>
              <w:snapToGrid/>
              <w:spacing w:line="360" w:lineRule="exact"/>
              <w:outlineLvl w:val="9"/>
              <w:rPr>
                <w:rFonts w:ascii="宋体" w:hAnsi="宋体" w:cs="宋体"/>
                <w:color w:val="auto"/>
                <w:sz w:val="22"/>
                <w:highlight w:val="none"/>
              </w:rPr>
            </w:pPr>
          </w:p>
        </w:tc>
        <w:tc>
          <w:tcPr>
            <w:tcW w:w="1481" w:type="pct"/>
          </w:tcPr>
          <w:p w14:paraId="24B119C6">
            <w:pPr>
              <w:widowControl w:val="0"/>
              <w:adjustRightInd/>
              <w:snapToGrid/>
              <w:spacing w:line="360" w:lineRule="exact"/>
              <w:outlineLvl w:val="9"/>
              <w:rPr>
                <w:rFonts w:ascii="宋体" w:hAnsi="宋体" w:cs="宋体"/>
                <w:color w:val="auto"/>
                <w:sz w:val="22"/>
                <w:highlight w:val="none"/>
              </w:rPr>
            </w:pPr>
          </w:p>
        </w:tc>
      </w:tr>
      <w:tr w14:paraId="1649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2E63DE1">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26651C62">
            <w:pPr>
              <w:widowControl w:val="0"/>
              <w:adjustRightInd/>
              <w:snapToGrid/>
              <w:spacing w:line="360" w:lineRule="exact"/>
              <w:outlineLvl w:val="9"/>
              <w:rPr>
                <w:rFonts w:ascii="宋体" w:hAnsi="宋体" w:cs="宋体"/>
                <w:color w:val="auto"/>
                <w:sz w:val="22"/>
                <w:highlight w:val="none"/>
              </w:rPr>
            </w:pPr>
          </w:p>
        </w:tc>
        <w:tc>
          <w:tcPr>
            <w:tcW w:w="1545" w:type="pct"/>
          </w:tcPr>
          <w:p w14:paraId="0FD59CDA">
            <w:pPr>
              <w:widowControl w:val="0"/>
              <w:adjustRightInd/>
              <w:snapToGrid/>
              <w:spacing w:line="360" w:lineRule="exact"/>
              <w:outlineLvl w:val="9"/>
              <w:rPr>
                <w:rFonts w:ascii="宋体" w:hAnsi="宋体" w:cs="宋体"/>
                <w:color w:val="auto"/>
                <w:sz w:val="22"/>
                <w:highlight w:val="none"/>
              </w:rPr>
            </w:pPr>
          </w:p>
        </w:tc>
        <w:tc>
          <w:tcPr>
            <w:tcW w:w="1481" w:type="pct"/>
          </w:tcPr>
          <w:p w14:paraId="0F4CCFA1">
            <w:pPr>
              <w:widowControl w:val="0"/>
              <w:adjustRightInd/>
              <w:snapToGrid/>
              <w:spacing w:line="360" w:lineRule="exact"/>
              <w:outlineLvl w:val="9"/>
              <w:rPr>
                <w:rFonts w:ascii="宋体" w:hAnsi="宋体" w:cs="宋体"/>
                <w:color w:val="auto"/>
                <w:sz w:val="22"/>
                <w:highlight w:val="none"/>
              </w:rPr>
            </w:pPr>
          </w:p>
        </w:tc>
      </w:tr>
      <w:tr w14:paraId="1A50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ABED763">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70240983">
            <w:pPr>
              <w:widowControl w:val="0"/>
              <w:adjustRightInd/>
              <w:snapToGrid/>
              <w:spacing w:line="360" w:lineRule="exact"/>
              <w:outlineLvl w:val="9"/>
              <w:rPr>
                <w:rFonts w:ascii="宋体" w:hAnsi="宋体" w:cs="宋体"/>
                <w:color w:val="auto"/>
                <w:sz w:val="22"/>
                <w:highlight w:val="none"/>
              </w:rPr>
            </w:pPr>
          </w:p>
        </w:tc>
        <w:tc>
          <w:tcPr>
            <w:tcW w:w="1545" w:type="pct"/>
          </w:tcPr>
          <w:p w14:paraId="279D0935">
            <w:pPr>
              <w:widowControl w:val="0"/>
              <w:adjustRightInd/>
              <w:snapToGrid/>
              <w:spacing w:line="360" w:lineRule="exact"/>
              <w:outlineLvl w:val="9"/>
              <w:rPr>
                <w:rFonts w:ascii="宋体" w:hAnsi="宋体" w:cs="宋体"/>
                <w:color w:val="auto"/>
                <w:sz w:val="22"/>
                <w:highlight w:val="none"/>
              </w:rPr>
            </w:pPr>
          </w:p>
        </w:tc>
        <w:tc>
          <w:tcPr>
            <w:tcW w:w="1481" w:type="pct"/>
          </w:tcPr>
          <w:p w14:paraId="52E31B14">
            <w:pPr>
              <w:widowControl w:val="0"/>
              <w:adjustRightInd/>
              <w:snapToGrid/>
              <w:spacing w:line="360" w:lineRule="exact"/>
              <w:outlineLvl w:val="9"/>
              <w:rPr>
                <w:rFonts w:ascii="宋体" w:hAnsi="宋体" w:cs="宋体"/>
                <w:color w:val="auto"/>
                <w:sz w:val="22"/>
                <w:highlight w:val="none"/>
              </w:rPr>
            </w:pPr>
          </w:p>
        </w:tc>
      </w:tr>
      <w:tr w14:paraId="70B5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F1C4288">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437A006B">
            <w:pPr>
              <w:widowControl w:val="0"/>
              <w:adjustRightInd/>
              <w:snapToGrid/>
              <w:spacing w:line="360" w:lineRule="exact"/>
              <w:outlineLvl w:val="9"/>
              <w:rPr>
                <w:rFonts w:ascii="宋体" w:hAnsi="宋体" w:cs="宋体"/>
                <w:color w:val="auto"/>
                <w:sz w:val="22"/>
                <w:highlight w:val="none"/>
              </w:rPr>
            </w:pPr>
          </w:p>
        </w:tc>
        <w:tc>
          <w:tcPr>
            <w:tcW w:w="1545" w:type="pct"/>
          </w:tcPr>
          <w:p w14:paraId="110D46D7">
            <w:pPr>
              <w:widowControl w:val="0"/>
              <w:adjustRightInd/>
              <w:snapToGrid/>
              <w:spacing w:line="360" w:lineRule="exact"/>
              <w:outlineLvl w:val="9"/>
              <w:rPr>
                <w:rFonts w:ascii="宋体" w:hAnsi="宋体" w:cs="宋体"/>
                <w:color w:val="auto"/>
                <w:sz w:val="22"/>
                <w:highlight w:val="none"/>
              </w:rPr>
            </w:pPr>
          </w:p>
        </w:tc>
        <w:tc>
          <w:tcPr>
            <w:tcW w:w="1481" w:type="pct"/>
          </w:tcPr>
          <w:p w14:paraId="25F45D65">
            <w:pPr>
              <w:widowControl w:val="0"/>
              <w:adjustRightInd/>
              <w:snapToGrid/>
              <w:spacing w:line="360" w:lineRule="exact"/>
              <w:outlineLvl w:val="9"/>
              <w:rPr>
                <w:rFonts w:ascii="宋体" w:hAnsi="宋体" w:cs="宋体"/>
                <w:color w:val="auto"/>
                <w:sz w:val="22"/>
                <w:highlight w:val="none"/>
              </w:rPr>
            </w:pPr>
          </w:p>
        </w:tc>
      </w:tr>
      <w:tr w14:paraId="59F0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C6B0695">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304642B6">
            <w:pPr>
              <w:widowControl w:val="0"/>
              <w:adjustRightInd/>
              <w:snapToGrid/>
              <w:spacing w:line="360" w:lineRule="exact"/>
              <w:outlineLvl w:val="9"/>
              <w:rPr>
                <w:rFonts w:ascii="宋体" w:hAnsi="宋体" w:cs="宋体"/>
                <w:color w:val="auto"/>
                <w:sz w:val="22"/>
                <w:highlight w:val="none"/>
              </w:rPr>
            </w:pPr>
          </w:p>
        </w:tc>
        <w:tc>
          <w:tcPr>
            <w:tcW w:w="1545" w:type="pct"/>
          </w:tcPr>
          <w:p w14:paraId="0DC58F12">
            <w:pPr>
              <w:widowControl w:val="0"/>
              <w:adjustRightInd/>
              <w:snapToGrid/>
              <w:spacing w:line="360" w:lineRule="exact"/>
              <w:outlineLvl w:val="9"/>
              <w:rPr>
                <w:rFonts w:ascii="宋体" w:hAnsi="宋体" w:cs="宋体"/>
                <w:color w:val="auto"/>
                <w:sz w:val="22"/>
                <w:highlight w:val="none"/>
              </w:rPr>
            </w:pPr>
          </w:p>
        </w:tc>
        <w:tc>
          <w:tcPr>
            <w:tcW w:w="1481" w:type="pct"/>
          </w:tcPr>
          <w:p w14:paraId="7379E4A7">
            <w:pPr>
              <w:widowControl w:val="0"/>
              <w:adjustRightInd/>
              <w:snapToGrid/>
              <w:spacing w:line="360" w:lineRule="exact"/>
              <w:outlineLvl w:val="9"/>
              <w:rPr>
                <w:rFonts w:ascii="宋体" w:hAnsi="宋体" w:cs="宋体"/>
                <w:color w:val="auto"/>
                <w:sz w:val="22"/>
                <w:highlight w:val="none"/>
              </w:rPr>
            </w:pPr>
          </w:p>
        </w:tc>
      </w:tr>
      <w:tr w14:paraId="4EAF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4660DF2">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6701EF9E">
            <w:pPr>
              <w:widowControl w:val="0"/>
              <w:adjustRightInd/>
              <w:snapToGrid/>
              <w:spacing w:line="360" w:lineRule="exact"/>
              <w:outlineLvl w:val="9"/>
              <w:rPr>
                <w:rFonts w:ascii="宋体" w:hAnsi="宋体" w:cs="宋体"/>
                <w:color w:val="auto"/>
                <w:sz w:val="22"/>
                <w:highlight w:val="none"/>
              </w:rPr>
            </w:pPr>
          </w:p>
        </w:tc>
        <w:tc>
          <w:tcPr>
            <w:tcW w:w="1545" w:type="pct"/>
          </w:tcPr>
          <w:p w14:paraId="45259C62">
            <w:pPr>
              <w:widowControl w:val="0"/>
              <w:adjustRightInd/>
              <w:snapToGrid/>
              <w:spacing w:line="360" w:lineRule="exact"/>
              <w:outlineLvl w:val="9"/>
              <w:rPr>
                <w:rFonts w:ascii="宋体" w:hAnsi="宋体" w:cs="宋体"/>
                <w:color w:val="auto"/>
                <w:sz w:val="22"/>
                <w:highlight w:val="none"/>
              </w:rPr>
            </w:pPr>
          </w:p>
        </w:tc>
        <w:tc>
          <w:tcPr>
            <w:tcW w:w="1481" w:type="pct"/>
          </w:tcPr>
          <w:p w14:paraId="1F32335A">
            <w:pPr>
              <w:widowControl w:val="0"/>
              <w:adjustRightInd/>
              <w:snapToGrid/>
              <w:spacing w:line="360" w:lineRule="exact"/>
              <w:outlineLvl w:val="9"/>
              <w:rPr>
                <w:rFonts w:ascii="宋体" w:hAnsi="宋体" w:cs="宋体"/>
                <w:color w:val="auto"/>
                <w:sz w:val="22"/>
                <w:highlight w:val="none"/>
              </w:rPr>
            </w:pPr>
          </w:p>
        </w:tc>
      </w:tr>
      <w:tr w14:paraId="2EC2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9586263">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715108BB">
            <w:pPr>
              <w:widowControl w:val="0"/>
              <w:adjustRightInd/>
              <w:snapToGrid/>
              <w:spacing w:line="360" w:lineRule="exact"/>
              <w:outlineLvl w:val="9"/>
              <w:rPr>
                <w:rFonts w:ascii="宋体" w:hAnsi="宋体" w:cs="宋体"/>
                <w:color w:val="auto"/>
                <w:sz w:val="22"/>
                <w:highlight w:val="none"/>
              </w:rPr>
            </w:pPr>
          </w:p>
        </w:tc>
        <w:tc>
          <w:tcPr>
            <w:tcW w:w="1545" w:type="pct"/>
          </w:tcPr>
          <w:p w14:paraId="7A99426D">
            <w:pPr>
              <w:widowControl w:val="0"/>
              <w:adjustRightInd/>
              <w:snapToGrid/>
              <w:spacing w:line="360" w:lineRule="exact"/>
              <w:outlineLvl w:val="9"/>
              <w:rPr>
                <w:rFonts w:ascii="宋体" w:hAnsi="宋体" w:cs="宋体"/>
                <w:color w:val="auto"/>
                <w:sz w:val="22"/>
                <w:highlight w:val="none"/>
              </w:rPr>
            </w:pPr>
          </w:p>
        </w:tc>
        <w:tc>
          <w:tcPr>
            <w:tcW w:w="1481" w:type="pct"/>
          </w:tcPr>
          <w:p w14:paraId="25DAAE9A">
            <w:pPr>
              <w:widowControl w:val="0"/>
              <w:adjustRightInd/>
              <w:snapToGrid/>
              <w:spacing w:line="360" w:lineRule="exact"/>
              <w:outlineLvl w:val="9"/>
              <w:rPr>
                <w:rFonts w:ascii="宋体" w:hAnsi="宋体" w:cs="宋体"/>
                <w:color w:val="auto"/>
                <w:sz w:val="22"/>
                <w:highlight w:val="none"/>
              </w:rPr>
            </w:pPr>
          </w:p>
        </w:tc>
      </w:tr>
      <w:tr w14:paraId="562E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F05D4CB">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193628DA">
            <w:pPr>
              <w:widowControl w:val="0"/>
              <w:adjustRightInd/>
              <w:snapToGrid/>
              <w:spacing w:line="360" w:lineRule="exact"/>
              <w:outlineLvl w:val="9"/>
              <w:rPr>
                <w:rFonts w:ascii="宋体" w:hAnsi="宋体" w:cs="宋体"/>
                <w:color w:val="auto"/>
                <w:sz w:val="22"/>
                <w:highlight w:val="none"/>
              </w:rPr>
            </w:pPr>
          </w:p>
        </w:tc>
        <w:tc>
          <w:tcPr>
            <w:tcW w:w="1545" w:type="pct"/>
          </w:tcPr>
          <w:p w14:paraId="2E3831AC">
            <w:pPr>
              <w:widowControl w:val="0"/>
              <w:adjustRightInd/>
              <w:snapToGrid/>
              <w:spacing w:line="360" w:lineRule="exact"/>
              <w:outlineLvl w:val="9"/>
              <w:rPr>
                <w:rFonts w:ascii="宋体" w:hAnsi="宋体" w:cs="宋体"/>
                <w:color w:val="auto"/>
                <w:sz w:val="22"/>
                <w:highlight w:val="none"/>
              </w:rPr>
            </w:pPr>
          </w:p>
        </w:tc>
        <w:tc>
          <w:tcPr>
            <w:tcW w:w="1481" w:type="pct"/>
          </w:tcPr>
          <w:p w14:paraId="4652279A">
            <w:pPr>
              <w:widowControl w:val="0"/>
              <w:adjustRightInd/>
              <w:snapToGrid/>
              <w:spacing w:line="360" w:lineRule="exact"/>
              <w:outlineLvl w:val="9"/>
              <w:rPr>
                <w:rFonts w:ascii="宋体" w:hAnsi="宋体" w:cs="宋体"/>
                <w:color w:val="auto"/>
                <w:sz w:val="22"/>
                <w:highlight w:val="none"/>
              </w:rPr>
            </w:pPr>
          </w:p>
        </w:tc>
      </w:tr>
      <w:tr w14:paraId="3AA4A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3B31B7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42EF187F">
            <w:pPr>
              <w:widowControl w:val="0"/>
              <w:adjustRightInd/>
              <w:snapToGrid/>
              <w:spacing w:line="360" w:lineRule="exact"/>
              <w:outlineLvl w:val="9"/>
              <w:rPr>
                <w:rFonts w:ascii="宋体" w:hAnsi="宋体" w:cs="宋体"/>
                <w:color w:val="auto"/>
                <w:sz w:val="22"/>
                <w:highlight w:val="none"/>
              </w:rPr>
            </w:pPr>
          </w:p>
        </w:tc>
        <w:tc>
          <w:tcPr>
            <w:tcW w:w="1545" w:type="pct"/>
          </w:tcPr>
          <w:p w14:paraId="45658185">
            <w:pPr>
              <w:widowControl w:val="0"/>
              <w:adjustRightInd/>
              <w:snapToGrid/>
              <w:spacing w:line="360" w:lineRule="exact"/>
              <w:outlineLvl w:val="9"/>
              <w:rPr>
                <w:rFonts w:ascii="宋体" w:hAnsi="宋体" w:cs="宋体"/>
                <w:color w:val="auto"/>
                <w:sz w:val="22"/>
                <w:highlight w:val="none"/>
              </w:rPr>
            </w:pPr>
          </w:p>
        </w:tc>
        <w:tc>
          <w:tcPr>
            <w:tcW w:w="1481" w:type="pct"/>
          </w:tcPr>
          <w:p w14:paraId="102747C7">
            <w:pPr>
              <w:widowControl w:val="0"/>
              <w:adjustRightInd/>
              <w:snapToGrid/>
              <w:spacing w:line="360" w:lineRule="exact"/>
              <w:outlineLvl w:val="9"/>
              <w:rPr>
                <w:rFonts w:ascii="宋体" w:hAnsi="宋体" w:cs="宋体"/>
                <w:color w:val="auto"/>
                <w:sz w:val="22"/>
                <w:highlight w:val="none"/>
              </w:rPr>
            </w:pPr>
          </w:p>
        </w:tc>
      </w:tr>
      <w:tr w14:paraId="4FCA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64A9469">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426306A7">
            <w:pPr>
              <w:widowControl w:val="0"/>
              <w:adjustRightInd/>
              <w:snapToGrid/>
              <w:spacing w:line="360" w:lineRule="exact"/>
              <w:outlineLvl w:val="9"/>
              <w:rPr>
                <w:rFonts w:ascii="宋体" w:hAnsi="宋体" w:cs="宋体"/>
                <w:color w:val="auto"/>
                <w:sz w:val="22"/>
                <w:highlight w:val="none"/>
              </w:rPr>
            </w:pPr>
          </w:p>
        </w:tc>
        <w:tc>
          <w:tcPr>
            <w:tcW w:w="1545" w:type="pct"/>
          </w:tcPr>
          <w:p w14:paraId="3475E2BE">
            <w:pPr>
              <w:widowControl w:val="0"/>
              <w:adjustRightInd/>
              <w:snapToGrid/>
              <w:spacing w:line="360" w:lineRule="exact"/>
              <w:outlineLvl w:val="9"/>
              <w:rPr>
                <w:rFonts w:ascii="宋体" w:hAnsi="宋体" w:cs="宋体"/>
                <w:color w:val="auto"/>
                <w:sz w:val="22"/>
                <w:highlight w:val="none"/>
              </w:rPr>
            </w:pPr>
          </w:p>
        </w:tc>
        <w:tc>
          <w:tcPr>
            <w:tcW w:w="1481" w:type="pct"/>
          </w:tcPr>
          <w:p w14:paraId="2587D365">
            <w:pPr>
              <w:widowControl w:val="0"/>
              <w:adjustRightInd/>
              <w:snapToGrid/>
              <w:spacing w:line="360" w:lineRule="exact"/>
              <w:outlineLvl w:val="9"/>
              <w:rPr>
                <w:rFonts w:ascii="宋体" w:hAnsi="宋体" w:cs="宋体"/>
                <w:color w:val="auto"/>
                <w:sz w:val="22"/>
                <w:highlight w:val="none"/>
              </w:rPr>
            </w:pPr>
          </w:p>
        </w:tc>
      </w:tr>
      <w:tr w14:paraId="3FAD6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F9E29EE">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3A132AE9">
            <w:pPr>
              <w:widowControl w:val="0"/>
              <w:adjustRightInd/>
              <w:snapToGrid/>
              <w:spacing w:line="360" w:lineRule="exact"/>
              <w:outlineLvl w:val="9"/>
              <w:rPr>
                <w:rFonts w:ascii="宋体" w:hAnsi="宋体" w:cs="宋体"/>
                <w:color w:val="auto"/>
                <w:sz w:val="22"/>
                <w:highlight w:val="none"/>
              </w:rPr>
            </w:pPr>
          </w:p>
        </w:tc>
        <w:tc>
          <w:tcPr>
            <w:tcW w:w="1545" w:type="pct"/>
          </w:tcPr>
          <w:p w14:paraId="4B355EC5">
            <w:pPr>
              <w:widowControl w:val="0"/>
              <w:adjustRightInd/>
              <w:snapToGrid/>
              <w:spacing w:line="360" w:lineRule="exact"/>
              <w:outlineLvl w:val="9"/>
              <w:rPr>
                <w:rFonts w:ascii="宋体" w:hAnsi="宋体" w:cs="宋体"/>
                <w:color w:val="auto"/>
                <w:sz w:val="22"/>
                <w:highlight w:val="none"/>
              </w:rPr>
            </w:pPr>
          </w:p>
        </w:tc>
        <w:tc>
          <w:tcPr>
            <w:tcW w:w="1481" w:type="pct"/>
          </w:tcPr>
          <w:p w14:paraId="6451AB0B">
            <w:pPr>
              <w:widowControl w:val="0"/>
              <w:adjustRightInd/>
              <w:snapToGrid/>
              <w:spacing w:line="360" w:lineRule="exact"/>
              <w:outlineLvl w:val="9"/>
              <w:rPr>
                <w:rFonts w:ascii="宋体" w:hAnsi="宋体" w:cs="宋体"/>
                <w:color w:val="auto"/>
                <w:sz w:val="22"/>
                <w:highlight w:val="none"/>
              </w:rPr>
            </w:pPr>
          </w:p>
        </w:tc>
      </w:tr>
      <w:tr w14:paraId="5FD1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2815104">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1FC1527E">
            <w:pPr>
              <w:widowControl w:val="0"/>
              <w:adjustRightInd/>
              <w:snapToGrid/>
              <w:spacing w:line="360" w:lineRule="exact"/>
              <w:outlineLvl w:val="9"/>
              <w:rPr>
                <w:rFonts w:ascii="宋体" w:hAnsi="宋体" w:cs="宋体"/>
                <w:color w:val="auto"/>
                <w:sz w:val="22"/>
                <w:highlight w:val="none"/>
              </w:rPr>
            </w:pPr>
          </w:p>
        </w:tc>
        <w:tc>
          <w:tcPr>
            <w:tcW w:w="1545" w:type="pct"/>
          </w:tcPr>
          <w:p w14:paraId="354F90B4">
            <w:pPr>
              <w:widowControl w:val="0"/>
              <w:adjustRightInd/>
              <w:snapToGrid/>
              <w:spacing w:line="360" w:lineRule="exact"/>
              <w:outlineLvl w:val="9"/>
              <w:rPr>
                <w:rFonts w:ascii="宋体" w:hAnsi="宋体" w:cs="宋体"/>
                <w:color w:val="auto"/>
                <w:sz w:val="22"/>
                <w:highlight w:val="none"/>
              </w:rPr>
            </w:pPr>
          </w:p>
        </w:tc>
        <w:tc>
          <w:tcPr>
            <w:tcW w:w="1481" w:type="pct"/>
          </w:tcPr>
          <w:p w14:paraId="16FDE703">
            <w:pPr>
              <w:widowControl w:val="0"/>
              <w:adjustRightInd/>
              <w:snapToGrid/>
              <w:spacing w:line="360" w:lineRule="exact"/>
              <w:outlineLvl w:val="9"/>
              <w:rPr>
                <w:rFonts w:ascii="宋体" w:hAnsi="宋体" w:cs="宋体"/>
                <w:color w:val="auto"/>
                <w:sz w:val="22"/>
                <w:highlight w:val="none"/>
              </w:rPr>
            </w:pPr>
          </w:p>
        </w:tc>
      </w:tr>
      <w:tr w14:paraId="776E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250FCE9">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22C1D66E">
            <w:pPr>
              <w:widowControl w:val="0"/>
              <w:adjustRightInd/>
              <w:snapToGrid/>
              <w:spacing w:line="360" w:lineRule="exact"/>
              <w:outlineLvl w:val="9"/>
              <w:rPr>
                <w:rFonts w:ascii="宋体" w:hAnsi="宋体" w:cs="宋体"/>
                <w:color w:val="auto"/>
                <w:sz w:val="22"/>
                <w:highlight w:val="none"/>
              </w:rPr>
            </w:pPr>
          </w:p>
        </w:tc>
        <w:tc>
          <w:tcPr>
            <w:tcW w:w="1545" w:type="pct"/>
          </w:tcPr>
          <w:p w14:paraId="35CE163A">
            <w:pPr>
              <w:widowControl w:val="0"/>
              <w:adjustRightInd/>
              <w:snapToGrid/>
              <w:spacing w:line="360" w:lineRule="exact"/>
              <w:outlineLvl w:val="9"/>
              <w:rPr>
                <w:rFonts w:ascii="宋体" w:hAnsi="宋体" w:cs="宋体"/>
                <w:color w:val="auto"/>
                <w:sz w:val="22"/>
                <w:highlight w:val="none"/>
              </w:rPr>
            </w:pPr>
          </w:p>
        </w:tc>
        <w:tc>
          <w:tcPr>
            <w:tcW w:w="1481" w:type="pct"/>
          </w:tcPr>
          <w:p w14:paraId="1969EC40">
            <w:pPr>
              <w:widowControl w:val="0"/>
              <w:adjustRightInd/>
              <w:snapToGrid/>
              <w:spacing w:line="360" w:lineRule="exact"/>
              <w:outlineLvl w:val="9"/>
              <w:rPr>
                <w:rFonts w:ascii="宋体" w:hAnsi="宋体" w:cs="宋体"/>
                <w:color w:val="auto"/>
                <w:sz w:val="22"/>
                <w:highlight w:val="none"/>
              </w:rPr>
            </w:pPr>
          </w:p>
        </w:tc>
      </w:tr>
      <w:tr w14:paraId="41F7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82CBFC5">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491D95FC">
            <w:pPr>
              <w:widowControl w:val="0"/>
              <w:adjustRightInd/>
              <w:snapToGrid/>
              <w:spacing w:line="360" w:lineRule="exact"/>
              <w:outlineLvl w:val="9"/>
              <w:rPr>
                <w:rFonts w:ascii="宋体" w:hAnsi="宋体" w:cs="宋体"/>
                <w:color w:val="auto"/>
                <w:sz w:val="22"/>
                <w:highlight w:val="none"/>
              </w:rPr>
            </w:pPr>
          </w:p>
        </w:tc>
        <w:tc>
          <w:tcPr>
            <w:tcW w:w="1545" w:type="pct"/>
          </w:tcPr>
          <w:p w14:paraId="1C21451D">
            <w:pPr>
              <w:widowControl w:val="0"/>
              <w:adjustRightInd/>
              <w:snapToGrid/>
              <w:spacing w:line="360" w:lineRule="exact"/>
              <w:outlineLvl w:val="9"/>
              <w:rPr>
                <w:rFonts w:ascii="宋体" w:hAnsi="宋体" w:cs="宋体"/>
                <w:color w:val="auto"/>
                <w:sz w:val="22"/>
                <w:highlight w:val="none"/>
              </w:rPr>
            </w:pPr>
          </w:p>
        </w:tc>
        <w:tc>
          <w:tcPr>
            <w:tcW w:w="1481" w:type="pct"/>
          </w:tcPr>
          <w:p w14:paraId="0AE97132">
            <w:pPr>
              <w:widowControl w:val="0"/>
              <w:adjustRightInd/>
              <w:snapToGrid/>
              <w:spacing w:line="360" w:lineRule="exact"/>
              <w:outlineLvl w:val="9"/>
              <w:rPr>
                <w:rFonts w:ascii="宋体" w:hAnsi="宋体" w:cs="宋体"/>
                <w:color w:val="auto"/>
                <w:sz w:val="22"/>
                <w:highlight w:val="none"/>
              </w:rPr>
            </w:pPr>
          </w:p>
        </w:tc>
      </w:tr>
    </w:tbl>
    <w:p w14:paraId="5B272AE2">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备注：</w:t>
      </w:r>
    </w:p>
    <w:p w14:paraId="037077B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1"/>
          <w:szCs w:val="22"/>
          <w:highlight w:val="none"/>
          <w:lang w:val="en-US" w:eastAsia="zh-CN" w:bidi="ar-SA"/>
        </w:rPr>
        <w:t>1.</w:t>
      </w:r>
      <w:r>
        <w:rPr>
          <w:rFonts w:hint="eastAsia" w:ascii="宋体" w:hAnsi="宋体" w:eastAsia="宋体" w:cs="宋体"/>
          <w:color w:val="auto"/>
          <w:highlight w:val="none"/>
        </w:rPr>
        <w:t>以上为拟投入本项目运输车辆清单，</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可根据情况增加，不得减少。</w:t>
      </w:r>
      <w:r>
        <w:rPr>
          <w:rFonts w:hint="eastAsia" w:ascii="宋体" w:hAnsi="宋体" w:eastAsia="宋体" w:cs="宋体"/>
          <w:color w:val="auto"/>
          <w:highlight w:val="none"/>
          <w:lang w:val="en-US" w:eastAsia="zh-CN"/>
        </w:rPr>
        <w:t>以上</w:t>
      </w:r>
      <w:r>
        <w:rPr>
          <w:rFonts w:hint="eastAsia" w:ascii="宋体" w:hAnsi="宋体" w:eastAsia="宋体" w:cs="宋体"/>
          <w:color w:val="auto"/>
          <w:highlight w:val="none"/>
        </w:rPr>
        <w:t>名单为初步填写，后续如需更换，</w:t>
      </w:r>
      <w:r>
        <w:rPr>
          <w:rFonts w:hint="eastAsia" w:ascii="宋体" w:hAnsi="宋体" w:eastAsia="宋体" w:cs="宋体"/>
          <w:color w:val="auto"/>
          <w:highlight w:val="none"/>
          <w:lang w:val="en-US" w:eastAsia="zh-CN"/>
        </w:rPr>
        <w:t>需</w:t>
      </w:r>
      <w:r>
        <w:rPr>
          <w:rFonts w:hint="eastAsia" w:ascii="宋体" w:hAnsi="宋体" w:eastAsia="宋体" w:cs="宋体"/>
          <w:color w:val="auto"/>
          <w:highlight w:val="none"/>
        </w:rPr>
        <w:t>征得采购人</w:t>
      </w:r>
      <w:r>
        <w:rPr>
          <w:rFonts w:hint="eastAsia" w:ascii="宋体" w:hAnsi="宋体" w:eastAsia="宋体" w:cs="宋体"/>
          <w:color w:val="auto"/>
          <w:highlight w:val="none"/>
          <w:lang w:val="en-US" w:eastAsia="zh-CN"/>
        </w:rPr>
        <w:t>书面</w:t>
      </w:r>
      <w:r>
        <w:rPr>
          <w:rFonts w:hint="eastAsia" w:ascii="宋体" w:hAnsi="宋体" w:eastAsia="宋体" w:cs="宋体"/>
          <w:color w:val="auto"/>
          <w:highlight w:val="none"/>
        </w:rPr>
        <w:t>同意后方可更换。非投标人自有车辆的，需提供投标人与承租人的租赁合同或合作协议，均加盖公章；</w:t>
      </w:r>
      <w:r>
        <w:rPr>
          <w:rFonts w:hint="eastAsia" w:ascii="宋体" w:hAnsi="宋体" w:eastAsia="宋体" w:cs="宋体"/>
          <w:color w:val="auto"/>
          <w:highlight w:val="none"/>
          <w:lang w:val="en-US" w:eastAsia="zh-CN"/>
        </w:rPr>
        <w:t>合同履约过程中，成交人每少一辆</w:t>
      </w:r>
      <w:r>
        <w:rPr>
          <w:rFonts w:hint="eastAsia" w:ascii="宋体" w:hAnsi="宋体" w:cs="宋体"/>
          <w:color w:val="auto"/>
          <w:highlight w:val="none"/>
          <w:lang w:val="en-US" w:eastAsia="zh-CN"/>
        </w:rPr>
        <w:t>处以</w:t>
      </w:r>
      <w:r>
        <w:rPr>
          <w:rFonts w:hint="eastAsia" w:ascii="宋体" w:hAnsi="宋体" w:eastAsia="宋体" w:cs="宋体"/>
          <w:color w:val="auto"/>
          <w:highlight w:val="none"/>
          <w:lang w:val="en-US" w:eastAsia="zh-CN"/>
        </w:rPr>
        <w:t>10000元处罚，超过3辆的采购人有权无责解除合同并没收履约保证金。</w:t>
      </w:r>
    </w:p>
    <w:p w14:paraId="5AE04AC5">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资料要求：</w:t>
      </w:r>
    </w:p>
    <w:p w14:paraId="063A187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rPr>
        <w:t>【投标时提供】</w:t>
      </w:r>
      <w:r>
        <w:rPr>
          <w:rFonts w:hint="eastAsia" w:ascii="宋体" w:hAnsi="宋体" w:eastAsia="宋体" w:cs="宋体"/>
          <w:color w:val="auto"/>
          <w:highlight w:val="none"/>
          <w:lang w:val="en-US" w:eastAsia="zh-CN"/>
        </w:rPr>
        <w:t>上述</w:t>
      </w:r>
      <w:r>
        <w:rPr>
          <w:rFonts w:hint="eastAsia" w:ascii="宋体" w:hAnsi="宋体" w:eastAsia="宋体" w:cs="宋体"/>
          <w:color w:val="auto"/>
          <w:highlight w:val="none"/>
        </w:rPr>
        <w:t>运输车辆的《道路运输证》</w:t>
      </w:r>
      <w:r>
        <w:rPr>
          <w:rFonts w:hint="eastAsia" w:ascii="宋体" w:hAnsi="宋体" w:eastAsia="宋体" w:cs="宋体"/>
          <w:color w:val="auto"/>
          <w:highlight w:val="none"/>
          <w:lang w:val="en-US" w:eastAsia="zh-CN"/>
        </w:rPr>
        <w:t>且经营范围包括“危险货物运输”</w:t>
      </w:r>
      <w:r>
        <w:rPr>
          <w:rFonts w:hint="eastAsia" w:ascii="宋体" w:hAnsi="宋体" w:eastAsia="宋体" w:cs="宋体"/>
          <w:color w:val="auto"/>
          <w:highlight w:val="none"/>
        </w:rPr>
        <w:t>（加盖公章）；非投标人自有车辆的，需提供投标人与承租人的租赁合同或合作协议，均加盖公章</w:t>
      </w:r>
      <w:r>
        <w:rPr>
          <w:rFonts w:hint="eastAsia" w:ascii="宋体" w:hAnsi="宋体" w:eastAsia="宋体" w:cs="宋体"/>
          <w:color w:val="auto"/>
          <w:highlight w:val="none"/>
          <w:lang w:eastAsia="zh-CN"/>
        </w:rPr>
        <w:t>。</w:t>
      </w:r>
    </w:p>
    <w:p w14:paraId="236F0D4A">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outlineLvl w:val="9"/>
        <w:rPr>
          <w:rFonts w:hint="eastAsia" w:ascii="宋体" w:hAnsi="宋体"/>
          <w:b/>
          <w:color w:val="auto"/>
          <w:sz w:val="21"/>
          <w:szCs w:val="21"/>
          <w:highlight w:val="none"/>
        </w:rPr>
      </w:pPr>
      <w:r>
        <w:rPr>
          <w:rFonts w:hint="eastAsia" w:ascii="宋体" w:hAnsi="宋体" w:eastAsia="宋体" w:cs="宋体"/>
          <w:color w:val="auto"/>
          <w:highlight w:val="none"/>
        </w:rPr>
        <w:t>【中标后向</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rPr>
        <w:t>备案】运输车辆的行驶证、道路运输证、强制险保单、商业险保单、危险货物承运人保单、GPS定位系统安装证明、视频监控接入证明等。</w:t>
      </w:r>
      <w:r>
        <w:rPr>
          <w:rFonts w:hint="eastAsia" w:ascii="宋体" w:hAnsi="宋体"/>
          <w:b/>
          <w:color w:val="auto"/>
          <w:sz w:val="21"/>
          <w:szCs w:val="21"/>
          <w:highlight w:val="none"/>
        </w:rPr>
        <w:br w:type="page"/>
      </w:r>
    </w:p>
    <w:p w14:paraId="0660F714">
      <w:pPr>
        <w:outlineLvl w:val="9"/>
        <w:rPr>
          <w:rFonts w:hint="eastAsia" w:ascii="宋体" w:hAnsi="宋体"/>
          <w:b/>
          <w:color w:val="auto"/>
          <w:sz w:val="21"/>
          <w:szCs w:val="21"/>
          <w:highlight w:val="none"/>
        </w:rPr>
      </w:pPr>
      <w:r>
        <w:rPr>
          <w:rFonts w:hint="eastAsia" w:ascii="宋体" w:hAnsi="宋体"/>
          <w:b/>
          <w:color w:val="auto"/>
          <w:sz w:val="21"/>
          <w:szCs w:val="21"/>
          <w:highlight w:val="none"/>
        </w:rPr>
        <w:t>技术需求书附件</w:t>
      </w:r>
      <w:r>
        <w:rPr>
          <w:rFonts w:hint="eastAsia" w:ascii="宋体" w:hAnsi="宋体"/>
          <w:b/>
          <w:color w:val="auto"/>
          <w:sz w:val="21"/>
          <w:szCs w:val="21"/>
          <w:highlight w:val="none"/>
          <w:lang w:val="en-US" w:eastAsia="zh-CN"/>
        </w:rPr>
        <w:t>2</w:t>
      </w:r>
      <w:r>
        <w:rPr>
          <w:rFonts w:hint="eastAsia" w:ascii="宋体" w:hAnsi="宋体"/>
          <w:b/>
          <w:color w:val="auto"/>
          <w:sz w:val="21"/>
          <w:szCs w:val="21"/>
          <w:highlight w:val="none"/>
        </w:rPr>
        <w:t xml:space="preserve">：《运输人员花名册》 </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4"/>
        <w:gridCol w:w="2525"/>
      </w:tblGrid>
      <w:tr w14:paraId="196A5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086BA54A">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5055CA22">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人员名单</w:t>
            </w:r>
          </w:p>
        </w:tc>
        <w:tc>
          <w:tcPr>
            <w:tcW w:w="1545" w:type="pct"/>
          </w:tcPr>
          <w:p w14:paraId="32CE037F">
            <w:pPr>
              <w:widowControl w:val="0"/>
              <w:adjustRightInd/>
              <w:snapToGrid/>
              <w:spacing w:line="360" w:lineRule="exact"/>
              <w:ind w:firstLine="220" w:firstLineChars="100"/>
              <w:jc w:val="center"/>
              <w:outlineLvl w:val="9"/>
              <w:rPr>
                <w:rFonts w:ascii="宋体" w:hAnsi="宋体" w:cs="宋体"/>
                <w:color w:val="auto"/>
                <w:sz w:val="22"/>
                <w:highlight w:val="none"/>
              </w:rPr>
            </w:pPr>
            <w:r>
              <w:rPr>
                <w:rFonts w:hint="eastAsia" w:ascii="宋体" w:hAnsi="宋体" w:cs="宋体"/>
                <w:color w:val="auto"/>
                <w:sz w:val="22"/>
                <w:highlight w:val="none"/>
              </w:rPr>
              <w:t>证照（类别）</w:t>
            </w:r>
          </w:p>
        </w:tc>
        <w:tc>
          <w:tcPr>
            <w:tcW w:w="1481" w:type="pct"/>
          </w:tcPr>
          <w:p w14:paraId="3E1C914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4A2B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08DBCFD">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3157B2A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E8DE35C">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0648C03">
            <w:pPr>
              <w:widowControl w:val="0"/>
              <w:adjustRightInd/>
              <w:snapToGrid/>
              <w:spacing w:line="360" w:lineRule="exact"/>
              <w:jc w:val="center"/>
              <w:outlineLvl w:val="9"/>
              <w:rPr>
                <w:rFonts w:ascii="宋体" w:hAnsi="宋体" w:cs="宋体"/>
                <w:color w:val="auto"/>
                <w:sz w:val="22"/>
                <w:highlight w:val="none"/>
              </w:rPr>
            </w:pPr>
          </w:p>
        </w:tc>
      </w:tr>
      <w:tr w14:paraId="0FE9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E54404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3EE29EBC">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4B92E0F">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47C1D87">
            <w:pPr>
              <w:widowControl w:val="0"/>
              <w:adjustRightInd/>
              <w:snapToGrid/>
              <w:spacing w:line="360" w:lineRule="exact"/>
              <w:jc w:val="center"/>
              <w:outlineLvl w:val="9"/>
              <w:rPr>
                <w:rFonts w:ascii="宋体" w:hAnsi="宋体" w:cs="宋体"/>
                <w:color w:val="auto"/>
                <w:sz w:val="22"/>
                <w:highlight w:val="none"/>
              </w:rPr>
            </w:pPr>
          </w:p>
        </w:tc>
      </w:tr>
      <w:tr w14:paraId="55D7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F606C2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690D20D1">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401C5D1">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5E45FD7">
            <w:pPr>
              <w:widowControl w:val="0"/>
              <w:adjustRightInd/>
              <w:snapToGrid/>
              <w:spacing w:line="360" w:lineRule="exact"/>
              <w:jc w:val="center"/>
              <w:outlineLvl w:val="9"/>
              <w:rPr>
                <w:rFonts w:ascii="宋体" w:hAnsi="宋体" w:cs="宋体"/>
                <w:color w:val="auto"/>
                <w:sz w:val="22"/>
                <w:highlight w:val="none"/>
              </w:rPr>
            </w:pPr>
          </w:p>
        </w:tc>
      </w:tr>
      <w:tr w14:paraId="32CD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A30228E">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75F7ECC2">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6269CBB">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137C088">
            <w:pPr>
              <w:widowControl w:val="0"/>
              <w:adjustRightInd/>
              <w:snapToGrid/>
              <w:spacing w:line="360" w:lineRule="exact"/>
              <w:jc w:val="center"/>
              <w:outlineLvl w:val="9"/>
              <w:rPr>
                <w:rFonts w:ascii="宋体" w:hAnsi="宋体" w:cs="宋体"/>
                <w:color w:val="auto"/>
                <w:sz w:val="22"/>
                <w:highlight w:val="none"/>
              </w:rPr>
            </w:pPr>
          </w:p>
        </w:tc>
      </w:tr>
      <w:tr w14:paraId="41DB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CBAE67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5B8D18A5">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064B25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C4280EB">
            <w:pPr>
              <w:widowControl w:val="0"/>
              <w:adjustRightInd/>
              <w:snapToGrid/>
              <w:spacing w:line="360" w:lineRule="exact"/>
              <w:jc w:val="center"/>
              <w:outlineLvl w:val="9"/>
              <w:rPr>
                <w:rFonts w:ascii="宋体" w:hAnsi="宋体" w:cs="宋体"/>
                <w:color w:val="auto"/>
                <w:sz w:val="22"/>
                <w:highlight w:val="none"/>
              </w:rPr>
            </w:pPr>
          </w:p>
        </w:tc>
      </w:tr>
      <w:tr w14:paraId="025A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6191DF1">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303CC681">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09C1338">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C31B29E">
            <w:pPr>
              <w:widowControl w:val="0"/>
              <w:adjustRightInd/>
              <w:snapToGrid/>
              <w:spacing w:line="360" w:lineRule="exact"/>
              <w:jc w:val="center"/>
              <w:outlineLvl w:val="9"/>
              <w:rPr>
                <w:rFonts w:ascii="宋体" w:hAnsi="宋体" w:cs="宋体"/>
                <w:color w:val="auto"/>
                <w:sz w:val="22"/>
                <w:highlight w:val="none"/>
              </w:rPr>
            </w:pPr>
          </w:p>
        </w:tc>
      </w:tr>
      <w:tr w14:paraId="0C33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C3EF9C6">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307CFEC1">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D983283">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8003C4A">
            <w:pPr>
              <w:widowControl w:val="0"/>
              <w:adjustRightInd/>
              <w:snapToGrid/>
              <w:spacing w:line="360" w:lineRule="exact"/>
              <w:jc w:val="center"/>
              <w:outlineLvl w:val="9"/>
              <w:rPr>
                <w:rFonts w:ascii="宋体" w:hAnsi="宋体" w:cs="宋体"/>
                <w:color w:val="auto"/>
                <w:sz w:val="22"/>
                <w:highlight w:val="none"/>
              </w:rPr>
            </w:pPr>
          </w:p>
        </w:tc>
      </w:tr>
      <w:tr w14:paraId="7C15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5CCF012">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16B6F1B7">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7C86FE25">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56E91DB0">
            <w:pPr>
              <w:widowControl w:val="0"/>
              <w:adjustRightInd/>
              <w:snapToGrid/>
              <w:spacing w:line="360" w:lineRule="exact"/>
              <w:jc w:val="center"/>
              <w:outlineLvl w:val="9"/>
              <w:rPr>
                <w:rFonts w:ascii="宋体" w:hAnsi="宋体" w:cs="宋体"/>
                <w:color w:val="auto"/>
                <w:sz w:val="22"/>
                <w:highlight w:val="none"/>
              </w:rPr>
            </w:pPr>
          </w:p>
        </w:tc>
      </w:tr>
      <w:tr w14:paraId="4113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97F2C21">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012EC776">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DF729C0">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E501ACF">
            <w:pPr>
              <w:widowControl w:val="0"/>
              <w:adjustRightInd/>
              <w:snapToGrid/>
              <w:spacing w:line="360" w:lineRule="exact"/>
              <w:jc w:val="center"/>
              <w:outlineLvl w:val="9"/>
              <w:rPr>
                <w:rFonts w:ascii="宋体" w:hAnsi="宋体" w:cs="宋体"/>
                <w:color w:val="auto"/>
                <w:sz w:val="22"/>
                <w:highlight w:val="none"/>
              </w:rPr>
            </w:pPr>
          </w:p>
        </w:tc>
      </w:tr>
      <w:tr w14:paraId="3C0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BB3E18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0103056E">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70D4D3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B60B8C3">
            <w:pPr>
              <w:widowControl w:val="0"/>
              <w:adjustRightInd/>
              <w:snapToGrid/>
              <w:spacing w:line="360" w:lineRule="exact"/>
              <w:jc w:val="center"/>
              <w:outlineLvl w:val="9"/>
              <w:rPr>
                <w:rFonts w:ascii="宋体" w:hAnsi="宋体" w:cs="宋体"/>
                <w:color w:val="auto"/>
                <w:sz w:val="22"/>
                <w:highlight w:val="none"/>
              </w:rPr>
            </w:pPr>
          </w:p>
        </w:tc>
      </w:tr>
      <w:tr w14:paraId="2758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CA13A0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05648F1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72E9D14">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055C159">
            <w:pPr>
              <w:widowControl w:val="0"/>
              <w:adjustRightInd/>
              <w:snapToGrid/>
              <w:spacing w:line="360" w:lineRule="exact"/>
              <w:jc w:val="center"/>
              <w:outlineLvl w:val="9"/>
              <w:rPr>
                <w:rFonts w:ascii="宋体" w:hAnsi="宋体" w:cs="宋体"/>
                <w:color w:val="auto"/>
                <w:sz w:val="22"/>
                <w:highlight w:val="none"/>
              </w:rPr>
            </w:pPr>
          </w:p>
        </w:tc>
      </w:tr>
      <w:tr w14:paraId="3414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FB091B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31F2CC5B">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633AB23">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612DB51">
            <w:pPr>
              <w:widowControl w:val="0"/>
              <w:adjustRightInd/>
              <w:snapToGrid/>
              <w:spacing w:line="360" w:lineRule="exact"/>
              <w:jc w:val="center"/>
              <w:outlineLvl w:val="9"/>
              <w:rPr>
                <w:rFonts w:ascii="宋体" w:hAnsi="宋体" w:cs="宋体"/>
                <w:color w:val="auto"/>
                <w:sz w:val="22"/>
                <w:highlight w:val="none"/>
              </w:rPr>
            </w:pPr>
          </w:p>
        </w:tc>
      </w:tr>
      <w:tr w14:paraId="69BC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C6436C8">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63818DE5">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9BDBCD3">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507AB2F">
            <w:pPr>
              <w:widowControl w:val="0"/>
              <w:adjustRightInd/>
              <w:snapToGrid/>
              <w:spacing w:line="360" w:lineRule="exact"/>
              <w:jc w:val="center"/>
              <w:outlineLvl w:val="9"/>
              <w:rPr>
                <w:rFonts w:ascii="宋体" w:hAnsi="宋体" w:cs="宋体"/>
                <w:color w:val="auto"/>
                <w:sz w:val="22"/>
                <w:highlight w:val="none"/>
              </w:rPr>
            </w:pPr>
          </w:p>
        </w:tc>
      </w:tr>
      <w:tr w14:paraId="398D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CFE6D01">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6126AF8E">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80D6001">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19893E3D">
            <w:pPr>
              <w:widowControl w:val="0"/>
              <w:adjustRightInd/>
              <w:snapToGrid/>
              <w:spacing w:line="360" w:lineRule="exact"/>
              <w:jc w:val="center"/>
              <w:outlineLvl w:val="9"/>
              <w:rPr>
                <w:rFonts w:ascii="宋体" w:hAnsi="宋体" w:cs="宋体"/>
                <w:color w:val="auto"/>
                <w:sz w:val="22"/>
                <w:highlight w:val="none"/>
              </w:rPr>
            </w:pPr>
          </w:p>
        </w:tc>
      </w:tr>
      <w:tr w14:paraId="48A4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6E3409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3B8B9E9E">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FC95CA3">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5625766B">
            <w:pPr>
              <w:widowControl w:val="0"/>
              <w:adjustRightInd/>
              <w:snapToGrid/>
              <w:spacing w:line="360" w:lineRule="exact"/>
              <w:jc w:val="center"/>
              <w:outlineLvl w:val="9"/>
              <w:rPr>
                <w:rFonts w:ascii="宋体" w:hAnsi="宋体" w:cs="宋体"/>
                <w:color w:val="auto"/>
                <w:sz w:val="22"/>
                <w:highlight w:val="none"/>
              </w:rPr>
            </w:pPr>
          </w:p>
        </w:tc>
      </w:tr>
      <w:tr w14:paraId="5E80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5312601">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625FE1C5">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031E12F">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96FD44F">
            <w:pPr>
              <w:widowControl w:val="0"/>
              <w:adjustRightInd/>
              <w:snapToGrid/>
              <w:spacing w:line="360" w:lineRule="exact"/>
              <w:jc w:val="center"/>
              <w:outlineLvl w:val="9"/>
              <w:rPr>
                <w:rFonts w:ascii="宋体" w:hAnsi="宋体" w:cs="宋体"/>
                <w:color w:val="auto"/>
                <w:sz w:val="22"/>
                <w:highlight w:val="none"/>
              </w:rPr>
            </w:pPr>
          </w:p>
        </w:tc>
      </w:tr>
      <w:tr w14:paraId="2C3D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8CD7019">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02713E54">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93D027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90ED55A">
            <w:pPr>
              <w:widowControl w:val="0"/>
              <w:adjustRightInd/>
              <w:snapToGrid/>
              <w:spacing w:line="360" w:lineRule="exact"/>
              <w:jc w:val="center"/>
              <w:outlineLvl w:val="9"/>
              <w:rPr>
                <w:rFonts w:ascii="宋体" w:hAnsi="宋体" w:cs="宋体"/>
                <w:color w:val="auto"/>
                <w:sz w:val="22"/>
                <w:highlight w:val="none"/>
              </w:rPr>
            </w:pPr>
          </w:p>
        </w:tc>
      </w:tr>
      <w:tr w14:paraId="6CB1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D1D7E73">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43EF5238">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4FB89C2">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6FF0C65">
            <w:pPr>
              <w:widowControl w:val="0"/>
              <w:adjustRightInd/>
              <w:snapToGrid/>
              <w:spacing w:line="360" w:lineRule="exact"/>
              <w:jc w:val="center"/>
              <w:outlineLvl w:val="9"/>
              <w:rPr>
                <w:rFonts w:ascii="宋体" w:hAnsi="宋体" w:cs="宋体"/>
                <w:color w:val="auto"/>
                <w:sz w:val="22"/>
                <w:highlight w:val="none"/>
              </w:rPr>
            </w:pPr>
          </w:p>
        </w:tc>
      </w:tr>
      <w:tr w14:paraId="71D8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C83EABF">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05280BE8">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70A1F2B">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0C72730">
            <w:pPr>
              <w:widowControl w:val="0"/>
              <w:adjustRightInd/>
              <w:snapToGrid/>
              <w:spacing w:line="360" w:lineRule="exact"/>
              <w:jc w:val="center"/>
              <w:outlineLvl w:val="9"/>
              <w:rPr>
                <w:rFonts w:ascii="宋体" w:hAnsi="宋体" w:cs="宋体"/>
                <w:color w:val="auto"/>
                <w:sz w:val="22"/>
                <w:highlight w:val="none"/>
              </w:rPr>
            </w:pPr>
          </w:p>
        </w:tc>
      </w:tr>
      <w:tr w14:paraId="3E35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674CCD8">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5545D249">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A5CCD3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541BFDC4">
            <w:pPr>
              <w:widowControl w:val="0"/>
              <w:adjustRightInd/>
              <w:snapToGrid/>
              <w:spacing w:line="360" w:lineRule="exact"/>
              <w:jc w:val="center"/>
              <w:outlineLvl w:val="9"/>
              <w:rPr>
                <w:rFonts w:ascii="宋体" w:hAnsi="宋体" w:cs="宋体"/>
                <w:color w:val="auto"/>
                <w:sz w:val="22"/>
                <w:highlight w:val="none"/>
              </w:rPr>
            </w:pPr>
          </w:p>
        </w:tc>
      </w:tr>
    </w:tbl>
    <w:p w14:paraId="2B5B517A">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备注：</w:t>
      </w:r>
    </w:p>
    <w:p w14:paraId="351BC0FF">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1、投标人须</w:t>
      </w:r>
      <w:r>
        <w:rPr>
          <w:rFonts w:hint="eastAsia" w:ascii="宋体" w:hAnsi="宋体" w:cs="宋体"/>
          <w:color w:val="auto"/>
          <w:sz w:val="22"/>
          <w:highlight w:val="none"/>
          <w:lang w:val="en-US" w:eastAsia="zh-CN"/>
        </w:rPr>
        <w:t>根据《运输车辆名册》车辆数量配备驾驶员、押运员，及调度、后勤、管理等人员</w:t>
      </w:r>
      <w:r>
        <w:rPr>
          <w:rFonts w:hint="eastAsia" w:ascii="宋体" w:hAnsi="宋体" w:cs="宋体"/>
          <w:color w:val="auto"/>
          <w:sz w:val="22"/>
          <w:highlight w:val="none"/>
        </w:rPr>
        <w:t>。如驾驶员和押运员非投标人自有员工的，需提供投标人与承租人的租赁合同或合作协议</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加盖公章</w:t>
      </w:r>
      <w:r>
        <w:rPr>
          <w:rFonts w:hint="eastAsia" w:ascii="宋体" w:hAnsi="宋体" w:cs="宋体"/>
          <w:color w:val="auto"/>
          <w:sz w:val="22"/>
          <w:highlight w:val="none"/>
        </w:rPr>
        <w:t>；具体人员名单为初步填写，后续如需更换，</w:t>
      </w:r>
      <w:r>
        <w:rPr>
          <w:rFonts w:hint="eastAsia" w:ascii="宋体" w:hAnsi="宋体" w:cs="宋体"/>
          <w:color w:val="auto"/>
          <w:sz w:val="22"/>
          <w:highlight w:val="none"/>
          <w:lang w:val="en-US" w:eastAsia="zh-CN"/>
        </w:rPr>
        <w:t>需</w:t>
      </w:r>
      <w:r>
        <w:rPr>
          <w:rFonts w:hint="eastAsia" w:ascii="宋体" w:hAnsi="宋体" w:cs="宋体"/>
          <w:color w:val="auto"/>
          <w:sz w:val="22"/>
          <w:highlight w:val="none"/>
        </w:rPr>
        <w:t>征得采购人</w:t>
      </w:r>
      <w:r>
        <w:rPr>
          <w:rFonts w:hint="eastAsia" w:ascii="宋体" w:hAnsi="宋体" w:cs="宋体"/>
          <w:color w:val="auto"/>
          <w:sz w:val="22"/>
          <w:highlight w:val="none"/>
          <w:lang w:val="en-US" w:eastAsia="zh-CN"/>
        </w:rPr>
        <w:t>书面</w:t>
      </w:r>
      <w:r>
        <w:rPr>
          <w:rFonts w:hint="eastAsia" w:ascii="宋体" w:hAnsi="宋体" w:cs="宋体"/>
          <w:color w:val="auto"/>
          <w:sz w:val="22"/>
          <w:highlight w:val="none"/>
        </w:rPr>
        <w:t>同意后方可更换。</w:t>
      </w:r>
    </w:p>
    <w:p w14:paraId="61B7BAA8">
      <w:pPr>
        <w:keepNext w:val="0"/>
        <w:keepLines w:val="0"/>
        <w:pageBreakBefore w:val="0"/>
        <w:widowControl w:val="0"/>
        <w:kinsoku/>
        <w:wordWrap/>
        <w:overflowPunct/>
        <w:topLinePunct w:val="0"/>
        <w:autoSpaceDE/>
        <w:autoSpaceDN/>
        <w:bidi w:val="0"/>
        <w:adjustRightInd/>
        <w:snapToGrid/>
        <w:spacing w:line="40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lang w:val="en-US" w:eastAsia="zh-CN"/>
        </w:rPr>
        <w:t>2</w:t>
      </w:r>
      <w:r>
        <w:rPr>
          <w:rFonts w:hint="eastAsia" w:ascii="宋体" w:hAnsi="宋体" w:cs="宋体"/>
          <w:color w:val="auto"/>
          <w:sz w:val="22"/>
          <w:highlight w:val="none"/>
        </w:rPr>
        <w:t>、资料要求：</w:t>
      </w:r>
    </w:p>
    <w:p w14:paraId="0D70E48F">
      <w:pPr>
        <w:keepNext w:val="0"/>
        <w:keepLines w:val="0"/>
        <w:pageBreakBefore w:val="0"/>
        <w:widowControl w:val="0"/>
        <w:kinsoku/>
        <w:wordWrap/>
        <w:overflowPunct/>
        <w:topLinePunct w:val="0"/>
        <w:autoSpaceDE/>
        <w:autoSpaceDN/>
        <w:bidi w:val="0"/>
        <w:adjustRightInd/>
        <w:snapToGrid/>
        <w:spacing w:line="400" w:lineRule="exact"/>
        <w:ind w:firstLine="442" w:firstLineChars="200"/>
        <w:jc w:val="both"/>
        <w:textAlignment w:val="auto"/>
        <w:rPr>
          <w:rFonts w:hint="eastAsia" w:ascii="宋体" w:hAnsi="宋体" w:cs="宋体"/>
          <w:color w:val="auto"/>
          <w:sz w:val="22"/>
          <w:highlight w:val="none"/>
        </w:rPr>
      </w:pPr>
      <w:r>
        <w:rPr>
          <w:rFonts w:hint="eastAsia" w:ascii="宋体" w:hAnsi="宋体" w:cs="宋体"/>
          <w:b/>
          <w:bCs/>
          <w:color w:val="auto"/>
          <w:sz w:val="22"/>
          <w:highlight w:val="none"/>
        </w:rPr>
        <w:t>【投标时提供】</w:t>
      </w:r>
      <w:r>
        <w:rPr>
          <w:rFonts w:hint="eastAsia" w:ascii="宋体" w:hAnsi="宋体" w:cs="宋体"/>
          <w:color w:val="auto"/>
          <w:sz w:val="22"/>
          <w:highlight w:val="none"/>
        </w:rPr>
        <w:t>驾驶员的《道路运输从业人员从业资格证》且从业资格类别包括“道路危险货物运输</w:t>
      </w:r>
      <w:r>
        <w:rPr>
          <w:rFonts w:hint="eastAsia" w:ascii="宋体" w:hAnsi="宋体" w:cs="宋体"/>
          <w:color w:val="auto"/>
          <w:sz w:val="22"/>
          <w:highlight w:val="none"/>
          <w:lang w:val="en-US" w:eastAsia="zh-CN"/>
        </w:rPr>
        <w:t>驾驶员</w:t>
      </w:r>
      <w:r>
        <w:rPr>
          <w:rFonts w:hint="eastAsia" w:ascii="宋体" w:hAnsi="宋体" w:cs="宋体"/>
          <w:color w:val="auto"/>
          <w:sz w:val="22"/>
          <w:highlight w:val="none"/>
        </w:rPr>
        <w:t>”及押运员的《道路运输从业人员从业资格证》且从业资格类别包括“道路危险货物运输押运人员”，加盖公章。</w:t>
      </w:r>
    </w:p>
    <w:p w14:paraId="78B38794">
      <w:pPr>
        <w:keepNext w:val="0"/>
        <w:keepLines w:val="0"/>
        <w:pageBreakBefore w:val="0"/>
        <w:kinsoku/>
        <w:wordWrap/>
        <w:overflowPunct/>
        <w:topLinePunct w:val="0"/>
        <w:autoSpaceDE/>
        <w:autoSpaceDN/>
        <w:bidi w:val="0"/>
        <w:spacing w:line="400" w:lineRule="exact"/>
        <w:ind w:firstLine="442" w:firstLineChars="200"/>
        <w:jc w:val="both"/>
        <w:textAlignment w:val="auto"/>
        <w:rPr>
          <w:rFonts w:hint="eastAsia" w:ascii="宋体" w:hAnsi="宋体"/>
          <w:b/>
          <w:color w:val="auto"/>
          <w:sz w:val="21"/>
          <w:szCs w:val="21"/>
          <w:highlight w:val="none"/>
        </w:rPr>
      </w:pPr>
      <w:r>
        <w:rPr>
          <w:rFonts w:hint="eastAsia" w:ascii="宋体" w:hAnsi="宋体" w:cs="宋体"/>
          <w:b/>
          <w:bCs/>
          <w:color w:val="auto"/>
          <w:sz w:val="22"/>
          <w:highlight w:val="none"/>
        </w:rPr>
        <w:t>【中标后</w:t>
      </w:r>
      <w:r>
        <w:rPr>
          <w:rFonts w:hint="eastAsia" w:ascii="宋体" w:hAnsi="宋体" w:cs="宋体"/>
          <w:b/>
          <w:bCs/>
          <w:color w:val="auto"/>
          <w:sz w:val="22"/>
          <w:highlight w:val="none"/>
          <w:lang w:val="en-US" w:eastAsia="zh-CN"/>
        </w:rPr>
        <w:t>向甲方备案</w:t>
      </w:r>
      <w:r>
        <w:rPr>
          <w:rFonts w:hint="eastAsia" w:ascii="宋体" w:hAnsi="宋体" w:cs="宋体"/>
          <w:b/>
          <w:bCs/>
          <w:color w:val="auto"/>
          <w:sz w:val="22"/>
          <w:highlight w:val="none"/>
        </w:rPr>
        <w:t>】</w:t>
      </w:r>
      <w:r>
        <w:rPr>
          <w:rFonts w:hint="eastAsia" w:ascii="宋体" w:hAnsi="宋体" w:cs="宋体"/>
          <w:color w:val="auto"/>
          <w:sz w:val="22"/>
          <w:highlight w:val="none"/>
        </w:rPr>
        <w:t>驾驶员的身份证、</w:t>
      </w:r>
      <w:r>
        <w:rPr>
          <w:rFonts w:hint="eastAsia" w:ascii="宋体" w:hAnsi="宋体" w:cs="宋体"/>
          <w:color w:val="auto"/>
          <w:sz w:val="22"/>
          <w:highlight w:val="none"/>
          <w:lang w:val="en-US" w:eastAsia="zh-CN"/>
        </w:rPr>
        <w:t>驾驶证、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和保险证明等；押运员的身份证、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w:t>
      </w:r>
      <w:r>
        <w:rPr>
          <w:rFonts w:hint="eastAsia" w:ascii="宋体" w:hAnsi="宋体"/>
          <w:b/>
          <w:color w:val="auto"/>
          <w:sz w:val="21"/>
          <w:szCs w:val="21"/>
          <w:highlight w:val="none"/>
        </w:rPr>
        <w:br w:type="page"/>
      </w:r>
    </w:p>
    <w:bookmarkEnd w:id="306"/>
    <w:bookmarkEnd w:id="307"/>
    <w:bookmarkEnd w:id="308"/>
    <w:bookmarkEnd w:id="309"/>
    <w:bookmarkEnd w:id="310"/>
    <w:p w14:paraId="35514FB0">
      <w:pPr>
        <w:spacing w:line="360" w:lineRule="auto"/>
        <w:ind w:left="0" w:leftChars="0" w:firstLine="0" w:firstLineChars="0"/>
        <w:outlineLvl w:val="9"/>
        <w:rPr>
          <w:rFonts w:ascii="Times New Roman" w:hAnsi="Times New Roman" w:cs="Times New Roman"/>
          <w:b/>
          <w:color w:val="auto"/>
          <w:szCs w:val="21"/>
          <w:highlight w:val="none"/>
        </w:rPr>
      </w:pPr>
      <w:bookmarkStart w:id="311" w:name="_Toc11338"/>
      <w:bookmarkStart w:id="312" w:name="_Toc178"/>
      <w:bookmarkStart w:id="313" w:name="_Toc1615"/>
      <w:bookmarkStart w:id="314" w:name="_Toc31396"/>
      <w:bookmarkStart w:id="315" w:name="_Toc13147"/>
      <w:bookmarkStart w:id="316" w:name="_Toc5122"/>
      <w:bookmarkStart w:id="317" w:name="_Toc12157"/>
      <w:bookmarkStart w:id="318" w:name="_Toc4688"/>
      <w:bookmarkStart w:id="319" w:name="_Toc10357"/>
      <w:bookmarkStart w:id="320" w:name="_Toc13374"/>
      <w:bookmarkStart w:id="321" w:name="_Toc21105"/>
      <w:bookmarkStart w:id="322" w:name="_Toc1052"/>
      <w:bookmarkStart w:id="323" w:name="_Toc30494"/>
      <w:r>
        <w:rPr>
          <w:rFonts w:hint="eastAsia" w:ascii="宋体" w:hAnsi="宋体"/>
          <w:b/>
          <w:color w:val="auto"/>
          <w:sz w:val="21"/>
          <w:szCs w:val="21"/>
          <w:highlight w:val="none"/>
          <w:lang w:val="en-US" w:eastAsia="zh-CN"/>
        </w:rPr>
        <w:t>合同</w:t>
      </w:r>
      <w:r>
        <w:rPr>
          <w:rFonts w:ascii="Times New Roman" w:hAnsi="Times New Roman" w:cs="Times New Roman"/>
          <w:b/>
          <w:color w:val="auto"/>
          <w:szCs w:val="21"/>
          <w:highlight w:val="none"/>
        </w:rPr>
        <w:t>附件</w:t>
      </w:r>
      <w:r>
        <w:rPr>
          <w:rFonts w:hint="eastAsia" w:cs="Times New Roman"/>
          <w:b/>
          <w:color w:val="auto"/>
          <w:szCs w:val="21"/>
          <w:highlight w:val="none"/>
          <w:lang w:val="en-US" w:eastAsia="zh-CN"/>
        </w:rPr>
        <w:t>3</w:t>
      </w:r>
      <w:r>
        <w:rPr>
          <w:rFonts w:ascii="Times New Roman" w:hAnsi="Times New Roman" w:cs="Times New Roman"/>
          <w:b/>
          <w:color w:val="auto"/>
          <w:szCs w:val="21"/>
          <w:highlight w:val="none"/>
        </w:rPr>
        <w:t>《</w:t>
      </w:r>
      <w:r>
        <w:rPr>
          <w:rFonts w:hint="eastAsia" w:ascii="Times New Roman" w:hAnsi="Times New Roman" w:cs="Times New Roman"/>
          <w:b/>
          <w:color w:val="auto"/>
          <w:szCs w:val="21"/>
          <w:highlight w:val="none"/>
        </w:rPr>
        <w:t>危险废物运输费单价表</w:t>
      </w:r>
      <w:r>
        <w:rPr>
          <w:rFonts w:ascii="Times New Roman" w:hAnsi="Times New Roman" w:cs="Times New Roman"/>
          <w:b/>
          <w:color w:val="auto"/>
          <w:szCs w:val="21"/>
          <w:highlight w:val="none"/>
        </w:rPr>
        <w:t>》</w:t>
      </w:r>
      <w:bookmarkEnd w:id="311"/>
      <w:bookmarkEnd w:id="312"/>
      <w:bookmarkEnd w:id="313"/>
      <w:bookmarkEnd w:id="314"/>
      <w:bookmarkEnd w:id="315"/>
      <w:bookmarkEnd w:id="316"/>
      <w:bookmarkEnd w:id="317"/>
      <w:bookmarkEnd w:id="318"/>
      <w:bookmarkEnd w:id="319"/>
      <w:bookmarkEnd w:id="320"/>
      <w:bookmarkEnd w:id="321"/>
      <w:bookmarkEnd w:id="322"/>
      <w:bookmarkEnd w:id="323"/>
    </w:p>
    <w:p w14:paraId="3DE23E86">
      <w:pPr>
        <w:adjustRightInd/>
        <w:snapToGrid/>
        <w:spacing w:line="360" w:lineRule="exact"/>
        <w:outlineLvl w:val="9"/>
        <w:rPr>
          <w:rFonts w:ascii="Times New Roman" w:hAnsi="Times New Roman" w:cs="Times New Roman"/>
          <w:b/>
          <w:color w:val="auto"/>
          <w:szCs w:val="21"/>
          <w:highlight w:val="none"/>
        </w:rPr>
      </w:pPr>
    </w:p>
    <w:p w14:paraId="3F0CB530">
      <w:pPr>
        <w:adjustRightInd/>
        <w:snapToGrid/>
        <w:spacing w:line="360" w:lineRule="exact"/>
        <w:outlineLvl w:val="9"/>
        <w:rPr>
          <w:rFonts w:ascii="Times New Roman" w:hAnsi="Times New Roman" w:cs="Times New Roman"/>
          <w:b/>
          <w:color w:val="auto"/>
          <w:szCs w:val="21"/>
          <w:highlight w:val="none"/>
        </w:rPr>
      </w:pPr>
    </w:p>
    <w:p w14:paraId="4F8E96B6">
      <w:pPr>
        <w:adjustRightInd/>
        <w:snapToGrid/>
        <w:spacing w:line="360" w:lineRule="exact"/>
        <w:outlineLvl w:val="9"/>
        <w:rPr>
          <w:rFonts w:ascii="Times New Roman" w:hAnsi="Times New Roman" w:cs="Times New Roman"/>
          <w:b/>
          <w:color w:val="auto"/>
          <w:szCs w:val="21"/>
          <w:highlight w:val="none"/>
        </w:rPr>
      </w:pPr>
    </w:p>
    <w:p w14:paraId="45FCDB70">
      <w:pPr>
        <w:adjustRightInd/>
        <w:snapToGrid/>
        <w:spacing w:line="360" w:lineRule="exact"/>
        <w:outlineLvl w:val="9"/>
        <w:rPr>
          <w:rFonts w:ascii="Times New Roman" w:hAnsi="Times New Roman" w:cs="Times New Roman"/>
          <w:b/>
          <w:color w:val="auto"/>
          <w:szCs w:val="21"/>
          <w:highlight w:val="none"/>
        </w:rPr>
      </w:pPr>
    </w:p>
    <w:p w14:paraId="37EC739C">
      <w:pPr>
        <w:adjustRightInd/>
        <w:snapToGrid/>
        <w:spacing w:line="360" w:lineRule="exact"/>
        <w:outlineLvl w:val="9"/>
        <w:rPr>
          <w:rFonts w:ascii="Times New Roman" w:hAnsi="Times New Roman" w:cs="Times New Roman"/>
          <w:b/>
          <w:color w:val="auto"/>
          <w:szCs w:val="21"/>
          <w:highlight w:val="none"/>
        </w:rPr>
      </w:pPr>
    </w:p>
    <w:p w14:paraId="03BD51FA">
      <w:pPr>
        <w:adjustRightInd/>
        <w:snapToGrid/>
        <w:spacing w:line="360" w:lineRule="exact"/>
        <w:outlineLvl w:val="9"/>
        <w:rPr>
          <w:rFonts w:ascii="Times New Roman" w:hAnsi="Times New Roman" w:cs="Times New Roman"/>
          <w:b/>
          <w:color w:val="auto"/>
          <w:szCs w:val="21"/>
          <w:highlight w:val="none"/>
        </w:rPr>
      </w:pPr>
    </w:p>
    <w:p w14:paraId="40F5D1EE">
      <w:pPr>
        <w:adjustRightInd/>
        <w:snapToGrid/>
        <w:spacing w:line="360" w:lineRule="exact"/>
        <w:outlineLvl w:val="9"/>
        <w:rPr>
          <w:rFonts w:ascii="Times New Roman" w:hAnsi="Times New Roman" w:cs="Times New Roman"/>
          <w:b/>
          <w:color w:val="auto"/>
          <w:szCs w:val="21"/>
          <w:highlight w:val="none"/>
        </w:rPr>
      </w:pPr>
      <w:bookmarkStart w:id="324" w:name="_Toc8996"/>
      <w:bookmarkStart w:id="325" w:name="_Toc3578"/>
    </w:p>
    <w:p w14:paraId="7A58EFB3">
      <w:pPr>
        <w:adjustRightInd/>
        <w:snapToGrid/>
        <w:spacing w:line="360" w:lineRule="exact"/>
        <w:outlineLvl w:val="9"/>
        <w:rPr>
          <w:rFonts w:ascii="Times New Roman" w:hAnsi="Times New Roman" w:cs="Times New Roman"/>
          <w:b/>
          <w:color w:val="auto"/>
          <w:szCs w:val="21"/>
          <w:highlight w:val="none"/>
        </w:rPr>
      </w:pPr>
    </w:p>
    <w:p w14:paraId="6B6D3B86">
      <w:pPr>
        <w:adjustRightInd/>
        <w:snapToGrid/>
        <w:spacing w:line="360" w:lineRule="exact"/>
        <w:outlineLvl w:val="9"/>
        <w:rPr>
          <w:rFonts w:ascii="Times New Roman" w:hAnsi="Times New Roman" w:cs="Times New Roman"/>
          <w:b/>
          <w:color w:val="auto"/>
          <w:szCs w:val="21"/>
          <w:highlight w:val="none"/>
        </w:rPr>
      </w:pPr>
    </w:p>
    <w:p w14:paraId="007DF74F">
      <w:pPr>
        <w:adjustRightInd/>
        <w:snapToGrid/>
        <w:spacing w:line="360" w:lineRule="exact"/>
        <w:outlineLvl w:val="9"/>
        <w:rPr>
          <w:rFonts w:ascii="Times New Roman" w:hAnsi="Times New Roman" w:cs="Times New Roman"/>
          <w:b/>
          <w:color w:val="auto"/>
          <w:szCs w:val="21"/>
          <w:highlight w:val="none"/>
        </w:rPr>
      </w:pPr>
    </w:p>
    <w:p w14:paraId="31694E64">
      <w:pPr>
        <w:adjustRightInd/>
        <w:snapToGrid/>
        <w:spacing w:line="360" w:lineRule="exact"/>
        <w:outlineLvl w:val="9"/>
        <w:rPr>
          <w:rFonts w:ascii="Times New Roman" w:hAnsi="Times New Roman" w:cs="Times New Roman"/>
          <w:b/>
          <w:color w:val="auto"/>
          <w:szCs w:val="21"/>
          <w:highlight w:val="none"/>
        </w:rPr>
      </w:pPr>
    </w:p>
    <w:p w14:paraId="39B754AF">
      <w:pPr>
        <w:adjustRightInd/>
        <w:snapToGrid/>
        <w:spacing w:line="360" w:lineRule="exact"/>
        <w:outlineLvl w:val="9"/>
        <w:rPr>
          <w:rFonts w:ascii="Times New Roman" w:hAnsi="Times New Roman" w:cs="Times New Roman"/>
          <w:b/>
          <w:color w:val="auto"/>
          <w:szCs w:val="21"/>
          <w:highlight w:val="none"/>
        </w:rPr>
      </w:pPr>
    </w:p>
    <w:p w14:paraId="7AE64520">
      <w:pPr>
        <w:adjustRightInd/>
        <w:snapToGrid/>
        <w:spacing w:line="360" w:lineRule="exact"/>
        <w:outlineLvl w:val="9"/>
        <w:rPr>
          <w:rFonts w:ascii="Times New Roman" w:hAnsi="Times New Roman" w:cs="Times New Roman"/>
          <w:b/>
          <w:color w:val="auto"/>
          <w:szCs w:val="21"/>
          <w:highlight w:val="none"/>
        </w:rPr>
      </w:pPr>
    </w:p>
    <w:p w14:paraId="1CBF569C">
      <w:pPr>
        <w:adjustRightInd/>
        <w:snapToGrid/>
        <w:spacing w:line="360" w:lineRule="exact"/>
        <w:outlineLvl w:val="9"/>
        <w:rPr>
          <w:rFonts w:ascii="Times New Roman" w:hAnsi="Times New Roman" w:cs="Times New Roman"/>
          <w:b/>
          <w:color w:val="auto"/>
          <w:szCs w:val="21"/>
          <w:highlight w:val="none"/>
        </w:rPr>
      </w:pPr>
    </w:p>
    <w:p w14:paraId="79127FF4">
      <w:pPr>
        <w:adjustRightInd/>
        <w:snapToGrid/>
        <w:spacing w:line="360" w:lineRule="exact"/>
        <w:outlineLvl w:val="9"/>
        <w:rPr>
          <w:rFonts w:ascii="Times New Roman" w:hAnsi="Times New Roman" w:cs="Times New Roman"/>
          <w:b/>
          <w:color w:val="auto"/>
          <w:szCs w:val="21"/>
          <w:highlight w:val="none"/>
        </w:rPr>
      </w:pPr>
    </w:p>
    <w:p w14:paraId="12FB2CCF">
      <w:pPr>
        <w:adjustRightInd/>
        <w:snapToGrid/>
        <w:spacing w:line="360" w:lineRule="exact"/>
        <w:outlineLvl w:val="9"/>
        <w:rPr>
          <w:rFonts w:ascii="Times New Roman" w:hAnsi="Times New Roman" w:cs="Times New Roman"/>
          <w:b/>
          <w:color w:val="auto"/>
          <w:szCs w:val="21"/>
          <w:highlight w:val="none"/>
        </w:rPr>
      </w:pPr>
    </w:p>
    <w:p w14:paraId="4E03EF10">
      <w:pPr>
        <w:adjustRightInd/>
        <w:snapToGrid/>
        <w:spacing w:line="360" w:lineRule="exact"/>
        <w:outlineLvl w:val="9"/>
        <w:rPr>
          <w:rFonts w:ascii="Times New Roman" w:hAnsi="Times New Roman" w:cs="Times New Roman"/>
          <w:b/>
          <w:color w:val="auto"/>
          <w:szCs w:val="21"/>
          <w:highlight w:val="none"/>
        </w:rPr>
      </w:pPr>
    </w:p>
    <w:p w14:paraId="19959635">
      <w:pPr>
        <w:adjustRightInd/>
        <w:snapToGrid/>
        <w:spacing w:line="360" w:lineRule="exact"/>
        <w:outlineLvl w:val="9"/>
        <w:rPr>
          <w:rFonts w:ascii="Times New Roman" w:hAnsi="Times New Roman" w:cs="Times New Roman"/>
          <w:b/>
          <w:color w:val="auto"/>
          <w:szCs w:val="21"/>
          <w:highlight w:val="none"/>
        </w:rPr>
      </w:pPr>
    </w:p>
    <w:p w14:paraId="3AF4C26F">
      <w:pPr>
        <w:adjustRightInd/>
        <w:snapToGrid/>
        <w:spacing w:line="360" w:lineRule="exact"/>
        <w:outlineLvl w:val="9"/>
        <w:rPr>
          <w:rFonts w:ascii="Times New Roman" w:hAnsi="Times New Roman" w:cs="Times New Roman"/>
          <w:b/>
          <w:color w:val="auto"/>
          <w:szCs w:val="21"/>
          <w:highlight w:val="none"/>
        </w:rPr>
      </w:pPr>
    </w:p>
    <w:p w14:paraId="1822B1E4">
      <w:pPr>
        <w:adjustRightInd/>
        <w:snapToGrid/>
        <w:spacing w:line="360" w:lineRule="exact"/>
        <w:outlineLvl w:val="9"/>
        <w:rPr>
          <w:rFonts w:ascii="Times New Roman" w:hAnsi="Times New Roman" w:cs="Times New Roman"/>
          <w:b/>
          <w:color w:val="auto"/>
          <w:szCs w:val="21"/>
          <w:highlight w:val="none"/>
        </w:rPr>
      </w:pPr>
    </w:p>
    <w:p w14:paraId="57637E0D">
      <w:pPr>
        <w:adjustRightInd/>
        <w:snapToGrid/>
        <w:spacing w:line="360" w:lineRule="exact"/>
        <w:outlineLvl w:val="9"/>
        <w:rPr>
          <w:rFonts w:ascii="Times New Roman" w:hAnsi="Times New Roman" w:cs="Times New Roman"/>
          <w:b/>
          <w:color w:val="auto"/>
          <w:szCs w:val="21"/>
          <w:highlight w:val="none"/>
        </w:rPr>
      </w:pPr>
    </w:p>
    <w:p w14:paraId="68E7CB3A">
      <w:pPr>
        <w:adjustRightInd/>
        <w:snapToGrid/>
        <w:spacing w:line="360" w:lineRule="exact"/>
        <w:outlineLvl w:val="9"/>
        <w:rPr>
          <w:rFonts w:ascii="Times New Roman" w:hAnsi="Times New Roman" w:cs="Times New Roman"/>
          <w:b/>
          <w:color w:val="auto"/>
          <w:szCs w:val="21"/>
          <w:highlight w:val="none"/>
        </w:rPr>
      </w:pPr>
    </w:p>
    <w:p w14:paraId="14782631">
      <w:pPr>
        <w:adjustRightInd/>
        <w:snapToGrid/>
        <w:spacing w:line="360" w:lineRule="exact"/>
        <w:outlineLvl w:val="9"/>
        <w:rPr>
          <w:rFonts w:ascii="Times New Roman" w:hAnsi="Times New Roman" w:cs="Times New Roman"/>
          <w:b/>
          <w:color w:val="auto"/>
          <w:szCs w:val="21"/>
          <w:highlight w:val="none"/>
        </w:rPr>
      </w:pPr>
    </w:p>
    <w:p w14:paraId="54B12A64">
      <w:pPr>
        <w:adjustRightInd/>
        <w:snapToGrid/>
        <w:spacing w:line="360" w:lineRule="exact"/>
        <w:outlineLvl w:val="9"/>
        <w:rPr>
          <w:rFonts w:ascii="Times New Roman" w:hAnsi="Times New Roman" w:cs="Times New Roman"/>
          <w:b/>
          <w:color w:val="auto"/>
          <w:szCs w:val="21"/>
          <w:highlight w:val="none"/>
        </w:rPr>
      </w:pPr>
    </w:p>
    <w:p w14:paraId="67553415">
      <w:pPr>
        <w:adjustRightInd/>
        <w:snapToGrid/>
        <w:spacing w:line="360" w:lineRule="exact"/>
        <w:outlineLvl w:val="9"/>
        <w:rPr>
          <w:rFonts w:ascii="Times New Roman" w:hAnsi="Times New Roman" w:cs="Times New Roman"/>
          <w:b/>
          <w:color w:val="auto"/>
          <w:szCs w:val="21"/>
          <w:highlight w:val="none"/>
        </w:rPr>
      </w:pPr>
      <w:bookmarkStart w:id="326" w:name="_Toc10825"/>
      <w:bookmarkStart w:id="327" w:name="_Toc20310"/>
      <w:bookmarkStart w:id="328" w:name="_Toc16189"/>
    </w:p>
    <w:p w14:paraId="4BED7B93">
      <w:pPr>
        <w:adjustRightInd/>
        <w:snapToGrid/>
        <w:spacing w:line="360" w:lineRule="exact"/>
        <w:outlineLvl w:val="9"/>
        <w:rPr>
          <w:rFonts w:ascii="Times New Roman" w:hAnsi="Times New Roman" w:cs="Times New Roman"/>
          <w:b/>
          <w:color w:val="auto"/>
          <w:szCs w:val="21"/>
          <w:highlight w:val="none"/>
        </w:rPr>
      </w:pPr>
    </w:p>
    <w:p w14:paraId="7BA9EEFF">
      <w:pPr>
        <w:adjustRightInd/>
        <w:snapToGrid/>
        <w:spacing w:line="360" w:lineRule="exact"/>
        <w:outlineLvl w:val="9"/>
        <w:rPr>
          <w:rFonts w:ascii="Times New Roman" w:hAnsi="Times New Roman" w:cs="Times New Roman"/>
          <w:b/>
          <w:color w:val="auto"/>
          <w:szCs w:val="21"/>
          <w:highlight w:val="none"/>
        </w:rPr>
      </w:pPr>
    </w:p>
    <w:p w14:paraId="396AD7F8">
      <w:pPr>
        <w:adjustRightInd/>
        <w:snapToGrid/>
        <w:spacing w:line="360" w:lineRule="exact"/>
        <w:outlineLvl w:val="9"/>
        <w:rPr>
          <w:rFonts w:ascii="Times New Roman" w:hAnsi="Times New Roman" w:cs="Times New Roman"/>
          <w:b/>
          <w:color w:val="auto"/>
          <w:szCs w:val="21"/>
          <w:highlight w:val="none"/>
        </w:rPr>
      </w:pPr>
    </w:p>
    <w:p w14:paraId="2203AC8F">
      <w:pPr>
        <w:adjustRightInd/>
        <w:snapToGrid/>
        <w:spacing w:line="360" w:lineRule="exact"/>
        <w:outlineLvl w:val="9"/>
        <w:rPr>
          <w:rFonts w:ascii="Times New Roman" w:hAnsi="Times New Roman" w:cs="Times New Roman"/>
          <w:b/>
          <w:color w:val="auto"/>
          <w:szCs w:val="21"/>
          <w:highlight w:val="none"/>
        </w:rPr>
      </w:pPr>
    </w:p>
    <w:p w14:paraId="63985D16">
      <w:pPr>
        <w:adjustRightInd/>
        <w:snapToGrid/>
        <w:spacing w:line="360" w:lineRule="exact"/>
        <w:outlineLvl w:val="9"/>
        <w:rPr>
          <w:rFonts w:ascii="Times New Roman" w:hAnsi="Times New Roman" w:cs="Times New Roman"/>
          <w:b/>
          <w:color w:val="auto"/>
          <w:szCs w:val="21"/>
          <w:highlight w:val="none"/>
        </w:rPr>
      </w:pPr>
    </w:p>
    <w:p w14:paraId="59D95609">
      <w:pPr>
        <w:adjustRightInd/>
        <w:snapToGrid/>
        <w:spacing w:line="360" w:lineRule="exact"/>
        <w:outlineLvl w:val="9"/>
        <w:rPr>
          <w:rFonts w:ascii="Times New Roman" w:hAnsi="Times New Roman" w:cs="Times New Roman"/>
          <w:b/>
          <w:color w:val="auto"/>
          <w:szCs w:val="21"/>
          <w:highlight w:val="none"/>
        </w:rPr>
      </w:pPr>
    </w:p>
    <w:p w14:paraId="46E1151C">
      <w:pPr>
        <w:adjustRightInd/>
        <w:snapToGrid/>
        <w:spacing w:line="360" w:lineRule="exact"/>
        <w:outlineLvl w:val="9"/>
        <w:rPr>
          <w:rFonts w:ascii="Times New Roman" w:hAnsi="Times New Roman" w:cs="Times New Roman"/>
          <w:b/>
          <w:color w:val="auto"/>
          <w:szCs w:val="21"/>
          <w:highlight w:val="none"/>
        </w:rPr>
      </w:pPr>
    </w:p>
    <w:p w14:paraId="0F319356">
      <w:pPr>
        <w:adjustRightInd/>
        <w:snapToGrid/>
        <w:spacing w:line="360" w:lineRule="exact"/>
        <w:outlineLvl w:val="9"/>
        <w:rPr>
          <w:rFonts w:ascii="Times New Roman" w:hAnsi="Times New Roman" w:cs="Times New Roman"/>
          <w:b/>
          <w:color w:val="auto"/>
          <w:szCs w:val="21"/>
          <w:highlight w:val="none"/>
        </w:rPr>
      </w:pPr>
    </w:p>
    <w:p w14:paraId="240BC26A">
      <w:pPr>
        <w:adjustRightInd/>
        <w:snapToGrid/>
        <w:spacing w:line="360" w:lineRule="exact"/>
        <w:outlineLvl w:val="9"/>
        <w:rPr>
          <w:rFonts w:ascii="Times New Roman" w:hAnsi="Times New Roman" w:cs="Times New Roman"/>
          <w:b/>
          <w:color w:val="auto"/>
          <w:szCs w:val="21"/>
          <w:highlight w:val="none"/>
        </w:rPr>
      </w:pPr>
    </w:p>
    <w:p w14:paraId="252BC9C4">
      <w:pPr>
        <w:adjustRightInd/>
        <w:snapToGrid/>
        <w:spacing w:line="360" w:lineRule="exact"/>
        <w:outlineLvl w:val="9"/>
        <w:rPr>
          <w:rFonts w:ascii="Times New Roman" w:hAnsi="Times New Roman" w:cs="Times New Roman"/>
          <w:b/>
          <w:color w:val="auto"/>
          <w:szCs w:val="21"/>
          <w:highlight w:val="none"/>
        </w:rPr>
      </w:pPr>
    </w:p>
    <w:p w14:paraId="55D4EB50">
      <w:pPr>
        <w:adjustRightInd/>
        <w:snapToGrid/>
        <w:spacing w:line="360" w:lineRule="exact"/>
        <w:outlineLvl w:val="9"/>
        <w:rPr>
          <w:rFonts w:ascii="Times New Roman" w:hAnsi="Times New Roman" w:cs="Times New Roman"/>
          <w:b/>
          <w:color w:val="auto"/>
          <w:szCs w:val="21"/>
          <w:highlight w:val="none"/>
        </w:rPr>
      </w:pPr>
    </w:p>
    <w:p w14:paraId="4DB4BCD5">
      <w:pPr>
        <w:adjustRightInd/>
        <w:snapToGrid/>
        <w:spacing w:line="360" w:lineRule="exact"/>
        <w:outlineLvl w:val="9"/>
        <w:rPr>
          <w:rFonts w:ascii="Times New Roman" w:hAnsi="Times New Roman" w:cs="Times New Roman"/>
          <w:b/>
          <w:color w:val="auto"/>
          <w:szCs w:val="21"/>
          <w:highlight w:val="none"/>
        </w:rPr>
      </w:pPr>
    </w:p>
    <w:p w14:paraId="50A63F71">
      <w:pPr>
        <w:adjustRightInd/>
        <w:snapToGrid/>
        <w:spacing w:line="360" w:lineRule="exact"/>
        <w:outlineLvl w:val="9"/>
        <w:rPr>
          <w:rFonts w:ascii="Times New Roman" w:hAnsi="Times New Roman" w:cs="Times New Roman"/>
          <w:b/>
          <w:color w:val="auto"/>
          <w:szCs w:val="21"/>
          <w:highlight w:val="none"/>
        </w:rPr>
      </w:pPr>
      <w:bookmarkStart w:id="329" w:name="_Toc21088"/>
      <w:bookmarkStart w:id="330" w:name="_Toc17617"/>
      <w:bookmarkStart w:id="331" w:name="_Toc21217"/>
      <w:bookmarkStart w:id="332" w:name="_Toc6261"/>
      <w:bookmarkStart w:id="333" w:name="_Toc15354"/>
      <w:bookmarkStart w:id="334" w:name="_Toc11100"/>
      <w:bookmarkStart w:id="335" w:name="_Toc25235"/>
      <w:bookmarkStart w:id="336" w:name="_Toc11889"/>
      <w:r>
        <w:rPr>
          <w:rFonts w:hint="eastAsia" w:ascii="宋体" w:hAnsi="宋体"/>
          <w:b/>
          <w:color w:val="auto"/>
          <w:sz w:val="21"/>
          <w:szCs w:val="21"/>
          <w:highlight w:val="none"/>
          <w:lang w:val="en-US" w:eastAsia="zh-CN"/>
        </w:rPr>
        <w:t>合同</w:t>
      </w:r>
      <w:r>
        <w:rPr>
          <w:rFonts w:ascii="Times New Roman" w:hAnsi="Times New Roman" w:cs="Times New Roman"/>
          <w:b/>
          <w:color w:val="auto"/>
          <w:szCs w:val="21"/>
          <w:highlight w:val="none"/>
        </w:rPr>
        <w:t>附件</w:t>
      </w:r>
      <w:r>
        <w:rPr>
          <w:rFonts w:hint="eastAsia" w:cs="Times New Roman"/>
          <w:b/>
          <w:color w:val="auto"/>
          <w:szCs w:val="21"/>
          <w:highlight w:val="none"/>
          <w:lang w:val="en-US" w:eastAsia="zh-CN"/>
        </w:rPr>
        <w:t>4</w:t>
      </w:r>
      <w:r>
        <w:rPr>
          <w:rFonts w:ascii="Times New Roman" w:hAnsi="Times New Roman" w:cs="Times New Roman"/>
          <w:b/>
          <w:color w:val="auto"/>
          <w:szCs w:val="21"/>
          <w:highlight w:val="none"/>
        </w:rPr>
        <w:t>《运输杂费及计费规则》</w:t>
      </w:r>
      <w:bookmarkEnd w:id="324"/>
      <w:bookmarkEnd w:id="325"/>
      <w:bookmarkEnd w:id="326"/>
      <w:bookmarkEnd w:id="327"/>
      <w:bookmarkEnd w:id="328"/>
      <w:bookmarkEnd w:id="329"/>
      <w:bookmarkEnd w:id="330"/>
      <w:bookmarkEnd w:id="331"/>
      <w:bookmarkEnd w:id="332"/>
      <w:bookmarkEnd w:id="333"/>
      <w:bookmarkEnd w:id="334"/>
      <w:bookmarkEnd w:id="335"/>
      <w:bookmarkEnd w:id="336"/>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2"/>
        <w:gridCol w:w="2708"/>
        <w:gridCol w:w="1845"/>
        <w:gridCol w:w="2824"/>
      </w:tblGrid>
      <w:tr w14:paraId="113F4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9D8B">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E880">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规则</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478E">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计费</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00E2">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62784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AC3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过磅费</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681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采购人的客户要求以第三方地磅为准，需在第三方地磅过磅，产生的过磅费用</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F7F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按实际执行</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841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对账需提供：过磅单、收据</w:t>
            </w:r>
          </w:p>
        </w:tc>
      </w:tr>
      <w:tr w14:paraId="75786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4E3E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顺带包装物费用</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756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顺带包装物按照重量计费：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1、单车带20个及以上200L桶；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2、单车带10个及以上吨桶；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3、单车带50个及以上卡板；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符合以上任一项即可计费，否则不予计费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EF6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200元/车</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7EC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对账需提供：包装物交接单，重量核对清单</w:t>
            </w:r>
          </w:p>
        </w:tc>
      </w:tr>
      <w:tr w14:paraId="0F1BC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CA3E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专车送包装物</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507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需专车送包装物的</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F55D">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按运价的70%计费</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0C6A">
            <w:pPr>
              <w:spacing w:line="240" w:lineRule="auto"/>
              <w:jc w:val="center"/>
              <w:rPr>
                <w:rFonts w:hint="eastAsia" w:ascii="宋体" w:hAnsi="宋体" w:eastAsia="宋体" w:cs="宋体"/>
                <w:i w:val="0"/>
                <w:iCs w:val="0"/>
                <w:color w:val="auto"/>
                <w:sz w:val="20"/>
                <w:szCs w:val="20"/>
                <w:highlight w:val="none"/>
                <w:u w:val="none"/>
              </w:rPr>
            </w:pPr>
          </w:p>
        </w:tc>
      </w:tr>
      <w:tr w14:paraId="48680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114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463B0A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拼车费</w:t>
            </w:r>
          </w:p>
        </w:tc>
        <w:tc>
          <w:tcPr>
            <w:tcW w:w="2708" w:type="dxa"/>
            <w:tcBorders>
              <w:top w:val="single" w:color="000000" w:sz="4" w:space="0"/>
              <w:left w:val="single" w:color="000000" w:sz="4" w:space="0"/>
              <w:bottom w:val="single" w:color="auto" w:sz="4" w:space="0"/>
              <w:right w:val="single" w:color="000000" w:sz="4" w:space="0"/>
            </w:tcBorders>
            <w:shd w:val="clear" w:color="auto" w:fill="auto"/>
            <w:vAlign w:val="center"/>
          </w:tcPr>
          <w:p w14:paraId="5E3ACE6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1、同一工业园区的不同客户，不计算拼车费；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2、不同工业园区，同一“区/县/镇”按100元/家计算拼车费；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3、不同“区/县/镇”按150元/家计算拼车费。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B05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按规则</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100元/家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或</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150元/家</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688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原则上不顺路不予拼车；“区/县/镇”的定义以报价单的“区/县/镇”划分为准。</w:t>
            </w:r>
          </w:p>
        </w:tc>
      </w:tr>
      <w:tr w14:paraId="3CE9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8" w:hRule="atLeast"/>
        </w:trPr>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C0C06E">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装卸费</w:t>
            </w:r>
          </w:p>
        </w:tc>
        <w:tc>
          <w:tcPr>
            <w:tcW w:w="2708" w:type="dxa"/>
            <w:tcBorders>
              <w:top w:val="single" w:color="auto" w:sz="4" w:space="0"/>
              <w:left w:val="single" w:color="auto" w:sz="4" w:space="0"/>
              <w:bottom w:val="single" w:color="auto" w:sz="4" w:space="0"/>
              <w:right w:val="single" w:color="auto" w:sz="4" w:space="0"/>
            </w:tcBorders>
            <w:shd w:val="clear" w:color="auto" w:fill="auto"/>
            <w:vAlign w:val="center"/>
          </w:tcPr>
          <w:p w14:paraId="1DBA960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按装卸费标准执行。</w:t>
            </w:r>
          </w:p>
        </w:tc>
        <w:tc>
          <w:tcPr>
            <w:tcW w:w="1845" w:type="dxa"/>
            <w:tcBorders>
              <w:top w:val="single" w:color="000000" w:sz="4" w:space="0"/>
              <w:left w:val="single" w:color="auto" w:sz="4" w:space="0"/>
              <w:bottom w:val="single" w:color="000000" w:sz="4" w:space="0"/>
              <w:right w:val="single" w:color="000000" w:sz="4" w:space="0"/>
            </w:tcBorders>
            <w:shd w:val="clear" w:color="auto" w:fill="auto"/>
            <w:vAlign w:val="center"/>
          </w:tcPr>
          <w:p w14:paraId="268620C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见装卸费标准</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7FB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费用的申请：</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每月制作搬运打包费申请表，表内必须包含收运日期、客户名称、搬运废物的重量，同时提供对应客户现场能体现打包服务的水印照片和短视频，视频及照片文件名须按“日期+客户+重量”格式命名，并电子版打包发至采购人留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2、提供对账单纸质时，须将对应的水印照片打印出来作为结算凭证，对账纸质资料每页盖章。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3、无法提供上述资料的不予支付打包费用（客户现场不允许携带手机的，可与客户沟通协助拍摄，协商不成的需要提前告知采购人，以便采购人与客户确认打包服务属实）。</w:t>
            </w:r>
          </w:p>
        </w:tc>
      </w:tr>
      <w:tr w14:paraId="7C03D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1142"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61B4216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放空费</w:t>
            </w:r>
          </w:p>
        </w:tc>
        <w:tc>
          <w:tcPr>
            <w:tcW w:w="2708"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2A59C34">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采购人派单给到运输公司，运输公司已开始承接运输任务后，由于采购人或其客户原因导致该批次废物无法收运，运输公司空车往返产生的相关费用</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3CF8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运价的60%</w:t>
            </w:r>
          </w:p>
        </w:tc>
        <w:tc>
          <w:tcPr>
            <w:tcW w:w="2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C00A2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不提供放空费情况如下：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1、因不可抗力如台风等因素无法收运的；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2、运输单位车辆故障无法按时抵达客户现场装货的；</w:t>
            </w:r>
          </w:p>
        </w:tc>
      </w:tr>
      <w:tr w14:paraId="7A58F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188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押车费</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6CEA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采购人派单给到运输公司，运输公司已承接该批次废物，但因采购人或其客户原因导致无法当天完成卸货释放运输公司运力，货物需要滞留在车上过夜产生的相关费用，按车型付压车费</w:t>
            </w:r>
          </w:p>
        </w:tc>
        <w:tc>
          <w:tcPr>
            <w:tcW w:w="184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11B5C">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5.2米厢车：600元/夜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7.6米厢车：800元/夜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9.6米厢车：1000元/夜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12米挂车：1200元/夜</w:t>
            </w:r>
          </w:p>
        </w:tc>
        <w:tc>
          <w:tcPr>
            <w:tcW w:w="28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8D34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Style w:val="87"/>
                <w:color w:val="auto"/>
                <w:sz w:val="20"/>
                <w:szCs w:val="20"/>
                <w:highlight w:val="none"/>
                <w:lang w:val="en-US" w:eastAsia="zh-CN" w:bidi="ar"/>
              </w:rPr>
              <w:t>不提供押车费情况如下：</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1、</w:t>
            </w:r>
            <w:r>
              <w:rPr>
                <w:rStyle w:val="88"/>
                <w:color w:val="auto"/>
                <w:sz w:val="20"/>
                <w:szCs w:val="20"/>
                <w:highlight w:val="none"/>
                <w:lang w:val="en-US" w:eastAsia="zh-CN" w:bidi="ar"/>
              </w:rPr>
              <w:t>因客户运距远，无法当天及时返回导致押车的；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2、因不可抗力如台风等因素无法卸货导致押车的；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3、运输单位车辆故障无法按时抵达采购人厂区卸货导致押车的；</w:t>
            </w:r>
            <w:r>
              <w:rPr>
                <w:rStyle w:val="87"/>
                <w:color w:val="auto"/>
                <w:sz w:val="20"/>
                <w:szCs w:val="20"/>
                <w:highlight w:val="none"/>
                <w:lang w:val="en-US" w:eastAsia="zh-CN" w:bidi="ar"/>
              </w:rPr>
              <w:br w:type="textWrapping"/>
            </w:r>
            <w:r>
              <w:rPr>
                <w:rStyle w:val="87"/>
                <w:color w:val="auto"/>
                <w:sz w:val="20"/>
                <w:szCs w:val="20"/>
                <w:highlight w:val="none"/>
                <w:lang w:val="en-US" w:eastAsia="zh-CN" w:bidi="ar"/>
              </w:rPr>
              <w:t>4、非工作时间段进场，且未在当天提前报备（下午16时前报备）导致进场后无法卸货押车的；</w:t>
            </w:r>
          </w:p>
        </w:tc>
      </w:tr>
      <w:tr w14:paraId="54B1A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C791B">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机械租赁费</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CC8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因甲方客户装卸货物需要，经采购人同意，需外请叉车、挖掘机、吸污设备进行装货的。</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9F3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按照实际价格结算</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88D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对账需提供：带水印的现场照片、收据或付款记录。费用由运输单位垫付，计入当月运输对账单中，于当月开具运输服务发票进行对账结算。</w:t>
            </w:r>
          </w:p>
        </w:tc>
      </w:tr>
      <w:tr w14:paraId="34387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C80B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剧毒运输</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1B22">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成交人不得因资质问题跳单，</w:t>
            </w:r>
            <w:r>
              <w:rPr>
                <w:rFonts w:hint="eastAsia" w:ascii="宋体" w:hAnsi="宋体" w:cs="宋体"/>
                <w:i w:val="0"/>
                <w:iCs w:val="0"/>
                <w:color w:val="auto"/>
                <w:kern w:val="0"/>
                <w:sz w:val="20"/>
                <w:szCs w:val="20"/>
                <w:highlight w:val="none"/>
                <w:u w:val="none"/>
                <w:lang w:val="en-US" w:eastAsia="zh-CN" w:bidi="ar"/>
              </w:rPr>
              <w:t>采购人</w:t>
            </w:r>
            <w:r>
              <w:rPr>
                <w:rFonts w:hint="eastAsia" w:ascii="宋体" w:hAnsi="宋体" w:eastAsia="宋体" w:cs="宋体"/>
                <w:i w:val="0"/>
                <w:iCs w:val="0"/>
                <w:color w:val="auto"/>
                <w:kern w:val="0"/>
                <w:sz w:val="20"/>
                <w:szCs w:val="20"/>
                <w:highlight w:val="none"/>
                <w:u w:val="none"/>
                <w:lang w:val="en-US" w:eastAsia="zh-CN" w:bidi="ar"/>
              </w:rPr>
              <w:t>按正常运输价格上浮500元/车支付运费</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957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500元/车</w:t>
            </w:r>
          </w:p>
        </w:tc>
        <w:tc>
          <w:tcPr>
            <w:tcW w:w="2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73A4">
            <w:pPr>
              <w:spacing w:line="240" w:lineRule="auto"/>
              <w:jc w:val="center"/>
              <w:rPr>
                <w:rFonts w:hint="eastAsia" w:ascii="宋体" w:hAnsi="宋体" w:eastAsia="宋体" w:cs="宋体"/>
                <w:i w:val="0"/>
                <w:iCs w:val="0"/>
                <w:color w:val="auto"/>
                <w:sz w:val="20"/>
                <w:szCs w:val="20"/>
                <w:highlight w:val="none"/>
                <w:u w:val="none"/>
              </w:rPr>
            </w:pPr>
          </w:p>
        </w:tc>
      </w:tr>
    </w:tbl>
    <w:p w14:paraId="0022D6A1">
      <w:pPr>
        <w:rPr>
          <w:rFonts w:hint="eastAsia" w:ascii="宋体" w:hAnsi="宋体" w:eastAsia="宋体" w:cs="宋体"/>
          <w:b/>
          <w:color w:val="auto"/>
          <w:sz w:val="21"/>
          <w:szCs w:val="21"/>
          <w:highlight w:val="none"/>
          <w:lang w:val="en-US" w:eastAsia="zh-CN"/>
        </w:rPr>
      </w:pPr>
      <w:bookmarkStart w:id="337" w:name="_Toc31861"/>
      <w:bookmarkStart w:id="338" w:name="_Toc20615"/>
      <w:bookmarkStart w:id="339" w:name="_Toc26821"/>
      <w:bookmarkStart w:id="340" w:name="_Toc20386"/>
      <w:bookmarkStart w:id="341" w:name="_Toc1554"/>
      <w:bookmarkStart w:id="342" w:name="_Toc25826"/>
      <w:bookmarkStart w:id="343" w:name="_Toc19916"/>
      <w:bookmarkStart w:id="344" w:name="_Toc15895"/>
      <w:bookmarkStart w:id="345" w:name="_Toc19496"/>
      <w:bookmarkStart w:id="346" w:name="_Toc31837"/>
      <w:bookmarkStart w:id="347" w:name="_Toc15923"/>
      <w:bookmarkStart w:id="348" w:name="_Toc18959"/>
      <w:bookmarkStart w:id="349" w:name="_Toc11480"/>
      <w:r>
        <w:rPr>
          <w:rFonts w:hint="eastAsia" w:ascii="宋体" w:hAnsi="宋体" w:eastAsia="宋体" w:cs="宋体"/>
          <w:b/>
          <w:color w:val="auto"/>
          <w:sz w:val="21"/>
          <w:szCs w:val="21"/>
          <w:highlight w:val="none"/>
          <w:lang w:val="en-US" w:eastAsia="zh-CN"/>
        </w:rPr>
        <w:br w:type="page"/>
      </w:r>
    </w:p>
    <w:p w14:paraId="2B0A7C12">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color w:val="auto"/>
          <w:szCs w:val="21"/>
          <w:highlight w:val="none"/>
        </w:rPr>
      </w:pPr>
      <w:r>
        <w:rPr>
          <w:rFonts w:hint="eastAsia" w:ascii="宋体" w:hAnsi="宋体" w:eastAsia="宋体" w:cs="宋体"/>
          <w:b/>
          <w:color w:val="auto"/>
          <w:sz w:val="21"/>
          <w:szCs w:val="21"/>
          <w:highlight w:val="none"/>
          <w:lang w:val="en-US" w:eastAsia="zh-CN"/>
        </w:rPr>
        <w:t>合同</w:t>
      </w:r>
      <w:r>
        <w:rPr>
          <w:rFonts w:hint="eastAsia" w:ascii="宋体" w:hAnsi="宋体" w:eastAsia="宋体" w:cs="宋体"/>
          <w:b/>
          <w:color w:val="auto"/>
          <w:szCs w:val="21"/>
          <w:highlight w:val="none"/>
        </w:rPr>
        <w:t>附件</w:t>
      </w:r>
      <w:r>
        <w:rPr>
          <w:rFonts w:hint="eastAsia" w:ascii="宋体" w:hAnsi="宋体" w:eastAsia="宋体" w:cs="宋体"/>
          <w:b/>
          <w:color w:val="auto"/>
          <w:szCs w:val="21"/>
          <w:highlight w:val="none"/>
          <w:lang w:val="en-US" w:eastAsia="zh-CN"/>
        </w:rPr>
        <w:t>5</w:t>
      </w:r>
      <w:r>
        <w:rPr>
          <w:rFonts w:hint="eastAsia" w:ascii="宋体" w:hAnsi="宋体" w:eastAsia="宋体" w:cs="宋体"/>
          <w:b/>
          <w:color w:val="auto"/>
          <w:szCs w:val="21"/>
          <w:highlight w:val="none"/>
        </w:rPr>
        <w:t>《东莞市新东欣环保投资有限公司承运单位违规行为处罚条款》</w:t>
      </w:r>
      <w:bookmarkEnd w:id="337"/>
      <w:bookmarkEnd w:id="338"/>
      <w:bookmarkEnd w:id="339"/>
      <w:bookmarkEnd w:id="340"/>
      <w:bookmarkEnd w:id="341"/>
      <w:bookmarkEnd w:id="342"/>
      <w:bookmarkEnd w:id="343"/>
      <w:bookmarkEnd w:id="344"/>
      <w:bookmarkEnd w:id="345"/>
      <w:bookmarkEnd w:id="346"/>
      <w:bookmarkEnd w:id="347"/>
      <w:bookmarkEnd w:id="348"/>
      <w:bookmarkEnd w:id="349"/>
    </w:p>
    <w:tbl>
      <w:tblPr>
        <w:tblStyle w:val="30"/>
        <w:tblpPr w:leftFromText="180" w:rightFromText="180" w:vertAnchor="text" w:horzAnchor="page" w:tblpX="1906" w:tblpY="467"/>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9"/>
        <w:gridCol w:w="454"/>
        <w:gridCol w:w="5138"/>
        <w:gridCol w:w="2303"/>
      </w:tblGrid>
      <w:tr w14:paraId="5DDE2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424"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97549">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东莞市新东欣环保投资有限公司承运单位违规行为处罚条款</w:t>
            </w:r>
          </w:p>
          <w:p w14:paraId="59395609">
            <w:pPr>
              <w:keepNext w:val="0"/>
              <w:keepLines w:val="0"/>
              <w:widowControl/>
              <w:suppressLineNumbers w:val="0"/>
              <w:spacing w:line="240" w:lineRule="auto"/>
              <w:jc w:val="both"/>
              <w:textAlignment w:val="center"/>
              <w:outlineLvl w:val="9"/>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说明：</w:t>
            </w:r>
            <w:r>
              <w:rPr>
                <w:rFonts w:hint="eastAsia" w:ascii="宋体" w:hAnsi="宋体" w:eastAsia="宋体" w:cs="宋体"/>
                <w:b/>
                <w:bCs/>
                <w:color w:val="auto"/>
                <w:sz w:val="20"/>
                <w:szCs w:val="20"/>
                <w:highlight w:val="none"/>
                <w:u w:val="none"/>
                <w:lang w:val="en-US" w:eastAsia="zh-CN" w:bidi="ar"/>
              </w:rPr>
              <w:t>以下</w:t>
            </w:r>
            <w:r>
              <w:rPr>
                <w:rFonts w:hint="eastAsia" w:ascii="宋体" w:hAnsi="宋体" w:eastAsia="宋体" w:cs="宋体"/>
                <w:b/>
                <w:bCs/>
                <w:color w:val="auto"/>
                <w:sz w:val="20"/>
                <w:szCs w:val="20"/>
                <w:highlight w:val="none"/>
                <w:u w:val="none"/>
                <w:lang w:bidi="ar"/>
              </w:rPr>
              <w:t>罚款属于违约金，均为人民币</w:t>
            </w:r>
            <w:r>
              <w:rPr>
                <w:rFonts w:hint="eastAsia" w:ascii="宋体" w:hAnsi="宋体" w:eastAsia="宋体" w:cs="宋体"/>
                <w:b/>
                <w:bCs/>
                <w:color w:val="auto"/>
                <w:sz w:val="20"/>
                <w:szCs w:val="20"/>
                <w:highlight w:val="none"/>
                <w:u w:val="none"/>
                <w:lang w:eastAsia="zh-CN" w:bidi="ar"/>
              </w:rPr>
              <w:t>。</w:t>
            </w:r>
          </w:p>
        </w:tc>
      </w:tr>
      <w:tr w14:paraId="1F399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8424"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2A12F">
            <w:pPr>
              <w:spacing w:line="240" w:lineRule="auto"/>
              <w:jc w:val="center"/>
              <w:outlineLvl w:val="9"/>
              <w:rPr>
                <w:rFonts w:hint="eastAsia" w:ascii="宋体" w:hAnsi="宋体" w:eastAsia="宋体" w:cs="宋体"/>
                <w:b/>
                <w:bCs/>
                <w:i w:val="0"/>
                <w:iCs w:val="0"/>
                <w:color w:val="auto"/>
                <w:sz w:val="20"/>
                <w:szCs w:val="20"/>
                <w:highlight w:val="none"/>
                <w:u w:val="none"/>
              </w:rPr>
            </w:pPr>
          </w:p>
        </w:tc>
      </w:tr>
      <w:tr w14:paraId="54070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9" w:type="dxa"/>
            <w:tcBorders>
              <w:top w:val="single" w:color="000000" w:sz="4" w:space="0"/>
              <w:left w:val="single" w:color="000000" w:sz="4" w:space="0"/>
              <w:bottom w:val="single" w:color="000000" w:sz="4" w:space="0"/>
              <w:right w:val="nil"/>
            </w:tcBorders>
            <w:shd w:val="clear" w:color="auto" w:fill="auto"/>
            <w:vAlign w:val="center"/>
          </w:tcPr>
          <w:p w14:paraId="28600B1B">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项目分类</w:t>
            </w:r>
          </w:p>
        </w:tc>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7880">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AE820">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违规行为</w:t>
            </w:r>
          </w:p>
        </w:tc>
        <w:tc>
          <w:tcPr>
            <w:tcW w:w="2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84E3">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处罚措施</w:t>
            </w:r>
          </w:p>
        </w:tc>
      </w:tr>
      <w:tr w14:paraId="144E0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B9227">
            <w:pPr>
              <w:keepNext w:val="0"/>
              <w:keepLines w:val="0"/>
              <w:widowControl/>
              <w:suppressLineNumbers w:val="0"/>
              <w:spacing w:line="240" w:lineRule="auto"/>
              <w:jc w:val="center"/>
              <w:textAlignment w:val="center"/>
              <w:outlineLvl w:val="9"/>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条款明细</w:t>
            </w: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2EE67">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4300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送货单上的废物名称错误、包装物重量错扣、重量错计、数字顺序错填、不同废物重量错调、数量单位写错、现场未与客户一一核对确认送货单数据造成客户漏签字或者代替客户签字、送货单涂改或底联不清晰等造成送货单数据异常引起纠纷后经确认属于运输人员原因造成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EE6AC">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罚款300元/次</w:t>
            </w:r>
          </w:p>
        </w:tc>
      </w:tr>
      <w:tr w14:paraId="3FD1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EB4C4">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135AC">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9C1C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运输单位原因错扫、漏扫、迟扫联单，导致联单运输时间与实际运输时间不一致的；或者运输单位原因导致联单作废重新提交的。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CF838">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罚款300元/次</w:t>
            </w:r>
          </w:p>
        </w:tc>
      </w:tr>
      <w:tr w14:paraId="201DF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0962E">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2630F">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5F0E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运输人员操作不当导致废物</w:t>
            </w:r>
            <w:r>
              <w:rPr>
                <w:rFonts w:hint="eastAsia" w:ascii="宋体" w:hAnsi="宋体" w:cs="宋体"/>
                <w:i w:val="0"/>
                <w:iCs w:val="0"/>
                <w:color w:val="auto"/>
                <w:kern w:val="0"/>
                <w:sz w:val="20"/>
                <w:szCs w:val="20"/>
                <w:highlight w:val="none"/>
                <w:u w:val="none"/>
                <w:lang w:val="en-US" w:eastAsia="zh-CN" w:bidi="ar"/>
              </w:rPr>
              <w:t>泄漏</w:t>
            </w:r>
            <w:r>
              <w:rPr>
                <w:rFonts w:hint="eastAsia" w:ascii="宋体" w:hAnsi="宋体" w:eastAsia="宋体" w:cs="宋体"/>
                <w:i w:val="0"/>
                <w:iCs w:val="0"/>
                <w:color w:val="auto"/>
                <w:kern w:val="0"/>
                <w:sz w:val="20"/>
                <w:szCs w:val="20"/>
                <w:highlight w:val="none"/>
                <w:u w:val="none"/>
                <w:lang w:val="en-US" w:eastAsia="zh-CN" w:bidi="ar"/>
              </w:rPr>
              <w:t>或发生反应的：包括不限于收运前未检查废物包装、液位，包装物破损未及时发现，未按规范打包货装车，缠膜不牢导致废物倾倒，车辆防泄漏措施不当导致废物泄漏至路面。该异常现象发生的地点不限于采购人厂区、运输途中、采购人的客户厂区。</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7BEC7">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造成环境污染事故的另行处罚；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采购人的客户方有相关处罚规定并出具罚单的；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以上情况择重者处罚</w:t>
            </w:r>
          </w:p>
        </w:tc>
      </w:tr>
      <w:tr w14:paraId="5EC38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3FDBC">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77160">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8032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槽车运输前未清理罐内残留导致我司废物被污染，废物多项指标出现异常，处置成本上升或者有价废物贬值；废物在现场反应，存在安全隐患、或导致未遂事故、安全事故。</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6422C">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1、污染：罚款500元并赔偿因废物指标异常导致的处置成本上涨和有价废物损失；</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2、反应：废物反应导致其他罚款或人身伤害的，需承担相关处罚，并承担相关行政、刑事处罚、民事责任。</w:t>
            </w:r>
          </w:p>
        </w:tc>
      </w:tr>
      <w:tr w14:paraId="73EC0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482CB">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AADAE">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C9C1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采购人的客户提出合理收运时间，运输公司确认可按要求时间到达，但最终运输人员未按约定时间抵达，且又未与客户协商达成其他一致的收运时间，导致投诉的，经确认属实。</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16BE9">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罚款500元/次</w:t>
            </w:r>
          </w:p>
        </w:tc>
      </w:tr>
      <w:tr w14:paraId="0601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2947D2">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70C2C">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0690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运输单位原因导致采购人或者采购人的客户方的设备设施损坏，或者造成人员伤害的。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D7D4F">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据实赔偿并加收罚款500元；采购人的客户方有相关处罚规定，并出具罚单的，择重者处罚。</w:t>
            </w:r>
          </w:p>
        </w:tc>
      </w:tr>
      <w:tr w14:paraId="73EA4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DFF8C">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4C3E1">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E805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运输作业人员在采购人或者采购人的客户厂内禁止吸烟区吸烟，被现场管理人员发现，并出具书面处罚通知。</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E1B9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24D7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2F487">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35B57">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79C23">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运输作业人员在采购人或者采购人的客户厂区内未按现场管理要求佩戴劳保用品，被现场管理人员发现，并出具书面处罚通知。</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56C8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29EDA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03AEB">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C2DFD">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11F54">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运输作业人员在采购人或者采购人的客户厂内未按限速规定行驶，被现场管理人员发现，并出具书面处罚通知。</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ACC6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采购人的客户有相关处罚规定，并出具罚单的，择重处罚。</w:t>
            </w:r>
          </w:p>
        </w:tc>
      </w:tr>
      <w:tr w14:paraId="7E3B7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47E93">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9D0B8">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A368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除上述第6~9点外，运输作业人员在采购人或者采购人的客户厂内未遵守现场管理制度并引发投诉并出具罚单的其他情况。</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6929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每一单罚款500元；客户有相关处罚规定，并出具罚单的，择重处罚。</w:t>
            </w:r>
          </w:p>
        </w:tc>
      </w:tr>
      <w:tr w14:paraId="0D99F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5C4F8">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3C29E">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11</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F7FA1">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运输作业人员私自</w:t>
            </w:r>
            <w:r>
              <w:rPr>
                <w:rFonts w:hint="eastAsia" w:ascii="宋体" w:hAnsi="宋体" w:cs="宋体"/>
                <w:i w:val="0"/>
                <w:iCs w:val="0"/>
                <w:color w:val="auto"/>
                <w:kern w:val="0"/>
                <w:sz w:val="20"/>
                <w:szCs w:val="20"/>
                <w:highlight w:val="none"/>
                <w:u w:val="none"/>
                <w:lang w:val="en-US" w:eastAsia="zh-CN" w:bidi="ar"/>
              </w:rPr>
              <w:t>变卖</w:t>
            </w:r>
            <w:r>
              <w:rPr>
                <w:rFonts w:hint="eastAsia" w:ascii="宋体" w:hAnsi="宋体" w:eastAsia="宋体" w:cs="宋体"/>
                <w:i w:val="0"/>
                <w:iCs w:val="0"/>
                <w:color w:val="auto"/>
                <w:kern w:val="0"/>
                <w:sz w:val="20"/>
                <w:szCs w:val="20"/>
                <w:highlight w:val="none"/>
                <w:u w:val="none"/>
                <w:lang w:val="en-US" w:eastAsia="zh-CN" w:bidi="ar"/>
              </w:rPr>
              <w:t>采购人有价物资，包括但不限于：委托运输的具有市场价值的废物、具有市场价值的包装物、具有市场价值的其他物资。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80E04">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等价赔偿并解除合同扣除履约</w:t>
            </w:r>
            <w:r>
              <w:rPr>
                <w:rFonts w:hint="eastAsia" w:ascii="宋体" w:hAnsi="宋体" w:cs="宋体"/>
                <w:i w:val="0"/>
                <w:iCs w:val="0"/>
                <w:color w:val="auto"/>
                <w:kern w:val="0"/>
                <w:sz w:val="20"/>
                <w:szCs w:val="20"/>
                <w:highlight w:val="none"/>
                <w:u w:val="none"/>
                <w:lang w:val="en-US" w:eastAsia="zh-CN" w:bidi="ar"/>
              </w:rPr>
              <w:t>保证</w:t>
            </w:r>
            <w:r>
              <w:rPr>
                <w:rFonts w:hint="eastAsia" w:ascii="宋体" w:hAnsi="宋体" w:eastAsia="宋体" w:cs="宋体"/>
                <w:i w:val="0"/>
                <w:iCs w:val="0"/>
                <w:color w:val="auto"/>
                <w:kern w:val="0"/>
                <w:sz w:val="20"/>
                <w:szCs w:val="20"/>
                <w:highlight w:val="none"/>
                <w:u w:val="none"/>
                <w:lang w:val="en-US" w:eastAsia="zh-CN" w:bidi="ar"/>
              </w:rPr>
              <w:t>金；情节严重的报警处理。</w:t>
            </w:r>
          </w:p>
        </w:tc>
      </w:tr>
      <w:tr w14:paraId="16619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389B3">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9AA57">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0256F">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运输作业人员在收运现场发现未贴</w:t>
            </w:r>
            <w:r>
              <w:rPr>
                <w:rFonts w:hint="eastAsia" w:ascii="宋体" w:hAnsi="宋体" w:cs="宋体"/>
                <w:i w:val="0"/>
                <w:iCs w:val="0"/>
                <w:color w:val="auto"/>
                <w:kern w:val="0"/>
                <w:sz w:val="20"/>
                <w:szCs w:val="20"/>
                <w:highlight w:val="none"/>
                <w:u w:val="none"/>
                <w:lang w:val="en-US" w:eastAsia="zh-CN" w:bidi="ar"/>
              </w:rPr>
              <w:t>标识</w:t>
            </w:r>
            <w:r>
              <w:rPr>
                <w:rFonts w:hint="eastAsia" w:ascii="宋体" w:hAnsi="宋体" w:eastAsia="宋体" w:cs="宋体"/>
                <w:i w:val="0"/>
                <w:iCs w:val="0"/>
                <w:color w:val="auto"/>
                <w:kern w:val="0"/>
                <w:sz w:val="20"/>
                <w:szCs w:val="20"/>
                <w:highlight w:val="none"/>
                <w:u w:val="none"/>
                <w:lang w:val="en-US" w:eastAsia="zh-CN" w:bidi="ar"/>
              </w:rPr>
              <w:t>、标签的废物，须履行提醒和纠正的义务。未履行前述义务且未使用我司提供的标签填写清楚所收废物名称或采取其他措施进行标识废物，将未贴任何</w:t>
            </w:r>
            <w:r>
              <w:rPr>
                <w:rFonts w:hint="eastAsia" w:ascii="宋体" w:hAnsi="宋体" w:cs="宋体"/>
                <w:i w:val="0"/>
                <w:iCs w:val="0"/>
                <w:color w:val="auto"/>
                <w:kern w:val="0"/>
                <w:sz w:val="20"/>
                <w:szCs w:val="20"/>
                <w:highlight w:val="none"/>
                <w:u w:val="none"/>
                <w:lang w:val="en-US" w:eastAsia="zh-CN" w:bidi="ar"/>
              </w:rPr>
              <w:t>标识</w:t>
            </w:r>
            <w:r>
              <w:rPr>
                <w:rFonts w:hint="eastAsia" w:ascii="宋体" w:hAnsi="宋体" w:eastAsia="宋体" w:cs="宋体"/>
                <w:i w:val="0"/>
                <w:iCs w:val="0"/>
                <w:color w:val="auto"/>
                <w:kern w:val="0"/>
                <w:sz w:val="20"/>
                <w:szCs w:val="20"/>
                <w:highlight w:val="none"/>
                <w:u w:val="none"/>
                <w:lang w:val="en-US" w:eastAsia="zh-CN" w:bidi="ar"/>
              </w:rPr>
              <w:t>、标签的废物收运进入采购人厂区的。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DF2395">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罚款200元/次；若最终因此发生退货时，由运输公司承担退货费用</w:t>
            </w:r>
          </w:p>
        </w:tc>
      </w:tr>
      <w:tr w14:paraId="334F7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D4AF7">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BBF15">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F100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运输作业人员中途倾倒危险废物。</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434A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报警处理并解除合同扣除履约</w:t>
            </w:r>
            <w:r>
              <w:rPr>
                <w:rFonts w:hint="eastAsia" w:ascii="宋体" w:hAnsi="宋体" w:cs="宋体"/>
                <w:i w:val="0"/>
                <w:iCs w:val="0"/>
                <w:color w:val="auto"/>
                <w:kern w:val="0"/>
                <w:sz w:val="20"/>
                <w:szCs w:val="20"/>
                <w:highlight w:val="none"/>
                <w:u w:val="none"/>
                <w:lang w:val="en-US" w:eastAsia="zh-CN" w:bidi="ar"/>
              </w:rPr>
              <w:t>保证</w:t>
            </w:r>
            <w:r>
              <w:rPr>
                <w:rFonts w:hint="eastAsia" w:ascii="宋体" w:hAnsi="宋体" w:eastAsia="宋体" w:cs="宋体"/>
                <w:i w:val="0"/>
                <w:iCs w:val="0"/>
                <w:color w:val="auto"/>
                <w:kern w:val="0"/>
                <w:sz w:val="20"/>
                <w:szCs w:val="20"/>
                <w:highlight w:val="none"/>
                <w:u w:val="none"/>
                <w:lang w:val="en-US" w:eastAsia="zh-CN" w:bidi="ar"/>
              </w:rPr>
              <w:t>金</w:t>
            </w:r>
          </w:p>
        </w:tc>
      </w:tr>
      <w:tr w14:paraId="78027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043FF">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5203E">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EF6C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运输作业人员未听从采购人现场调度人员、现场操作人员的指挥，未按要求装货、填写单据、未在指定的地点卸货，不按照要求携带包装物，或私自领取包装物。</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F842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Style w:val="89"/>
                <w:color w:val="auto"/>
                <w:sz w:val="20"/>
                <w:szCs w:val="20"/>
                <w:highlight w:val="none"/>
                <w:lang w:val="en-US" w:eastAsia="zh-CN" w:bidi="ar"/>
              </w:rPr>
              <w:t>罚款1000元/次</w:t>
            </w:r>
          </w:p>
        </w:tc>
      </w:tr>
      <w:tr w14:paraId="5BFEC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196DA">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C1B21">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AEA3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危险货物运输车辆标识不全、无危险标志灯及危险货物标识牌。</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BF70">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罚款300元/车</w:t>
            </w:r>
          </w:p>
        </w:tc>
      </w:tr>
      <w:tr w14:paraId="59B0A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84E97">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F2A2A">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E61EBE">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未安装防火罩、无导静电胶条或胶条未触地的。危险货物车辆技术等级未达到一级、未在检验有效期内的。危险货物运输车辆未配置相应的消防应急设施；消防应急设施未定期检查、保养、未在有效期限内的。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921E41">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Style w:val="89"/>
                <w:color w:val="auto"/>
                <w:sz w:val="20"/>
                <w:szCs w:val="20"/>
                <w:highlight w:val="none"/>
                <w:lang w:val="en-US" w:eastAsia="zh-CN" w:bidi="ar"/>
              </w:rPr>
              <w:t>罚款1000元/车</w:t>
            </w:r>
          </w:p>
        </w:tc>
      </w:tr>
      <w:tr w14:paraId="1C320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26673">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0A20D">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3B1F2">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运输作业人员未持证上岗或所持资格证过期失效的。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E8633">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罚款1000元/人</w:t>
            </w:r>
          </w:p>
        </w:tc>
      </w:tr>
      <w:tr w14:paraId="2B21C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6DEEB">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079A1">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0D596">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车辆无危险货物运输许可证或证件过期失效的。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D5176">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罚款2000元/车</w:t>
            </w:r>
          </w:p>
        </w:tc>
      </w:tr>
      <w:tr w14:paraId="161E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5F5A">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F95F75">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51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992E7">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收到同一个客户连续2次及以上投诉。</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D352A">
            <w:pPr>
              <w:keepNext w:val="0"/>
              <w:keepLines w:val="0"/>
              <w:widowControl/>
              <w:suppressLineNumbers w:val="0"/>
              <w:spacing w:line="240" w:lineRule="auto"/>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罚款5000元/次</w:t>
            </w:r>
          </w:p>
        </w:tc>
      </w:tr>
      <w:tr w14:paraId="06B75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17997">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29148F">
            <w:pPr>
              <w:keepNext w:val="0"/>
              <w:keepLines w:val="0"/>
              <w:widowControl/>
              <w:suppressLineNumbers w:val="0"/>
              <w:spacing w:line="240" w:lineRule="auto"/>
              <w:jc w:val="center"/>
              <w:textAlignment w:val="center"/>
              <w:outlineLvl w:val="9"/>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20</w:t>
            </w:r>
          </w:p>
        </w:tc>
        <w:tc>
          <w:tcPr>
            <w:tcW w:w="5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CFCAB">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非因不可抗力因素（包括气象灾害、地质灾害、行政措施/管制、社会异常事件、战争）不安排车辆，或者无理由超时回复派车需求的，视为跳单。</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D78B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按采购文件约定处罚条款进行处罚</w:t>
            </w:r>
          </w:p>
        </w:tc>
      </w:tr>
      <w:tr w14:paraId="28025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70E8">
            <w:pPr>
              <w:spacing w:line="240" w:lineRule="auto"/>
              <w:jc w:val="center"/>
              <w:outlineLvl w:val="9"/>
              <w:rPr>
                <w:rFonts w:hint="eastAsia" w:ascii="宋体" w:hAnsi="宋体" w:eastAsia="宋体" w:cs="宋体"/>
                <w:b/>
                <w:bCs/>
                <w:i w:val="0"/>
                <w:iCs w:val="0"/>
                <w:color w:val="auto"/>
                <w:sz w:val="20"/>
                <w:szCs w:val="20"/>
                <w:highlight w:val="none"/>
                <w:u w:val="none"/>
              </w:rPr>
            </w:pPr>
          </w:p>
        </w:tc>
        <w:tc>
          <w:tcPr>
            <w:tcW w:w="4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6A797">
            <w:pPr>
              <w:keepNext w:val="0"/>
              <w:keepLines w:val="0"/>
              <w:widowControl/>
              <w:suppressLineNumbers w:val="0"/>
              <w:spacing w:line="240" w:lineRule="auto"/>
              <w:jc w:val="center"/>
              <w:textAlignment w:val="center"/>
              <w:outlineLvl w:val="9"/>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cs="宋体"/>
                <w:i w:val="0"/>
                <w:iCs w:val="0"/>
                <w:color w:val="auto"/>
                <w:kern w:val="0"/>
                <w:sz w:val="20"/>
                <w:szCs w:val="20"/>
                <w:highlight w:val="none"/>
                <w:u w:val="none"/>
                <w:lang w:val="en-US" w:eastAsia="zh-CN" w:bidi="ar"/>
              </w:rPr>
              <w:t>21</w:t>
            </w:r>
          </w:p>
        </w:tc>
        <w:tc>
          <w:tcPr>
            <w:tcW w:w="51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4AD0">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服务期间在信用中国上查询到运输公司有不良记录的</w:t>
            </w:r>
          </w:p>
        </w:tc>
        <w:tc>
          <w:tcPr>
            <w:tcW w:w="2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A246B">
            <w:pPr>
              <w:keepNext w:val="0"/>
              <w:keepLines w:val="0"/>
              <w:widowControl/>
              <w:suppressLineNumbers w:val="0"/>
              <w:spacing w:line="240" w:lineRule="auto"/>
              <w:jc w:val="center"/>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i w:val="0"/>
                <w:iCs w:val="0"/>
                <w:color w:val="auto"/>
                <w:kern w:val="0"/>
                <w:sz w:val="20"/>
                <w:szCs w:val="20"/>
                <w:highlight w:val="none"/>
                <w:u w:val="none"/>
                <w:lang w:val="en-US" w:eastAsia="zh-CN" w:bidi="ar"/>
              </w:rPr>
              <w:t>解除合同扣除履约</w:t>
            </w:r>
            <w:r>
              <w:rPr>
                <w:rFonts w:hint="eastAsia" w:ascii="宋体" w:hAnsi="宋体" w:cs="宋体"/>
                <w:b/>
                <w:bCs/>
                <w:i w:val="0"/>
                <w:iCs w:val="0"/>
                <w:color w:val="auto"/>
                <w:kern w:val="0"/>
                <w:sz w:val="20"/>
                <w:szCs w:val="20"/>
                <w:highlight w:val="none"/>
                <w:u w:val="none"/>
                <w:lang w:val="en-US" w:eastAsia="zh-CN" w:bidi="ar"/>
              </w:rPr>
              <w:t>保证</w:t>
            </w:r>
            <w:r>
              <w:rPr>
                <w:rFonts w:hint="eastAsia" w:ascii="宋体" w:hAnsi="宋体" w:eastAsia="宋体" w:cs="宋体"/>
                <w:b/>
                <w:bCs/>
                <w:i w:val="0"/>
                <w:iCs w:val="0"/>
                <w:color w:val="auto"/>
                <w:kern w:val="0"/>
                <w:sz w:val="20"/>
                <w:szCs w:val="20"/>
                <w:highlight w:val="none"/>
                <w:u w:val="none"/>
                <w:lang w:val="en-US" w:eastAsia="zh-CN" w:bidi="ar"/>
              </w:rPr>
              <w:t>金</w:t>
            </w:r>
          </w:p>
        </w:tc>
      </w:tr>
      <w:tr w14:paraId="44D9F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trPr>
        <w:tc>
          <w:tcPr>
            <w:tcW w:w="6121" w:type="dxa"/>
            <w:gridSpan w:val="3"/>
            <w:tcBorders>
              <w:top w:val="nil"/>
              <w:left w:val="nil"/>
              <w:bottom w:val="nil"/>
              <w:right w:val="nil"/>
            </w:tcBorders>
            <w:shd w:val="clear" w:color="auto" w:fill="auto"/>
            <w:vAlign w:val="center"/>
          </w:tcPr>
          <w:p w14:paraId="57296C6B">
            <w:pPr>
              <w:keepNext w:val="0"/>
              <w:keepLines w:val="0"/>
              <w:widowControl/>
              <w:suppressLineNumbers w:val="0"/>
              <w:spacing w:line="240" w:lineRule="auto"/>
              <w:jc w:val="left"/>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我司确认上述条款内容无误，如发生违规行为，愿按照上述条款执行！</w:t>
            </w:r>
          </w:p>
        </w:tc>
        <w:tc>
          <w:tcPr>
            <w:tcW w:w="2303" w:type="dxa"/>
            <w:tcBorders>
              <w:top w:val="nil"/>
              <w:left w:val="nil"/>
              <w:bottom w:val="nil"/>
              <w:right w:val="nil"/>
            </w:tcBorders>
            <w:shd w:val="clear" w:color="auto" w:fill="auto"/>
            <w:vAlign w:val="center"/>
          </w:tcPr>
          <w:p w14:paraId="72B37A00">
            <w:pPr>
              <w:spacing w:line="240" w:lineRule="auto"/>
              <w:jc w:val="center"/>
              <w:outlineLvl w:val="9"/>
              <w:rPr>
                <w:rFonts w:hint="eastAsia" w:ascii="宋体" w:hAnsi="宋体" w:eastAsia="宋体" w:cs="宋体"/>
                <w:i w:val="0"/>
                <w:iCs w:val="0"/>
                <w:color w:val="auto"/>
                <w:sz w:val="20"/>
                <w:szCs w:val="20"/>
                <w:highlight w:val="none"/>
                <w:u w:val="none"/>
              </w:rPr>
            </w:pPr>
          </w:p>
        </w:tc>
      </w:tr>
      <w:tr w14:paraId="038BB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6121" w:type="dxa"/>
            <w:gridSpan w:val="3"/>
            <w:tcBorders>
              <w:top w:val="nil"/>
              <w:left w:val="nil"/>
              <w:bottom w:val="nil"/>
              <w:right w:val="nil"/>
            </w:tcBorders>
            <w:shd w:val="clear" w:color="auto" w:fill="auto"/>
            <w:vAlign w:val="center"/>
          </w:tcPr>
          <w:p w14:paraId="05A1910F">
            <w:pPr>
              <w:keepNext w:val="0"/>
              <w:keepLines w:val="0"/>
              <w:widowControl/>
              <w:suppressLineNumbers w:val="0"/>
              <w:spacing w:line="240" w:lineRule="auto"/>
              <w:jc w:val="left"/>
              <w:textAlignment w:val="center"/>
              <w:outlineLvl w:val="9"/>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运输单位签字（盖章）/日期：</w:t>
            </w:r>
          </w:p>
        </w:tc>
        <w:tc>
          <w:tcPr>
            <w:tcW w:w="2303" w:type="dxa"/>
            <w:tcBorders>
              <w:top w:val="nil"/>
              <w:left w:val="nil"/>
              <w:bottom w:val="nil"/>
              <w:right w:val="nil"/>
            </w:tcBorders>
            <w:shd w:val="clear" w:color="auto" w:fill="auto"/>
            <w:vAlign w:val="center"/>
          </w:tcPr>
          <w:p w14:paraId="080E3703">
            <w:pPr>
              <w:spacing w:line="240" w:lineRule="auto"/>
              <w:jc w:val="center"/>
              <w:outlineLvl w:val="9"/>
              <w:rPr>
                <w:rFonts w:hint="eastAsia" w:ascii="宋体" w:hAnsi="宋体" w:eastAsia="宋体" w:cs="宋体"/>
                <w:i w:val="0"/>
                <w:iCs w:val="0"/>
                <w:color w:val="auto"/>
                <w:sz w:val="20"/>
                <w:szCs w:val="20"/>
                <w:highlight w:val="none"/>
                <w:u w:val="none"/>
              </w:rPr>
            </w:pPr>
          </w:p>
        </w:tc>
      </w:tr>
    </w:tbl>
    <w:p w14:paraId="0324C508">
      <w:pPr>
        <w:jc w:val="left"/>
        <w:outlineLvl w:val="9"/>
        <w:rPr>
          <w:rFonts w:ascii="黑体" w:eastAsia="黑体"/>
          <w:color w:val="auto"/>
          <w:sz w:val="28"/>
          <w:szCs w:val="28"/>
          <w:highlight w:val="none"/>
        </w:rPr>
        <w:sectPr>
          <w:pgSz w:w="11906" w:h="16838"/>
          <w:pgMar w:top="1418"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6FF7C4A">
      <w:pPr>
        <w:jc w:val="left"/>
        <w:outlineLvl w:val="9"/>
        <w:rPr>
          <w:rFonts w:hint="eastAsia" w:cs="Times New Roman"/>
          <w:b/>
          <w:color w:val="auto"/>
          <w:szCs w:val="21"/>
          <w:highlight w:val="none"/>
          <w:lang w:val="en-US" w:eastAsia="zh-CN"/>
        </w:rPr>
      </w:pPr>
      <w:bookmarkStart w:id="350" w:name="_Toc5040"/>
      <w:bookmarkStart w:id="351" w:name="_Toc14538"/>
      <w:bookmarkStart w:id="352" w:name="_Toc12706"/>
      <w:bookmarkStart w:id="353" w:name="_Toc7791"/>
      <w:bookmarkStart w:id="354" w:name="_Toc25598"/>
      <w:bookmarkStart w:id="355" w:name="_Toc10438"/>
      <w:bookmarkStart w:id="356" w:name="_Toc4173"/>
      <w:bookmarkStart w:id="357" w:name="_Toc12575"/>
      <w:bookmarkStart w:id="358" w:name="_Toc27175"/>
      <w:bookmarkStart w:id="359" w:name="_Toc27082"/>
      <w:bookmarkStart w:id="360" w:name="_Toc27588"/>
      <w:bookmarkStart w:id="361" w:name="_Toc30359"/>
      <w:r>
        <w:rPr>
          <w:rFonts w:hint="eastAsia" w:ascii="宋体" w:hAnsi="宋体"/>
          <w:b/>
          <w:color w:val="auto"/>
          <w:sz w:val="21"/>
          <w:szCs w:val="21"/>
          <w:highlight w:val="none"/>
          <w:lang w:val="en-US" w:eastAsia="zh-CN"/>
        </w:rPr>
        <w:t>合同</w:t>
      </w:r>
      <w:r>
        <w:rPr>
          <w:rFonts w:ascii="Times New Roman" w:hAnsi="Times New Roman" w:cs="Times New Roman"/>
          <w:b/>
          <w:color w:val="auto"/>
          <w:szCs w:val="21"/>
          <w:highlight w:val="none"/>
        </w:rPr>
        <w:t>附件</w:t>
      </w:r>
      <w:r>
        <w:rPr>
          <w:rFonts w:hint="eastAsia" w:cs="Times New Roman"/>
          <w:b/>
          <w:color w:val="auto"/>
          <w:szCs w:val="21"/>
          <w:highlight w:val="none"/>
          <w:lang w:val="en-US" w:eastAsia="zh-CN"/>
        </w:rPr>
        <w:t>6</w:t>
      </w:r>
      <w:r>
        <w:rPr>
          <w:rFonts w:ascii="Times New Roman" w:hAnsi="Times New Roman" w:cs="Times New Roman"/>
          <w:b/>
          <w:color w:val="auto"/>
          <w:szCs w:val="21"/>
          <w:highlight w:val="none"/>
        </w:rPr>
        <w:t>《</w:t>
      </w:r>
      <w:r>
        <w:rPr>
          <w:rFonts w:hint="eastAsia" w:cs="Times New Roman"/>
          <w:b/>
          <w:color w:val="auto"/>
          <w:szCs w:val="21"/>
          <w:highlight w:val="none"/>
          <w:lang w:val="en-US" w:eastAsia="zh-CN"/>
        </w:rPr>
        <w:t>运输商季度考核评分表》</w:t>
      </w:r>
      <w:bookmarkEnd w:id="350"/>
      <w:bookmarkEnd w:id="351"/>
      <w:bookmarkEnd w:id="352"/>
      <w:bookmarkEnd w:id="353"/>
      <w:bookmarkEnd w:id="354"/>
      <w:bookmarkEnd w:id="355"/>
      <w:bookmarkEnd w:id="356"/>
      <w:bookmarkEnd w:id="357"/>
      <w:bookmarkEnd w:id="358"/>
      <w:bookmarkEnd w:id="359"/>
      <w:bookmarkEnd w:id="360"/>
      <w:bookmarkEnd w:id="361"/>
    </w:p>
    <w:p w14:paraId="389B2AB7">
      <w:pPr>
        <w:jc w:val="left"/>
        <w:outlineLvl w:val="9"/>
        <w:rPr>
          <w:rFonts w:hint="eastAsia" w:cs="Times New Roman"/>
          <w:b/>
          <w:color w:val="auto"/>
          <w:szCs w:val="21"/>
          <w:highlight w:val="none"/>
          <w:lang w:val="en-US" w:eastAsia="zh-CN"/>
        </w:rPr>
      </w:pPr>
      <w:r>
        <w:rPr>
          <w:rFonts w:hint="eastAsia" w:ascii="方正小标宋简体" w:hAnsi="方正小标宋简体" w:eastAsia="方正小标宋简体" w:cs="方正小标宋简体"/>
          <w:color w:val="auto"/>
          <w:sz w:val="28"/>
          <w:szCs w:val="22"/>
          <w:highlight w:val="none"/>
          <w:lang w:val="en-US"/>
        </w:rPr>
        <w:drawing>
          <wp:inline distT="0" distB="0" distL="114300" distR="114300">
            <wp:extent cx="1275080" cy="429895"/>
            <wp:effectExtent l="0" t="0" r="1270" b="0"/>
            <wp:docPr id="10" name="图片 10" descr="东实环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东实环境logo"/>
                    <pic:cNvPicPr>
                      <a:picLocks noChangeAspect="1"/>
                    </pic:cNvPicPr>
                  </pic:nvPicPr>
                  <pic:blipFill>
                    <a:blip r:embed="rId16"/>
                    <a:stretch>
                      <a:fillRect/>
                    </a:stretch>
                  </pic:blipFill>
                  <pic:spPr>
                    <a:xfrm>
                      <a:off x="0" y="0"/>
                      <a:ext cx="1275080" cy="429895"/>
                    </a:xfrm>
                    <a:prstGeom prst="rect">
                      <a:avLst/>
                    </a:prstGeom>
                    <a:noFill/>
                    <a:ln>
                      <a:noFill/>
                    </a:ln>
                  </pic:spPr>
                </pic:pic>
              </a:graphicData>
            </a:graphic>
          </wp:inline>
        </w:drawing>
      </w:r>
    </w:p>
    <w:tbl>
      <w:tblPr>
        <w:tblStyle w:val="30"/>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426"/>
        <w:gridCol w:w="396"/>
        <w:gridCol w:w="259"/>
        <w:gridCol w:w="3737"/>
        <w:gridCol w:w="939"/>
        <w:gridCol w:w="486"/>
        <w:gridCol w:w="397"/>
        <w:gridCol w:w="319"/>
        <w:gridCol w:w="1560"/>
      </w:tblGrid>
      <w:tr w14:paraId="7A7AD9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4" w:hRule="atLeast"/>
          <w:jc w:val="center"/>
        </w:trPr>
        <w:tc>
          <w:tcPr>
            <w:tcW w:w="5000" w:type="pct"/>
            <w:gridSpan w:val="9"/>
            <w:noWrap w:val="0"/>
            <w:vAlign w:val="center"/>
          </w:tcPr>
          <w:p w14:paraId="03A35957">
            <w:pPr>
              <w:spacing w:line="240" w:lineRule="auto"/>
              <w:jc w:val="center"/>
              <w:outlineLvl w:val="9"/>
              <w:rPr>
                <w:rFonts w:hint="eastAsia" w:ascii="方正小标宋简体" w:hAnsi="方正小标宋简体" w:eastAsia="方正小标宋简体" w:cs="方正小标宋简体"/>
                <w:color w:val="auto"/>
                <w:sz w:val="28"/>
                <w:szCs w:val="28"/>
                <w:highlight w:val="none"/>
              </w:rPr>
            </w:pPr>
            <w:r>
              <w:rPr>
                <w:rFonts w:hint="eastAsia" w:ascii="方正小标宋简体" w:hAnsi="方正小标宋简体" w:eastAsia="方正小标宋简体" w:cs="方正小标宋简体"/>
                <w:color w:val="auto"/>
                <w:sz w:val="28"/>
                <w:szCs w:val="28"/>
                <w:highlight w:val="none"/>
                <w:lang w:val="en-US"/>
              </w:rPr>
              <w:t>东莞市新东欣环保投资</w:t>
            </w:r>
            <w:r>
              <w:rPr>
                <w:rFonts w:hint="eastAsia" w:ascii="方正小标宋简体" w:hAnsi="方正小标宋简体" w:eastAsia="方正小标宋简体" w:cs="方正小标宋简体"/>
                <w:color w:val="auto"/>
                <w:sz w:val="28"/>
                <w:szCs w:val="28"/>
                <w:highlight w:val="none"/>
              </w:rPr>
              <w:t>有限公司</w:t>
            </w:r>
          </w:p>
          <w:p w14:paraId="7BE9EEC1">
            <w:pPr>
              <w:spacing w:line="240" w:lineRule="auto"/>
              <w:jc w:val="center"/>
              <w:outlineLvl w:val="9"/>
              <w:rPr>
                <w:rFonts w:eastAsia="宋体" w:cs="Arial"/>
                <w:color w:val="auto"/>
                <w:sz w:val="18"/>
                <w:szCs w:val="18"/>
                <w:highlight w:val="none"/>
                <w:lang w:val="fr-FR"/>
              </w:rPr>
            </w:pPr>
            <w:r>
              <w:rPr>
                <w:rFonts w:ascii="Times New Roman" w:hAnsi="Times New Roman" w:eastAsia="宋体"/>
                <w:color w:val="auto"/>
                <w:sz w:val="18"/>
                <w:szCs w:val="18"/>
                <w:highlight w:val="none"/>
                <w:lang w:val="en-US"/>
              </w:rPr>
              <w:t>Dongguan Xin Dongxin Environmental Protection Investment</w:t>
            </w:r>
            <w:r>
              <w:rPr>
                <w:rFonts w:ascii="Times New Roman" w:hAnsi="Times New Roman" w:eastAsia="宋体"/>
                <w:color w:val="auto"/>
                <w:sz w:val="18"/>
                <w:szCs w:val="18"/>
                <w:highlight w:val="none"/>
                <w:lang w:val="fr-FR"/>
              </w:rPr>
              <w:t xml:space="preserve"> Co., Ltd.</w:t>
            </w:r>
          </w:p>
        </w:tc>
      </w:tr>
      <w:tr w14:paraId="0F3D15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7" w:hRule="atLeast"/>
          <w:jc w:val="center"/>
        </w:trPr>
        <w:tc>
          <w:tcPr>
            <w:tcW w:w="5000" w:type="pct"/>
            <w:gridSpan w:val="9"/>
            <w:noWrap w:val="0"/>
            <w:vAlign w:val="center"/>
          </w:tcPr>
          <w:p w14:paraId="786A07DF">
            <w:pPr>
              <w:spacing w:line="240" w:lineRule="auto"/>
              <w:jc w:val="center"/>
              <w:outlineLvl w:val="9"/>
              <w:rPr>
                <w:rFonts w:ascii="Times New Roman" w:hAnsi="Times New Roman" w:eastAsia="宋体"/>
                <w:color w:val="auto"/>
                <w:sz w:val="18"/>
                <w:szCs w:val="18"/>
                <w:highlight w:val="none"/>
                <w:lang w:val="en-US"/>
              </w:rPr>
            </w:pPr>
            <w:r>
              <w:rPr>
                <w:rFonts w:hint="eastAsia" w:ascii="宋体" w:hAnsi="宋体" w:eastAsia="宋体"/>
                <w:color w:val="auto"/>
                <w:sz w:val="21"/>
                <w:szCs w:val="21"/>
                <w:highlight w:val="none"/>
              </w:rPr>
              <w:t>运输商季度考核评分表</w:t>
            </w:r>
          </w:p>
        </w:tc>
      </w:tr>
      <w:tr w14:paraId="24B4B6F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4"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1B4BF7EF">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考核目的</w:t>
            </w:r>
          </w:p>
        </w:tc>
        <w:tc>
          <w:tcPr>
            <w:tcW w:w="4365" w:type="pct"/>
            <w:gridSpan w:val="6"/>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C4A07E">
            <w:pPr>
              <w:overflowPunct/>
              <w:autoSpaceDE/>
              <w:autoSpaceDN/>
              <w:adjustRightInd/>
              <w:spacing w:line="320" w:lineRule="exact"/>
              <w:ind w:right="-380" w:rightChars="-181"/>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为规范运输商管理，督促运输商提高运输服务质量制定本考核评分表；</w:t>
            </w:r>
          </w:p>
        </w:tc>
      </w:tr>
      <w:tr w14:paraId="31C414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4"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39AC0761">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考核分级</w:t>
            </w:r>
          </w:p>
        </w:tc>
        <w:tc>
          <w:tcPr>
            <w:tcW w:w="4365" w:type="pct"/>
            <w:gridSpan w:val="6"/>
            <w:tcBorders>
              <w:top w:val="single" w:color="auto" w:sz="4" w:space="0"/>
              <w:left w:val="single" w:color="auto" w:sz="4" w:space="0"/>
              <w:bottom w:val="single" w:color="auto" w:sz="4" w:space="0"/>
              <w:right w:val="single" w:color="auto" w:sz="4" w:space="0"/>
            </w:tcBorders>
            <w:shd w:val="clear" w:color="auto" w:fill="FFFFFF"/>
            <w:noWrap w:val="0"/>
            <w:vAlign w:val="center"/>
          </w:tcPr>
          <w:p w14:paraId="1C0CC573">
            <w:pPr>
              <w:overflowPunct/>
              <w:autoSpaceDE/>
              <w:adjustRightInd/>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总体评分</w:t>
            </w:r>
          </w:p>
          <w:p w14:paraId="31F59450">
            <w:pPr>
              <w:overflowPunct/>
              <w:autoSpaceDE/>
              <w:adjustRightInd/>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A级：考评得分＞80分</w:t>
            </w:r>
          </w:p>
          <w:p w14:paraId="4CC5E337">
            <w:pPr>
              <w:overflowPunct/>
              <w:autoSpaceDE/>
              <w:adjustRightInd/>
              <w:rPr>
                <w:rFonts w:hint="eastAsia" w:ascii="宋体" w:hAnsi="宋体" w:eastAsia="宋体" w:cs="宋体"/>
                <w:color w:val="auto"/>
                <w:sz w:val="18"/>
                <w:szCs w:val="18"/>
                <w:highlight w:val="none"/>
                <w:lang w:val="en-US"/>
              </w:rPr>
            </w:pPr>
            <w:r>
              <w:rPr>
                <w:rFonts w:ascii="宋体" w:hAnsi="宋体" w:eastAsia="宋体" w:cs="宋体"/>
                <w:color w:val="auto"/>
                <w:sz w:val="18"/>
                <w:szCs w:val="18"/>
                <w:highlight w:val="none"/>
                <w:lang w:val="en-US"/>
              </w:rPr>
              <w:t>B</w:t>
            </w:r>
            <w:r>
              <w:rPr>
                <w:rFonts w:hint="eastAsia" w:ascii="宋体" w:hAnsi="宋体" w:eastAsia="宋体" w:cs="宋体"/>
                <w:color w:val="auto"/>
                <w:sz w:val="18"/>
                <w:szCs w:val="18"/>
                <w:highlight w:val="none"/>
                <w:lang w:val="en-US"/>
              </w:rPr>
              <w:t>级：70分＜考评得分≤80分</w:t>
            </w:r>
          </w:p>
          <w:p w14:paraId="7DA209D2">
            <w:pPr>
              <w:overflowPunct/>
              <w:autoSpaceDE/>
              <w:autoSpaceDN/>
              <w:adjustRightInd/>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color w:val="auto"/>
                <w:sz w:val="18"/>
                <w:szCs w:val="18"/>
                <w:highlight w:val="none"/>
                <w:lang w:val="en-US"/>
              </w:rPr>
              <w:t>C级：考评得分≤70分</w:t>
            </w:r>
          </w:p>
        </w:tc>
      </w:tr>
      <w:tr w14:paraId="1BD90EE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4"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1B2828DD">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考核细则</w:t>
            </w:r>
          </w:p>
        </w:tc>
        <w:tc>
          <w:tcPr>
            <w:tcW w:w="4365" w:type="pct"/>
            <w:gridSpan w:val="6"/>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BDF421">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季度考核评分级别为B级，扣除运输款项1</w:t>
            </w:r>
            <w:r>
              <w:rPr>
                <w:rFonts w:ascii="宋体" w:hAnsi="宋体" w:eastAsia="宋体" w:cs="宋体"/>
                <w:color w:val="auto"/>
                <w:sz w:val="18"/>
                <w:szCs w:val="18"/>
                <w:highlight w:val="none"/>
                <w:lang w:val="en-US"/>
              </w:rPr>
              <w:t>000</w:t>
            </w:r>
            <w:r>
              <w:rPr>
                <w:rFonts w:hint="eastAsia" w:ascii="宋体" w:hAnsi="宋体" w:eastAsia="宋体" w:cs="宋体"/>
                <w:color w:val="auto"/>
                <w:sz w:val="18"/>
                <w:szCs w:val="18"/>
                <w:highlight w:val="none"/>
                <w:lang w:val="en-US"/>
              </w:rPr>
              <w:t>元，并在最近的一个月的运输费对账中进行扣减；</w:t>
            </w:r>
          </w:p>
          <w:p w14:paraId="2C28B267">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连续2个季度评分为B级，降低其派单数量；</w:t>
            </w:r>
          </w:p>
          <w:p w14:paraId="23F0F30B">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季度考核评分级别为C级，经评分部门评估，可解除《运输服务合同》；</w:t>
            </w:r>
          </w:p>
          <w:p w14:paraId="1A0298EF">
            <w:pPr>
              <w:numPr>
                <w:ilvl w:val="0"/>
                <w:numId w:val="1"/>
              </w:num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不同评分部门对同一件事不重复扣分，同一考核扣分事件适用多条考核标准时以最严厉考核标准扣分且</w:t>
            </w:r>
          </w:p>
          <w:p w14:paraId="3C91BB30">
            <w:pPr>
              <w:overflowPunct/>
              <w:autoSpaceDE/>
              <w:autoSpaceDN/>
              <w:adjustRightInd/>
              <w:spacing w:line="320" w:lineRule="exact"/>
              <w:ind w:right="-380" w:rightChars="-181"/>
              <w:jc w:val="both"/>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不重复扣分。</w:t>
            </w:r>
          </w:p>
        </w:tc>
      </w:tr>
      <w:tr w14:paraId="53BAE2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634" w:type="pct"/>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5862B2D6">
            <w:pPr>
              <w:overflowPunct/>
              <w:autoSpaceDE/>
              <w:autoSpaceDN/>
              <w:adjustRightInd/>
              <w:spacing w:line="320" w:lineRule="exact"/>
              <w:ind w:right="-380" w:rightChars="-181"/>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运输单位</w:t>
            </w:r>
          </w:p>
        </w:tc>
        <w:tc>
          <w:tcPr>
            <w:tcW w:w="2744"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6D6776">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p>
        </w:tc>
        <w:tc>
          <w:tcPr>
            <w:tcW w:w="706" w:type="pct"/>
            <w:gridSpan w:val="3"/>
            <w:tcBorders>
              <w:top w:val="single" w:color="auto" w:sz="4" w:space="0"/>
              <w:left w:val="single" w:color="auto" w:sz="4" w:space="0"/>
              <w:bottom w:val="single" w:color="auto" w:sz="4" w:space="0"/>
              <w:right w:val="single" w:color="auto" w:sz="4" w:space="0"/>
            </w:tcBorders>
            <w:shd w:val="clear" w:color="auto" w:fill="FFFFFF"/>
            <w:noWrap w:val="0"/>
            <w:vAlign w:val="center"/>
          </w:tcPr>
          <w:p w14:paraId="4A4F181F">
            <w:pPr>
              <w:overflowPunct/>
              <w:autoSpaceDE/>
              <w:autoSpaceDN/>
              <w:adjustRightInd/>
              <w:spacing w:line="320" w:lineRule="exact"/>
              <w:ind w:right="-380" w:rightChars="-181"/>
              <w:jc w:val="both"/>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考核周期</w:t>
            </w:r>
          </w:p>
        </w:tc>
        <w:tc>
          <w:tcPr>
            <w:tcW w:w="9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D1A54D">
            <w:pPr>
              <w:overflowPunct/>
              <w:autoSpaceDE/>
              <w:autoSpaceDN/>
              <w:adjustRightInd/>
              <w:spacing w:line="320" w:lineRule="exact"/>
              <w:ind w:right="-380" w:rightChars="-181"/>
              <w:textAlignment w:val="auto"/>
              <w:rPr>
                <w:rFonts w:hint="eastAsia" w:ascii="宋体" w:hAnsi="宋体" w:eastAsia="宋体" w:cs="宋体"/>
                <w:b/>
                <w:bCs/>
                <w:color w:val="auto"/>
                <w:sz w:val="18"/>
                <w:szCs w:val="18"/>
                <w:highlight w:val="none"/>
                <w:lang w:val="en-US"/>
              </w:rPr>
            </w:pPr>
          </w:p>
        </w:tc>
      </w:tr>
      <w:tr w14:paraId="71FE2B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75" w:hRule="atLeas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C0C0C0"/>
            <w:noWrap/>
            <w:vAlign w:val="center"/>
          </w:tcPr>
          <w:p w14:paraId="2332CA0B">
            <w:pPr>
              <w:overflowPunct/>
              <w:autoSpaceDE/>
              <w:autoSpaceDN/>
              <w:adjustRightInd/>
              <w:spacing w:line="320" w:lineRule="exact"/>
              <w:ind w:right="-380" w:rightChars="-181"/>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A.考核内容</w:t>
            </w:r>
          </w:p>
        </w:tc>
      </w:tr>
      <w:tr w14:paraId="3147F2B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5" w:hRule="atLeast"/>
          <w:jc w:val="center"/>
        </w:trPr>
        <w:tc>
          <w:tcPr>
            <w:tcW w:w="2827" w:type="pct"/>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629491FC">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评分项目</w:t>
            </w:r>
          </w:p>
        </w:tc>
        <w:tc>
          <w:tcPr>
            <w:tcW w:w="551" w:type="pct"/>
            <w:tcBorders>
              <w:top w:val="nil"/>
              <w:left w:val="nil"/>
              <w:bottom w:val="single" w:color="auto" w:sz="4" w:space="0"/>
              <w:right w:val="single" w:color="auto" w:sz="4" w:space="0"/>
            </w:tcBorders>
            <w:shd w:val="clear" w:color="auto" w:fill="FFFFFF"/>
            <w:noWrap/>
            <w:vAlign w:val="center"/>
          </w:tcPr>
          <w:p w14:paraId="1FC6C46A">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评分部门</w:t>
            </w:r>
          </w:p>
        </w:tc>
        <w:tc>
          <w:tcPr>
            <w:tcW w:w="285" w:type="pct"/>
            <w:tcBorders>
              <w:top w:val="nil"/>
              <w:left w:val="nil"/>
              <w:bottom w:val="single" w:color="auto" w:sz="4" w:space="0"/>
              <w:right w:val="single" w:color="auto" w:sz="4" w:space="0"/>
            </w:tcBorders>
            <w:shd w:val="clear" w:color="auto" w:fill="FFFFFF"/>
            <w:noWrap w:val="0"/>
            <w:vAlign w:val="center"/>
          </w:tcPr>
          <w:p w14:paraId="61ADD986">
            <w:pPr>
              <w:overflowPunct/>
              <w:autoSpaceDE/>
              <w:autoSpaceDN/>
              <w:adjustRightInd/>
              <w:spacing w:line="320" w:lineRule="exact"/>
              <w:jc w:val="center"/>
              <w:textAlignment w:val="auto"/>
              <w:rPr>
                <w:rFonts w:hint="eastAsia"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分值</w:t>
            </w:r>
          </w:p>
        </w:tc>
        <w:tc>
          <w:tcPr>
            <w:tcW w:w="233" w:type="pct"/>
            <w:tcBorders>
              <w:top w:val="nil"/>
              <w:left w:val="nil"/>
              <w:bottom w:val="single" w:color="auto" w:sz="4" w:space="0"/>
              <w:right w:val="single" w:color="auto" w:sz="4" w:space="0"/>
            </w:tcBorders>
            <w:shd w:val="clear" w:color="auto" w:fill="FFFFFF"/>
            <w:noWrap w:val="0"/>
            <w:vAlign w:val="center"/>
          </w:tcPr>
          <w:p w14:paraId="6EB16ED8">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得分</w:t>
            </w:r>
          </w:p>
        </w:tc>
        <w:tc>
          <w:tcPr>
            <w:tcW w:w="1102" w:type="pct"/>
            <w:gridSpan w:val="2"/>
            <w:tcBorders>
              <w:top w:val="nil"/>
              <w:left w:val="nil"/>
              <w:bottom w:val="single" w:color="auto" w:sz="4" w:space="0"/>
              <w:right w:val="single" w:color="auto" w:sz="4" w:space="0"/>
            </w:tcBorders>
            <w:shd w:val="clear" w:color="auto" w:fill="FFFFFF"/>
            <w:noWrap/>
            <w:vAlign w:val="center"/>
          </w:tcPr>
          <w:p w14:paraId="61F1D021">
            <w:pPr>
              <w:overflowPunct/>
              <w:autoSpaceDE/>
              <w:autoSpaceDN/>
              <w:adjustRightInd/>
              <w:spacing w:line="320" w:lineRule="exact"/>
              <w:jc w:val="center"/>
              <w:textAlignment w:val="auto"/>
              <w:rPr>
                <w:rFonts w:ascii="宋体" w:hAnsi="宋体" w:eastAsia="宋体" w:cs="宋体"/>
                <w:b/>
                <w:bCs/>
                <w:color w:val="auto"/>
                <w:sz w:val="18"/>
                <w:szCs w:val="18"/>
                <w:highlight w:val="none"/>
                <w:lang w:val="en-US"/>
              </w:rPr>
            </w:pPr>
            <w:r>
              <w:rPr>
                <w:rFonts w:hint="eastAsia" w:ascii="宋体" w:hAnsi="宋体" w:eastAsia="宋体" w:cs="宋体"/>
                <w:b/>
                <w:bCs/>
                <w:color w:val="auto"/>
                <w:sz w:val="18"/>
                <w:szCs w:val="18"/>
                <w:highlight w:val="none"/>
                <w:lang w:val="en-US"/>
              </w:rPr>
              <w:t>评分说明</w:t>
            </w:r>
          </w:p>
        </w:tc>
      </w:tr>
      <w:tr w14:paraId="414C3EE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35" w:hRule="atLeast"/>
          <w:jc w:val="center"/>
        </w:trPr>
        <w:tc>
          <w:tcPr>
            <w:tcW w:w="250" w:type="pct"/>
            <w:vMerge w:val="restart"/>
            <w:tcBorders>
              <w:top w:val="nil"/>
              <w:left w:val="single" w:color="auto" w:sz="4" w:space="0"/>
              <w:right w:val="single" w:color="auto" w:sz="4" w:space="0"/>
            </w:tcBorders>
            <w:noWrap w:val="0"/>
            <w:vAlign w:val="center"/>
          </w:tcPr>
          <w:p w14:paraId="3F2A4CE6">
            <w:pPr>
              <w:jc w:val="center"/>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安全环保</w:t>
            </w:r>
          </w:p>
        </w:tc>
        <w:tc>
          <w:tcPr>
            <w:tcW w:w="232" w:type="pct"/>
            <w:tcBorders>
              <w:top w:val="nil"/>
              <w:left w:val="nil"/>
              <w:bottom w:val="single" w:color="auto" w:sz="4" w:space="0"/>
              <w:right w:val="single" w:color="auto" w:sz="4" w:space="0"/>
            </w:tcBorders>
            <w:noWrap w:val="0"/>
            <w:vAlign w:val="center"/>
          </w:tcPr>
          <w:p w14:paraId="3E0231A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w:t>
            </w:r>
          </w:p>
        </w:tc>
        <w:tc>
          <w:tcPr>
            <w:tcW w:w="2345" w:type="pct"/>
            <w:gridSpan w:val="2"/>
            <w:tcBorders>
              <w:top w:val="nil"/>
              <w:left w:val="nil"/>
              <w:bottom w:val="single" w:color="auto" w:sz="4" w:space="0"/>
              <w:right w:val="single" w:color="auto" w:sz="4" w:space="0"/>
            </w:tcBorders>
            <w:noWrap w:val="0"/>
            <w:vAlign w:val="center"/>
          </w:tcPr>
          <w:p w14:paraId="6059DF54">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在“客户现场、运输途中、新东欣公司”发生</w:t>
            </w:r>
            <w:r>
              <w:rPr>
                <w:rFonts w:hint="eastAsia" w:ascii="宋体" w:hAnsi="宋体" w:cs="宋体"/>
                <w:color w:val="auto"/>
                <w:sz w:val="18"/>
                <w:szCs w:val="18"/>
                <w:highlight w:val="none"/>
                <w:lang w:val="en-US" w:eastAsia="zh-CN"/>
              </w:rPr>
              <w:t>泄漏</w:t>
            </w:r>
            <w:r>
              <w:rPr>
                <w:rFonts w:hint="eastAsia" w:ascii="宋体" w:hAnsi="宋体" w:eastAsia="宋体" w:cs="宋体"/>
                <w:color w:val="auto"/>
                <w:sz w:val="18"/>
                <w:szCs w:val="18"/>
                <w:highlight w:val="none"/>
                <w:lang w:val="en-US"/>
              </w:rPr>
              <w:t>。</w:t>
            </w:r>
          </w:p>
        </w:tc>
        <w:tc>
          <w:tcPr>
            <w:tcW w:w="551" w:type="pct"/>
            <w:tcBorders>
              <w:top w:val="nil"/>
              <w:left w:val="nil"/>
              <w:bottom w:val="single" w:color="auto" w:sz="4" w:space="0"/>
              <w:right w:val="single" w:color="auto" w:sz="4" w:space="0"/>
            </w:tcBorders>
            <w:noWrap w:val="0"/>
            <w:vAlign w:val="center"/>
          </w:tcPr>
          <w:p w14:paraId="38C3847E">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rPr>
              <w:t>市场</w:t>
            </w:r>
            <w:r>
              <w:rPr>
                <w:rFonts w:hint="eastAsia" w:ascii="宋体" w:hAnsi="宋体" w:eastAsia="宋体" w:cs="宋体"/>
                <w:color w:val="auto"/>
                <w:sz w:val="18"/>
                <w:szCs w:val="18"/>
                <w:highlight w:val="none"/>
                <w:lang w:val="en-US" w:eastAsia="zh-CN"/>
              </w:rPr>
              <w:t>中心</w:t>
            </w:r>
          </w:p>
          <w:p w14:paraId="41F9A02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rPr>
              <w:t>物控</w:t>
            </w:r>
            <w:r>
              <w:rPr>
                <w:rFonts w:hint="eastAsia" w:ascii="宋体" w:hAnsi="宋体" w:eastAsia="宋体" w:cs="宋体"/>
                <w:color w:val="auto"/>
                <w:sz w:val="18"/>
                <w:szCs w:val="18"/>
                <w:highlight w:val="none"/>
                <w:lang w:val="en-US" w:eastAsia="zh-CN"/>
              </w:rPr>
              <w:t>车间</w:t>
            </w:r>
          </w:p>
          <w:p w14:paraId="0BED1F35">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1049AA7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1E4D9BB6">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13A77BA6">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104C273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jc w:val="center"/>
        </w:trPr>
        <w:tc>
          <w:tcPr>
            <w:tcW w:w="250" w:type="pct"/>
            <w:vMerge w:val="continue"/>
            <w:tcBorders>
              <w:left w:val="single" w:color="auto" w:sz="4" w:space="0"/>
              <w:right w:val="single" w:color="auto" w:sz="4" w:space="0"/>
            </w:tcBorders>
            <w:noWrap w:val="0"/>
            <w:vAlign w:val="center"/>
          </w:tcPr>
          <w:p w14:paraId="378F90A0">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6F25E92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2</w:t>
            </w:r>
          </w:p>
        </w:tc>
        <w:tc>
          <w:tcPr>
            <w:tcW w:w="2345" w:type="pct"/>
            <w:gridSpan w:val="2"/>
            <w:tcBorders>
              <w:top w:val="nil"/>
              <w:left w:val="nil"/>
              <w:bottom w:val="single" w:color="auto" w:sz="4" w:space="0"/>
              <w:right w:val="single" w:color="auto" w:sz="4" w:space="0"/>
            </w:tcBorders>
            <w:noWrap w:val="0"/>
            <w:vAlign w:val="center"/>
          </w:tcPr>
          <w:p w14:paraId="52FA623A">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在服务过程中发生“人、车、设备、运输的货物”相关的事故。</w:t>
            </w:r>
          </w:p>
        </w:tc>
        <w:tc>
          <w:tcPr>
            <w:tcW w:w="551" w:type="pct"/>
            <w:tcBorders>
              <w:top w:val="nil"/>
              <w:left w:val="nil"/>
              <w:bottom w:val="single" w:color="auto" w:sz="4" w:space="0"/>
              <w:right w:val="single" w:color="auto" w:sz="4" w:space="0"/>
            </w:tcBorders>
            <w:noWrap w:val="0"/>
            <w:vAlign w:val="center"/>
          </w:tcPr>
          <w:p w14:paraId="694A339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17C54EB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77F6BF8B">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04F1A23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287C006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269E210A">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1118D3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0" w:hRule="atLeast"/>
          <w:jc w:val="center"/>
        </w:trPr>
        <w:tc>
          <w:tcPr>
            <w:tcW w:w="250" w:type="pct"/>
            <w:vMerge w:val="continue"/>
            <w:tcBorders>
              <w:left w:val="single" w:color="auto" w:sz="4" w:space="0"/>
              <w:right w:val="single" w:color="auto" w:sz="4" w:space="0"/>
            </w:tcBorders>
            <w:noWrap w:val="0"/>
            <w:vAlign w:val="center"/>
          </w:tcPr>
          <w:p w14:paraId="6259933C">
            <w:pPr>
              <w:jc w:val="center"/>
              <w:rPr>
                <w:rFonts w:hint="eastAsia" w:ascii="宋体" w:hAnsi="宋体" w:eastAsia="宋体" w:cs="宋体"/>
                <w:color w:val="auto"/>
                <w:sz w:val="18"/>
                <w:szCs w:val="18"/>
                <w:highlight w:val="none"/>
                <w:lang w:val="en-US"/>
              </w:rPr>
            </w:pPr>
          </w:p>
        </w:tc>
        <w:tc>
          <w:tcPr>
            <w:tcW w:w="232" w:type="pct"/>
            <w:tcBorders>
              <w:top w:val="single" w:color="auto" w:sz="4" w:space="0"/>
              <w:left w:val="nil"/>
              <w:bottom w:val="single" w:color="auto" w:sz="4" w:space="0"/>
              <w:right w:val="single" w:color="auto" w:sz="4" w:space="0"/>
            </w:tcBorders>
            <w:noWrap w:val="0"/>
            <w:vAlign w:val="center"/>
          </w:tcPr>
          <w:p w14:paraId="3A0504B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3</w:t>
            </w:r>
          </w:p>
        </w:tc>
        <w:tc>
          <w:tcPr>
            <w:tcW w:w="2345" w:type="pct"/>
            <w:gridSpan w:val="2"/>
            <w:tcBorders>
              <w:top w:val="nil"/>
              <w:left w:val="nil"/>
              <w:bottom w:val="single" w:color="auto" w:sz="4" w:space="0"/>
              <w:right w:val="single" w:color="auto" w:sz="4" w:space="0"/>
            </w:tcBorders>
            <w:noWrap w:val="0"/>
            <w:vAlign w:val="center"/>
          </w:tcPr>
          <w:p w14:paraId="60B85219">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在服务过程中未正确佩戴劳保用品。</w:t>
            </w:r>
          </w:p>
        </w:tc>
        <w:tc>
          <w:tcPr>
            <w:tcW w:w="551" w:type="pct"/>
            <w:tcBorders>
              <w:top w:val="nil"/>
              <w:left w:val="nil"/>
              <w:bottom w:val="single" w:color="auto" w:sz="4" w:space="0"/>
              <w:right w:val="single" w:color="auto" w:sz="4" w:space="0"/>
            </w:tcBorders>
            <w:noWrap w:val="0"/>
            <w:vAlign w:val="center"/>
          </w:tcPr>
          <w:p w14:paraId="56FCF9D6">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5EF6EEE5">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0CF835A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0A70CD48">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10DA9886">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00670AC5">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26E7F12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73" w:hRule="atLeast"/>
          <w:jc w:val="center"/>
        </w:trPr>
        <w:tc>
          <w:tcPr>
            <w:tcW w:w="250" w:type="pct"/>
            <w:vMerge w:val="continue"/>
            <w:tcBorders>
              <w:left w:val="single" w:color="auto" w:sz="4" w:space="0"/>
              <w:bottom w:val="single" w:color="000000" w:sz="4" w:space="0"/>
              <w:right w:val="single" w:color="auto" w:sz="4" w:space="0"/>
            </w:tcBorders>
            <w:noWrap w:val="0"/>
            <w:vAlign w:val="center"/>
          </w:tcPr>
          <w:p w14:paraId="360B1D9D">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775F30B3">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4</w:t>
            </w:r>
          </w:p>
        </w:tc>
        <w:tc>
          <w:tcPr>
            <w:tcW w:w="2345" w:type="pct"/>
            <w:gridSpan w:val="2"/>
            <w:tcBorders>
              <w:top w:val="nil"/>
              <w:left w:val="nil"/>
              <w:bottom w:val="nil"/>
              <w:right w:val="nil"/>
            </w:tcBorders>
            <w:noWrap/>
            <w:vAlign w:val="center"/>
          </w:tcPr>
          <w:p w14:paraId="29E07EF4">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服务车辆未配置了合适的消防用品或应急物资。</w:t>
            </w:r>
          </w:p>
        </w:tc>
        <w:tc>
          <w:tcPr>
            <w:tcW w:w="551" w:type="pct"/>
            <w:tcBorders>
              <w:top w:val="nil"/>
              <w:left w:val="single" w:color="auto" w:sz="4" w:space="0"/>
              <w:bottom w:val="single" w:color="auto" w:sz="4" w:space="0"/>
              <w:right w:val="single" w:color="auto" w:sz="4" w:space="0"/>
            </w:tcBorders>
            <w:noWrap w:val="0"/>
            <w:vAlign w:val="center"/>
          </w:tcPr>
          <w:p w14:paraId="6A484FE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6BCF90C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6328985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0AFDF4E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42056CB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3C919A1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未被投诉，每次扣0.5分；被投诉，每次扣1分；</w:t>
            </w:r>
          </w:p>
        </w:tc>
      </w:tr>
      <w:tr w14:paraId="2C049FE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restart"/>
            <w:tcBorders>
              <w:top w:val="nil"/>
              <w:left w:val="single" w:color="auto" w:sz="4" w:space="0"/>
              <w:right w:val="single" w:color="auto" w:sz="4" w:space="0"/>
            </w:tcBorders>
            <w:noWrap w:val="0"/>
            <w:vAlign w:val="center"/>
          </w:tcPr>
          <w:p w14:paraId="3FB6ABE9">
            <w:pPr>
              <w:overflowPunct/>
              <w:autoSpaceDE/>
              <w:autoSpaceDN/>
              <w:adjustRightInd/>
              <w:jc w:val="center"/>
              <w:textAlignment w:val="auto"/>
              <w:rPr>
                <w:rFonts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rPr>
              <w:t>服务质量</w:t>
            </w:r>
          </w:p>
        </w:tc>
        <w:tc>
          <w:tcPr>
            <w:tcW w:w="232" w:type="pct"/>
            <w:tcBorders>
              <w:top w:val="nil"/>
              <w:left w:val="nil"/>
              <w:bottom w:val="single" w:color="auto" w:sz="4" w:space="0"/>
              <w:right w:val="single" w:color="auto" w:sz="4" w:space="0"/>
            </w:tcBorders>
            <w:noWrap w:val="0"/>
            <w:vAlign w:val="center"/>
          </w:tcPr>
          <w:p w14:paraId="666F0C6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45" w:type="pct"/>
            <w:gridSpan w:val="2"/>
            <w:tcBorders>
              <w:top w:val="single" w:color="auto" w:sz="4" w:space="0"/>
              <w:left w:val="nil"/>
              <w:bottom w:val="single" w:color="auto" w:sz="4" w:space="0"/>
              <w:right w:val="single" w:color="auto" w:sz="4" w:space="0"/>
            </w:tcBorders>
            <w:noWrap w:val="0"/>
            <w:vAlign w:val="center"/>
          </w:tcPr>
          <w:p w14:paraId="60D343D0">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因运力不足导致跳单。</w:t>
            </w:r>
          </w:p>
        </w:tc>
        <w:tc>
          <w:tcPr>
            <w:tcW w:w="551" w:type="pct"/>
            <w:tcBorders>
              <w:top w:val="nil"/>
              <w:left w:val="nil"/>
              <w:bottom w:val="single" w:color="auto" w:sz="4" w:space="0"/>
              <w:right w:val="single" w:color="auto" w:sz="4" w:space="0"/>
            </w:tcBorders>
            <w:noWrap w:val="0"/>
            <w:vAlign w:val="center"/>
          </w:tcPr>
          <w:p w14:paraId="663B83D5">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4F48550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02038161">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48AF274B">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每次扣1分；</w:t>
            </w:r>
          </w:p>
        </w:tc>
      </w:tr>
      <w:tr w14:paraId="5BAD4A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69D4870A">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7B9A7793">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6</w:t>
            </w:r>
          </w:p>
        </w:tc>
        <w:tc>
          <w:tcPr>
            <w:tcW w:w="2345" w:type="pct"/>
            <w:gridSpan w:val="2"/>
            <w:tcBorders>
              <w:top w:val="nil"/>
              <w:left w:val="nil"/>
              <w:bottom w:val="single" w:color="auto" w:sz="4" w:space="0"/>
              <w:right w:val="single" w:color="auto" w:sz="4" w:space="0"/>
            </w:tcBorders>
            <w:noWrap w:val="0"/>
            <w:vAlign w:val="center"/>
          </w:tcPr>
          <w:p w14:paraId="52E5A70F">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正常派单情况下，未按时响应新东欣派单计划。</w:t>
            </w:r>
          </w:p>
        </w:tc>
        <w:tc>
          <w:tcPr>
            <w:tcW w:w="551" w:type="pct"/>
            <w:tcBorders>
              <w:top w:val="nil"/>
              <w:left w:val="nil"/>
              <w:bottom w:val="single" w:color="auto" w:sz="4" w:space="0"/>
              <w:right w:val="single" w:color="auto" w:sz="4" w:space="0"/>
            </w:tcBorders>
            <w:noWrap w:val="0"/>
            <w:vAlign w:val="center"/>
          </w:tcPr>
          <w:p w14:paraId="25ABF14D">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0D7A7280">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70E36F6F">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58A55356">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不按时，每次扣0.5分；</w:t>
            </w:r>
          </w:p>
        </w:tc>
      </w:tr>
      <w:tr w14:paraId="49730E0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6B0DF20C">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5E41497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7</w:t>
            </w:r>
          </w:p>
        </w:tc>
        <w:tc>
          <w:tcPr>
            <w:tcW w:w="2345" w:type="pct"/>
            <w:gridSpan w:val="2"/>
            <w:tcBorders>
              <w:top w:val="nil"/>
              <w:left w:val="nil"/>
              <w:bottom w:val="single" w:color="auto" w:sz="4" w:space="0"/>
              <w:right w:val="single" w:color="auto" w:sz="4" w:space="0"/>
            </w:tcBorders>
            <w:noWrap w:val="0"/>
            <w:vAlign w:val="center"/>
          </w:tcPr>
          <w:p w14:paraId="599D7830">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未按约定时间抵达客户现场，且未与客户提供沟通取得同意，导致客户投诉的</w:t>
            </w:r>
          </w:p>
        </w:tc>
        <w:tc>
          <w:tcPr>
            <w:tcW w:w="551" w:type="pct"/>
            <w:tcBorders>
              <w:top w:val="nil"/>
              <w:left w:val="nil"/>
              <w:bottom w:val="single" w:color="auto" w:sz="4" w:space="0"/>
              <w:right w:val="single" w:color="auto" w:sz="4" w:space="0"/>
            </w:tcBorders>
            <w:noWrap w:val="0"/>
            <w:vAlign w:val="center"/>
          </w:tcPr>
          <w:p w14:paraId="7A980EC7">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6BEBEDBD">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0AFE86E5">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2CE23302">
            <w:pPr>
              <w:overflowPunct/>
              <w:autoSpaceDE/>
              <w:autoSpaceDN/>
              <w:adjustRightInd/>
              <w:spacing w:line="320" w:lineRule="exact"/>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造成投诉，每次扣1分；</w:t>
            </w:r>
          </w:p>
        </w:tc>
      </w:tr>
      <w:tr w14:paraId="60C6091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0" w:hRule="atLeast"/>
          <w:jc w:val="center"/>
        </w:trPr>
        <w:tc>
          <w:tcPr>
            <w:tcW w:w="250" w:type="pct"/>
            <w:vMerge w:val="continue"/>
            <w:tcBorders>
              <w:left w:val="single" w:color="auto" w:sz="4" w:space="0"/>
              <w:right w:val="single" w:color="auto" w:sz="4" w:space="0"/>
            </w:tcBorders>
            <w:noWrap w:val="0"/>
            <w:vAlign w:val="center"/>
          </w:tcPr>
          <w:p w14:paraId="1B06EC1B">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07D39D7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8</w:t>
            </w:r>
          </w:p>
        </w:tc>
        <w:tc>
          <w:tcPr>
            <w:tcW w:w="2345" w:type="pct"/>
            <w:gridSpan w:val="2"/>
            <w:tcBorders>
              <w:top w:val="nil"/>
              <w:left w:val="nil"/>
              <w:bottom w:val="single" w:color="auto" w:sz="4" w:space="0"/>
              <w:right w:val="single" w:color="auto" w:sz="4" w:space="0"/>
            </w:tcBorders>
            <w:noWrap w:val="0"/>
            <w:vAlign w:val="center"/>
          </w:tcPr>
          <w:p w14:paraId="2BEDBD40">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运输服务过程发生异常情况，未在30分钟内反馈给新东欣调度人员（包括装卸货、数量异常、废物异常、沟通异常等）。</w:t>
            </w:r>
          </w:p>
        </w:tc>
        <w:tc>
          <w:tcPr>
            <w:tcW w:w="551" w:type="pct"/>
            <w:tcBorders>
              <w:top w:val="nil"/>
              <w:left w:val="nil"/>
              <w:bottom w:val="single" w:color="auto" w:sz="4" w:space="0"/>
              <w:right w:val="single" w:color="auto" w:sz="4" w:space="0"/>
            </w:tcBorders>
            <w:noWrap w:val="0"/>
            <w:vAlign w:val="center"/>
          </w:tcPr>
          <w:p w14:paraId="09012AB6">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468B5120">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55A4AA89">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3BB5F4EC">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不及时，每次扣0.5分；不反馈，每次扣1分；</w:t>
            </w:r>
          </w:p>
        </w:tc>
      </w:tr>
      <w:tr w14:paraId="3AF3D5D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49" w:hRule="atLeast"/>
          <w:jc w:val="center"/>
        </w:trPr>
        <w:tc>
          <w:tcPr>
            <w:tcW w:w="250" w:type="pct"/>
            <w:vMerge w:val="continue"/>
            <w:tcBorders>
              <w:left w:val="single" w:color="auto" w:sz="4" w:space="0"/>
              <w:right w:val="single" w:color="auto" w:sz="4" w:space="0"/>
            </w:tcBorders>
            <w:noWrap w:val="0"/>
            <w:vAlign w:val="center"/>
          </w:tcPr>
          <w:p w14:paraId="0E7F43B1">
            <w:pPr>
              <w:overflowPunct/>
              <w:autoSpaceDE/>
              <w:autoSpaceDN/>
              <w:adjustRightInd/>
              <w:spacing w:line="320" w:lineRule="exact"/>
              <w:jc w:val="center"/>
              <w:textAlignment w:val="auto"/>
              <w:rPr>
                <w:rFonts w:ascii="宋体" w:hAnsi="宋体" w:eastAsia="宋体" w:cs="宋体"/>
                <w:color w:val="auto"/>
                <w:sz w:val="21"/>
                <w:szCs w:val="21"/>
                <w:highlight w:val="none"/>
                <w:lang w:val="en-US"/>
              </w:rPr>
            </w:pPr>
          </w:p>
        </w:tc>
        <w:tc>
          <w:tcPr>
            <w:tcW w:w="232" w:type="pct"/>
            <w:tcBorders>
              <w:top w:val="nil"/>
              <w:left w:val="nil"/>
              <w:bottom w:val="single" w:color="auto" w:sz="4" w:space="0"/>
              <w:right w:val="single" w:color="auto" w:sz="4" w:space="0"/>
            </w:tcBorders>
            <w:noWrap w:val="0"/>
            <w:vAlign w:val="center"/>
          </w:tcPr>
          <w:p w14:paraId="55BF888E">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9</w:t>
            </w:r>
          </w:p>
        </w:tc>
        <w:tc>
          <w:tcPr>
            <w:tcW w:w="2345" w:type="pct"/>
            <w:gridSpan w:val="2"/>
            <w:tcBorders>
              <w:top w:val="nil"/>
              <w:left w:val="nil"/>
              <w:bottom w:val="single" w:color="auto" w:sz="4" w:space="0"/>
              <w:right w:val="single" w:color="auto" w:sz="4" w:space="0"/>
            </w:tcBorders>
            <w:noWrap w:val="0"/>
            <w:vAlign w:val="center"/>
          </w:tcPr>
          <w:p w14:paraId="04717151">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运输服务过程态度不佳，与客户或新东欣公司人员发生纠纷、冲突、或被投诉且经调查属实的情况。</w:t>
            </w:r>
          </w:p>
        </w:tc>
        <w:tc>
          <w:tcPr>
            <w:tcW w:w="551" w:type="pct"/>
            <w:tcBorders>
              <w:top w:val="nil"/>
              <w:left w:val="nil"/>
              <w:bottom w:val="single" w:color="auto" w:sz="4" w:space="0"/>
              <w:right w:val="single" w:color="auto" w:sz="4" w:space="0"/>
            </w:tcBorders>
            <w:noWrap w:val="0"/>
            <w:vAlign w:val="center"/>
          </w:tcPr>
          <w:p w14:paraId="33C01B02">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654C5BA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5</w:t>
            </w:r>
          </w:p>
        </w:tc>
        <w:tc>
          <w:tcPr>
            <w:tcW w:w="233" w:type="pct"/>
            <w:tcBorders>
              <w:top w:val="nil"/>
              <w:left w:val="nil"/>
              <w:bottom w:val="single" w:color="auto" w:sz="4" w:space="0"/>
              <w:right w:val="single" w:color="auto" w:sz="4" w:space="0"/>
            </w:tcBorders>
            <w:noWrap w:val="0"/>
            <w:vAlign w:val="center"/>
          </w:tcPr>
          <w:p w14:paraId="733F21D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31DE62A0">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发生每次扣1分</w:t>
            </w:r>
          </w:p>
        </w:tc>
      </w:tr>
      <w:tr w14:paraId="4FCA909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9" w:hRule="atLeast"/>
          <w:jc w:val="center"/>
        </w:trPr>
        <w:tc>
          <w:tcPr>
            <w:tcW w:w="250" w:type="pct"/>
            <w:vMerge w:val="continue"/>
            <w:tcBorders>
              <w:left w:val="single" w:color="auto" w:sz="4" w:space="0"/>
              <w:right w:val="single" w:color="auto" w:sz="4" w:space="0"/>
            </w:tcBorders>
            <w:noWrap w:val="0"/>
            <w:vAlign w:val="center"/>
          </w:tcPr>
          <w:p w14:paraId="7E518782">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4B96500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45" w:type="pct"/>
            <w:gridSpan w:val="2"/>
            <w:tcBorders>
              <w:top w:val="nil"/>
              <w:left w:val="nil"/>
              <w:bottom w:val="single" w:color="auto" w:sz="4" w:space="0"/>
              <w:right w:val="single" w:color="auto" w:sz="4" w:space="0"/>
            </w:tcBorders>
            <w:noWrap w:val="0"/>
            <w:vAlign w:val="center"/>
          </w:tcPr>
          <w:p w14:paraId="4E51CD8F">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运输服务人员不专业，如：装车不合理、遇到废物发生异常时处置不合理、遇到车辆突发异常时处置不合理</w:t>
            </w:r>
          </w:p>
        </w:tc>
        <w:tc>
          <w:tcPr>
            <w:tcW w:w="551" w:type="pct"/>
            <w:tcBorders>
              <w:top w:val="nil"/>
              <w:left w:val="nil"/>
              <w:bottom w:val="single" w:color="auto" w:sz="4" w:space="0"/>
              <w:right w:val="single" w:color="auto" w:sz="4" w:space="0"/>
            </w:tcBorders>
            <w:noWrap w:val="0"/>
            <w:vAlign w:val="top"/>
          </w:tcPr>
          <w:p w14:paraId="6415A4B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6A8FDA4F">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p w14:paraId="5F8E4ED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安全环境部</w:t>
            </w:r>
          </w:p>
        </w:tc>
        <w:tc>
          <w:tcPr>
            <w:tcW w:w="285" w:type="pct"/>
            <w:tcBorders>
              <w:top w:val="nil"/>
              <w:left w:val="nil"/>
              <w:bottom w:val="single" w:color="auto" w:sz="4" w:space="0"/>
              <w:right w:val="single" w:color="auto" w:sz="4" w:space="0"/>
            </w:tcBorders>
            <w:noWrap w:val="0"/>
            <w:vAlign w:val="center"/>
          </w:tcPr>
          <w:p w14:paraId="539F0E5A">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15</w:t>
            </w:r>
          </w:p>
        </w:tc>
        <w:tc>
          <w:tcPr>
            <w:tcW w:w="233" w:type="pct"/>
            <w:tcBorders>
              <w:top w:val="nil"/>
              <w:left w:val="nil"/>
              <w:bottom w:val="single" w:color="auto" w:sz="4" w:space="0"/>
              <w:right w:val="single" w:color="auto" w:sz="4" w:space="0"/>
            </w:tcBorders>
            <w:noWrap w:val="0"/>
            <w:vAlign w:val="center"/>
          </w:tcPr>
          <w:p w14:paraId="4E49953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74F428A7">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不专业造成轻微事故每次扣1分；造成严重事故的，每次扣5分</w:t>
            </w:r>
          </w:p>
        </w:tc>
      </w:tr>
      <w:tr w14:paraId="4538962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2" w:hRule="atLeast"/>
          <w:jc w:val="center"/>
        </w:trPr>
        <w:tc>
          <w:tcPr>
            <w:tcW w:w="250" w:type="pct"/>
            <w:vMerge w:val="restart"/>
            <w:tcBorders>
              <w:top w:val="nil"/>
              <w:left w:val="single" w:color="auto" w:sz="4" w:space="0"/>
              <w:right w:val="single" w:color="auto" w:sz="4" w:space="0"/>
            </w:tcBorders>
            <w:noWrap w:val="0"/>
            <w:vAlign w:val="center"/>
          </w:tcPr>
          <w:p w14:paraId="3922BD23">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其他</w:t>
            </w:r>
          </w:p>
        </w:tc>
        <w:tc>
          <w:tcPr>
            <w:tcW w:w="232" w:type="pct"/>
            <w:tcBorders>
              <w:top w:val="nil"/>
              <w:left w:val="nil"/>
              <w:bottom w:val="single" w:color="auto" w:sz="4" w:space="0"/>
              <w:right w:val="single" w:color="auto" w:sz="4" w:space="0"/>
            </w:tcBorders>
            <w:noWrap w:val="0"/>
            <w:vAlign w:val="center"/>
          </w:tcPr>
          <w:p w14:paraId="37953F60">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11</w:t>
            </w:r>
          </w:p>
        </w:tc>
        <w:tc>
          <w:tcPr>
            <w:tcW w:w="2345" w:type="pct"/>
            <w:gridSpan w:val="2"/>
            <w:tcBorders>
              <w:top w:val="nil"/>
              <w:left w:val="nil"/>
              <w:bottom w:val="single" w:color="auto" w:sz="4" w:space="0"/>
              <w:right w:val="single" w:color="auto" w:sz="4" w:space="0"/>
            </w:tcBorders>
            <w:noWrap w:val="0"/>
            <w:vAlign w:val="center"/>
          </w:tcPr>
          <w:p w14:paraId="6EB9CAFD">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现场收货的承运单未与客户确认并签字、或漏签字或代替客户签字，或运输公司人员将废物明细及数量填写错误或错扣皮重，导致新东欣入库后修改数据。</w:t>
            </w:r>
          </w:p>
        </w:tc>
        <w:tc>
          <w:tcPr>
            <w:tcW w:w="551" w:type="pct"/>
            <w:tcBorders>
              <w:top w:val="nil"/>
              <w:left w:val="nil"/>
              <w:bottom w:val="single" w:color="auto" w:sz="4" w:space="0"/>
              <w:right w:val="single" w:color="auto" w:sz="4" w:space="0"/>
            </w:tcBorders>
            <w:noWrap w:val="0"/>
            <w:vAlign w:val="center"/>
          </w:tcPr>
          <w:p w14:paraId="41AAA6CE">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p w14:paraId="496D6FF7">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物控车间</w:t>
            </w:r>
          </w:p>
        </w:tc>
        <w:tc>
          <w:tcPr>
            <w:tcW w:w="285" w:type="pct"/>
            <w:tcBorders>
              <w:top w:val="nil"/>
              <w:left w:val="nil"/>
              <w:bottom w:val="single" w:color="auto" w:sz="4" w:space="0"/>
              <w:right w:val="single" w:color="auto" w:sz="4" w:space="0"/>
            </w:tcBorders>
            <w:noWrap w:val="0"/>
            <w:vAlign w:val="center"/>
          </w:tcPr>
          <w:p w14:paraId="42AA53B1">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4ADC76C4">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045FF7FB">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每次扣0.5分</w:t>
            </w:r>
          </w:p>
        </w:tc>
      </w:tr>
      <w:tr w14:paraId="11BE8B7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0" w:hRule="atLeast"/>
          <w:jc w:val="center"/>
        </w:trPr>
        <w:tc>
          <w:tcPr>
            <w:tcW w:w="250" w:type="pct"/>
            <w:vMerge w:val="continue"/>
            <w:tcBorders>
              <w:left w:val="single" w:color="auto" w:sz="4" w:space="0"/>
              <w:right w:val="single" w:color="auto" w:sz="4" w:space="0"/>
            </w:tcBorders>
            <w:noWrap w:val="0"/>
            <w:vAlign w:val="center"/>
          </w:tcPr>
          <w:p w14:paraId="4B2DACE9">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32E5F6FC">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12</w:t>
            </w:r>
          </w:p>
        </w:tc>
        <w:tc>
          <w:tcPr>
            <w:tcW w:w="2345" w:type="pct"/>
            <w:gridSpan w:val="2"/>
            <w:tcBorders>
              <w:top w:val="nil"/>
              <w:left w:val="nil"/>
              <w:bottom w:val="single" w:color="auto" w:sz="4" w:space="0"/>
              <w:right w:val="single" w:color="auto" w:sz="4" w:space="0"/>
            </w:tcBorders>
            <w:noWrap w:val="0"/>
            <w:vAlign w:val="center"/>
          </w:tcPr>
          <w:p w14:paraId="0D2EC404">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因运输人员原因导致漏扫联单或错扫联单</w:t>
            </w:r>
          </w:p>
        </w:tc>
        <w:tc>
          <w:tcPr>
            <w:tcW w:w="551" w:type="pct"/>
            <w:tcBorders>
              <w:top w:val="nil"/>
              <w:left w:val="nil"/>
              <w:bottom w:val="single" w:color="auto" w:sz="4" w:space="0"/>
              <w:right w:val="single" w:color="auto" w:sz="4" w:space="0"/>
            </w:tcBorders>
            <w:noWrap w:val="0"/>
            <w:vAlign w:val="center"/>
          </w:tcPr>
          <w:p w14:paraId="501BF49E">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347A6500">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w:t>
            </w:r>
          </w:p>
        </w:tc>
        <w:tc>
          <w:tcPr>
            <w:tcW w:w="233" w:type="pct"/>
            <w:tcBorders>
              <w:top w:val="nil"/>
              <w:left w:val="nil"/>
              <w:bottom w:val="single" w:color="auto" w:sz="4" w:space="0"/>
              <w:right w:val="single" w:color="auto" w:sz="4" w:space="0"/>
            </w:tcBorders>
            <w:noWrap w:val="0"/>
            <w:vAlign w:val="center"/>
          </w:tcPr>
          <w:p w14:paraId="76624179">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6D266F69">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每次扣1分</w:t>
            </w:r>
          </w:p>
        </w:tc>
      </w:tr>
      <w:tr w14:paraId="05E3D5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79" w:hRule="atLeast"/>
          <w:jc w:val="center"/>
        </w:trPr>
        <w:tc>
          <w:tcPr>
            <w:tcW w:w="250" w:type="pct"/>
            <w:vMerge w:val="continue"/>
            <w:tcBorders>
              <w:left w:val="single" w:color="auto" w:sz="4" w:space="0"/>
              <w:right w:val="single" w:color="auto" w:sz="4" w:space="0"/>
            </w:tcBorders>
            <w:noWrap w:val="0"/>
            <w:vAlign w:val="center"/>
          </w:tcPr>
          <w:p w14:paraId="7C6D7112">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0C37D359">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13</w:t>
            </w:r>
          </w:p>
        </w:tc>
        <w:tc>
          <w:tcPr>
            <w:tcW w:w="2345" w:type="pct"/>
            <w:gridSpan w:val="2"/>
            <w:tcBorders>
              <w:top w:val="nil"/>
              <w:left w:val="nil"/>
              <w:bottom w:val="single" w:color="auto" w:sz="4" w:space="0"/>
              <w:right w:val="single" w:color="auto" w:sz="4" w:space="0"/>
            </w:tcBorders>
            <w:noWrap w:val="0"/>
            <w:vAlign w:val="center"/>
          </w:tcPr>
          <w:p w14:paraId="7BDD4A53">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运输费对账资料和发票未按时提交，数据存在反复修改</w:t>
            </w:r>
          </w:p>
        </w:tc>
        <w:tc>
          <w:tcPr>
            <w:tcW w:w="551" w:type="pct"/>
            <w:tcBorders>
              <w:top w:val="nil"/>
              <w:left w:val="nil"/>
              <w:bottom w:val="single" w:color="auto" w:sz="4" w:space="0"/>
              <w:right w:val="single" w:color="auto" w:sz="4" w:space="0"/>
            </w:tcBorders>
            <w:noWrap w:val="0"/>
            <w:vAlign w:val="center"/>
          </w:tcPr>
          <w:p w14:paraId="5979F23B">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267CBE92">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2</w:t>
            </w:r>
          </w:p>
        </w:tc>
        <w:tc>
          <w:tcPr>
            <w:tcW w:w="233" w:type="pct"/>
            <w:tcBorders>
              <w:top w:val="nil"/>
              <w:left w:val="nil"/>
              <w:bottom w:val="single" w:color="auto" w:sz="4" w:space="0"/>
              <w:right w:val="single" w:color="auto" w:sz="4" w:space="0"/>
            </w:tcBorders>
            <w:noWrap w:val="0"/>
            <w:vAlign w:val="center"/>
          </w:tcPr>
          <w:p w14:paraId="2ADCE958">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0C1256A1">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延迟提交一次扣0.2分；反复修改扣0.5分</w:t>
            </w:r>
          </w:p>
        </w:tc>
      </w:tr>
      <w:tr w14:paraId="5FE680F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86" w:hRule="atLeast"/>
          <w:jc w:val="center"/>
        </w:trPr>
        <w:tc>
          <w:tcPr>
            <w:tcW w:w="250" w:type="pct"/>
            <w:vMerge w:val="continue"/>
            <w:tcBorders>
              <w:left w:val="single" w:color="auto" w:sz="4" w:space="0"/>
              <w:right w:val="single" w:color="auto" w:sz="4" w:space="0"/>
            </w:tcBorders>
            <w:noWrap w:val="0"/>
            <w:vAlign w:val="center"/>
          </w:tcPr>
          <w:p w14:paraId="0ACD1635">
            <w:pPr>
              <w:overflowPunct/>
              <w:autoSpaceDE/>
              <w:autoSpaceDN/>
              <w:adjustRightInd/>
              <w:spacing w:line="320" w:lineRule="exact"/>
              <w:textAlignment w:val="auto"/>
              <w:rPr>
                <w:rFonts w:ascii="宋体" w:hAnsi="宋体" w:eastAsia="宋体" w:cs="宋体"/>
                <w:color w:val="auto"/>
                <w:sz w:val="18"/>
                <w:szCs w:val="18"/>
                <w:highlight w:val="none"/>
                <w:lang w:val="en-US"/>
              </w:rPr>
            </w:pPr>
          </w:p>
        </w:tc>
        <w:tc>
          <w:tcPr>
            <w:tcW w:w="232" w:type="pct"/>
            <w:tcBorders>
              <w:top w:val="nil"/>
              <w:left w:val="nil"/>
              <w:bottom w:val="single" w:color="auto" w:sz="4" w:space="0"/>
              <w:right w:val="single" w:color="auto" w:sz="4" w:space="0"/>
            </w:tcBorders>
            <w:noWrap w:val="0"/>
            <w:vAlign w:val="center"/>
          </w:tcPr>
          <w:p w14:paraId="223FBF54">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14</w:t>
            </w:r>
          </w:p>
        </w:tc>
        <w:tc>
          <w:tcPr>
            <w:tcW w:w="2345" w:type="pct"/>
            <w:gridSpan w:val="2"/>
            <w:tcBorders>
              <w:top w:val="nil"/>
              <w:left w:val="nil"/>
              <w:bottom w:val="single" w:color="auto" w:sz="4" w:space="0"/>
              <w:right w:val="single" w:color="auto" w:sz="4" w:space="0"/>
            </w:tcBorders>
            <w:noWrap w:val="0"/>
            <w:vAlign w:val="center"/>
          </w:tcPr>
          <w:p w14:paraId="34C0A366">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整改报告未按时提交，整改措施不合理且无效</w:t>
            </w:r>
          </w:p>
        </w:tc>
        <w:tc>
          <w:tcPr>
            <w:tcW w:w="551" w:type="pct"/>
            <w:tcBorders>
              <w:top w:val="nil"/>
              <w:left w:val="nil"/>
              <w:bottom w:val="single" w:color="auto" w:sz="4" w:space="0"/>
              <w:right w:val="single" w:color="auto" w:sz="4" w:space="0"/>
            </w:tcBorders>
            <w:noWrap w:val="0"/>
            <w:vAlign w:val="center"/>
          </w:tcPr>
          <w:p w14:paraId="4368BEFB">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市场中心</w:t>
            </w:r>
          </w:p>
        </w:tc>
        <w:tc>
          <w:tcPr>
            <w:tcW w:w="285" w:type="pct"/>
            <w:tcBorders>
              <w:top w:val="nil"/>
              <w:left w:val="nil"/>
              <w:bottom w:val="single" w:color="auto" w:sz="4" w:space="0"/>
              <w:right w:val="single" w:color="auto" w:sz="4" w:space="0"/>
            </w:tcBorders>
            <w:noWrap w:val="0"/>
            <w:vAlign w:val="center"/>
          </w:tcPr>
          <w:p w14:paraId="38846479">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3</w:t>
            </w:r>
          </w:p>
        </w:tc>
        <w:tc>
          <w:tcPr>
            <w:tcW w:w="233" w:type="pct"/>
            <w:tcBorders>
              <w:top w:val="nil"/>
              <w:left w:val="nil"/>
              <w:bottom w:val="single" w:color="auto" w:sz="4" w:space="0"/>
              <w:right w:val="single" w:color="auto" w:sz="4" w:space="0"/>
            </w:tcBorders>
            <w:noWrap w:val="0"/>
            <w:vAlign w:val="center"/>
          </w:tcPr>
          <w:p w14:paraId="34911BC7">
            <w:pPr>
              <w:overflowPunct/>
              <w:autoSpaceDE/>
              <w:autoSpaceDN/>
              <w:adjustRightInd/>
              <w:spacing w:line="320" w:lineRule="exact"/>
              <w:jc w:val="center"/>
              <w:textAlignment w:val="auto"/>
              <w:rPr>
                <w:rFonts w:hint="eastAsia"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561075DE">
            <w:pPr>
              <w:overflowPunct/>
              <w:autoSpaceDE/>
              <w:autoSpaceDN/>
              <w:adjustRightInd/>
              <w:spacing w:line="320" w:lineRule="exact"/>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不符合一次扣0.5分</w:t>
            </w:r>
          </w:p>
        </w:tc>
      </w:tr>
      <w:tr w14:paraId="4DE21DD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97" w:hRule="exact"/>
          <w:jc w:val="center"/>
        </w:trPr>
        <w:tc>
          <w:tcPr>
            <w:tcW w:w="3378" w:type="pct"/>
            <w:gridSpan w:val="5"/>
            <w:tcBorders>
              <w:top w:val="single" w:color="auto" w:sz="4" w:space="0"/>
              <w:left w:val="single" w:color="auto" w:sz="4" w:space="0"/>
              <w:bottom w:val="single" w:color="auto" w:sz="4" w:space="0"/>
              <w:right w:val="nil"/>
            </w:tcBorders>
            <w:noWrap w:val="0"/>
            <w:vAlign w:val="center"/>
          </w:tcPr>
          <w:p w14:paraId="5CE52D42">
            <w:pPr>
              <w:overflowPunct/>
              <w:autoSpaceDE/>
              <w:autoSpaceDN/>
              <w:adjustRightInd/>
              <w:spacing w:line="320" w:lineRule="exact"/>
              <w:jc w:val="center"/>
              <w:textAlignment w:val="auto"/>
              <w:rPr>
                <w:rFonts w:ascii="宋体" w:hAnsi="宋体" w:eastAsia="宋体" w:cs="宋体"/>
                <w:b/>
                <w:color w:val="auto"/>
                <w:sz w:val="18"/>
                <w:szCs w:val="18"/>
                <w:highlight w:val="none"/>
                <w:lang w:val="en-US"/>
              </w:rPr>
            </w:pPr>
            <w:r>
              <w:rPr>
                <w:rFonts w:hint="eastAsia" w:ascii="宋体" w:hAnsi="宋体" w:eastAsia="宋体" w:cs="宋体"/>
                <w:b/>
                <w:color w:val="auto"/>
                <w:sz w:val="18"/>
                <w:szCs w:val="18"/>
                <w:highlight w:val="none"/>
                <w:lang w:val="en-US"/>
              </w:rPr>
              <w:t>合计</w:t>
            </w:r>
          </w:p>
        </w:tc>
        <w:tc>
          <w:tcPr>
            <w:tcW w:w="285" w:type="pct"/>
            <w:tcBorders>
              <w:top w:val="nil"/>
              <w:left w:val="single" w:color="auto" w:sz="4" w:space="0"/>
              <w:bottom w:val="single" w:color="auto" w:sz="4" w:space="0"/>
              <w:right w:val="single" w:color="auto" w:sz="4" w:space="0"/>
            </w:tcBorders>
            <w:noWrap w:val="0"/>
            <w:vAlign w:val="center"/>
          </w:tcPr>
          <w:p w14:paraId="7DCACF07">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100</w:t>
            </w:r>
          </w:p>
        </w:tc>
        <w:tc>
          <w:tcPr>
            <w:tcW w:w="233" w:type="pct"/>
            <w:tcBorders>
              <w:top w:val="nil"/>
              <w:left w:val="nil"/>
              <w:bottom w:val="single" w:color="auto" w:sz="4" w:space="0"/>
              <w:right w:val="single" w:color="auto" w:sz="4" w:space="0"/>
            </w:tcBorders>
            <w:noWrap w:val="0"/>
            <w:vAlign w:val="center"/>
          </w:tcPr>
          <w:p w14:paraId="4ACEE50E">
            <w:pPr>
              <w:overflowPunct/>
              <w:autoSpaceDE/>
              <w:autoSpaceDN/>
              <w:adjustRightInd/>
              <w:spacing w:line="320" w:lineRule="exact"/>
              <w:jc w:val="center"/>
              <w:textAlignment w:val="auto"/>
              <w:rPr>
                <w:rFonts w:ascii="宋体" w:hAnsi="宋体" w:eastAsia="宋体" w:cs="宋体"/>
                <w:color w:val="auto"/>
                <w:sz w:val="18"/>
                <w:szCs w:val="18"/>
                <w:highlight w:val="none"/>
                <w:lang w:val="en-US"/>
              </w:rPr>
            </w:pPr>
          </w:p>
        </w:tc>
        <w:tc>
          <w:tcPr>
            <w:tcW w:w="1102" w:type="pct"/>
            <w:gridSpan w:val="2"/>
            <w:tcBorders>
              <w:top w:val="nil"/>
              <w:left w:val="nil"/>
              <w:bottom w:val="single" w:color="auto" w:sz="4" w:space="0"/>
              <w:right w:val="single" w:color="auto" w:sz="4" w:space="0"/>
            </w:tcBorders>
            <w:noWrap w:val="0"/>
            <w:vAlign w:val="center"/>
          </w:tcPr>
          <w:p w14:paraId="359FF7CC">
            <w:pPr>
              <w:overflowPunct/>
              <w:autoSpaceDE/>
              <w:autoSpaceDN/>
              <w:adjustRightInd/>
              <w:spacing w:line="320" w:lineRule="exact"/>
              <w:textAlignment w:val="auto"/>
              <w:rPr>
                <w:rFonts w:ascii="宋体" w:hAnsi="宋体" w:eastAsia="宋体" w:cs="宋体"/>
                <w:color w:val="auto"/>
                <w:sz w:val="18"/>
                <w:szCs w:val="18"/>
                <w:highlight w:val="none"/>
                <w:lang w:val="en-US"/>
              </w:rPr>
            </w:pPr>
          </w:p>
        </w:tc>
      </w:tr>
    </w:tbl>
    <w:p w14:paraId="43595241">
      <w:pPr>
        <w:tabs>
          <w:tab w:val="left" w:pos="8090"/>
        </w:tabs>
        <w:rPr>
          <w:rFonts w:hint="eastAsia" w:ascii="宋体" w:hAnsi="宋体" w:eastAsia="宋体"/>
          <w:color w:val="auto"/>
          <w:sz w:val="21"/>
          <w:szCs w:val="21"/>
          <w:highlight w:val="none"/>
          <w:lang w:val="en-US" w:eastAsia="zh-CN"/>
        </w:rPr>
      </w:pPr>
    </w:p>
    <w:p w14:paraId="74E2DFE9">
      <w:pPr>
        <w:tabs>
          <w:tab w:val="left" w:pos="8090"/>
        </w:tabs>
        <w:rPr>
          <w:rFonts w:hint="eastAsia" w:ascii="宋体" w:hAnsi="宋体" w:eastAsia="宋体"/>
          <w:color w:val="auto"/>
          <w:sz w:val="21"/>
          <w:szCs w:val="21"/>
          <w:highlight w:val="none"/>
          <w:lang w:val="en-US"/>
        </w:rPr>
      </w:pPr>
      <w:r>
        <w:rPr>
          <w:rFonts w:hint="eastAsia" w:ascii="宋体" w:hAnsi="宋体" w:eastAsia="宋体"/>
          <w:color w:val="auto"/>
          <w:sz w:val="21"/>
          <w:szCs w:val="21"/>
          <w:highlight w:val="none"/>
          <w:lang w:val="en-US" w:eastAsia="zh-CN"/>
        </w:rPr>
        <w:t>市场中心</w:t>
      </w:r>
      <w:r>
        <w:rPr>
          <w:rFonts w:hint="eastAsia" w:ascii="宋体" w:hAnsi="宋体" w:eastAsia="宋体"/>
          <w:color w:val="auto"/>
          <w:sz w:val="21"/>
          <w:szCs w:val="21"/>
          <w:highlight w:val="none"/>
          <w:lang w:val="en-US"/>
        </w:rPr>
        <w:t>签字：</w:t>
      </w:r>
    </w:p>
    <w:p w14:paraId="62C02076">
      <w:pPr>
        <w:tabs>
          <w:tab w:val="left" w:pos="8090"/>
        </w:tabs>
        <w:outlineLvl w:val="9"/>
        <w:rPr>
          <w:rFonts w:ascii="宋体" w:hAnsi="宋体" w:eastAsia="宋体"/>
          <w:color w:val="auto"/>
          <w:sz w:val="21"/>
          <w:szCs w:val="21"/>
          <w:highlight w:val="none"/>
          <w:lang w:val="en-US"/>
        </w:rPr>
      </w:pPr>
    </w:p>
    <w:p w14:paraId="49346708">
      <w:pPr>
        <w:rPr>
          <w:rFonts w:ascii="宋体" w:hAnsi="宋体" w:eastAsia="宋体"/>
          <w:color w:val="auto"/>
          <w:sz w:val="21"/>
          <w:szCs w:val="21"/>
          <w:highlight w:val="none"/>
          <w:lang w:val="en-US"/>
        </w:rPr>
      </w:pPr>
      <w:bookmarkStart w:id="362" w:name="_Toc5255"/>
      <w:bookmarkStart w:id="363" w:name="_Toc13230"/>
      <w:bookmarkStart w:id="364" w:name="_Toc11121"/>
      <w:bookmarkStart w:id="365" w:name="_Toc29622"/>
      <w:bookmarkStart w:id="366" w:name="_Toc29489"/>
      <w:bookmarkStart w:id="367" w:name="_Toc26460"/>
      <w:bookmarkStart w:id="368" w:name="_Toc28414"/>
      <w:bookmarkStart w:id="369" w:name="_Toc1338"/>
      <w:bookmarkStart w:id="370" w:name="_Toc5268"/>
      <w:bookmarkStart w:id="371" w:name="_Toc31500"/>
      <w:bookmarkStart w:id="372" w:name="_Toc25183"/>
      <w:bookmarkStart w:id="373" w:name="_Toc18299"/>
      <w:bookmarkStart w:id="374" w:name="_Toc3746"/>
      <w:r>
        <w:rPr>
          <w:rFonts w:ascii="宋体" w:hAnsi="宋体" w:eastAsia="宋体"/>
          <w:color w:val="auto"/>
          <w:sz w:val="21"/>
          <w:szCs w:val="21"/>
          <w:highlight w:val="none"/>
          <w:lang w:val="en-US"/>
        </w:rPr>
        <w:br w:type="page"/>
      </w:r>
    </w:p>
    <w:p w14:paraId="22C1DAF9">
      <w:pPr>
        <w:spacing w:line="240" w:lineRule="auto"/>
        <w:jc w:val="left"/>
        <w:outlineLvl w:val="9"/>
        <w:rPr>
          <w:rFonts w:hint="default" w:ascii="黑体" w:eastAsia="黑体"/>
          <w:color w:val="auto"/>
          <w:sz w:val="28"/>
          <w:szCs w:val="28"/>
          <w:highlight w:val="none"/>
          <w:lang w:val="en-US"/>
        </w:rPr>
      </w:pPr>
      <w:r>
        <w:rPr>
          <w:rFonts w:hint="eastAsia" w:ascii="宋体" w:hAnsi="宋体"/>
          <w:b/>
          <w:color w:val="auto"/>
          <w:sz w:val="21"/>
          <w:szCs w:val="21"/>
          <w:highlight w:val="none"/>
          <w:lang w:val="en-US" w:eastAsia="zh-CN"/>
        </w:rPr>
        <w:t>合同</w:t>
      </w:r>
      <w:r>
        <w:rPr>
          <w:rFonts w:ascii="Times New Roman" w:hAnsi="Times New Roman" w:cs="Times New Roman"/>
          <w:b/>
          <w:color w:val="auto"/>
          <w:szCs w:val="21"/>
          <w:highlight w:val="none"/>
        </w:rPr>
        <w:t>附件</w:t>
      </w:r>
      <w:r>
        <w:rPr>
          <w:rFonts w:hint="eastAsia" w:cs="Times New Roman"/>
          <w:b/>
          <w:color w:val="auto"/>
          <w:szCs w:val="21"/>
          <w:highlight w:val="none"/>
          <w:lang w:val="en-US" w:eastAsia="zh-CN"/>
        </w:rPr>
        <w:t>7</w:t>
      </w:r>
      <w:r>
        <w:rPr>
          <w:rFonts w:ascii="Times New Roman" w:hAnsi="Times New Roman" w:cs="Times New Roman"/>
          <w:b/>
          <w:color w:val="auto"/>
          <w:szCs w:val="21"/>
          <w:highlight w:val="none"/>
        </w:rPr>
        <w:t>《</w:t>
      </w:r>
      <w:r>
        <w:rPr>
          <w:rFonts w:hint="eastAsia" w:cs="Times New Roman"/>
          <w:b/>
          <w:color w:val="auto"/>
          <w:szCs w:val="21"/>
          <w:highlight w:val="none"/>
          <w:lang w:val="en-US" w:eastAsia="zh-CN"/>
        </w:rPr>
        <w:t>运输单位搬运费分级标准》</w:t>
      </w:r>
      <w:bookmarkEnd w:id="362"/>
      <w:bookmarkEnd w:id="363"/>
      <w:bookmarkEnd w:id="364"/>
      <w:bookmarkEnd w:id="365"/>
      <w:bookmarkEnd w:id="366"/>
      <w:bookmarkEnd w:id="367"/>
      <w:bookmarkEnd w:id="368"/>
      <w:bookmarkEnd w:id="369"/>
      <w:bookmarkEnd w:id="370"/>
      <w:bookmarkEnd w:id="371"/>
      <w:bookmarkEnd w:id="372"/>
      <w:bookmarkEnd w:id="373"/>
      <w:bookmarkEnd w:id="374"/>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6238"/>
        <w:gridCol w:w="1326"/>
      </w:tblGrid>
      <w:tr w14:paraId="1519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tcPr>
          <w:p w14:paraId="6D9BD99D">
            <w:pPr>
              <w:spacing w:line="240" w:lineRule="auto"/>
              <w:jc w:val="center"/>
              <w:rPr>
                <w:rFonts w:hint="eastAsia" w:ascii="宋体" w:hAnsi="宋体" w:eastAsia="宋体" w:cs="宋体"/>
                <w:b/>
                <w:color w:val="auto"/>
                <w:sz w:val="21"/>
                <w:szCs w:val="21"/>
                <w:highlight w:val="none"/>
                <w:lang w:eastAsia="zh-CN"/>
              </w:rPr>
            </w:pPr>
            <w:bookmarkStart w:id="375" w:name="_Toc2880"/>
            <w:bookmarkStart w:id="376" w:name="_Toc22240"/>
            <w:bookmarkStart w:id="377" w:name="_Toc9882"/>
            <w:bookmarkStart w:id="378" w:name="_Toc13191"/>
            <w:bookmarkStart w:id="379" w:name="_Toc24341"/>
            <w:bookmarkStart w:id="380" w:name="_Toc10383"/>
            <w:bookmarkStart w:id="381" w:name="_Toc25687"/>
            <w:bookmarkStart w:id="382" w:name="_Toc3829"/>
            <w:bookmarkStart w:id="383" w:name="_Toc12783"/>
            <w:bookmarkStart w:id="384" w:name="_Toc23239"/>
            <w:bookmarkStart w:id="385" w:name="_Toc8404"/>
            <w:r>
              <w:rPr>
                <w:rFonts w:hint="eastAsia" w:ascii="宋体" w:hAnsi="宋体" w:eastAsia="宋体" w:cs="宋体"/>
                <w:b/>
                <w:color w:val="auto"/>
                <w:sz w:val="21"/>
                <w:szCs w:val="21"/>
                <w:highlight w:val="none"/>
                <w:lang w:val="en-US" w:eastAsia="zh-CN"/>
              </w:rPr>
              <w:t>类别</w:t>
            </w:r>
          </w:p>
        </w:tc>
        <w:tc>
          <w:tcPr>
            <w:tcW w:w="3659" w:type="pct"/>
          </w:tcPr>
          <w:p w14:paraId="0EF856B2">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标准</w:t>
            </w:r>
          </w:p>
        </w:tc>
        <w:tc>
          <w:tcPr>
            <w:tcW w:w="777" w:type="pct"/>
          </w:tcPr>
          <w:p w14:paraId="6822AB7A">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打包费</w:t>
            </w:r>
          </w:p>
        </w:tc>
      </w:tr>
      <w:tr w14:paraId="7D48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tcPr>
          <w:p w14:paraId="0E039D8A">
            <w:pPr>
              <w:tabs>
                <w:tab w:val="left" w:pos="358"/>
              </w:tabs>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正常</w:t>
            </w:r>
          </w:p>
          <w:p w14:paraId="559D51FD">
            <w:pPr>
              <w:tabs>
                <w:tab w:val="left" w:pos="358"/>
              </w:tabs>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服务</w:t>
            </w:r>
          </w:p>
        </w:tc>
        <w:tc>
          <w:tcPr>
            <w:tcW w:w="3659" w:type="pct"/>
          </w:tcPr>
          <w:p w14:paraId="7BC44974">
            <w:pPr>
              <w:spacing w:line="240" w:lineRule="auto"/>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收运现场废物已码好卡板，</w:t>
            </w:r>
            <w:r>
              <w:rPr>
                <w:rFonts w:hint="eastAsia" w:ascii="宋体" w:hAnsi="宋体" w:eastAsia="宋体" w:cs="宋体"/>
                <w:bCs/>
                <w:color w:val="auto"/>
                <w:sz w:val="21"/>
                <w:szCs w:val="21"/>
                <w:highlight w:val="none"/>
              </w:rPr>
              <w:t>仅</w:t>
            </w:r>
            <w:r>
              <w:rPr>
                <w:rFonts w:hint="eastAsia" w:ascii="宋体" w:hAnsi="宋体" w:eastAsia="宋体" w:cs="宋体"/>
                <w:bCs/>
                <w:color w:val="auto"/>
                <w:sz w:val="21"/>
                <w:szCs w:val="21"/>
                <w:highlight w:val="none"/>
                <w:lang w:val="en-US" w:eastAsia="zh-CN"/>
              </w:rPr>
              <w:t>需要缠膜固定（采购人提供拉伸膜）和</w:t>
            </w:r>
            <w:r>
              <w:rPr>
                <w:rFonts w:hint="eastAsia" w:ascii="宋体" w:hAnsi="宋体" w:eastAsia="宋体" w:cs="宋体"/>
                <w:bCs/>
                <w:color w:val="auto"/>
                <w:sz w:val="21"/>
                <w:szCs w:val="21"/>
                <w:highlight w:val="none"/>
              </w:rPr>
              <w:t>使用手叉车上车，</w:t>
            </w:r>
            <w:r>
              <w:rPr>
                <w:rFonts w:hint="eastAsia" w:ascii="宋体" w:hAnsi="宋体" w:eastAsia="宋体" w:cs="宋体"/>
                <w:bCs/>
                <w:color w:val="auto"/>
                <w:sz w:val="21"/>
                <w:szCs w:val="21"/>
                <w:highlight w:val="none"/>
                <w:lang w:val="en-US" w:eastAsia="zh-CN"/>
              </w:rPr>
              <w:t>或者机动叉车装货时需要运输人员协助挂耳操作，属于正常服务，不额外支付装卸服务费。</w:t>
            </w:r>
          </w:p>
        </w:tc>
        <w:tc>
          <w:tcPr>
            <w:tcW w:w="777" w:type="pct"/>
            <w:vAlign w:val="center"/>
          </w:tcPr>
          <w:p w14:paraId="2255FFC7">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0元</w:t>
            </w:r>
          </w:p>
        </w:tc>
      </w:tr>
      <w:tr w14:paraId="41AA3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131F98AA">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属于</w:t>
            </w:r>
          </w:p>
          <w:p w14:paraId="44FBD006">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搬运</w:t>
            </w:r>
          </w:p>
          <w:p w14:paraId="64BB04F4">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打包</w:t>
            </w:r>
          </w:p>
          <w:p w14:paraId="4EFA4F45">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服务</w:t>
            </w:r>
          </w:p>
          <w:p w14:paraId="432275B1">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的</w:t>
            </w:r>
          </w:p>
          <w:p w14:paraId="10E4EACA">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类型</w:t>
            </w:r>
          </w:p>
        </w:tc>
        <w:tc>
          <w:tcPr>
            <w:tcW w:w="3659" w:type="pct"/>
          </w:tcPr>
          <w:p w14:paraId="3910135C">
            <w:pPr>
              <w:numPr>
                <w:ilvl w:val="0"/>
                <w:numId w:val="9"/>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客户</w:t>
            </w:r>
            <w:r>
              <w:rPr>
                <w:rFonts w:hint="eastAsia" w:ascii="宋体" w:hAnsi="宋体" w:eastAsia="宋体" w:cs="宋体"/>
                <w:color w:val="auto"/>
                <w:sz w:val="21"/>
                <w:szCs w:val="21"/>
                <w:highlight w:val="none"/>
              </w:rPr>
              <w:t>废物码放不规范，需运输人员重新拆包并重新码板打包的。</w:t>
            </w:r>
          </w:p>
          <w:p w14:paraId="40B835BC">
            <w:pPr>
              <w:numPr>
                <w:ilvl w:val="0"/>
                <w:numId w:val="9"/>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桶装液体类废物，客户未提前码板，需运输人员搬上卡板的</w:t>
            </w:r>
            <w:r>
              <w:rPr>
                <w:rFonts w:hint="eastAsia" w:ascii="宋体" w:hAnsi="宋体" w:eastAsia="宋体" w:cs="宋体"/>
                <w:color w:val="auto"/>
                <w:sz w:val="21"/>
                <w:szCs w:val="21"/>
                <w:highlight w:val="none"/>
                <w:lang w:eastAsia="zh-CN"/>
              </w:rPr>
              <w:t>。</w:t>
            </w:r>
          </w:p>
          <w:p w14:paraId="60F6A5AD">
            <w:pPr>
              <w:numPr>
                <w:ilvl w:val="0"/>
                <w:numId w:val="9"/>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小袋装的固体废物，</w:t>
            </w:r>
            <w:r>
              <w:rPr>
                <w:rFonts w:hint="eastAsia" w:ascii="宋体" w:hAnsi="宋体" w:eastAsia="宋体" w:cs="宋体"/>
                <w:color w:val="auto"/>
                <w:sz w:val="21"/>
                <w:szCs w:val="21"/>
                <w:highlight w:val="none"/>
              </w:rPr>
              <w:t>客户未提前码板，需运输人员搬上卡板的</w:t>
            </w:r>
            <w:r>
              <w:rPr>
                <w:rFonts w:hint="eastAsia" w:ascii="宋体" w:hAnsi="宋体" w:eastAsia="宋体" w:cs="宋体"/>
                <w:color w:val="auto"/>
                <w:sz w:val="21"/>
                <w:szCs w:val="21"/>
                <w:highlight w:val="none"/>
                <w:lang w:eastAsia="zh-CN"/>
              </w:rPr>
              <w:t>。</w:t>
            </w:r>
          </w:p>
          <w:p w14:paraId="299FBB43">
            <w:pPr>
              <w:numPr>
                <w:ilvl w:val="0"/>
                <w:numId w:val="9"/>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散装的粉末状或污泥状固体废物，客户未提前装桶或装吨袋的，需要运输人员装桶或者装袋的。</w:t>
            </w:r>
          </w:p>
          <w:p w14:paraId="0D940C22">
            <w:pPr>
              <w:numPr>
                <w:ilvl w:val="0"/>
                <w:numId w:val="9"/>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装货现场条件限制，无法使用</w:t>
            </w:r>
            <w:r>
              <w:rPr>
                <w:rFonts w:hint="eastAsia" w:ascii="宋体" w:hAnsi="宋体" w:eastAsia="宋体" w:cs="宋体"/>
                <w:color w:val="auto"/>
                <w:sz w:val="21"/>
                <w:szCs w:val="21"/>
                <w:highlight w:val="none"/>
              </w:rPr>
              <w:t>手动叉车</w:t>
            </w:r>
            <w:r>
              <w:rPr>
                <w:rFonts w:hint="eastAsia" w:ascii="宋体" w:hAnsi="宋体" w:eastAsia="宋体" w:cs="宋体"/>
                <w:color w:val="auto"/>
                <w:sz w:val="21"/>
                <w:szCs w:val="21"/>
                <w:highlight w:val="none"/>
                <w:lang w:val="en-US" w:eastAsia="zh-CN"/>
              </w:rPr>
              <w:t>装货（例如台阶，无电梯的楼层），需要人工搬动转移货物的。</w:t>
            </w:r>
          </w:p>
          <w:p w14:paraId="75FC2BCC">
            <w:pPr>
              <w:numPr>
                <w:ilvl w:val="0"/>
                <w:numId w:val="0"/>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6、现场抽取废液的操作环境十分不便，需要人工反复上下或者管线超长</w:t>
            </w:r>
          </w:p>
        </w:tc>
        <w:tc>
          <w:tcPr>
            <w:tcW w:w="777" w:type="pct"/>
            <w:vAlign w:val="center"/>
          </w:tcPr>
          <w:p w14:paraId="7A30AE40">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按本表的</w:t>
            </w:r>
          </w:p>
          <w:p w14:paraId="38C3914E">
            <w:pPr>
              <w:spacing w:line="240" w:lineRule="auto"/>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标准付费</w:t>
            </w:r>
          </w:p>
        </w:tc>
      </w:tr>
      <w:tr w14:paraId="291D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562" w:type="pct"/>
            <w:vAlign w:val="center"/>
          </w:tcPr>
          <w:p w14:paraId="56247987">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5-6米</w:t>
            </w:r>
          </w:p>
          <w:p w14:paraId="0594EBAE">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厢车</w:t>
            </w:r>
          </w:p>
        </w:tc>
        <w:tc>
          <w:tcPr>
            <w:tcW w:w="3659" w:type="pct"/>
            <w:vAlign w:val="center"/>
          </w:tcPr>
          <w:p w14:paraId="3D223665">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符合上述类型</w:t>
            </w:r>
          </w:p>
        </w:tc>
        <w:tc>
          <w:tcPr>
            <w:tcW w:w="777" w:type="pct"/>
            <w:vAlign w:val="center"/>
          </w:tcPr>
          <w:p w14:paraId="648DA5C5">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100元/车</w:t>
            </w:r>
          </w:p>
        </w:tc>
      </w:tr>
      <w:tr w14:paraId="6948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62" w:type="pct"/>
            <w:vAlign w:val="center"/>
          </w:tcPr>
          <w:p w14:paraId="7383E9A8">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7-8米</w:t>
            </w:r>
          </w:p>
          <w:p w14:paraId="02902B48">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厢车</w:t>
            </w:r>
          </w:p>
        </w:tc>
        <w:tc>
          <w:tcPr>
            <w:tcW w:w="3659" w:type="pct"/>
            <w:vAlign w:val="center"/>
          </w:tcPr>
          <w:p w14:paraId="4A828542">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符合上述类型</w:t>
            </w:r>
          </w:p>
        </w:tc>
        <w:tc>
          <w:tcPr>
            <w:tcW w:w="777" w:type="pct"/>
            <w:vAlign w:val="center"/>
          </w:tcPr>
          <w:p w14:paraId="0C3F08FA">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150元/车</w:t>
            </w:r>
          </w:p>
        </w:tc>
      </w:tr>
      <w:tr w14:paraId="236A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562" w:type="pct"/>
            <w:vAlign w:val="center"/>
          </w:tcPr>
          <w:p w14:paraId="76AF07E1">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9-10米</w:t>
            </w:r>
          </w:p>
          <w:p w14:paraId="298DC4D9">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厢车</w:t>
            </w:r>
          </w:p>
        </w:tc>
        <w:tc>
          <w:tcPr>
            <w:tcW w:w="3659" w:type="pct"/>
            <w:vAlign w:val="center"/>
          </w:tcPr>
          <w:p w14:paraId="6A0227D9">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符合上述类型</w:t>
            </w:r>
          </w:p>
        </w:tc>
        <w:tc>
          <w:tcPr>
            <w:tcW w:w="777" w:type="pct"/>
            <w:vAlign w:val="center"/>
          </w:tcPr>
          <w:p w14:paraId="6FBF92A9">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250元/车</w:t>
            </w:r>
          </w:p>
        </w:tc>
      </w:tr>
      <w:tr w14:paraId="2BE2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49F0E963">
            <w:pPr>
              <w:spacing w:line="24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槽车</w:t>
            </w:r>
          </w:p>
        </w:tc>
        <w:tc>
          <w:tcPr>
            <w:tcW w:w="3659" w:type="pct"/>
            <w:vAlign w:val="center"/>
          </w:tcPr>
          <w:p w14:paraId="026F1273">
            <w:pPr>
              <w:spacing w:line="240" w:lineRule="auto"/>
              <w:jc w:val="left"/>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符合上述第6点</w:t>
            </w:r>
          </w:p>
        </w:tc>
        <w:tc>
          <w:tcPr>
            <w:tcW w:w="777" w:type="pct"/>
            <w:vAlign w:val="center"/>
          </w:tcPr>
          <w:p w14:paraId="2CC3E87E">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100元/车</w:t>
            </w:r>
          </w:p>
        </w:tc>
      </w:tr>
      <w:tr w14:paraId="3AB8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7DE97251">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特殊</w:t>
            </w:r>
          </w:p>
        </w:tc>
        <w:tc>
          <w:tcPr>
            <w:tcW w:w="3659" w:type="pct"/>
            <w:vAlign w:val="center"/>
          </w:tcPr>
          <w:p w14:paraId="7FD384EF">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w:t>
            </w:r>
            <w:r>
              <w:rPr>
                <w:rFonts w:hint="eastAsia" w:ascii="宋体" w:hAnsi="宋体" w:eastAsia="宋体" w:cs="宋体"/>
                <w:color w:val="auto"/>
                <w:sz w:val="21"/>
                <w:szCs w:val="21"/>
                <w:highlight w:val="none"/>
                <w:lang w:val="en-US" w:eastAsia="zh-CN"/>
              </w:rPr>
              <w:t>打包工作量巨大，</w:t>
            </w:r>
            <w:r>
              <w:rPr>
                <w:rFonts w:hint="eastAsia" w:ascii="宋体" w:hAnsi="宋体" w:eastAsia="宋体" w:cs="宋体"/>
                <w:color w:val="auto"/>
                <w:sz w:val="21"/>
                <w:szCs w:val="21"/>
                <w:highlight w:val="none"/>
              </w:rPr>
              <w:t>不适用按车次支付搬运费，</w:t>
            </w:r>
            <w:r>
              <w:rPr>
                <w:rFonts w:hint="eastAsia" w:ascii="宋体" w:hAnsi="宋体" w:eastAsia="宋体" w:cs="宋体"/>
                <w:color w:val="auto"/>
                <w:sz w:val="21"/>
                <w:szCs w:val="21"/>
                <w:highlight w:val="none"/>
                <w:lang w:val="en-US" w:eastAsia="zh-CN"/>
              </w:rPr>
              <w:t>提供凭证，可</w:t>
            </w:r>
            <w:r>
              <w:rPr>
                <w:rFonts w:hint="eastAsia" w:ascii="宋体" w:hAnsi="宋体" w:eastAsia="宋体" w:cs="宋体"/>
                <w:color w:val="auto"/>
                <w:sz w:val="21"/>
                <w:szCs w:val="21"/>
                <w:highlight w:val="none"/>
              </w:rPr>
              <w:t>按吨支付搬运费。</w:t>
            </w:r>
          </w:p>
        </w:tc>
        <w:tc>
          <w:tcPr>
            <w:tcW w:w="777" w:type="pct"/>
            <w:vAlign w:val="center"/>
          </w:tcPr>
          <w:p w14:paraId="709FBA3C">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50元/吨</w:t>
            </w:r>
          </w:p>
        </w:tc>
      </w:tr>
      <w:tr w14:paraId="64CE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pct"/>
            <w:vAlign w:val="center"/>
          </w:tcPr>
          <w:p w14:paraId="29BFA2A3">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tc>
        <w:tc>
          <w:tcPr>
            <w:tcW w:w="4437" w:type="pct"/>
            <w:gridSpan w:val="2"/>
            <w:vAlign w:val="center"/>
          </w:tcPr>
          <w:p w14:paraId="02E05102">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费用的申请</w:t>
            </w:r>
            <w:r>
              <w:rPr>
                <w:rFonts w:hint="eastAsia" w:ascii="宋体" w:hAnsi="宋体" w:eastAsia="宋体" w:cs="宋体"/>
                <w:color w:val="auto"/>
                <w:sz w:val="21"/>
                <w:szCs w:val="21"/>
                <w:highlight w:val="none"/>
              </w:rPr>
              <w:t>：</w:t>
            </w:r>
          </w:p>
          <w:p w14:paraId="21DF0D48">
            <w:pPr>
              <w:numPr>
                <w:ilvl w:val="0"/>
                <w:numId w:val="2"/>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每月制作搬运</w:t>
            </w:r>
            <w:r>
              <w:rPr>
                <w:rFonts w:hint="eastAsia" w:ascii="宋体" w:hAnsi="宋体" w:eastAsia="宋体" w:cs="宋体"/>
                <w:color w:val="auto"/>
                <w:sz w:val="21"/>
                <w:szCs w:val="21"/>
                <w:highlight w:val="none"/>
                <w:lang w:val="en-US" w:eastAsia="zh-CN"/>
              </w:rPr>
              <w:t>打包</w:t>
            </w:r>
            <w:r>
              <w:rPr>
                <w:rFonts w:hint="eastAsia" w:ascii="宋体" w:hAnsi="宋体" w:eastAsia="宋体" w:cs="宋体"/>
                <w:color w:val="auto"/>
                <w:sz w:val="21"/>
                <w:szCs w:val="21"/>
                <w:highlight w:val="none"/>
              </w:rPr>
              <w:t>费申请表，表内必须</w:t>
            </w:r>
            <w:r>
              <w:rPr>
                <w:rFonts w:hint="eastAsia" w:ascii="宋体" w:hAnsi="宋体" w:eastAsia="宋体" w:cs="宋体"/>
                <w:color w:val="auto"/>
                <w:sz w:val="21"/>
                <w:szCs w:val="21"/>
                <w:highlight w:val="none"/>
                <w:lang w:val="en-US" w:eastAsia="zh-CN"/>
              </w:rPr>
              <w:t>包含收运</w:t>
            </w:r>
            <w:r>
              <w:rPr>
                <w:rFonts w:hint="eastAsia" w:ascii="宋体" w:hAnsi="宋体" w:eastAsia="宋体" w:cs="宋体"/>
                <w:color w:val="auto"/>
                <w:sz w:val="21"/>
                <w:szCs w:val="21"/>
                <w:highlight w:val="none"/>
              </w:rPr>
              <w:t>日期、客户名称、搬运废物的重量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同时提供对应客户现场能体现打包服务的水印照片和短</w:t>
            </w:r>
            <w:r>
              <w:rPr>
                <w:rFonts w:hint="eastAsia" w:ascii="宋体" w:hAnsi="宋体" w:eastAsia="宋体" w:cs="宋体"/>
                <w:color w:val="auto"/>
                <w:sz w:val="21"/>
                <w:szCs w:val="21"/>
                <w:highlight w:val="none"/>
              </w:rPr>
              <w:t>视频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视频及照片文件名须按</w:t>
            </w:r>
            <w:r>
              <w:rPr>
                <w:rFonts w:hint="eastAsia" w:ascii="宋体" w:hAnsi="宋体" w:eastAsia="宋体" w:cs="宋体"/>
                <w:color w:val="auto"/>
                <w:sz w:val="21"/>
                <w:szCs w:val="21"/>
                <w:highlight w:val="none"/>
              </w:rPr>
              <w:t>“日期+客户+重量”</w:t>
            </w:r>
            <w:r>
              <w:rPr>
                <w:rFonts w:hint="eastAsia" w:ascii="宋体" w:hAnsi="宋体" w:eastAsia="宋体" w:cs="宋体"/>
                <w:color w:val="auto"/>
                <w:sz w:val="21"/>
                <w:szCs w:val="21"/>
                <w:highlight w:val="none"/>
                <w:lang w:val="en-US" w:eastAsia="zh-CN"/>
              </w:rPr>
              <w:t>格式命名，并电子版</w:t>
            </w:r>
            <w:r>
              <w:rPr>
                <w:rFonts w:hint="eastAsia" w:ascii="宋体" w:hAnsi="宋体" w:eastAsia="宋体" w:cs="宋体"/>
                <w:color w:val="auto"/>
                <w:sz w:val="21"/>
                <w:szCs w:val="21"/>
                <w:highlight w:val="none"/>
              </w:rPr>
              <w:t>打包发至</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留存。</w:t>
            </w:r>
          </w:p>
          <w:p w14:paraId="651FC01D">
            <w:pPr>
              <w:numPr>
                <w:ilvl w:val="0"/>
                <w:numId w:val="2"/>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提供对账单纸质时，须将对应的水印照片打印出来作为结算凭证，对账纸质资料每页盖章。</w:t>
            </w:r>
          </w:p>
          <w:p w14:paraId="0EB82D14">
            <w:pPr>
              <w:numPr>
                <w:ilvl w:val="0"/>
                <w:numId w:val="0"/>
              </w:num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3、无法提供上述资料的不予支付打包费用（客户现场不允许携带手机的，可与客户沟通协助拍摄，协商不成的需要提前告知采购人，以便采购人与客户确认打包服务属实）</w:t>
            </w:r>
            <w:r>
              <w:rPr>
                <w:rFonts w:hint="eastAsia" w:ascii="宋体" w:hAnsi="宋体" w:eastAsia="宋体" w:cs="宋体"/>
                <w:color w:val="auto"/>
                <w:sz w:val="21"/>
                <w:szCs w:val="21"/>
                <w:highlight w:val="none"/>
              </w:rPr>
              <w:t>。</w:t>
            </w:r>
          </w:p>
        </w:tc>
      </w:tr>
    </w:tbl>
    <w:p w14:paraId="18E15422">
      <w:pPr>
        <w:outlineLvl w:val="9"/>
        <w:rPr>
          <w:rFonts w:hint="eastAsia" w:ascii="宋体" w:hAnsi="宋体"/>
          <w:b/>
          <w:color w:val="auto"/>
          <w:sz w:val="21"/>
          <w:szCs w:val="21"/>
          <w:highlight w:val="none"/>
          <w:lang w:val="en-US" w:eastAsia="zh-CN"/>
        </w:rPr>
      </w:pPr>
    </w:p>
    <w:p w14:paraId="5F2A074B">
      <w:pPr>
        <w:rPr>
          <w:rFonts w:hint="eastAsia" w:ascii="宋体" w:hAnsi="宋体"/>
          <w:b/>
          <w:color w:val="auto"/>
          <w:sz w:val="21"/>
          <w:szCs w:val="21"/>
          <w:highlight w:val="none"/>
          <w:lang w:val="en-US" w:eastAsia="zh-CN"/>
        </w:rPr>
      </w:pPr>
      <w:bookmarkStart w:id="386" w:name="_Toc18141"/>
      <w:bookmarkStart w:id="387" w:name="_Toc7634"/>
      <w:r>
        <w:rPr>
          <w:rFonts w:hint="eastAsia" w:ascii="宋体" w:hAnsi="宋体"/>
          <w:b/>
          <w:color w:val="auto"/>
          <w:sz w:val="21"/>
          <w:szCs w:val="21"/>
          <w:highlight w:val="none"/>
          <w:lang w:val="en-US" w:eastAsia="zh-CN"/>
        </w:rPr>
        <w:br w:type="page"/>
      </w:r>
    </w:p>
    <w:p w14:paraId="45F4E3F5">
      <w:pPr>
        <w:outlineLvl w:val="9"/>
        <w:rPr>
          <w:rFonts w:ascii="宋体" w:hAnsi="宋体"/>
          <w:b/>
          <w:color w:val="auto"/>
          <w:sz w:val="24"/>
          <w:highlight w:val="none"/>
        </w:rPr>
      </w:pPr>
      <w:r>
        <w:rPr>
          <w:rFonts w:hint="eastAsia" w:ascii="宋体" w:hAnsi="宋体"/>
          <w:b/>
          <w:color w:val="auto"/>
          <w:sz w:val="21"/>
          <w:szCs w:val="21"/>
          <w:highlight w:val="none"/>
          <w:lang w:val="en-US" w:eastAsia="zh-CN"/>
        </w:rPr>
        <w:t>合同</w:t>
      </w:r>
      <w:r>
        <w:rPr>
          <w:rFonts w:hint="eastAsia" w:ascii="宋体" w:hAnsi="宋体"/>
          <w:b/>
          <w:color w:val="auto"/>
          <w:sz w:val="21"/>
          <w:szCs w:val="21"/>
          <w:highlight w:val="none"/>
        </w:rPr>
        <w:t>附件8：《承运单》</w:t>
      </w:r>
      <w:bookmarkEnd w:id="375"/>
      <w:bookmarkEnd w:id="376"/>
      <w:bookmarkEnd w:id="377"/>
      <w:bookmarkEnd w:id="378"/>
      <w:bookmarkEnd w:id="379"/>
      <w:bookmarkEnd w:id="380"/>
      <w:bookmarkEnd w:id="381"/>
      <w:bookmarkEnd w:id="382"/>
      <w:bookmarkEnd w:id="383"/>
      <w:bookmarkEnd w:id="384"/>
      <w:bookmarkEnd w:id="385"/>
      <w:bookmarkEnd w:id="386"/>
      <w:bookmarkEnd w:id="387"/>
    </w:p>
    <w:tbl>
      <w:tblPr>
        <w:tblStyle w:val="30"/>
        <w:tblW w:w="5000" w:type="pct"/>
        <w:jc w:val="center"/>
        <w:tblLayout w:type="fixed"/>
        <w:tblCellMar>
          <w:top w:w="0" w:type="dxa"/>
          <w:left w:w="108" w:type="dxa"/>
          <w:bottom w:w="0" w:type="dxa"/>
          <w:right w:w="108" w:type="dxa"/>
        </w:tblCellMar>
      </w:tblPr>
      <w:tblGrid>
        <w:gridCol w:w="966"/>
        <w:gridCol w:w="973"/>
        <w:gridCol w:w="1024"/>
        <w:gridCol w:w="661"/>
        <w:gridCol w:w="1011"/>
        <w:gridCol w:w="1071"/>
        <w:gridCol w:w="1183"/>
        <w:gridCol w:w="816"/>
        <w:gridCol w:w="817"/>
      </w:tblGrid>
      <w:tr w14:paraId="54449ACC">
        <w:tblPrEx>
          <w:tblCellMar>
            <w:top w:w="0" w:type="dxa"/>
            <w:left w:w="108" w:type="dxa"/>
            <w:bottom w:w="0" w:type="dxa"/>
            <w:right w:w="108" w:type="dxa"/>
          </w:tblCellMar>
        </w:tblPrEx>
        <w:trPr>
          <w:trHeight w:val="500" w:hRule="atLeast"/>
          <w:jc w:val="center"/>
        </w:trPr>
        <w:tc>
          <w:tcPr>
            <w:tcW w:w="5000" w:type="pct"/>
            <w:gridSpan w:val="9"/>
            <w:tcBorders>
              <w:top w:val="nil"/>
              <w:left w:val="nil"/>
              <w:bottom w:val="nil"/>
              <w:right w:val="nil"/>
            </w:tcBorders>
            <w:noWrap/>
            <w:vAlign w:val="center"/>
          </w:tcPr>
          <w:p w14:paraId="5DDCDB7E">
            <w:pPr>
              <w:jc w:val="both"/>
              <w:textAlignment w:val="center"/>
              <w:outlineLvl w:val="9"/>
              <w:rPr>
                <w:rFonts w:hAnsi="宋体" w:cs="宋体"/>
                <w:b/>
                <w:bCs/>
                <w:color w:val="auto"/>
                <w:szCs w:val="21"/>
                <w:highlight w:val="none"/>
              </w:rPr>
            </w:pPr>
            <w:r>
              <w:rPr>
                <w:rFonts w:hint="eastAsia" w:hAnsi="宋体" w:cs="宋体"/>
                <w:b/>
                <w:bCs/>
                <w:color w:val="auto"/>
                <w:szCs w:val="21"/>
                <w:highlight w:val="none"/>
              </w:rPr>
              <w:t xml:space="preserve">承  运  单                                                   </w:t>
            </w:r>
            <w:r>
              <w:rPr>
                <w:rStyle w:val="85"/>
                <w:rFonts w:hint="default"/>
                <w:color w:val="auto"/>
                <w:sz w:val="21"/>
                <w:szCs w:val="21"/>
                <w:highlight w:val="none"/>
              </w:rPr>
              <w:t xml:space="preserve"> 编号：  XXXXXXXXX   </w:t>
            </w:r>
          </w:p>
        </w:tc>
      </w:tr>
      <w:tr w14:paraId="33700ECB">
        <w:tblPrEx>
          <w:tblCellMar>
            <w:top w:w="0" w:type="dxa"/>
            <w:left w:w="108" w:type="dxa"/>
            <w:bottom w:w="0" w:type="dxa"/>
            <w:right w:w="108" w:type="dxa"/>
          </w:tblCellMar>
        </w:tblPrEx>
        <w:trPr>
          <w:trHeight w:val="48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50812F8E">
            <w:pPr>
              <w:jc w:val="center"/>
              <w:textAlignment w:val="center"/>
              <w:outlineLvl w:val="9"/>
              <w:rPr>
                <w:rFonts w:hAnsi="宋体" w:cs="宋体"/>
                <w:color w:val="auto"/>
                <w:szCs w:val="21"/>
                <w:highlight w:val="none"/>
              </w:rPr>
            </w:pPr>
            <w:r>
              <w:rPr>
                <w:rFonts w:hint="eastAsia" w:hAnsi="宋体" w:cs="宋体"/>
                <w:color w:val="auto"/>
                <w:szCs w:val="21"/>
                <w:highlight w:val="none"/>
              </w:rPr>
              <w:t>产废单位：</w:t>
            </w:r>
          </w:p>
        </w:tc>
        <w:tc>
          <w:tcPr>
            <w:tcW w:w="1559" w:type="pct"/>
            <w:gridSpan w:val="3"/>
            <w:tcBorders>
              <w:top w:val="single" w:color="000000" w:sz="4" w:space="0"/>
              <w:left w:val="single" w:color="000000" w:sz="4" w:space="0"/>
              <w:bottom w:val="single" w:color="000000" w:sz="4" w:space="0"/>
              <w:right w:val="single" w:color="000000" w:sz="4" w:space="0"/>
            </w:tcBorders>
            <w:noWrap/>
            <w:vAlign w:val="center"/>
          </w:tcPr>
          <w:p w14:paraId="11BF46C2">
            <w:pP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186F4468">
            <w:pPr>
              <w:jc w:val="both"/>
              <w:textAlignment w:val="center"/>
              <w:outlineLvl w:val="9"/>
              <w:rPr>
                <w:rFonts w:hAnsi="宋体" w:cs="宋体"/>
                <w:color w:val="auto"/>
                <w:szCs w:val="21"/>
                <w:highlight w:val="none"/>
              </w:rPr>
            </w:pPr>
            <w:r>
              <w:rPr>
                <w:rFonts w:hint="eastAsia" w:hAnsi="宋体" w:cs="宋体"/>
                <w:color w:val="auto"/>
                <w:szCs w:val="21"/>
                <w:highlight w:val="none"/>
              </w:rPr>
              <w:t>收运日期：</w:t>
            </w:r>
          </w:p>
        </w:tc>
        <w:tc>
          <w:tcPr>
            <w:tcW w:w="2280" w:type="pct"/>
            <w:gridSpan w:val="4"/>
            <w:tcBorders>
              <w:top w:val="single" w:color="000000" w:sz="4" w:space="0"/>
              <w:left w:val="single" w:color="000000" w:sz="4" w:space="0"/>
              <w:bottom w:val="single" w:color="000000" w:sz="4" w:space="0"/>
              <w:right w:val="single" w:color="000000" w:sz="4" w:space="0"/>
            </w:tcBorders>
            <w:noWrap/>
            <w:vAlign w:val="center"/>
          </w:tcPr>
          <w:p w14:paraId="194A292E">
            <w:pPr>
              <w:textAlignment w:val="center"/>
              <w:outlineLvl w:val="9"/>
              <w:rPr>
                <w:rFonts w:hAnsi="宋体" w:cs="宋体"/>
                <w:color w:val="auto"/>
                <w:szCs w:val="21"/>
                <w:highlight w:val="none"/>
              </w:rPr>
            </w:pPr>
            <w:r>
              <w:rPr>
                <w:rFonts w:hint="eastAsia" w:hAnsi="宋体" w:cs="宋体"/>
                <w:color w:val="auto"/>
                <w:szCs w:val="21"/>
                <w:highlight w:val="none"/>
              </w:rPr>
              <w:t>XX年XX月XX日</w:t>
            </w:r>
          </w:p>
        </w:tc>
      </w:tr>
      <w:tr w14:paraId="25B92345">
        <w:tblPrEx>
          <w:tblCellMar>
            <w:top w:w="0" w:type="dxa"/>
            <w:left w:w="108" w:type="dxa"/>
            <w:bottom w:w="0" w:type="dxa"/>
            <w:right w:w="108" w:type="dxa"/>
          </w:tblCellMar>
        </w:tblPrEx>
        <w:trPr>
          <w:trHeight w:val="500"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4BEB334F">
            <w:pPr>
              <w:jc w:val="center"/>
              <w:textAlignment w:val="center"/>
              <w:outlineLvl w:val="9"/>
              <w:rPr>
                <w:rFonts w:hAnsi="宋体" w:cs="宋体"/>
                <w:color w:val="auto"/>
                <w:szCs w:val="21"/>
                <w:highlight w:val="none"/>
              </w:rPr>
            </w:pPr>
            <w:r>
              <w:rPr>
                <w:rFonts w:hint="eastAsia" w:hAnsi="宋体" w:cs="宋体"/>
                <w:color w:val="auto"/>
                <w:szCs w:val="21"/>
                <w:highlight w:val="none"/>
              </w:rPr>
              <w:t>运输单位：</w:t>
            </w:r>
          </w:p>
        </w:tc>
        <w:tc>
          <w:tcPr>
            <w:tcW w:w="1559" w:type="pct"/>
            <w:gridSpan w:val="3"/>
            <w:tcBorders>
              <w:top w:val="single" w:color="000000" w:sz="4" w:space="0"/>
              <w:left w:val="single" w:color="000000" w:sz="4" w:space="0"/>
              <w:bottom w:val="single" w:color="000000" w:sz="4" w:space="0"/>
              <w:right w:val="single" w:color="000000" w:sz="4" w:space="0"/>
            </w:tcBorders>
            <w:noWrap/>
            <w:vAlign w:val="center"/>
          </w:tcPr>
          <w:p w14:paraId="30A45295">
            <w:pPr>
              <w:outlineLvl w:val="9"/>
              <w:rPr>
                <w:rFonts w:hAnsi="宋体" w:cs="宋体"/>
                <w:color w:val="auto"/>
                <w:szCs w:val="21"/>
                <w:highlight w:val="none"/>
              </w:rPr>
            </w:pPr>
          </w:p>
        </w:tc>
        <w:tc>
          <w:tcPr>
            <w:tcW w:w="593" w:type="pct"/>
            <w:vMerge w:val="restart"/>
            <w:tcBorders>
              <w:top w:val="single" w:color="000000" w:sz="4" w:space="0"/>
              <w:left w:val="single" w:color="000000" w:sz="4" w:space="0"/>
              <w:bottom w:val="single" w:color="000000" w:sz="4" w:space="0"/>
              <w:right w:val="single" w:color="000000" w:sz="4" w:space="0"/>
            </w:tcBorders>
            <w:vAlign w:val="center"/>
          </w:tcPr>
          <w:p w14:paraId="6F3B9670">
            <w:pPr>
              <w:jc w:val="center"/>
              <w:textAlignment w:val="center"/>
              <w:outlineLvl w:val="9"/>
              <w:rPr>
                <w:rFonts w:hAnsi="宋体" w:cs="宋体"/>
                <w:color w:val="auto"/>
                <w:szCs w:val="21"/>
                <w:highlight w:val="none"/>
              </w:rPr>
            </w:pPr>
            <w:r>
              <w:rPr>
                <w:rFonts w:hint="eastAsia" w:hAnsi="宋体" w:cs="宋体"/>
                <w:color w:val="auto"/>
                <w:szCs w:val="21"/>
                <w:highlight w:val="none"/>
              </w:rPr>
              <w:t>收运地址</w:t>
            </w:r>
          </w:p>
          <w:p w14:paraId="0B4DE6B4">
            <w:pPr>
              <w:jc w:val="center"/>
              <w:textAlignment w:val="center"/>
              <w:outlineLvl w:val="9"/>
              <w:rPr>
                <w:rFonts w:hAnsi="宋体" w:cs="宋体"/>
                <w:color w:val="auto"/>
                <w:szCs w:val="21"/>
                <w:highlight w:val="none"/>
              </w:rPr>
            </w:pPr>
            <w:r>
              <w:rPr>
                <w:rFonts w:hint="eastAsia" w:hAnsi="宋体" w:cs="宋体"/>
                <w:color w:val="auto"/>
                <w:szCs w:val="21"/>
                <w:highlight w:val="none"/>
              </w:rPr>
              <w:t>所属区域</w:t>
            </w:r>
          </w:p>
        </w:tc>
        <w:tc>
          <w:tcPr>
            <w:tcW w:w="2280" w:type="pct"/>
            <w:gridSpan w:val="4"/>
            <w:vMerge w:val="restart"/>
            <w:tcBorders>
              <w:top w:val="single" w:color="000000" w:sz="4" w:space="0"/>
              <w:left w:val="single" w:color="000000" w:sz="4" w:space="0"/>
              <w:bottom w:val="single" w:color="000000" w:sz="4" w:space="0"/>
              <w:right w:val="single" w:color="000000" w:sz="4" w:space="0"/>
            </w:tcBorders>
            <w:vAlign w:val="center"/>
          </w:tcPr>
          <w:p w14:paraId="41C9BA81">
            <w:pPr>
              <w:jc w:val="both"/>
              <w:textAlignment w:val="center"/>
              <w:outlineLvl w:val="9"/>
              <w:rPr>
                <w:rFonts w:hAnsi="宋体" w:cs="宋体"/>
                <w:color w:val="auto"/>
                <w:szCs w:val="21"/>
                <w:highlight w:val="none"/>
              </w:rPr>
            </w:pPr>
            <w:r>
              <w:rPr>
                <w:rFonts w:hint="eastAsia" w:hAnsi="宋体" w:cs="宋体"/>
                <w:color w:val="auto"/>
                <w:szCs w:val="21"/>
                <w:highlight w:val="none"/>
              </w:rPr>
              <w:t>□东莞 □广州 □深圳 □惠州 □中山</w:t>
            </w:r>
          </w:p>
          <w:p w14:paraId="5C40BA99">
            <w:pPr>
              <w:jc w:val="both"/>
              <w:textAlignment w:val="center"/>
              <w:outlineLvl w:val="9"/>
              <w:rPr>
                <w:rFonts w:hAnsi="宋体" w:cs="宋体"/>
                <w:color w:val="auto"/>
                <w:szCs w:val="21"/>
                <w:highlight w:val="none"/>
              </w:rPr>
            </w:pPr>
            <w:r>
              <w:rPr>
                <w:rFonts w:hint="eastAsia" w:hAnsi="宋体" w:cs="宋体"/>
                <w:color w:val="auto"/>
                <w:szCs w:val="21"/>
                <w:highlight w:val="none"/>
              </w:rPr>
              <w:t>□佛山 □珠海 □江门 □肇庆 □云浮</w:t>
            </w:r>
          </w:p>
          <w:p w14:paraId="2D8A284E">
            <w:pPr>
              <w:jc w:val="both"/>
              <w:textAlignment w:val="center"/>
              <w:outlineLvl w:val="9"/>
              <w:rPr>
                <w:rFonts w:hAnsi="宋体" w:cs="宋体"/>
                <w:color w:val="auto"/>
                <w:szCs w:val="21"/>
                <w:highlight w:val="none"/>
              </w:rPr>
            </w:pPr>
            <w:r>
              <w:rPr>
                <w:rFonts w:hint="eastAsia" w:hAnsi="宋体" w:cs="宋体"/>
                <w:color w:val="auto"/>
                <w:szCs w:val="21"/>
                <w:highlight w:val="none"/>
              </w:rPr>
              <w:t>□清远 □茂名 □湛江 □阳江 □汕尾</w:t>
            </w:r>
          </w:p>
          <w:p w14:paraId="215063CB">
            <w:pPr>
              <w:jc w:val="both"/>
              <w:textAlignment w:val="center"/>
              <w:outlineLvl w:val="9"/>
              <w:rPr>
                <w:rFonts w:hAnsi="宋体" w:cs="宋体"/>
                <w:color w:val="auto"/>
                <w:szCs w:val="21"/>
                <w:highlight w:val="none"/>
              </w:rPr>
            </w:pPr>
            <w:r>
              <w:rPr>
                <w:rFonts w:hint="eastAsia" w:hAnsi="宋体" w:cs="宋体"/>
                <w:color w:val="auto"/>
                <w:szCs w:val="21"/>
                <w:highlight w:val="none"/>
              </w:rPr>
              <w:t>□韶关 □揭阳 □河源 □梅州 □潮州</w:t>
            </w:r>
          </w:p>
          <w:p w14:paraId="6F4ABBAC">
            <w:pPr>
              <w:jc w:val="both"/>
              <w:textAlignment w:val="center"/>
              <w:outlineLvl w:val="9"/>
              <w:rPr>
                <w:rFonts w:hAnsi="宋体" w:cs="宋体"/>
                <w:color w:val="auto"/>
                <w:szCs w:val="21"/>
                <w:highlight w:val="none"/>
              </w:rPr>
            </w:pPr>
            <w:r>
              <w:rPr>
                <w:rFonts w:hint="eastAsia" w:hAnsi="宋体" w:cs="宋体"/>
                <w:color w:val="auto"/>
                <w:szCs w:val="21"/>
                <w:highlight w:val="none"/>
              </w:rPr>
              <w:t>□汕头</w:t>
            </w:r>
          </w:p>
        </w:tc>
      </w:tr>
      <w:tr w14:paraId="31FDFD03">
        <w:tblPrEx>
          <w:tblCellMar>
            <w:top w:w="0" w:type="dxa"/>
            <w:left w:w="108" w:type="dxa"/>
            <w:bottom w:w="0" w:type="dxa"/>
            <w:right w:w="108" w:type="dxa"/>
          </w:tblCellMar>
        </w:tblPrEx>
        <w:trPr>
          <w:trHeight w:val="500"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46C8C1CA">
            <w:pPr>
              <w:jc w:val="center"/>
              <w:textAlignment w:val="center"/>
              <w:outlineLvl w:val="9"/>
              <w:rPr>
                <w:rFonts w:hAnsi="宋体" w:cs="宋体"/>
                <w:color w:val="auto"/>
                <w:szCs w:val="21"/>
                <w:highlight w:val="none"/>
              </w:rPr>
            </w:pPr>
            <w:r>
              <w:rPr>
                <w:rFonts w:hint="eastAsia" w:hAnsi="宋体" w:cs="宋体"/>
                <w:color w:val="auto"/>
                <w:szCs w:val="21"/>
                <w:highlight w:val="none"/>
              </w:rPr>
              <w:t>处置单位：</w:t>
            </w:r>
          </w:p>
        </w:tc>
        <w:tc>
          <w:tcPr>
            <w:tcW w:w="1559" w:type="pct"/>
            <w:gridSpan w:val="3"/>
            <w:tcBorders>
              <w:top w:val="single" w:color="000000" w:sz="4" w:space="0"/>
              <w:left w:val="single" w:color="000000" w:sz="4" w:space="0"/>
              <w:bottom w:val="single" w:color="000000" w:sz="4" w:space="0"/>
              <w:right w:val="single" w:color="000000" w:sz="4" w:space="0"/>
            </w:tcBorders>
            <w:noWrap/>
            <w:vAlign w:val="center"/>
          </w:tcPr>
          <w:p w14:paraId="08A40CBC">
            <w:pPr>
              <w:textAlignment w:val="center"/>
              <w:outlineLvl w:val="9"/>
              <w:rPr>
                <w:rFonts w:hAnsi="宋体" w:cs="宋体"/>
                <w:color w:val="auto"/>
                <w:szCs w:val="21"/>
                <w:highlight w:val="none"/>
              </w:rPr>
            </w:pPr>
            <w:r>
              <w:rPr>
                <w:rFonts w:hint="eastAsia" w:hAnsi="宋体" w:cs="宋体"/>
                <w:color w:val="auto"/>
                <w:szCs w:val="21"/>
                <w:highlight w:val="none"/>
              </w:rPr>
              <w:t>东莞市新东欣环保投资有限公司</w:t>
            </w:r>
          </w:p>
        </w:tc>
        <w:tc>
          <w:tcPr>
            <w:tcW w:w="593" w:type="pct"/>
            <w:vMerge w:val="continue"/>
            <w:tcBorders>
              <w:top w:val="single" w:color="000000" w:sz="4" w:space="0"/>
              <w:left w:val="single" w:color="000000" w:sz="4" w:space="0"/>
              <w:bottom w:val="single" w:color="000000" w:sz="4" w:space="0"/>
              <w:right w:val="single" w:color="000000" w:sz="4" w:space="0"/>
            </w:tcBorders>
            <w:vAlign w:val="center"/>
          </w:tcPr>
          <w:p w14:paraId="7BA28A82">
            <w:pPr>
              <w:jc w:val="center"/>
              <w:outlineLvl w:val="9"/>
              <w:rPr>
                <w:rFonts w:hAnsi="宋体" w:cs="宋体"/>
                <w:color w:val="auto"/>
                <w:szCs w:val="21"/>
                <w:highlight w:val="none"/>
              </w:rPr>
            </w:pPr>
          </w:p>
        </w:tc>
        <w:tc>
          <w:tcPr>
            <w:tcW w:w="2280"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437C43F2">
            <w:pPr>
              <w:jc w:val="both"/>
              <w:outlineLvl w:val="9"/>
              <w:rPr>
                <w:rFonts w:hAnsi="宋体" w:cs="宋体"/>
                <w:color w:val="auto"/>
                <w:szCs w:val="21"/>
                <w:highlight w:val="none"/>
              </w:rPr>
            </w:pPr>
          </w:p>
        </w:tc>
      </w:tr>
      <w:tr w14:paraId="3F2D390B">
        <w:tblPrEx>
          <w:tblCellMar>
            <w:top w:w="0" w:type="dxa"/>
            <w:left w:w="108" w:type="dxa"/>
            <w:bottom w:w="0" w:type="dxa"/>
            <w:right w:w="108" w:type="dxa"/>
          </w:tblCellMar>
        </w:tblPrEx>
        <w:trPr>
          <w:trHeight w:val="810"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79C4226D">
            <w:pPr>
              <w:jc w:val="center"/>
              <w:textAlignment w:val="center"/>
              <w:outlineLvl w:val="9"/>
              <w:rPr>
                <w:rFonts w:hAnsi="宋体" w:cs="宋体"/>
                <w:color w:val="auto"/>
                <w:szCs w:val="21"/>
                <w:highlight w:val="none"/>
              </w:rPr>
            </w:pPr>
            <w:r>
              <w:rPr>
                <w:rFonts w:hint="eastAsia" w:hAnsi="宋体" w:cs="宋体"/>
                <w:color w:val="auto"/>
                <w:szCs w:val="21"/>
                <w:highlight w:val="none"/>
              </w:rPr>
              <w:t>序号</w:t>
            </w:r>
          </w:p>
        </w:tc>
        <w:tc>
          <w:tcPr>
            <w:tcW w:w="570" w:type="pct"/>
            <w:tcBorders>
              <w:top w:val="single" w:color="000000" w:sz="4" w:space="0"/>
              <w:left w:val="single" w:color="000000" w:sz="4" w:space="0"/>
              <w:bottom w:val="single" w:color="000000" w:sz="4" w:space="0"/>
              <w:right w:val="single" w:color="000000" w:sz="4" w:space="0"/>
            </w:tcBorders>
            <w:vAlign w:val="center"/>
          </w:tcPr>
          <w:p w14:paraId="45631571">
            <w:pPr>
              <w:jc w:val="center"/>
              <w:textAlignment w:val="center"/>
              <w:outlineLvl w:val="9"/>
              <w:rPr>
                <w:rFonts w:hAnsi="宋体" w:cs="宋体"/>
                <w:color w:val="auto"/>
                <w:szCs w:val="21"/>
                <w:highlight w:val="none"/>
              </w:rPr>
            </w:pPr>
            <w:r>
              <w:rPr>
                <w:rFonts w:hint="eastAsia" w:hAnsi="宋体" w:cs="宋体"/>
                <w:color w:val="auto"/>
                <w:szCs w:val="21"/>
                <w:highlight w:val="none"/>
              </w:rPr>
              <w:t>废物名称</w:t>
            </w:r>
          </w:p>
          <w:p w14:paraId="117292C9">
            <w:pPr>
              <w:jc w:val="center"/>
              <w:textAlignment w:val="center"/>
              <w:outlineLvl w:val="9"/>
              <w:rPr>
                <w:rFonts w:hAnsi="宋体" w:cs="宋体"/>
                <w:color w:val="auto"/>
                <w:szCs w:val="21"/>
                <w:highlight w:val="none"/>
              </w:rPr>
            </w:pPr>
            <w:r>
              <w:rPr>
                <w:rFonts w:hint="eastAsia" w:hAnsi="宋体" w:cs="宋体"/>
                <w:color w:val="auto"/>
                <w:szCs w:val="21"/>
                <w:highlight w:val="none"/>
              </w:rPr>
              <w:t>（按合同废物名称，每种废物写一行）</w:t>
            </w:r>
          </w:p>
        </w:tc>
        <w:tc>
          <w:tcPr>
            <w:tcW w:w="600" w:type="pct"/>
            <w:tcBorders>
              <w:top w:val="single" w:color="000000" w:sz="4" w:space="0"/>
              <w:left w:val="single" w:color="000000" w:sz="4" w:space="0"/>
              <w:bottom w:val="single" w:color="000000" w:sz="4" w:space="0"/>
              <w:right w:val="single" w:color="000000" w:sz="4" w:space="0"/>
            </w:tcBorders>
            <w:vAlign w:val="center"/>
          </w:tcPr>
          <w:p w14:paraId="7FB1EEAB">
            <w:pPr>
              <w:jc w:val="center"/>
              <w:textAlignment w:val="center"/>
              <w:outlineLvl w:val="9"/>
              <w:rPr>
                <w:rFonts w:hAnsi="宋体" w:cs="宋体"/>
                <w:color w:val="auto"/>
                <w:szCs w:val="21"/>
                <w:highlight w:val="none"/>
              </w:rPr>
            </w:pPr>
            <w:r>
              <w:rPr>
                <w:rFonts w:hint="eastAsia" w:hAnsi="宋体" w:cs="宋体"/>
                <w:color w:val="auto"/>
                <w:szCs w:val="21"/>
                <w:highlight w:val="none"/>
              </w:rPr>
              <w:t>包装方式</w:t>
            </w:r>
          </w:p>
          <w:p w14:paraId="5A903218">
            <w:pPr>
              <w:jc w:val="center"/>
              <w:textAlignment w:val="center"/>
              <w:outlineLvl w:val="9"/>
              <w:rPr>
                <w:rFonts w:hAnsi="宋体" w:cs="宋体"/>
                <w:color w:val="auto"/>
                <w:szCs w:val="21"/>
                <w:highlight w:val="none"/>
              </w:rPr>
            </w:pPr>
            <w:r>
              <w:rPr>
                <w:rFonts w:hint="eastAsia" w:hAnsi="宋体" w:cs="宋体"/>
                <w:color w:val="auto"/>
                <w:szCs w:val="21"/>
                <w:highlight w:val="none"/>
              </w:rPr>
              <w:t>（桶/袋/散装）</w:t>
            </w:r>
          </w:p>
        </w:tc>
        <w:tc>
          <w:tcPr>
            <w:tcW w:w="387" w:type="pct"/>
            <w:tcBorders>
              <w:top w:val="single" w:color="000000" w:sz="4" w:space="0"/>
              <w:left w:val="single" w:color="000000" w:sz="4" w:space="0"/>
              <w:bottom w:val="single" w:color="000000" w:sz="4" w:space="0"/>
              <w:right w:val="single" w:color="000000" w:sz="4" w:space="0"/>
            </w:tcBorders>
            <w:vAlign w:val="center"/>
          </w:tcPr>
          <w:p w14:paraId="22F12F4B">
            <w:pPr>
              <w:jc w:val="both"/>
              <w:textAlignment w:val="center"/>
              <w:outlineLvl w:val="9"/>
              <w:rPr>
                <w:rFonts w:hAnsi="宋体" w:cs="宋体"/>
                <w:color w:val="auto"/>
                <w:szCs w:val="21"/>
                <w:highlight w:val="none"/>
              </w:rPr>
            </w:pPr>
            <w:r>
              <w:rPr>
                <w:rFonts w:hint="eastAsia" w:hAnsi="宋体" w:cs="宋体"/>
                <w:color w:val="auto"/>
                <w:szCs w:val="21"/>
                <w:highlight w:val="none"/>
              </w:rPr>
              <w:t>包装物规格</w:t>
            </w:r>
          </w:p>
          <w:p w14:paraId="43C7B881">
            <w:pPr>
              <w:jc w:val="both"/>
              <w:textAlignment w:val="center"/>
              <w:outlineLvl w:val="9"/>
              <w:rPr>
                <w:rFonts w:hAnsi="宋体" w:cs="宋体"/>
                <w:color w:val="auto"/>
                <w:szCs w:val="21"/>
                <w:highlight w:val="none"/>
              </w:rPr>
            </w:pPr>
            <w:r>
              <w:rPr>
                <w:rFonts w:hint="eastAsia" w:hAnsi="宋体" w:cs="宋体"/>
                <w:color w:val="auto"/>
                <w:szCs w:val="21"/>
                <w:highlight w:val="none"/>
              </w:rPr>
              <w:t>(L/KG)</w:t>
            </w:r>
          </w:p>
        </w:tc>
        <w:tc>
          <w:tcPr>
            <w:tcW w:w="593" w:type="pct"/>
            <w:tcBorders>
              <w:top w:val="single" w:color="000000" w:sz="4" w:space="0"/>
              <w:left w:val="single" w:color="000000" w:sz="4" w:space="0"/>
              <w:bottom w:val="single" w:color="000000" w:sz="4" w:space="0"/>
              <w:right w:val="single" w:color="000000" w:sz="4" w:space="0"/>
            </w:tcBorders>
            <w:vAlign w:val="center"/>
          </w:tcPr>
          <w:p w14:paraId="371B7521">
            <w:pPr>
              <w:jc w:val="center"/>
              <w:textAlignment w:val="center"/>
              <w:outlineLvl w:val="9"/>
              <w:rPr>
                <w:rFonts w:hAnsi="宋体" w:cs="宋体"/>
                <w:color w:val="auto"/>
                <w:szCs w:val="21"/>
                <w:highlight w:val="none"/>
              </w:rPr>
            </w:pPr>
            <w:r>
              <w:rPr>
                <w:rFonts w:hint="eastAsia" w:hAnsi="宋体" w:cs="宋体"/>
                <w:color w:val="auto"/>
                <w:szCs w:val="21"/>
                <w:highlight w:val="none"/>
              </w:rPr>
              <w:t>数量</w:t>
            </w:r>
          </w:p>
          <w:p w14:paraId="2CAAEDF7">
            <w:pPr>
              <w:jc w:val="center"/>
              <w:textAlignment w:val="center"/>
              <w:outlineLvl w:val="9"/>
              <w:rPr>
                <w:rFonts w:hAnsi="宋体" w:cs="宋体"/>
                <w:color w:val="auto"/>
                <w:szCs w:val="21"/>
                <w:highlight w:val="none"/>
              </w:rPr>
            </w:pPr>
            <w:r>
              <w:rPr>
                <w:rFonts w:hint="eastAsia" w:hAnsi="宋体" w:cs="宋体"/>
                <w:color w:val="auto"/>
                <w:szCs w:val="21"/>
                <w:highlight w:val="none"/>
              </w:rPr>
              <w:t>（个）</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1EDB4BC">
            <w:pPr>
              <w:jc w:val="center"/>
              <w:textAlignment w:val="center"/>
              <w:outlineLvl w:val="9"/>
              <w:rPr>
                <w:rFonts w:hAnsi="宋体" w:cs="宋体"/>
                <w:color w:val="auto"/>
                <w:szCs w:val="21"/>
                <w:highlight w:val="none"/>
              </w:rPr>
            </w:pPr>
            <w:r>
              <w:rPr>
                <w:rFonts w:hint="eastAsia" w:hAnsi="宋体" w:cs="宋体"/>
                <w:color w:val="auto"/>
                <w:szCs w:val="21"/>
                <w:highlight w:val="none"/>
              </w:rPr>
              <w:t>废物毛重</w:t>
            </w:r>
          </w:p>
          <w:p w14:paraId="4679B4AE">
            <w:pPr>
              <w:jc w:val="center"/>
              <w:textAlignment w:val="center"/>
              <w:outlineLvl w:val="9"/>
              <w:rPr>
                <w:rFonts w:hAnsi="宋体" w:cs="宋体"/>
                <w:b/>
                <w:bCs/>
                <w:color w:val="auto"/>
                <w:szCs w:val="21"/>
                <w:highlight w:val="none"/>
              </w:rPr>
            </w:pPr>
            <w:r>
              <w:rPr>
                <w:rFonts w:hint="eastAsia" w:hAnsi="宋体" w:cs="宋体"/>
                <w:color w:val="auto"/>
                <w:szCs w:val="21"/>
                <w:highlight w:val="none"/>
              </w:rPr>
              <w:t>（KG）</w:t>
            </w: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315339F9">
            <w:pPr>
              <w:jc w:val="both"/>
              <w:textAlignment w:val="center"/>
              <w:outlineLvl w:val="9"/>
              <w:rPr>
                <w:rStyle w:val="86"/>
                <w:rFonts w:ascii="宋体" w:hAnsi="宋体" w:eastAsia="宋体" w:cs="宋体"/>
                <w:b w:val="0"/>
                <w:bCs w:val="0"/>
                <w:color w:val="auto"/>
                <w:sz w:val="21"/>
                <w:szCs w:val="21"/>
                <w:highlight w:val="none"/>
              </w:rPr>
            </w:pPr>
            <w:r>
              <w:rPr>
                <w:rStyle w:val="86"/>
                <w:rFonts w:hint="eastAsia" w:ascii="宋体" w:hAnsi="宋体" w:eastAsia="宋体" w:cs="宋体"/>
                <w:b w:val="0"/>
                <w:bCs w:val="0"/>
                <w:color w:val="auto"/>
                <w:sz w:val="21"/>
                <w:szCs w:val="21"/>
                <w:highlight w:val="none"/>
              </w:rPr>
              <w:t>（卡板/桶）皮重</w:t>
            </w:r>
          </w:p>
          <w:p w14:paraId="218A3EDB">
            <w:pPr>
              <w:jc w:val="center"/>
              <w:textAlignment w:val="center"/>
              <w:outlineLvl w:val="9"/>
              <w:rPr>
                <w:rFonts w:hAnsi="宋体" w:cs="宋体"/>
                <w:b/>
                <w:bCs/>
                <w:color w:val="auto"/>
                <w:szCs w:val="21"/>
                <w:highlight w:val="none"/>
              </w:rPr>
            </w:pPr>
            <w:r>
              <w:rPr>
                <w:rFonts w:hint="eastAsia" w:hAnsi="宋体" w:cs="宋体"/>
                <w:color w:val="auto"/>
                <w:szCs w:val="21"/>
                <w:highlight w:val="none"/>
              </w:rPr>
              <w:t>（KG）</w:t>
            </w: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341BAAE2">
            <w:pPr>
              <w:jc w:val="center"/>
              <w:textAlignment w:val="center"/>
              <w:outlineLvl w:val="9"/>
              <w:rPr>
                <w:rFonts w:hAnsi="宋体" w:cs="宋体"/>
                <w:color w:val="auto"/>
                <w:szCs w:val="21"/>
                <w:highlight w:val="none"/>
              </w:rPr>
            </w:pPr>
            <w:r>
              <w:rPr>
                <w:rFonts w:hint="eastAsia" w:hAnsi="宋体" w:cs="宋体"/>
                <w:color w:val="auto"/>
                <w:szCs w:val="21"/>
                <w:highlight w:val="none"/>
              </w:rPr>
              <w:t>废物净重</w:t>
            </w:r>
          </w:p>
          <w:p w14:paraId="01E563C6">
            <w:pPr>
              <w:jc w:val="center"/>
              <w:textAlignment w:val="center"/>
              <w:outlineLvl w:val="9"/>
              <w:rPr>
                <w:rFonts w:hAnsi="宋体" w:cs="宋体"/>
                <w:color w:val="auto"/>
                <w:szCs w:val="21"/>
                <w:highlight w:val="none"/>
              </w:rPr>
            </w:pPr>
            <w:r>
              <w:rPr>
                <w:rFonts w:hint="eastAsia" w:hAnsi="宋体" w:cs="宋体"/>
                <w:color w:val="auto"/>
                <w:szCs w:val="21"/>
                <w:highlight w:val="none"/>
              </w:rPr>
              <w:t>（KG）</w:t>
            </w:r>
          </w:p>
        </w:tc>
        <w:tc>
          <w:tcPr>
            <w:tcW w:w="479" w:type="pct"/>
            <w:tcBorders>
              <w:top w:val="single" w:color="000000" w:sz="4" w:space="0"/>
              <w:left w:val="single" w:color="000000" w:sz="4" w:space="0"/>
              <w:bottom w:val="single" w:color="000000" w:sz="4" w:space="0"/>
              <w:right w:val="single" w:color="000000" w:sz="4" w:space="0"/>
            </w:tcBorders>
            <w:vAlign w:val="center"/>
          </w:tcPr>
          <w:p w14:paraId="7E08646E">
            <w:pPr>
              <w:jc w:val="both"/>
              <w:textAlignment w:val="center"/>
              <w:outlineLvl w:val="9"/>
              <w:rPr>
                <w:rFonts w:hAnsi="宋体" w:cs="宋体"/>
                <w:color w:val="auto"/>
                <w:szCs w:val="21"/>
                <w:highlight w:val="none"/>
              </w:rPr>
            </w:pPr>
            <w:r>
              <w:rPr>
                <w:rFonts w:hint="eastAsia" w:hAnsi="宋体" w:cs="宋体"/>
                <w:color w:val="auto"/>
                <w:szCs w:val="21"/>
                <w:highlight w:val="none"/>
              </w:rPr>
              <w:t>扣皮个数说明或其他备注</w:t>
            </w:r>
          </w:p>
        </w:tc>
      </w:tr>
      <w:tr w14:paraId="32398132">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1BC14889">
            <w:pPr>
              <w:jc w:val="center"/>
              <w:textAlignment w:val="center"/>
              <w:outlineLvl w:val="9"/>
              <w:rPr>
                <w:rFonts w:hAnsi="宋体" w:cs="宋体"/>
                <w:color w:val="auto"/>
                <w:szCs w:val="21"/>
                <w:highlight w:val="none"/>
              </w:rPr>
            </w:pPr>
            <w:r>
              <w:rPr>
                <w:rFonts w:hint="eastAsia" w:hAnsi="宋体" w:cs="宋体"/>
                <w:color w:val="auto"/>
                <w:szCs w:val="21"/>
                <w:highlight w:val="none"/>
              </w:rPr>
              <w:t>1</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7D45ADA6">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4D28C38">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8A35A5B">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4EC3A67F">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2B06BEF">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256C13DA">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284E3A4D">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70410DB">
            <w:pPr>
              <w:jc w:val="center"/>
              <w:outlineLvl w:val="9"/>
              <w:rPr>
                <w:rFonts w:hAnsi="宋体" w:cs="宋体"/>
                <w:color w:val="auto"/>
                <w:szCs w:val="21"/>
                <w:highlight w:val="none"/>
              </w:rPr>
            </w:pPr>
          </w:p>
        </w:tc>
      </w:tr>
      <w:tr w14:paraId="71563B9D">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42DC218B">
            <w:pPr>
              <w:jc w:val="center"/>
              <w:textAlignment w:val="center"/>
              <w:outlineLvl w:val="9"/>
              <w:rPr>
                <w:rFonts w:hAnsi="宋体" w:cs="宋体"/>
                <w:color w:val="auto"/>
                <w:szCs w:val="21"/>
                <w:highlight w:val="none"/>
              </w:rPr>
            </w:pPr>
            <w:r>
              <w:rPr>
                <w:rFonts w:hint="eastAsia" w:hAnsi="宋体" w:cs="宋体"/>
                <w:color w:val="auto"/>
                <w:szCs w:val="21"/>
                <w:highlight w:val="none"/>
              </w:rPr>
              <w:t>2</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0BA1E84A">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23B009E">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F842124">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6880373A">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50A2526">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C9BB341">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49B7E4AD">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515DD10">
            <w:pPr>
              <w:jc w:val="center"/>
              <w:outlineLvl w:val="9"/>
              <w:rPr>
                <w:rFonts w:hAnsi="宋体" w:cs="宋体"/>
                <w:color w:val="auto"/>
                <w:szCs w:val="21"/>
                <w:highlight w:val="none"/>
              </w:rPr>
            </w:pPr>
          </w:p>
        </w:tc>
      </w:tr>
      <w:tr w14:paraId="704B98B6">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3A58E6A7">
            <w:pPr>
              <w:jc w:val="center"/>
              <w:textAlignment w:val="center"/>
              <w:outlineLvl w:val="9"/>
              <w:rPr>
                <w:rFonts w:hAnsi="宋体" w:cs="宋体"/>
                <w:color w:val="auto"/>
                <w:szCs w:val="21"/>
                <w:highlight w:val="none"/>
              </w:rPr>
            </w:pPr>
            <w:r>
              <w:rPr>
                <w:rFonts w:hint="eastAsia" w:hAnsi="宋体" w:cs="宋体"/>
                <w:color w:val="auto"/>
                <w:szCs w:val="21"/>
                <w:highlight w:val="none"/>
              </w:rPr>
              <w:t>3</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7B9214E">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70C6247">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20A730D2">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1E95E02F">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F0F939B">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4DCA228">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7EDEEDD5">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8FDA601">
            <w:pPr>
              <w:jc w:val="center"/>
              <w:outlineLvl w:val="9"/>
              <w:rPr>
                <w:rFonts w:hAnsi="宋体" w:cs="宋体"/>
                <w:color w:val="auto"/>
                <w:szCs w:val="21"/>
                <w:highlight w:val="none"/>
              </w:rPr>
            </w:pPr>
          </w:p>
        </w:tc>
      </w:tr>
      <w:tr w14:paraId="676569B8">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4C0187F2">
            <w:pPr>
              <w:jc w:val="center"/>
              <w:textAlignment w:val="center"/>
              <w:outlineLvl w:val="9"/>
              <w:rPr>
                <w:rFonts w:hAnsi="宋体" w:cs="宋体"/>
                <w:color w:val="auto"/>
                <w:szCs w:val="21"/>
                <w:highlight w:val="none"/>
              </w:rPr>
            </w:pPr>
            <w:r>
              <w:rPr>
                <w:rFonts w:hint="eastAsia" w:hAnsi="宋体" w:cs="宋体"/>
                <w:color w:val="auto"/>
                <w:szCs w:val="21"/>
                <w:highlight w:val="none"/>
              </w:rPr>
              <w:t>4</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763C758C">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4DBBEAF6">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6118651B">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3EF040AB">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004ACA36">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11B48B39">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4FF695E3">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F4F56A7">
            <w:pPr>
              <w:jc w:val="center"/>
              <w:outlineLvl w:val="9"/>
              <w:rPr>
                <w:rFonts w:hAnsi="宋体" w:cs="宋体"/>
                <w:color w:val="auto"/>
                <w:szCs w:val="21"/>
                <w:highlight w:val="none"/>
              </w:rPr>
            </w:pPr>
          </w:p>
        </w:tc>
      </w:tr>
      <w:tr w14:paraId="0ABA54A8">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39B9CB92">
            <w:pPr>
              <w:jc w:val="center"/>
              <w:textAlignment w:val="center"/>
              <w:outlineLvl w:val="9"/>
              <w:rPr>
                <w:rFonts w:hAnsi="宋体" w:cs="宋体"/>
                <w:color w:val="auto"/>
                <w:szCs w:val="21"/>
                <w:highlight w:val="none"/>
              </w:rPr>
            </w:pPr>
            <w:r>
              <w:rPr>
                <w:rFonts w:hint="eastAsia" w:hAnsi="宋体" w:cs="宋体"/>
                <w:color w:val="auto"/>
                <w:szCs w:val="21"/>
                <w:highlight w:val="none"/>
              </w:rPr>
              <w:t>5</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2751194B">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45372920">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9A55C44">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1A334894">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189C5DE">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63FDFEF">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3A103FAB">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5927591">
            <w:pPr>
              <w:jc w:val="center"/>
              <w:outlineLvl w:val="9"/>
              <w:rPr>
                <w:rFonts w:hAnsi="宋体" w:cs="宋体"/>
                <w:color w:val="auto"/>
                <w:szCs w:val="21"/>
                <w:highlight w:val="none"/>
              </w:rPr>
            </w:pPr>
          </w:p>
        </w:tc>
      </w:tr>
      <w:tr w14:paraId="31CB52AC">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55A56D40">
            <w:pPr>
              <w:jc w:val="center"/>
              <w:textAlignment w:val="center"/>
              <w:outlineLvl w:val="9"/>
              <w:rPr>
                <w:rFonts w:hAnsi="宋体" w:cs="宋体"/>
                <w:color w:val="auto"/>
                <w:szCs w:val="21"/>
                <w:highlight w:val="none"/>
              </w:rPr>
            </w:pPr>
            <w:r>
              <w:rPr>
                <w:rFonts w:hint="eastAsia" w:hAnsi="宋体" w:cs="宋体"/>
                <w:color w:val="auto"/>
                <w:szCs w:val="21"/>
                <w:highlight w:val="none"/>
              </w:rPr>
              <w:t>6</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75DFBB58">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566B3B0">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6C60B5D5">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7E539F25">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77F4553">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63606AE">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2DB08888">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17008FA">
            <w:pPr>
              <w:jc w:val="center"/>
              <w:outlineLvl w:val="9"/>
              <w:rPr>
                <w:rFonts w:hAnsi="宋体" w:cs="宋体"/>
                <w:color w:val="auto"/>
                <w:szCs w:val="21"/>
                <w:highlight w:val="none"/>
              </w:rPr>
            </w:pPr>
          </w:p>
        </w:tc>
      </w:tr>
      <w:tr w14:paraId="13C1AF60">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2F4602EF">
            <w:pPr>
              <w:jc w:val="center"/>
              <w:textAlignment w:val="center"/>
              <w:outlineLvl w:val="9"/>
              <w:rPr>
                <w:rFonts w:hAnsi="宋体" w:cs="宋体"/>
                <w:color w:val="auto"/>
                <w:szCs w:val="21"/>
                <w:highlight w:val="none"/>
              </w:rPr>
            </w:pPr>
            <w:r>
              <w:rPr>
                <w:rFonts w:hint="eastAsia" w:hAnsi="宋体" w:cs="宋体"/>
                <w:color w:val="auto"/>
                <w:szCs w:val="21"/>
                <w:highlight w:val="none"/>
              </w:rPr>
              <w:t>7</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D63B1D2">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481CCB3">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7E362119">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4324AD5A">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5392987">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51D5AEA9">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7CDD9928">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501F02CF">
            <w:pPr>
              <w:jc w:val="center"/>
              <w:outlineLvl w:val="9"/>
              <w:rPr>
                <w:rFonts w:hAnsi="宋体" w:cs="宋体"/>
                <w:color w:val="auto"/>
                <w:szCs w:val="21"/>
                <w:highlight w:val="none"/>
              </w:rPr>
            </w:pPr>
          </w:p>
        </w:tc>
      </w:tr>
      <w:tr w14:paraId="605B9659">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0F425FB0">
            <w:pPr>
              <w:jc w:val="center"/>
              <w:textAlignment w:val="center"/>
              <w:outlineLvl w:val="9"/>
              <w:rPr>
                <w:rFonts w:hAnsi="宋体" w:cs="宋体"/>
                <w:color w:val="auto"/>
                <w:szCs w:val="21"/>
                <w:highlight w:val="none"/>
              </w:rPr>
            </w:pPr>
            <w:r>
              <w:rPr>
                <w:rFonts w:hint="eastAsia" w:hAnsi="宋体" w:cs="宋体"/>
                <w:color w:val="auto"/>
                <w:szCs w:val="21"/>
                <w:highlight w:val="none"/>
              </w:rPr>
              <w:t>8</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28B0931">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606A8DE">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310803B">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341EB9FB">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D137CA1">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733E42BD">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0B56061A">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24AAEDB">
            <w:pPr>
              <w:jc w:val="center"/>
              <w:outlineLvl w:val="9"/>
              <w:rPr>
                <w:rFonts w:hAnsi="宋体" w:cs="宋体"/>
                <w:color w:val="auto"/>
                <w:szCs w:val="21"/>
                <w:highlight w:val="none"/>
              </w:rPr>
            </w:pPr>
          </w:p>
        </w:tc>
      </w:tr>
      <w:tr w14:paraId="5084F28D">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1033CCE2">
            <w:pPr>
              <w:jc w:val="center"/>
              <w:textAlignment w:val="center"/>
              <w:outlineLvl w:val="9"/>
              <w:rPr>
                <w:rFonts w:hAnsi="宋体" w:cs="宋体"/>
                <w:color w:val="auto"/>
                <w:szCs w:val="21"/>
                <w:highlight w:val="none"/>
              </w:rPr>
            </w:pPr>
            <w:r>
              <w:rPr>
                <w:rFonts w:hint="eastAsia" w:hAnsi="宋体" w:cs="宋体"/>
                <w:color w:val="auto"/>
                <w:szCs w:val="21"/>
                <w:highlight w:val="none"/>
              </w:rPr>
              <w:t>9</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BD0C618">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BB3899D">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6F83D78">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14CB6C10">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790F4026">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088D498A">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0F13140B">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45C64165">
            <w:pPr>
              <w:jc w:val="center"/>
              <w:outlineLvl w:val="9"/>
              <w:rPr>
                <w:rFonts w:hAnsi="宋体" w:cs="宋体"/>
                <w:color w:val="auto"/>
                <w:szCs w:val="21"/>
                <w:highlight w:val="none"/>
              </w:rPr>
            </w:pPr>
          </w:p>
        </w:tc>
      </w:tr>
      <w:tr w14:paraId="464341B0">
        <w:tblPrEx>
          <w:tblCellMar>
            <w:top w:w="0" w:type="dxa"/>
            <w:left w:w="108" w:type="dxa"/>
            <w:bottom w:w="0" w:type="dxa"/>
            <w:right w:w="108" w:type="dxa"/>
          </w:tblCellMar>
        </w:tblPrEx>
        <w:trPr>
          <w:trHeight w:val="397"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55FABAC0">
            <w:pPr>
              <w:jc w:val="center"/>
              <w:textAlignment w:val="center"/>
              <w:outlineLvl w:val="9"/>
              <w:rPr>
                <w:rFonts w:hAnsi="宋体" w:cs="宋体"/>
                <w:color w:val="auto"/>
                <w:szCs w:val="21"/>
                <w:highlight w:val="none"/>
              </w:rPr>
            </w:pPr>
            <w:r>
              <w:rPr>
                <w:rFonts w:hint="eastAsia" w:hAnsi="宋体" w:cs="宋体"/>
                <w:color w:val="auto"/>
                <w:szCs w:val="21"/>
                <w:highlight w:val="none"/>
              </w:rPr>
              <w:t>10</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14A62DD">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26D45EE">
            <w:pPr>
              <w:jc w:val="center"/>
              <w:outlineLvl w:val="9"/>
              <w:rPr>
                <w:rFonts w:hAnsi="宋体" w:cs="宋体"/>
                <w:color w:val="auto"/>
                <w:szCs w:val="21"/>
                <w:highlight w:val="none"/>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46E20DEF">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32019114">
            <w:pPr>
              <w:jc w:val="center"/>
              <w:outlineLvl w:val="9"/>
              <w:rPr>
                <w:rFonts w:hAnsi="宋体" w:cs="宋体"/>
                <w:color w:val="auto"/>
                <w:szCs w:val="21"/>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EA0DEB6">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152255D8">
            <w:pPr>
              <w:jc w:val="center"/>
              <w:outlineLvl w:val="9"/>
              <w:rPr>
                <w:rFonts w:hAnsi="宋体" w:cs="宋体"/>
                <w:color w:val="auto"/>
                <w:szCs w:val="21"/>
                <w:highlight w:val="none"/>
              </w:rPr>
            </w:pPr>
          </w:p>
        </w:tc>
        <w:tc>
          <w:tcPr>
            <w:tcW w:w="478" w:type="pct"/>
            <w:tcBorders>
              <w:top w:val="single" w:color="000000" w:sz="4" w:space="0"/>
              <w:left w:val="single" w:color="000000" w:sz="4" w:space="0"/>
              <w:bottom w:val="single" w:color="000000" w:sz="4" w:space="0"/>
              <w:right w:val="single" w:color="000000" w:sz="4" w:space="0"/>
            </w:tcBorders>
            <w:noWrap/>
            <w:vAlign w:val="center"/>
          </w:tcPr>
          <w:p w14:paraId="7AA39027">
            <w:pPr>
              <w:jc w:val="center"/>
              <w:outlineLvl w:val="9"/>
              <w:rPr>
                <w:rFonts w:hAnsi="宋体" w:cs="宋体"/>
                <w:color w:val="auto"/>
                <w:szCs w:val="21"/>
                <w:highlight w:val="none"/>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FB456A3">
            <w:pPr>
              <w:jc w:val="center"/>
              <w:outlineLvl w:val="9"/>
              <w:rPr>
                <w:rFonts w:hAnsi="宋体" w:cs="宋体"/>
                <w:color w:val="auto"/>
                <w:szCs w:val="21"/>
                <w:highlight w:val="none"/>
              </w:rPr>
            </w:pPr>
          </w:p>
        </w:tc>
      </w:tr>
      <w:tr w14:paraId="1AD8B40C">
        <w:tblPrEx>
          <w:tblCellMar>
            <w:top w:w="0" w:type="dxa"/>
            <w:left w:w="108" w:type="dxa"/>
            <w:bottom w:w="0" w:type="dxa"/>
            <w:right w:w="108" w:type="dxa"/>
          </w:tblCellMar>
        </w:tblPrEx>
        <w:trPr>
          <w:trHeight w:val="86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vAlign w:val="center"/>
          </w:tcPr>
          <w:p w14:paraId="70700900">
            <w:pPr>
              <w:jc w:val="both"/>
              <w:textAlignment w:val="center"/>
              <w:outlineLvl w:val="9"/>
              <w:rPr>
                <w:rFonts w:hAnsi="宋体" w:cs="宋体"/>
                <w:color w:val="auto"/>
                <w:szCs w:val="21"/>
                <w:highlight w:val="none"/>
              </w:rPr>
            </w:pPr>
            <w:r>
              <w:rPr>
                <w:rFonts w:hint="eastAsia" w:hAnsi="宋体" w:cs="宋体"/>
                <w:color w:val="auto"/>
                <w:szCs w:val="21"/>
                <w:highlight w:val="none"/>
              </w:rPr>
              <w:t>备注：</w:t>
            </w:r>
          </w:p>
          <w:p w14:paraId="3326A11F">
            <w:pPr>
              <w:jc w:val="both"/>
              <w:textAlignment w:val="center"/>
              <w:outlineLvl w:val="9"/>
              <w:rPr>
                <w:rFonts w:hAnsi="宋体" w:cs="宋体"/>
                <w:color w:val="auto"/>
                <w:szCs w:val="21"/>
                <w:highlight w:val="none"/>
              </w:rPr>
            </w:pPr>
            <w:r>
              <w:rPr>
                <w:rFonts w:hint="eastAsia" w:hAnsi="宋体" w:cs="宋体"/>
                <w:color w:val="auto"/>
                <w:szCs w:val="21"/>
                <w:highlight w:val="none"/>
              </w:rPr>
              <w:t>1、此承运单一式四联，白联存根，其余三联三方各执一联；</w:t>
            </w:r>
          </w:p>
          <w:p w14:paraId="5D13E925">
            <w:pPr>
              <w:jc w:val="both"/>
              <w:textAlignment w:val="center"/>
              <w:outlineLvl w:val="9"/>
              <w:rPr>
                <w:rFonts w:hAnsi="宋体" w:cs="宋体"/>
                <w:color w:val="auto"/>
                <w:szCs w:val="21"/>
                <w:highlight w:val="none"/>
              </w:rPr>
            </w:pPr>
            <w:r>
              <w:rPr>
                <w:rFonts w:hint="eastAsia" w:hAnsi="宋体" w:cs="宋体"/>
                <w:b/>
                <w:bCs/>
                <w:color w:val="auto"/>
                <w:szCs w:val="21"/>
                <w:highlight w:val="none"/>
              </w:rPr>
              <w:t>2、袋装不扣皮，200L以下桶不扣皮，卡板和200L及以上桶按实际情况扣皮。</w:t>
            </w:r>
          </w:p>
        </w:tc>
      </w:tr>
      <w:tr w14:paraId="54F7DEB2">
        <w:tblPrEx>
          <w:tblCellMar>
            <w:top w:w="0" w:type="dxa"/>
            <w:left w:w="108" w:type="dxa"/>
            <w:bottom w:w="0" w:type="dxa"/>
            <w:right w:w="108" w:type="dxa"/>
          </w:tblCellMar>
        </w:tblPrEx>
        <w:trPr>
          <w:trHeight w:val="493" w:hRule="atLeast"/>
          <w:jc w:val="center"/>
        </w:trPr>
        <w:tc>
          <w:tcPr>
            <w:tcW w:w="566" w:type="pct"/>
            <w:tcBorders>
              <w:top w:val="single" w:color="000000" w:sz="4" w:space="0"/>
              <w:left w:val="single" w:color="000000" w:sz="4" w:space="0"/>
              <w:bottom w:val="single" w:color="000000" w:sz="4" w:space="0"/>
              <w:right w:val="single" w:color="000000" w:sz="4" w:space="0"/>
            </w:tcBorders>
            <w:noWrap/>
            <w:vAlign w:val="center"/>
          </w:tcPr>
          <w:p w14:paraId="6C172BFD">
            <w:pPr>
              <w:jc w:val="center"/>
              <w:textAlignment w:val="center"/>
              <w:outlineLvl w:val="9"/>
              <w:rPr>
                <w:rFonts w:hAnsi="宋体" w:cs="宋体"/>
                <w:color w:val="auto"/>
                <w:szCs w:val="21"/>
                <w:highlight w:val="none"/>
              </w:rPr>
            </w:pPr>
            <w:r>
              <w:rPr>
                <w:rFonts w:hint="eastAsia" w:hAnsi="宋体" w:cs="宋体"/>
                <w:color w:val="auto"/>
                <w:szCs w:val="21"/>
                <w:highlight w:val="none"/>
              </w:rPr>
              <w:t>车牌号：</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076BFCA8">
            <w:pPr>
              <w:jc w:val="center"/>
              <w:outlineLvl w:val="9"/>
              <w:rPr>
                <w:rFonts w:hAnsi="宋体" w:cs="宋体"/>
                <w:color w:val="auto"/>
                <w:szCs w:val="21"/>
                <w:highlight w:val="none"/>
              </w:rPr>
            </w:pP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F032BF9">
            <w:pPr>
              <w:jc w:val="center"/>
              <w:textAlignment w:val="center"/>
              <w:outlineLvl w:val="9"/>
              <w:rPr>
                <w:rFonts w:hAnsi="宋体" w:cs="宋体"/>
                <w:color w:val="auto"/>
                <w:szCs w:val="21"/>
                <w:highlight w:val="none"/>
              </w:rPr>
            </w:pPr>
            <w:r>
              <w:rPr>
                <w:rFonts w:hint="eastAsia" w:hAnsi="宋体" w:cs="宋体"/>
                <w:color w:val="auto"/>
                <w:szCs w:val="21"/>
                <w:highlight w:val="none"/>
              </w:rPr>
              <w:t>司机/押运：</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223CE948">
            <w:pPr>
              <w:jc w:val="center"/>
              <w:outlineLvl w:val="9"/>
              <w:rPr>
                <w:rFonts w:hAnsi="宋体" w:cs="宋体"/>
                <w:color w:val="auto"/>
                <w:szCs w:val="21"/>
                <w:highlight w:val="none"/>
              </w:rPr>
            </w:pPr>
          </w:p>
        </w:tc>
        <w:tc>
          <w:tcPr>
            <w:tcW w:w="593" w:type="pct"/>
            <w:tcBorders>
              <w:top w:val="single" w:color="000000" w:sz="4" w:space="0"/>
              <w:left w:val="single" w:color="000000" w:sz="4" w:space="0"/>
              <w:bottom w:val="single" w:color="000000" w:sz="4" w:space="0"/>
              <w:right w:val="single" w:color="000000" w:sz="4" w:space="0"/>
            </w:tcBorders>
            <w:noWrap/>
            <w:vAlign w:val="center"/>
          </w:tcPr>
          <w:p w14:paraId="13A9CA09">
            <w:pPr>
              <w:jc w:val="center"/>
              <w:textAlignment w:val="center"/>
              <w:outlineLvl w:val="9"/>
              <w:rPr>
                <w:rFonts w:hAnsi="宋体" w:cs="宋体"/>
                <w:color w:val="auto"/>
                <w:szCs w:val="21"/>
                <w:highlight w:val="none"/>
              </w:rPr>
            </w:pPr>
            <w:r>
              <w:rPr>
                <w:rFonts w:hint="eastAsia" w:hAnsi="宋体" w:cs="宋体"/>
                <w:color w:val="auto"/>
                <w:szCs w:val="21"/>
                <w:highlight w:val="none"/>
              </w:rPr>
              <w:t>产废单位签名：</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62BF6DAD">
            <w:pPr>
              <w:jc w:val="center"/>
              <w:outlineLvl w:val="9"/>
              <w:rPr>
                <w:rFonts w:hAnsi="宋体" w:cs="宋体"/>
                <w:color w:val="auto"/>
                <w:szCs w:val="21"/>
                <w:highlight w:val="none"/>
              </w:rPr>
            </w:pPr>
          </w:p>
        </w:tc>
        <w:tc>
          <w:tcPr>
            <w:tcW w:w="694" w:type="pct"/>
            <w:tcBorders>
              <w:top w:val="single" w:color="000000" w:sz="4" w:space="0"/>
              <w:left w:val="single" w:color="000000" w:sz="4" w:space="0"/>
              <w:bottom w:val="single" w:color="000000" w:sz="4" w:space="0"/>
              <w:right w:val="single" w:color="000000" w:sz="4" w:space="0"/>
            </w:tcBorders>
            <w:noWrap/>
            <w:vAlign w:val="center"/>
          </w:tcPr>
          <w:p w14:paraId="7945E772">
            <w:pPr>
              <w:jc w:val="center"/>
              <w:textAlignment w:val="center"/>
              <w:outlineLvl w:val="9"/>
              <w:rPr>
                <w:rFonts w:hAnsi="宋体" w:cs="宋体"/>
                <w:color w:val="auto"/>
                <w:szCs w:val="21"/>
                <w:highlight w:val="none"/>
              </w:rPr>
            </w:pPr>
            <w:r>
              <w:rPr>
                <w:rFonts w:hint="eastAsia" w:hAnsi="宋体" w:cs="宋体"/>
                <w:color w:val="auto"/>
                <w:szCs w:val="21"/>
                <w:highlight w:val="none"/>
              </w:rPr>
              <w:t>处置单位签字/日期：</w:t>
            </w:r>
          </w:p>
        </w:tc>
        <w:tc>
          <w:tcPr>
            <w:tcW w:w="958" w:type="pct"/>
            <w:gridSpan w:val="2"/>
            <w:tcBorders>
              <w:top w:val="single" w:color="000000" w:sz="4" w:space="0"/>
              <w:left w:val="single" w:color="000000" w:sz="4" w:space="0"/>
              <w:bottom w:val="single" w:color="000000" w:sz="4" w:space="0"/>
              <w:right w:val="single" w:color="000000" w:sz="4" w:space="0"/>
            </w:tcBorders>
            <w:noWrap/>
            <w:vAlign w:val="center"/>
          </w:tcPr>
          <w:p w14:paraId="2D52678D">
            <w:pPr>
              <w:jc w:val="center"/>
              <w:outlineLvl w:val="9"/>
              <w:rPr>
                <w:rFonts w:hAnsi="宋体" w:cs="宋体"/>
                <w:color w:val="auto"/>
                <w:szCs w:val="21"/>
                <w:highlight w:val="none"/>
              </w:rPr>
            </w:pPr>
          </w:p>
        </w:tc>
      </w:tr>
    </w:tbl>
    <w:p w14:paraId="341FDF38">
      <w:pPr>
        <w:outlineLvl w:val="9"/>
        <w:rPr>
          <w:rFonts w:hint="eastAsia" w:ascii="宋体" w:hAnsi="宋体" w:eastAsia="宋体"/>
          <w:b/>
          <w:color w:val="auto"/>
          <w:sz w:val="21"/>
          <w:szCs w:val="21"/>
          <w:highlight w:val="none"/>
          <w:lang w:eastAsia="zh-CN"/>
        </w:rPr>
      </w:pPr>
      <w:r>
        <w:rPr>
          <w:rFonts w:hint="eastAsia" w:ascii="宋体" w:hAnsi="宋体"/>
          <w:b/>
          <w:color w:val="auto"/>
          <w:sz w:val="24"/>
          <w:highlight w:val="none"/>
        </w:rPr>
        <w:br w:type="page"/>
      </w:r>
      <w:bookmarkStart w:id="388" w:name="_Toc19"/>
      <w:bookmarkStart w:id="389" w:name="_Toc21219"/>
      <w:bookmarkStart w:id="390" w:name="_Toc18919"/>
      <w:bookmarkStart w:id="391" w:name="_Toc11284"/>
      <w:bookmarkStart w:id="392" w:name="_Toc1598"/>
      <w:bookmarkStart w:id="393" w:name="_Toc7965"/>
      <w:bookmarkStart w:id="394" w:name="_Toc15692"/>
      <w:bookmarkStart w:id="395" w:name="_Toc3536"/>
      <w:bookmarkStart w:id="396" w:name="_Toc27372"/>
      <w:bookmarkStart w:id="397" w:name="_Toc5582"/>
      <w:bookmarkStart w:id="398" w:name="_Toc22481"/>
      <w:bookmarkStart w:id="399" w:name="_Toc5150"/>
      <w:bookmarkStart w:id="400" w:name="_Toc13638"/>
      <w:r>
        <w:rPr>
          <w:rFonts w:hint="eastAsia" w:ascii="宋体" w:hAnsi="宋体"/>
          <w:b/>
          <w:color w:val="auto"/>
          <w:sz w:val="21"/>
          <w:szCs w:val="21"/>
          <w:highlight w:val="none"/>
          <w:lang w:val="en-US" w:eastAsia="zh-CN"/>
        </w:rPr>
        <w:t>合同</w:t>
      </w:r>
      <w:r>
        <w:rPr>
          <w:rFonts w:hint="eastAsia" w:ascii="宋体" w:hAnsi="宋体"/>
          <w:b/>
          <w:color w:val="auto"/>
          <w:sz w:val="21"/>
          <w:szCs w:val="21"/>
          <w:highlight w:val="none"/>
        </w:rPr>
        <w:t>附件9：</w:t>
      </w:r>
      <w:r>
        <w:rPr>
          <w:rFonts w:hint="eastAsia" w:ascii="宋体" w:hAnsi="宋体"/>
          <w:b/>
          <w:color w:val="auto"/>
          <w:sz w:val="21"/>
          <w:szCs w:val="21"/>
          <w:highlight w:val="none"/>
          <w:lang w:eastAsia="zh-CN"/>
        </w:rPr>
        <w:t>《</w:t>
      </w:r>
      <w:r>
        <w:rPr>
          <w:rFonts w:hint="eastAsia" w:ascii="宋体" w:hAnsi="宋体"/>
          <w:b/>
          <w:color w:val="auto"/>
          <w:szCs w:val="21"/>
          <w:highlight w:val="none"/>
          <w:lang w:eastAsia="zh-CN"/>
        </w:rPr>
        <w:t>东莞市新东欣环保投资有限公司莞惠区域危废运输服务项目</w:t>
      </w:r>
      <w:r>
        <w:rPr>
          <w:rFonts w:hint="eastAsia" w:ascii="宋体" w:hAnsi="宋体"/>
          <w:b/>
          <w:color w:val="auto"/>
          <w:szCs w:val="21"/>
          <w:highlight w:val="none"/>
        </w:rPr>
        <w:t>技术需求书</w:t>
      </w:r>
      <w:r>
        <w:rPr>
          <w:rFonts w:hint="eastAsia" w:ascii="宋体" w:hAnsi="宋体"/>
          <w:b/>
          <w:color w:val="auto"/>
          <w:sz w:val="21"/>
          <w:szCs w:val="21"/>
          <w:highlight w:val="none"/>
          <w:lang w:eastAsia="zh-CN"/>
        </w:rPr>
        <w:t>》</w:t>
      </w:r>
      <w:bookmarkEnd w:id="388"/>
      <w:bookmarkEnd w:id="389"/>
      <w:bookmarkEnd w:id="390"/>
    </w:p>
    <w:p w14:paraId="39CBAA9D">
      <w:pPr>
        <w:outlineLvl w:val="9"/>
        <w:rPr>
          <w:rFonts w:hint="eastAsia" w:ascii="宋体" w:hAnsi="宋体"/>
          <w:b/>
          <w:color w:val="auto"/>
          <w:sz w:val="21"/>
          <w:szCs w:val="21"/>
          <w:highlight w:val="none"/>
          <w:lang w:val="en-US" w:eastAsia="zh-CN"/>
        </w:rPr>
      </w:pPr>
    </w:p>
    <w:p w14:paraId="06FA46A3">
      <w:pPr>
        <w:jc w:val="center"/>
        <w:outlineLvl w:val="9"/>
        <w:rPr>
          <w:rFonts w:hint="eastAsia" w:ascii="宋体" w:hAnsi="宋体"/>
          <w:b/>
          <w:color w:val="auto"/>
          <w:sz w:val="21"/>
          <w:szCs w:val="21"/>
          <w:highlight w:val="none"/>
          <w:lang w:val="en-US" w:eastAsia="zh-CN"/>
        </w:rPr>
      </w:pPr>
      <w:bookmarkStart w:id="401" w:name="_Toc28512"/>
      <w:r>
        <w:rPr>
          <w:rFonts w:hint="eastAsia" w:ascii="宋体" w:hAnsi="宋体"/>
          <w:b/>
          <w:color w:val="auto"/>
          <w:sz w:val="21"/>
          <w:szCs w:val="21"/>
          <w:highlight w:val="none"/>
          <w:lang w:val="en-US" w:eastAsia="zh-CN"/>
        </w:rPr>
        <w:t>（详见采购文件第二章：技术需求书）</w:t>
      </w:r>
      <w:bookmarkEnd w:id="401"/>
      <w:bookmarkStart w:id="402" w:name="_Toc16965"/>
      <w:bookmarkStart w:id="403" w:name="_Toc29220"/>
      <w:bookmarkStart w:id="404" w:name="_Toc7349"/>
    </w:p>
    <w:p w14:paraId="11B477B6">
      <w:pPr>
        <w:rPr>
          <w:rFonts w:hint="eastAsia" w:ascii="宋体" w:hAnsi="宋体"/>
          <w:b/>
          <w:color w:val="auto"/>
          <w:sz w:val="21"/>
          <w:szCs w:val="21"/>
          <w:highlight w:val="none"/>
          <w:lang w:val="en-US" w:eastAsia="zh-CN"/>
        </w:rPr>
      </w:pPr>
      <w:r>
        <w:rPr>
          <w:rFonts w:hint="eastAsia" w:ascii="宋体" w:hAnsi="宋体"/>
          <w:b/>
          <w:color w:val="auto"/>
          <w:sz w:val="21"/>
          <w:szCs w:val="21"/>
          <w:highlight w:val="none"/>
          <w:lang w:val="en-US" w:eastAsia="zh-CN"/>
        </w:rPr>
        <w:br w:type="page"/>
      </w:r>
    </w:p>
    <w:p w14:paraId="239FBCBC">
      <w:pPr>
        <w:jc w:val="both"/>
        <w:outlineLvl w:val="9"/>
        <w:rPr>
          <w:rFonts w:hint="default" w:ascii="宋体" w:hAnsi="宋体"/>
          <w:b/>
          <w:color w:val="auto"/>
          <w:sz w:val="21"/>
          <w:szCs w:val="21"/>
          <w:highlight w:val="none"/>
          <w:lang w:val="en-US" w:eastAsia="zh-CN"/>
        </w:rPr>
      </w:pPr>
      <w:r>
        <w:rPr>
          <w:rFonts w:hint="eastAsia" w:ascii="宋体" w:hAnsi="宋体"/>
          <w:b/>
          <w:color w:val="auto"/>
          <w:sz w:val="21"/>
          <w:szCs w:val="21"/>
          <w:highlight w:val="none"/>
          <w:lang w:val="en-US" w:eastAsia="zh-CN"/>
        </w:rPr>
        <w:t>合同附件10：安全管理协议书</w:t>
      </w:r>
    </w:p>
    <w:p w14:paraId="12DE4D69">
      <w:pPr>
        <w:numPr>
          <w:ilvl w:val="12"/>
          <w:numId w:val="0"/>
        </w:numPr>
        <w:jc w:val="center"/>
        <w:rPr>
          <w:rFonts w:hint="default" w:ascii="Times New Roman" w:hAnsi="Times New Roman" w:eastAsia="宋体" w:cs="Times New Roman"/>
          <w:b/>
          <w:bCs/>
          <w:color w:val="auto"/>
          <w:sz w:val="52"/>
          <w:szCs w:val="44"/>
          <w:highlight w:val="none"/>
        </w:rPr>
      </w:pPr>
    </w:p>
    <w:p w14:paraId="007400A6">
      <w:pPr>
        <w:pStyle w:val="29"/>
        <w:rPr>
          <w:rFonts w:hint="default" w:ascii="Times New Roman" w:hAnsi="Times New Roman" w:eastAsia="宋体" w:cs="Times New Roman"/>
          <w:b/>
          <w:bCs/>
          <w:color w:val="auto"/>
          <w:sz w:val="52"/>
          <w:szCs w:val="44"/>
          <w:highlight w:val="none"/>
        </w:rPr>
      </w:pPr>
    </w:p>
    <w:p w14:paraId="60F6F928">
      <w:pPr>
        <w:pStyle w:val="29"/>
        <w:rPr>
          <w:rFonts w:hint="default" w:ascii="Times New Roman" w:hAnsi="Times New Roman" w:eastAsia="宋体" w:cs="Times New Roman"/>
          <w:b/>
          <w:bCs/>
          <w:color w:val="auto"/>
          <w:sz w:val="52"/>
          <w:szCs w:val="44"/>
          <w:highlight w:val="none"/>
        </w:rPr>
      </w:pPr>
    </w:p>
    <w:p w14:paraId="7846F6CA">
      <w:pPr>
        <w:pStyle w:val="29"/>
        <w:rPr>
          <w:rFonts w:hint="default" w:ascii="Times New Roman" w:hAnsi="Times New Roman" w:eastAsia="宋体" w:cs="Times New Roman"/>
          <w:b/>
          <w:bCs/>
          <w:color w:val="auto"/>
          <w:sz w:val="56"/>
          <w:szCs w:val="48"/>
          <w:highlight w:val="none"/>
        </w:rPr>
      </w:pPr>
    </w:p>
    <w:p w14:paraId="57775C92">
      <w:pPr>
        <w:pStyle w:val="29"/>
        <w:rPr>
          <w:rFonts w:hint="default" w:ascii="Times New Roman" w:hAnsi="Times New Roman" w:eastAsia="宋体" w:cs="Times New Roman"/>
          <w:b/>
          <w:bCs/>
          <w:color w:val="auto"/>
          <w:sz w:val="56"/>
          <w:szCs w:val="48"/>
          <w:highlight w:val="none"/>
        </w:rPr>
      </w:pPr>
    </w:p>
    <w:p w14:paraId="4F1F195F">
      <w:pPr>
        <w:numPr>
          <w:ilvl w:val="12"/>
          <w:numId w:val="0"/>
        </w:numPr>
        <w:jc w:val="center"/>
        <w:rPr>
          <w:rFonts w:hint="default" w:ascii="Times New Roman" w:hAnsi="Times New Roman" w:eastAsia="宋体" w:cs="Times New Roman"/>
          <w:b/>
          <w:bCs/>
          <w:color w:val="auto"/>
          <w:sz w:val="72"/>
          <w:szCs w:val="52"/>
          <w:highlight w:val="none"/>
        </w:rPr>
      </w:pPr>
      <w:r>
        <w:rPr>
          <w:rFonts w:hint="default" w:ascii="Times New Roman" w:hAnsi="Times New Roman" w:eastAsia="宋体" w:cs="Times New Roman"/>
          <w:b/>
          <w:bCs/>
          <w:color w:val="auto"/>
          <w:sz w:val="72"/>
          <w:szCs w:val="52"/>
          <w:highlight w:val="none"/>
        </w:rPr>
        <w:t>安全管理协议书</w:t>
      </w:r>
    </w:p>
    <w:p w14:paraId="289063D0">
      <w:pPr>
        <w:pStyle w:val="29"/>
        <w:rPr>
          <w:rFonts w:hint="default" w:ascii="Times New Roman" w:hAnsi="Times New Roman" w:eastAsia="宋体" w:cs="Times New Roman"/>
          <w:b/>
          <w:bCs/>
          <w:color w:val="auto"/>
          <w:sz w:val="72"/>
          <w:szCs w:val="52"/>
          <w:highlight w:val="none"/>
        </w:rPr>
      </w:pPr>
    </w:p>
    <w:p w14:paraId="3C406362">
      <w:pPr>
        <w:pStyle w:val="29"/>
        <w:rPr>
          <w:rFonts w:hint="default" w:ascii="Times New Roman" w:hAnsi="Times New Roman" w:eastAsia="宋体" w:cs="Times New Roman"/>
          <w:b/>
          <w:bCs/>
          <w:color w:val="auto"/>
          <w:sz w:val="72"/>
          <w:szCs w:val="52"/>
          <w:highlight w:val="none"/>
        </w:rPr>
      </w:pPr>
    </w:p>
    <w:p w14:paraId="628D6B39">
      <w:pPr>
        <w:pStyle w:val="29"/>
        <w:rPr>
          <w:rFonts w:hint="default" w:ascii="Times New Roman" w:hAnsi="Times New Roman" w:eastAsia="宋体" w:cs="Times New Roman"/>
          <w:b/>
          <w:bCs/>
          <w:color w:val="auto"/>
          <w:sz w:val="72"/>
          <w:szCs w:val="52"/>
          <w:highlight w:val="none"/>
        </w:rPr>
      </w:pPr>
    </w:p>
    <w:p w14:paraId="45275380">
      <w:pPr>
        <w:pStyle w:val="29"/>
        <w:rPr>
          <w:rFonts w:hint="default" w:ascii="Times New Roman" w:hAnsi="Times New Roman" w:eastAsia="宋体" w:cs="Times New Roman"/>
          <w:b/>
          <w:bCs/>
          <w:color w:val="auto"/>
          <w:sz w:val="72"/>
          <w:szCs w:val="52"/>
          <w:highlight w:val="none"/>
        </w:rPr>
      </w:pPr>
    </w:p>
    <w:p w14:paraId="538F317E">
      <w:pPr>
        <w:pStyle w:val="29"/>
        <w:rPr>
          <w:rFonts w:hint="default" w:ascii="Times New Roman" w:hAnsi="Times New Roman" w:eastAsia="宋体" w:cs="Times New Roman"/>
          <w:b/>
          <w:bCs/>
          <w:color w:val="auto"/>
          <w:sz w:val="72"/>
          <w:szCs w:val="52"/>
          <w:highlight w:val="none"/>
        </w:rPr>
      </w:pPr>
    </w:p>
    <w:p w14:paraId="5643D150">
      <w:pPr>
        <w:pStyle w:val="29"/>
        <w:rPr>
          <w:rFonts w:hint="default" w:ascii="Times New Roman" w:hAnsi="Times New Roman" w:eastAsia="宋体" w:cs="Times New Roman"/>
          <w:b/>
          <w:bCs/>
          <w:color w:val="auto"/>
          <w:sz w:val="72"/>
          <w:szCs w:val="52"/>
          <w:highlight w:val="none"/>
        </w:rPr>
      </w:pPr>
    </w:p>
    <w:p w14:paraId="7E35E4AC">
      <w:pPr>
        <w:numPr>
          <w:ilvl w:val="12"/>
          <w:numId w:val="0"/>
        </w:numPr>
        <w:jc w:val="center"/>
        <w:rPr>
          <w:rFonts w:hint="default" w:ascii="Times New Roman" w:hAnsi="Times New Roman" w:eastAsia="宋体" w:cs="Times New Roman"/>
          <w:color w:val="auto"/>
          <w:sz w:val="40"/>
          <w:szCs w:val="32"/>
          <w:highlight w:val="none"/>
        </w:rPr>
      </w:pPr>
      <w:r>
        <w:rPr>
          <w:rFonts w:hint="default" w:ascii="Times New Roman" w:hAnsi="Times New Roman" w:eastAsia="宋体" w:cs="Times New Roman"/>
          <w:color w:val="auto"/>
          <w:sz w:val="40"/>
          <w:szCs w:val="32"/>
          <w:highlight w:val="none"/>
        </w:rPr>
        <w:t>东莞市</w:t>
      </w:r>
      <w:r>
        <w:rPr>
          <w:rFonts w:hint="eastAsia" w:cs="Times New Roman"/>
          <w:color w:val="auto"/>
          <w:sz w:val="40"/>
          <w:szCs w:val="32"/>
          <w:highlight w:val="none"/>
          <w:lang w:val="en-US" w:eastAsia="zh-CN"/>
        </w:rPr>
        <w:t>新东欣环保投资</w:t>
      </w:r>
      <w:r>
        <w:rPr>
          <w:rFonts w:hint="default" w:ascii="Times New Roman" w:hAnsi="Times New Roman" w:eastAsia="宋体" w:cs="Times New Roman"/>
          <w:color w:val="auto"/>
          <w:sz w:val="40"/>
          <w:szCs w:val="32"/>
          <w:highlight w:val="none"/>
        </w:rPr>
        <w:t>有限公司编制</w:t>
      </w:r>
    </w:p>
    <w:p w14:paraId="2873C5A0">
      <w:pPr>
        <w:numPr>
          <w:ilvl w:val="12"/>
          <w:numId w:val="0"/>
        </w:numPr>
        <w:jc w:val="center"/>
        <w:rPr>
          <w:rFonts w:hint="default" w:ascii="Times New Roman" w:hAnsi="Times New Roman" w:eastAsia="宋体" w:cs="Times New Roman"/>
          <w:color w:val="auto"/>
          <w:sz w:val="24"/>
          <w:szCs w:val="32"/>
          <w:highlight w:val="none"/>
        </w:rPr>
      </w:pPr>
    </w:p>
    <w:p w14:paraId="08002057">
      <w:pPr>
        <w:numPr>
          <w:ilvl w:val="12"/>
          <w:numId w:val="0"/>
        </w:numPr>
        <w:spacing w:before="319" w:beforeLines="100"/>
        <w:jc w:val="center"/>
        <w:rPr>
          <w:rFonts w:hint="default" w:ascii="Times New Roman" w:hAnsi="Times New Roman" w:eastAsia="宋体" w:cs="Times New Roman"/>
          <w:b w:val="0"/>
          <w:bCs/>
          <w:color w:val="auto"/>
          <w:sz w:val="28"/>
          <w:szCs w:val="36"/>
          <w:highlight w:val="none"/>
        </w:rPr>
      </w:pPr>
      <w:r>
        <w:rPr>
          <w:rFonts w:hint="default" w:ascii="Times New Roman" w:hAnsi="Times New Roman" w:eastAsia="宋体" w:cs="Times New Roman"/>
          <w:b w:val="0"/>
          <w:bCs/>
          <w:color w:val="auto"/>
          <w:sz w:val="28"/>
          <w:szCs w:val="36"/>
          <w:highlight w:val="none"/>
        </w:rPr>
        <w:t>202</w:t>
      </w:r>
      <w:r>
        <w:rPr>
          <w:rFonts w:hint="eastAsia" w:cs="Times New Roman"/>
          <w:b w:val="0"/>
          <w:bCs/>
          <w:color w:val="auto"/>
          <w:sz w:val="28"/>
          <w:szCs w:val="36"/>
          <w:highlight w:val="none"/>
          <w:lang w:val="en-US" w:eastAsia="zh-CN"/>
        </w:rPr>
        <w:t>5</w:t>
      </w:r>
      <w:r>
        <w:rPr>
          <w:rFonts w:hint="default" w:ascii="Times New Roman" w:hAnsi="Times New Roman" w:eastAsia="宋体" w:cs="Times New Roman"/>
          <w:b w:val="0"/>
          <w:bCs/>
          <w:color w:val="auto"/>
          <w:sz w:val="28"/>
          <w:szCs w:val="36"/>
          <w:highlight w:val="none"/>
        </w:rPr>
        <w:t>年</w:t>
      </w:r>
      <w:r>
        <w:rPr>
          <w:rFonts w:hint="eastAsia" w:cs="Times New Roman"/>
          <w:b w:val="0"/>
          <w:bCs/>
          <w:color w:val="auto"/>
          <w:sz w:val="28"/>
          <w:szCs w:val="36"/>
          <w:highlight w:val="none"/>
          <w:lang w:val="en-US" w:eastAsia="zh-CN"/>
        </w:rPr>
        <w:t>5</w:t>
      </w:r>
      <w:r>
        <w:rPr>
          <w:rFonts w:hint="default" w:ascii="Times New Roman" w:hAnsi="Times New Roman" w:eastAsia="宋体" w:cs="Times New Roman"/>
          <w:b w:val="0"/>
          <w:bCs/>
          <w:color w:val="auto"/>
          <w:sz w:val="28"/>
          <w:szCs w:val="36"/>
          <w:highlight w:val="none"/>
        </w:rPr>
        <w:t>月</w:t>
      </w:r>
    </w:p>
    <w:p w14:paraId="386A328F">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627A88EB">
      <w:pPr>
        <w:numPr>
          <w:ilvl w:val="12"/>
          <w:numId w:val="0"/>
        </w:numPr>
        <w:spacing w:line="600" w:lineRule="exact"/>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rPr>
        <w:t>甲方：</w:t>
      </w:r>
      <w:r>
        <w:rPr>
          <w:rFonts w:hint="default" w:ascii="Times New Roman" w:hAnsi="Times New Roman" w:eastAsia="宋体" w:cs="Times New Roman"/>
          <w:color w:val="auto"/>
          <w:szCs w:val="28"/>
          <w:highlight w:val="none"/>
          <w:u w:val="single"/>
        </w:rPr>
        <w:t xml:space="preserve">东莞市新东欣环保投资有限公司                                            </w:t>
      </w:r>
    </w:p>
    <w:p w14:paraId="5FB130CC">
      <w:pPr>
        <w:numPr>
          <w:ilvl w:val="12"/>
          <w:numId w:val="0"/>
        </w:numPr>
        <w:spacing w:line="600" w:lineRule="exact"/>
        <w:rPr>
          <w:rFonts w:hint="default" w:ascii="Times New Roman" w:hAnsi="Times New Roman" w:eastAsia="宋体" w:cs="Times New Roman"/>
          <w:color w:val="auto"/>
          <w:szCs w:val="28"/>
          <w:highlight w:val="none"/>
          <w:u w:val="single"/>
        </w:rPr>
      </w:pPr>
      <w:r>
        <w:rPr>
          <w:rFonts w:hint="default" w:ascii="Times New Roman" w:hAnsi="Times New Roman" w:eastAsia="宋体" w:cs="Times New Roman"/>
          <w:color w:val="auto"/>
          <w:szCs w:val="28"/>
          <w:highlight w:val="none"/>
        </w:rPr>
        <w:t>地址</w:t>
      </w:r>
      <w:r>
        <w:rPr>
          <w:rFonts w:hint="default" w:ascii="Times New Roman" w:hAnsi="Times New Roman" w:eastAsia="宋体" w:cs="Times New Roman"/>
          <w:color w:val="auto"/>
          <w:szCs w:val="28"/>
          <w:highlight w:val="none"/>
          <w:lang w:eastAsia="zh-CN"/>
        </w:rPr>
        <w:t>：</w:t>
      </w:r>
      <w:r>
        <w:rPr>
          <w:rFonts w:hint="default" w:ascii="Times New Roman" w:hAnsi="Times New Roman" w:eastAsia="宋体" w:cs="Times New Roman"/>
          <w:color w:val="auto"/>
          <w:szCs w:val="28"/>
          <w:highlight w:val="none"/>
          <w:u w:val="single"/>
        </w:rPr>
        <w:t xml:space="preserve">东莞市麻涌镇大步村海心沙岛                                              </w:t>
      </w:r>
    </w:p>
    <w:p w14:paraId="4F2724A2">
      <w:pPr>
        <w:numPr>
          <w:ilvl w:val="12"/>
          <w:numId w:val="0"/>
        </w:numPr>
        <w:spacing w:line="600" w:lineRule="exact"/>
        <w:rPr>
          <w:rFonts w:hint="default" w:ascii="Times New Roman" w:hAnsi="Times New Roman" w:eastAsia="宋体" w:cs="Times New Roman"/>
          <w:color w:val="auto"/>
          <w:szCs w:val="28"/>
          <w:highlight w:val="none"/>
          <w:u w:val="single"/>
        </w:rPr>
      </w:pPr>
      <w:r>
        <w:rPr>
          <w:rFonts w:hint="default" w:ascii="Times New Roman" w:hAnsi="Times New Roman" w:eastAsia="宋体" w:cs="Times New Roman"/>
          <w:color w:val="auto"/>
          <w:szCs w:val="28"/>
          <w:highlight w:val="none"/>
        </w:rPr>
        <w:t>联络人：</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eastAsia" w:ascii="Times New Roman" w:hAnsi="Times New Roman" w:cs="Times New Roman"/>
          <w:color w:val="auto"/>
          <w:szCs w:val="28"/>
          <w:highlight w:val="none"/>
          <w:u w:val="none"/>
          <w:lang w:eastAsia="zh-CN"/>
        </w:rPr>
        <w:t>；</w:t>
      </w:r>
      <w:r>
        <w:rPr>
          <w:rFonts w:hint="default" w:ascii="Times New Roman" w:hAnsi="Times New Roman" w:eastAsia="宋体" w:cs="Times New Roman"/>
          <w:color w:val="auto"/>
          <w:szCs w:val="28"/>
          <w:highlight w:val="none"/>
        </w:rPr>
        <w:t>电话：</w:t>
      </w:r>
      <w:r>
        <w:rPr>
          <w:rFonts w:hint="default" w:ascii="Times New Roman" w:hAnsi="Times New Roman" w:eastAsia="宋体" w:cs="Times New Roman"/>
          <w:color w:val="auto"/>
          <w:szCs w:val="28"/>
          <w:highlight w:val="none"/>
          <w:u w:val="single"/>
        </w:rPr>
        <w:t xml:space="preserve">                                          </w:t>
      </w:r>
    </w:p>
    <w:p w14:paraId="1D7D8AC8">
      <w:pPr>
        <w:numPr>
          <w:ilvl w:val="12"/>
          <w:numId w:val="0"/>
        </w:numPr>
        <w:spacing w:line="600" w:lineRule="exact"/>
        <w:rPr>
          <w:rFonts w:hint="default" w:ascii="Times New Roman" w:hAnsi="Times New Roman" w:eastAsia="宋体" w:cs="Times New Roman"/>
          <w:color w:val="auto"/>
          <w:highlight w:val="none"/>
        </w:rPr>
      </w:pPr>
    </w:p>
    <w:p w14:paraId="22814D6C">
      <w:pPr>
        <w:numPr>
          <w:ilvl w:val="12"/>
          <w:numId w:val="0"/>
        </w:numPr>
        <w:spacing w:line="6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乙方：</w:t>
      </w:r>
      <w:r>
        <w:rPr>
          <w:rFonts w:hint="eastAsia"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r>
        <w:rPr>
          <w:rFonts w:hint="eastAsia"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p>
    <w:p w14:paraId="09D6C890">
      <w:pPr>
        <w:numPr>
          <w:ilvl w:val="12"/>
          <w:numId w:val="0"/>
        </w:numPr>
        <w:spacing w:line="600" w:lineRule="exact"/>
        <w:rPr>
          <w:rFonts w:hint="default" w:ascii="Times New Roman" w:hAnsi="Times New Roman" w:eastAsia="宋体" w:cs="Times New Roman"/>
          <w:color w:val="auto"/>
          <w:highlight w:val="none"/>
          <w:u w:val="thick"/>
        </w:rPr>
      </w:pPr>
      <w:r>
        <w:rPr>
          <w:rFonts w:hint="default" w:ascii="Times New Roman" w:hAnsi="Times New Roman" w:eastAsia="宋体" w:cs="Times New Roman"/>
          <w:color w:val="auto"/>
          <w:highlight w:val="none"/>
        </w:rPr>
        <w:t>地址：</w:t>
      </w:r>
      <w:r>
        <w:rPr>
          <w:rFonts w:hint="default" w:ascii="Times New Roman" w:hAnsi="Times New Roman" w:eastAsia="宋体" w:cs="Times New Roman"/>
          <w:color w:val="auto"/>
          <w:highlight w:val="none"/>
          <w:u w:val="single"/>
        </w:rPr>
        <w:t xml:space="preserve">                                                             </w:t>
      </w:r>
      <w:r>
        <w:rPr>
          <w:rFonts w:hint="eastAsia" w:ascii="Times New Roman" w:hAnsi="Times New Roman" w:cs="Times New Roman"/>
          <w:color w:val="auto"/>
          <w:highlight w:val="none"/>
          <w:u w:val="single"/>
          <w:lang w:val="en-US" w:eastAsia="zh-CN"/>
        </w:rPr>
        <w:t xml:space="preserve">        </w:t>
      </w:r>
      <w:r>
        <w:rPr>
          <w:rFonts w:hint="default" w:ascii="Times New Roman" w:hAnsi="Times New Roman" w:eastAsia="宋体" w:cs="Times New Roman"/>
          <w:color w:val="auto"/>
          <w:highlight w:val="none"/>
          <w:u w:val="single"/>
        </w:rPr>
        <w:t xml:space="preserve">    </w:t>
      </w:r>
    </w:p>
    <w:p w14:paraId="7B2D3947">
      <w:pPr>
        <w:numPr>
          <w:ilvl w:val="12"/>
          <w:numId w:val="0"/>
        </w:numPr>
        <w:spacing w:line="600" w:lineRule="exact"/>
        <w:rPr>
          <w:rFonts w:hint="default" w:ascii="Times New Roman" w:hAnsi="Times New Roman" w:eastAsia="宋体" w:cs="Times New Roman"/>
          <w:color w:val="auto"/>
          <w:szCs w:val="28"/>
          <w:highlight w:val="none"/>
          <w:u w:val="single"/>
        </w:rPr>
      </w:pPr>
      <w:r>
        <w:rPr>
          <w:rFonts w:hint="default" w:ascii="Times New Roman" w:hAnsi="Times New Roman" w:eastAsia="宋体" w:cs="Times New Roman"/>
          <w:color w:val="auto"/>
          <w:szCs w:val="28"/>
          <w:highlight w:val="none"/>
        </w:rPr>
        <w:t>联络人：</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default" w:ascii="Times New Roman" w:hAnsi="Times New Roman" w:eastAsia="宋体" w:cs="Times New Roman"/>
          <w:color w:val="auto"/>
          <w:szCs w:val="28"/>
          <w:highlight w:val="none"/>
          <w:u w:val="single"/>
        </w:rPr>
        <w:t xml:space="preserve">  </w:t>
      </w:r>
      <w:r>
        <w:rPr>
          <w:rFonts w:hint="eastAsia" w:ascii="Times New Roman" w:hAnsi="Times New Roman" w:cs="Times New Roman"/>
          <w:color w:val="auto"/>
          <w:szCs w:val="28"/>
          <w:highlight w:val="none"/>
          <w:u w:val="single"/>
          <w:lang w:val="en-US" w:eastAsia="zh-CN"/>
        </w:rPr>
        <w:t xml:space="preserve"> </w:t>
      </w:r>
      <w:r>
        <w:rPr>
          <w:rFonts w:hint="eastAsia" w:ascii="Times New Roman" w:hAnsi="Times New Roman" w:cs="Times New Roman"/>
          <w:color w:val="auto"/>
          <w:szCs w:val="28"/>
          <w:highlight w:val="none"/>
          <w:u w:val="none"/>
          <w:lang w:eastAsia="zh-CN"/>
        </w:rPr>
        <w:t>；</w:t>
      </w:r>
      <w:r>
        <w:rPr>
          <w:rFonts w:hint="default" w:ascii="Times New Roman" w:hAnsi="Times New Roman" w:eastAsia="宋体" w:cs="Times New Roman"/>
          <w:color w:val="auto"/>
          <w:szCs w:val="28"/>
          <w:highlight w:val="none"/>
        </w:rPr>
        <w:t>电话：</w:t>
      </w:r>
      <w:r>
        <w:rPr>
          <w:rFonts w:hint="default" w:ascii="Times New Roman" w:hAnsi="Times New Roman" w:eastAsia="宋体" w:cs="Times New Roman"/>
          <w:color w:val="auto"/>
          <w:szCs w:val="28"/>
          <w:highlight w:val="none"/>
          <w:u w:val="single"/>
        </w:rPr>
        <w:t xml:space="preserve">                                           </w:t>
      </w:r>
    </w:p>
    <w:p w14:paraId="154C315D">
      <w:pPr>
        <w:numPr>
          <w:ilvl w:val="12"/>
          <w:numId w:val="0"/>
        </w:numPr>
        <w:spacing w:line="600" w:lineRule="exact"/>
        <w:rPr>
          <w:rFonts w:hint="default" w:ascii="Times New Roman" w:hAnsi="Times New Roman" w:eastAsia="宋体" w:cs="Times New Roman"/>
          <w:color w:val="auto"/>
          <w:sz w:val="20"/>
          <w:highlight w:val="none"/>
        </w:rPr>
      </w:pPr>
    </w:p>
    <w:p w14:paraId="5609F409">
      <w:pPr>
        <w:adjustRightInd w:val="0"/>
        <w:spacing w:line="500" w:lineRule="exact"/>
        <w:ind w:firstLine="420" w:firstLineChars="200"/>
        <w:jc w:val="left"/>
        <w:rPr>
          <w:rFonts w:hint="default" w:ascii="Times New Roman" w:hAnsi="Times New Roman" w:eastAsia="宋体" w:cs="Times New Roman"/>
          <w:b/>
          <w:color w:val="auto"/>
          <w:szCs w:val="28"/>
          <w:highlight w:val="none"/>
        </w:rPr>
      </w:pPr>
      <w:r>
        <w:rPr>
          <w:rFonts w:hint="default" w:ascii="Times New Roman" w:hAnsi="Times New Roman" w:eastAsia="宋体" w:cs="Times New Roman"/>
          <w:color w:val="auto"/>
          <w:szCs w:val="28"/>
          <w:highlight w:val="none"/>
        </w:rPr>
        <w:t>为了切实加强对各供应商现场</w:t>
      </w:r>
      <w:r>
        <w:rPr>
          <w:rFonts w:hint="eastAsia"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装</w:t>
      </w:r>
      <w:r>
        <w:rPr>
          <w:rFonts w:hint="default" w:ascii="Times New Roman" w:hAnsi="Times New Roman" w:eastAsia="宋体" w:cs="Times New Roman"/>
          <w:color w:val="auto"/>
          <w:szCs w:val="28"/>
          <w:highlight w:val="none"/>
        </w:rPr>
        <w:t>卸货</w:t>
      </w:r>
      <w:r>
        <w:rPr>
          <w:rFonts w:hint="eastAsia" w:cs="Times New Roman"/>
          <w:color w:val="auto"/>
          <w:szCs w:val="28"/>
          <w:highlight w:val="none"/>
          <w:lang w:val="en-US" w:eastAsia="zh-CN"/>
        </w:rPr>
        <w:t>及运输过程</w:t>
      </w:r>
      <w:r>
        <w:rPr>
          <w:rFonts w:hint="default" w:ascii="Times New Roman" w:hAnsi="Times New Roman" w:eastAsia="宋体" w:cs="Times New Roman"/>
          <w:color w:val="auto"/>
          <w:szCs w:val="28"/>
          <w:highlight w:val="none"/>
        </w:rPr>
        <w:t>的安全管理，进一步明确甲乙双方的安全管理责任，防止发生安全事故，依照《中华人民共和国</w:t>
      </w:r>
      <w:r>
        <w:rPr>
          <w:rFonts w:hint="eastAsia" w:cs="Times New Roman"/>
          <w:color w:val="auto"/>
          <w:szCs w:val="28"/>
          <w:highlight w:val="none"/>
          <w:lang w:val="en-US" w:eastAsia="zh-CN"/>
        </w:rPr>
        <w:t>民法典</w:t>
      </w:r>
      <w:r>
        <w:rPr>
          <w:rFonts w:hint="default" w:ascii="Times New Roman" w:hAnsi="Times New Roman" w:eastAsia="宋体" w:cs="Times New Roman"/>
          <w:color w:val="auto"/>
          <w:szCs w:val="28"/>
          <w:highlight w:val="none"/>
        </w:rPr>
        <w:t>》《中华人民共和国安全生产法》</w:t>
      </w:r>
      <w:r>
        <w:rPr>
          <w:rFonts w:hint="eastAsia"/>
          <w:color w:val="auto"/>
          <w:szCs w:val="28"/>
          <w:highlight w:val="none"/>
        </w:rPr>
        <w:t>《危险化学品安全管理条例》</w:t>
      </w:r>
      <w:r>
        <w:rPr>
          <w:rFonts w:hint="default" w:ascii="Times New Roman" w:hAnsi="Times New Roman" w:eastAsia="宋体" w:cs="Times New Roman"/>
          <w:color w:val="auto"/>
          <w:szCs w:val="28"/>
          <w:highlight w:val="none"/>
        </w:rPr>
        <w:t>及其它相关法律、法规规定，遵循平等、自愿、公平和依法管理的原则，在甲乙双方签订的《</w:t>
      </w:r>
      <w:r>
        <w:rPr>
          <w:rFonts w:hint="default" w:ascii="Times New Roman" w:hAnsi="Times New Roman" w:eastAsia="宋体" w:cs="Times New Roman"/>
          <w:color w:val="auto"/>
          <w:szCs w:val="28"/>
          <w:highlight w:val="none"/>
          <w:lang w:val="en-US" w:eastAsia="zh-CN"/>
        </w:rPr>
        <w:t xml:space="preserve">                     </w:t>
      </w:r>
      <w:r>
        <w:rPr>
          <w:rFonts w:hint="default" w:ascii="Times New Roman" w:hAnsi="Times New Roman" w:eastAsia="宋体" w:cs="Times New Roman"/>
          <w:color w:val="auto"/>
          <w:szCs w:val="28"/>
          <w:highlight w:val="none"/>
        </w:rPr>
        <w:t xml:space="preserve">》（甲方合同编号：              </w:t>
      </w:r>
      <w:r>
        <w:rPr>
          <w:rFonts w:hint="eastAsia" w:ascii="Times New Roman" w:hAnsi="Times New Roman" w:cs="Times New Roman"/>
          <w:color w:val="auto"/>
          <w:szCs w:val="28"/>
          <w:highlight w:val="none"/>
          <w:lang w:eastAsia="zh-CN"/>
        </w:rPr>
        <w:t>）</w:t>
      </w:r>
      <w:r>
        <w:rPr>
          <w:rFonts w:hint="default" w:ascii="Times New Roman" w:hAnsi="Times New Roman" w:eastAsia="宋体" w:cs="Times New Roman"/>
          <w:color w:val="auto"/>
          <w:szCs w:val="28"/>
          <w:highlight w:val="none"/>
        </w:rPr>
        <w:t>（以下简称原合同）基础上，共同协商一致，签订本安全管理协议书（以下简称本协议）。</w:t>
      </w:r>
    </w:p>
    <w:p w14:paraId="4DB91DC5">
      <w:pPr>
        <w:numPr>
          <w:ilvl w:val="12"/>
          <w:numId w:val="0"/>
        </w:numPr>
        <w:spacing w:line="500" w:lineRule="exact"/>
        <w:ind w:firstLine="420" w:firstLineChars="200"/>
        <w:rPr>
          <w:rFonts w:hint="default" w:ascii="Times New Roman" w:hAnsi="Times New Roman" w:eastAsia="宋体" w:cs="Times New Roman"/>
          <w:color w:val="auto"/>
          <w:highlight w:val="none"/>
        </w:rPr>
      </w:pPr>
    </w:p>
    <w:p w14:paraId="643D5914">
      <w:pPr>
        <w:spacing w:line="500" w:lineRule="exact"/>
        <w:ind w:firstLine="422" w:firstLineChars="200"/>
        <w:outlineLvl w:val="0"/>
        <w:rPr>
          <w:rFonts w:hint="default" w:ascii="Times New Roman" w:hAnsi="Times New Roman" w:eastAsia="宋体" w:cs="Times New Roman"/>
          <w:b/>
          <w:color w:val="auto"/>
          <w:highlight w:val="none"/>
        </w:rPr>
      </w:pPr>
      <w:bookmarkStart w:id="405" w:name="_Toc15275"/>
      <w:bookmarkStart w:id="406" w:name="_Toc23735"/>
      <w:r>
        <w:rPr>
          <w:rFonts w:hint="default" w:ascii="Times New Roman" w:hAnsi="Times New Roman" w:eastAsia="宋体" w:cs="Times New Roman"/>
          <w:b/>
          <w:color w:val="auto"/>
          <w:highlight w:val="none"/>
        </w:rPr>
        <w:t>第一条 基本情况</w:t>
      </w:r>
      <w:bookmarkEnd w:id="405"/>
      <w:bookmarkEnd w:id="406"/>
    </w:p>
    <w:p w14:paraId="7C253DF4">
      <w:pPr>
        <w:spacing w:line="500" w:lineRule="exact"/>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 xml:space="preserve">1.1 </w:t>
      </w:r>
      <w:r>
        <w:rPr>
          <w:rFonts w:hint="eastAsia" w:ascii="Times New Roman" w:hAnsi="Times New Roman" w:cs="Times New Roman"/>
          <w:color w:val="auto"/>
          <w:highlight w:val="none"/>
          <w:lang w:val="en-US" w:eastAsia="zh-CN"/>
        </w:rPr>
        <w:t>项目</w:t>
      </w:r>
      <w:r>
        <w:rPr>
          <w:rFonts w:hint="default" w:ascii="Times New Roman" w:hAnsi="Times New Roman" w:eastAsia="宋体" w:cs="Times New Roman"/>
          <w:color w:val="auto"/>
          <w:highlight w:val="none"/>
        </w:rPr>
        <w:t>名称：</w:t>
      </w:r>
      <w:r>
        <w:rPr>
          <w:rFonts w:hint="default" w:ascii="Times New Roman" w:hAnsi="Times New Roman" w:eastAsia="宋体" w:cs="Times New Roman"/>
          <w:color w:val="auto"/>
          <w:highlight w:val="none"/>
          <w:lang w:val="en-US" w:eastAsia="zh-CN"/>
        </w:rPr>
        <w:t>XXX</w:t>
      </w:r>
      <w:r>
        <w:rPr>
          <w:rFonts w:hint="default" w:ascii="Times New Roman" w:hAnsi="Times New Roman" w:eastAsia="宋体" w:cs="Times New Roman"/>
          <w:color w:val="auto"/>
          <w:highlight w:val="none"/>
        </w:rPr>
        <w:t>项目</w:t>
      </w:r>
    </w:p>
    <w:p w14:paraId="4D733A76">
      <w:pPr>
        <w:spacing w:line="500" w:lineRule="exact"/>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 xml:space="preserve">1.2 </w:t>
      </w:r>
      <w:r>
        <w:rPr>
          <w:rFonts w:hint="eastAsia" w:cs="Times New Roman"/>
          <w:color w:val="auto"/>
          <w:highlight w:val="none"/>
          <w:lang w:val="en-US" w:eastAsia="zh-CN"/>
        </w:rPr>
        <w:t>服务</w:t>
      </w:r>
      <w:r>
        <w:rPr>
          <w:rFonts w:hint="default" w:ascii="Times New Roman" w:hAnsi="Times New Roman" w:eastAsia="宋体" w:cs="Times New Roman"/>
          <w:color w:val="auto"/>
          <w:highlight w:val="none"/>
        </w:rPr>
        <w:t>地点</w:t>
      </w:r>
      <w:r>
        <w:rPr>
          <w:rFonts w:hint="eastAsia" w:ascii="Times New Roman" w:hAnsi="Times New Roman" w:cs="Times New Roman"/>
          <w:color w:val="auto"/>
          <w:highlight w:val="none"/>
          <w:lang w:val="en-US" w:eastAsia="zh-CN"/>
        </w:rPr>
        <w:t>及</w:t>
      </w:r>
      <w:r>
        <w:rPr>
          <w:rFonts w:hint="default" w:ascii="Times New Roman" w:hAnsi="Times New Roman" w:eastAsia="宋体" w:cs="Times New Roman"/>
          <w:color w:val="auto"/>
          <w:highlight w:val="none"/>
        </w:rPr>
        <w:t>范围：</w:t>
      </w:r>
      <w:r>
        <w:rPr>
          <w:rFonts w:hint="eastAsia" w:cs="Times New Roman"/>
          <w:color w:val="auto"/>
          <w:highlight w:val="none"/>
          <w:lang w:val="en-US" w:eastAsia="zh-CN"/>
        </w:rPr>
        <w:t>详见原合同</w:t>
      </w:r>
    </w:p>
    <w:p w14:paraId="44EED17E">
      <w:pPr>
        <w:spacing w:line="500" w:lineRule="exact"/>
        <w:ind w:firstLine="420" w:firstLineChars="20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 xml:space="preserve">1.4 </w:t>
      </w:r>
      <w:r>
        <w:rPr>
          <w:rFonts w:hint="eastAsia" w:cs="Times New Roman"/>
          <w:color w:val="auto"/>
          <w:highlight w:val="none"/>
          <w:lang w:val="en-US" w:eastAsia="zh-CN"/>
        </w:rPr>
        <w:t>服务</w:t>
      </w:r>
      <w:r>
        <w:rPr>
          <w:rFonts w:hint="eastAsia" w:ascii="Times New Roman" w:hAnsi="Times New Roman" w:cs="Times New Roman"/>
          <w:color w:val="auto"/>
          <w:highlight w:val="none"/>
          <w:lang w:val="en-US" w:eastAsia="zh-CN"/>
        </w:rPr>
        <w:t>时间</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详见原合同</w:t>
      </w:r>
    </w:p>
    <w:p w14:paraId="7E0FA134">
      <w:pPr>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07" w:name="_Toc836"/>
      <w:bookmarkStart w:id="408" w:name="_Toc28038"/>
      <w:r>
        <w:rPr>
          <w:rFonts w:hint="default" w:ascii="Times New Roman" w:hAnsi="Times New Roman" w:eastAsia="宋体" w:cs="Times New Roman"/>
          <w:b/>
          <w:bCs/>
          <w:color w:val="auto"/>
          <w:szCs w:val="21"/>
          <w:highlight w:val="none"/>
        </w:rPr>
        <w:t>第二条 乙方资质</w:t>
      </w:r>
      <w:bookmarkEnd w:id="407"/>
      <w:bookmarkEnd w:id="408"/>
    </w:p>
    <w:p w14:paraId="1A60F688">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2.1 乙方应将资质、资格证书、安全</w:t>
      </w:r>
      <w:r>
        <w:rPr>
          <w:rFonts w:hint="eastAsia" w:ascii="Times New Roman" w:hAnsi="Times New Roman" w:cs="Times New Roman"/>
          <w:color w:val="auto"/>
          <w:szCs w:val="21"/>
          <w:highlight w:val="none"/>
          <w:lang w:val="en-US" w:eastAsia="zh-CN"/>
        </w:rPr>
        <w:t>等</w:t>
      </w:r>
      <w:r>
        <w:rPr>
          <w:rFonts w:hint="default" w:ascii="Times New Roman" w:hAnsi="Times New Roman" w:eastAsia="宋体" w:cs="Times New Roman"/>
          <w:color w:val="auto"/>
          <w:szCs w:val="21"/>
          <w:highlight w:val="none"/>
        </w:rPr>
        <w:t>有关资料原件呈送甲方，并对资料真实性负责，</w:t>
      </w:r>
      <w:r>
        <w:rPr>
          <w:rFonts w:hint="eastAsia" w:ascii="Times New Roman" w:hAnsi="Times New Roman" w:cs="Times New Roman"/>
          <w:color w:val="auto"/>
          <w:szCs w:val="21"/>
          <w:highlight w:val="none"/>
          <w:lang w:val="en-US" w:eastAsia="zh-CN"/>
        </w:rPr>
        <w:t>甲方</w:t>
      </w:r>
      <w:r>
        <w:rPr>
          <w:rFonts w:hint="default" w:ascii="Times New Roman" w:hAnsi="Times New Roman" w:eastAsia="宋体" w:cs="Times New Roman"/>
          <w:color w:val="auto"/>
          <w:szCs w:val="21"/>
          <w:highlight w:val="none"/>
        </w:rPr>
        <w:t>审核通过后报送甲方进行复核、备案。</w:t>
      </w:r>
    </w:p>
    <w:p w14:paraId="7D4C67B5">
      <w:pPr>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09" w:name="_Toc15457"/>
      <w:bookmarkStart w:id="410" w:name="_Toc25277"/>
      <w:r>
        <w:rPr>
          <w:rFonts w:hint="default" w:ascii="Times New Roman" w:hAnsi="Times New Roman" w:eastAsia="宋体" w:cs="Times New Roman"/>
          <w:b/>
          <w:bCs/>
          <w:color w:val="auto"/>
          <w:szCs w:val="21"/>
          <w:highlight w:val="none"/>
        </w:rPr>
        <w:t>第三条 乙方承包项目负责人及安全管理人员</w:t>
      </w:r>
      <w:bookmarkEnd w:id="409"/>
      <w:bookmarkEnd w:id="410"/>
    </w:p>
    <w:p w14:paraId="13AAA82A">
      <w:pPr>
        <w:spacing w:line="500" w:lineRule="exact"/>
        <w:ind w:firstLine="420" w:firstLineChars="20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3.1 乙方项目负责人：</w:t>
      </w:r>
      <w:r>
        <w:rPr>
          <w:rFonts w:hint="default" w:ascii="Times New Roman" w:hAnsi="Times New Roman" w:eastAsia="宋体" w:cs="Times New Roman"/>
          <w:bCs/>
          <w:color w:val="auto"/>
          <w:szCs w:val="21"/>
          <w:highlight w:val="none"/>
          <w:u w:val="single"/>
        </w:rPr>
        <w:t xml:space="preserve">       </w:t>
      </w:r>
      <w:r>
        <w:rPr>
          <w:rFonts w:hint="eastAsia"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none"/>
        </w:rPr>
        <w:t xml:space="preserve"> </w:t>
      </w:r>
      <w:r>
        <w:rPr>
          <w:rFonts w:hint="eastAsia" w:ascii="Times New Roman" w:hAnsi="Times New Roman" w:cs="Times New Roman"/>
          <w:bCs/>
          <w:color w:val="auto"/>
          <w:szCs w:val="21"/>
          <w:highlight w:val="none"/>
          <w:u w:val="none"/>
          <w:lang w:eastAsia="zh-CN"/>
        </w:rPr>
        <w:t>；</w:t>
      </w:r>
      <w:r>
        <w:rPr>
          <w:rFonts w:hint="default" w:ascii="Times New Roman" w:hAnsi="Times New Roman" w:eastAsia="宋体" w:cs="Times New Roman"/>
          <w:bCs/>
          <w:color w:val="auto"/>
          <w:szCs w:val="21"/>
          <w:highlight w:val="none"/>
        </w:rPr>
        <w:t>电话</w:t>
      </w:r>
      <w:r>
        <w:rPr>
          <w:rFonts w:hint="default" w:ascii="Times New Roman" w:hAnsi="Times New Roman" w:eastAsia="宋体" w:cs="Times New Roman"/>
          <w:bCs/>
          <w:color w:val="auto"/>
          <w:szCs w:val="21"/>
          <w:highlight w:val="none"/>
          <w:u w:val="single"/>
        </w:rPr>
        <w:t xml:space="preserve">：  </w:t>
      </w:r>
      <w:r>
        <w:rPr>
          <w:rFonts w:hint="eastAsia"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rPr>
        <w:t>；</w:t>
      </w:r>
    </w:p>
    <w:p w14:paraId="1DCBCC6F">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rPr>
        <w:t>3.2 乙方安全管理负责人：</w:t>
      </w:r>
      <w:r>
        <w:rPr>
          <w:rFonts w:hint="default" w:ascii="Times New Roman" w:hAnsi="Times New Roman" w:eastAsia="宋体" w:cs="Times New Roman"/>
          <w:bCs/>
          <w:color w:val="auto"/>
          <w:szCs w:val="21"/>
          <w:highlight w:val="none"/>
          <w:u w:val="single"/>
        </w:rPr>
        <w:t xml:space="preserve">    </w:t>
      </w:r>
      <w:r>
        <w:rPr>
          <w:rFonts w:hint="eastAsia"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default" w:ascii="Times New Roman" w:hAnsi="Times New Roman" w:eastAsia="宋体" w:cs="Times New Roman"/>
          <w:bCs/>
          <w:color w:val="auto"/>
          <w:szCs w:val="21"/>
          <w:highlight w:val="none"/>
          <w:u w:val="none"/>
        </w:rPr>
        <w:t xml:space="preserve"> </w:t>
      </w:r>
      <w:r>
        <w:rPr>
          <w:rFonts w:hint="eastAsia" w:ascii="Times New Roman" w:hAnsi="Times New Roman" w:cs="Times New Roman"/>
          <w:bCs/>
          <w:color w:val="auto"/>
          <w:szCs w:val="21"/>
          <w:highlight w:val="none"/>
          <w:u w:val="none"/>
          <w:lang w:eastAsia="zh-CN"/>
        </w:rPr>
        <w:t>；</w:t>
      </w:r>
      <w:r>
        <w:rPr>
          <w:rFonts w:hint="default" w:ascii="Times New Roman" w:hAnsi="Times New Roman" w:eastAsia="宋体" w:cs="Times New Roman"/>
          <w:bCs/>
          <w:color w:val="auto"/>
          <w:szCs w:val="21"/>
          <w:highlight w:val="none"/>
        </w:rPr>
        <w:t>电话</w:t>
      </w:r>
      <w:r>
        <w:rPr>
          <w:rFonts w:hint="default" w:ascii="Times New Roman" w:hAnsi="Times New Roman" w:eastAsia="宋体" w:cs="Times New Roman"/>
          <w:bCs/>
          <w:color w:val="auto"/>
          <w:szCs w:val="21"/>
          <w:highlight w:val="none"/>
          <w:u w:val="single"/>
        </w:rPr>
        <w:t xml:space="preserve">：    </w:t>
      </w:r>
      <w:r>
        <w:rPr>
          <w:rFonts w:hint="eastAsia" w:cs="Times New Roman"/>
          <w:bCs/>
          <w:color w:val="auto"/>
          <w:szCs w:val="21"/>
          <w:highlight w:val="none"/>
          <w:u w:val="single"/>
          <w:lang w:val="en-US" w:eastAsia="zh-CN"/>
        </w:rPr>
        <w:t xml:space="preserve">    </w:t>
      </w:r>
      <w:r>
        <w:rPr>
          <w:rFonts w:hint="default" w:ascii="Times New Roman" w:hAnsi="Times New Roman" w:eastAsia="宋体" w:cs="Times New Roman"/>
          <w:bCs/>
          <w:color w:val="auto"/>
          <w:szCs w:val="21"/>
          <w:highlight w:val="none"/>
          <w:u w:val="single"/>
        </w:rPr>
        <w:t xml:space="preserve">    </w:t>
      </w:r>
      <w:r>
        <w:rPr>
          <w:rFonts w:hint="eastAsia" w:ascii="Times New Roman" w:hAnsi="Times New Roman" w:cs="Times New Roman"/>
          <w:bCs/>
          <w:color w:val="auto"/>
          <w:szCs w:val="21"/>
          <w:highlight w:val="none"/>
          <w:u w:val="none"/>
          <w:lang w:eastAsia="zh-CN"/>
        </w:rPr>
        <w:t>。</w:t>
      </w:r>
    </w:p>
    <w:p w14:paraId="281C4ACD">
      <w:pPr>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11" w:name="_Toc12907"/>
      <w:bookmarkStart w:id="412" w:name="_Toc2674"/>
      <w:r>
        <w:rPr>
          <w:rFonts w:hint="default" w:ascii="Times New Roman" w:hAnsi="Times New Roman" w:eastAsia="宋体" w:cs="Times New Roman"/>
          <w:b/>
          <w:bCs/>
          <w:color w:val="auto"/>
          <w:szCs w:val="21"/>
          <w:highlight w:val="none"/>
        </w:rPr>
        <w:t>第四条 甲方的权利和义务</w:t>
      </w:r>
      <w:bookmarkEnd w:id="411"/>
      <w:bookmarkEnd w:id="412"/>
    </w:p>
    <w:p w14:paraId="7671D022">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4.1 甲方或甲方委托方审查乙方的营业执照、资质证书、安全管理制度和安全防护</w:t>
      </w:r>
      <w:r>
        <w:rPr>
          <w:rFonts w:hint="eastAsia" w:cs="Times New Roman"/>
          <w:color w:val="auto"/>
          <w:szCs w:val="21"/>
          <w:highlight w:val="none"/>
          <w:lang w:val="en-US" w:eastAsia="zh-CN"/>
        </w:rPr>
        <w:t>装置</w:t>
      </w:r>
      <w:r>
        <w:rPr>
          <w:rFonts w:hint="default" w:ascii="Times New Roman" w:hAnsi="Times New Roman" w:eastAsia="宋体" w:cs="Times New Roman"/>
          <w:color w:val="auto"/>
          <w:szCs w:val="21"/>
          <w:highlight w:val="none"/>
        </w:rPr>
        <w:t>及检测情况等，并需要对原件和复印件进行核对无误；</w:t>
      </w:r>
    </w:p>
    <w:p w14:paraId="266E7772">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4.2 甲方或甲方委托方对乙方所制定的安全操作规程和应急预案进行审查和检查，对无方案、无措施和措施落实不到位的有权停止</w:t>
      </w:r>
      <w:r>
        <w:rPr>
          <w:rFonts w:hint="eastAsia" w:ascii="Times New Roman" w:hAnsi="Times New Roman" w:cs="Times New Roman"/>
          <w:color w:val="auto"/>
          <w:szCs w:val="21"/>
          <w:highlight w:val="none"/>
          <w:lang w:val="en-US" w:eastAsia="zh-CN"/>
        </w:rPr>
        <w:t>合作</w:t>
      </w:r>
      <w:r>
        <w:rPr>
          <w:rFonts w:hint="default" w:ascii="Times New Roman" w:hAnsi="Times New Roman" w:eastAsia="宋体" w:cs="Times New Roman"/>
          <w:color w:val="auto"/>
          <w:szCs w:val="21"/>
          <w:highlight w:val="none"/>
        </w:rPr>
        <w:t>，限期整改，并根据具体情况进行处罚；</w:t>
      </w:r>
    </w:p>
    <w:p w14:paraId="32003171">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eastAsia" w:ascii="Times New Roman" w:hAnsi="Times New Roman" w:cs="Times New Roman"/>
          <w:color w:val="auto"/>
          <w:szCs w:val="21"/>
          <w:highlight w:val="none"/>
          <w:lang w:val="en-US" w:eastAsia="zh-CN"/>
        </w:rPr>
        <w:t>3</w:t>
      </w:r>
      <w:r>
        <w:rPr>
          <w:rFonts w:hint="default" w:ascii="Times New Roman" w:hAnsi="Times New Roman" w:eastAsia="宋体" w:cs="Times New Roman"/>
          <w:color w:val="auto"/>
          <w:szCs w:val="21"/>
          <w:highlight w:val="none"/>
        </w:rPr>
        <w:t xml:space="preserve"> 甲方或甲方委托方对乙方</w:t>
      </w:r>
      <w:r>
        <w:rPr>
          <w:rFonts w:hint="eastAsia" w:ascii="Times New Roman" w:hAnsi="Times New Roman" w:cs="Times New Roman"/>
          <w:color w:val="auto"/>
          <w:szCs w:val="21"/>
          <w:highlight w:val="none"/>
          <w:lang w:val="en-US" w:eastAsia="zh-CN"/>
        </w:rPr>
        <w:t>货物的</w:t>
      </w:r>
      <w:r>
        <w:rPr>
          <w:rFonts w:hint="eastAsia" w:ascii="Times New Roman" w:hAnsi="Times New Roman" w:cs="Times New Roman"/>
          <w:color w:val="auto"/>
          <w:szCs w:val="21"/>
          <w:highlight w:val="none"/>
          <w:lang w:eastAsia="zh-CN"/>
        </w:rPr>
        <w:t>运输装卸及押运人员</w:t>
      </w:r>
      <w:r>
        <w:rPr>
          <w:rFonts w:hint="eastAsia" w:ascii="Times New Roman" w:hAnsi="Times New Roman" w:cs="Times New Roman"/>
          <w:color w:val="auto"/>
          <w:szCs w:val="21"/>
          <w:highlight w:val="none"/>
          <w:lang w:val="en-US" w:eastAsia="zh-CN"/>
        </w:rPr>
        <w:t>相关</w:t>
      </w:r>
      <w:r>
        <w:rPr>
          <w:rFonts w:hint="default" w:ascii="Times New Roman" w:hAnsi="Times New Roman" w:eastAsia="宋体" w:cs="Times New Roman"/>
          <w:color w:val="auto"/>
          <w:szCs w:val="21"/>
          <w:highlight w:val="none"/>
        </w:rPr>
        <w:t>资格进行验证，禁止非</w:t>
      </w:r>
      <w:r>
        <w:rPr>
          <w:rFonts w:hint="eastAsia" w:ascii="Times New Roman" w:hAnsi="Times New Roman" w:cs="Times New Roman"/>
          <w:color w:val="auto"/>
          <w:szCs w:val="21"/>
          <w:highlight w:val="none"/>
          <w:lang w:val="en-US" w:eastAsia="zh-CN"/>
        </w:rPr>
        <w:t>符合资质人员</w:t>
      </w:r>
      <w:r>
        <w:rPr>
          <w:rFonts w:hint="default" w:ascii="Times New Roman" w:hAnsi="Times New Roman" w:eastAsia="宋体" w:cs="Times New Roman"/>
          <w:color w:val="auto"/>
          <w:szCs w:val="21"/>
          <w:highlight w:val="none"/>
        </w:rPr>
        <w:t>从事</w:t>
      </w:r>
      <w:r>
        <w:rPr>
          <w:rFonts w:hint="eastAsia" w:ascii="Times New Roman" w:hAnsi="Times New Roman" w:cs="Times New Roman"/>
          <w:color w:val="auto"/>
          <w:szCs w:val="21"/>
          <w:highlight w:val="none"/>
          <w:lang w:val="en-US" w:eastAsia="zh-CN"/>
        </w:rPr>
        <w:t>相关</w:t>
      </w:r>
      <w:r>
        <w:rPr>
          <w:rFonts w:hint="default" w:ascii="Times New Roman" w:hAnsi="Times New Roman" w:eastAsia="宋体" w:cs="Times New Roman"/>
          <w:color w:val="auto"/>
          <w:szCs w:val="21"/>
          <w:highlight w:val="none"/>
        </w:rPr>
        <w:t>作业；</w:t>
      </w:r>
    </w:p>
    <w:p w14:paraId="7780346B">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eastAsia" w:ascii="Times New Roman" w:hAnsi="Times New Roman" w:cs="Times New Roman"/>
          <w:color w:val="auto"/>
          <w:szCs w:val="21"/>
          <w:highlight w:val="none"/>
          <w:lang w:val="en-US" w:eastAsia="zh-CN"/>
        </w:rPr>
        <w:t>4</w:t>
      </w:r>
      <w:r>
        <w:rPr>
          <w:rFonts w:hint="default" w:ascii="Times New Roman" w:hAnsi="Times New Roman" w:eastAsia="宋体" w:cs="Times New Roman"/>
          <w:color w:val="auto"/>
          <w:szCs w:val="21"/>
          <w:highlight w:val="none"/>
        </w:rPr>
        <w:t xml:space="preserve"> 因乙方不遵守本协议条款，造成安全事故的发生，甲方有权取消乙方</w:t>
      </w:r>
      <w:r>
        <w:rPr>
          <w:rFonts w:hint="eastAsia" w:ascii="Times New Roman" w:hAnsi="Times New Roman" w:cs="Times New Roman"/>
          <w:color w:val="auto"/>
          <w:szCs w:val="21"/>
          <w:highlight w:val="none"/>
          <w:lang w:val="en-US" w:eastAsia="zh-CN"/>
        </w:rPr>
        <w:t>成交</w:t>
      </w:r>
      <w:r>
        <w:rPr>
          <w:rFonts w:hint="default" w:ascii="Times New Roman" w:hAnsi="Times New Roman" w:eastAsia="宋体" w:cs="Times New Roman"/>
          <w:color w:val="auto"/>
          <w:szCs w:val="21"/>
          <w:highlight w:val="none"/>
        </w:rPr>
        <w:t>资格，并终止原合同，因此产生的责任（包括但不限于</w:t>
      </w:r>
      <w:r>
        <w:rPr>
          <w:rFonts w:hint="default"/>
          <w:color w:val="auto"/>
          <w:szCs w:val="21"/>
          <w:highlight w:val="none"/>
        </w:rPr>
        <w:t>民事责任、刑事责任及行政责任</w:t>
      </w:r>
      <w:r>
        <w:rPr>
          <w:rFonts w:hint="default" w:ascii="Times New Roman" w:hAnsi="Times New Roman" w:eastAsia="宋体" w:cs="Times New Roman"/>
          <w:color w:val="auto"/>
          <w:szCs w:val="21"/>
          <w:highlight w:val="none"/>
        </w:rPr>
        <w:t>）由乙方承担，并且</w:t>
      </w:r>
      <w:r>
        <w:rPr>
          <w:rFonts w:hint="eastAsia" w:cs="Times New Roman"/>
          <w:color w:val="auto"/>
          <w:szCs w:val="21"/>
          <w:highlight w:val="none"/>
          <w:lang w:val="en-US" w:eastAsia="zh-CN"/>
        </w:rPr>
        <w:t>甲方有权</w:t>
      </w:r>
      <w:r>
        <w:rPr>
          <w:rFonts w:hint="default" w:ascii="Times New Roman" w:hAnsi="Times New Roman" w:eastAsia="宋体" w:cs="Times New Roman"/>
          <w:color w:val="auto"/>
          <w:szCs w:val="21"/>
          <w:highlight w:val="none"/>
        </w:rPr>
        <w:t>根据原合同及本协议相关规定向乙方</w:t>
      </w:r>
      <w:r>
        <w:rPr>
          <w:rFonts w:hint="eastAsia" w:ascii="Times New Roman" w:hAnsi="Times New Roman" w:cs="Times New Roman"/>
          <w:color w:val="auto"/>
          <w:szCs w:val="21"/>
          <w:highlight w:val="none"/>
          <w:lang w:val="en-US" w:eastAsia="zh-CN"/>
        </w:rPr>
        <w:t>追究</w:t>
      </w:r>
      <w:r>
        <w:rPr>
          <w:rFonts w:hint="default" w:ascii="Times New Roman" w:hAnsi="Times New Roman" w:eastAsia="宋体" w:cs="Times New Roman"/>
          <w:color w:val="auto"/>
          <w:szCs w:val="21"/>
          <w:highlight w:val="none"/>
        </w:rPr>
        <w:t>违约责任</w:t>
      </w:r>
      <w:r>
        <w:rPr>
          <w:rFonts w:hint="eastAsia" w:cs="Times New Roman"/>
          <w:color w:val="auto"/>
          <w:szCs w:val="21"/>
          <w:highlight w:val="none"/>
          <w:lang w:val="en-US" w:eastAsia="zh-CN"/>
        </w:rPr>
        <w:t>和要求乙方赔偿甲方遭受的损失</w:t>
      </w:r>
      <w:r>
        <w:rPr>
          <w:rFonts w:hint="default" w:ascii="Times New Roman" w:hAnsi="Times New Roman" w:eastAsia="宋体" w:cs="Times New Roman"/>
          <w:color w:val="auto"/>
          <w:szCs w:val="21"/>
          <w:highlight w:val="none"/>
        </w:rPr>
        <w:t>；</w:t>
      </w:r>
    </w:p>
    <w:p w14:paraId="0F0BA552">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eastAsia" w:ascii="Times New Roman" w:hAnsi="Times New Roman" w:cs="Times New Roman"/>
          <w:color w:val="auto"/>
          <w:szCs w:val="21"/>
          <w:highlight w:val="none"/>
          <w:lang w:val="en-US" w:eastAsia="zh-CN"/>
        </w:rPr>
        <w:t>5</w:t>
      </w:r>
      <w:r>
        <w:rPr>
          <w:rFonts w:hint="default" w:ascii="Times New Roman" w:hAnsi="Times New Roman" w:eastAsia="宋体" w:cs="Times New Roman"/>
          <w:color w:val="auto"/>
          <w:szCs w:val="21"/>
          <w:highlight w:val="none"/>
        </w:rPr>
        <w:t xml:space="preserve"> 甲方或甲方委托方有权依据国家安全政策、法规和各项安全技术操作规程对乙方安全进行监督、检查和管理，有权纠正和制止乙方违规、违章行为，并根据具体情况进行处罚。甲方或甲方委托方发现乙方存在</w:t>
      </w:r>
      <w:r>
        <w:rPr>
          <w:rFonts w:hint="eastAsia" w:ascii="Times New Roman" w:hAnsi="Times New Roman" w:cs="Times New Roman"/>
          <w:color w:val="auto"/>
          <w:szCs w:val="21"/>
          <w:highlight w:val="none"/>
          <w:lang w:val="en-US" w:eastAsia="zh-CN"/>
        </w:rPr>
        <w:t>作业</w:t>
      </w:r>
      <w:r>
        <w:rPr>
          <w:rFonts w:hint="default" w:ascii="Times New Roman" w:hAnsi="Times New Roman" w:eastAsia="宋体" w:cs="Times New Roman"/>
          <w:color w:val="auto"/>
          <w:szCs w:val="21"/>
          <w:highlight w:val="none"/>
        </w:rPr>
        <w:t>安全隐患，有权责令乙方限期整改；对存在重大安全隐患的，甲方或甲方委托方有权责令乙方立即停</w:t>
      </w:r>
      <w:r>
        <w:rPr>
          <w:rFonts w:hint="eastAsia" w:cs="Times New Roman"/>
          <w:color w:val="auto"/>
          <w:szCs w:val="21"/>
          <w:highlight w:val="none"/>
          <w:lang w:val="en-US" w:eastAsia="zh-CN"/>
        </w:rPr>
        <w:t>止作业并进行</w:t>
      </w:r>
      <w:r>
        <w:rPr>
          <w:rFonts w:hint="default" w:ascii="Times New Roman" w:hAnsi="Times New Roman" w:eastAsia="宋体" w:cs="Times New Roman"/>
          <w:color w:val="auto"/>
          <w:szCs w:val="21"/>
          <w:highlight w:val="none"/>
        </w:rPr>
        <w:t>整改，待隐患消除</w:t>
      </w:r>
      <w:r>
        <w:rPr>
          <w:rFonts w:hint="eastAsia" w:cs="Times New Roman"/>
          <w:color w:val="auto"/>
          <w:szCs w:val="21"/>
          <w:highlight w:val="none"/>
          <w:lang w:val="en-US" w:eastAsia="zh-CN"/>
        </w:rPr>
        <w:t>经甲方确认</w:t>
      </w:r>
      <w:r>
        <w:rPr>
          <w:rFonts w:hint="default" w:ascii="Times New Roman" w:hAnsi="Times New Roman" w:eastAsia="宋体" w:cs="Times New Roman"/>
          <w:color w:val="auto"/>
          <w:szCs w:val="21"/>
          <w:highlight w:val="none"/>
        </w:rPr>
        <w:t>后方可</w:t>
      </w:r>
      <w:r>
        <w:rPr>
          <w:rFonts w:hint="eastAsia" w:cs="Times New Roman"/>
          <w:color w:val="auto"/>
          <w:szCs w:val="21"/>
          <w:highlight w:val="none"/>
          <w:lang w:val="en-US" w:eastAsia="zh-CN"/>
        </w:rPr>
        <w:t>重新开始作业</w:t>
      </w:r>
      <w:r>
        <w:rPr>
          <w:rFonts w:hint="default" w:ascii="Times New Roman" w:hAnsi="Times New Roman" w:eastAsia="宋体" w:cs="Times New Roman"/>
          <w:color w:val="auto"/>
          <w:szCs w:val="21"/>
          <w:highlight w:val="none"/>
        </w:rPr>
        <w:t>；</w:t>
      </w:r>
    </w:p>
    <w:p w14:paraId="3EFFDF16">
      <w:pPr>
        <w:snapToGrid w:val="0"/>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eastAsia" w:ascii="Times New Roman" w:hAnsi="Times New Roman" w:cs="Times New Roman"/>
          <w:color w:val="auto"/>
          <w:szCs w:val="21"/>
          <w:highlight w:val="none"/>
          <w:lang w:val="en-US" w:eastAsia="zh-CN"/>
        </w:rPr>
        <w:t xml:space="preserve">.6 </w:t>
      </w:r>
      <w:r>
        <w:rPr>
          <w:rFonts w:hint="default" w:ascii="Times New Roman" w:hAnsi="Times New Roman" w:eastAsia="宋体" w:cs="Times New Roman"/>
          <w:color w:val="auto"/>
          <w:szCs w:val="21"/>
          <w:highlight w:val="none"/>
        </w:rPr>
        <w:t>乙方发生事故时，甲方或甲方委托方应提供支持和帮助，发生人身伤害事故时，要积极配合抢救，并提供其他便利条件</w:t>
      </w:r>
      <w:r>
        <w:rPr>
          <w:rFonts w:hint="eastAsia" w:ascii="Times New Roman" w:hAnsi="Times New Roman" w:cs="Times New Roman"/>
          <w:color w:val="auto"/>
          <w:szCs w:val="21"/>
          <w:highlight w:val="none"/>
          <w:lang w:eastAsia="zh-CN"/>
        </w:rPr>
        <w:t>。</w:t>
      </w:r>
    </w:p>
    <w:p w14:paraId="10C16B70">
      <w:pPr>
        <w:snapToGrid w:val="0"/>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13" w:name="_Toc17958"/>
      <w:bookmarkStart w:id="414" w:name="_Toc13611"/>
      <w:r>
        <w:rPr>
          <w:rFonts w:hint="default" w:ascii="Times New Roman" w:hAnsi="Times New Roman" w:eastAsia="宋体" w:cs="Times New Roman"/>
          <w:b/>
          <w:bCs/>
          <w:color w:val="auto"/>
          <w:szCs w:val="21"/>
          <w:highlight w:val="none"/>
        </w:rPr>
        <w:t>第五条 乙方的权利和义务</w:t>
      </w:r>
      <w:bookmarkEnd w:id="413"/>
      <w:bookmarkEnd w:id="414"/>
    </w:p>
    <w:p w14:paraId="0A13248F">
      <w:pPr>
        <w:spacing w:line="500" w:lineRule="exact"/>
        <w:ind w:firstLine="420" w:firstLineChars="20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shd w:val="clear" w:color="auto" w:fill="FFFFFF"/>
        </w:rPr>
        <w:t>5.1 乙方负责人是</w:t>
      </w:r>
      <w:r>
        <w:rPr>
          <w:rFonts w:hint="eastAsia" w:ascii="Times New Roman" w:hAnsi="Times New Roman" w:cs="Times New Roman"/>
          <w:color w:val="auto"/>
          <w:szCs w:val="21"/>
          <w:highlight w:val="none"/>
          <w:shd w:val="clear" w:color="auto" w:fill="FFFFFF"/>
          <w:lang w:val="en-US" w:eastAsia="zh-CN"/>
        </w:rPr>
        <w:t>原合同项目</w:t>
      </w:r>
      <w:r>
        <w:rPr>
          <w:rFonts w:hint="default" w:ascii="Times New Roman" w:hAnsi="Times New Roman" w:eastAsia="宋体" w:cs="Times New Roman"/>
          <w:color w:val="auto"/>
          <w:szCs w:val="21"/>
          <w:highlight w:val="none"/>
          <w:shd w:val="clear" w:color="auto" w:fill="FFFFFF"/>
        </w:rPr>
        <w:t>第一责任人，对本协议安全负全面责任；</w:t>
      </w:r>
    </w:p>
    <w:p w14:paraId="2924F8E4">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5.2 乙方应认真贯彻执行国家安全生产政策、法规和行业安全规程、规定及甲方制定的各项安全管理制度</w:t>
      </w:r>
      <w:r>
        <w:rPr>
          <w:rFonts w:hint="eastAsia" w:cs="Times New Roman"/>
          <w:color w:val="auto"/>
          <w:szCs w:val="21"/>
          <w:highlight w:val="none"/>
          <w:lang w:eastAsia="zh-CN"/>
        </w:rPr>
        <w:t>、</w:t>
      </w:r>
      <w:r>
        <w:rPr>
          <w:rFonts w:hint="eastAsia" w:cs="Times New Roman"/>
          <w:color w:val="auto"/>
          <w:szCs w:val="21"/>
          <w:highlight w:val="none"/>
          <w:lang w:val="en-US" w:eastAsia="zh-CN"/>
        </w:rPr>
        <w:t>通知</w:t>
      </w:r>
      <w:r>
        <w:rPr>
          <w:rFonts w:hint="default" w:ascii="Times New Roman" w:hAnsi="Times New Roman" w:eastAsia="宋体" w:cs="Times New Roman"/>
          <w:color w:val="auto"/>
          <w:szCs w:val="21"/>
          <w:highlight w:val="none"/>
        </w:rPr>
        <w:t>，自觉遵守本协议；</w:t>
      </w:r>
    </w:p>
    <w:p w14:paraId="2B428D02">
      <w:pPr>
        <w:spacing w:line="500" w:lineRule="exact"/>
        <w:ind w:firstLine="420" w:firstLineChars="200"/>
        <w:rPr>
          <w:rFonts w:hint="eastAsia" w:ascii="Times New Roman" w:hAnsi="Times New Roman"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5.3 乙方自备及租赁的</w:t>
      </w:r>
      <w:r>
        <w:rPr>
          <w:rFonts w:hint="eastAsia" w:cs="Times New Roman"/>
          <w:color w:val="auto"/>
          <w:kern w:val="0"/>
          <w:szCs w:val="21"/>
          <w:highlight w:val="none"/>
          <w:lang w:val="en-US" w:eastAsia="zh-CN"/>
        </w:rPr>
        <w:t>运输车辆及各类工具</w:t>
      </w:r>
      <w:r>
        <w:rPr>
          <w:rFonts w:hint="default" w:ascii="Times New Roman" w:hAnsi="Times New Roman" w:eastAsia="宋体" w:cs="Times New Roman"/>
          <w:color w:val="auto"/>
          <w:kern w:val="0"/>
          <w:szCs w:val="21"/>
          <w:highlight w:val="none"/>
        </w:rPr>
        <w:t>，必须</w:t>
      </w:r>
      <w:r>
        <w:rPr>
          <w:rFonts w:hint="default" w:ascii="Times New Roman" w:hAnsi="Times New Roman" w:eastAsia="宋体" w:cs="Times New Roman"/>
          <w:color w:val="auto"/>
          <w:szCs w:val="21"/>
          <w:highlight w:val="none"/>
        </w:rPr>
        <w:t>经</w:t>
      </w:r>
      <w:r>
        <w:rPr>
          <w:rFonts w:hint="eastAsia" w:cs="Times New Roman"/>
          <w:color w:val="auto"/>
          <w:szCs w:val="21"/>
          <w:highlight w:val="none"/>
          <w:lang w:val="en-US" w:eastAsia="zh-CN"/>
        </w:rPr>
        <w:t>定期</w:t>
      </w:r>
      <w:r>
        <w:rPr>
          <w:rFonts w:hint="default" w:ascii="Times New Roman" w:hAnsi="Times New Roman" w:eastAsia="宋体" w:cs="Times New Roman"/>
          <w:color w:val="auto"/>
          <w:szCs w:val="21"/>
          <w:highlight w:val="none"/>
        </w:rPr>
        <w:t>检验合格</w:t>
      </w:r>
      <w:r>
        <w:rPr>
          <w:rFonts w:hint="eastAsia" w:cs="Times New Roman"/>
          <w:color w:val="auto"/>
          <w:szCs w:val="21"/>
          <w:highlight w:val="none"/>
          <w:lang w:eastAsia="zh-CN"/>
        </w:rPr>
        <w:t>，</w:t>
      </w:r>
      <w:r>
        <w:rPr>
          <w:rFonts w:hint="default" w:ascii="Times New Roman" w:hAnsi="Times New Roman" w:eastAsia="宋体" w:cs="Times New Roman"/>
          <w:color w:val="auto"/>
          <w:kern w:val="0"/>
          <w:szCs w:val="21"/>
          <w:highlight w:val="none"/>
        </w:rPr>
        <w:t>符合国家技术标准和行业技术标准</w:t>
      </w:r>
      <w:r>
        <w:rPr>
          <w:rFonts w:hint="default" w:ascii="Times New Roman" w:hAnsi="Times New Roman" w:eastAsia="宋体" w:cs="Times New Roman"/>
          <w:color w:val="auto"/>
          <w:szCs w:val="21"/>
          <w:highlight w:val="none"/>
        </w:rPr>
        <w:t>并遵守相关操作规程</w:t>
      </w:r>
      <w:r>
        <w:rPr>
          <w:rFonts w:hint="default" w:ascii="Times New Roman" w:hAnsi="Times New Roman" w:eastAsia="宋体" w:cs="Times New Roman"/>
          <w:color w:val="auto"/>
          <w:kern w:val="0"/>
          <w:szCs w:val="21"/>
          <w:highlight w:val="none"/>
        </w:rPr>
        <w:t>，且性能良好，各种安全防护装置齐全、灵敏、可靠</w:t>
      </w:r>
      <w:r>
        <w:rPr>
          <w:rFonts w:hint="eastAsia" w:ascii="Times New Roman" w:hAnsi="Times New Roman" w:cs="Times New Roman"/>
          <w:color w:val="auto"/>
          <w:kern w:val="0"/>
          <w:szCs w:val="21"/>
          <w:highlight w:val="none"/>
          <w:lang w:eastAsia="zh-CN"/>
        </w:rPr>
        <w:t>；</w:t>
      </w:r>
    </w:p>
    <w:p w14:paraId="226EA950">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5.4 乙方在</w:t>
      </w:r>
      <w:r>
        <w:rPr>
          <w:rFonts w:hint="eastAsia" w:ascii="Times New Roman" w:hAnsi="Times New Roman" w:cs="Times New Roman"/>
          <w:color w:val="auto"/>
          <w:szCs w:val="21"/>
          <w:highlight w:val="none"/>
          <w:lang w:val="en-US" w:eastAsia="zh-CN"/>
        </w:rPr>
        <w:t>装卸货或其他</w:t>
      </w:r>
      <w:r>
        <w:rPr>
          <w:rFonts w:hint="default" w:ascii="Times New Roman" w:hAnsi="Times New Roman" w:eastAsia="宋体" w:cs="Times New Roman"/>
          <w:color w:val="auto"/>
          <w:szCs w:val="21"/>
          <w:highlight w:val="none"/>
        </w:rPr>
        <w:t>作业过程中应切实采取有效</w:t>
      </w:r>
      <w:r>
        <w:rPr>
          <w:rFonts w:hint="eastAsia" w:ascii="Times New Roman" w:hAnsi="Times New Roman" w:cs="Times New Roman"/>
          <w:color w:val="auto"/>
          <w:szCs w:val="21"/>
          <w:highlight w:val="none"/>
          <w:lang w:val="en-US" w:eastAsia="zh-CN"/>
        </w:rPr>
        <w:t>的</w:t>
      </w:r>
      <w:r>
        <w:rPr>
          <w:rFonts w:hint="default" w:ascii="Times New Roman" w:hAnsi="Times New Roman" w:eastAsia="宋体" w:cs="Times New Roman"/>
          <w:color w:val="auto"/>
          <w:szCs w:val="21"/>
          <w:highlight w:val="none"/>
        </w:rPr>
        <w:t>安全防护措施，加强安全管理工作，防止各类安全事故的发生，保证人身及财产安全；</w:t>
      </w:r>
    </w:p>
    <w:p w14:paraId="68311F04">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rPr>
        <w:t xml:space="preserve"> 乙方应建立安全生产保证体系及安全组织机构，设置专职安全生产管理人员，健全安全生产责任制及相应的安全奖惩办法；</w:t>
      </w:r>
    </w:p>
    <w:p w14:paraId="4501FCF5">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 xml:space="preserve"> 乙方根据装卸货现场特点编制安全</w:t>
      </w:r>
      <w:r>
        <w:rPr>
          <w:rFonts w:hint="eastAsia" w:ascii="Times New Roman" w:hAnsi="Times New Roman" w:cs="Times New Roman"/>
          <w:color w:val="auto"/>
          <w:szCs w:val="21"/>
          <w:highlight w:val="none"/>
          <w:lang w:val="en-US" w:eastAsia="zh-CN"/>
        </w:rPr>
        <w:t>操作规程</w:t>
      </w:r>
      <w:r>
        <w:rPr>
          <w:rFonts w:hint="default"/>
          <w:color w:val="auto"/>
          <w:szCs w:val="21"/>
          <w:highlight w:val="none"/>
        </w:rPr>
        <w:t>和应急预案方案</w:t>
      </w:r>
      <w:r>
        <w:rPr>
          <w:rFonts w:hint="default" w:ascii="Times New Roman" w:hAnsi="Times New Roman" w:eastAsia="宋体" w:cs="Times New Roman"/>
          <w:color w:val="auto"/>
          <w:szCs w:val="21"/>
          <w:highlight w:val="none"/>
        </w:rPr>
        <w:t>；</w:t>
      </w:r>
    </w:p>
    <w:p w14:paraId="75068294">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7</w:t>
      </w:r>
      <w:r>
        <w:rPr>
          <w:rFonts w:hint="default" w:ascii="Times New Roman" w:hAnsi="Times New Roman" w:eastAsia="宋体" w:cs="Times New Roman"/>
          <w:color w:val="auto"/>
          <w:szCs w:val="21"/>
          <w:highlight w:val="none"/>
        </w:rPr>
        <w:t xml:space="preserve"> 乙方做好</w:t>
      </w:r>
      <w:r>
        <w:rPr>
          <w:rFonts w:hint="eastAsia" w:ascii="Times New Roman" w:hAnsi="Times New Roman" w:cs="Times New Roman"/>
          <w:color w:val="auto"/>
          <w:szCs w:val="21"/>
          <w:highlight w:val="none"/>
          <w:lang w:val="en-US" w:eastAsia="zh-CN"/>
        </w:rPr>
        <w:t>相关作业</w:t>
      </w:r>
      <w:r>
        <w:rPr>
          <w:rFonts w:hint="default" w:ascii="Times New Roman" w:hAnsi="Times New Roman" w:eastAsia="宋体" w:cs="Times New Roman"/>
          <w:color w:val="auto"/>
          <w:szCs w:val="21"/>
          <w:highlight w:val="none"/>
        </w:rPr>
        <w:t>人员的安全教育和安全技术交底工作，保证上岗作业人员经</w:t>
      </w:r>
      <w:r>
        <w:rPr>
          <w:rFonts w:hint="eastAsia" w:ascii="Times New Roman" w:hAnsi="Times New Roman" w:cs="Times New Roman"/>
          <w:color w:val="auto"/>
          <w:szCs w:val="21"/>
          <w:highlight w:val="none"/>
          <w:lang w:val="en-US" w:eastAsia="zh-CN"/>
        </w:rPr>
        <w:t>过</w:t>
      </w:r>
      <w:r>
        <w:rPr>
          <w:rFonts w:hint="default" w:ascii="Times New Roman" w:hAnsi="Times New Roman" w:eastAsia="宋体" w:cs="Times New Roman"/>
          <w:color w:val="auto"/>
          <w:szCs w:val="21"/>
          <w:highlight w:val="none"/>
        </w:rPr>
        <w:t>全教育，未经安全教育者不得进场</w:t>
      </w:r>
      <w:r>
        <w:rPr>
          <w:rFonts w:hint="eastAsia" w:ascii="Times New Roman" w:hAnsi="Times New Roman" w:cs="Times New Roman"/>
          <w:color w:val="auto"/>
          <w:szCs w:val="21"/>
          <w:highlight w:val="none"/>
          <w:lang w:val="en-US" w:eastAsia="zh-CN"/>
        </w:rPr>
        <w:t>作业</w:t>
      </w:r>
      <w:r>
        <w:rPr>
          <w:rFonts w:hint="default" w:ascii="Times New Roman" w:hAnsi="Times New Roman" w:eastAsia="宋体" w:cs="Times New Roman"/>
          <w:color w:val="auto"/>
          <w:szCs w:val="21"/>
          <w:highlight w:val="none"/>
        </w:rPr>
        <w:t>；</w:t>
      </w:r>
    </w:p>
    <w:p w14:paraId="4294E0A5">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8</w:t>
      </w:r>
      <w:r>
        <w:rPr>
          <w:rFonts w:hint="default" w:ascii="Times New Roman" w:hAnsi="Times New Roman" w:eastAsia="宋体" w:cs="Times New Roman"/>
          <w:color w:val="auto"/>
          <w:szCs w:val="21"/>
          <w:highlight w:val="none"/>
        </w:rPr>
        <w:t xml:space="preserve"> 乙方应购置配备安全防护设施和劳动保护用品，其使用要求符合国家标准，对不合格者，甲方有权要求整改，并根据具体情况进行处罚；</w:t>
      </w:r>
    </w:p>
    <w:p w14:paraId="39BF3888">
      <w:pPr>
        <w:spacing w:line="500" w:lineRule="exact"/>
        <w:ind w:firstLine="420" w:firstLineChars="200"/>
        <w:rPr>
          <w:rFonts w:hint="default" w:eastAsia="宋体"/>
          <w:color w:val="auto"/>
          <w:highlight w:val="none"/>
          <w:lang w:val="en-US" w:eastAsia="zh-CN"/>
        </w:rPr>
      </w:pPr>
      <w:r>
        <w:rPr>
          <w:rFonts w:hint="eastAsia"/>
          <w:color w:val="auto"/>
          <w:highlight w:val="none"/>
          <w:lang w:val="en-US" w:eastAsia="zh-CN"/>
        </w:rPr>
        <w:t xml:space="preserve">5.9 </w:t>
      </w:r>
      <w:r>
        <w:rPr>
          <w:rFonts w:hint="default"/>
          <w:color w:val="auto"/>
          <w:highlight w:val="none"/>
        </w:rPr>
        <w:t>乙方应加强</w:t>
      </w:r>
      <w:r>
        <w:rPr>
          <w:rFonts w:hint="eastAsia"/>
          <w:color w:val="auto"/>
          <w:highlight w:val="none"/>
          <w:lang w:val="en-US" w:eastAsia="zh-CN"/>
        </w:rPr>
        <w:t>收运</w:t>
      </w:r>
      <w:r>
        <w:rPr>
          <w:rFonts w:hint="default"/>
          <w:color w:val="auto"/>
          <w:highlight w:val="none"/>
        </w:rPr>
        <w:t>作业现场管理，严禁无关人员随意进入</w:t>
      </w:r>
      <w:r>
        <w:rPr>
          <w:rFonts w:hint="eastAsia"/>
          <w:color w:val="auto"/>
          <w:highlight w:val="none"/>
          <w:lang w:val="en-US" w:eastAsia="zh-CN"/>
        </w:rPr>
        <w:t>甲方以及甲方客户（</w:t>
      </w:r>
      <w:bookmarkStart w:id="415" w:name="OLE_LINK4"/>
      <w:r>
        <w:rPr>
          <w:rFonts w:hint="eastAsia"/>
          <w:color w:val="auto"/>
          <w:highlight w:val="none"/>
          <w:lang w:val="en-US" w:eastAsia="zh-CN"/>
        </w:rPr>
        <w:t>产废单位</w:t>
      </w:r>
      <w:bookmarkEnd w:id="415"/>
      <w:r>
        <w:rPr>
          <w:rFonts w:hint="eastAsia"/>
          <w:color w:val="auto"/>
          <w:highlight w:val="none"/>
          <w:lang w:val="en-US" w:eastAsia="zh-CN"/>
        </w:rPr>
        <w:t>）的生产作业</w:t>
      </w:r>
      <w:r>
        <w:rPr>
          <w:rFonts w:hint="default"/>
          <w:color w:val="auto"/>
          <w:highlight w:val="none"/>
        </w:rPr>
        <w:t>区域。如需进入</w:t>
      </w:r>
      <w:r>
        <w:rPr>
          <w:rFonts w:hint="eastAsia"/>
          <w:color w:val="auto"/>
          <w:highlight w:val="none"/>
          <w:lang w:val="en-US" w:eastAsia="zh-CN"/>
        </w:rPr>
        <w:t>甲方</w:t>
      </w:r>
      <w:r>
        <w:rPr>
          <w:rFonts w:hint="default"/>
          <w:color w:val="auto"/>
          <w:highlight w:val="none"/>
        </w:rPr>
        <w:t>车间及仓库，应提前向甲方报备，同意后方可进入并保持作业现场良好的秩序；</w:t>
      </w:r>
      <w:r>
        <w:rPr>
          <w:rFonts w:hint="eastAsia"/>
          <w:color w:val="auto"/>
          <w:highlight w:val="none"/>
          <w:lang w:val="en-US" w:eastAsia="zh-CN"/>
        </w:rPr>
        <w:t>在进入甲方客户</w:t>
      </w:r>
      <w:bookmarkStart w:id="416" w:name="OLE_LINK3"/>
      <w:r>
        <w:rPr>
          <w:rFonts w:hint="eastAsia"/>
          <w:color w:val="auto"/>
          <w:highlight w:val="none"/>
          <w:lang w:val="en-US" w:eastAsia="zh-CN"/>
        </w:rPr>
        <w:t>（产废单位）</w:t>
      </w:r>
      <w:bookmarkEnd w:id="416"/>
      <w:r>
        <w:rPr>
          <w:rFonts w:hint="eastAsia"/>
          <w:color w:val="auto"/>
          <w:highlight w:val="none"/>
          <w:lang w:val="en-US" w:eastAsia="zh-CN"/>
        </w:rPr>
        <w:t>车间或者仓库进行收运作业时，严格遵守甲方客户（产废单位）的安全管理规定。</w:t>
      </w:r>
    </w:p>
    <w:p w14:paraId="559E33D5">
      <w:pPr>
        <w:spacing w:line="500" w:lineRule="exact"/>
        <w:ind w:firstLine="420" w:firstLineChars="200"/>
        <w:rPr>
          <w:rFonts w:hint="default" w:eastAsia="宋体"/>
          <w:color w:val="auto"/>
          <w:highlight w:val="none"/>
          <w:lang w:val="en-US" w:eastAsia="zh-CN"/>
        </w:rPr>
      </w:pPr>
      <w:r>
        <w:rPr>
          <w:rFonts w:hint="eastAsia"/>
          <w:color w:val="auto"/>
          <w:highlight w:val="none"/>
          <w:lang w:val="en-US" w:eastAsia="zh-CN"/>
        </w:rPr>
        <w:t xml:space="preserve">5.10 </w:t>
      </w:r>
      <w:r>
        <w:rPr>
          <w:rFonts w:hint="eastAsia"/>
          <w:color w:val="auto"/>
          <w:highlight w:val="none"/>
        </w:rPr>
        <w:t>未经甲方同意，乙方不得擅自使用</w:t>
      </w:r>
      <w:r>
        <w:rPr>
          <w:rFonts w:hint="eastAsia"/>
          <w:color w:val="auto"/>
          <w:highlight w:val="none"/>
          <w:lang w:val="en-US" w:eastAsia="zh-CN"/>
        </w:rPr>
        <w:t>甲方</w:t>
      </w:r>
      <w:r>
        <w:rPr>
          <w:rFonts w:hint="eastAsia"/>
          <w:color w:val="auto"/>
          <w:highlight w:val="none"/>
        </w:rPr>
        <w:t>车间所有设施设备工具。乙方不得未经甲方允许私自接用生产电源及水源。如确有所需，向甲方报备允许后在相关车间工作人员的陪同监督下使用。</w:t>
      </w:r>
      <w:r>
        <w:rPr>
          <w:rFonts w:hint="eastAsia"/>
          <w:color w:val="auto"/>
          <w:highlight w:val="none"/>
          <w:lang w:val="en-US" w:eastAsia="zh-CN"/>
        </w:rPr>
        <w:t>在甲方客户（产废单位）作业时同理。</w:t>
      </w:r>
    </w:p>
    <w:p w14:paraId="1755BA72">
      <w:pPr>
        <w:spacing w:line="500" w:lineRule="exact"/>
        <w:ind w:firstLine="420" w:firstLineChars="200"/>
        <w:rPr>
          <w:rFonts w:hint="eastAsia"/>
          <w:color w:val="auto"/>
          <w:highlight w:val="none"/>
        </w:rPr>
      </w:pPr>
      <w:r>
        <w:rPr>
          <w:rFonts w:hint="eastAsia"/>
          <w:color w:val="auto"/>
          <w:highlight w:val="none"/>
        </w:rPr>
        <w:t>5.1</w:t>
      </w:r>
      <w:r>
        <w:rPr>
          <w:rFonts w:hint="eastAsia"/>
          <w:color w:val="auto"/>
          <w:highlight w:val="none"/>
          <w:lang w:val="en-US" w:eastAsia="zh-CN"/>
        </w:rPr>
        <w:t xml:space="preserve">1 </w:t>
      </w:r>
      <w:r>
        <w:rPr>
          <w:rFonts w:hint="eastAsia"/>
          <w:color w:val="auto"/>
          <w:highlight w:val="none"/>
        </w:rPr>
        <w:t>乙方应在规定的时间内完成甲方检查所发现的安全隐患项的整改；</w:t>
      </w:r>
    </w:p>
    <w:p w14:paraId="3C53974E">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r>
        <w:rPr>
          <w:rFonts w:hint="eastAsia" w:cs="Times New Roman"/>
          <w:color w:val="auto"/>
          <w:szCs w:val="21"/>
          <w:highlight w:val="none"/>
          <w:lang w:val="en-US" w:eastAsia="zh-CN"/>
        </w:rPr>
        <w:t>2</w:t>
      </w:r>
      <w:r>
        <w:rPr>
          <w:rFonts w:hint="default" w:ascii="Times New Roman" w:hAnsi="Times New Roman" w:eastAsia="宋体" w:cs="Times New Roman"/>
          <w:color w:val="auto"/>
          <w:szCs w:val="21"/>
          <w:highlight w:val="none"/>
        </w:rPr>
        <w:t xml:space="preserve"> 乙方在</w:t>
      </w:r>
      <w:r>
        <w:rPr>
          <w:rFonts w:hint="eastAsia" w:ascii="Times New Roman" w:hAnsi="Times New Roman" w:cs="Times New Roman"/>
          <w:color w:val="auto"/>
          <w:szCs w:val="21"/>
          <w:highlight w:val="none"/>
          <w:lang w:val="en-US" w:eastAsia="zh-CN"/>
        </w:rPr>
        <w:t>装卸货</w:t>
      </w:r>
      <w:r>
        <w:rPr>
          <w:rFonts w:hint="eastAsia" w:cs="Times New Roman"/>
          <w:color w:val="auto"/>
          <w:szCs w:val="21"/>
          <w:highlight w:val="none"/>
          <w:lang w:val="en-US" w:eastAsia="zh-CN"/>
        </w:rPr>
        <w:t>及运输</w:t>
      </w:r>
      <w:r>
        <w:rPr>
          <w:rFonts w:hint="default" w:ascii="Times New Roman" w:hAnsi="Times New Roman" w:eastAsia="宋体" w:cs="Times New Roman"/>
          <w:color w:val="auto"/>
          <w:szCs w:val="21"/>
          <w:highlight w:val="none"/>
        </w:rPr>
        <w:t>过程中对人的不安全行为，物的不安全状态，作业环境的不安全因素和管理上的缺陷进行控制。杜绝违章指挥、违章作业现象存在；</w:t>
      </w:r>
    </w:p>
    <w:p w14:paraId="0CBE9F24">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r>
        <w:rPr>
          <w:rFonts w:hint="eastAsia" w:cs="Times New Roman"/>
          <w:color w:val="auto"/>
          <w:szCs w:val="21"/>
          <w:highlight w:val="none"/>
          <w:lang w:val="en-US" w:eastAsia="zh-CN"/>
        </w:rPr>
        <w:t>3</w:t>
      </w:r>
      <w:r>
        <w:rPr>
          <w:rFonts w:hint="default" w:ascii="Times New Roman" w:hAnsi="Times New Roman" w:eastAsia="宋体" w:cs="Times New Roman"/>
          <w:color w:val="auto"/>
          <w:szCs w:val="21"/>
          <w:highlight w:val="none"/>
        </w:rPr>
        <w:t xml:space="preserve"> 乙方有责任向甲方提出安全合理化建议，有义务完成甲方安排的有利于安全工作的其他要求；</w:t>
      </w:r>
    </w:p>
    <w:p w14:paraId="2968AE3C">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rPr>
        <w:t xml:space="preserve"> 乙方在进场</w:t>
      </w:r>
      <w:r>
        <w:rPr>
          <w:rFonts w:hint="eastAsia" w:ascii="Times New Roman" w:hAnsi="Times New Roman" w:cs="Times New Roman"/>
          <w:color w:val="auto"/>
          <w:szCs w:val="21"/>
          <w:highlight w:val="none"/>
          <w:lang w:val="en-US" w:eastAsia="zh-CN"/>
        </w:rPr>
        <w:t>装</w:t>
      </w:r>
      <w:r>
        <w:rPr>
          <w:rFonts w:hint="default" w:ascii="Times New Roman" w:hAnsi="Times New Roman" w:eastAsia="宋体" w:cs="Times New Roman"/>
          <w:color w:val="auto"/>
          <w:szCs w:val="21"/>
          <w:highlight w:val="none"/>
        </w:rPr>
        <w:t>卸货</w:t>
      </w:r>
      <w:r>
        <w:rPr>
          <w:rFonts w:hint="eastAsia" w:cs="Times New Roman"/>
          <w:color w:val="auto"/>
          <w:szCs w:val="21"/>
          <w:highlight w:val="none"/>
          <w:lang w:val="en-US" w:eastAsia="zh-CN"/>
        </w:rPr>
        <w:t>及运输</w:t>
      </w:r>
      <w:r>
        <w:rPr>
          <w:rFonts w:hint="default" w:ascii="Times New Roman" w:hAnsi="Times New Roman" w:eastAsia="宋体" w:cs="Times New Roman"/>
          <w:color w:val="auto"/>
          <w:szCs w:val="21"/>
          <w:highlight w:val="none"/>
        </w:rPr>
        <w:t>过程中发生安全事故，应按照国家相关安全事故报告和调查处理的规定，及时如实上报甲方，不得发生迟报、瞒报、谎报现象，甲方将保留对其追究法律责任的权利；</w:t>
      </w:r>
    </w:p>
    <w:p w14:paraId="3CE1D11C">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r>
        <w:rPr>
          <w:rFonts w:hint="eastAsia" w:cs="Times New Roman"/>
          <w:color w:val="auto"/>
          <w:szCs w:val="21"/>
          <w:highlight w:val="none"/>
          <w:lang w:val="en-US" w:eastAsia="zh-CN"/>
        </w:rPr>
        <w:t>5</w:t>
      </w:r>
      <w:r>
        <w:rPr>
          <w:rFonts w:hint="default" w:ascii="Times New Roman" w:hAnsi="Times New Roman" w:eastAsia="宋体" w:cs="Times New Roman"/>
          <w:color w:val="auto"/>
          <w:szCs w:val="21"/>
          <w:highlight w:val="none"/>
        </w:rPr>
        <w:t xml:space="preserve"> 乙方在安全事故发生后，应当采取相应措施防止事故扩大，保护事故现场；按照事故处理“四不放过”的原则（即事故原因不清楚不放过、事故责任者和应受到教育者没有受到教育不放过、没有采取防范措施不放过、事故责任者没有受到处理不放过）进行调查、处理，同时，做好事故的善后处理；如因乙方在安全事故发生后，并未采取相应措施导致安全事故及人员事故扩大的，以及造成甲方现场产生的经济损失的，由乙方承担所有责任，甲方将保留对其追究法律责任的权利；</w:t>
      </w:r>
    </w:p>
    <w:p w14:paraId="638E6A05">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5.1</w:t>
      </w: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乙方在</w:t>
      </w:r>
      <w:r>
        <w:rPr>
          <w:rFonts w:hint="eastAsia" w:ascii="Times New Roman" w:hAnsi="Times New Roman" w:cs="Times New Roman"/>
          <w:color w:val="auto"/>
          <w:szCs w:val="21"/>
          <w:highlight w:val="none"/>
          <w:lang w:val="en-US" w:eastAsia="zh-CN"/>
        </w:rPr>
        <w:t>装卸货</w:t>
      </w:r>
      <w:r>
        <w:rPr>
          <w:rFonts w:hint="eastAsia" w:cs="Times New Roman"/>
          <w:color w:val="auto"/>
          <w:szCs w:val="21"/>
          <w:highlight w:val="none"/>
          <w:lang w:val="en-US" w:eastAsia="zh-CN"/>
        </w:rPr>
        <w:t>、运输</w:t>
      </w:r>
      <w:r>
        <w:rPr>
          <w:rFonts w:hint="eastAsia" w:ascii="Times New Roman" w:hAnsi="Times New Roman" w:cs="Times New Roman"/>
          <w:color w:val="auto"/>
          <w:szCs w:val="21"/>
          <w:highlight w:val="none"/>
          <w:lang w:val="en-US" w:eastAsia="zh-CN"/>
        </w:rPr>
        <w:t>等作业</w:t>
      </w:r>
      <w:r>
        <w:rPr>
          <w:rFonts w:hint="default" w:ascii="Times New Roman" w:hAnsi="Times New Roman" w:eastAsia="宋体" w:cs="Times New Roman"/>
          <w:color w:val="auto"/>
          <w:szCs w:val="21"/>
          <w:highlight w:val="none"/>
        </w:rPr>
        <w:t>过程中必须加强安全管理，由于管理不到位造成安全事故发生，乙方必须承担全部责任，并承担由此给甲方</w:t>
      </w:r>
      <w:bookmarkStart w:id="417" w:name="OLE_LINK5"/>
      <w:r>
        <w:rPr>
          <w:rFonts w:hint="eastAsia" w:cs="Times New Roman"/>
          <w:color w:val="auto"/>
          <w:szCs w:val="21"/>
          <w:highlight w:val="none"/>
          <w:lang w:val="en-US" w:eastAsia="zh-CN"/>
        </w:rPr>
        <w:t>或</w:t>
      </w:r>
      <w:r>
        <w:rPr>
          <w:rFonts w:hint="eastAsia"/>
          <w:color w:val="auto"/>
          <w:highlight w:val="none"/>
          <w:lang w:val="en-US" w:eastAsia="zh-CN"/>
        </w:rPr>
        <w:t>甲方客户（产废单位）</w:t>
      </w:r>
      <w:bookmarkEnd w:id="417"/>
      <w:r>
        <w:rPr>
          <w:rFonts w:hint="default" w:ascii="Times New Roman" w:hAnsi="Times New Roman" w:eastAsia="宋体" w:cs="Times New Roman"/>
          <w:color w:val="auto"/>
          <w:szCs w:val="21"/>
          <w:highlight w:val="none"/>
        </w:rPr>
        <w:t>造成的经济损失；</w:t>
      </w:r>
    </w:p>
    <w:p w14:paraId="2087E636">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17</w:t>
      </w:r>
      <w:r>
        <w:rPr>
          <w:rFonts w:hint="default" w:ascii="Times New Roman" w:hAnsi="Times New Roman" w:eastAsia="宋体" w:cs="Times New Roman"/>
          <w:color w:val="auto"/>
          <w:szCs w:val="21"/>
          <w:highlight w:val="none"/>
        </w:rPr>
        <w:t xml:space="preserve"> 乙方应如实</w:t>
      </w:r>
      <w:r>
        <w:rPr>
          <w:rFonts w:hint="eastAsia" w:ascii="Times New Roman" w:hAnsi="Times New Roman" w:cs="Times New Roman"/>
          <w:color w:val="auto"/>
          <w:szCs w:val="21"/>
          <w:highlight w:val="none"/>
          <w:lang w:val="en-US" w:eastAsia="zh-CN"/>
        </w:rPr>
        <w:t>地</w:t>
      </w:r>
      <w:r>
        <w:rPr>
          <w:rFonts w:hint="default" w:ascii="Times New Roman" w:hAnsi="Times New Roman" w:eastAsia="宋体" w:cs="Times New Roman"/>
          <w:color w:val="auto"/>
          <w:szCs w:val="21"/>
          <w:highlight w:val="none"/>
        </w:rPr>
        <w:t>向上岗人员告知作业现场及岗位存在的危险因素、防范措施和应急处理措施；</w:t>
      </w:r>
    </w:p>
    <w:p w14:paraId="540FD720">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18</w:t>
      </w:r>
      <w:r>
        <w:rPr>
          <w:rFonts w:hint="default" w:ascii="Times New Roman" w:hAnsi="Times New Roman" w:eastAsia="宋体" w:cs="Times New Roman"/>
          <w:color w:val="auto"/>
          <w:szCs w:val="21"/>
          <w:highlight w:val="none"/>
        </w:rPr>
        <w:t xml:space="preserve"> 乙方必须做好作业现场各类车辆的交通安全工作，杜绝超速、超载、无证驾驶、酒后驾驶、疲劳驾驶等违章行为的发生；</w:t>
      </w:r>
    </w:p>
    <w:p w14:paraId="65653319">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19</w:t>
      </w:r>
      <w:r>
        <w:rPr>
          <w:rFonts w:hint="default" w:ascii="Times New Roman" w:hAnsi="Times New Roman" w:eastAsia="宋体" w:cs="Times New Roman"/>
          <w:color w:val="auto"/>
          <w:szCs w:val="21"/>
          <w:highlight w:val="none"/>
        </w:rPr>
        <w:t xml:space="preserve"> 乙方应加强</w:t>
      </w:r>
      <w:r>
        <w:rPr>
          <w:rFonts w:hint="eastAsia" w:cs="Times New Roman"/>
          <w:color w:val="auto"/>
          <w:szCs w:val="21"/>
          <w:highlight w:val="none"/>
          <w:lang w:val="en-US" w:eastAsia="zh-CN"/>
        </w:rPr>
        <w:t>收运、装卸、运输过程的安全</w:t>
      </w:r>
      <w:r>
        <w:rPr>
          <w:rFonts w:hint="default" w:ascii="Times New Roman" w:hAnsi="Times New Roman" w:eastAsia="宋体" w:cs="Times New Roman"/>
          <w:color w:val="auto"/>
          <w:szCs w:val="21"/>
          <w:highlight w:val="none"/>
        </w:rPr>
        <w:t>管理，严禁</w:t>
      </w:r>
      <w:r>
        <w:rPr>
          <w:rFonts w:hint="eastAsia" w:cs="Times New Roman"/>
          <w:color w:val="auto"/>
          <w:szCs w:val="21"/>
          <w:highlight w:val="none"/>
          <w:lang w:val="en-US" w:eastAsia="zh-CN"/>
        </w:rPr>
        <w:t>无资质及未经培训的</w:t>
      </w:r>
      <w:r>
        <w:rPr>
          <w:rFonts w:hint="default" w:ascii="Times New Roman" w:hAnsi="Times New Roman" w:eastAsia="宋体" w:cs="Times New Roman"/>
          <w:color w:val="auto"/>
          <w:szCs w:val="21"/>
          <w:highlight w:val="none"/>
        </w:rPr>
        <w:t>人员</w:t>
      </w:r>
      <w:r>
        <w:rPr>
          <w:rFonts w:hint="eastAsia" w:cs="Times New Roman"/>
          <w:color w:val="auto"/>
          <w:szCs w:val="21"/>
          <w:highlight w:val="none"/>
          <w:lang w:val="en-US" w:eastAsia="zh-CN"/>
        </w:rPr>
        <w:t>参与工作</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确保整个工作过程安全、合法合规</w:t>
      </w:r>
      <w:r>
        <w:rPr>
          <w:rFonts w:hint="default" w:ascii="Times New Roman" w:hAnsi="Times New Roman" w:eastAsia="宋体" w:cs="Times New Roman"/>
          <w:color w:val="auto"/>
          <w:szCs w:val="21"/>
          <w:highlight w:val="none"/>
        </w:rPr>
        <w:t>；</w:t>
      </w:r>
    </w:p>
    <w:p w14:paraId="1A54C16B">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20</w:t>
      </w:r>
      <w:r>
        <w:rPr>
          <w:rFonts w:hint="default" w:ascii="Times New Roman" w:hAnsi="Times New Roman" w:eastAsia="宋体" w:cs="Times New Roman"/>
          <w:color w:val="auto"/>
          <w:szCs w:val="21"/>
          <w:highlight w:val="none"/>
        </w:rPr>
        <w:t xml:space="preserve"> 乙方用于本工程项目的</w:t>
      </w:r>
      <w:r>
        <w:rPr>
          <w:rFonts w:hint="eastAsia" w:cs="Times New Roman"/>
          <w:color w:val="auto"/>
          <w:szCs w:val="21"/>
          <w:highlight w:val="none"/>
          <w:lang w:val="en-US" w:eastAsia="zh-CN"/>
        </w:rPr>
        <w:t>作业</w:t>
      </w:r>
      <w:r>
        <w:rPr>
          <w:rFonts w:hint="default" w:ascii="Times New Roman" w:hAnsi="Times New Roman" w:eastAsia="宋体" w:cs="Times New Roman"/>
          <w:color w:val="auto"/>
          <w:szCs w:val="21"/>
          <w:highlight w:val="none"/>
        </w:rPr>
        <w:t>机械、工器具、安全防护用具及特种设</w:t>
      </w:r>
      <w:r>
        <w:rPr>
          <w:rFonts w:hint="eastAsia" w:ascii="Times New Roman" w:hAnsi="Times New Roman" w:cs="Times New Roman"/>
          <w:color w:val="auto"/>
          <w:szCs w:val="21"/>
          <w:highlight w:val="none"/>
          <w:lang w:val="en-US" w:eastAsia="zh-CN"/>
        </w:rPr>
        <w:t>备</w:t>
      </w:r>
      <w:r>
        <w:rPr>
          <w:rFonts w:hint="default" w:ascii="Times New Roman" w:hAnsi="Times New Roman" w:eastAsia="宋体" w:cs="Times New Roman"/>
          <w:color w:val="auto"/>
          <w:szCs w:val="21"/>
          <w:highlight w:val="none"/>
        </w:rPr>
        <w:t>的数量和质量必须满足</w:t>
      </w:r>
      <w:r>
        <w:rPr>
          <w:rFonts w:hint="eastAsia" w:cs="Times New Roman"/>
          <w:color w:val="auto"/>
          <w:szCs w:val="21"/>
          <w:highlight w:val="none"/>
          <w:lang w:val="en-US" w:eastAsia="zh-CN"/>
        </w:rPr>
        <w:t>装卸货、运输等作业</w:t>
      </w:r>
      <w:r>
        <w:rPr>
          <w:rFonts w:hint="default" w:ascii="Times New Roman" w:hAnsi="Times New Roman" w:eastAsia="宋体" w:cs="Times New Roman"/>
          <w:color w:val="auto"/>
          <w:szCs w:val="21"/>
          <w:highlight w:val="none"/>
        </w:rPr>
        <w:t>需要，对因使用工器具不当所造成的人员伤害及设备损坏负责；</w:t>
      </w:r>
    </w:p>
    <w:p w14:paraId="5B267C2B">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21</w:t>
      </w:r>
      <w:r>
        <w:rPr>
          <w:rFonts w:hint="default" w:ascii="Times New Roman" w:hAnsi="Times New Roman" w:eastAsia="宋体" w:cs="Times New Roman"/>
          <w:color w:val="auto"/>
          <w:szCs w:val="21"/>
          <w:highlight w:val="none"/>
        </w:rPr>
        <w:t xml:space="preserve"> 乙方的车辆在现场发生意外，造成甲方或其它单位的财产损失或人员伤害等，应依法承担相关的赔偿、治疗等责任；</w:t>
      </w:r>
    </w:p>
    <w:p w14:paraId="76F2D47A">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22</w:t>
      </w:r>
      <w:r>
        <w:rPr>
          <w:rFonts w:hint="default" w:ascii="Times New Roman" w:hAnsi="Times New Roman" w:eastAsia="宋体" w:cs="Times New Roman"/>
          <w:color w:val="auto"/>
          <w:szCs w:val="21"/>
          <w:highlight w:val="none"/>
        </w:rPr>
        <w:t xml:space="preserve"> 如因乙方采取的安全措施不当，或违反有关安全规程、规定及本协议所列安全事项而造成事故的，除依法由甲方或第三方承担责任的，均应由乙方全部承担；</w:t>
      </w:r>
    </w:p>
    <w:p w14:paraId="74CD18C7">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r>
        <w:rPr>
          <w:rFonts w:hint="eastAsia" w:cs="Times New Roman"/>
          <w:color w:val="auto"/>
          <w:szCs w:val="21"/>
          <w:highlight w:val="none"/>
          <w:lang w:val="en-US" w:eastAsia="zh-CN"/>
        </w:rPr>
        <w:t>23</w:t>
      </w:r>
      <w:r>
        <w:rPr>
          <w:rFonts w:hint="default" w:ascii="Times New Roman" w:hAnsi="Times New Roman" w:eastAsia="宋体" w:cs="Times New Roman"/>
          <w:color w:val="auto"/>
          <w:szCs w:val="21"/>
          <w:highlight w:val="none"/>
        </w:rPr>
        <w:t xml:space="preserve"> </w:t>
      </w:r>
      <w:r>
        <w:rPr>
          <w:rFonts w:hint="default" w:ascii="Times New Roman" w:hAnsi="Times New Roman" w:eastAsia="宋体" w:cs="Times New Roman"/>
          <w:color w:val="auto"/>
          <w:szCs w:val="21"/>
          <w:highlight w:val="none"/>
          <w:shd w:val="clear" w:color="auto" w:fill="FFFFFF"/>
        </w:rPr>
        <w:t>乙方应确保</w:t>
      </w:r>
      <w:r>
        <w:rPr>
          <w:rFonts w:hint="eastAsia" w:cs="Times New Roman"/>
          <w:color w:val="auto"/>
          <w:szCs w:val="21"/>
          <w:highlight w:val="none"/>
          <w:shd w:val="clear" w:color="auto" w:fill="FFFFFF"/>
          <w:lang w:val="en-US" w:eastAsia="zh-CN"/>
        </w:rPr>
        <w:t>作业</w:t>
      </w:r>
      <w:r>
        <w:rPr>
          <w:rFonts w:hint="default" w:ascii="Times New Roman" w:hAnsi="Times New Roman" w:eastAsia="宋体" w:cs="Times New Roman"/>
          <w:color w:val="auto"/>
          <w:szCs w:val="21"/>
          <w:highlight w:val="none"/>
          <w:shd w:val="clear" w:color="auto" w:fill="FFFFFF"/>
        </w:rPr>
        <w:t>人员身体健康，特殊工种严格执行国家关于年龄的限制。</w:t>
      </w:r>
    </w:p>
    <w:p w14:paraId="35F127D2">
      <w:pPr>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18" w:name="_Toc6209"/>
      <w:bookmarkStart w:id="419" w:name="_Toc11013"/>
      <w:r>
        <w:rPr>
          <w:rFonts w:hint="default" w:ascii="Times New Roman" w:hAnsi="Times New Roman" w:eastAsia="宋体" w:cs="Times New Roman"/>
          <w:b/>
          <w:bCs/>
          <w:color w:val="auto"/>
          <w:szCs w:val="21"/>
          <w:highlight w:val="none"/>
        </w:rPr>
        <w:t>第六条 违约处理</w:t>
      </w:r>
      <w:bookmarkEnd w:id="418"/>
      <w:bookmarkEnd w:id="419"/>
    </w:p>
    <w:p w14:paraId="04559221">
      <w:pPr>
        <w:snapToGrid w:val="0"/>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6.1 乙方在签订本协议后，甲方相关部门如发现在</w:t>
      </w:r>
      <w:r>
        <w:rPr>
          <w:rFonts w:hint="eastAsia" w:cs="Times New Roman"/>
          <w:color w:val="auto"/>
          <w:szCs w:val="21"/>
          <w:highlight w:val="none"/>
          <w:lang w:val="en-US" w:eastAsia="zh-CN"/>
        </w:rPr>
        <w:t>甲方</w:t>
      </w:r>
      <w:bookmarkStart w:id="420" w:name="OLE_LINK6"/>
      <w:r>
        <w:rPr>
          <w:rFonts w:hint="eastAsia" w:cs="Times New Roman"/>
          <w:color w:val="auto"/>
          <w:szCs w:val="21"/>
          <w:highlight w:val="none"/>
          <w:lang w:val="en-US" w:eastAsia="zh-CN"/>
        </w:rPr>
        <w:t>或</w:t>
      </w:r>
      <w:r>
        <w:rPr>
          <w:rFonts w:hint="eastAsia"/>
          <w:color w:val="auto"/>
          <w:highlight w:val="none"/>
          <w:lang w:val="en-US" w:eastAsia="zh-CN"/>
        </w:rPr>
        <w:t>甲方客户（产废单位）的</w:t>
      </w:r>
      <w:bookmarkEnd w:id="420"/>
      <w:r>
        <w:rPr>
          <w:rFonts w:hint="eastAsia" w:cs="Times New Roman"/>
          <w:color w:val="auto"/>
          <w:szCs w:val="21"/>
          <w:highlight w:val="none"/>
          <w:lang w:val="en-US" w:eastAsia="zh-CN"/>
        </w:rPr>
        <w:t>现场或装卸货、运输期间，</w:t>
      </w:r>
      <w:r>
        <w:rPr>
          <w:rFonts w:hint="default" w:ascii="Times New Roman" w:hAnsi="Times New Roman" w:eastAsia="宋体" w:cs="Times New Roman"/>
          <w:color w:val="auto"/>
          <w:szCs w:val="21"/>
          <w:highlight w:val="none"/>
        </w:rPr>
        <w:t>乙方出现以下违反甲方安全规定以及发生“三违”行为（即</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违章指挥、违章操作、违反劳动纪律”）的，甲方有权依据本协议和甲方</w:t>
      </w:r>
      <w:r>
        <w:rPr>
          <w:rFonts w:hint="eastAsia" w:cs="Times New Roman"/>
          <w:color w:val="auto"/>
          <w:szCs w:val="21"/>
          <w:highlight w:val="none"/>
          <w:lang w:val="en-US" w:eastAsia="zh-CN"/>
        </w:rPr>
        <w:t>或</w:t>
      </w:r>
      <w:bookmarkStart w:id="421" w:name="OLE_LINK7"/>
      <w:r>
        <w:rPr>
          <w:rFonts w:hint="eastAsia"/>
          <w:color w:val="auto"/>
          <w:highlight w:val="none"/>
          <w:lang w:val="en-US" w:eastAsia="zh-CN"/>
        </w:rPr>
        <w:t>甲方客户（产废单位）的</w:t>
      </w:r>
      <w:bookmarkEnd w:id="421"/>
      <w:r>
        <w:rPr>
          <w:rFonts w:hint="default" w:ascii="Times New Roman" w:hAnsi="Times New Roman" w:eastAsia="宋体" w:cs="Times New Roman"/>
          <w:color w:val="auto"/>
          <w:szCs w:val="21"/>
          <w:highlight w:val="none"/>
        </w:rPr>
        <w:t>相关安全管理制度对乙方进行处罚；</w:t>
      </w:r>
    </w:p>
    <w:p w14:paraId="7AD754EA">
      <w:pPr>
        <w:spacing w:line="500" w:lineRule="exact"/>
        <w:ind w:left="42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 处罚细则</w:t>
      </w:r>
    </w:p>
    <w:p w14:paraId="38052276">
      <w:pPr>
        <w:tabs>
          <w:tab w:val="left" w:pos="312"/>
        </w:tabs>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6.4.1安全文明</w:t>
      </w:r>
      <w:r>
        <w:rPr>
          <w:rFonts w:hint="eastAsia" w:cs="Times New Roman"/>
          <w:color w:val="auto"/>
          <w:szCs w:val="21"/>
          <w:highlight w:val="none"/>
          <w:lang w:val="en-US" w:eastAsia="zh-CN"/>
        </w:rPr>
        <w:t>作业</w:t>
      </w:r>
      <w:r>
        <w:rPr>
          <w:rFonts w:hint="default" w:ascii="Times New Roman" w:hAnsi="Times New Roman" w:eastAsia="宋体" w:cs="Times New Roman"/>
          <w:color w:val="auto"/>
          <w:szCs w:val="21"/>
          <w:highlight w:val="none"/>
        </w:rPr>
        <w:t>违约处理</w:t>
      </w:r>
    </w:p>
    <w:p w14:paraId="710909F8">
      <w:pPr>
        <w:tabs>
          <w:tab w:val="left" w:pos="312"/>
        </w:tabs>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详见《EHS管理处罚细则》（附件1）管理规定。</w:t>
      </w:r>
    </w:p>
    <w:p w14:paraId="51D583C7">
      <w:pPr>
        <w:pStyle w:val="41"/>
        <w:tabs>
          <w:tab w:val="left" w:pos="312"/>
        </w:tabs>
        <w:spacing w:line="500" w:lineRule="exact"/>
        <w:ind w:left="0"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6.4.2 事故违约处理</w:t>
      </w:r>
    </w:p>
    <w:p w14:paraId="73CA05E3">
      <w:pPr>
        <w:tabs>
          <w:tab w:val="left" w:pos="312"/>
        </w:tabs>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详见《事故处罚实施细则》管理规定（附件2）。</w:t>
      </w:r>
    </w:p>
    <w:p w14:paraId="6095680B">
      <w:pPr>
        <w:snapToGrid w:val="0"/>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22" w:name="_Toc7980"/>
      <w:bookmarkStart w:id="423" w:name="_Toc25379"/>
      <w:r>
        <w:rPr>
          <w:rFonts w:hint="default" w:ascii="Times New Roman" w:hAnsi="Times New Roman" w:eastAsia="宋体" w:cs="Times New Roman"/>
          <w:b/>
          <w:bCs/>
          <w:color w:val="auto"/>
          <w:szCs w:val="21"/>
          <w:highlight w:val="none"/>
        </w:rPr>
        <w:t>第七条 协议生效与终止</w:t>
      </w:r>
      <w:bookmarkEnd w:id="422"/>
      <w:bookmarkEnd w:id="423"/>
    </w:p>
    <w:p w14:paraId="40C30A01">
      <w:pPr>
        <w:snapToGrid w:val="0"/>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7.1 本协议从</w:t>
      </w:r>
      <w:r>
        <w:rPr>
          <w:rFonts w:hint="eastAsia" w:ascii="Times New Roman" w:hAnsi="Times New Roman" w:cs="Times New Roman"/>
          <w:color w:val="auto"/>
          <w:szCs w:val="21"/>
          <w:highlight w:val="none"/>
          <w:lang w:val="en-US" w:eastAsia="zh-CN"/>
        </w:rPr>
        <w:t>签订之日</w:t>
      </w:r>
      <w:r>
        <w:rPr>
          <w:rFonts w:hint="default" w:ascii="Times New Roman" w:hAnsi="Times New Roman" w:eastAsia="宋体" w:cs="Times New Roman"/>
          <w:color w:val="auto"/>
          <w:szCs w:val="21"/>
          <w:highlight w:val="none"/>
        </w:rPr>
        <w:t>起生效，双方共同监督执行，</w:t>
      </w:r>
      <w:r>
        <w:rPr>
          <w:rFonts w:hint="eastAsia" w:ascii="Times New Roman" w:hAnsi="Times New Roman" w:cs="Times New Roman"/>
          <w:color w:val="auto"/>
          <w:szCs w:val="21"/>
          <w:highlight w:val="none"/>
          <w:lang w:val="en-US" w:eastAsia="zh-CN"/>
        </w:rPr>
        <w:t>原合同终止</w:t>
      </w:r>
      <w:r>
        <w:rPr>
          <w:rFonts w:hint="default" w:ascii="Times New Roman" w:hAnsi="Times New Roman" w:eastAsia="宋体" w:cs="Times New Roman"/>
          <w:color w:val="auto"/>
          <w:szCs w:val="21"/>
          <w:highlight w:val="none"/>
        </w:rPr>
        <w:t>后</w:t>
      </w:r>
      <w:r>
        <w:rPr>
          <w:rFonts w:hint="eastAsia" w:ascii="Times New Roman" w:hAnsi="Times New Roman" w:cs="Times New Roman"/>
          <w:color w:val="auto"/>
          <w:szCs w:val="21"/>
          <w:highlight w:val="none"/>
          <w:lang w:val="en-US" w:eastAsia="zh-CN"/>
        </w:rPr>
        <w:t>本协议</w:t>
      </w:r>
      <w:r>
        <w:rPr>
          <w:rFonts w:hint="default" w:ascii="Times New Roman" w:hAnsi="Times New Roman" w:eastAsia="宋体" w:cs="Times New Roman"/>
          <w:color w:val="auto"/>
          <w:szCs w:val="21"/>
          <w:highlight w:val="none"/>
        </w:rPr>
        <w:t>自行终止。如乙方在</w:t>
      </w:r>
      <w:r>
        <w:rPr>
          <w:rFonts w:hint="eastAsia" w:ascii="Times New Roman" w:hAnsi="Times New Roman" w:cs="Times New Roman"/>
          <w:color w:val="auto"/>
          <w:szCs w:val="21"/>
          <w:highlight w:val="none"/>
          <w:lang w:val="en-US" w:eastAsia="zh-CN"/>
        </w:rPr>
        <w:t>装卸货</w:t>
      </w:r>
      <w:r>
        <w:rPr>
          <w:rFonts w:hint="eastAsia" w:cs="Times New Roman"/>
          <w:color w:val="auto"/>
          <w:szCs w:val="21"/>
          <w:highlight w:val="none"/>
          <w:lang w:val="en-US" w:eastAsia="zh-CN"/>
        </w:rPr>
        <w:t>、运输</w:t>
      </w:r>
      <w:r>
        <w:rPr>
          <w:rFonts w:hint="eastAsia" w:ascii="Times New Roman" w:hAnsi="Times New Roman" w:cs="Times New Roman"/>
          <w:color w:val="auto"/>
          <w:szCs w:val="21"/>
          <w:highlight w:val="none"/>
          <w:lang w:val="en-US" w:eastAsia="zh-CN"/>
        </w:rPr>
        <w:t>过程</w:t>
      </w:r>
      <w:r>
        <w:rPr>
          <w:rFonts w:hint="default" w:ascii="Times New Roman" w:hAnsi="Times New Roman" w:eastAsia="宋体" w:cs="Times New Roman"/>
          <w:color w:val="auto"/>
          <w:szCs w:val="21"/>
          <w:highlight w:val="none"/>
        </w:rPr>
        <w:t>中不履行本协议的约定，违反安全</w:t>
      </w:r>
      <w:r>
        <w:rPr>
          <w:rFonts w:hint="eastAsia" w:cs="Times New Roman"/>
          <w:color w:val="auto"/>
          <w:szCs w:val="21"/>
          <w:highlight w:val="none"/>
          <w:lang w:val="en-US" w:eastAsia="zh-CN"/>
        </w:rPr>
        <w:t>作业</w:t>
      </w:r>
      <w:r>
        <w:rPr>
          <w:rFonts w:hint="default" w:ascii="Times New Roman" w:hAnsi="Times New Roman" w:eastAsia="宋体" w:cs="Times New Roman"/>
          <w:color w:val="auto"/>
          <w:szCs w:val="21"/>
          <w:highlight w:val="none"/>
        </w:rPr>
        <w:t>的有关管理规定，对甲方提出的警告、停工整顿拒不执行的，甲方有权解除原合同，并无须向乙方承担违约责任。</w:t>
      </w:r>
    </w:p>
    <w:p w14:paraId="175E9ABF">
      <w:pPr>
        <w:snapToGrid w:val="0"/>
        <w:spacing w:line="500" w:lineRule="exact"/>
        <w:ind w:firstLine="422" w:firstLineChars="200"/>
        <w:outlineLvl w:val="0"/>
        <w:rPr>
          <w:rFonts w:hint="default" w:ascii="Times New Roman" w:hAnsi="Times New Roman" w:eastAsia="宋体" w:cs="Times New Roman"/>
          <w:b/>
          <w:bCs/>
          <w:color w:val="auto"/>
          <w:szCs w:val="21"/>
          <w:highlight w:val="none"/>
        </w:rPr>
      </w:pPr>
      <w:bookmarkStart w:id="424" w:name="_Toc25432"/>
      <w:bookmarkStart w:id="425" w:name="_Toc14982"/>
      <w:r>
        <w:rPr>
          <w:rFonts w:hint="default" w:ascii="Times New Roman" w:hAnsi="Times New Roman" w:eastAsia="宋体" w:cs="Times New Roman"/>
          <w:b/>
          <w:bCs/>
          <w:color w:val="auto"/>
          <w:szCs w:val="21"/>
          <w:highlight w:val="none"/>
        </w:rPr>
        <w:t xml:space="preserve">第八条 </w:t>
      </w:r>
      <w:r>
        <w:rPr>
          <w:rFonts w:hint="default" w:ascii="Times New Roman" w:hAnsi="Times New Roman" w:eastAsia="宋体" w:cs="Times New Roman"/>
          <w:b/>
          <w:bCs/>
          <w:color w:val="auto"/>
          <w:kern w:val="0"/>
          <w:szCs w:val="21"/>
          <w:highlight w:val="none"/>
        </w:rPr>
        <w:t>其它要求</w:t>
      </w:r>
      <w:bookmarkEnd w:id="424"/>
      <w:bookmarkEnd w:id="425"/>
    </w:p>
    <w:p w14:paraId="7D8A39C0">
      <w:pPr>
        <w:spacing w:line="500" w:lineRule="exact"/>
        <w:ind w:firstLine="42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8.1 本协议履行过程中未尽事宜，按甲方有关规章制度执行。</w:t>
      </w:r>
    </w:p>
    <w:p w14:paraId="16892734">
      <w:pPr>
        <w:widowControl/>
        <w:numPr>
          <w:ilvl w:val="255"/>
          <w:numId w:val="0"/>
        </w:numPr>
        <w:spacing w:line="500" w:lineRule="exact"/>
        <w:ind w:left="0" w:leftChars="0" w:firstLine="420" w:firstLineChars="200"/>
        <w:jc w:val="left"/>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1"/>
          <w:highlight w:val="none"/>
        </w:rPr>
        <w:t xml:space="preserve">8.2 </w:t>
      </w:r>
      <w:r>
        <w:rPr>
          <w:rFonts w:hint="default" w:ascii="Times New Roman" w:hAnsi="Times New Roman" w:eastAsia="宋体" w:cs="Times New Roman"/>
          <w:color w:val="auto"/>
          <w:szCs w:val="28"/>
          <w:highlight w:val="none"/>
        </w:rPr>
        <w:t>本协议一式</w:t>
      </w:r>
      <w:r>
        <w:rPr>
          <w:rFonts w:hint="eastAsia" w:ascii="Times New Roman" w:hAnsi="Times New Roman" w:cs="Times New Roman"/>
          <w:color w:val="auto"/>
          <w:szCs w:val="28"/>
          <w:highlight w:val="none"/>
          <w:lang w:val="en-US" w:eastAsia="zh-CN"/>
        </w:rPr>
        <w:t>叁</w:t>
      </w:r>
      <w:r>
        <w:rPr>
          <w:rFonts w:hint="default" w:ascii="Times New Roman" w:hAnsi="Times New Roman" w:eastAsia="宋体" w:cs="Times New Roman"/>
          <w:color w:val="auto"/>
          <w:szCs w:val="28"/>
          <w:highlight w:val="none"/>
        </w:rPr>
        <w:t>份，均具有同等法律效力，协议甲方执</w:t>
      </w:r>
      <w:r>
        <w:rPr>
          <w:rFonts w:hint="eastAsia" w:ascii="Times New Roman" w:hAnsi="Times New Roman" w:cs="Times New Roman"/>
          <w:color w:val="auto"/>
          <w:szCs w:val="28"/>
          <w:highlight w:val="none"/>
          <w:lang w:val="en-US" w:eastAsia="zh-CN"/>
        </w:rPr>
        <w:t>贰</w:t>
      </w:r>
      <w:r>
        <w:rPr>
          <w:rFonts w:hint="default" w:ascii="Times New Roman" w:hAnsi="Times New Roman" w:eastAsia="宋体" w:cs="Times New Roman"/>
          <w:color w:val="auto"/>
          <w:szCs w:val="28"/>
          <w:highlight w:val="none"/>
        </w:rPr>
        <w:t>份，乙方执</w:t>
      </w:r>
      <w:r>
        <w:rPr>
          <w:rFonts w:hint="default" w:ascii="Times New Roman" w:hAnsi="Times New Roman" w:eastAsia="宋体" w:cs="Times New Roman"/>
          <w:color w:val="auto"/>
          <w:szCs w:val="28"/>
          <w:highlight w:val="none"/>
          <w:lang w:val="en-US" w:eastAsia="zh-CN"/>
        </w:rPr>
        <w:t>壹</w:t>
      </w:r>
      <w:r>
        <w:rPr>
          <w:rFonts w:hint="default" w:ascii="Times New Roman" w:hAnsi="Times New Roman" w:eastAsia="宋体" w:cs="Times New Roman"/>
          <w:color w:val="auto"/>
          <w:szCs w:val="28"/>
          <w:highlight w:val="none"/>
        </w:rPr>
        <w:t>份。由双方法定代表人签章或其授权代表人签署并盖章后生效。</w:t>
      </w:r>
    </w:p>
    <w:p w14:paraId="7F00E98B">
      <w:pPr>
        <w:widowControl/>
        <w:numPr>
          <w:ilvl w:val="255"/>
          <w:numId w:val="0"/>
        </w:numPr>
        <w:spacing w:line="500" w:lineRule="exact"/>
        <w:ind w:left="0" w:leftChars="0"/>
        <w:jc w:val="left"/>
        <w:rPr>
          <w:rFonts w:hint="default" w:ascii="Times New Roman" w:hAnsi="Times New Roman" w:eastAsia="宋体" w:cs="Times New Roman"/>
          <w:color w:val="auto"/>
          <w:szCs w:val="28"/>
          <w:highlight w:val="none"/>
        </w:rPr>
      </w:pPr>
    </w:p>
    <w:p w14:paraId="0E6A753B">
      <w:pPr>
        <w:widowControl/>
        <w:numPr>
          <w:ilvl w:val="255"/>
          <w:numId w:val="0"/>
        </w:numPr>
        <w:spacing w:line="500" w:lineRule="exact"/>
        <w:ind w:left="420" w:leftChars="200"/>
        <w:jc w:val="center"/>
        <w:rPr>
          <w:rFonts w:hint="default" w:ascii="Times New Roman" w:hAnsi="Times New Roman" w:eastAsia="宋体" w:cs="Times New Roman"/>
          <w:color w:val="auto"/>
          <w:szCs w:val="28"/>
          <w:highlight w:val="none"/>
        </w:rPr>
      </w:pPr>
      <w:r>
        <w:rPr>
          <w:rFonts w:hint="default" w:ascii="Times New Roman" w:hAnsi="Times New Roman" w:eastAsia="宋体" w:cs="Times New Roman"/>
          <w:color w:val="auto"/>
          <w:szCs w:val="28"/>
          <w:highlight w:val="none"/>
        </w:rPr>
        <w:t>（以下无正文）</w:t>
      </w:r>
    </w:p>
    <w:p w14:paraId="70C0CBB7">
      <w:pPr>
        <w:widowControl/>
        <w:numPr>
          <w:ilvl w:val="255"/>
          <w:numId w:val="0"/>
        </w:numPr>
        <w:spacing w:line="500" w:lineRule="exact"/>
        <w:ind w:left="420" w:leftChars="200"/>
        <w:jc w:val="center"/>
        <w:rPr>
          <w:rFonts w:hint="default" w:ascii="Times New Roman" w:hAnsi="Times New Roman" w:eastAsia="宋体" w:cs="Times New Roman"/>
          <w:color w:val="auto"/>
          <w:szCs w:val="28"/>
          <w:highlight w:val="none"/>
        </w:rPr>
      </w:pPr>
    </w:p>
    <w:tbl>
      <w:tblPr>
        <w:tblStyle w:val="31"/>
        <w:tblW w:w="88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86"/>
        <w:gridCol w:w="4070"/>
      </w:tblGrid>
      <w:tr w14:paraId="55A98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jc w:val="center"/>
        </w:trPr>
        <w:tc>
          <w:tcPr>
            <w:tcW w:w="4786" w:type="dxa"/>
          </w:tcPr>
          <w:p w14:paraId="0479FF74">
            <w:pPr>
              <w:numPr>
                <w:ilvl w:val="12"/>
                <w:numId w:val="0"/>
              </w:numPr>
              <w:tabs>
                <w:tab w:val="left" w:pos="3480"/>
              </w:tabs>
              <w:spacing w:line="5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甲方（盖章）:</w:t>
            </w:r>
          </w:p>
          <w:p w14:paraId="53E2AD39">
            <w:pPr>
              <w:numPr>
                <w:ilvl w:val="12"/>
                <w:numId w:val="0"/>
              </w:numPr>
              <w:tabs>
                <w:tab w:val="left" w:pos="3480"/>
              </w:tabs>
              <w:spacing w:line="500" w:lineRule="exact"/>
              <w:rPr>
                <w:rFonts w:hint="default" w:ascii="Times New Roman" w:hAnsi="Times New Roman" w:eastAsia="宋体" w:cs="Times New Roman"/>
                <w:color w:val="auto"/>
                <w:highlight w:val="none"/>
              </w:rPr>
            </w:pPr>
          </w:p>
        </w:tc>
        <w:tc>
          <w:tcPr>
            <w:tcW w:w="4070" w:type="dxa"/>
          </w:tcPr>
          <w:p w14:paraId="573833F2">
            <w:pPr>
              <w:numPr>
                <w:ilvl w:val="12"/>
                <w:numId w:val="0"/>
              </w:numPr>
              <w:tabs>
                <w:tab w:val="left" w:pos="3480"/>
              </w:tabs>
              <w:spacing w:line="5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乙方（盖章）:</w:t>
            </w:r>
          </w:p>
          <w:p w14:paraId="685E1A09">
            <w:pPr>
              <w:numPr>
                <w:ilvl w:val="12"/>
                <w:numId w:val="0"/>
              </w:numPr>
              <w:tabs>
                <w:tab w:val="left" w:pos="3480"/>
              </w:tabs>
              <w:spacing w:line="500" w:lineRule="exact"/>
              <w:rPr>
                <w:rFonts w:hint="default" w:ascii="Times New Roman" w:hAnsi="Times New Roman" w:eastAsia="宋体" w:cs="Times New Roman"/>
                <w:color w:val="auto"/>
                <w:highlight w:val="none"/>
              </w:rPr>
            </w:pPr>
          </w:p>
        </w:tc>
      </w:tr>
      <w:tr w14:paraId="4A0BD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jc w:val="center"/>
        </w:trPr>
        <w:tc>
          <w:tcPr>
            <w:tcW w:w="4786" w:type="dxa"/>
          </w:tcPr>
          <w:p w14:paraId="53B410DE">
            <w:pPr>
              <w:numPr>
                <w:ilvl w:val="12"/>
                <w:numId w:val="0"/>
              </w:numPr>
              <w:tabs>
                <w:tab w:val="left" w:pos="3480"/>
              </w:tabs>
              <w:spacing w:line="5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法定代表人（签章）：</w:t>
            </w:r>
          </w:p>
          <w:p w14:paraId="2193D2FB">
            <w:pPr>
              <w:numPr>
                <w:ilvl w:val="12"/>
                <w:numId w:val="0"/>
              </w:numPr>
              <w:tabs>
                <w:tab w:val="left" w:pos="3480"/>
              </w:tabs>
              <w:spacing w:line="500" w:lineRule="exact"/>
              <w:rPr>
                <w:rFonts w:hint="default" w:ascii="Times New Roman" w:hAnsi="Times New Roman" w:eastAsia="宋体" w:cs="Times New Roman"/>
                <w:color w:val="auto"/>
                <w:highlight w:val="none"/>
                <w:u w:val="single"/>
              </w:rPr>
            </w:pPr>
            <w:r>
              <w:rPr>
                <w:rFonts w:hint="default" w:ascii="Times New Roman" w:hAnsi="Times New Roman" w:eastAsia="宋体" w:cs="Times New Roman"/>
                <w:color w:val="auto"/>
                <w:highlight w:val="none"/>
              </w:rPr>
              <w:t>或授权代表人（签字）：</w:t>
            </w:r>
          </w:p>
        </w:tc>
        <w:tc>
          <w:tcPr>
            <w:tcW w:w="4070" w:type="dxa"/>
          </w:tcPr>
          <w:p w14:paraId="4BD1B2B4">
            <w:pPr>
              <w:numPr>
                <w:ilvl w:val="12"/>
                <w:numId w:val="0"/>
              </w:numPr>
              <w:tabs>
                <w:tab w:val="left" w:pos="3480"/>
              </w:tabs>
              <w:spacing w:line="5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法定代表人（签章）：</w:t>
            </w:r>
          </w:p>
          <w:p w14:paraId="278F1445">
            <w:pPr>
              <w:numPr>
                <w:ilvl w:val="12"/>
                <w:numId w:val="0"/>
              </w:numPr>
              <w:tabs>
                <w:tab w:val="left" w:pos="3480"/>
              </w:tabs>
              <w:spacing w:line="50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或授权代表人（签字）：</w:t>
            </w:r>
          </w:p>
        </w:tc>
      </w:tr>
      <w:tr w14:paraId="131E7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8856" w:type="dxa"/>
            <w:gridSpan w:val="2"/>
            <w:vAlign w:val="center"/>
          </w:tcPr>
          <w:p w14:paraId="38F31275">
            <w:pPr>
              <w:numPr>
                <w:ilvl w:val="12"/>
                <w:numId w:val="0"/>
              </w:numPr>
              <w:tabs>
                <w:tab w:val="left" w:pos="3480"/>
              </w:tabs>
              <w:spacing w:line="500" w:lineRule="exact"/>
              <w:jc w:val="center"/>
              <w:rPr>
                <w:rFonts w:hint="default" w:ascii="Times New Roman" w:hAnsi="Times New Roman" w:eastAsia="宋体" w:cs="Times New Roman"/>
                <w:color w:val="auto"/>
                <w:highlight w:val="none"/>
              </w:rPr>
            </w:pPr>
            <w:r>
              <w:rPr>
                <w:rFonts w:hint="eastAsia" w:cs="Times New Roman"/>
                <w:color w:val="auto"/>
                <w:highlight w:val="none"/>
                <w:lang w:val="en-US" w:eastAsia="zh-CN"/>
              </w:rPr>
              <w:t>签订</w:t>
            </w:r>
            <w:r>
              <w:rPr>
                <w:rFonts w:hint="default" w:ascii="Times New Roman" w:hAnsi="Times New Roman" w:eastAsia="宋体" w:cs="Times New Roman"/>
                <w:color w:val="auto"/>
                <w:highlight w:val="none"/>
              </w:rPr>
              <w:t xml:space="preserve">日期： </w:t>
            </w:r>
            <w:r>
              <w:rPr>
                <w:rFonts w:hint="eastAsia" w:cs="Times New Roman"/>
                <w:color w:val="auto"/>
                <w:highlight w:val="none"/>
                <w:lang w:val="en-US" w:eastAsia="zh-CN"/>
              </w:rPr>
              <w:t>2025</w:t>
            </w:r>
            <w:r>
              <w:rPr>
                <w:rFonts w:hint="default" w:ascii="Times New Roman" w:hAnsi="Times New Roman" w:eastAsia="宋体" w:cs="Times New Roman"/>
                <w:color w:val="auto"/>
                <w:highlight w:val="none"/>
              </w:rPr>
              <w:t xml:space="preserve">年    月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日</w:t>
            </w:r>
          </w:p>
        </w:tc>
      </w:tr>
    </w:tbl>
    <w:p w14:paraId="547B3BED">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3057EEF1">
      <w:pPr>
        <w:overflowPunct w:val="0"/>
        <w:autoSpaceDE w:val="0"/>
        <w:autoSpaceDN w:val="0"/>
        <w:adjustRightInd w:val="0"/>
        <w:spacing w:before="0" w:beforeLines="-2147483648" w:line="360" w:lineRule="auto"/>
        <w:ind w:left="0" w:leftChars="0" w:right="-197" w:rightChars="-94" w:firstLine="0" w:firstLineChars="0"/>
        <w:jc w:val="left"/>
        <w:textAlignment w:val="baseline"/>
        <w:outlineLvl w:val="9"/>
        <w:rPr>
          <w:rFonts w:hint="default" w:ascii="Times New Roman" w:hAnsi="Times New Roman" w:eastAsia="宋体" w:cs="Times New Roman"/>
          <w:bCs/>
          <w:color w:val="auto"/>
          <w:kern w:val="2"/>
          <w:sz w:val="21"/>
          <w:szCs w:val="21"/>
          <w:highlight w:val="none"/>
          <w:lang w:val="en-US" w:eastAsia="zh-CN"/>
        </w:rPr>
      </w:pPr>
      <w:bookmarkStart w:id="426" w:name="_Toc497300357"/>
      <w:bookmarkStart w:id="427" w:name="_Toc497325756"/>
      <w:bookmarkStart w:id="428" w:name="_Toc492989836"/>
      <w:r>
        <w:rPr>
          <w:rFonts w:hint="default" w:ascii="Times New Roman" w:hAnsi="Times New Roman" w:eastAsia="宋体" w:cs="Times New Roman"/>
          <w:bCs/>
          <w:color w:val="auto"/>
          <w:kern w:val="2"/>
          <w:sz w:val="21"/>
          <w:szCs w:val="21"/>
          <w:highlight w:val="none"/>
          <w:lang w:val="en-US" w:eastAsia="zh-CN"/>
        </w:rPr>
        <w:t>附件1：</w:t>
      </w:r>
    </w:p>
    <w:bookmarkEnd w:id="426"/>
    <w:bookmarkEnd w:id="427"/>
    <w:bookmarkEnd w:id="428"/>
    <w:p w14:paraId="1FB24865">
      <w:pPr>
        <w:overflowPunct w:val="0"/>
        <w:autoSpaceDE w:val="0"/>
        <w:autoSpaceDN w:val="0"/>
        <w:adjustRightInd w:val="0"/>
        <w:spacing w:before="319" w:beforeLines="100" w:line="360" w:lineRule="auto"/>
        <w:ind w:left="1260" w:leftChars="600" w:right="1260" w:rightChars="600"/>
        <w:jc w:val="center"/>
        <w:textAlignment w:val="baseline"/>
        <w:outlineLvl w:val="0"/>
        <w:rPr>
          <w:rFonts w:hint="default" w:ascii="Times New Roman" w:hAnsi="Times New Roman" w:eastAsia="宋体" w:cs="Times New Roman"/>
          <w:bCs/>
          <w:color w:val="auto"/>
          <w:kern w:val="44"/>
          <w:sz w:val="32"/>
          <w:szCs w:val="32"/>
          <w:highlight w:val="none"/>
        </w:rPr>
      </w:pPr>
      <w:bookmarkStart w:id="429" w:name="_Toc4029"/>
      <w:bookmarkStart w:id="430" w:name="_Toc22874"/>
      <w:r>
        <w:rPr>
          <w:rFonts w:hint="default" w:ascii="Times New Roman" w:hAnsi="Times New Roman" w:eastAsia="宋体" w:cs="Times New Roman"/>
          <w:bCs/>
          <w:color w:val="auto"/>
          <w:kern w:val="44"/>
          <w:sz w:val="32"/>
          <w:szCs w:val="32"/>
          <w:highlight w:val="none"/>
        </w:rPr>
        <w:t>EHS管理处罚实施细则</w:t>
      </w:r>
      <w:bookmarkEnd w:id="429"/>
      <w:bookmarkEnd w:id="430"/>
    </w:p>
    <w:p w14:paraId="168C6896">
      <w:pPr>
        <w:bidi w:val="0"/>
        <w:rPr>
          <w:rFonts w:hint="default"/>
          <w:color w:val="auto"/>
          <w:highlight w:val="none"/>
        </w:rPr>
      </w:pPr>
      <w:bookmarkStart w:id="431" w:name="_Toc497325757"/>
      <w:bookmarkStart w:id="432" w:name="_Toc497319744"/>
      <w:bookmarkStart w:id="433" w:name="_Toc21700"/>
      <w:r>
        <w:rPr>
          <w:rFonts w:hint="default"/>
          <w:color w:val="auto"/>
          <w:highlight w:val="none"/>
        </w:rPr>
        <w:t>1.</w:t>
      </w:r>
      <w:bookmarkEnd w:id="431"/>
      <w:bookmarkEnd w:id="432"/>
      <w:r>
        <w:rPr>
          <w:rFonts w:hint="default"/>
          <w:color w:val="auto"/>
          <w:highlight w:val="none"/>
        </w:rPr>
        <w:t xml:space="preserve"> 范围</w:t>
      </w:r>
      <w:bookmarkEnd w:id="433"/>
    </w:p>
    <w:p w14:paraId="501A835B">
      <w:pPr>
        <w:overflowPunct w:val="0"/>
        <w:autoSpaceDE w:val="0"/>
        <w:autoSpaceDN w:val="0"/>
        <w:adjustRightInd w:val="0"/>
        <w:spacing w:line="360" w:lineRule="auto"/>
        <w:ind w:right="-197" w:rightChars="-94"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1.1 本细则明确了甲方项目现场违反EHS管理的各类行为和现象，规定了处罚的额度。本细则适用于甲方所有标段的项目。</w:t>
      </w:r>
    </w:p>
    <w:p w14:paraId="104CAC69">
      <w:pPr>
        <w:bidi w:val="0"/>
        <w:rPr>
          <w:rFonts w:hint="default"/>
          <w:color w:val="auto"/>
          <w:highlight w:val="none"/>
        </w:rPr>
      </w:pPr>
      <w:bookmarkStart w:id="434" w:name="_Toc497325758"/>
      <w:bookmarkStart w:id="435" w:name="_Toc497319745"/>
      <w:bookmarkStart w:id="436" w:name="_Toc18491"/>
      <w:r>
        <w:rPr>
          <w:rFonts w:hint="default"/>
          <w:color w:val="auto"/>
          <w:highlight w:val="none"/>
        </w:rPr>
        <w:t>2.</w:t>
      </w:r>
      <w:bookmarkEnd w:id="434"/>
      <w:bookmarkEnd w:id="435"/>
      <w:r>
        <w:rPr>
          <w:rFonts w:hint="default"/>
          <w:color w:val="auto"/>
          <w:highlight w:val="none"/>
        </w:rPr>
        <w:t xml:space="preserve"> 职责</w:t>
      </w:r>
      <w:bookmarkEnd w:id="436"/>
    </w:p>
    <w:p w14:paraId="30AE3279">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2.1 由甲方</w:t>
      </w:r>
      <w:r>
        <w:rPr>
          <w:rFonts w:hint="eastAsia" w:ascii="Times New Roman" w:hAnsi="Times New Roman" w:cs="Times New Roman"/>
          <w:bCs/>
          <w:color w:val="auto"/>
          <w:sz w:val="21"/>
          <w:szCs w:val="21"/>
          <w:highlight w:val="none"/>
          <w:lang w:val="en-US" w:eastAsia="zh-CN"/>
        </w:rPr>
        <w:t>安环</w:t>
      </w:r>
      <w:r>
        <w:rPr>
          <w:rFonts w:hint="eastAsia" w:cs="Times New Roman"/>
          <w:bCs/>
          <w:color w:val="auto"/>
          <w:sz w:val="21"/>
          <w:szCs w:val="21"/>
          <w:highlight w:val="none"/>
          <w:lang w:val="en-US" w:eastAsia="zh-CN"/>
        </w:rPr>
        <w:t>等相关</w:t>
      </w:r>
      <w:r>
        <w:rPr>
          <w:rFonts w:hint="eastAsia" w:ascii="Times New Roman" w:hAnsi="Times New Roman" w:cs="Times New Roman"/>
          <w:bCs/>
          <w:color w:val="auto"/>
          <w:sz w:val="21"/>
          <w:szCs w:val="21"/>
          <w:highlight w:val="none"/>
          <w:lang w:val="en-US" w:eastAsia="zh-CN"/>
        </w:rPr>
        <w:t>部门</w:t>
      </w:r>
      <w:r>
        <w:rPr>
          <w:rFonts w:hint="default" w:ascii="Times New Roman" w:hAnsi="Times New Roman" w:eastAsia="宋体" w:cs="Times New Roman"/>
          <w:bCs/>
          <w:color w:val="auto"/>
          <w:sz w:val="21"/>
          <w:szCs w:val="21"/>
          <w:highlight w:val="none"/>
        </w:rPr>
        <w:t>有关人员负责对违章行为和现象</w:t>
      </w:r>
      <w:r>
        <w:rPr>
          <w:rFonts w:hint="eastAsia" w:cs="Times New Roman"/>
          <w:bCs/>
          <w:color w:val="auto"/>
          <w:sz w:val="21"/>
          <w:szCs w:val="21"/>
          <w:highlight w:val="none"/>
          <w:lang w:val="en-US" w:eastAsia="zh-CN"/>
        </w:rPr>
        <w:t>进行</w:t>
      </w:r>
      <w:r>
        <w:rPr>
          <w:rFonts w:hint="default" w:ascii="Times New Roman" w:hAnsi="Times New Roman" w:eastAsia="宋体" w:cs="Times New Roman"/>
          <w:bCs/>
          <w:color w:val="auto"/>
          <w:sz w:val="21"/>
          <w:szCs w:val="21"/>
          <w:highlight w:val="none"/>
        </w:rPr>
        <w:t>处罚。处罚对象为乙方。</w:t>
      </w:r>
    </w:p>
    <w:p w14:paraId="2A8AE2EA">
      <w:pPr>
        <w:bidi w:val="0"/>
        <w:rPr>
          <w:rFonts w:hint="default"/>
          <w:color w:val="auto"/>
          <w:highlight w:val="none"/>
        </w:rPr>
      </w:pPr>
      <w:bookmarkStart w:id="437" w:name="_Toc497319746"/>
      <w:bookmarkStart w:id="438" w:name="_Toc497325759"/>
      <w:bookmarkStart w:id="439" w:name="_Toc673"/>
      <w:r>
        <w:rPr>
          <w:rFonts w:hint="default"/>
          <w:color w:val="auto"/>
          <w:highlight w:val="none"/>
        </w:rPr>
        <w:t>3.</w:t>
      </w:r>
      <w:bookmarkEnd w:id="437"/>
      <w:bookmarkEnd w:id="438"/>
      <w:r>
        <w:rPr>
          <w:rFonts w:hint="default"/>
          <w:color w:val="auto"/>
          <w:highlight w:val="none"/>
        </w:rPr>
        <w:t xml:space="preserve"> 目的</w:t>
      </w:r>
      <w:bookmarkEnd w:id="439"/>
    </w:p>
    <w:p w14:paraId="2F4AFD06">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 为加强安全文明</w:t>
      </w:r>
      <w:r>
        <w:rPr>
          <w:rFonts w:hint="eastAsia" w:ascii="Times New Roman" w:hAnsi="Times New Roman"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管理，使违章处理工作有章可循，避免和减少各类人身伤害事故，营造良好的</w:t>
      </w:r>
      <w:r>
        <w:rPr>
          <w:rFonts w:hint="eastAsia" w:cs="Times New Roman"/>
          <w:bCs/>
          <w:color w:val="auto"/>
          <w:sz w:val="21"/>
          <w:szCs w:val="21"/>
          <w:highlight w:val="none"/>
          <w:lang w:val="en-US" w:eastAsia="zh-CN"/>
        </w:rPr>
        <w:t>装卸货等作业</w:t>
      </w:r>
      <w:r>
        <w:rPr>
          <w:rFonts w:hint="default" w:ascii="Times New Roman" w:hAnsi="Times New Roman" w:eastAsia="宋体" w:cs="Times New Roman"/>
          <w:bCs/>
          <w:color w:val="auto"/>
          <w:sz w:val="21"/>
          <w:szCs w:val="21"/>
          <w:highlight w:val="none"/>
        </w:rPr>
        <w:t>环境，特制定本细则。下称《细则》。</w:t>
      </w:r>
    </w:p>
    <w:p w14:paraId="567C7F00">
      <w:pPr>
        <w:bidi w:val="0"/>
        <w:rPr>
          <w:rFonts w:hint="default"/>
          <w:color w:val="auto"/>
          <w:highlight w:val="none"/>
        </w:rPr>
      </w:pPr>
      <w:bookmarkStart w:id="440" w:name="_Toc497319747"/>
      <w:bookmarkStart w:id="441" w:name="_Toc497325760"/>
      <w:bookmarkStart w:id="442" w:name="_Toc16318"/>
      <w:r>
        <w:rPr>
          <w:rFonts w:hint="default"/>
          <w:color w:val="auto"/>
          <w:highlight w:val="none"/>
        </w:rPr>
        <w:t>4.</w:t>
      </w:r>
      <w:bookmarkEnd w:id="440"/>
      <w:bookmarkEnd w:id="441"/>
      <w:r>
        <w:rPr>
          <w:rFonts w:hint="default"/>
          <w:color w:val="auto"/>
          <w:highlight w:val="none"/>
        </w:rPr>
        <w:t xml:space="preserve"> 内容</w:t>
      </w:r>
      <w:bookmarkEnd w:id="442"/>
    </w:p>
    <w:p w14:paraId="322F3F53">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4.1 违章的分类</w:t>
      </w:r>
    </w:p>
    <w:p w14:paraId="7AA5961F">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4.1.1 从生产活动的组织与造成事故直接原因、主要原因及领导原因来区分，违章可分为作业性违章、装置性违章、指挥性违章和违反文明</w:t>
      </w:r>
      <w:r>
        <w:rPr>
          <w:rFonts w:hint="eastAsia"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规定。</w:t>
      </w:r>
    </w:p>
    <w:p w14:paraId="6CF2AEB8">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4.1.2 从违章者本人的安全技术素质与思想心理、习惯等因素区分，违章可分为习惯违章和偶然性违章二类。</w:t>
      </w:r>
    </w:p>
    <w:p w14:paraId="6146FF8B">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 查处违章的原则</w:t>
      </w:r>
    </w:p>
    <w:p w14:paraId="2B916467">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4.2.1 坚持违章必究的原则，同时按《细则》中所含内容进行一定数额的罚款，做到实事求是，严格执行，谢绝说情。对性质恶劣，拒绝警告、整改、有意延续违章的行为，在原处罚数额的基础上增加2-10倍的处罚。情况紧急时下达停工整顿命令。</w:t>
      </w:r>
    </w:p>
    <w:p w14:paraId="021F4F29">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4.2.2 因违章而导致各类事故的发生，按事故等级对乙方的处罚执行《事故处罚实施细则》</w:t>
      </w:r>
    </w:p>
    <w:p w14:paraId="197409E1">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4.3 作业性违章</w:t>
      </w:r>
    </w:p>
    <w:p w14:paraId="72CE0D34">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4.3.1 作业性违章定义：指在</w:t>
      </w:r>
      <w:r>
        <w:rPr>
          <w:rFonts w:hint="eastAsia" w:cs="Times New Roman"/>
          <w:bCs/>
          <w:color w:val="auto"/>
          <w:sz w:val="21"/>
          <w:szCs w:val="21"/>
          <w:highlight w:val="none"/>
          <w:lang w:val="en-US" w:eastAsia="zh-CN"/>
        </w:rPr>
        <w:t>装卸货等作业</w:t>
      </w:r>
      <w:r>
        <w:rPr>
          <w:rFonts w:hint="default" w:ascii="Times New Roman" w:hAnsi="Times New Roman" w:eastAsia="宋体" w:cs="Times New Roman"/>
          <w:bCs/>
          <w:color w:val="auto"/>
          <w:sz w:val="21"/>
          <w:szCs w:val="21"/>
          <w:highlight w:val="none"/>
        </w:rPr>
        <w:t>中违反《</w:t>
      </w:r>
      <w:r>
        <w:rPr>
          <w:rFonts w:hint="eastAsia" w:ascii="Times New Roman" w:hAnsi="Times New Roman" w:cs="Times New Roman"/>
          <w:bCs/>
          <w:color w:val="auto"/>
          <w:sz w:val="21"/>
          <w:szCs w:val="21"/>
          <w:highlight w:val="none"/>
          <w:lang w:val="en-US" w:eastAsia="zh-CN"/>
        </w:rPr>
        <w:t>中华人民共和国</w:t>
      </w:r>
      <w:r>
        <w:rPr>
          <w:rFonts w:hint="default" w:ascii="Times New Roman" w:hAnsi="Times New Roman" w:eastAsia="宋体" w:cs="Times New Roman"/>
          <w:bCs/>
          <w:color w:val="auto"/>
          <w:sz w:val="21"/>
          <w:szCs w:val="21"/>
          <w:highlight w:val="none"/>
        </w:rPr>
        <w:t>安全生产法》和地方性、行业性的法律法规的规定，违反保证安全施工的各项规定、制度及措施的一切不安全行为。</w:t>
      </w:r>
    </w:p>
    <w:p w14:paraId="5E57A4DD">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4.3.2 作业性违章主要指</w:t>
      </w:r>
      <w:r>
        <w:rPr>
          <w:rFonts w:hint="eastAsia"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人员个人作业过程中发生的违章。</w:t>
      </w:r>
    </w:p>
    <w:p w14:paraId="580AD763">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4.4 装置性违章</w:t>
      </w:r>
    </w:p>
    <w:p w14:paraId="570D6088">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4.4.1 装置性违章定义：指工作现场的环境、设备、设施及工器具不符合国家、行业、公司有关规定及反事故措施和保证人身安全的各项规定及技术措施的要求，不能保证人身和设备安全的一切不安全状态。</w:t>
      </w:r>
    </w:p>
    <w:p w14:paraId="734460FC">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4.4.2 装置性违章主要指与生产有关的设备、设施不符合规定要求的违章。</w:t>
      </w:r>
    </w:p>
    <w:p w14:paraId="1F14CDEC">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 指挥性违章</w:t>
      </w:r>
    </w:p>
    <w:p w14:paraId="204450B9">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4.5.1 指挥性违章定义：指各级领导，甚至工作票签发人、工作负责人，违反劳动安全卫生法规、条例和保证人身安全的技术措施、安全措施进行作业组织与指挥行为。</w:t>
      </w:r>
    </w:p>
    <w:p w14:paraId="1358A6E0">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4.5.2 指挥性违章主要指生产指挥人员违反有关规定及根据某项作业制定的技术措施、安全措施等发出的错误命令或做出的错误决定。</w:t>
      </w:r>
    </w:p>
    <w:p w14:paraId="55521285">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4.6 文明</w:t>
      </w:r>
      <w:r>
        <w:rPr>
          <w:rFonts w:hint="eastAsia"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违章定义：指在</w:t>
      </w:r>
      <w:r>
        <w:rPr>
          <w:rFonts w:hint="eastAsia" w:cs="Times New Roman"/>
          <w:bCs/>
          <w:color w:val="auto"/>
          <w:sz w:val="21"/>
          <w:szCs w:val="21"/>
          <w:highlight w:val="none"/>
          <w:lang w:val="en-US" w:eastAsia="zh-CN"/>
        </w:rPr>
        <w:t>作业过程</w:t>
      </w:r>
      <w:r>
        <w:rPr>
          <w:rFonts w:hint="default" w:ascii="Times New Roman" w:hAnsi="Times New Roman" w:eastAsia="宋体" w:cs="Times New Roman"/>
          <w:bCs/>
          <w:color w:val="auto"/>
          <w:sz w:val="21"/>
          <w:szCs w:val="21"/>
          <w:highlight w:val="none"/>
        </w:rPr>
        <w:t>中一切不文明</w:t>
      </w:r>
      <w:r>
        <w:rPr>
          <w:rFonts w:hint="eastAsia"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的行为。</w:t>
      </w:r>
    </w:p>
    <w:p w14:paraId="4C71490A">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 各类违章处罚金额标准：</w:t>
      </w:r>
    </w:p>
    <w:p w14:paraId="3767FC8A">
      <w:pPr>
        <w:pStyle w:val="29"/>
        <w:rPr>
          <w:rFonts w:hint="default"/>
          <w:color w:val="auto"/>
          <w:highlight w:val="none"/>
          <w:lang w:val="en-US"/>
        </w:rPr>
      </w:pPr>
      <w:r>
        <w:rPr>
          <w:rFonts w:hint="eastAsia" w:cs="Times New Roman"/>
          <w:bCs/>
          <w:color w:val="auto"/>
          <w:sz w:val="21"/>
          <w:szCs w:val="21"/>
          <w:highlight w:val="none"/>
          <w:lang w:val="en-US" w:eastAsia="zh-CN"/>
        </w:rPr>
        <w:t>甲方及</w:t>
      </w:r>
      <w:r>
        <w:rPr>
          <w:rFonts w:hint="eastAsia"/>
          <w:color w:val="auto"/>
          <w:highlight w:val="none"/>
          <w:lang w:val="en-US" w:eastAsia="zh-CN"/>
        </w:rPr>
        <w:t>甲方客户（产废单位）的处罚事项相同时，不重复处罚，罚金以高者为准。</w:t>
      </w:r>
    </w:p>
    <w:p w14:paraId="6948E0B0">
      <w:pPr>
        <w:overflowPunct w:val="0"/>
        <w:autoSpaceDE w:val="0"/>
        <w:autoSpaceDN w:val="0"/>
        <w:adjustRightInd w:val="0"/>
        <w:spacing w:line="48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4.7.1 环境、职业健康、安全管理</w:t>
      </w:r>
    </w:p>
    <w:tbl>
      <w:tblPr>
        <w:tblStyle w:val="31"/>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4438"/>
        <w:gridCol w:w="2595"/>
        <w:gridCol w:w="1612"/>
      </w:tblGrid>
      <w:tr w14:paraId="663B5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69E7C64D">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val="0"/>
                <w:bCs/>
                <w:color w:val="auto"/>
                <w:w w:val="95"/>
                <w:szCs w:val="21"/>
                <w:highlight w:val="none"/>
                <w:lang w:bidi="ar"/>
              </w:rPr>
              <w:t>序号</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09D75043">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违规内容</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3D257C2B">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罚款金额</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6242B337">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备注</w:t>
            </w:r>
          </w:p>
        </w:tc>
      </w:tr>
      <w:tr w14:paraId="5CA1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00056C1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EHS01</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7E3E5C39">
            <w:pPr>
              <w:spacing w:line="360" w:lineRule="auto"/>
              <w:jc w:val="left"/>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未按规定设置现场安全监督管理人员</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23F9AD2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每次 200元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417F58C3">
            <w:pPr>
              <w:spacing w:line="360" w:lineRule="auto"/>
              <w:jc w:val="center"/>
              <w:rPr>
                <w:rFonts w:hint="default" w:ascii="Times New Roman" w:hAnsi="Times New Roman" w:eastAsia="宋体" w:cs="Times New Roman"/>
                <w:color w:val="auto"/>
                <w:szCs w:val="21"/>
                <w:highlight w:val="none"/>
              </w:rPr>
            </w:pPr>
          </w:p>
        </w:tc>
      </w:tr>
      <w:tr w14:paraId="112D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461D284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EHS02</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4B86D030">
            <w:pPr>
              <w:spacing w:line="360" w:lineRule="auto"/>
              <w:jc w:val="left"/>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未建立相关安全操作规程、应急预案</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1BBED68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每次 200元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3E2DB552">
            <w:pPr>
              <w:spacing w:line="360" w:lineRule="auto"/>
              <w:jc w:val="center"/>
              <w:rPr>
                <w:rFonts w:hint="default" w:ascii="Times New Roman" w:hAnsi="Times New Roman" w:eastAsia="宋体" w:cs="Times New Roman"/>
                <w:color w:val="auto"/>
                <w:szCs w:val="21"/>
                <w:highlight w:val="none"/>
              </w:rPr>
            </w:pPr>
          </w:p>
        </w:tc>
      </w:tr>
      <w:tr w14:paraId="1991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2E580CB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EHS03</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7B363B32">
            <w:pPr>
              <w:spacing w:line="360" w:lineRule="auto"/>
              <w:jc w:val="left"/>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未落实安全教育，提交虚假培训资料等</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63F1985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每人每次 200元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16E931D5">
            <w:pPr>
              <w:spacing w:line="360" w:lineRule="auto"/>
              <w:jc w:val="center"/>
              <w:rPr>
                <w:rFonts w:hint="default" w:ascii="Times New Roman" w:hAnsi="Times New Roman" w:eastAsia="宋体" w:cs="Times New Roman"/>
                <w:color w:val="auto"/>
                <w:szCs w:val="21"/>
                <w:highlight w:val="none"/>
              </w:rPr>
            </w:pPr>
          </w:p>
        </w:tc>
      </w:tr>
      <w:tr w14:paraId="4936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3055D0A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EHS04</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1B7B58EC">
            <w:pPr>
              <w:spacing w:line="360" w:lineRule="auto"/>
              <w:jc w:val="left"/>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未落实安全管理及货品质量整改措施</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0A5B4AA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每次 200元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269ABEB1">
            <w:pPr>
              <w:spacing w:line="360" w:lineRule="auto"/>
              <w:jc w:val="center"/>
              <w:rPr>
                <w:rFonts w:hint="default" w:ascii="Times New Roman" w:hAnsi="Times New Roman" w:eastAsia="宋体" w:cs="Times New Roman"/>
                <w:color w:val="auto"/>
                <w:szCs w:val="21"/>
                <w:highlight w:val="none"/>
              </w:rPr>
            </w:pPr>
          </w:p>
        </w:tc>
      </w:tr>
      <w:tr w14:paraId="7C1A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0FBB6F2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EHS05</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2D046479">
            <w:pPr>
              <w:pStyle w:val="25"/>
              <w:widowControl/>
              <w:autoSpaceDE w:val="0"/>
              <w:autoSpaceDN w:val="0"/>
              <w:spacing w:before="15"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不报、瞒报、迟报安全事故</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562C7CD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每次 2000元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00A01D5C">
            <w:pPr>
              <w:spacing w:line="360" w:lineRule="auto"/>
              <w:jc w:val="center"/>
              <w:rPr>
                <w:rFonts w:hint="default" w:ascii="Times New Roman" w:hAnsi="Times New Roman" w:eastAsia="宋体" w:cs="Times New Roman"/>
                <w:color w:val="auto"/>
                <w:szCs w:val="21"/>
                <w:highlight w:val="none"/>
              </w:rPr>
            </w:pPr>
          </w:p>
        </w:tc>
      </w:tr>
      <w:tr w14:paraId="426D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6B593D1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EHS06</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6B07827B">
            <w:pPr>
              <w:pStyle w:val="25"/>
              <w:widowControl/>
              <w:autoSpaceDE w:val="0"/>
              <w:autoSpaceDN w:val="0"/>
              <w:spacing w:before="15"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危险化学品运输人员未持证上岗</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5EB12E8A">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每人每次 2000元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15D23FE3">
            <w:pPr>
              <w:spacing w:line="360" w:lineRule="auto"/>
              <w:jc w:val="center"/>
              <w:rPr>
                <w:rFonts w:hint="default" w:ascii="Times New Roman" w:hAnsi="Times New Roman" w:eastAsia="宋体" w:cs="Times New Roman"/>
                <w:color w:val="auto"/>
                <w:szCs w:val="21"/>
                <w:highlight w:val="none"/>
              </w:rPr>
            </w:pPr>
          </w:p>
        </w:tc>
      </w:tr>
      <w:tr w14:paraId="18D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076B49F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EHS0</w:t>
            </w:r>
            <w:r>
              <w:rPr>
                <w:rFonts w:hint="default" w:ascii="Times New Roman" w:hAnsi="Times New Roman" w:eastAsia="宋体" w:cs="Times New Roman"/>
                <w:color w:val="auto"/>
                <w:sz w:val="21"/>
                <w:szCs w:val="21"/>
                <w:highlight w:val="none"/>
                <w:lang w:val="en-US" w:eastAsia="zh-CN"/>
              </w:rPr>
              <w:t>7</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68977FB8">
            <w:pPr>
              <w:pStyle w:val="25"/>
              <w:spacing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进</w:t>
            </w:r>
            <w:r>
              <w:rPr>
                <w:rFonts w:hint="default" w:ascii="Times New Roman" w:hAnsi="Times New Roman" w:eastAsia="宋体" w:cs="Times New Roman"/>
                <w:color w:val="auto"/>
                <w:sz w:val="21"/>
                <w:szCs w:val="21"/>
                <w:highlight w:val="none"/>
                <w:lang w:bidi="ar"/>
              </w:rPr>
              <w:t>入生产区域未按照规定要求佩戴劳动防护用品或劳动防护用品不符合安全卫生要求</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5C486D7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每人每次 200元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38F4DA3C">
            <w:pPr>
              <w:spacing w:line="360" w:lineRule="auto"/>
              <w:jc w:val="center"/>
              <w:rPr>
                <w:rFonts w:hint="default" w:ascii="Times New Roman" w:hAnsi="Times New Roman" w:eastAsia="宋体" w:cs="Times New Roman"/>
                <w:color w:val="auto"/>
                <w:szCs w:val="21"/>
                <w:highlight w:val="none"/>
              </w:rPr>
            </w:pPr>
          </w:p>
        </w:tc>
      </w:tr>
      <w:tr w14:paraId="5639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242FC73C">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EHS0</w:t>
            </w:r>
            <w:r>
              <w:rPr>
                <w:rFonts w:hint="default" w:ascii="Times New Roman" w:hAnsi="Times New Roman" w:eastAsia="宋体" w:cs="Times New Roman"/>
                <w:color w:val="auto"/>
                <w:sz w:val="21"/>
                <w:szCs w:val="21"/>
                <w:highlight w:val="none"/>
                <w:lang w:val="en-US" w:eastAsia="zh-CN"/>
              </w:rPr>
              <w:t>8</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0255A33E">
            <w:pPr>
              <w:pStyle w:val="25"/>
              <w:widowControl/>
              <w:autoSpaceDE w:val="0"/>
              <w:autoSpaceDN w:val="0"/>
              <w:spacing w:before="15" w:line="36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打架斗殴\聚众闹事\拦路封门等恶劣影响</w:t>
            </w:r>
          </w:p>
        </w:tc>
        <w:tc>
          <w:tcPr>
            <w:tcW w:w="2595" w:type="dxa"/>
            <w:tcBorders>
              <w:top w:val="single" w:color="auto" w:sz="4" w:space="0"/>
              <w:left w:val="single" w:color="auto" w:sz="4" w:space="0"/>
              <w:bottom w:val="single" w:color="auto" w:sz="4" w:space="0"/>
              <w:right w:val="single" w:color="auto" w:sz="4" w:space="0"/>
            </w:tcBorders>
            <w:shd w:val="clear" w:color="auto" w:fill="auto"/>
          </w:tcPr>
          <w:p w14:paraId="7BFCA79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每人每次 2000元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400A2351">
            <w:pPr>
              <w:spacing w:line="360" w:lineRule="auto"/>
              <w:jc w:val="center"/>
              <w:rPr>
                <w:rFonts w:hint="default" w:ascii="Times New Roman" w:hAnsi="Times New Roman" w:eastAsia="宋体" w:cs="Times New Roman"/>
                <w:color w:val="auto"/>
                <w:szCs w:val="21"/>
                <w:highlight w:val="none"/>
              </w:rPr>
            </w:pPr>
          </w:p>
        </w:tc>
      </w:tr>
      <w:tr w14:paraId="50C3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tcPr>
          <w:p w14:paraId="6D4F7EEC">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w:t>
            </w:r>
            <w:r>
              <w:rPr>
                <w:rFonts w:hint="default" w:ascii="Times New Roman" w:hAnsi="Times New Roman" w:eastAsia="宋体" w:cs="Times New Roman"/>
                <w:color w:val="auto"/>
                <w:sz w:val="21"/>
                <w:szCs w:val="21"/>
                <w:highlight w:val="none"/>
                <w:lang w:val="en-US" w:eastAsia="zh-CN"/>
              </w:rPr>
              <w:t>9</w:t>
            </w:r>
          </w:p>
        </w:tc>
        <w:tc>
          <w:tcPr>
            <w:tcW w:w="4438" w:type="dxa"/>
            <w:tcBorders>
              <w:top w:val="single" w:color="auto" w:sz="4" w:space="0"/>
              <w:left w:val="single" w:color="auto" w:sz="4" w:space="0"/>
              <w:bottom w:val="single" w:color="auto" w:sz="4" w:space="0"/>
              <w:right w:val="single" w:color="auto" w:sz="4" w:space="0"/>
            </w:tcBorders>
            <w:shd w:val="clear" w:color="auto" w:fill="auto"/>
          </w:tcPr>
          <w:p w14:paraId="75FEE76C">
            <w:pPr>
              <w:pStyle w:val="25"/>
              <w:widowControl/>
              <w:autoSpaceDE w:val="0"/>
              <w:autoSpaceDN w:val="0"/>
              <w:spacing w:before="15"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不服从管理、威胁、恐吓、殴打甲方</w:t>
            </w:r>
          </w:p>
          <w:p w14:paraId="4B775EF0">
            <w:pPr>
              <w:pStyle w:val="25"/>
              <w:widowControl/>
              <w:autoSpaceDE w:val="0"/>
              <w:autoSpaceDN w:val="0"/>
              <w:spacing w:before="15"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管理人员</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0110B8CA">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每人每次 2000元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2FBDADDF">
            <w:pPr>
              <w:spacing w:line="360" w:lineRule="auto"/>
              <w:rPr>
                <w:rFonts w:hint="default" w:ascii="Times New Roman" w:hAnsi="Times New Roman" w:eastAsia="宋体" w:cs="Times New Roman"/>
                <w:color w:val="auto"/>
                <w:szCs w:val="21"/>
                <w:highlight w:val="none"/>
              </w:rPr>
            </w:pPr>
          </w:p>
        </w:tc>
      </w:tr>
      <w:tr w14:paraId="795E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6ED5BA3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EHS1</w:t>
            </w:r>
            <w:r>
              <w:rPr>
                <w:rFonts w:hint="default" w:ascii="Times New Roman" w:hAnsi="Times New Roman" w:eastAsia="宋体" w:cs="Times New Roman"/>
                <w:color w:val="auto"/>
                <w:sz w:val="21"/>
                <w:szCs w:val="21"/>
                <w:highlight w:val="none"/>
                <w:lang w:val="en-US" w:eastAsia="zh-CN"/>
              </w:rPr>
              <w:t>0</w:t>
            </w:r>
          </w:p>
        </w:tc>
        <w:tc>
          <w:tcPr>
            <w:tcW w:w="4438" w:type="dxa"/>
            <w:tcBorders>
              <w:top w:val="single" w:color="auto" w:sz="4" w:space="0"/>
              <w:left w:val="single" w:color="auto" w:sz="4" w:space="0"/>
              <w:bottom w:val="single" w:color="auto" w:sz="4" w:space="0"/>
              <w:right w:val="single" w:color="auto" w:sz="4" w:space="0"/>
            </w:tcBorders>
            <w:shd w:val="clear" w:color="auto" w:fill="auto"/>
            <w:vAlign w:val="center"/>
          </w:tcPr>
          <w:p w14:paraId="56BAA944">
            <w:pPr>
              <w:pStyle w:val="25"/>
              <w:widowControl/>
              <w:autoSpaceDE w:val="0"/>
              <w:autoSpaceDN w:val="0"/>
              <w:spacing w:before="15"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因乙方管理问题造成的责任事故</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2B4D25DF">
            <w:pPr>
              <w:pStyle w:val="80"/>
              <w:widowControl/>
              <w:spacing w:line="360" w:lineRule="auto"/>
              <w:ind w:lef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每次 200-20000元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5D6B62A8">
            <w:pPr>
              <w:spacing w:line="360" w:lineRule="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bidi="ar"/>
              </w:rPr>
              <w:t>情节严重终止合同，并依法追</w:t>
            </w:r>
            <w:r>
              <w:rPr>
                <w:rFonts w:hint="eastAsia" w:ascii="Times New Roman" w:hAnsi="Times New Roman" w:cs="Times New Roman"/>
                <w:color w:val="auto"/>
                <w:szCs w:val="21"/>
                <w:highlight w:val="none"/>
                <w:lang w:val="en-US" w:eastAsia="zh-CN" w:bidi="ar"/>
              </w:rPr>
              <w:t>究</w:t>
            </w:r>
            <w:r>
              <w:rPr>
                <w:rFonts w:hint="default" w:ascii="Times New Roman" w:hAnsi="Times New Roman" w:eastAsia="宋体" w:cs="Times New Roman"/>
                <w:color w:val="auto"/>
                <w:szCs w:val="21"/>
                <w:highlight w:val="none"/>
                <w:lang w:bidi="ar"/>
              </w:rPr>
              <w:t>乙方责任</w:t>
            </w:r>
          </w:p>
        </w:tc>
      </w:tr>
      <w:tr w14:paraId="368C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5D1FE540">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EHS1</w:t>
            </w:r>
            <w:r>
              <w:rPr>
                <w:rFonts w:hint="default" w:ascii="Times New Roman" w:hAnsi="Times New Roman" w:eastAsia="宋体" w:cs="Times New Roman"/>
                <w:color w:val="auto"/>
                <w:sz w:val="21"/>
                <w:szCs w:val="21"/>
                <w:highlight w:val="none"/>
                <w:lang w:val="en-US" w:eastAsia="zh-CN"/>
              </w:rPr>
              <w:t>1</w:t>
            </w:r>
          </w:p>
        </w:tc>
        <w:tc>
          <w:tcPr>
            <w:tcW w:w="4438" w:type="dxa"/>
            <w:tcBorders>
              <w:top w:val="single" w:color="auto" w:sz="4" w:space="0"/>
              <w:left w:val="single" w:color="auto" w:sz="4" w:space="0"/>
              <w:bottom w:val="single" w:color="auto" w:sz="4" w:space="0"/>
              <w:right w:val="single" w:color="auto" w:sz="4" w:space="0"/>
            </w:tcBorders>
            <w:shd w:val="clear" w:color="auto" w:fill="auto"/>
            <w:vAlign w:val="center"/>
          </w:tcPr>
          <w:p w14:paraId="0930253D">
            <w:pPr>
              <w:pStyle w:val="25"/>
              <w:widowControl/>
              <w:autoSpaceDE w:val="0"/>
              <w:autoSpaceDN w:val="0"/>
              <w:spacing w:before="15"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未经甲方同意擅自动用使用甲方设备设施工具</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2CDCAC48">
            <w:pPr>
              <w:spacing w:line="360" w:lineRule="auto"/>
              <w:jc w:val="center"/>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Cs w:val="21"/>
                <w:highlight w:val="none"/>
                <w:lang w:bidi="ar"/>
              </w:rPr>
              <w:t>每次 200</w:t>
            </w:r>
            <w:r>
              <w:rPr>
                <w:rFonts w:hint="eastAsia" w:cs="Times New Roman"/>
                <w:color w:val="auto"/>
                <w:szCs w:val="21"/>
                <w:highlight w:val="none"/>
                <w:lang w:val="en-US" w:eastAsia="zh-CN" w:bidi="ar"/>
              </w:rPr>
              <w:t>-2000</w:t>
            </w:r>
            <w:r>
              <w:rPr>
                <w:rFonts w:hint="default" w:ascii="Times New Roman" w:hAnsi="Times New Roman" w:eastAsia="宋体" w:cs="Times New Roman"/>
                <w:color w:val="auto"/>
                <w:szCs w:val="21"/>
                <w:highlight w:val="none"/>
                <w:lang w:bidi="ar"/>
              </w:rPr>
              <w:t>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50885C3F">
            <w:pPr>
              <w:spacing w:line="360" w:lineRule="auto"/>
              <w:rPr>
                <w:rFonts w:hint="default" w:ascii="Times New Roman" w:hAnsi="Times New Roman" w:eastAsia="宋体" w:cs="Times New Roman"/>
                <w:color w:val="auto"/>
                <w:szCs w:val="21"/>
                <w:highlight w:val="none"/>
              </w:rPr>
            </w:pPr>
          </w:p>
        </w:tc>
      </w:tr>
      <w:tr w14:paraId="611C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6" w:type="dxa"/>
            <w:tcBorders>
              <w:top w:val="single" w:color="auto" w:sz="4" w:space="0"/>
              <w:left w:val="single" w:color="auto" w:sz="4" w:space="0"/>
              <w:bottom w:val="single" w:color="auto" w:sz="4" w:space="0"/>
              <w:right w:val="single" w:color="auto" w:sz="4" w:space="0"/>
            </w:tcBorders>
            <w:shd w:val="clear" w:color="auto" w:fill="auto"/>
            <w:vAlign w:val="center"/>
          </w:tcPr>
          <w:p w14:paraId="319B368A">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EHS1</w:t>
            </w:r>
            <w:r>
              <w:rPr>
                <w:rFonts w:hint="default" w:ascii="Times New Roman" w:hAnsi="Times New Roman" w:eastAsia="宋体" w:cs="Times New Roman"/>
                <w:color w:val="auto"/>
                <w:sz w:val="21"/>
                <w:szCs w:val="21"/>
                <w:highlight w:val="none"/>
                <w:lang w:val="en-US" w:eastAsia="zh-CN"/>
              </w:rPr>
              <w:t>2</w:t>
            </w:r>
          </w:p>
        </w:tc>
        <w:tc>
          <w:tcPr>
            <w:tcW w:w="4438" w:type="dxa"/>
            <w:tcBorders>
              <w:top w:val="single" w:color="auto" w:sz="4" w:space="0"/>
              <w:left w:val="single" w:color="auto" w:sz="4" w:space="0"/>
              <w:bottom w:val="single" w:color="auto" w:sz="4" w:space="0"/>
              <w:right w:val="single" w:color="auto" w:sz="4" w:space="0"/>
            </w:tcBorders>
            <w:shd w:val="clear" w:color="auto" w:fill="auto"/>
            <w:vAlign w:val="center"/>
          </w:tcPr>
          <w:p w14:paraId="738194FF">
            <w:pPr>
              <w:pStyle w:val="25"/>
              <w:widowControl/>
              <w:autoSpaceDE w:val="0"/>
              <w:autoSpaceDN w:val="0"/>
              <w:spacing w:before="15"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其他违反安全卫生职业健康安全事项，但非本罚则列出者，酌情处罚</w:t>
            </w:r>
          </w:p>
        </w:tc>
        <w:tc>
          <w:tcPr>
            <w:tcW w:w="2595" w:type="dxa"/>
            <w:tcBorders>
              <w:top w:val="single" w:color="auto" w:sz="4" w:space="0"/>
              <w:left w:val="single" w:color="auto" w:sz="4" w:space="0"/>
              <w:bottom w:val="single" w:color="auto" w:sz="4" w:space="0"/>
              <w:right w:val="single" w:color="auto" w:sz="4" w:space="0"/>
            </w:tcBorders>
            <w:shd w:val="clear" w:color="auto" w:fill="auto"/>
            <w:vAlign w:val="center"/>
          </w:tcPr>
          <w:p w14:paraId="444A5B3D">
            <w:pPr>
              <w:spacing w:line="360" w:lineRule="auto"/>
              <w:jc w:val="center"/>
              <w:rPr>
                <w:rFonts w:hint="default" w:ascii="Times New Roman" w:hAnsi="Times New Roman" w:eastAsia="宋体" w:cs="Times New Roman"/>
                <w:color w:val="auto"/>
                <w:szCs w:val="21"/>
                <w:highlight w:val="none"/>
                <w:lang w:val="en-US" w:eastAsia="zh-CN" w:bidi="ar"/>
              </w:rPr>
            </w:pPr>
            <w:r>
              <w:rPr>
                <w:rFonts w:hint="default" w:ascii="Times New Roman" w:hAnsi="Times New Roman" w:eastAsia="宋体" w:cs="Times New Roman"/>
                <w:color w:val="auto"/>
                <w:szCs w:val="21"/>
                <w:highlight w:val="none"/>
                <w:lang w:val="en-US" w:eastAsia="zh-CN" w:bidi="ar"/>
              </w:rPr>
              <w:t>每处每次200-100000元</w:t>
            </w:r>
          </w:p>
        </w:tc>
        <w:tc>
          <w:tcPr>
            <w:tcW w:w="1612" w:type="dxa"/>
            <w:tcBorders>
              <w:top w:val="single" w:color="auto" w:sz="4" w:space="0"/>
              <w:left w:val="single" w:color="auto" w:sz="4" w:space="0"/>
              <w:bottom w:val="single" w:color="auto" w:sz="4" w:space="0"/>
              <w:right w:val="single" w:color="auto" w:sz="4" w:space="0"/>
            </w:tcBorders>
            <w:shd w:val="clear" w:color="auto" w:fill="auto"/>
          </w:tcPr>
          <w:p w14:paraId="031B2579">
            <w:pPr>
              <w:spacing w:line="360" w:lineRule="auto"/>
              <w:rPr>
                <w:rFonts w:hint="default" w:ascii="Times New Roman" w:hAnsi="Times New Roman" w:eastAsia="宋体" w:cs="Times New Roman"/>
                <w:color w:val="auto"/>
                <w:szCs w:val="21"/>
                <w:highlight w:val="none"/>
              </w:rPr>
            </w:pPr>
          </w:p>
        </w:tc>
      </w:tr>
    </w:tbl>
    <w:p w14:paraId="24A90C88">
      <w:pPr>
        <w:overflowPunct w:val="0"/>
        <w:autoSpaceDE w:val="0"/>
        <w:autoSpaceDN w:val="0"/>
        <w:adjustRightInd w:val="0"/>
        <w:spacing w:line="48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4.7.2 文明</w:t>
      </w:r>
      <w:r>
        <w:rPr>
          <w:rFonts w:hint="eastAsia" w:cs="Times New Roman"/>
          <w:bCs/>
          <w:color w:val="auto"/>
          <w:sz w:val="21"/>
          <w:szCs w:val="21"/>
          <w:highlight w:val="none"/>
          <w:lang w:val="en-US" w:eastAsia="zh-CN"/>
        </w:rPr>
        <w:t>作业</w:t>
      </w:r>
      <w:r>
        <w:rPr>
          <w:rFonts w:hint="default" w:ascii="Times New Roman" w:hAnsi="Times New Roman" w:eastAsia="宋体" w:cs="Times New Roman"/>
          <w:bCs/>
          <w:color w:val="auto"/>
          <w:sz w:val="21"/>
          <w:szCs w:val="21"/>
          <w:highlight w:val="none"/>
        </w:rPr>
        <w:t>管理</w:t>
      </w:r>
    </w:p>
    <w:tbl>
      <w:tblPr>
        <w:tblStyle w:val="30"/>
        <w:tblW w:w="95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4459"/>
        <w:gridCol w:w="2595"/>
        <w:gridCol w:w="1611"/>
      </w:tblGrid>
      <w:tr w14:paraId="6F185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1DF3BCE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序号 </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2D311F3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违章内容 </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79098EC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罚款金额 </w:t>
            </w:r>
          </w:p>
        </w:tc>
        <w:tc>
          <w:tcPr>
            <w:tcW w:w="1611" w:type="dxa"/>
            <w:tcBorders>
              <w:top w:val="single" w:color="000000" w:sz="4" w:space="0"/>
              <w:left w:val="single" w:color="000000" w:sz="4" w:space="0"/>
              <w:bottom w:val="single" w:color="000000" w:sz="4" w:space="0"/>
              <w:right w:val="single" w:color="000000" w:sz="4" w:space="0"/>
            </w:tcBorders>
            <w:shd w:val="clear" w:color="auto" w:fill="auto"/>
          </w:tcPr>
          <w:p w14:paraId="5C65CE1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备注 </w:t>
            </w:r>
          </w:p>
        </w:tc>
      </w:tr>
      <w:tr w14:paraId="0A9D2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3A474800">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CC01</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top"/>
          </w:tcPr>
          <w:p w14:paraId="5B374E38">
            <w:pPr>
              <w:pStyle w:val="25"/>
              <w:widowControl/>
              <w:autoSpaceDE w:val="0"/>
              <w:autoSpaceDN w:val="0"/>
              <w:spacing w:before="15" w:line="360" w:lineRule="auto"/>
              <w:ind w:left="108" w:leftChars="0"/>
              <w:jc w:val="left"/>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bCs/>
                <w:color w:val="auto"/>
                <w:sz w:val="21"/>
                <w:szCs w:val="21"/>
                <w:highlight w:val="none"/>
              </w:rPr>
              <w:t>进入</w:t>
            </w:r>
            <w:r>
              <w:rPr>
                <w:rFonts w:hint="default" w:ascii="Times New Roman" w:hAnsi="Times New Roman" w:cs="Times New Roman"/>
                <w:bCs/>
                <w:color w:val="auto"/>
                <w:sz w:val="21"/>
                <w:szCs w:val="21"/>
                <w:highlight w:val="none"/>
                <w:lang w:val="en-US" w:eastAsia="zh-CN"/>
              </w:rPr>
              <w:t>甲方生产区域</w:t>
            </w:r>
            <w:r>
              <w:rPr>
                <w:rFonts w:hint="default" w:ascii="Times New Roman" w:hAnsi="Times New Roman" w:eastAsia="宋体" w:cs="Times New Roman"/>
                <w:bCs/>
                <w:color w:val="auto"/>
                <w:sz w:val="21"/>
                <w:szCs w:val="21"/>
                <w:highlight w:val="none"/>
              </w:rPr>
              <w:t>后未佩戴安全帽或未系帽带</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未穿着反光背心</w:t>
            </w:r>
          </w:p>
        </w:tc>
        <w:tc>
          <w:tcPr>
            <w:tcW w:w="2595" w:type="dxa"/>
            <w:tcBorders>
              <w:top w:val="single" w:color="000000" w:sz="4" w:space="0"/>
              <w:left w:val="single" w:color="000000" w:sz="4" w:space="0"/>
              <w:bottom w:val="single" w:color="000000" w:sz="4" w:space="0"/>
              <w:right w:val="single" w:color="000000" w:sz="4" w:space="0"/>
            </w:tcBorders>
            <w:shd w:val="clear" w:color="auto" w:fill="auto"/>
            <w:vAlign w:val="top"/>
          </w:tcPr>
          <w:p w14:paraId="50886E29">
            <w:pPr>
              <w:pStyle w:val="25"/>
              <w:widowControl/>
              <w:autoSpaceDE w:val="0"/>
              <w:autoSpaceDN w:val="0"/>
              <w:spacing w:before="15" w:line="360" w:lineRule="auto"/>
              <w:ind w:left="108" w:left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 xml:space="preserve">每人每次 200 元 </w:t>
            </w:r>
          </w:p>
        </w:tc>
        <w:tc>
          <w:tcPr>
            <w:tcW w:w="1611" w:type="dxa"/>
            <w:vMerge w:val="restart"/>
            <w:tcBorders>
              <w:top w:val="single" w:color="000000" w:sz="4" w:space="0"/>
              <w:left w:val="single" w:color="000000" w:sz="4" w:space="0"/>
              <w:right w:val="single" w:color="000000" w:sz="4" w:space="0"/>
            </w:tcBorders>
            <w:shd w:val="clear" w:color="auto" w:fill="auto"/>
            <w:vAlign w:val="center"/>
          </w:tcPr>
          <w:p w14:paraId="012EC02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要求立即改正或劝离厂区</w:t>
            </w:r>
          </w:p>
        </w:tc>
      </w:tr>
      <w:tr w14:paraId="66152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353B466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2</w:t>
            </w:r>
            <w:r>
              <w:rPr>
                <w:rFonts w:hint="default" w:ascii="Times New Roman" w:hAnsi="Times New Roman" w:eastAsia="宋体" w:cs="Times New Roman"/>
                <w:color w:val="auto"/>
                <w:sz w:val="21"/>
                <w:szCs w:val="21"/>
                <w:highlight w:val="none"/>
                <w:lang w:bidi="ar"/>
              </w:rPr>
              <w:t xml:space="preserve"> </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10F83219">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进入</w:t>
            </w:r>
            <w:r>
              <w:rPr>
                <w:rFonts w:hint="eastAsia" w:ascii="Times New Roman" w:hAnsi="Times New Roman" w:cs="Times New Roman"/>
                <w:color w:val="auto"/>
                <w:sz w:val="21"/>
                <w:szCs w:val="21"/>
                <w:highlight w:val="none"/>
                <w:lang w:val="en-US" w:eastAsia="zh-CN" w:bidi="ar"/>
              </w:rPr>
              <w:t>生产区区域</w:t>
            </w:r>
            <w:r>
              <w:rPr>
                <w:rFonts w:hint="default" w:ascii="Times New Roman" w:hAnsi="Times New Roman" w:eastAsia="宋体" w:cs="Times New Roman"/>
                <w:color w:val="auto"/>
                <w:sz w:val="21"/>
                <w:szCs w:val="21"/>
                <w:highlight w:val="none"/>
                <w:lang w:bidi="ar"/>
              </w:rPr>
              <w:t>内赤膊、穿背心、拖鞋、短裤</w:t>
            </w:r>
          </w:p>
          <w:p w14:paraId="678AE16E">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裙子</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36EA7D09">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每人每次 200 元 </w:t>
            </w:r>
          </w:p>
        </w:tc>
        <w:tc>
          <w:tcPr>
            <w:tcW w:w="1611" w:type="dxa"/>
            <w:vMerge w:val="continue"/>
            <w:tcBorders>
              <w:left w:val="single" w:color="000000" w:sz="4" w:space="0"/>
              <w:right w:val="single" w:color="000000" w:sz="4" w:space="0"/>
            </w:tcBorders>
            <w:shd w:val="clear" w:color="auto" w:fill="auto"/>
          </w:tcPr>
          <w:p w14:paraId="19D549F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14B64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C17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3</w:t>
            </w:r>
          </w:p>
        </w:tc>
        <w:tc>
          <w:tcPr>
            <w:tcW w:w="44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7801">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未在规定区域抽烟</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2E497E30">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每人每次 500 元 </w:t>
            </w:r>
          </w:p>
          <w:p w14:paraId="6AA600F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危险区域 1000 元 </w:t>
            </w:r>
          </w:p>
        </w:tc>
        <w:tc>
          <w:tcPr>
            <w:tcW w:w="1611" w:type="dxa"/>
            <w:vMerge w:val="continue"/>
            <w:tcBorders>
              <w:left w:val="single" w:color="000000" w:sz="4" w:space="0"/>
              <w:right w:val="single" w:color="000000" w:sz="4" w:space="0"/>
            </w:tcBorders>
            <w:shd w:val="clear" w:color="auto" w:fill="auto"/>
          </w:tcPr>
          <w:p w14:paraId="09A11CF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2DE7C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2F3FD5C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4</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2D0FA2A0">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rPr>
              <w:t>未在规定的区域倾倒垃圾</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55AA0D0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每</w:t>
            </w:r>
            <w:r>
              <w:rPr>
                <w:rFonts w:hint="default" w:ascii="Times New Roman" w:hAnsi="Times New Roman" w:eastAsia="宋体" w:cs="Times New Roman"/>
                <w:color w:val="auto"/>
                <w:sz w:val="21"/>
                <w:szCs w:val="21"/>
                <w:highlight w:val="none"/>
                <w:lang w:val="en-US" w:eastAsia="zh-CN" w:bidi="ar"/>
              </w:rPr>
              <w:t>处</w:t>
            </w:r>
            <w:r>
              <w:rPr>
                <w:rFonts w:hint="default" w:ascii="Times New Roman" w:hAnsi="Times New Roman" w:eastAsia="宋体" w:cs="Times New Roman"/>
                <w:color w:val="auto"/>
                <w:sz w:val="21"/>
                <w:szCs w:val="21"/>
                <w:highlight w:val="none"/>
                <w:lang w:bidi="ar"/>
              </w:rPr>
              <w:t>每次 200</w:t>
            </w:r>
            <w:r>
              <w:rPr>
                <w:rFonts w:hint="default" w:ascii="Times New Roman" w:hAnsi="Times New Roman" w:eastAsia="宋体" w:cs="Times New Roman"/>
                <w:color w:val="auto"/>
                <w:sz w:val="21"/>
                <w:szCs w:val="21"/>
                <w:highlight w:val="none"/>
                <w:lang w:val="en-US" w:eastAsia="zh-CN" w:bidi="ar"/>
              </w:rPr>
              <w:t>-1000</w:t>
            </w:r>
            <w:r>
              <w:rPr>
                <w:rFonts w:hint="default" w:ascii="Times New Roman" w:hAnsi="Times New Roman" w:eastAsia="宋体" w:cs="Times New Roman"/>
                <w:color w:val="auto"/>
                <w:sz w:val="21"/>
                <w:szCs w:val="21"/>
                <w:highlight w:val="none"/>
                <w:lang w:bidi="ar"/>
              </w:rPr>
              <w:t xml:space="preserve"> 元 </w:t>
            </w:r>
          </w:p>
        </w:tc>
        <w:tc>
          <w:tcPr>
            <w:tcW w:w="1611" w:type="dxa"/>
            <w:vMerge w:val="continue"/>
            <w:tcBorders>
              <w:left w:val="single" w:color="000000" w:sz="4" w:space="0"/>
              <w:right w:val="single" w:color="000000" w:sz="4" w:space="0"/>
            </w:tcBorders>
            <w:shd w:val="clear" w:color="auto" w:fill="auto"/>
          </w:tcPr>
          <w:p w14:paraId="36D6596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p>
        </w:tc>
      </w:tr>
      <w:tr w14:paraId="7A135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1DDA491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5</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2F326123">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在</w:t>
            </w:r>
            <w:r>
              <w:rPr>
                <w:rFonts w:hint="default" w:ascii="Times New Roman" w:hAnsi="Times New Roman" w:eastAsia="宋体" w:cs="Times New Roman"/>
                <w:color w:val="auto"/>
                <w:sz w:val="21"/>
                <w:szCs w:val="21"/>
                <w:highlight w:val="none"/>
                <w:lang w:val="en-US" w:eastAsia="zh-CN" w:bidi="ar"/>
              </w:rPr>
              <w:t>生产区域</w:t>
            </w:r>
            <w:r>
              <w:rPr>
                <w:rFonts w:hint="default" w:ascii="Times New Roman" w:hAnsi="Times New Roman" w:eastAsia="宋体" w:cs="Times New Roman"/>
                <w:color w:val="auto"/>
                <w:sz w:val="21"/>
                <w:szCs w:val="21"/>
                <w:highlight w:val="none"/>
                <w:lang w:bidi="ar"/>
              </w:rPr>
              <w:t xml:space="preserve">现场席地躺睡 </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0CE591E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每人每次 500 元 </w:t>
            </w:r>
          </w:p>
        </w:tc>
        <w:tc>
          <w:tcPr>
            <w:tcW w:w="1611" w:type="dxa"/>
            <w:vMerge w:val="continue"/>
            <w:tcBorders>
              <w:left w:val="single" w:color="000000" w:sz="4" w:space="0"/>
              <w:right w:val="single" w:color="000000" w:sz="4" w:space="0"/>
            </w:tcBorders>
            <w:shd w:val="clear" w:color="auto" w:fill="auto"/>
          </w:tcPr>
          <w:p w14:paraId="3377A50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44C7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7954C17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6</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6D437CE3">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rPr>
              <w:t>未在指定区域大小便、洗浴等</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0398D046">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每人每次 500 元 </w:t>
            </w:r>
          </w:p>
        </w:tc>
        <w:tc>
          <w:tcPr>
            <w:tcW w:w="1611" w:type="dxa"/>
            <w:vMerge w:val="continue"/>
            <w:tcBorders>
              <w:left w:val="single" w:color="000000" w:sz="4" w:space="0"/>
              <w:right w:val="single" w:color="000000" w:sz="4" w:space="0"/>
            </w:tcBorders>
            <w:shd w:val="clear" w:color="auto" w:fill="auto"/>
          </w:tcPr>
          <w:p w14:paraId="10983A3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p>
        </w:tc>
      </w:tr>
      <w:tr w14:paraId="242F9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415643F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7</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1AE972EE">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酒后进（含酒精性饮料、迷幻剂等）生产区</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1B993BD9">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每处每次 1000 元 </w:t>
            </w:r>
          </w:p>
        </w:tc>
        <w:tc>
          <w:tcPr>
            <w:tcW w:w="1611" w:type="dxa"/>
            <w:vMerge w:val="continue"/>
            <w:tcBorders>
              <w:left w:val="single" w:color="000000" w:sz="4" w:space="0"/>
              <w:bottom w:val="single" w:color="000000" w:sz="4" w:space="0"/>
              <w:right w:val="single" w:color="000000" w:sz="4" w:space="0"/>
            </w:tcBorders>
            <w:shd w:val="clear" w:color="auto" w:fill="auto"/>
          </w:tcPr>
          <w:p w14:paraId="6A9D4C0A">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67C79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5657017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8</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77763D6D">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卸料区未及时进行现场清理、恢复完好</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7557774C">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每处每次 200 元 </w:t>
            </w:r>
          </w:p>
        </w:tc>
        <w:tc>
          <w:tcPr>
            <w:tcW w:w="1611" w:type="dxa"/>
            <w:tcBorders>
              <w:top w:val="single" w:color="000000" w:sz="4" w:space="0"/>
              <w:left w:val="single" w:color="000000" w:sz="4" w:space="0"/>
              <w:bottom w:val="single" w:color="000000" w:sz="4" w:space="0"/>
              <w:right w:val="single" w:color="000000" w:sz="4" w:space="0"/>
            </w:tcBorders>
            <w:shd w:val="clear" w:color="auto" w:fill="auto"/>
          </w:tcPr>
          <w:p w14:paraId="1B0ADA1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 </w:t>
            </w:r>
          </w:p>
        </w:tc>
      </w:tr>
      <w:tr w14:paraId="4616D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933" w:type="dxa"/>
            <w:tcBorders>
              <w:top w:val="single" w:color="000000" w:sz="4" w:space="0"/>
              <w:left w:val="single" w:color="000000" w:sz="4" w:space="0"/>
              <w:bottom w:val="single" w:color="000000" w:sz="4" w:space="0"/>
              <w:right w:val="single" w:color="000000" w:sz="4" w:space="0"/>
            </w:tcBorders>
            <w:shd w:val="clear" w:color="auto" w:fill="auto"/>
          </w:tcPr>
          <w:p w14:paraId="6C81F1D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CC0</w:t>
            </w:r>
            <w:r>
              <w:rPr>
                <w:rFonts w:hint="default" w:ascii="Times New Roman" w:hAnsi="Times New Roman" w:eastAsia="宋体" w:cs="Times New Roman"/>
                <w:color w:val="auto"/>
                <w:sz w:val="21"/>
                <w:szCs w:val="21"/>
                <w:highlight w:val="none"/>
                <w:lang w:val="en-US" w:eastAsia="zh-CN" w:bidi="ar"/>
              </w:rPr>
              <w:t>9</w:t>
            </w:r>
          </w:p>
        </w:tc>
        <w:tc>
          <w:tcPr>
            <w:tcW w:w="4459" w:type="dxa"/>
            <w:tcBorders>
              <w:top w:val="single" w:color="000000" w:sz="4" w:space="0"/>
              <w:left w:val="single" w:color="000000" w:sz="4" w:space="0"/>
              <w:bottom w:val="single" w:color="000000" w:sz="4" w:space="0"/>
              <w:right w:val="single" w:color="000000" w:sz="4" w:space="0"/>
            </w:tcBorders>
            <w:shd w:val="clear" w:color="auto" w:fill="auto"/>
          </w:tcPr>
          <w:p w14:paraId="07048673">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其他违反国家相关标准或项目管理规定 </w:t>
            </w:r>
          </w:p>
        </w:tc>
        <w:tc>
          <w:tcPr>
            <w:tcW w:w="2595" w:type="dxa"/>
            <w:tcBorders>
              <w:top w:val="single" w:color="000000" w:sz="4" w:space="0"/>
              <w:left w:val="single" w:color="000000" w:sz="4" w:space="0"/>
              <w:bottom w:val="single" w:color="000000" w:sz="4" w:space="0"/>
              <w:right w:val="single" w:color="000000" w:sz="4" w:space="0"/>
            </w:tcBorders>
            <w:shd w:val="clear" w:color="auto" w:fill="auto"/>
          </w:tcPr>
          <w:p w14:paraId="79AC963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每次 200-20000 元</w:t>
            </w:r>
          </w:p>
        </w:tc>
        <w:tc>
          <w:tcPr>
            <w:tcW w:w="1611" w:type="dxa"/>
            <w:tcBorders>
              <w:top w:val="single" w:color="000000" w:sz="4" w:space="0"/>
              <w:left w:val="single" w:color="000000" w:sz="4" w:space="0"/>
              <w:bottom w:val="single" w:color="000000" w:sz="4" w:space="0"/>
              <w:right w:val="single" w:color="000000" w:sz="4" w:space="0"/>
            </w:tcBorders>
            <w:shd w:val="clear" w:color="auto" w:fill="auto"/>
          </w:tcPr>
          <w:p w14:paraId="55874C5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 </w:t>
            </w:r>
          </w:p>
        </w:tc>
      </w:tr>
    </w:tbl>
    <w:p w14:paraId="002E32AF">
      <w:pPr>
        <w:overflowPunct w:val="0"/>
        <w:autoSpaceDE w:val="0"/>
        <w:autoSpaceDN w:val="0"/>
        <w:adjustRightInd w:val="0"/>
        <w:spacing w:line="48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w:t>
      </w:r>
      <w:r>
        <w:rPr>
          <w:rFonts w:hint="eastAsia"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 xml:space="preserve"> 安全保卫管理</w:t>
      </w:r>
    </w:p>
    <w:tbl>
      <w:tblPr>
        <w:tblStyle w:val="30"/>
        <w:tblW w:w="9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4437"/>
        <w:gridCol w:w="2569"/>
        <w:gridCol w:w="1674"/>
      </w:tblGrid>
      <w:tr w14:paraId="765E8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54460B6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序号</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538BFDA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违章内容</w:t>
            </w:r>
          </w:p>
        </w:tc>
        <w:tc>
          <w:tcPr>
            <w:tcW w:w="2569" w:type="dxa"/>
            <w:tcBorders>
              <w:top w:val="single" w:color="000000" w:sz="4" w:space="0"/>
              <w:left w:val="single" w:color="000000" w:sz="4" w:space="0"/>
              <w:bottom w:val="single" w:color="000000" w:sz="4" w:space="0"/>
              <w:right w:val="single" w:color="000000" w:sz="4" w:space="0"/>
            </w:tcBorders>
            <w:shd w:val="clear" w:color="auto" w:fill="auto"/>
          </w:tcPr>
          <w:p w14:paraId="14D8CDF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罚款金额</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6B66899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备注</w:t>
            </w:r>
          </w:p>
        </w:tc>
      </w:tr>
      <w:tr w14:paraId="69D80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6E75539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SG01</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7DEE8068">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未经同意随意打开</w:t>
            </w:r>
            <w:r>
              <w:rPr>
                <w:rFonts w:hint="eastAsia" w:ascii="Times New Roman" w:hAnsi="Times New Roman" w:cs="Times New Roman"/>
                <w:color w:val="auto"/>
                <w:sz w:val="21"/>
                <w:szCs w:val="21"/>
                <w:highlight w:val="none"/>
                <w:lang w:val="en-US" w:eastAsia="zh-CN" w:bidi="ar"/>
              </w:rPr>
              <w:t>园区各</w:t>
            </w:r>
            <w:r>
              <w:rPr>
                <w:rFonts w:hint="default" w:ascii="Times New Roman" w:hAnsi="Times New Roman" w:eastAsia="宋体" w:cs="Times New Roman"/>
                <w:color w:val="auto"/>
                <w:sz w:val="21"/>
                <w:szCs w:val="21"/>
                <w:highlight w:val="none"/>
                <w:lang w:bidi="ar"/>
              </w:rPr>
              <w:t>围墙围挡</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6609">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2000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4A534DE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08885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47BC62F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SG02</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4B709E50">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违规</w:t>
            </w:r>
            <w:r>
              <w:rPr>
                <w:rFonts w:hint="eastAsia" w:ascii="Times New Roman" w:hAnsi="Times New Roman" w:cs="Times New Roman"/>
                <w:color w:val="auto"/>
                <w:sz w:val="21"/>
                <w:szCs w:val="21"/>
                <w:highlight w:val="none"/>
                <w:lang w:val="en-US" w:eastAsia="zh-CN" w:bidi="ar"/>
              </w:rPr>
              <w:t>硬闯、攀爬、</w:t>
            </w:r>
            <w:r>
              <w:rPr>
                <w:rFonts w:hint="default" w:ascii="Times New Roman" w:hAnsi="Times New Roman" w:eastAsia="宋体" w:cs="Times New Roman"/>
                <w:color w:val="auto"/>
                <w:sz w:val="21"/>
                <w:szCs w:val="21"/>
                <w:highlight w:val="none"/>
                <w:lang w:bidi="ar"/>
              </w:rPr>
              <w:t>翻越、</w:t>
            </w:r>
            <w:r>
              <w:rPr>
                <w:rFonts w:hint="eastAsia" w:ascii="Times New Roman" w:hAnsi="Times New Roman" w:cs="Times New Roman"/>
                <w:color w:val="auto"/>
                <w:sz w:val="21"/>
                <w:szCs w:val="21"/>
                <w:highlight w:val="none"/>
                <w:lang w:val="en-US" w:eastAsia="zh-CN" w:bidi="ar"/>
              </w:rPr>
              <w:t>穿钻、</w:t>
            </w:r>
            <w:r>
              <w:rPr>
                <w:rFonts w:hint="default" w:ascii="Times New Roman" w:hAnsi="Times New Roman" w:eastAsia="宋体" w:cs="Times New Roman"/>
                <w:color w:val="auto"/>
                <w:sz w:val="21"/>
                <w:szCs w:val="21"/>
                <w:highlight w:val="none"/>
                <w:lang w:bidi="ar"/>
              </w:rPr>
              <w:t>破坏</w:t>
            </w:r>
            <w:r>
              <w:rPr>
                <w:rFonts w:hint="eastAsia" w:ascii="Times New Roman" w:hAnsi="Times New Roman" w:cs="Times New Roman"/>
                <w:color w:val="auto"/>
                <w:sz w:val="21"/>
                <w:szCs w:val="21"/>
                <w:highlight w:val="none"/>
                <w:lang w:val="en-US" w:eastAsia="zh-CN" w:bidi="ar"/>
              </w:rPr>
              <w:t>园区</w:t>
            </w:r>
            <w:r>
              <w:rPr>
                <w:rFonts w:hint="default" w:ascii="Times New Roman" w:hAnsi="Times New Roman" w:eastAsia="宋体" w:cs="Times New Roman"/>
                <w:color w:val="auto"/>
                <w:sz w:val="21"/>
                <w:szCs w:val="21"/>
                <w:highlight w:val="none"/>
                <w:lang w:bidi="ar"/>
              </w:rPr>
              <w:t>围墙、围挡</w:t>
            </w:r>
            <w:r>
              <w:rPr>
                <w:rFonts w:hint="eastAsia" w:ascii="Times New Roman" w:hAnsi="Times New Roman" w:cs="Times New Roman"/>
                <w:color w:val="auto"/>
                <w:sz w:val="21"/>
                <w:szCs w:val="21"/>
                <w:highlight w:val="none"/>
                <w:lang w:val="en-US" w:eastAsia="zh-CN" w:bidi="ar"/>
              </w:rPr>
              <w:t>或道闸</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7C0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1000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7F31B60A">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立即修复</w:t>
            </w:r>
            <w:r>
              <w:rPr>
                <w:rFonts w:hint="eastAsia" w:ascii="Times New Roman" w:hAnsi="Times New Roman" w:cs="Times New Roman"/>
                <w:color w:val="auto"/>
                <w:sz w:val="21"/>
                <w:szCs w:val="21"/>
                <w:highlight w:val="none"/>
                <w:lang w:eastAsia="zh-CN" w:bidi="ar"/>
              </w:rPr>
              <w:t>；</w:t>
            </w:r>
            <w:r>
              <w:rPr>
                <w:rFonts w:hint="eastAsia" w:ascii="Times New Roman" w:hAnsi="Times New Roman" w:cs="Times New Roman"/>
                <w:color w:val="auto"/>
                <w:sz w:val="21"/>
                <w:szCs w:val="21"/>
                <w:highlight w:val="none"/>
                <w:lang w:val="en-US" w:eastAsia="zh-CN" w:bidi="ar"/>
              </w:rPr>
              <w:t>围墙围挡或道闸有损坏的，照价赔偿</w:t>
            </w:r>
          </w:p>
        </w:tc>
      </w:tr>
      <w:tr w14:paraId="21898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1C221C7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SG03</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104BBBAC">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进出</w:t>
            </w:r>
            <w:r>
              <w:rPr>
                <w:rFonts w:hint="eastAsia" w:ascii="Times New Roman" w:hAnsi="Times New Roman" w:cs="Times New Roman"/>
                <w:color w:val="auto"/>
                <w:sz w:val="21"/>
                <w:szCs w:val="21"/>
                <w:highlight w:val="none"/>
                <w:lang w:val="en-US" w:eastAsia="zh-CN" w:bidi="ar"/>
              </w:rPr>
              <w:t>厂内</w:t>
            </w:r>
            <w:r>
              <w:rPr>
                <w:rFonts w:hint="default" w:ascii="Times New Roman" w:hAnsi="Times New Roman" w:eastAsia="宋体" w:cs="Times New Roman"/>
                <w:color w:val="auto"/>
                <w:sz w:val="21"/>
                <w:szCs w:val="21"/>
                <w:highlight w:val="none"/>
                <w:lang w:bidi="ar"/>
              </w:rPr>
              <w:t>不配合检查，强行闯门</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743B">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 xml:space="preserve">每处每次 </w:t>
            </w:r>
            <w:r>
              <w:rPr>
                <w:rFonts w:hint="eastAsia" w:ascii="Times New Roman" w:hAnsi="Times New Roman" w:cs="Times New Roman"/>
                <w:color w:val="auto"/>
                <w:sz w:val="21"/>
                <w:szCs w:val="21"/>
                <w:highlight w:val="none"/>
                <w:lang w:val="en-US" w:eastAsia="zh-CN" w:bidi="ar"/>
              </w:rPr>
              <w:t>1</w:t>
            </w:r>
            <w:r>
              <w:rPr>
                <w:rFonts w:hint="default" w:ascii="Times New Roman" w:hAnsi="Times New Roman" w:eastAsia="宋体" w:cs="Times New Roman"/>
                <w:color w:val="auto"/>
                <w:sz w:val="21"/>
                <w:szCs w:val="21"/>
                <w:highlight w:val="none"/>
                <w:lang w:bidi="ar"/>
              </w:rPr>
              <w:t>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49D62A1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5822C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5057431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SG04</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0F016EA2">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厂内不按规定停靠车辆、占道，相关人员不走行人通道</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1C4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200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6283853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43FA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258E6DBC">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SG05</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412FBDD0">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不服从交通调度、指挥</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F07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200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7A11CB7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0C0BE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43BFD046">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SG06</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6C022D6C">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偷盗物品、材料等非放行单罗列物品</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22A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5000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4CA86CE6">
            <w:pPr>
              <w:pStyle w:val="25"/>
              <w:widowControl/>
              <w:autoSpaceDE w:val="0"/>
              <w:autoSpaceDN w:val="0"/>
              <w:spacing w:before="15" w:line="360" w:lineRule="auto"/>
              <w:ind w:left="108"/>
              <w:jc w:val="center"/>
              <w:rPr>
                <w:rFonts w:hint="eastAsia" w:ascii="Times New Roman" w:hAnsi="Times New Roman" w:eastAsia="宋体" w:cs="Times New Roman"/>
                <w:color w:val="auto"/>
                <w:sz w:val="21"/>
                <w:szCs w:val="21"/>
                <w:highlight w:val="none"/>
              </w:rPr>
            </w:pPr>
          </w:p>
        </w:tc>
      </w:tr>
      <w:tr w14:paraId="3C429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2EB669A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SG07</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58996B5E">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运出物品与放行单不符合</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99FC">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1000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51B0433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5AF9C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1B6705E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SG08</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20C6B6B2">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必要时不配合安全引导、应急疏导等</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0D22">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5000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1A6AB40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6CC29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6CBE055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SG</w:t>
            </w:r>
            <w:r>
              <w:rPr>
                <w:rFonts w:hint="default" w:ascii="Times New Roman" w:hAnsi="Times New Roman" w:eastAsia="宋体" w:cs="Times New Roman"/>
                <w:color w:val="auto"/>
                <w:sz w:val="21"/>
                <w:szCs w:val="21"/>
                <w:highlight w:val="none"/>
                <w:lang w:val="en-US" w:eastAsia="zh-CN" w:bidi="ar"/>
              </w:rPr>
              <w:t>9</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4B9F07CF">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其他违反国家相关标准或项目管理规定的</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B21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500-10000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38E4609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3731A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584B836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bidi="ar"/>
              </w:rPr>
              <w:t>SG</w:t>
            </w:r>
            <w:r>
              <w:rPr>
                <w:rFonts w:hint="default" w:ascii="Times New Roman" w:hAnsi="Times New Roman" w:eastAsia="宋体" w:cs="Times New Roman"/>
                <w:color w:val="auto"/>
                <w:sz w:val="21"/>
                <w:szCs w:val="21"/>
                <w:highlight w:val="none"/>
                <w:lang w:val="en-US" w:eastAsia="zh-CN" w:bidi="ar"/>
              </w:rPr>
              <w:t>10</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328E7535">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rPr>
              <w:t>破坏门禁、监控等设备、材料成品等</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A550">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bCs/>
                <w:color w:val="auto"/>
                <w:sz w:val="21"/>
                <w:szCs w:val="21"/>
                <w:highlight w:val="none"/>
              </w:rPr>
              <w:t>每处每次3000元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64A1D84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损失另计</w:t>
            </w:r>
          </w:p>
        </w:tc>
      </w:tr>
      <w:tr w14:paraId="739CA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231C4F01">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SG1</w:t>
            </w:r>
            <w:r>
              <w:rPr>
                <w:rFonts w:hint="default" w:ascii="Times New Roman" w:hAnsi="Times New Roman" w:eastAsia="宋体" w:cs="Times New Roman"/>
                <w:color w:val="auto"/>
                <w:sz w:val="21"/>
                <w:szCs w:val="21"/>
                <w:highlight w:val="none"/>
                <w:lang w:val="en-US" w:eastAsia="zh-CN" w:bidi="ar"/>
              </w:rPr>
              <w:t>1</w:t>
            </w: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32431196">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未经甲方许可</w:t>
            </w:r>
            <w:r>
              <w:rPr>
                <w:rFonts w:hint="eastAsia" w:ascii="Times New Roman" w:hAnsi="Times New Roman" w:cs="Times New Roman"/>
                <w:color w:val="auto"/>
                <w:sz w:val="21"/>
                <w:szCs w:val="21"/>
                <w:highlight w:val="none"/>
                <w:lang w:val="en-US" w:eastAsia="zh-CN" w:bidi="ar"/>
              </w:rPr>
              <w:t>的人员、车辆</w:t>
            </w:r>
            <w:r>
              <w:rPr>
                <w:rFonts w:hint="default" w:ascii="Times New Roman" w:hAnsi="Times New Roman" w:eastAsia="宋体" w:cs="Times New Roman"/>
                <w:color w:val="auto"/>
                <w:sz w:val="21"/>
                <w:szCs w:val="21"/>
                <w:highlight w:val="none"/>
                <w:lang w:bidi="ar"/>
              </w:rPr>
              <w:t>进入车间仓库或带无关人员</w:t>
            </w:r>
            <w:r>
              <w:rPr>
                <w:rFonts w:hint="eastAsia" w:ascii="Times New Roman" w:hAnsi="Times New Roman" w:cs="Times New Roman"/>
                <w:color w:val="auto"/>
                <w:sz w:val="21"/>
                <w:szCs w:val="21"/>
                <w:highlight w:val="none"/>
                <w:lang w:eastAsia="zh-CN" w:bidi="ar"/>
              </w:rPr>
              <w:t>、</w:t>
            </w:r>
            <w:r>
              <w:rPr>
                <w:rFonts w:hint="eastAsia" w:ascii="Times New Roman" w:hAnsi="Times New Roman" w:cs="Times New Roman"/>
                <w:color w:val="auto"/>
                <w:sz w:val="21"/>
                <w:szCs w:val="21"/>
                <w:highlight w:val="none"/>
                <w:lang w:val="en-US" w:eastAsia="zh-CN" w:bidi="ar"/>
              </w:rPr>
              <w:t>车辆</w:t>
            </w:r>
            <w:r>
              <w:rPr>
                <w:rFonts w:hint="default" w:ascii="Times New Roman" w:hAnsi="Times New Roman" w:eastAsia="宋体" w:cs="Times New Roman"/>
                <w:color w:val="auto"/>
                <w:sz w:val="21"/>
                <w:szCs w:val="21"/>
                <w:highlight w:val="none"/>
                <w:lang w:bidi="ar"/>
              </w:rPr>
              <w:t>进入生产区域</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A4169">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每人每次 500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306F2E5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79F14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1018" w:type="dxa"/>
            <w:tcBorders>
              <w:top w:val="single" w:color="000000" w:sz="4" w:space="0"/>
              <w:left w:val="single" w:color="000000" w:sz="4" w:space="0"/>
              <w:bottom w:val="single" w:color="000000" w:sz="4" w:space="0"/>
              <w:right w:val="single" w:color="000000" w:sz="4" w:space="0"/>
            </w:tcBorders>
            <w:shd w:val="clear" w:color="auto" w:fill="auto"/>
          </w:tcPr>
          <w:p w14:paraId="4B30EB27">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p>
        </w:tc>
        <w:tc>
          <w:tcPr>
            <w:tcW w:w="4437" w:type="dxa"/>
            <w:tcBorders>
              <w:top w:val="single" w:color="000000" w:sz="4" w:space="0"/>
              <w:left w:val="single" w:color="000000" w:sz="4" w:space="0"/>
              <w:bottom w:val="single" w:color="000000" w:sz="4" w:space="0"/>
              <w:right w:val="single" w:color="000000" w:sz="4" w:space="0"/>
            </w:tcBorders>
            <w:shd w:val="clear" w:color="auto" w:fill="auto"/>
          </w:tcPr>
          <w:p w14:paraId="52AD4C06">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lang w:bidi="ar"/>
              </w:rPr>
            </w:pPr>
            <w:r>
              <w:rPr>
                <w:rFonts w:hint="eastAsia" w:ascii="Times New Roman" w:hAnsi="Times New Roman" w:cs="Times New Roman"/>
                <w:color w:val="auto"/>
                <w:sz w:val="21"/>
                <w:szCs w:val="21"/>
                <w:highlight w:val="none"/>
                <w:lang w:val="en-US" w:eastAsia="zh-CN" w:bidi="ar"/>
              </w:rPr>
              <w:t>未经甲方许可在园区拍照、摄像等</w:t>
            </w:r>
          </w:p>
        </w:tc>
        <w:tc>
          <w:tcPr>
            <w:tcW w:w="2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C25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 xml:space="preserve">每人每次 </w:t>
            </w:r>
            <w:r>
              <w:rPr>
                <w:rFonts w:hint="eastAsia" w:ascii="Times New Roman" w:hAnsi="Times New Roman" w:cs="Times New Roman"/>
                <w:color w:val="auto"/>
                <w:sz w:val="21"/>
                <w:szCs w:val="21"/>
                <w:highlight w:val="none"/>
                <w:lang w:val="en-US" w:eastAsia="zh-CN" w:bidi="ar"/>
              </w:rPr>
              <w:t>200</w:t>
            </w:r>
            <w:r>
              <w:rPr>
                <w:rFonts w:hint="default" w:ascii="Times New Roman" w:hAnsi="Times New Roman" w:eastAsia="宋体" w:cs="Times New Roman"/>
                <w:color w:val="auto"/>
                <w:sz w:val="21"/>
                <w:szCs w:val="21"/>
                <w:highlight w:val="none"/>
                <w:lang w:bidi="ar"/>
              </w:rPr>
              <w:t xml:space="preserve"> 元</w:t>
            </w:r>
          </w:p>
        </w:tc>
        <w:tc>
          <w:tcPr>
            <w:tcW w:w="1674" w:type="dxa"/>
            <w:tcBorders>
              <w:top w:val="single" w:color="000000" w:sz="4" w:space="0"/>
              <w:left w:val="single" w:color="000000" w:sz="4" w:space="0"/>
              <w:bottom w:val="single" w:color="000000" w:sz="4" w:space="0"/>
              <w:right w:val="single" w:color="000000" w:sz="4" w:space="0"/>
            </w:tcBorders>
            <w:shd w:val="clear" w:color="auto" w:fill="auto"/>
          </w:tcPr>
          <w:p w14:paraId="332CBCA8">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bl>
    <w:p w14:paraId="3C870A3B">
      <w:pPr>
        <w:overflowPunct w:val="0"/>
        <w:autoSpaceDE w:val="0"/>
        <w:autoSpaceDN w:val="0"/>
        <w:adjustRightInd w:val="0"/>
        <w:spacing w:line="48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4.7.</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 xml:space="preserve"> 危险化学品管理</w:t>
      </w:r>
    </w:p>
    <w:tbl>
      <w:tblPr>
        <w:tblStyle w:val="30"/>
        <w:tblW w:w="996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7"/>
        <w:gridCol w:w="4485"/>
        <w:gridCol w:w="2565"/>
        <w:gridCol w:w="1740"/>
      </w:tblGrid>
      <w:tr w14:paraId="58085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53B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序号</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80D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违章内容</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9E70">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罚款金额</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737F">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备注</w:t>
            </w:r>
          </w:p>
        </w:tc>
      </w:tr>
      <w:tr w14:paraId="3223F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DB14">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HC01</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C644">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未按合法途径采购合格危化品</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CAB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2000 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2E9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3B7F9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657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HC02</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BA07">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未按规范规定堆放危险化学品</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9C15">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1000 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95FD">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2C9D6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FC49">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HC03</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6562">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危险化学品包装无相应出厂货品信息</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7EDE">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500 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534A">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r w14:paraId="5FC92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04D6">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HC04</w:t>
            </w:r>
          </w:p>
        </w:tc>
        <w:tc>
          <w:tcPr>
            <w:tcW w:w="4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D58A">
            <w:pPr>
              <w:pStyle w:val="25"/>
              <w:widowControl/>
              <w:autoSpaceDE w:val="0"/>
              <w:autoSpaceDN w:val="0"/>
              <w:spacing w:before="15" w:line="360" w:lineRule="auto"/>
              <w:ind w:left="108"/>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其他违反国家相关标准和项目管理规定</w:t>
            </w:r>
          </w:p>
        </w:tc>
        <w:tc>
          <w:tcPr>
            <w:tcW w:w="2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11A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每处每次 200-20000  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7E423">
            <w:pPr>
              <w:pStyle w:val="25"/>
              <w:widowControl/>
              <w:autoSpaceDE w:val="0"/>
              <w:autoSpaceDN w:val="0"/>
              <w:spacing w:before="15" w:line="360" w:lineRule="auto"/>
              <w:ind w:left="108"/>
              <w:jc w:val="center"/>
              <w:rPr>
                <w:rFonts w:hint="default" w:ascii="Times New Roman" w:hAnsi="Times New Roman" w:eastAsia="宋体" w:cs="Times New Roman"/>
                <w:color w:val="auto"/>
                <w:sz w:val="21"/>
                <w:szCs w:val="21"/>
                <w:highlight w:val="none"/>
              </w:rPr>
            </w:pPr>
          </w:p>
        </w:tc>
      </w:tr>
    </w:tbl>
    <w:p w14:paraId="1332B174">
      <w:pPr>
        <w:overflowPunct w:val="0"/>
        <w:autoSpaceDE w:val="0"/>
        <w:autoSpaceDN w:val="0"/>
        <w:adjustRightInd w:val="0"/>
        <w:spacing w:line="360" w:lineRule="auto"/>
        <w:textAlignment w:val="baseline"/>
        <w:rPr>
          <w:rFonts w:hint="default" w:ascii="Times New Roman" w:hAnsi="Times New Roman" w:eastAsia="宋体" w:cs="Times New Roman"/>
          <w:b/>
          <w:color w:val="auto"/>
          <w:sz w:val="21"/>
          <w:szCs w:val="21"/>
          <w:highlight w:val="none"/>
        </w:rPr>
      </w:pPr>
    </w:p>
    <w:p w14:paraId="4D36C8C1">
      <w:pPr>
        <w:overflowPunct w:val="0"/>
        <w:autoSpaceDE w:val="0"/>
        <w:autoSpaceDN w:val="0"/>
        <w:adjustRightInd w:val="0"/>
        <w:spacing w:line="360" w:lineRule="auto"/>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5. 重要说明</w:t>
      </w:r>
    </w:p>
    <w:p w14:paraId="69341B7A">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5.1 以上罚款均为人民币；</w:t>
      </w:r>
    </w:p>
    <w:p w14:paraId="1EB0279D">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5.2 收到罚款单之日起</w:t>
      </w:r>
      <w:r>
        <w:rPr>
          <w:rFonts w:hint="eastAsia" w:ascii="Times New Roman" w:hAnsi="Times New Roman" w:cs="Times New Roman"/>
          <w:bCs/>
          <w:color w:val="auto"/>
          <w:sz w:val="21"/>
          <w:szCs w:val="21"/>
          <w:highlight w:val="none"/>
          <w:lang w:val="en-US" w:eastAsia="zh-CN"/>
        </w:rPr>
        <w:t>7</w:t>
      </w:r>
      <w:r>
        <w:rPr>
          <w:rFonts w:hint="default" w:ascii="Times New Roman" w:hAnsi="Times New Roman" w:eastAsia="宋体" w:cs="Times New Roman"/>
          <w:bCs/>
          <w:color w:val="auto"/>
          <w:sz w:val="21"/>
          <w:szCs w:val="21"/>
          <w:highlight w:val="none"/>
        </w:rPr>
        <w:t>个工作内上交罚款；</w:t>
      </w:r>
    </w:p>
    <w:p w14:paraId="465ACBB5">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5.3 拒不缴纳罚款的，按应罚款金额的10倍在</w:t>
      </w:r>
      <w:r>
        <w:rPr>
          <w:rFonts w:hint="eastAsia" w:ascii="Times New Roman" w:hAnsi="Times New Roman" w:cs="Times New Roman"/>
          <w:bCs/>
          <w:color w:val="auto"/>
          <w:sz w:val="21"/>
          <w:szCs w:val="21"/>
          <w:highlight w:val="none"/>
          <w:lang w:val="en-US" w:eastAsia="zh-CN"/>
        </w:rPr>
        <w:t>货</w:t>
      </w:r>
      <w:r>
        <w:rPr>
          <w:rFonts w:hint="default" w:ascii="Times New Roman" w:hAnsi="Times New Roman" w:eastAsia="宋体" w:cs="Times New Roman"/>
          <w:bCs/>
          <w:color w:val="auto"/>
          <w:sz w:val="21"/>
          <w:szCs w:val="21"/>
          <w:highlight w:val="none"/>
        </w:rPr>
        <w:t>款</w:t>
      </w:r>
      <w:r>
        <w:rPr>
          <w:rFonts w:hint="eastAsia" w:ascii="Times New Roman" w:hAnsi="Times New Roman" w:cs="Times New Roman"/>
          <w:bCs/>
          <w:color w:val="auto"/>
          <w:sz w:val="21"/>
          <w:szCs w:val="21"/>
          <w:highlight w:val="none"/>
          <w:lang w:eastAsia="zh-CN"/>
        </w:rPr>
        <w:t>、</w:t>
      </w:r>
      <w:r>
        <w:rPr>
          <w:rFonts w:hint="eastAsia" w:ascii="Times New Roman" w:hAnsi="Times New Roman" w:cs="Times New Roman"/>
          <w:bCs/>
          <w:color w:val="auto"/>
          <w:sz w:val="21"/>
          <w:szCs w:val="21"/>
          <w:highlight w:val="none"/>
          <w:lang w:val="en-US" w:eastAsia="zh-CN"/>
        </w:rPr>
        <w:t>履约保证金、质保金（如有）等款项</w:t>
      </w:r>
      <w:r>
        <w:rPr>
          <w:rFonts w:hint="default" w:ascii="Times New Roman" w:hAnsi="Times New Roman" w:eastAsia="宋体" w:cs="Times New Roman"/>
          <w:bCs/>
          <w:color w:val="auto"/>
          <w:sz w:val="21"/>
          <w:szCs w:val="21"/>
          <w:highlight w:val="none"/>
        </w:rPr>
        <w:t>中直接扣除；</w:t>
      </w:r>
    </w:p>
    <w:p w14:paraId="2C497907">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 xml:space="preserve"> 以上处罚标准按发现情况单次计算，不同违章违规行为累加处罚</w:t>
      </w:r>
      <w:r>
        <w:rPr>
          <w:rFonts w:hint="eastAsia" w:ascii="Times New Roman" w:hAnsi="Times New Roman" w:cs="Times New Roman"/>
          <w:bCs/>
          <w:color w:val="auto"/>
          <w:sz w:val="21"/>
          <w:szCs w:val="21"/>
          <w:highlight w:val="none"/>
          <w:lang w:eastAsia="zh-CN"/>
        </w:rPr>
        <w:t>；</w:t>
      </w:r>
    </w:p>
    <w:p w14:paraId="73A16D3B">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 xml:space="preserve"> 凡违章违规行为均要受到处罚，在限期内整改完毕，拖延整改，拒不整改，甲方有权直接下停工令，并在原处罚的基础上加倍进行处罚，直至清出现场</w:t>
      </w:r>
      <w:r>
        <w:rPr>
          <w:rFonts w:hint="eastAsia" w:ascii="Times New Roman" w:hAnsi="Times New Roman" w:cs="Times New Roman"/>
          <w:bCs/>
          <w:color w:val="auto"/>
          <w:sz w:val="21"/>
          <w:szCs w:val="21"/>
          <w:highlight w:val="none"/>
          <w:lang w:eastAsia="zh-CN"/>
        </w:rPr>
        <w:t>；</w:t>
      </w:r>
    </w:p>
    <w:p w14:paraId="05ABFEB8">
      <w:pPr>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 xml:space="preserve"> 甲方保留对本细则的最终解释权。</w:t>
      </w:r>
    </w:p>
    <w:p w14:paraId="3DBFB655">
      <w:pPr>
        <w:numPr>
          <w:ilvl w:val="12"/>
          <w:numId w:val="0"/>
        </w:numPr>
        <w:tabs>
          <w:tab w:val="left" w:pos="3480"/>
        </w:tabs>
        <w:spacing w:line="280" w:lineRule="exact"/>
        <w:rPr>
          <w:rFonts w:hint="default" w:ascii="Times New Roman" w:hAnsi="Times New Roman" w:eastAsia="宋体" w:cs="Times New Roman"/>
          <w:color w:val="auto"/>
          <w:highlight w:val="none"/>
        </w:rPr>
      </w:pPr>
    </w:p>
    <w:p w14:paraId="2EBC65FF">
      <w:pPr>
        <w:widowControl/>
        <w:numPr>
          <w:ilvl w:val="255"/>
          <w:numId w:val="0"/>
        </w:numPr>
        <w:spacing w:line="240" w:lineRule="auto"/>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br w:type="page"/>
      </w:r>
    </w:p>
    <w:p w14:paraId="5746DD62">
      <w:pPr>
        <w:keepNext w:val="0"/>
        <w:keepLines w:val="0"/>
        <w:pageBreakBefore w:val="0"/>
        <w:widowControl/>
        <w:numPr>
          <w:ilvl w:val="-1"/>
          <w:numId w:val="0"/>
        </w:numPr>
        <w:kinsoku/>
        <w:wordWrap/>
        <w:overflowPunct w:val="0"/>
        <w:topLinePunct w:val="0"/>
        <w:autoSpaceDE w:val="0"/>
        <w:autoSpaceDN w:val="0"/>
        <w:bidi w:val="0"/>
        <w:adjustRightInd w:val="0"/>
        <w:snapToGrid w:val="0"/>
        <w:spacing w:line="360" w:lineRule="auto"/>
        <w:ind w:left="0" w:leftChars="0" w:right="0" w:rightChars="0"/>
        <w:jc w:val="left"/>
        <w:textAlignment w:val="baseline"/>
        <w:outlineLvl w:val="9"/>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附件2：</w:t>
      </w:r>
    </w:p>
    <w:p w14:paraId="5DE7BB34">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jc w:val="center"/>
        <w:textAlignment w:val="baseline"/>
        <w:outlineLvl w:val="0"/>
        <w:rPr>
          <w:rFonts w:hint="default" w:ascii="Times New Roman" w:hAnsi="Times New Roman" w:eastAsia="宋体" w:cs="Times New Roman"/>
          <w:bCs/>
          <w:color w:val="auto"/>
          <w:kern w:val="44"/>
          <w:sz w:val="32"/>
          <w:szCs w:val="44"/>
          <w:highlight w:val="none"/>
        </w:rPr>
      </w:pPr>
      <w:bookmarkStart w:id="443" w:name="_Toc24917"/>
      <w:bookmarkStart w:id="444" w:name="_Toc872"/>
      <w:r>
        <w:rPr>
          <w:rFonts w:hint="default" w:ascii="Times New Roman" w:hAnsi="Times New Roman" w:eastAsia="宋体" w:cs="Times New Roman"/>
          <w:bCs/>
          <w:color w:val="auto"/>
          <w:kern w:val="44"/>
          <w:sz w:val="32"/>
          <w:szCs w:val="44"/>
          <w:highlight w:val="none"/>
        </w:rPr>
        <w:t>事故处罚实施细则</w:t>
      </w:r>
      <w:bookmarkEnd w:id="443"/>
      <w:bookmarkEnd w:id="444"/>
    </w:p>
    <w:p w14:paraId="43A141BD">
      <w:pPr>
        <w:keepNext w:val="0"/>
        <w:keepLines w:val="0"/>
        <w:pageBreakBefore w:val="0"/>
        <w:widowControl/>
        <w:kinsoku/>
        <w:wordWrap/>
        <w:topLinePunct w:val="0"/>
        <w:bidi w:val="0"/>
        <w:adjustRightInd w:val="0"/>
        <w:snapToGrid w:val="0"/>
        <w:ind w:left="0" w:leftChars="0" w:right="0" w:rightChars="0"/>
        <w:rPr>
          <w:rFonts w:hint="default"/>
          <w:color w:val="auto"/>
          <w:highlight w:val="none"/>
        </w:rPr>
      </w:pPr>
      <w:bookmarkStart w:id="445" w:name="_Toc497319749"/>
      <w:bookmarkStart w:id="446" w:name="_Toc497325762"/>
      <w:bookmarkStart w:id="447" w:name="_Toc18323"/>
      <w:r>
        <w:rPr>
          <w:rFonts w:hint="default"/>
          <w:color w:val="auto"/>
          <w:highlight w:val="none"/>
        </w:rPr>
        <w:t>1. 范围</w:t>
      </w:r>
      <w:bookmarkEnd w:id="445"/>
      <w:bookmarkEnd w:id="446"/>
      <w:bookmarkEnd w:id="447"/>
    </w:p>
    <w:p w14:paraId="4D06F884">
      <w:pPr>
        <w:keepNext w:val="0"/>
        <w:keepLines w:val="0"/>
        <w:pageBreakBefore w:val="0"/>
        <w:widowControl/>
        <w:kinsoku/>
        <w:wordWrap/>
        <w:topLinePunct w:val="0"/>
        <w:autoSpaceDE w:val="0"/>
        <w:autoSpaceDN w:val="0"/>
        <w:bidi w:val="0"/>
        <w:adjustRightInd w:val="0"/>
        <w:snapToGrid w:val="0"/>
        <w:spacing w:line="360" w:lineRule="auto"/>
        <w:ind w:left="0" w:leftChars="0" w:right="0" w:rightChars="0"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 本细则明确了甲方所有工程项目各类事故管理标准、管理内容、要求与方法。</w:t>
      </w:r>
    </w:p>
    <w:p w14:paraId="5EE98E34">
      <w:pPr>
        <w:keepNext w:val="0"/>
        <w:keepLines w:val="0"/>
        <w:pageBreakBefore w:val="0"/>
        <w:widowControl/>
        <w:kinsoku/>
        <w:wordWrap/>
        <w:topLinePunct w:val="0"/>
        <w:autoSpaceDE w:val="0"/>
        <w:autoSpaceDN w:val="0"/>
        <w:bidi w:val="0"/>
        <w:adjustRightInd w:val="0"/>
        <w:snapToGrid w:val="0"/>
        <w:spacing w:line="360" w:lineRule="auto"/>
        <w:ind w:left="0" w:leftChars="0" w:right="0" w:rightChars="0"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 本规定适用于甲方所有标段的项目。</w:t>
      </w:r>
    </w:p>
    <w:p w14:paraId="6A113792">
      <w:pPr>
        <w:keepNext w:val="0"/>
        <w:keepLines w:val="0"/>
        <w:pageBreakBefore w:val="0"/>
        <w:widowControl/>
        <w:kinsoku/>
        <w:wordWrap/>
        <w:topLinePunct w:val="0"/>
        <w:bidi w:val="0"/>
        <w:adjustRightInd w:val="0"/>
        <w:snapToGrid w:val="0"/>
        <w:ind w:left="0" w:leftChars="0" w:right="0" w:rightChars="0"/>
        <w:rPr>
          <w:rFonts w:hint="default"/>
          <w:color w:val="auto"/>
          <w:highlight w:val="none"/>
        </w:rPr>
      </w:pPr>
      <w:bookmarkStart w:id="448" w:name="_Toc497325763"/>
      <w:bookmarkStart w:id="449" w:name="_Toc3336"/>
      <w:bookmarkStart w:id="450" w:name="_Toc497319750"/>
      <w:r>
        <w:rPr>
          <w:rFonts w:hint="default"/>
          <w:color w:val="auto"/>
          <w:highlight w:val="none"/>
        </w:rPr>
        <w:t>2. 职责</w:t>
      </w:r>
      <w:bookmarkEnd w:id="448"/>
      <w:bookmarkEnd w:id="449"/>
      <w:bookmarkEnd w:id="450"/>
    </w:p>
    <w:p w14:paraId="4305D1CF">
      <w:pPr>
        <w:keepNext w:val="0"/>
        <w:keepLines w:val="0"/>
        <w:pageBreakBefore w:val="0"/>
        <w:widowControl/>
        <w:kinsoku/>
        <w:wordWrap/>
        <w:topLinePunct w:val="0"/>
        <w:autoSpaceDE w:val="0"/>
        <w:autoSpaceDN w:val="0"/>
        <w:bidi w:val="0"/>
        <w:adjustRightInd w:val="0"/>
        <w:snapToGrid w:val="0"/>
        <w:spacing w:line="360" w:lineRule="auto"/>
        <w:ind w:left="0" w:leftChars="0" w:right="0" w:rightChars="0" w:firstLine="420" w:firstLineChars="200"/>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2.1 甲方</w:t>
      </w:r>
      <w:r>
        <w:rPr>
          <w:rFonts w:hint="eastAsia" w:cs="Times New Roman"/>
          <w:color w:val="auto"/>
          <w:kern w:val="0"/>
          <w:sz w:val="21"/>
          <w:szCs w:val="21"/>
          <w:highlight w:val="none"/>
          <w:lang w:val="en-US" w:eastAsia="zh-CN"/>
        </w:rPr>
        <w:t>安环等</w:t>
      </w:r>
      <w:r>
        <w:rPr>
          <w:rFonts w:hint="default" w:ascii="Times New Roman" w:hAnsi="Times New Roman" w:eastAsia="宋体" w:cs="Times New Roman"/>
          <w:color w:val="auto"/>
          <w:kern w:val="0"/>
          <w:sz w:val="21"/>
          <w:szCs w:val="21"/>
          <w:highlight w:val="none"/>
        </w:rPr>
        <w:t>相关部门有关人员对事故单位按本细则标准执行处罚。处罚对象为乙方。</w:t>
      </w:r>
    </w:p>
    <w:p w14:paraId="391FF061">
      <w:pPr>
        <w:keepNext w:val="0"/>
        <w:keepLines w:val="0"/>
        <w:pageBreakBefore w:val="0"/>
        <w:widowControl/>
        <w:kinsoku/>
        <w:wordWrap/>
        <w:topLinePunct w:val="0"/>
        <w:bidi w:val="0"/>
        <w:adjustRightInd w:val="0"/>
        <w:snapToGrid w:val="0"/>
        <w:ind w:left="0" w:leftChars="0" w:right="0" w:rightChars="0"/>
        <w:rPr>
          <w:rFonts w:hint="default"/>
          <w:color w:val="auto"/>
          <w:highlight w:val="none"/>
        </w:rPr>
      </w:pPr>
      <w:bookmarkStart w:id="451" w:name="_Toc497319751"/>
      <w:bookmarkStart w:id="452" w:name="_Toc497325764"/>
      <w:bookmarkStart w:id="453" w:name="_Toc2172"/>
      <w:r>
        <w:rPr>
          <w:rFonts w:hint="default"/>
          <w:color w:val="auto"/>
          <w:highlight w:val="none"/>
        </w:rPr>
        <w:t>3. 内容</w:t>
      </w:r>
      <w:bookmarkEnd w:id="451"/>
      <w:bookmarkEnd w:id="452"/>
      <w:bookmarkEnd w:id="453"/>
    </w:p>
    <w:p w14:paraId="7ED6824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 未遂事故（有险情，但未造成人员伤害、设备损害，含重物高处坠物。）</w:t>
      </w:r>
    </w:p>
    <w:p w14:paraId="0D491D32">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每次罚乙方三千元，通报批评。</w:t>
      </w:r>
    </w:p>
    <w:p w14:paraId="231D16C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3.2 记录事故（人员轻微伤害不构成轻伤，设备未造成永久性损坏，可以修复。）</w:t>
      </w:r>
    </w:p>
    <w:p w14:paraId="24D6466F">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每次罚乙方五千元，通报批评。</w:t>
      </w:r>
    </w:p>
    <w:p w14:paraId="4C2B23D3">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3.3 轻伤事故（国家有关规定鉴定）</w:t>
      </w:r>
    </w:p>
    <w:p w14:paraId="6CB19645">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发生一人次轻伤事故，罚乙方一万元，通报批评。一次事故多人轻伤，按每人次五千元累计相加达三万元终止。</w:t>
      </w:r>
    </w:p>
    <w:p w14:paraId="2274D1D9">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 xml:space="preserve"> 重伤事故</w:t>
      </w:r>
    </w:p>
    <w:p w14:paraId="71ED8C8D">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发生一人次重伤事故，最低罚乙方三万元，通报批评。</w:t>
      </w:r>
    </w:p>
    <w:p w14:paraId="2CE03081">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 xml:space="preserve"> 死亡事故</w:t>
      </w:r>
    </w:p>
    <w:p w14:paraId="10D32E50">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.1 发生一人次死亡事故罚乙方十万元，通报批评，停工整顿。</w:t>
      </w:r>
    </w:p>
    <w:p w14:paraId="14D8651C">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 xml:space="preserve"> 机械设备人员重伤以上事故（按机械设备事故损失金额标准确认）最低罚款五万元，通报批评。</w:t>
      </w:r>
    </w:p>
    <w:p w14:paraId="6C883146">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7</w:t>
      </w:r>
      <w:r>
        <w:rPr>
          <w:rFonts w:hint="default" w:ascii="Times New Roman" w:hAnsi="Times New Roman" w:eastAsia="宋体" w:cs="Times New Roman"/>
          <w:bCs/>
          <w:color w:val="auto"/>
          <w:sz w:val="21"/>
          <w:szCs w:val="21"/>
          <w:highlight w:val="none"/>
        </w:rPr>
        <w:t xml:space="preserve"> 火灾事故（按有关火灾损失金额标准确定）最低罚款五万元</w:t>
      </w:r>
      <w:r>
        <w:rPr>
          <w:rFonts w:hint="eastAsia"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通报批评。</w:t>
      </w:r>
    </w:p>
    <w:p w14:paraId="3BD73DDE">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 xml:space="preserve">8 </w:t>
      </w:r>
      <w:r>
        <w:rPr>
          <w:rFonts w:hint="default" w:ascii="Times New Roman" w:hAnsi="Times New Roman" w:eastAsia="宋体" w:cs="Times New Roman"/>
          <w:bCs/>
          <w:color w:val="auto"/>
          <w:sz w:val="21"/>
          <w:szCs w:val="21"/>
          <w:highlight w:val="none"/>
        </w:rPr>
        <w:t>人员重伤以上交通事故（以交通管理部门责任认定书为据）最低罚款五万元，通报批评。</w:t>
      </w:r>
    </w:p>
    <w:p w14:paraId="59E02EEF">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9</w:t>
      </w:r>
      <w:r>
        <w:rPr>
          <w:rFonts w:hint="default" w:ascii="Times New Roman" w:hAnsi="Times New Roman" w:eastAsia="宋体" w:cs="Times New Roman"/>
          <w:bCs/>
          <w:color w:val="auto"/>
          <w:sz w:val="21"/>
          <w:szCs w:val="21"/>
          <w:highlight w:val="none"/>
        </w:rPr>
        <w:t xml:space="preserve"> 发生射线职业卫生伤害事故，大范围中暑、食物中毒、建筑物坍塌，受考核的环境污染事故。罚款五万元，上报政府机关，停工整顿，触犯刑律的由公安机关处置。</w:t>
      </w:r>
    </w:p>
    <w:p w14:paraId="2513E1F2">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 xml:space="preserve">10 </w:t>
      </w:r>
      <w:r>
        <w:rPr>
          <w:rFonts w:hint="default" w:ascii="Times New Roman" w:hAnsi="Times New Roman" w:eastAsia="宋体" w:cs="Times New Roman"/>
          <w:bCs/>
          <w:color w:val="auto"/>
          <w:sz w:val="21"/>
          <w:szCs w:val="21"/>
          <w:highlight w:val="none"/>
        </w:rPr>
        <w:t>乙方轻伤负伤率超过3‰，处罚五万元。</w:t>
      </w:r>
    </w:p>
    <w:p w14:paraId="10155B0B">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w:t>
      </w:r>
      <w:r>
        <w:rPr>
          <w:rFonts w:hint="eastAsia" w:cs="Times New Roman"/>
          <w:bCs/>
          <w:color w:val="auto"/>
          <w:sz w:val="21"/>
          <w:szCs w:val="21"/>
          <w:highlight w:val="none"/>
          <w:lang w:val="en-US" w:eastAsia="zh-CN"/>
        </w:rPr>
        <w:t>11</w:t>
      </w:r>
      <w:r>
        <w:rPr>
          <w:rFonts w:hint="default" w:ascii="Times New Roman" w:hAnsi="Times New Roman" w:eastAsia="宋体" w:cs="Times New Roman"/>
          <w:bCs/>
          <w:color w:val="auto"/>
          <w:sz w:val="21"/>
          <w:szCs w:val="21"/>
          <w:highlight w:val="none"/>
        </w:rPr>
        <w:t xml:space="preserve"> 乙方故意瞒报、迟报、谎报发生的各类事故，处以发生事故类型罚款的2到5倍罚款，一切随之发生的法律责任由</w:t>
      </w:r>
      <w:r>
        <w:rPr>
          <w:rFonts w:hint="eastAsia" w:cs="Times New Roman"/>
          <w:bCs/>
          <w:color w:val="auto"/>
          <w:sz w:val="21"/>
          <w:szCs w:val="21"/>
          <w:highlight w:val="none"/>
          <w:lang w:val="en-US" w:eastAsia="zh-CN"/>
        </w:rPr>
        <w:t>乙方</w:t>
      </w:r>
      <w:r>
        <w:rPr>
          <w:rFonts w:hint="default" w:ascii="Times New Roman" w:hAnsi="Times New Roman" w:eastAsia="宋体" w:cs="Times New Roman"/>
          <w:bCs/>
          <w:color w:val="auto"/>
          <w:sz w:val="21"/>
          <w:szCs w:val="21"/>
          <w:highlight w:val="none"/>
        </w:rPr>
        <w:t>负责，并赔偿由此给甲方带来的一切损失。</w:t>
      </w:r>
    </w:p>
    <w:p w14:paraId="21CFCF63">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w:t>
      </w:r>
      <w:r>
        <w:rPr>
          <w:rFonts w:hint="eastAsia"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 xml:space="preserve"> 在政府、行业及相关行政管理、执法机构的检查中由于</w:t>
      </w:r>
      <w:r>
        <w:rPr>
          <w:rFonts w:hint="eastAsia" w:cs="Times New Roman"/>
          <w:bCs/>
          <w:color w:val="auto"/>
          <w:sz w:val="21"/>
          <w:szCs w:val="21"/>
          <w:highlight w:val="none"/>
          <w:lang w:val="en-US" w:eastAsia="zh-CN"/>
        </w:rPr>
        <w:t>乙方</w:t>
      </w:r>
      <w:r>
        <w:rPr>
          <w:rFonts w:hint="default" w:ascii="Times New Roman" w:hAnsi="Times New Roman" w:eastAsia="宋体" w:cs="Times New Roman"/>
          <w:bCs/>
          <w:color w:val="auto"/>
          <w:sz w:val="21"/>
          <w:szCs w:val="21"/>
          <w:highlight w:val="none"/>
        </w:rPr>
        <w:t>原因、过错所产生的一切法律、经济处罚皆由乙方负责，并赔偿由此带给甲方的损失。</w:t>
      </w:r>
    </w:p>
    <w:p w14:paraId="79AB721A">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w:t>
      </w:r>
      <w:r>
        <w:rPr>
          <w:rFonts w:hint="eastAsia" w:cs="Times New Roman"/>
          <w:bCs/>
          <w:color w:val="auto"/>
          <w:sz w:val="21"/>
          <w:szCs w:val="21"/>
          <w:highlight w:val="none"/>
          <w:lang w:val="en-US" w:eastAsia="zh-CN"/>
        </w:rPr>
        <w:t xml:space="preserve">3 </w:t>
      </w:r>
      <w:r>
        <w:rPr>
          <w:rFonts w:hint="default" w:ascii="Times New Roman" w:hAnsi="Times New Roman" w:eastAsia="宋体" w:cs="Times New Roman"/>
          <w:bCs/>
          <w:color w:val="auto"/>
          <w:sz w:val="21"/>
          <w:szCs w:val="21"/>
          <w:highlight w:val="none"/>
        </w:rPr>
        <w:t>乙方人员偷盗物品（物品本身加上附加价值计算）除赔偿该物品外，并处以物品价值的20%—50%。当事人移交公安机关处理。</w:t>
      </w:r>
    </w:p>
    <w:p w14:paraId="148B2D2A">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w:t>
      </w:r>
      <w:r>
        <w:rPr>
          <w:rFonts w:hint="eastAsia" w:cs="Times New Roman"/>
          <w:bCs/>
          <w:color w:val="auto"/>
          <w:sz w:val="21"/>
          <w:szCs w:val="21"/>
          <w:highlight w:val="none"/>
          <w:lang w:val="en-US" w:eastAsia="zh-CN"/>
        </w:rPr>
        <w:t xml:space="preserve">4 </w:t>
      </w:r>
      <w:r>
        <w:rPr>
          <w:rFonts w:hint="default" w:ascii="Times New Roman" w:hAnsi="Times New Roman" w:eastAsia="宋体" w:cs="Times New Roman"/>
          <w:bCs/>
          <w:color w:val="auto"/>
          <w:sz w:val="21"/>
          <w:szCs w:val="21"/>
          <w:highlight w:val="none"/>
        </w:rPr>
        <w:t>乙方丢失、损坏本公司委托</w:t>
      </w:r>
      <w:r>
        <w:rPr>
          <w:rFonts w:hint="eastAsia" w:cs="Times New Roman"/>
          <w:bCs/>
          <w:color w:val="auto"/>
          <w:sz w:val="21"/>
          <w:szCs w:val="21"/>
          <w:highlight w:val="none"/>
          <w:lang w:val="en-US" w:eastAsia="zh-CN"/>
        </w:rPr>
        <w:t>乙方</w:t>
      </w:r>
      <w:r>
        <w:rPr>
          <w:rFonts w:hint="default" w:ascii="Times New Roman" w:hAnsi="Times New Roman" w:eastAsia="宋体" w:cs="Times New Roman"/>
          <w:bCs/>
          <w:color w:val="auto"/>
          <w:sz w:val="21"/>
          <w:szCs w:val="21"/>
          <w:highlight w:val="none"/>
        </w:rPr>
        <w:t>保管的物品，除赔偿该物品外并承担由此造成的直接损失。</w:t>
      </w:r>
    </w:p>
    <w:p w14:paraId="1E57B245">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3.1</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 xml:space="preserve"> 由乙方及其人员原因造成群体性事件的，每次罚款5万元，乙方负责赔偿所造成的损失，当事人移交公安机关处理，甲方保留继续追究责任的权利。</w:t>
      </w:r>
    </w:p>
    <w:p w14:paraId="1CA645B7">
      <w:pPr>
        <w:keepNext w:val="0"/>
        <w:keepLines w:val="0"/>
        <w:pageBreakBefore w:val="0"/>
        <w:widowControl/>
        <w:kinsoku/>
        <w:wordWrap/>
        <w:overflowPunct w:val="0"/>
        <w:topLinePunct w:val="0"/>
        <w:autoSpaceDE w:val="0"/>
        <w:autoSpaceDN w:val="0"/>
        <w:bidi w:val="0"/>
        <w:adjustRightInd w:val="0"/>
        <w:snapToGrid w:val="0"/>
        <w:spacing w:line="360" w:lineRule="auto"/>
        <w:ind w:left="0" w:leftChars="0" w:right="0" w:rightChars="0" w:firstLine="420" w:firstLineChars="200"/>
        <w:textAlignment w:val="baseline"/>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w:t>
      </w:r>
      <w:r>
        <w:rPr>
          <w:rFonts w:hint="eastAsia" w:cs="Times New Roman"/>
          <w:bCs/>
          <w:color w:val="auto"/>
          <w:sz w:val="21"/>
          <w:szCs w:val="21"/>
          <w:highlight w:val="none"/>
          <w:lang w:val="en-US" w:eastAsia="zh-CN"/>
        </w:rPr>
        <w:t xml:space="preserve">. </w:t>
      </w:r>
      <w:r>
        <w:rPr>
          <w:rFonts w:hint="default" w:ascii="Times New Roman" w:hAnsi="Times New Roman" w:eastAsia="宋体" w:cs="Times New Roman"/>
          <w:bCs/>
          <w:color w:val="auto"/>
          <w:sz w:val="21"/>
          <w:szCs w:val="21"/>
          <w:highlight w:val="none"/>
        </w:rPr>
        <w:t>甲方保留对本细则的最终解释权。</w:t>
      </w:r>
    </w:p>
    <w:p w14:paraId="5E49FDF9">
      <w:pPr>
        <w:rPr>
          <w:rFonts w:hint="default" w:ascii="Times New Roman" w:hAnsi="Times New Roman" w:eastAsia="宋体" w:cs="Times New Roman"/>
          <w:color w:val="auto"/>
          <w:highlight w:val="none"/>
        </w:rPr>
      </w:pPr>
    </w:p>
    <w:p w14:paraId="6BFDF855">
      <w:pPr>
        <w:outlineLvl w:val="9"/>
        <w:rPr>
          <w:rFonts w:hint="eastAsia" w:ascii="宋体" w:hAnsi="宋体"/>
          <w:b/>
          <w:color w:val="auto"/>
          <w:sz w:val="21"/>
          <w:szCs w:val="21"/>
          <w:highlight w:val="none"/>
          <w:lang w:val="en-US" w:eastAsia="zh-CN"/>
        </w:rPr>
      </w:pPr>
      <w:r>
        <w:rPr>
          <w:rFonts w:hint="eastAsia" w:ascii="宋体" w:hAnsi="宋体"/>
          <w:b/>
          <w:color w:val="auto"/>
          <w:sz w:val="21"/>
          <w:szCs w:val="21"/>
          <w:highlight w:val="none"/>
          <w:lang w:val="en-US" w:eastAsia="zh-CN"/>
        </w:rPr>
        <w:br w:type="page"/>
      </w:r>
    </w:p>
    <w:p w14:paraId="18473694">
      <w:pPr>
        <w:outlineLvl w:val="9"/>
        <w:rPr>
          <w:rFonts w:ascii="宋体" w:hAnsi="宋体"/>
          <w:b/>
          <w:color w:val="auto"/>
          <w:sz w:val="24"/>
          <w:highlight w:val="none"/>
        </w:rPr>
      </w:pPr>
      <w:r>
        <w:rPr>
          <w:rFonts w:hint="eastAsia" w:ascii="宋体" w:hAnsi="宋体"/>
          <w:b/>
          <w:color w:val="auto"/>
          <w:sz w:val="21"/>
          <w:szCs w:val="21"/>
          <w:highlight w:val="none"/>
          <w:lang w:val="en-US" w:eastAsia="zh-CN"/>
        </w:rPr>
        <w:t>合同附件11：</w:t>
      </w:r>
      <w:r>
        <w:rPr>
          <w:rFonts w:hint="eastAsia" w:ascii="宋体" w:hAnsi="宋体"/>
          <w:b/>
          <w:color w:val="auto"/>
          <w:sz w:val="21"/>
          <w:szCs w:val="21"/>
          <w:highlight w:val="none"/>
        </w:rPr>
        <w:t>《阳光合作协议》</w:t>
      </w:r>
      <w:bookmarkEnd w:id="391"/>
      <w:bookmarkEnd w:id="392"/>
      <w:bookmarkEnd w:id="393"/>
      <w:bookmarkEnd w:id="394"/>
      <w:bookmarkEnd w:id="395"/>
      <w:bookmarkEnd w:id="396"/>
      <w:bookmarkEnd w:id="397"/>
      <w:bookmarkEnd w:id="398"/>
      <w:bookmarkEnd w:id="399"/>
      <w:bookmarkEnd w:id="400"/>
      <w:bookmarkEnd w:id="402"/>
      <w:bookmarkEnd w:id="403"/>
      <w:bookmarkEnd w:id="404"/>
    </w:p>
    <w:p w14:paraId="46EA6E71">
      <w:pPr>
        <w:outlineLvl w:val="9"/>
        <w:rPr>
          <w:rFonts w:ascii="宋体" w:hAnsi="宋体" w:cs="Times New Roman"/>
          <w:b/>
          <w:color w:val="auto"/>
          <w:sz w:val="24"/>
          <w:highlight w:val="none"/>
        </w:rPr>
      </w:pPr>
    </w:p>
    <w:p w14:paraId="7A76235F">
      <w:pPr>
        <w:jc w:val="center"/>
        <w:outlineLvl w:val="9"/>
        <w:rPr>
          <w:b/>
          <w:bCs/>
          <w:color w:val="auto"/>
          <w:sz w:val="32"/>
          <w:szCs w:val="32"/>
          <w:highlight w:val="none"/>
        </w:rPr>
      </w:pPr>
      <w:bookmarkStart w:id="454" w:name="_Toc6739"/>
      <w:bookmarkStart w:id="455" w:name="_Toc31539"/>
      <w:bookmarkStart w:id="456" w:name="_Toc25909"/>
      <w:bookmarkStart w:id="457" w:name="_Toc4917"/>
      <w:bookmarkStart w:id="458" w:name="_Toc2825"/>
      <w:bookmarkStart w:id="459" w:name="_Toc19734"/>
      <w:bookmarkStart w:id="460" w:name="_Toc30736"/>
      <w:r>
        <w:rPr>
          <w:rFonts w:hint="eastAsia"/>
          <w:b/>
          <w:bCs/>
          <w:color w:val="auto"/>
          <w:sz w:val="32"/>
          <w:szCs w:val="32"/>
          <w:highlight w:val="none"/>
        </w:rPr>
        <w:t>阳光合作协议</w:t>
      </w:r>
    </w:p>
    <w:p w14:paraId="38F9A039">
      <w:pPr>
        <w:spacing w:before="180" w:beforeLines="50" w:after="180" w:afterLines="50"/>
        <w:ind w:firstLine="420" w:firstLineChars="200"/>
        <w:contextualSpacing/>
        <w:outlineLvl w:val="9"/>
        <w:rPr>
          <w:rFonts w:ascii="宋体" w:hAnsi="宋体"/>
          <w:color w:val="auto"/>
          <w:szCs w:val="21"/>
          <w:highlight w:val="none"/>
        </w:rPr>
      </w:pPr>
    </w:p>
    <w:p w14:paraId="18A4DF00">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甲方：</w:t>
      </w:r>
      <w:r>
        <w:rPr>
          <w:rFonts w:hint="eastAsia" w:ascii="宋体" w:hAnsi="宋体"/>
          <w:color w:val="auto"/>
          <w:szCs w:val="21"/>
          <w:highlight w:val="none"/>
          <w:u w:val="single"/>
        </w:rPr>
        <w:t xml:space="preserve">                                      </w:t>
      </w:r>
    </w:p>
    <w:p w14:paraId="48563774">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u w:val="single"/>
        </w:rPr>
        <w:t xml:space="preserve">                                       </w:t>
      </w:r>
    </w:p>
    <w:p w14:paraId="133848FF">
      <w:pPr>
        <w:spacing w:before="180" w:beforeLines="50" w:after="180" w:afterLines="50"/>
        <w:ind w:firstLine="420" w:firstLineChars="200"/>
        <w:contextualSpacing/>
        <w:outlineLvl w:val="9"/>
        <w:rPr>
          <w:rFonts w:ascii="宋体" w:hAnsi="宋体"/>
          <w:color w:val="auto"/>
          <w:szCs w:val="21"/>
          <w:highlight w:val="none"/>
        </w:rPr>
      </w:pPr>
    </w:p>
    <w:p w14:paraId="61D0CCA2">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甲乙双方于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日签署了《……合同》（以下简称原合同），为加强双方阳光合作，保证职员职业安全，甲乙双方经协商签订本协议并作为双方共同遵守的阳光合作行为准则。</w:t>
      </w:r>
    </w:p>
    <w:p w14:paraId="412A375D">
      <w:pPr>
        <w:spacing w:before="180" w:beforeLines="50" w:after="180" w:afterLines="50"/>
        <w:ind w:firstLine="422" w:firstLineChars="200"/>
        <w:contextualSpacing/>
        <w:outlineLvl w:val="9"/>
        <w:rPr>
          <w:rFonts w:ascii="宋体" w:hAnsi="宋体"/>
          <w:b/>
          <w:bCs/>
          <w:color w:val="auto"/>
          <w:szCs w:val="21"/>
          <w:highlight w:val="none"/>
        </w:rPr>
      </w:pPr>
      <w:r>
        <w:rPr>
          <w:rFonts w:hint="eastAsia" w:ascii="宋体" w:hAnsi="宋体"/>
          <w:b/>
          <w:bCs/>
          <w:color w:val="auto"/>
          <w:szCs w:val="21"/>
          <w:highlight w:val="none"/>
        </w:rPr>
        <w:t>一、甲方责任</w:t>
      </w:r>
    </w:p>
    <w:p w14:paraId="0145EF18">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1.甲方有责任向乙方介绍本单位有关采购管理通用原则和本协议的规定。</w:t>
      </w:r>
    </w:p>
    <w:p w14:paraId="021CDFBA">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2.甲方有责任对本单位相关人员进行阳光合作教育。</w:t>
      </w:r>
    </w:p>
    <w:p w14:paraId="79BD5AF0">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0D92F4D9">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4.甲方人员如违反阳光合作管理制度及本协议规定，甲方视情节轻重、影响大小给予行政及经济处罚。</w:t>
      </w:r>
    </w:p>
    <w:p w14:paraId="7EF9EB5E">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5．对于乙方举报甲方人员违反阳光合作规定的情况，甲方应及时进行调查，根据调查情况进行处理，并将调查结果向乙方反馈。</w:t>
      </w:r>
    </w:p>
    <w:p w14:paraId="0727AC14">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6.接受举报的一方应为举报方保密，不得对举报方进行报复，对举报属实和严格遵守《阳光合作协议》的合作方，在同等条件下给予后续合作的优先权。</w:t>
      </w:r>
    </w:p>
    <w:p w14:paraId="36A08455">
      <w:pPr>
        <w:spacing w:before="180" w:beforeLines="50" w:after="180" w:afterLines="50"/>
        <w:ind w:firstLine="422" w:firstLineChars="200"/>
        <w:contextualSpacing/>
        <w:outlineLvl w:val="9"/>
        <w:rPr>
          <w:rFonts w:ascii="宋体" w:hAnsi="宋体"/>
          <w:b/>
          <w:bCs/>
          <w:color w:val="auto"/>
          <w:szCs w:val="21"/>
          <w:highlight w:val="none"/>
        </w:rPr>
      </w:pPr>
      <w:r>
        <w:rPr>
          <w:rFonts w:hint="eastAsia" w:ascii="宋体" w:hAnsi="宋体"/>
          <w:b/>
          <w:bCs/>
          <w:color w:val="auto"/>
          <w:szCs w:val="21"/>
          <w:highlight w:val="none"/>
        </w:rPr>
        <w:t>二、乙方责任</w:t>
      </w:r>
    </w:p>
    <w:p w14:paraId="7DA0A60A">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1.乙方应保证乙方人员了解甲方有关采购管理通用原则和本协议的规定，并遵照执行。</w:t>
      </w:r>
    </w:p>
    <w:p w14:paraId="0C8750D6">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2.乙方不得以任何形式给予甲方人员回扣、赠送实物、现金、有价证券、礼券等有价物品或提供旅游等其他可能影响职务行为公正履行的活动（以下统称“财物”）。</w:t>
      </w:r>
    </w:p>
    <w:p w14:paraId="5FE4073D">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3.乙方有责任接受甲方对乙方在合作期间阳光合作管理执行情况的监督，并对甲方相关调查工作主动配合。</w:t>
      </w:r>
    </w:p>
    <w:p w14:paraId="48312B0D">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4.乙方有义务就甲方人员任何形式的索取或收受财物行为及时向甲方（直接联系人为东莞实业投资控股集团有限公司</w:t>
      </w:r>
      <w:r>
        <w:rPr>
          <w:rFonts w:hint="eastAsia" w:ascii="宋体" w:hAnsi="宋体"/>
          <w:color w:val="auto"/>
          <w:szCs w:val="21"/>
          <w:highlight w:val="none"/>
          <w:lang w:eastAsia="zh-CN"/>
        </w:rPr>
        <w:t>风控法务部</w:t>
      </w:r>
      <w:r>
        <w:rPr>
          <w:rFonts w:hint="eastAsia" w:ascii="宋体" w:hAnsi="宋体"/>
          <w:color w:val="auto"/>
          <w:szCs w:val="21"/>
          <w:highlight w:val="none"/>
        </w:rPr>
        <w:t>）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3A055478">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 xml:space="preserve">5．甲方接受乙方实名或匿名举报，保证为举报者的信息保密，常设举报部门及电话： </w:t>
      </w:r>
    </w:p>
    <w:p w14:paraId="4428AD5A">
      <w:pPr>
        <w:spacing w:before="180" w:beforeLines="50" w:after="180" w:afterLines="50"/>
        <w:ind w:firstLine="420" w:firstLineChars="200"/>
        <w:contextualSpacing/>
        <w:outlineLvl w:val="9"/>
        <w:rPr>
          <w:rFonts w:hint="eastAsia" w:ascii="宋体" w:hAnsi="宋体" w:eastAsia="宋体"/>
          <w:color w:val="auto"/>
          <w:szCs w:val="21"/>
          <w:highlight w:val="none"/>
          <w:lang w:eastAsia="zh-CN"/>
        </w:rPr>
      </w:pPr>
      <w:r>
        <w:rPr>
          <w:rFonts w:hint="eastAsia" w:ascii="宋体" w:hAnsi="宋体"/>
          <w:color w:val="auto"/>
          <w:szCs w:val="21"/>
          <w:highlight w:val="none"/>
        </w:rPr>
        <w:t>举报受理部门：东莞实业投资控股集团有限公司</w:t>
      </w:r>
      <w:r>
        <w:rPr>
          <w:rFonts w:hint="eastAsia" w:ascii="宋体" w:hAnsi="宋体"/>
          <w:color w:val="auto"/>
          <w:szCs w:val="21"/>
          <w:highlight w:val="none"/>
          <w:lang w:eastAsia="zh-CN"/>
        </w:rPr>
        <w:t>风控法务部</w:t>
      </w:r>
    </w:p>
    <w:p w14:paraId="778B14AA">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东实集团举报邮箱：dgsyxf@163.com</w:t>
      </w:r>
    </w:p>
    <w:p w14:paraId="0FFF72EF">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东实集团举报电话：0769-28820703（周一至周五9:00-12:00和14:00-18:00）</w:t>
      </w:r>
    </w:p>
    <w:p w14:paraId="7B19F191">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邮寄地址：东莞市东城区八一路1号机关二号大院9号楼，东莞实业投资控股集团有限公司</w:t>
      </w:r>
      <w:r>
        <w:rPr>
          <w:rFonts w:hint="eastAsia" w:ascii="宋体" w:hAnsi="宋体"/>
          <w:color w:val="auto"/>
          <w:szCs w:val="21"/>
          <w:highlight w:val="none"/>
          <w:lang w:eastAsia="zh-CN"/>
        </w:rPr>
        <w:t>风控法务部</w:t>
      </w:r>
      <w:r>
        <w:rPr>
          <w:rFonts w:hint="eastAsia" w:ascii="宋体" w:hAnsi="宋体"/>
          <w:color w:val="auto"/>
          <w:szCs w:val="21"/>
          <w:highlight w:val="none"/>
        </w:rPr>
        <w:t>收，邮编523000。</w:t>
      </w:r>
    </w:p>
    <w:p w14:paraId="5E312E1D">
      <w:pPr>
        <w:spacing w:before="180" w:beforeLines="50" w:after="180" w:afterLines="50"/>
        <w:ind w:firstLine="422" w:firstLineChars="200"/>
        <w:contextualSpacing/>
        <w:outlineLvl w:val="9"/>
        <w:rPr>
          <w:rFonts w:ascii="宋体" w:hAnsi="宋体"/>
          <w:b/>
          <w:bCs/>
          <w:color w:val="auto"/>
          <w:szCs w:val="21"/>
          <w:highlight w:val="none"/>
        </w:rPr>
      </w:pPr>
      <w:r>
        <w:rPr>
          <w:rFonts w:hint="eastAsia" w:ascii="宋体" w:hAnsi="宋体"/>
          <w:b/>
          <w:bCs/>
          <w:color w:val="auto"/>
          <w:szCs w:val="21"/>
          <w:highlight w:val="none"/>
        </w:rPr>
        <w:t>三、其他</w:t>
      </w:r>
    </w:p>
    <w:p w14:paraId="1A344622">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1.本协议是原合同的补充协议，与原合同有同等法律效力。</w:t>
      </w:r>
    </w:p>
    <w:p w14:paraId="0E23F532">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2.本协议一式</w:t>
      </w:r>
      <w:r>
        <w:rPr>
          <w:rFonts w:hint="eastAsia" w:ascii="宋体" w:hAnsi="宋体"/>
          <w:color w:val="auto"/>
          <w:szCs w:val="21"/>
          <w:highlight w:val="none"/>
          <w:lang w:val="en-US" w:eastAsia="zh-CN"/>
        </w:rPr>
        <w:t>柒</w:t>
      </w:r>
      <w:r>
        <w:rPr>
          <w:rFonts w:hint="eastAsia" w:ascii="宋体" w:hAnsi="宋体"/>
          <w:color w:val="auto"/>
          <w:szCs w:val="21"/>
          <w:highlight w:val="none"/>
        </w:rPr>
        <w:t>份，甲方执肆份，乙方执</w:t>
      </w:r>
      <w:r>
        <w:rPr>
          <w:rFonts w:hint="eastAsia" w:ascii="宋体" w:hAnsi="宋体"/>
          <w:color w:val="auto"/>
          <w:szCs w:val="21"/>
          <w:highlight w:val="none"/>
          <w:lang w:val="en-US" w:eastAsia="zh-CN"/>
        </w:rPr>
        <w:t>叁</w:t>
      </w:r>
      <w:r>
        <w:rPr>
          <w:rFonts w:hint="eastAsia" w:ascii="宋体" w:hAnsi="宋体"/>
          <w:color w:val="auto"/>
          <w:szCs w:val="21"/>
          <w:highlight w:val="none"/>
        </w:rPr>
        <w:t>份,具有同等法律效力。</w:t>
      </w:r>
    </w:p>
    <w:p w14:paraId="4ECC3986">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3.本协议经双方签署后生效。</w:t>
      </w:r>
    </w:p>
    <w:p w14:paraId="2EDA1850">
      <w:pPr>
        <w:adjustRightInd/>
        <w:snapToGrid/>
        <w:ind w:firstLine="480" w:firstLineChars="200"/>
        <w:contextualSpacing/>
        <w:jc w:val="both"/>
        <w:outlineLvl w:val="9"/>
        <w:rPr>
          <w:rFonts w:ascii="楷体" w:hAnsi="楷体" w:eastAsia="楷体"/>
          <w:color w:val="auto"/>
          <w:sz w:val="24"/>
          <w:szCs w:val="24"/>
          <w:highlight w:val="none"/>
        </w:rPr>
      </w:pPr>
    </w:p>
    <w:p w14:paraId="3FC823FB">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 xml:space="preserve">甲方（盖章）：                      乙方（盖章）： </w:t>
      </w:r>
    </w:p>
    <w:p w14:paraId="75324319">
      <w:pPr>
        <w:spacing w:before="180" w:beforeLines="50" w:after="180" w:afterLines="50"/>
        <w:ind w:firstLine="420" w:firstLineChars="200"/>
        <w:contextualSpacing/>
        <w:outlineLvl w:val="9"/>
        <w:rPr>
          <w:rFonts w:ascii="宋体" w:hAnsi="宋体"/>
          <w:color w:val="auto"/>
          <w:szCs w:val="21"/>
          <w:highlight w:val="none"/>
        </w:rPr>
      </w:pPr>
    </w:p>
    <w:p w14:paraId="287B4425">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法定代表人（授权代表）：</w:t>
      </w:r>
      <w:r>
        <w:rPr>
          <w:rFonts w:hint="eastAsia" w:ascii="宋体" w:hAnsi="宋体"/>
          <w:color w:val="auto"/>
          <w:szCs w:val="21"/>
          <w:highlight w:val="none"/>
        </w:rPr>
        <w:tab/>
      </w:r>
      <w:r>
        <w:rPr>
          <w:rFonts w:hint="eastAsia" w:ascii="宋体" w:hAnsi="宋体"/>
          <w:color w:val="auto"/>
          <w:szCs w:val="21"/>
          <w:highlight w:val="none"/>
        </w:rPr>
        <w:t xml:space="preserve">      法定代表人（授权代表）：</w:t>
      </w:r>
    </w:p>
    <w:p w14:paraId="13AF0B95">
      <w:pPr>
        <w:spacing w:before="180" w:beforeLines="50" w:after="180" w:afterLines="50"/>
        <w:ind w:firstLine="420" w:firstLineChars="200"/>
        <w:contextualSpacing/>
        <w:outlineLvl w:val="9"/>
        <w:rPr>
          <w:rFonts w:ascii="宋体" w:hAnsi="宋体"/>
          <w:color w:val="auto"/>
          <w:szCs w:val="21"/>
          <w:highlight w:val="none"/>
        </w:rPr>
      </w:pPr>
    </w:p>
    <w:p w14:paraId="0A4C08B2">
      <w:pPr>
        <w:spacing w:before="180" w:beforeLines="50" w:after="180" w:afterLines="50"/>
        <w:ind w:firstLine="420" w:firstLineChars="200"/>
        <w:contextualSpacing/>
        <w:outlineLvl w:val="9"/>
        <w:rPr>
          <w:rFonts w:ascii="宋体" w:hAnsi="宋体"/>
          <w:color w:val="auto"/>
          <w:szCs w:val="21"/>
          <w:highlight w:val="none"/>
        </w:rPr>
      </w:pPr>
      <w:r>
        <w:rPr>
          <w:rFonts w:hint="eastAsia" w:ascii="宋体" w:hAnsi="宋体"/>
          <w:color w:val="auto"/>
          <w:szCs w:val="21"/>
          <w:highlight w:val="none"/>
        </w:rPr>
        <w:t>签约日期：   年   月   日</w:t>
      </w:r>
      <w:r>
        <w:rPr>
          <w:rFonts w:hint="eastAsia" w:ascii="宋体" w:hAnsi="宋体"/>
          <w:color w:val="auto"/>
          <w:szCs w:val="21"/>
          <w:highlight w:val="none"/>
        </w:rPr>
        <w:tab/>
      </w:r>
      <w:r>
        <w:rPr>
          <w:rFonts w:hint="eastAsia" w:ascii="宋体" w:hAnsi="宋体"/>
          <w:color w:val="auto"/>
          <w:szCs w:val="21"/>
          <w:highlight w:val="none"/>
        </w:rPr>
        <w:t xml:space="preserve">       签约日期：   年   月   日</w:t>
      </w:r>
    </w:p>
    <w:bookmarkEnd w:id="454"/>
    <w:bookmarkEnd w:id="455"/>
    <w:bookmarkEnd w:id="456"/>
    <w:bookmarkEnd w:id="457"/>
    <w:bookmarkEnd w:id="458"/>
    <w:bookmarkEnd w:id="459"/>
    <w:bookmarkEnd w:id="460"/>
    <w:p w14:paraId="2A6192BA">
      <w:pPr>
        <w:outlineLvl w:val="9"/>
        <w:rPr>
          <w:color w:val="auto"/>
          <w:highlight w:val="none"/>
        </w:rPr>
      </w:pPr>
      <w:r>
        <w:rPr>
          <w:color w:val="auto"/>
          <w:highlight w:val="none"/>
          <w:lang w:bidi="zh-CN"/>
        </w:rPr>
        <w:br w:type="page"/>
      </w:r>
    </w:p>
    <w:p w14:paraId="7D64D65B">
      <w:pPr>
        <w:pStyle w:val="4"/>
        <w:spacing w:before="0" w:after="0" w:line="240" w:lineRule="auto"/>
        <w:rPr>
          <w:color w:val="auto"/>
          <w:sz w:val="28"/>
          <w:szCs w:val="28"/>
          <w:highlight w:val="none"/>
        </w:rPr>
      </w:pPr>
      <w:bookmarkStart w:id="461" w:name="_Toc25010"/>
      <w:r>
        <w:rPr>
          <w:rFonts w:hint="eastAsia"/>
          <w:color w:val="auto"/>
          <w:sz w:val="28"/>
          <w:szCs w:val="28"/>
          <w:highlight w:val="none"/>
        </w:rPr>
        <w:t>第六部分附件－投标文件格式</w:t>
      </w:r>
      <w:bookmarkEnd w:id="461"/>
    </w:p>
    <w:p w14:paraId="37E37DB3">
      <w:pPr>
        <w:rPr>
          <w:color w:val="auto"/>
          <w:highlight w:val="none"/>
        </w:rPr>
      </w:pPr>
    </w:p>
    <w:p w14:paraId="1F864604">
      <w:pPr>
        <w:pStyle w:val="6"/>
        <w:widowControl w:val="0"/>
        <w:overflowPunct w:val="0"/>
        <w:spacing w:line="240" w:lineRule="auto"/>
        <w:rPr>
          <w:rFonts w:ascii="宋体" w:hAnsi="宋体"/>
          <w:color w:val="auto"/>
          <w:sz w:val="21"/>
          <w:szCs w:val="21"/>
          <w:highlight w:val="none"/>
        </w:rPr>
      </w:pPr>
      <w:bookmarkStart w:id="462" w:name="_Toc1695"/>
      <w:r>
        <w:rPr>
          <w:rFonts w:hint="eastAsia" w:ascii="宋体" w:hAnsi="宋体"/>
          <w:color w:val="auto"/>
          <w:sz w:val="21"/>
          <w:szCs w:val="21"/>
          <w:highlight w:val="none"/>
        </w:rPr>
        <w:t>投标文件目录</w:t>
      </w:r>
      <w:bookmarkEnd w:id="462"/>
    </w:p>
    <w:p w14:paraId="1C3F0E2E">
      <w:pPr>
        <w:jc w:val="center"/>
        <w:rPr>
          <w:rFonts w:ascii="黑体" w:eastAsia="黑体"/>
          <w:color w:val="auto"/>
          <w:sz w:val="32"/>
          <w:szCs w:val="32"/>
          <w:highlight w:val="none"/>
        </w:rPr>
      </w:pPr>
    </w:p>
    <w:p w14:paraId="27157358">
      <w:pPr>
        <w:jc w:val="center"/>
        <w:rPr>
          <w:rFonts w:ascii="黑体" w:eastAsia="黑体"/>
          <w:color w:val="auto"/>
          <w:sz w:val="32"/>
          <w:szCs w:val="32"/>
          <w:highlight w:val="none"/>
        </w:rPr>
      </w:pPr>
      <w:r>
        <w:rPr>
          <w:rFonts w:hint="eastAsia" w:ascii="黑体" w:eastAsia="黑体"/>
          <w:color w:val="auto"/>
          <w:sz w:val="32"/>
          <w:szCs w:val="32"/>
          <w:highlight w:val="none"/>
        </w:rPr>
        <w:t>目录</w:t>
      </w:r>
    </w:p>
    <w:p w14:paraId="1CD122F2">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3BD18436">
      <w:pPr>
        <w:adjustRightInd/>
        <w:snapToGrid/>
        <w:spacing w:line="276" w:lineRule="auto"/>
        <w:rPr>
          <w:rFonts w:ascii="宋体" w:hAnsi="宋体"/>
          <w:color w:val="auto"/>
          <w:szCs w:val="21"/>
          <w:highlight w:val="none"/>
        </w:rPr>
      </w:pPr>
    </w:p>
    <w:p w14:paraId="5F7C8EE0">
      <w:pPr>
        <w:adjustRightInd/>
        <w:snapToGrid/>
        <w:spacing w:line="276" w:lineRule="auto"/>
        <w:rPr>
          <w:rFonts w:ascii="宋体" w:hAnsi="宋体"/>
          <w:color w:val="auto"/>
          <w:szCs w:val="21"/>
          <w:highlight w:val="none"/>
        </w:rPr>
      </w:pPr>
    </w:p>
    <w:p w14:paraId="49D156B5">
      <w:pP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14:paraId="5A7BC555">
      <w:pPr>
        <w:adjustRightInd/>
        <w:snapToGrid/>
        <w:spacing w:line="276" w:lineRule="auto"/>
        <w:rPr>
          <w:rFonts w:ascii="宋体" w:hAnsi="宋体"/>
          <w:color w:val="auto"/>
          <w:szCs w:val="21"/>
          <w:highlight w:val="none"/>
        </w:rPr>
      </w:pPr>
      <w:r>
        <w:rPr>
          <w:rFonts w:hint="eastAsia" w:ascii="宋体" w:hAnsi="宋体"/>
          <w:color w:val="auto"/>
          <w:szCs w:val="21"/>
          <w:highlight w:val="none"/>
        </w:rPr>
        <w:t>1、投标人制作的投标文件应当具备目录。</w:t>
      </w:r>
      <w:r>
        <w:rPr>
          <w:rFonts w:ascii="宋体" w:hAnsi="宋体"/>
          <w:color w:val="auto"/>
          <w:szCs w:val="21"/>
          <w:highlight w:val="none"/>
        </w:rPr>
        <w:br w:type="page"/>
      </w:r>
    </w:p>
    <w:p w14:paraId="0EF3E29A">
      <w:pPr>
        <w:pStyle w:val="6"/>
        <w:widowControl w:val="0"/>
        <w:overflowPunct w:val="0"/>
        <w:spacing w:line="240" w:lineRule="auto"/>
        <w:rPr>
          <w:rFonts w:ascii="宋体" w:hAnsi="宋体"/>
          <w:color w:val="auto"/>
          <w:sz w:val="21"/>
          <w:szCs w:val="21"/>
          <w:highlight w:val="none"/>
        </w:rPr>
      </w:pPr>
      <w:bookmarkStart w:id="463" w:name="_Toc17627"/>
      <w:r>
        <w:rPr>
          <w:rFonts w:hint="eastAsia" w:ascii="宋体" w:hAnsi="宋体"/>
          <w:color w:val="auto"/>
          <w:sz w:val="21"/>
          <w:szCs w:val="21"/>
          <w:highlight w:val="none"/>
        </w:rPr>
        <w:t>附件1.评分标准索引表</w:t>
      </w:r>
      <w:bookmarkEnd w:id="463"/>
    </w:p>
    <w:p w14:paraId="7045DB6A">
      <w:pPr>
        <w:adjustRightInd/>
        <w:snapToGrid/>
        <w:spacing w:line="276" w:lineRule="auto"/>
        <w:rPr>
          <w:rFonts w:ascii="宋体" w:hAnsi="宋体"/>
          <w:color w:val="auto"/>
          <w:szCs w:val="21"/>
          <w:highlight w:val="none"/>
        </w:rPr>
      </w:pPr>
    </w:p>
    <w:p w14:paraId="17861239">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1FD9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vAlign w:val="center"/>
          </w:tcPr>
          <w:p w14:paraId="7433F611">
            <w:pPr>
              <w:jc w:val="center"/>
              <w:rPr>
                <w:rFonts w:ascii="宋体" w:hAnsi="宋体" w:cs="宋体"/>
                <w:color w:val="auto"/>
                <w:highlight w:val="none"/>
              </w:rPr>
            </w:pPr>
            <w:r>
              <w:rPr>
                <w:rFonts w:hint="eastAsia" w:ascii="宋体" w:hAnsi="宋体" w:cs="宋体"/>
                <w:color w:val="auto"/>
                <w:highlight w:val="none"/>
              </w:rPr>
              <w:t>序号</w:t>
            </w:r>
          </w:p>
        </w:tc>
        <w:tc>
          <w:tcPr>
            <w:tcW w:w="1704" w:type="dxa"/>
            <w:vAlign w:val="center"/>
          </w:tcPr>
          <w:p w14:paraId="06AC65F1">
            <w:pPr>
              <w:jc w:val="center"/>
              <w:rPr>
                <w:rFonts w:ascii="宋体" w:hAnsi="宋体" w:cs="宋体"/>
                <w:color w:val="auto"/>
                <w:highlight w:val="none"/>
              </w:rPr>
            </w:pPr>
            <w:r>
              <w:rPr>
                <w:rFonts w:hint="eastAsia" w:ascii="宋体" w:hAnsi="宋体" w:cs="宋体"/>
                <w:color w:val="auto"/>
                <w:highlight w:val="none"/>
              </w:rPr>
              <w:t>评审项目</w:t>
            </w:r>
          </w:p>
        </w:tc>
        <w:tc>
          <w:tcPr>
            <w:tcW w:w="1704" w:type="dxa"/>
            <w:vAlign w:val="center"/>
          </w:tcPr>
          <w:p w14:paraId="7C3A7347">
            <w:pPr>
              <w:jc w:val="center"/>
              <w:rPr>
                <w:rFonts w:ascii="宋体" w:hAnsi="宋体" w:cs="宋体"/>
                <w:color w:val="auto"/>
                <w:highlight w:val="none"/>
              </w:rPr>
            </w:pPr>
            <w:r>
              <w:rPr>
                <w:rFonts w:hint="eastAsia" w:ascii="宋体" w:hAnsi="宋体" w:cs="宋体"/>
                <w:color w:val="auto"/>
                <w:highlight w:val="none"/>
              </w:rPr>
              <w:t>评审细则</w:t>
            </w:r>
          </w:p>
        </w:tc>
        <w:tc>
          <w:tcPr>
            <w:tcW w:w="1705" w:type="dxa"/>
            <w:vAlign w:val="center"/>
          </w:tcPr>
          <w:p w14:paraId="0B2A3088">
            <w:pPr>
              <w:jc w:val="center"/>
              <w:rPr>
                <w:rFonts w:ascii="宋体" w:hAnsi="宋体" w:cs="宋体"/>
                <w:color w:val="auto"/>
                <w:highlight w:val="none"/>
              </w:rPr>
            </w:pPr>
            <w:r>
              <w:rPr>
                <w:rFonts w:hint="eastAsia" w:ascii="宋体" w:hAnsi="宋体" w:cs="宋体"/>
                <w:color w:val="auto"/>
                <w:highlight w:val="none"/>
              </w:rPr>
              <w:t>分值</w:t>
            </w:r>
          </w:p>
        </w:tc>
        <w:tc>
          <w:tcPr>
            <w:tcW w:w="1705" w:type="dxa"/>
            <w:vAlign w:val="center"/>
          </w:tcPr>
          <w:p w14:paraId="40B2044A">
            <w:pPr>
              <w:jc w:val="center"/>
              <w:rPr>
                <w:rFonts w:ascii="宋体" w:hAnsi="宋体" w:cs="宋体"/>
                <w:color w:val="auto"/>
                <w:highlight w:val="none"/>
              </w:rPr>
            </w:pPr>
            <w:r>
              <w:rPr>
                <w:rFonts w:hint="eastAsia" w:ascii="宋体" w:hAnsi="宋体" w:cs="宋体"/>
                <w:color w:val="auto"/>
                <w:highlight w:val="none"/>
              </w:rPr>
              <w:t>页码范围</w:t>
            </w:r>
          </w:p>
        </w:tc>
      </w:tr>
      <w:tr w14:paraId="1968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5C3182F8">
            <w:pPr>
              <w:rPr>
                <w:rFonts w:ascii="宋体" w:hAnsi="宋体" w:cs="宋体"/>
                <w:color w:val="auto"/>
                <w:highlight w:val="none"/>
              </w:rPr>
            </w:pPr>
            <w:r>
              <w:rPr>
                <w:rFonts w:hint="eastAsia" w:ascii="宋体" w:hAnsi="宋体" w:cs="宋体"/>
                <w:color w:val="auto"/>
                <w:highlight w:val="none"/>
              </w:rPr>
              <w:t>商务评审</w:t>
            </w:r>
          </w:p>
        </w:tc>
      </w:tr>
      <w:tr w14:paraId="61DF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7B809195">
            <w:pPr>
              <w:jc w:val="center"/>
              <w:rPr>
                <w:rFonts w:ascii="宋体" w:hAnsi="宋体" w:cs="宋体"/>
                <w:color w:val="auto"/>
                <w:highlight w:val="none"/>
              </w:rPr>
            </w:pPr>
          </w:p>
        </w:tc>
        <w:tc>
          <w:tcPr>
            <w:tcW w:w="1704" w:type="dxa"/>
            <w:vAlign w:val="center"/>
          </w:tcPr>
          <w:p w14:paraId="4220A8F9">
            <w:pPr>
              <w:jc w:val="center"/>
              <w:rPr>
                <w:rFonts w:ascii="宋体" w:hAnsi="宋体" w:cs="宋体"/>
                <w:color w:val="auto"/>
                <w:highlight w:val="none"/>
              </w:rPr>
            </w:pPr>
          </w:p>
        </w:tc>
        <w:tc>
          <w:tcPr>
            <w:tcW w:w="1704" w:type="dxa"/>
            <w:vAlign w:val="center"/>
          </w:tcPr>
          <w:p w14:paraId="67CA77D1">
            <w:pPr>
              <w:jc w:val="center"/>
              <w:rPr>
                <w:rFonts w:ascii="宋体" w:hAnsi="宋体" w:cs="宋体"/>
                <w:color w:val="auto"/>
                <w:highlight w:val="none"/>
              </w:rPr>
            </w:pPr>
          </w:p>
        </w:tc>
        <w:tc>
          <w:tcPr>
            <w:tcW w:w="1705" w:type="dxa"/>
            <w:vAlign w:val="center"/>
          </w:tcPr>
          <w:p w14:paraId="50702383">
            <w:pPr>
              <w:jc w:val="center"/>
              <w:rPr>
                <w:rFonts w:ascii="宋体" w:hAnsi="宋体" w:cs="宋体"/>
                <w:color w:val="auto"/>
                <w:highlight w:val="none"/>
              </w:rPr>
            </w:pPr>
          </w:p>
        </w:tc>
        <w:tc>
          <w:tcPr>
            <w:tcW w:w="1705" w:type="dxa"/>
            <w:vAlign w:val="center"/>
          </w:tcPr>
          <w:p w14:paraId="6C92C718">
            <w:pPr>
              <w:jc w:val="center"/>
              <w:rPr>
                <w:rFonts w:ascii="宋体" w:hAnsi="宋体" w:cs="宋体"/>
                <w:color w:val="auto"/>
                <w:highlight w:val="none"/>
              </w:rPr>
            </w:pPr>
          </w:p>
        </w:tc>
      </w:tr>
      <w:tr w14:paraId="050A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1" w:hRule="atLeast"/>
        </w:trPr>
        <w:tc>
          <w:tcPr>
            <w:tcW w:w="1704" w:type="dxa"/>
            <w:vAlign w:val="center"/>
          </w:tcPr>
          <w:p w14:paraId="12D36D6D">
            <w:pPr>
              <w:jc w:val="center"/>
              <w:rPr>
                <w:rFonts w:ascii="宋体" w:hAnsi="宋体" w:cs="宋体"/>
                <w:color w:val="auto"/>
                <w:highlight w:val="none"/>
              </w:rPr>
            </w:pPr>
          </w:p>
        </w:tc>
        <w:tc>
          <w:tcPr>
            <w:tcW w:w="1704" w:type="dxa"/>
            <w:vAlign w:val="center"/>
          </w:tcPr>
          <w:p w14:paraId="516983F6">
            <w:pPr>
              <w:jc w:val="center"/>
              <w:rPr>
                <w:rFonts w:ascii="宋体" w:hAnsi="宋体" w:cs="宋体"/>
                <w:color w:val="auto"/>
                <w:highlight w:val="none"/>
              </w:rPr>
            </w:pPr>
          </w:p>
        </w:tc>
        <w:tc>
          <w:tcPr>
            <w:tcW w:w="1704" w:type="dxa"/>
            <w:vAlign w:val="center"/>
          </w:tcPr>
          <w:p w14:paraId="451131BE">
            <w:pPr>
              <w:jc w:val="center"/>
              <w:rPr>
                <w:rFonts w:ascii="宋体" w:hAnsi="宋体" w:cs="宋体"/>
                <w:color w:val="auto"/>
                <w:highlight w:val="none"/>
              </w:rPr>
            </w:pPr>
          </w:p>
        </w:tc>
        <w:tc>
          <w:tcPr>
            <w:tcW w:w="1705" w:type="dxa"/>
            <w:vAlign w:val="center"/>
          </w:tcPr>
          <w:p w14:paraId="0EF214DE">
            <w:pPr>
              <w:jc w:val="center"/>
              <w:rPr>
                <w:rFonts w:ascii="宋体" w:hAnsi="宋体" w:cs="宋体"/>
                <w:color w:val="auto"/>
                <w:highlight w:val="none"/>
              </w:rPr>
            </w:pPr>
          </w:p>
        </w:tc>
        <w:tc>
          <w:tcPr>
            <w:tcW w:w="1705" w:type="dxa"/>
            <w:vAlign w:val="center"/>
          </w:tcPr>
          <w:p w14:paraId="293BFD19">
            <w:pPr>
              <w:jc w:val="center"/>
              <w:rPr>
                <w:rFonts w:ascii="宋体" w:hAnsi="宋体" w:cs="宋体"/>
                <w:color w:val="auto"/>
                <w:highlight w:val="none"/>
              </w:rPr>
            </w:pPr>
          </w:p>
        </w:tc>
      </w:tr>
      <w:tr w14:paraId="26C7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4C30119B">
            <w:pPr>
              <w:jc w:val="center"/>
              <w:rPr>
                <w:rFonts w:ascii="宋体" w:hAnsi="宋体" w:cs="宋体"/>
                <w:color w:val="auto"/>
                <w:highlight w:val="none"/>
              </w:rPr>
            </w:pPr>
          </w:p>
        </w:tc>
        <w:tc>
          <w:tcPr>
            <w:tcW w:w="1704" w:type="dxa"/>
            <w:vAlign w:val="center"/>
          </w:tcPr>
          <w:p w14:paraId="7BDD5A69">
            <w:pPr>
              <w:jc w:val="center"/>
              <w:rPr>
                <w:rFonts w:ascii="宋体" w:hAnsi="宋体" w:cs="宋体"/>
                <w:color w:val="auto"/>
                <w:highlight w:val="none"/>
              </w:rPr>
            </w:pPr>
          </w:p>
        </w:tc>
        <w:tc>
          <w:tcPr>
            <w:tcW w:w="1704" w:type="dxa"/>
            <w:vAlign w:val="center"/>
          </w:tcPr>
          <w:p w14:paraId="7D187E5E">
            <w:pPr>
              <w:jc w:val="center"/>
              <w:rPr>
                <w:rFonts w:ascii="宋体" w:hAnsi="宋体" w:cs="宋体"/>
                <w:color w:val="auto"/>
                <w:highlight w:val="none"/>
              </w:rPr>
            </w:pPr>
          </w:p>
        </w:tc>
        <w:tc>
          <w:tcPr>
            <w:tcW w:w="1705" w:type="dxa"/>
            <w:vAlign w:val="center"/>
          </w:tcPr>
          <w:p w14:paraId="20FF3B2F">
            <w:pPr>
              <w:jc w:val="center"/>
              <w:rPr>
                <w:rFonts w:ascii="宋体" w:hAnsi="宋体" w:cs="宋体"/>
                <w:color w:val="auto"/>
                <w:highlight w:val="none"/>
              </w:rPr>
            </w:pPr>
          </w:p>
        </w:tc>
        <w:tc>
          <w:tcPr>
            <w:tcW w:w="1705" w:type="dxa"/>
            <w:vAlign w:val="center"/>
          </w:tcPr>
          <w:p w14:paraId="286206F1">
            <w:pPr>
              <w:jc w:val="center"/>
              <w:rPr>
                <w:rFonts w:ascii="宋体" w:hAnsi="宋体" w:cs="宋体"/>
                <w:color w:val="auto"/>
                <w:highlight w:val="none"/>
              </w:rPr>
            </w:pPr>
          </w:p>
        </w:tc>
      </w:tr>
      <w:tr w14:paraId="7D9E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vAlign w:val="center"/>
          </w:tcPr>
          <w:p w14:paraId="5615BD8A">
            <w:pPr>
              <w:rPr>
                <w:rFonts w:ascii="宋体" w:hAnsi="宋体" w:cs="宋体"/>
                <w:color w:val="auto"/>
                <w:highlight w:val="none"/>
              </w:rPr>
            </w:pPr>
            <w:r>
              <w:rPr>
                <w:rFonts w:hint="eastAsia" w:ascii="宋体" w:hAnsi="宋体" w:cs="宋体"/>
                <w:color w:val="auto"/>
                <w:highlight w:val="none"/>
              </w:rPr>
              <w:t>技术评审</w:t>
            </w:r>
          </w:p>
        </w:tc>
      </w:tr>
      <w:tr w14:paraId="2BA66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41999A39">
            <w:pPr>
              <w:jc w:val="center"/>
              <w:rPr>
                <w:rFonts w:ascii="宋体" w:hAnsi="宋体" w:cs="宋体"/>
                <w:color w:val="auto"/>
                <w:highlight w:val="none"/>
              </w:rPr>
            </w:pPr>
          </w:p>
        </w:tc>
        <w:tc>
          <w:tcPr>
            <w:tcW w:w="1704" w:type="dxa"/>
            <w:vAlign w:val="center"/>
          </w:tcPr>
          <w:p w14:paraId="2CA4E8D4">
            <w:pPr>
              <w:jc w:val="center"/>
              <w:rPr>
                <w:rFonts w:ascii="宋体" w:hAnsi="宋体" w:cs="宋体"/>
                <w:color w:val="auto"/>
                <w:highlight w:val="none"/>
              </w:rPr>
            </w:pPr>
          </w:p>
        </w:tc>
        <w:tc>
          <w:tcPr>
            <w:tcW w:w="1704" w:type="dxa"/>
            <w:vAlign w:val="center"/>
          </w:tcPr>
          <w:p w14:paraId="15A73D2D">
            <w:pPr>
              <w:jc w:val="center"/>
              <w:rPr>
                <w:rFonts w:ascii="宋体" w:hAnsi="宋体" w:cs="宋体"/>
                <w:color w:val="auto"/>
                <w:highlight w:val="none"/>
              </w:rPr>
            </w:pPr>
          </w:p>
        </w:tc>
        <w:tc>
          <w:tcPr>
            <w:tcW w:w="1705" w:type="dxa"/>
            <w:vAlign w:val="center"/>
          </w:tcPr>
          <w:p w14:paraId="27C9086E">
            <w:pPr>
              <w:jc w:val="center"/>
              <w:rPr>
                <w:rFonts w:ascii="宋体" w:hAnsi="宋体" w:cs="宋体"/>
                <w:color w:val="auto"/>
                <w:highlight w:val="none"/>
              </w:rPr>
            </w:pPr>
          </w:p>
        </w:tc>
        <w:tc>
          <w:tcPr>
            <w:tcW w:w="1705" w:type="dxa"/>
            <w:vAlign w:val="center"/>
          </w:tcPr>
          <w:p w14:paraId="153CD866">
            <w:pPr>
              <w:jc w:val="center"/>
              <w:rPr>
                <w:rFonts w:ascii="宋体" w:hAnsi="宋体" w:cs="宋体"/>
                <w:color w:val="auto"/>
                <w:highlight w:val="none"/>
              </w:rPr>
            </w:pPr>
          </w:p>
        </w:tc>
      </w:tr>
      <w:tr w14:paraId="2269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7321C3CD">
            <w:pPr>
              <w:jc w:val="center"/>
              <w:rPr>
                <w:rFonts w:ascii="宋体" w:hAnsi="宋体" w:cs="宋体"/>
                <w:color w:val="auto"/>
                <w:highlight w:val="none"/>
              </w:rPr>
            </w:pPr>
          </w:p>
        </w:tc>
        <w:tc>
          <w:tcPr>
            <w:tcW w:w="1704" w:type="dxa"/>
            <w:vAlign w:val="center"/>
          </w:tcPr>
          <w:p w14:paraId="399496CC">
            <w:pPr>
              <w:jc w:val="center"/>
              <w:rPr>
                <w:rFonts w:ascii="宋体" w:hAnsi="宋体" w:cs="宋体"/>
                <w:color w:val="auto"/>
                <w:highlight w:val="none"/>
              </w:rPr>
            </w:pPr>
          </w:p>
        </w:tc>
        <w:tc>
          <w:tcPr>
            <w:tcW w:w="1704" w:type="dxa"/>
            <w:vAlign w:val="center"/>
          </w:tcPr>
          <w:p w14:paraId="069C38EA">
            <w:pPr>
              <w:jc w:val="center"/>
              <w:rPr>
                <w:rFonts w:ascii="宋体" w:hAnsi="宋体" w:cs="宋体"/>
                <w:color w:val="auto"/>
                <w:highlight w:val="none"/>
              </w:rPr>
            </w:pPr>
          </w:p>
        </w:tc>
        <w:tc>
          <w:tcPr>
            <w:tcW w:w="1705" w:type="dxa"/>
            <w:vAlign w:val="center"/>
          </w:tcPr>
          <w:p w14:paraId="700C4F89">
            <w:pPr>
              <w:jc w:val="center"/>
              <w:rPr>
                <w:rFonts w:ascii="宋体" w:hAnsi="宋体" w:cs="宋体"/>
                <w:color w:val="auto"/>
                <w:highlight w:val="none"/>
              </w:rPr>
            </w:pPr>
          </w:p>
        </w:tc>
        <w:tc>
          <w:tcPr>
            <w:tcW w:w="1705" w:type="dxa"/>
            <w:vAlign w:val="center"/>
          </w:tcPr>
          <w:p w14:paraId="17AD3BAF">
            <w:pPr>
              <w:jc w:val="center"/>
              <w:rPr>
                <w:rFonts w:ascii="宋体" w:hAnsi="宋体" w:cs="宋体"/>
                <w:color w:val="auto"/>
                <w:highlight w:val="none"/>
              </w:rPr>
            </w:pPr>
          </w:p>
        </w:tc>
      </w:tr>
      <w:tr w14:paraId="19E6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vAlign w:val="center"/>
          </w:tcPr>
          <w:p w14:paraId="456AE4E2">
            <w:pPr>
              <w:jc w:val="center"/>
              <w:rPr>
                <w:rFonts w:ascii="宋体" w:hAnsi="宋体" w:cs="宋体"/>
                <w:color w:val="auto"/>
                <w:highlight w:val="none"/>
              </w:rPr>
            </w:pPr>
          </w:p>
        </w:tc>
        <w:tc>
          <w:tcPr>
            <w:tcW w:w="1704" w:type="dxa"/>
            <w:vAlign w:val="center"/>
          </w:tcPr>
          <w:p w14:paraId="7CB1D65F">
            <w:pPr>
              <w:jc w:val="center"/>
              <w:rPr>
                <w:rFonts w:ascii="宋体" w:hAnsi="宋体" w:cs="宋体"/>
                <w:color w:val="auto"/>
                <w:highlight w:val="none"/>
              </w:rPr>
            </w:pPr>
          </w:p>
        </w:tc>
        <w:tc>
          <w:tcPr>
            <w:tcW w:w="1704" w:type="dxa"/>
            <w:vAlign w:val="center"/>
          </w:tcPr>
          <w:p w14:paraId="1B1D7661">
            <w:pPr>
              <w:jc w:val="center"/>
              <w:rPr>
                <w:rFonts w:ascii="宋体" w:hAnsi="宋体" w:cs="宋体"/>
                <w:color w:val="auto"/>
                <w:highlight w:val="none"/>
              </w:rPr>
            </w:pPr>
          </w:p>
        </w:tc>
        <w:tc>
          <w:tcPr>
            <w:tcW w:w="1705" w:type="dxa"/>
            <w:vAlign w:val="center"/>
          </w:tcPr>
          <w:p w14:paraId="6F887792">
            <w:pPr>
              <w:jc w:val="center"/>
              <w:rPr>
                <w:rFonts w:ascii="宋体" w:hAnsi="宋体" w:cs="宋体"/>
                <w:color w:val="auto"/>
                <w:highlight w:val="none"/>
              </w:rPr>
            </w:pPr>
          </w:p>
        </w:tc>
        <w:tc>
          <w:tcPr>
            <w:tcW w:w="1705" w:type="dxa"/>
            <w:vAlign w:val="center"/>
          </w:tcPr>
          <w:p w14:paraId="66FC6096">
            <w:pPr>
              <w:jc w:val="center"/>
              <w:rPr>
                <w:rFonts w:ascii="宋体" w:hAnsi="宋体" w:cs="宋体"/>
                <w:color w:val="auto"/>
                <w:highlight w:val="none"/>
              </w:rPr>
            </w:pPr>
          </w:p>
        </w:tc>
      </w:tr>
    </w:tbl>
    <w:p w14:paraId="4FC0B759">
      <w:pPr>
        <w:rPr>
          <w:rFonts w:ascii="宋体" w:hAnsi="宋体"/>
          <w:color w:val="auto"/>
          <w:szCs w:val="21"/>
          <w:highlight w:val="none"/>
        </w:rPr>
      </w:pPr>
    </w:p>
    <w:p w14:paraId="1C03C495">
      <w:pPr>
        <w:rPr>
          <w:rFonts w:ascii="宋体" w:hAnsi="宋体"/>
          <w:color w:val="auto"/>
          <w:szCs w:val="21"/>
          <w:highlight w:val="none"/>
        </w:rPr>
      </w:pPr>
      <w:r>
        <w:rPr>
          <w:rFonts w:hint="eastAsia" w:ascii="宋体" w:hAnsi="宋体"/>
          <w:color w:val="auto"/>
          <w:szCs w:val="21"/>
          <w:highlight w:val="none"/>
        </w:rPr>
        <w:t>注：</w:t>
      </w:r>
    </w:p>
    <w:p w14:paraId="6FB680D9">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2A489B2E">
      <w:pPr>
        <w:pStyle w:val="10"/>
        <w:spacing w:before="0"/>
        <w:ind w:left="0"/>
        <w:rPr>
          <w:color w:val="auto"/>
          <w:highlight w:val="none"/>
        </w:rPr>
      </w:pPr>
    </w:p>
    <w:p w14:paraId="7D8AEEA3">
      <w:pPr>
        <w:adjustRightInd/>
        <w:snapToGrid/>
        <w:spacing w:line="276" w:lineRule="auto"/>
        <w:rPr>
          <w:rFonts w:ascii="宋体" w:hAnsi="宋体"/>
          <w:color w:val="auto"/>
          <w:szCs w:val="21"/>
          <w:highlight w:val="none"/>
        </w:rPr>
      </w:pPr>
    </w:p>
    <w:p w14:paraId="6AC90FF5">
      <w:pPr>
        <w:adjustRightInd/>
        <w:snapToGrid/>
        <w:spacing w:line="276" w:lineRule="auto"/>
        <w:rPr>
          <w:rFonts w:ascii="宋体" w:hAnsi="宋体"/>
          <w:color w:val="auto"/>
          <w:szCs w:val="21"/>
          <w:highlight w:val="none"/>
        </w:rPr>
      </w:pPr>
    </w:p>
    <w:p w14:paraId="796A78F5">
      <w:pPr>
        <w:adjustRightInd/>
        <w:snapToGrid/>
        <w:spacing w:line="276" w:lineRule="auto"/>
        <w:rPr>
          <w:rFonts w:ascii="宋体" w:hAnsi="宋体"/>
          <w:color w:val="auto"/>
          <w:szCs w:val="21"/>
          <w:highlight w:val="none"/>
        </w:rPr>
      </w:pPr>
    </w:p>
    <w:p w14:paraId="2D9664DF">
      <w:pPr>
        <w:adjustRightInd/>
        <w:snapToGrid/>
        <w:spacing w:line="276" w:lineRule="auto"/>
        <w:rPr>
          <w:rFonts w:ascii="宋体" w:hAnsi="宋体"/>
          <w:color w:val="auto"/>
          <w:szCs w:val="21"/>
          <w:highlight w:val="none"/>
        </w:rPr>
      </w:pPr>
    </w:p>
    <w:p w14:paraId="56E83D0D">
      <w:pPr>
        <w:adjustRightInd/>
        <w:snapToGrid/>
        <w:spacing w:line="276" w:lineRule="auto"/>
        <w:rPr>
          <w:rFonts w:ascii="宋体" w:hAnsi="宋体"/>
          <w:color w:val="auto"/>
          <w:szCs w:val="21"/>
          <w:highlight w:val="none"/>
        </w:rPr>
      </w:pPr>
    </w:p>
    <w:p w14:paraId="49627D4C">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360B1513">
      <w:pPr>
        <w:jc w:val="center"/>
        <w:rPr>
          <w:rFonts w:ascii="黑体" w:eastAsia="黑体"/>
          <w:color w:val="auto"/>
          <w:sz w:val="52"/>
          <w:szCs w:val="52"/>
          <w:highlight w:val="none"/>
        </w:rPr>
      </w:pPr>
      <w:bookmarkStart w:id="464" w:name="_Toc18450"/>
      <w:bookmarkStart w:id="465" w:name="_Toc30918"/>
      <w:bookmarkStart w:id="466" w:name="_Toc20335"/>
      <w:bookmarkStart w:id="467" w:name="_Toc21746"/>
      <w:bookmarkStart w:id="468" w:name="_Toc28154"/>
    </w:p>
    <w:p w14:paraId="7B82DB54">
      <w:pPr>
        <w:pStyle w:val="4"/>
        <w:spacing w:before="0" w:after="0" w:line="360" w:lineRule="auto"/>
        <w:jc w:val="center"/>
        <w:rPr>
          <w:color w:val="auto"/>
          <w:sz w:val="72"/>
          <w:szCs w:val="72"/>
          <w:highlight w:val="none"/>
        </w:rPr>
      </w:pPr>
      <w:bookmarkStart w:id="469" w:name="_Toc9476"/>
      <w:r>
        <w:rPr>
          <w:rFonts w:hint="eastAsia"/>
          <w:color w:val="auto"/>
          <w:sz w:val="72"/>
          <w:szCs w:val="72"/>
          <w:highlight w:val="none"/>
        </w:rPr>
        <w:t>价格文件</w:t>
      </w:r>
      <w:bookmarkEnd w:id="464"/>
      <w:bookmarkEnd w:id="465"/>
      <w:bookmarkEnd w:id="469"/>
      <w:bookmarkStart w:id="470" w:name="_Hlt10519799"/>
      <w:bookmarkEnd w:id="470"/>
      <w:bookmarkStart w:id="471" w:name="_Hlt10456397"/>
      <w:bookmarkEnd w:id="471"/>
    </w:p>
    <w:p w14:paraId="078E8774">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466"/>
      <w:bookmarkEnd w:id="467"/>
      <w:bookmarkEnd w:id="468"/>
    </w:p>
    <w:p w14:paraId="7A6F600C">
      <w:pPr>
        <w:rPr>
          <w:color w:val="auto"/>
          <w:highlight w:val="none"/>
        </w:rPr>
      </w:pPr>
    </w:p>
    <w:p w14:paraId="18B8F2E1">
      <w:pPr>
        <w:pStyle w:val="10"/>
        <w:rPr>
          <w:color w:val="auto"/>
          <w:highlight w:val="none"/>
        </w:rPr>
      </w:pPr>
    </w:p>
    <w:p w14:paraId="1DA759BF">
      <w:pPr>
        <w:pStyle w:val="27"/>
        <w:keepNext w:val="0"/>
        <w:keepLines w:val="0"/>
        <w:pageBreakBefore w:val="0"/>
        <w:widowControl/>
        <w:kinsoku/>
        <w:wordWrap/>
        <w:overflowPunct/>
        <w:topLinePunct w:val="0"/>
        <w:autoSpaceDE/>
        <w:autoSpaceDN/>
        <w:bidi w:val="0"/>
        <w:adjustRightInd w:val="0"/>
        <w:snapToGrid w:val="0"/>
        <w:spacing w:before="0" w:after="0" w:afterAutospacing="0" w:line="360" w:lineRule="auto"/>
        <w:ind w:left="0" w:firstLine="240"/>
        <w:textAlignment w:val="auto"/>
        <w:rPr>
          <w:color w:val="auto"/>
          <w:highlight w:val="none"/>
        </w:rPr>
      </w:pPr>
    </w:p>
    <w:p w14:paraId="2C2474C1">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1947737316"/>
        </w:rPr>
        <w:t>项目名</w:t>
      </w:r>
      <w:r>
        <w:rPr>
          <w:rFonts w:hint="eastAsia" w:ascii="宋体" w:hAnsi="宋体" w:cs="宋体"/>
          <w:b/>
          <w:bCs/>
          <w:color w:val="auto"/>
          <w:spacing w:val="1"/>
          <w:kern w:val="0"/>
          <w:sz w:val="32"/>
          <w:szCs w:val="32"/>
          <w:highlight w:val="none"/>
          <w:fitText w:val="1600" w:id="1947737316"/>
        </w:rPr>
        <w:t>称</w:t>
      </w:r>
      <w:r>
        <w:rPr>
          <w:rFonts w:hint="eastAsia" w:ascii="宋体" w:hAnsi="宋体" w:cs="宋体"/>
          <w:b/>
          <w:bCs/>
          <w:color w:val="auto"/>
          <w:spacing w:val="-6"/>
          <w:sz w:val="32"/>
          <w:szCs w:val="32"/>
          <w:highlight w:val="none"/>
        </w:rPr>
        <w:t>：</w:t>
      </w:r>
    </w:p>
    <w:p w14:paraId="2003F1A2">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70211570"/>
        </w:rPr>
        <w:t>项目编</w:t>
      </w:r>
      <w:r>
        <w:rPr>
          <w:rFonts w:hint="eastAsia" w:ascii="宋体" w:hAnsi="宋体" w:cs="宋体"/>
          <w:b/>
          <w:bCs/>
          <w:color w:val="auto"/>
          <w:spacing w:val="1"/>
          <w:kern w:val="0"/>
          <w:sz w:val="32"/>
          <w:szCs w:val="32"/>
          <w:highlight w:val="none"/>
          <w:fitText w:val="1600" w:id="70211570"/>
        </w:rPr>
        <w:t>号</w:t>
      </w:r>
      <w:r>
        <w:rPr>
          <w:rFonts w:hint="eastAsia" w:ascii="宋体" w:hAnsi="宋体" w:cs="宋体"/>
          <w:b/>
          <w:bCs/>
          <w:color w:val="auto"/>
          <w:sz w:val="32"/>
          <w:szCs w:val="32"/>
          <w:highlight w:val="none"/>
        </w:rPr>
        <w:t>：</w:t>
      </w:r>
    </w:p>
    <w:p w14:paraId="49556C75">
      <w:pPr>
        <w:pStyle w:val="25"/>
        <w:keepNext w:val="0"/>
        <w:keepLines w:val="0"/>
        <w:pageBreakBefore w:val="0"/>
        <w:widowControl/>
        <w:kinsoku/>
        <w:wordWrap/>
        <w:overflowPunct/>
        <w:topLinePunct w:val="0"/>
        <w:autoSpaceDE/>
        <w:autoSpaceDN/>
        <w:bidi w:val="0"/>
        <w:adjustRightInd w:val="0"/>
        <w:snapToGrid w:val="0"/>
        <w:spacing w:afterAutospacing="0" w:line="360" w:lineRule="auto"/>
        <w:ind w:left="0"/>
        <w:jc w:val="left"/>
        <w:textAlignment w:val="auto"/>
        <w:rPr>
          <w:rFonts w:ascii="宋体" w:hAnsi="宋体" w:cs="宋体"/>
          <w:b/>
          <w:color w:val="auto"/>
          <w:spacing w:val="1280"/>
          <w:kern w:val="0"/>
          <w:sz w:val="32"/>
          <w:szCs w:val="32"/>
          <w:highlight w:val="none"/>
        </w:rPr>
      </w:pPr>
      <w:r>
        <w:rPr>
          <w:rFonts w:hint="eastAsia" w:ascii="宋体" w:hAnsi="宋体" w:cs="宋体"/>
          <w:b/>
          <w:color w:val="auto"/>
          <w:spacing w:val="106"/>
          <w:kern w:val="0"/>
          <w:sz w:val="32"/>
          <w:szCs w:val="32"/>
          <w:highlight w:val="none"/>
          <w:lang w:bidi="ar"/>
        </w:rPr>
        <w:t>包组号（如有）：</w:t>
      </w:r>
    </w:p>
    <w:p w14:paraId="194A770F">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458731915"/>
        </w:rPr>
        <w:t>投标人名称</w:t>
      </w:r>
      <w:r>
        <w:rPr>
          <w:rFonts w:hint="eastAsia" w:ascii="宋体" w:hAnsi="宋体" w:cs="宋体"/>
          <w:b/>
          <w:color w:val="auto"/>
          <w:sz w:val="32"/>
          <w:szCs w:val="32"/>
          <w:highlight w:val="none"/>
        </w:rPr>
        <w:t>：</w:t>
      </w:r>
    </w:p>
    <w:p w14:paraId="1B7AD2AC">
      <w:pPr>
        <w:keepNext w:val="0"/>
        <w:keepLines w:val="0"/>
        <w:pageBreakBefore w:val="0"/>
        <w:widowControl/>
        <w:kinsoku/>
        <w:wordWrap/>
        <w:overflowPunct/>
        <w:topLinePunct w:val="0"/>
        <w:autoSpaceDE/>
        <w:autoSpaceDN/>
        <w:bidi w:val="0"/>
        <w:adjustRightInd w:val="0"/>
        <w:snapToGrid w:val="0"/>
        <w:spacing w:afterAutospacing="0" w:line="360" w:lineRule="auto"/>
        <w:ind w:left="0"/>
        <w:textAlignment w:val="auto"/>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437591866"/>
        </w:rPr>
        <w:t xml:space="preserve">日    </w:t>
      </w:r>
      <w:r>
        <w:rPr>
          <w:rFonts w:hint="eastAsia" w:ascii="宋体" w:hAnsi="宋体" w:cs="宋体"/>
          <w:b/>
          <w:color w:val="auto"/>
          <w:spacing w:val="0"/>
          <w:kern w:val="0"/>
          <w:sz w:val="32"/>
          <w:szCs w:val="32"/>
          <w:highlight w:val="none"/>
          <w:fitText w:val="1600" w:id="437591866"/>
        </w:rPr>
        <w:t>期</w:t>
      </w:r>
      <w:r>
        <w:rPr>
          <w:rFonts w:hint="eastAsia" w:ascii="宋体" w:hAnsi="宋体" w:cs="宋体"/>
          <w:b/>
          <w:color w:val="auto"/>
          <w:sz w:val="32"/>
          <w:szCs w:val="32"/>
          <w:highlight w:val="none"/>
        </w:rPr>
        <w:t>：</w:t>
      </w:r>
    </w:p>
    <w:p w14:paraId="7A4C63F1">
      <w:pPr>
        <w:rPr>
          <w:color w:val="auto"/>
          <w:highlight w:val="none"/>
        </w:rPr>
      </w:pPr>
    </w:p>
    <w:p w14:paraId="51EF6C68">
      <w:pPr>
        <w:pStyle w:val="10"/>
        <w:rPr>
          <w:color w:val="auto"/>
          <w:highlight w:val="none"/>
        </w:rPr>
      </w:pPr>
    </w:p>
    <w:p w14:paraId="7F7C2C26">
      <w:pPr>
        <w:pStyle w:val="27"/>
        <w:ind w:firstLine="240"/>
        <w:rPr>
          <w:color w:val="auto"/>
          <w:highlight w:val="none"/>
        </w:rPr>
      </w:pPr>
    </w:p>
    <w:p w14:paraId="5035C8E1">
      <w:pPr>
        <w:pStyle w:val="22"/>
        <w:rPr>
          <w:color w:val="auto"/>
          <w:highlight w:val="none"/>
        </w:rPr>
      </w:pPr>
    </w:p>
    <w:p w14:paraId="3A1058CE">
      <w:pPr>
        <w:rPr>
          <w:color w:val="auto"/>
          <w:highlight w:val="none"/>
        </w:rPr>
      </w:pPr>
    </w:p>
    <w:p w14:paraId="25FF387E">
      <w:pPr>
        <w:pStyle w:val="10"/>
        <w:rPr>
          <w:color w:val="auto"/>
          <w:highlight w:val="none"/>
        </w:rPr>
      </w:pPr>
    </w:p>
    <w:p w14:paraId="1C1F59D6">
      <w:pPr>
        <w:pStyle w:val="27"/>
        <w:ind w:firstLine="240"/>
        <w:rPr>
          <w:color w:val="auto"/>
          <w:highlight w:val="none"/>
        </w:rPr>
      </w:pPr>
    </w:p>
    <w:p w14:paraId="664B90A1">
      <w:pPr>
        <w:pStyle w:val="22"/>
        <w:rPr>
          <w:color w:val="auto"/>
          <w:highlight w:val="none"/>
        </w:rPr>
      </w:pPr>
    </w:p>
    <w:p w14:paraId="187194CC">
      <w:pPr>
        <w:pStyle w:val="22"/>
        <w:ind w:left="0"/>
        <w:rPr>
          <w:color w:val="auto"/>
          <w:highlight w:val="none"/>
        </w:rPr>
      </w:pPr>
    </w:p>
    <w:p w14:paraId="4174B7F2">
      <w:pPr>
        <w:rPr>
          <w:rFonts w:ascii="宋体" w:hAnsi="宋体"/>
          <w:color w:val="auto"/>
          <w:szCs w:val="21"/>
          <w:highlight w:val="none"/>
        </w:rPr>
      </w:pPr>
      <w:r>
        <w:rPr>
          <w:rFonts w:hint="eastAsia" w:ascii="宋体" w:hAnsi="宋体"/>
          <w:color w:val="auto"/>
          <w:szCs w:val="21"/>
          <w:highlight w:val="none"/>
        </w:rPr>
        <w:br w:type="page"/>
      </w:r>
    </w:p>
    <w:p w14:paraId="3A428203">
      <w:pPr>
        <w:pStyle w:val="6"/>
        <w:widowControl w:val="0"/>
        <w:overflowPunct w:val="0"/>
        <w:spacing w:line="240" w:lineRule="auto"/>
        <w:rPr>
          <w:rFonts w:ascii="宋体" w:hAnsi="宋体"/>
          <w:color w:val="auto"/>
          <w:sz w:val="21"/>
          <w:szCs w:val="21"/>
          <w:highlight w:val="none"/>
        </w:rPr>
      </w:pPr>
      <w:bookmarkStart w:id="472" w:name="_Toc29502"/>
      <w:r>
        <w:rPr>
          <w:rFonts w:hint="eastAsia" w:ascii="宋体" w:hAnsi="宋体"/>
          <w:color w:val="auto"/>
          <w:sz w:val="21"/>
          <w:szCs w:val="21"/>
          <w:highlight w:val="none"/>
        </w:rPr>
        <w:t>附件2.开标一览表格式</w:t>
      </w:r>
      <w:bookmarkEnd w:id="472"/>
    </w:p>
    <w:p w14:paraId="4BCC3D02">
      <w:pPr>
        <w:jc w:val="center"/>
        <w:rPr>
          <w:rFonts w:ascii="黑体" w:eastAsia="黑体"/>
          <w:color w:val="auto"/>
          <w:sz w:val="32"/>
          <w:szCs w:val="32"/>
          <w:highlight w:val="none"/>
        </w:rPr>
      </w:pPr>
      <w:r>
        <w:rPr>
          <w:rFonts w:hint="eastAsia" w:ascii="黑体" w:eastAsia="黑体"/>
          <w:color w:val="auto"/>
          <w:sz w:val="32"/>
          <w:szCs w:val="32"/>
          <w:highlight w:val="none"/>
        </w:rPr>
        <w:t>开标一览表</w:t>
      </w:r>
    </w:p>
    <w:p w14:paraId="0EAEDAE8">
      <w:pPr>
        <w:rPr>
          <w:color w:val="auto"/>
          <w:highlight w:val="none"/>
        </w:rPr>
      </w:pPr>
    </w:p>
    <w:p w14:paraId="12854334">
      <w:pPr>
        <w:rPr>
          <w:rFonts w:ascii="宋体" w:hAnsi="宋体"/>
          <w:color w:val="auto"/>
          <w:szCs w:val="21"/>
          <w:highlight w:val="none"/>
        </w:rPr>
      </w:pPr>
      <w:r>
        <w:rPr>
          <w:rFonts w:hint="eastAsia" w:ascii="宋体" w:hAnsi="宋体"/>
          <w:color w:val="auto"/>
          <w:szCs w:val="21"/>
          <w:highlight w:val="none"/>
        </w:rPr>
        <w:t>投标人名称：</w:t>
      </w:r>
    </w:p>
    <w:p w14:paraId="1824F3D7">
      <w:pPr>
        <w:rPr>
          <w:color w:val="auto"/>
          <w:highlight w:val="none"/>
        </w:rPr>
      </w:pPr>
      <w:r>
        <w:rPr>
          <w:rFonts w:hint="eastAsia" w:ascii="宋体" w:hAnsi="宋体"/>
          <w:color w:val="auto"/>
          <w:szCs w:val="21"/>
          <w:highlight w:val="none"/>
        </w:rPr>
        <w:t>采购项目编号：</w:t>
      </w:r>
    </w:p>
    <w:tbl>
      <w:tblPr>
        <w:tblStyle w:val="30"/>
        <w:tblW w:w="45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1467"/>
        <w:gridCol w:w="1040"/>
        <w:gridCol w:w="1295"/>
        <w:gridCol w:w="1779"/>
      </w:tblGrid>
      <w:tr w14:paraId="135D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92" w:type="pct"/>
            <w:vAlign w:val="center"/>
          </w:tcPr>
          <w:p w14:paraId="4AB3B8C9">
            <w:pPr>
              <w:spacing w:line="240" w:lineRule="auto"/>
              <w:jc w:val="center"/>
              <w:rPr>
                <w:rFonts w:ascii="宋体" w:hAnsi="宋体" w:cs="宋体"/>
                <w:color w:val="auto"/>
                <w:kern w:val="28"/>
                <w:szCs w:val="21"/>
                <w:highlight w:val="none"/>
              </w:rPr>
            </w:pPr>
            <w:r>
              <w:rPr>
                <w:rFonts w:hint="eastAsia" w:ascii="宋体" w:hAnsi="宋体"/>
                <w:color w:val="auto"/>
                <w:szCs w:val="21"/>
                <w:highlight w:val="none"/>
              </w:rPr>
              <w:t>项目名称</w:t>
            </w:r>
          </w:p>
        </w:tc>
        <w:tc>
          <w:tcPr>
            <w:tcW w:w="948" w:type="pct"/>
            <w:vAlign w:val="center"/>
          </w:tcPr>
          <w:p w14:paraId="575C9B23">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lang w:val="en-US" w:eastAsia="zh-CN"/>
              </w:rPr>
              <w:t>暂定含税</w:t>
            </w:r>
            <w:r>
              <w:rPr>
                <w:rFonts w:hint="eastAsia" w:ascii="宋体" w:hAnsi="宋体" w:cs="宋体"/>
                <w:color w:val="auto"/>
                <w:kern w:val="28"/>
                <w:szCs w:val="21"/>
                <w:highlight w:val="none"/>
              </w:rPr>
              <w:t>投标总价（元）</w:t>
            </w:r>
          </w:p>
        </w:tc>
        <w:tc>
          <w:tcPr>
            <w:tcW w:w="672" w:type="pct"/>
            <w:vAlign w:val="center"/>
          </w:tcPr>
          <w:p w14:paraId="2C2F83E9">
            <w:pPr>
              <w:spacing w:line="240" w:lineRule="auto"/>
              <w:jc w:val="center"/>
              <w:rPr>
                <w:rFonts w:hint="eastAsia" w:ascii="宋体" w:hAnsi="宋体" w:eastAsia="宋体" w:cs="宋体"/>
                <w:color w:val="auto"/>
                <w:kern w:val="28"/>
                <w:szCs w:val="21"/>
                <w:highlight w:val="none"/>
                <w:lang w:val="en-US" w:eastAsia="zh-CN"/>
              </w:rPr>
            </w:pPr>
            <w:r>
              <w:rPr>
                <w:rFonts w:hint="eastAsia" w:ascii="宋体" w:hAnsi="宋体" w:cs="宋体"/>
                <w:color w:val="auto"/>
                <w:kern w:val="28"/>
                <w:szCs w:val="21"/>
                <w:highlight w:val="none"/>
                <w:lang w:val="en-US" w:eastAsia="zh-CN"/>
              </w:rPr>
              <w:t>税率</w:t>
            </w:r>
          </w:p>
        </w:tc>
        <w:tc>
          <w:tcPr>
            <w:tcW w:w="837" w:type="pct"/>
            <w:vAlign w:val="center"/>
          </w:tcPr>
          <w:p w14:paraId="3DB6F20D">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服务期</w:t>
            </w:r>
          </w:p>
        </w:tc>
        <w:tc>
          <w:tcPr>
            <w:tcW w:w="1149" w:type="pct"/>
            <w:vAlign w:val="center"/>
          </w:tcPr>
          <w:p w14:paraId="11DF764A">
            <w:pP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备注</w:t>
            </w:r>
          </w:p>
        </w:tc>
      </w:tr>
      <w:tr w14:paraId="64DB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392" w:type="pct"/>
            <w:vAlign w:val="center"/>
          </w:tcPr>
          <w:p w14:paraId="6BFBE12F">
            <w:pPr>
              <w:spacing w:line="240" w:lineRule="auto"/>
              <w:jc w:val="center"/>
              <w:rPr>
                <w:rFonts w:hint="eastAsia" w:ascii="宋体" w:hAnsi="宋体" w:eastAsia="宋体" w:cs="宋体"/>
                <w:color w:val="auto"/>
                <w:szCs w:val="21"/>
                <w:highlight w:val="none"/>
                <w:lang w:eastAsia="zh-CN"/>
              </w:rPr>
            </w:pPr>
            <w:r>
              <w:rPr>
                <w:rFonts w:hint="eastAsia"/>
                <w:color w:val="auto"/>
                <w:highlight w:val="none"/>
                <w:u w:val="single"/>
                <w:lang w:eastAsia="zh-CN"/>
              </w:rPr>
              <w:t>东莞市新东欣环保投资有限公司莞惠区域危废运输服务项目</w:t>
            </w:r>
          </w:p>
        </w:tc>
        <w:tc>
          <w:tcPr>
            <w:tcW w:w="948" w:type="pct"/>
            <w:vAlign w:val="center"/>
          </w:tcPr>
          <w:p w14:paraId="744D5998">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小写：</w:t>
            </w:r>
          </w:p>
          <w:p w14:paraId="01EAE944">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大写：</w:t>
            </w:r>
          </w:p>
        </w:tc>
        <w:tc>
          <w:tcPr>
            <w:tcW w:w="672" w:type="pct"/>
            <w:vAlign w:val="center"/>
          </w:tcPr>
          <w:p w14:paraId="75B81DE7">
            <w:pPr>
              <w:pStyle w:val="65"/>
              <w:jc w:val="center"/>
              <w:rPr>
                <w:rFonts w:hint="default" w:hAnsi="宋体" w:eastAsia="宋体"/>
                <w:color w:val="auto"/>
                <w:sz w:val="21"/>
                <w:szCs w:val="21"/>
                <w:highlight w:val="none"/>
                <w:lang w:val="en-US" w:eastAsia="zh-CN"/>
              </w:rPr>
            </w:pPr>
            <w:r>
              <w:rPr>
                <w:rFonts w:hint="eastAsia" w:hAnsi="宋体"/>
                <w:color w:val="auto"/>
                <w:sz w:val="21"/>
                <w:szCs w:val="21"/>
                <w:highlight w:val="none"/>
                <w:lang w:val="en-US" w:eastAsia="zh-CN"/>
              </w:rPr>
              <w:t>%</w:t>
            </w:r>
          </w:p>
        </w:tc>
        <w:tc>
          <w:tcPr>
            <w:tcW w:w="837" w:type="pct"/>
            <w:vAlign w:val="center"/>
          </w:tcPr>
          <w:p w14:paraId="755A2063">
            <w:pPr>
              <w:pStyle w:val="65"/>
              <w:jc w:val="center"/>
              <w:rPr>
                <w:rFonts w:hAnsi="宋体"/>
                <w:color w:val="auto"/>
                <w:sz w:val="21"/>
                <w:szCs w:val="21"/>
                <w:highlight w:val="none"/>
              </w:rPr>
            </w:pPr>
            <w:r>
              <w:rPr>
                <w:rFonts w:hint="eastAsia" w:hAnsi="宋体"/>
                <w:color w:val="auto"/>
                <w:sz w:val="21"/>
                <w:szCs w:val="21"/>
                <w:highlight w:val="none"/>
              </w:rPr>
              <w:t>合同服务期限自签订运输服务合同之日起</w:t>
            </w:r>
            <w:r>
              <w:rPr>
                <w:rFonts w:hint="eastAsia" w:hAnsi="宋体"/>
                <w:color w:val="auto"/>
                <w:sz w:val="21"/>
                <w:szCs w:val="21"/>
                <w:highlight w:val="none"/>
                <w:lang w:val="en-US" w:eastAsia="zh-CN"/>
              </w:rPr>
              <w:t>一</w:t>
            </w:r>
            <w:r>
              <w:rPr>
                <w:rFonts w:hint="eastAsia" w:hAnsi="宋体"/>
                <w:color w:val="auto"/>
                <w:sz w:val="21"/>
                <w:szCs w:val="21"/>
                <w:highlight w:val="none"/>
              </w:rPr>
              <w:t xml:space="preserve">年。 </w:t>
            </w:r>
          </w:p>
        </w:tc>
        <w:tc>
          <w:tcPr>
            <w:tcW w:w="1149" w:type="pct"/>
            <w:vAlign w:val="center"/>
          </w:tcPr>
          <w:p w14:paraId="7F3FA151">
            <w:pPr>
              <w:pStyle w:val="65"/>
              <w:jc w:val="center"/>
              <w:rPr>
                <w:rFonts w:hAnsi="宋体"/>
                <w:color w:val="auto"/>
                <w:sz w:val="21"/>
                <w:szCs w:val="21"/>
                <w:highlight w:val="none"/>
              </w:rPr>
            </w:pPr>
          </w:p>
        </w:tc>
      </w:tr>
    </w:tbl>
    <w:p w14:paraId="4F62808F">
      <w:pPr>
        <w:rPr>
          <w:rFonts w:ascii="宋体" w:hAnsi="宋体"/>
          <w:color w:val="auto"/>
          <w:szCs w:val="21"/>
          <w:highlight w:val="none"/>
        </w:rPr>
      </w:pPr>
    </w:p>
    <w:p w14:paraId="6C835048">
      <w:pPr>
        <w:ind w:firstLine="359" w:firstLineChars="171"/>
        <w:rPr>
          <w:rFonts w:ascii="宋体" w:hAnsi="宋体"/>
          <w:color w:val="auto"/>
          <w:szCs w:val="21"/>
          <w:highlight w:val="none"/>
        </w:rPr>
      </w:pPr>
    </w:p>
    <w:p w14:paraId="30E27C6E">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07DF38E1">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4DC1894C">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48A07048">
      <w:pPr>
        <w:ind w:firstLine="359" w:firstLineChars="171"/>
        <w:rPr>
          <w:rFonts w:ascii="宋体" w:hAnsi="宋体"/>
          <w:color w:val="auto"/>
          <w:szCs w:val="21"/>
          <w:highlight w:val="none"/>
        </w:rPr>
      </w:pPr>
    </w:p>
    <w:p w14:paraId="5C911F7D">
      <w:pPr>
        <w:ind w:left="391" w:hanging="390" w:hangingChars="186"/>
        <w:rPr>
          <w:rFonts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rPr>
        <w:t>注：</w:t>
      </w:r>
    </w:p>
    <w:p w14:paraId="50EB638C">
      <w:pPr>
        <w:ind w:firstLine="420" w:firstLineChars="200"/>
        <w:rPr>
          <w:rFonts w:ascii="宋体" w:hAnsi="宋体"/>
          <w:color w:val="auto"/>
          <w:szCs w:val="21"/>
          <w:highlight w:val="none"/>
        </w:rPr>
      </w:pPr>
      <w:r>
        <w:rPr>
          <w:rFonts w:hint="eastAsia" w:ascii="宋体" w:hAnsi="宋体"/>
          <w:color w:val="auto"/>
          <w:szCs w:val="21"/>
          <w:highlight w:val="none"/>
        </w:rPr>
        <w:t>1、暂定含税投标总价栏按照《危险废物运输费单价表》对应标包各区域、各车型“预计车次*投标单价报价”之和计取，并须用大写金额和小写金额两种方式表示的投标总价，</w:t>
      </w:r>
      <w:r>
        <w:rPr>
          <w:rFonts w:hint="eastAsia" w:ascii="宋体" w:hAnsi="宋体"/>
          <w:b/>
          <w:bCs/>
          <w:color w:val="auto"/>
          <w:szCs w:val="21"/>
          <w:highlight w:val="none"/>
        </w:rPr>
        <w:t>报价保留</w:t>
      </w:r>
      <w:r>
        <w:rPr>
          <w:rFonts w:hint="eastAsia" w:ascii="宋体" w:hAnsi="宋体"/>
          <w:b/>
          <w:bCs/>
          <w:color w:val="auto"/>
          <w:szCs w:val="21"/>
          <w:highlight w:val="none"/>
          <w:lang w:val="en-US" w:eastAsia="zh-CN"/>
        </w:rPr>
        <w:t>到个位</w:t>
      </w:r>
      <w:r>
        <w:rPr>
          <w:rFonts w:hint="eastAsia" w:ascii="宋体" w:hAnsi="宋体"/>
          <w:color w:val="auto"/>
          <w:szCs w:val="21"/>
          <w:highlight w:val="none"/>
        </w:rPr>
        <w:t>。投标总价大小写不一致，以大写为准</w:t>
      </w:r>
      <w:r>
        <w:rPr>
          <w:rFonts w:hint="eastAsia" w:ascii="宋体" w:hAnsi="宋体"/>
          <w:color w:val="auto"/>
          <w:szCs w:val="21"/>
          <w:highlight w:val="none"/>
          <w:lang w:eastAsia="zh-CN"/>
        </w:rPr>
        <w:t>；</w:t>
      </w:r>
      <w:r>
        <w:rPr>
          <w:rFonts w:hint="eastAsia" w:ascii="宋体" w:hAnsi="宋体"/>
          <w:color w:val="auto"/>
          <w:szCs w:val="21"/>
          <w:highlight w:val="none"/>
        </w:rPr>
        <w:t>投标价格开标一览表与《危险废物运输费单价表》不一致，以《危险废物运输费单价表》为准。投标总价必须准确唯一且应包含采购文件要求的费用。</w:t>
      </w:r>
    </w:p>
    <w:p w14:paraId="24B0C986">
      <w:pPr>
        <w:ind w:firstLine="420" w:firstLineChars="200"/>
        <w:rPr>
          <w:rFonts w:ascii="宋体" w:hAnsi="宋体"/>
          <w:color w:val="auto"/>
          <w:szCs w:val="21"/>
          <w:highlight w:val="none"/>
        </w:rPr>
      </w:pPr>
      <w:r>
        <w:rPr>
          <w:rFonts w:hint="eastAsia" w:ascii="宋体" w:hAnsi="宋体"/>
          <w:color w:val="auto"/>
          <w:szCs w:val="21"/>
          <w:highlight w:val="none"/>
        </w:rPr>
        <w:t>2、温馨提示：未按采购文件要求报价、填写开标一览表是导致</w:t>
      </w:r>
      <w:r>
        <w:rPr>
          <w:rFonts w:hint="eastAsia" w:ascii="宋体" w:hAnsi="宋体"/>
          <w:color w:val="auto"/>
          <w:szCs w:val="21"/>
          <w:highlight w:val="none"/>
          <w:lang w:eastAsia="zh-CN"/>
        </w:rPr>
        <w:t>投标人</w:t>
      </w:r>
      <w:r>
        <w:rPr>
          <w:rFonts w:hint="eastAsia" w:ascii="宋体" w:hAnsi="宋体"/>
          <w:color w:val="auto"/>
          <w:szCs w:val="21"/>
          <w:highlight w:val="none"/>
        </w:rPr>
        <w:t>废标的常见问题，请</w:t>
      </w:r>
      <w:r>
        <w:rPr>
          <w:rFonts w:hint="eastAsia" w:ascii="宋体" w:hAnsi="宋体"/>
          <w:color w:val="auto"/>
          <w:szCs w:val="21"/>
          <w:highlight w:val="none"/>
          <w:lang w:eastAsia="zh-CN"/>
        </w:rPr>
        <w:t>投标人</w:t>
      </w:r>
      <w:r>
        <w:rPr>
          <w:rFonts w:hint="eastAsia" w:ascii="宋体" w:hAnsi="宋体"/>
          <w:color w:val="auto"/>
          <w:szCs w:val="21"/>
          <w:highlight w:val="none"/>
        </w:rPr>
        <w:t>仔细填写，认真核对。漏写、错写或报价超过单价限价的，将被视为非实质性响应而予以投标无效处理。</w:t>
      </w:r>
    </w:p>
    <w:p w14:paraId="2EF18965">
      <w:pPr>
        <w:ind w:firstLine="420" w:firstLineChars="200"/>
        <w:rPr>
          <w:rFonts w:ascii="宋体" w:hAnsi="宋体"/>
          <w:color w:val="auto"/>
          <w:szCs w:val="21"/>
          <w:highlight w:val="none"/>
        </w:rPr>
      </w:pPr>
    </w:p>
    <w:p w14:paraId="36C3B276">
      <w:pPr>
        <w:pStyle w:val="4"/>
        <w:spacing w:line="240" w:lineRule="auto"/>
        <w:rPr>
          <w:rFonts w:ascii="黑体" w:hAnsi="Times New Roman"/>
          <w:b w:val="0"/>
          <w:bCs w:val="0"/>
          <w:color w:val="auto"/>
          <w:sz w:val="28"/>
          <w:szCs w:val="28"/>
          <w:highlight w:val="none"/>
        </w:rPr>
      </w:pPr>
      <w:r>
        <w:rPr>
          <w:rFonts w:hint="eastAsia" w:ascii="宋体" w:hAnsi="宋体"/>
          <w:color w:val="auto"/>
          <w:szCs w:val="21"/>
          <w:highlight w:val="none"/>
        </w:rPr>
        <w:br w:type="page"/>
      </w:r>
      <w:bookmarkStart w:id="473" w:name="_Toc11933"/>
      <w:r>
        <w:rPr>
          <w:rFonts w:hint="eastAsia" w:ascii="宋体" w:hAnsi="宋体" w:eastAsia="宋体" w:cstheme="majorBidi"/>
          <w:b/>
          <w:bCs/>
          <w:color w:val="auto"/>
          <w:sz w:val="21"/>
          <w:szCs w:val="21"/>
          <w:highlight w:val="none"/>
          <w:lang w:val="en-US" w:eastAsia="zh-CN" w:bidi="ar-SA"/>
        </w:rPr>
        <w:t>附件3.</w:t>
      </w:r>
      <w:bookmarkStart w:id="474" w:name="_Toc23105"/>
      <w:r>
        <w:rPr>
          <w:rFonts w:hint="eastAsia" w:ascii="宋体" w:hAnsi="宋体" w:eastAsia="宋体" w:cstheme="majorBidi"/>
          <w:b/>
          <w:bCs/>
          <w:color w:val="auto"/>
          <w:sz w:val="21"/>
          <w:szCs w:val="21"/>
          <w:highlight w:val="none"/>
          <w:lang w:val="en-US" w:eastAsia="zh-CN" w:bidi="ar-SA"/>
        </w:rPr>
        <w:t>分项报价表</w:t>
      </w:r>
      <w:bookmarkEnd w:id="473"/>
      <w:bookmarkEnd w:id="474"/>
    </w:p>
    <w:p w14:paraId="1F69C0C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eastAsia="宋体"/>
          <w:color w:val="auto"/>
          <w:highlight w:val="none"/>
          <w:lang w:val="en-US" w:eastAsia="zh-CN"/>
        </w:rPr>
      </w:pPr>
      <w:r>
        <w:rPr>
          <w:rFonts w:hint="eastAsia"/>
          <w:color w:val="auto"/>
          <w:highlight w:val="none"/>
        </w:rPr>
        <w:t>1.格式详见采购文件附件《危险废物运输费单价表》</w:t>
      </w:r>
      <w:r>
        <w:rPr>
          <w:rFonts w:hint="eastAsia"/>
          <w:color w:val="auto"/>
          <w:highlight w:val="none"/>
          <w:lang w:eastAsia="zh-CN"/>
        </w:rPr>
        <w:t>，</w:t>
      </w:r>
      <w:r>
        <w:rPr>
          <w:rFonts w:hint="eastAsia"/>
          <w:color w:val="auto"/>
          <w:highlight w:val="none"/>
          <w:lang w:val="en-US" w:eastAsia="zh-CN"/>
        </w:rPr>
        <w:t>要求盖公章；</w:t>
      </w:r>
    </w:p>
    <w:p w14:paraId="5F84364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color w:val="auto"/>
          <w:highlight w:val="none"/>
        </w:rPr>
      </w:pPr>
      <w:r>
        <w:rPr>
          <w:rFonts w:hint="eastAsia"/>
          <w:color w:val="auto"/>
          <w:highlight w:val="none"/>
        </w:rPr>
        <w:t>2.本项目采用固定单价暂定总价方式报价，</w:t>
      </w:r>
      <w:r>
        <w:rPr>
          <w:rFonts w:hint="eastAsia"/>
          <w:color w:val="auto"/>
          <w:highlight w:val="none"/>
          <w:lang w:eastAsia="zh-CN"/>
        </w:rPr>
        <w:t>投标人</w:t>
      </w:r>
      <w:r>
        <w:rPr>
          <w:rFonts w:hint="eastAsia"/>
          <w:color w:val="auto"/>
          <w:highlight w:val="none"/>
        </w:rPr>
        <w:t>必须根据附件《危险废物运输费单价表》规定的各标段、各区域、各车型的单价限价（元/车次）范围内进行报价（</w:t>
      </w:r>
      <w:r>
        <w:rPr>
          <w:rFonts w:hint="eastAsia"/>
          <w:b/>
          <w:bCs/>
          <w:color w:val="auto"/>
          <w:highlight w:val="none"/>
        </w:rPr>
        <w:t>报价为含税价且保留至个位数</w:t>
      </w:r>
      <w:r>
        <w:rPr>
          <w:rFonts w:hint="eastAsia"/>
          <w:color w:val="auto"/>
          <w:highlight w:val="none"/>
        </w:rPr>
        <w:t>），并结合相应的预计车次计算出暂定总价（含税价），即某标段所有区域各车型供应商所投运输单价报价与对应预计次数的乘积之和；</w:t>
      </w:r>
    </w:p>
    <w:p w14:paraId="71112D76">
      <w:pPr>
        <w:keepNext w:val="0"/>
        <w:keepLines w:val="0"/>
        <w:pageBreakBefore w:val="0"/>
        <w:kinsoku/>
        <w:wordWrap/>
        <w:overflowPunct/>
        <w:topLinePunct w:val="0"/>
        <w:autoSpaceDE/>
        <w:autoSpaceDN/>
        <w:bidi w:val="0"/>
        <w:spacing w:line="500" w:lineRule="exact"/>
        <w:ind w:firstLine="420" w:firstLineChars="200"/>
        <w:textAlignment w:val="auto"/>
        <w:rPr>
          <w:rFonts w:ascii="宋体" w:hAnsi="宋体" w:cs="宋体"/>
          <w:b/>
          <w:color w:val="auto"/>
          <w:szCs w:val="21"/>
          <w:highlight w:val="none"/>
        </w:rPr>
      </w:pPr>
      <w:r>
        <w:rPr>
          <w:rFonts w:hint="eastAsia"/>
          <w:color w:val="auto"/>
          <w:highlight w:val="none"/>
        </w:rPr>
        <w:t>3.</w:t>
      </w:r>
      <w:r>
        <w:rPr>
          <w:rFonts w:hint="eastAsia"/>
          <w:color w:val="auto"/>
          <w:highlight w:val="none"/>
          <w:lang w:eastAsia="zh-CN"/>
        </w:rPr>
        <w:t>投标人</w:t>
      </w:r>
      <w:r>
        <w:rPr>
          <w:rFonts w:hint="eastAsia"/>
          <w:color w:val="auto"/>
          <w:highlight w:val="none"/>
        </w:rPr>
        <w:t>必须严格按照附件《危险废物运输费单价表》进行填写，漏写、错写或报价超过单价限价的，将被视为非实质性响应而予以投标无效处理。</w:t>
      </w:r>
    </w:p>
    <w:p w14:paraId="6EB2FA1B">
      <w:pPr>
        <w:rPr>
          <w:color w:val="auto"/>
          <w:highlight w:val="none"/>
        </w:rPr>
      </w:pPr>
    </w:p>
    <w:p w14:paraId="34DEF644">
      <w:pPr>
        <w:rPr>
          <w:rFonts w:ascii="宋体" w:hAnsi="宋体"/>
          <w:color w:val="auto"/>
          <w:szCs w:val="21"/>
          <w:highlight w:val="none"/>
        </w:rPr>
      </w:pPr>
      <w:bookmarkStart w:id="475" w:name="_Toc12412"/>
      <w:r>
        <w:rPr>
          <w:rFonts w:hint="eastAsia" w:ascii="宋体" w:hAnsi="宋体"/>
          <w:color w:val="auto"/>
          <w:szCs w:val="21"/>
          <w:highlight w:val="none"/>
        </w:rPr>
        <w:br w:type="page"/>
      </w:r>
    </w:p>
    <w:bookmarkEnd w:id="475"/>
    <w:p w14:paraId="6FEA73AF">
      <w:pPr>
        <w:rPr>
          <w:color w:val="auto"/>
          <w:sz w:val="52"/>
          <w:szCs w:val="52"/>
          <w:highlight w:val="none"/>
        </w:rPr>
      </w:pPr>
    </w:p>
    <w:p w14:paraId="577FA350">
      <w:pPr>
        <w:pStyle w:val="4"/>
        <w:spacing w:before="0" w:after="0" w:line="360" w:lineRule="auto"/>
        <w:jc w:val="center"/>
        <w:rPr>
          <w:color w:val="auto"/>
          <w:sz w:val="72"/>
          <w:szCs w:val="72"/>
          <w:highlight w:val="none"/>
        </w:rPr>
      </w:pPr>
      <w:bookmarkStart w:id="476" w:name="_Toc29645"/>
      <w:r>
        <w:rPr>
          <w:rFonts w:hint="eastAsia"/>
          <w:color w:val="auto"/>
          <w:sz w:val="72"/>
          <w:szCs w:val="72"/>
          <w:highlight w:val="none"/>
        </w:rPr>
        <w:t>商务文件</w:t>
      </w:r>
      <w:bookmarkEnd w:id="476"/>
    </w:p>
    <w:p w14:paraId="2D789219">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14:paraId="4F2552AC">
      <w:pPr>
        <w:rPr>
          <w:color w:val="auto"/>
          <w:highlight w:val="none"/>
        </w:rPr>
      </w:pPr>
    </w:p>
    <w:p w14:paraId="6DE4DAAF">
      <w:pPr>
        <w:pStyle w:val="10"/>
        <w:rPr>
          <w:color w:val="auto"/>
          <w:highlight w:val="none"/>
        </w:rPr>
      </w:pPr>
    </w:p>
    <w:p w14:paraId="22651B2C">
      <w:pPr>
        <w:pStyle w:val="27"/>
        <w:ind w:firstLine="240"/>
        <w:rPr>
          <w:color w:val="auto"/>
          <w:highlight w:val="none"/>
        </w:rPr>
      </w:pPr>
    </w:p>
    <w:p w14:paraId="0C33FD14">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292250509"/>
        </w:rPr>
        <w:t>项目名</w:t>
      </w:r>
      <w:r>
        <w:rPr>
          <w:rFonts w:hint="eastAsia" w:ascii="宋体" w:hAnsi="宋体" w:cs="宋体"/>
          <w:b/>
          <w:bCs/>
          <w:color w:val="auto"/>
          <w:spacing w:val="1"/>
          <w:kern w:val="0"/>
          <w:sz w:val="32"/>
          <w:szCs w:val="32"/>
          <w:highlight w:val="none"/>
          <w:fitText w:val="1600" w:id="292250509"/>
        </w:rPr>
        <w:t>称</w:t>
      </w:r>
      <w:r>
        <w:rPr>
          <w:rFonts w:hint="eastAsia" w:ascii="宋体" w:hAnsi="宋体" w:cs="宋体"/>
          <w:b/>
          <w:bCs/>
          <w:color w:val="auto"/>
          <w:spacing w:val="-6"/>
          <w:sz w:val="32"/>
          <w:szCs w:val="32"/>
          <w:highlight w:val="none"/>
        </w:rPr>
        <w:t>：</w:t>
      </w:r>
    </w:p>
    <w:p w14:paraId="5B213719">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1231831253"/>
        </w:rPr>
        <w:t>项目编</w:t>
      </w:r>
      <w:r>
        <w:rPr>
          <w:rFonts w:hint="eastAsia" w:ascii="宋体" w:hAnsi="宋体" w:cs="宋体"/>
          <w:b/>
          <w:bCs/>
          <w:color w:val="auto"/>
          <w:spacing w:val="1"/>
          <w:kern w:val="0"/>
          <w:sz w:val="32"/>
          <w:szCs w:val="32"/>
          <w:highlight w:val="none"/>
          <w:fitText w:val="1600" w:id="1231831253"/>
        </w:rPr>
        <w:t>号</w:t>
      </w:r>
      <w:r>
        <w:rPr>
          <w:rFonts w:hint="eastAsia" w:ascii="宋体" w:hAnsi="宋体" w:cs="宋体"/>
          <w:b/>
          <w:bCs/>
          <w:color w:val="auto"/>
          <w:sz w:val="32"/>
          <w:szCs w:val="32"/>
          <w:highlight w:val="none"/>
        </w:rPr>
        <w:t>：</w:t>
      </w:r>
    </w:p>
    <w:p w14:paraId="39727CC8">
      <w:pPr>
        <w:pStyle w:val="10"/>
        <w:ind w:left="0"/>
        <w:rPr>
          <w:b/>
          <w:color w:val="auto"/>
          <w:spacing w:val="1280"/>
          <w:sz w:val="32"/>
          <w:szCs w:val="32"/>
          <w:highlight w:val="none"/>
        </w:rPr>
      </w:pPr>
      <w:r>
        <w:rPr>
          <w:b/>
          <w:color w:val="auto"/>
          <w:spacing w:val="106"/>
          <w:sz w:val="32"/>
          <w:szCs w:val="32"/>
          <w:highlight w:val="none"/>
          <w:lang w:val="en-US" w:bidi="ar-SA"/>
        </w:rPr>
        <w:t>包组号（如有）：</w:t>
      </w:r>
    </w:p>
    <w:p w14:paraId="511782EE">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764384445"/>
        </w:rPr>
        <w:t>投标人名称</w:t>
      </w:r>
      <w:r>
        <w:rPr>
          <w:rFonts w:hint="eastAsia" w:ascii="宋体" w:hAnsi="宋体" w:cs="宋体"/>
          <w:b/>
          <w:color w:val="auto"/>
          <w:sz w:val="32"/>
          <w:szCs w:val="32"/>
          <w:highlight w:val="none"/>
        </w:rPr>
        <w:t>：</w:t>
      </w:r>
    </w:p>
    <w:p w14:paraId="746454DD">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2061173831"/>
        </w:rPr>
        <w:t xml:space="preserve">日    </w:t>
      </w:r>
      <w:r>
        <w:rPr>
          <w:rFonts w:hint="eastAsia" w:ascii="宋体" w:hAnsi="宋体" w:cs="宋体"/>
          <w:b/>
          <w:color w:val="auto"/>
          <w:spacing w:val="0"/>
          <w:kern w:val="0"/>
          <w:sz w:val="32"/>
          <w:szCs w:val="32"/>
          <w:highlight w:val="none"/>
          <w:fitText w:val="1600" w:id="2061173831"/>
        </w:rPr>
        <w:t>期</w:t>
      </w:r>
      <w:r>
        <w:rPr>
          <w:rFonts w:hint="eastAsia" w:ascii="宋体" w:hAnsi="宋体" w:cs="宋体"/>
          <w:b/>
          <w:color w:val="auto"/>
          <w:sz w:val="32"/>
          <w:szCs w:val="32"/>
          <w:highlight w:val="none"/>
        </w:rPr>
        <w:t>：</w:t>
      </w:r>
    </w:p>
    <w:p w14:paraId="55A23E62">
      <w:pPr>
        <w:pStyle w:val="10"/>
        <w:rPr>
          <w:b/>
          <w:color w:val="auto"/>
          <w:sz w:val="32"/>
          <w:szCs w:val="32"/>
          <w:highlight w:val="none"/>
        </w:rPr>
      </w:pPr>
    </w:p>
    <w:p w14:paraId="2C6100C8">
      <w:pPr>
        <w:pStyle w:val="27"/>
        <w:ind w:firstLine="321"/>
        <w:rPr>
          <w:b/>
          <w:color w:val="auto"/>
          <w:sz w:val="32"/>
          <w:szCs w:val="32"/>
          <w:highlight w:val="none"/>
        </w:rPr>
      </w:pPr>
    </w:p>
    <w:p w14:paraId="3A0A75F1">
      <w:pPr>
        <w:pStyle w:val="22"/>
        <w:rPr>
          <w:rFonts w:ascii="宋体" w:hAnsi="宋体" w:cs="宋体"/>
          <w:b/>
          <w:color w:val="auto"/>
          <w:sz w:val="32"/>
          <w:szCs w:val="32"/>
          <w:highlight w:val="none"/>
        </w:rPr>
      </w:pPr>
    </w:p>
    <w:p w14:paraId="142E2AC1">
      <w:pPr>
        <w:rPr>
          <w:rFonts w:ascii="宋体" w:hAnsi="宋体" w:cs="宋体"/>
          <w:b/>
          <w:color w:val="auto"/>
          <w:sz w:val="32"/>
          <w:szCs w:val="32"/>
          <w:highlight w:val="none"/>
        </w:rPr>
      </w:pPr>
    </w:p>
    <w:p w14:paraId="4D7A348D">
      <w:pPr>
        <w:pStyle w:val="10"/>
        <w:rPr>
          <w:b/>
          <w:color w:val="auto"/>
          <w:sz w:val="32"/>
          <w:szCs w:val="32"/>
          <w:highlight w:val="none"/>
        </w:rPr>
      </w:pPr>
    </w:p>
    <w:p w14:paraId="65E7FDB7">
      <w:pPr>
        <w:rPr>
          <w:color w:val="auto"/>
          <w:highlight w:val="none"/>
        </w:rPr>
      </w:pPr>
    </w:p>
    <w:p w14:paraId="1EEE195A">
      <w:pPr>
        <w:rPr>
          <w:rFonts w:ascii="宋体" w:hAnsi="宋体"/>
          <w:color w:val="auto"/>
          <w:szCs w:val="21"/>
          <w:highlight w:val="none"/>
        </w:rPr>
      </w:pPr>
      <w:r>
        <w:rPr>
          <w:rFonts w:hint="eastAsia" w:ascii="宋体" w:hAnsi="宋体"/>
          <w:color w:val="auto"/>
          <w:szCs w:val="21"/>
          <w:highlight w:val="none"/>
        </w:rPr>
        <w:br w:type="page"/>
      </w:r>
    </w:p>
    <w:p w14:paraId="397E4CCC">
      <w:pPr>
        <w:pStyle w:val="6"/>
        <w:widowControl w:val="0"/>
        <w:overflowPunct w:val="0"/>
        <w:spacing w:line="240" w:lineRule="auto"/>
        <w:rPr>
          <w:color w:val="auto"/>
          <w:highlight w:val="none"/>
        </w:rPr>
      </w:pPr>
      <w:bookmarkStart w:id="477" w:name="_Toc16903"/>
      <w:r>
        <w:rPr>
          <w:rFonts w:hint="eastAsia" w:ascii="宋体" w:hAnsi="宋体"/>
          <w:color w:val="auto"/>
          <w:sz w:val="21"/>
          <w:szCs w:val="21"/>
          <w:highlight w:val="none"/>
        </w:rPr>
        <w:t>附件4.投标书格式</w:t>
      </w:r>
      <w:bookmarkEnd w:id="477"/>
    </w:p>
    <w:p w14:paraId="5FD5F4AE">
      <w:pPr>
        <w:jc w:val="center"/>
        <w:rPr>
          <w:rFonts w:ascii="宋体" w:hAnsi="宋体"/>
          <w:color w:val="auto"/>
          <w:szCs w:val="21"/>
          <w:highlight w:val="none"/>
        </w:rPr>
      </w:pPr>
      <w:r>
        <w:rPr>
          <w:rFonts w:hint="eastAsia" w:ascii="黑体" w:eastAsia="黑体"/>
          <w:color w:val="auto"/>
          <w:sz w:val="32"/>
          <w:szCs w:val="32"/>
          <w:highlight w:val="none"/>
        </w:rPr>
        <w:t>投标书</w:t>
      </w:r>
    </w:p>
    <w:p w14:paraId="2342D43A">
      <w:pPr>
        <w:rPr>
          <w:rFonts w:ascii="宋体" w:hAnsi="宋体"/>
          <w:color w:val="auto"/>
          <w:szCs w:val="21"/>
          <w:highlight w:val="none"/>
        </w:rPr>
      </w:pPr>
      <w:r>
        <w:rPr>
          <w:rFonts w:hint="eastAsia" w:ascii="宋体" w:hAnsi="宋体"/>
          <w:color w:val="auto"/>
          <w:szCs w:val="21"/>
          <w:highlight w:val="none"/>
        </w:rPr>
        <w:t>致：xxx公司：</w:t>
      </w:r>
    </w:p>
    <w:p w14:paraId="34667DE4">
      <w:pPr>
        <w:rPr>
          <w:rFonts w:ascii="宋体" w:hAnsi="宋体"/>
          <w:color w:val="auto"/>
          <w:szCs w:val="21"/>
          <w:highlight w:val="none"/>
        </w:rPr>
      </w:pPr>
    </w:p>
    <w:p w14:paraId="04F8CDF2">
      <w:pP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项目采购公告/采购邀请，签字代表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hAnsi="宋体"/>
          <w:color w:val="auto"/>
          <w:szCs w:val="21"/>
          <w:highlight w:val="none"/>
        </w:rPr>
        <w:t>提交投标文件及“唱标信封”：</w:t>
      </w:r>
    </w:p>
    <w:p w14:paraId="46E14D20">
      <w:pP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14:paraId="7120C530">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我方将按采购文件的规定履行合同责任和义务。 </w:t>
      </w:r>
    </w:p>
    <w:p w14:paraId="225DE3DA">
      <w:pPr>
        <w:widowControl w:val="0"/>
        <w:numPr>
          <w:ilvl w:val="0"/>
          <w:numId w:val="11"/>
        </w:numP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我方已完整阅读了本项目采购文件的所有内容（包括澄清，以及所有已提供的参考资料和有关附件），并完全理解上述文件所表达的意思，</w:t>
      </w:r>
      <w:r>
        <w:rPr>
          <w:rFonts w:hint="eastAsia" w:ascii="宋体" w:hAnsi="宋体"/>
          <w:b/>
          <w:color w:val="auto"/>
          <w:szCs w:val="21"/>
          <w:highlight w:val="none"/>
          <w:lang w:val="en-US" w:eastAsia="zh-CN"/>
        </w:rPr>
        <w:t>在</w:t>
      </w:r>
      <w:r>
        <w:rPr>
          <w:rFonts w:hint="eastAsia" w:ascii="宋体" w:hAnsi="宋体"/>
          <w:b/>
          <w:color w:val="auto"/>
          <w:szCs w:val="21"/>
          <w:highlight w:val="none"/>
        </w:rPr>
        <w:t>该项目递交投标文件时间截止后，我方承诺不再对上述文件内容进行异议。</w:t>
      </w:r>
    </w:p>
    <w:p w14:paraId="4B509E54">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14:paraId="0DAF5B2C">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14:paraId="3523D24B">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18128D2D">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我方承诺，我方具备投标人邀请中所要求的资格条件，已清楚采购文件所有要求及有关规定；并承诺参加本次采购活动中，如有违法、违规、弄虚作假行为，所造成的损失、不良后果及法律责任，一律由我方承担；</w:t>
      </w:r>
    </w:p>
    <w:p w14:paraId="6B04333D">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我方同意提供按照贵方可能要求的与其投标有关的一切数据或资料。</w:t>
      </w:r>
    </w:p>
    <w:p w14:paraId="12D89395">
      <w:pPr>
        <w:widowControl w:val="0"/>
        <w:numPr>
          <w:ilvl w:val="0"/>
          <w:numId w:val="11"/>
        </w:numPr>
        <w:adjustRightInd/>
        <w:snapToGrid/>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7A624135">
      <w:pPr>
        <w:rPr>
          <w:rFonts w:ascii="宋体" w:hAnsi="宋体"/>
          <w:color w:val="auto"/>
          <w:szCs w:val="21"/>
          <w:highlight w:val="none"/>
        </w:rPr>
      </w:pPr>
      <w:r>
        <w:rPr>
          <w:rFonts w:hint="eastAsia" w:ascii="宋体" w:hAnsi="宋体"/>
          <w:color w:val="auto"/>
          <w:szCs w:val="21"/>
          <w:highlight w:val="none"/>
        </w:rPr>
        <w:t>地址：　　　　　　　　　　　　　　　　　　　 电子邮箱：</w:t>
      </w:r>
    </w:p>
    <w:p w14:paraId="69970AE4">
      <w:pPr>
        <w:rPr>
          <w:rFonts w:ascii="宋体" w:hAnsi="宋体"/>
          <w:color w:val="auto"/>
          <w:szCs w:val="21"/>
          <w:highlight w:val="none"/>
        </w:rPr>
      </w:pPr>
      <w:r>
        <w:rPr>
          <w:rFonts w:hint="eastAsia" w:ascii="宋体" w:hAnsi="宋体"/>
          <w:color w:val="auto"/>
          <w:szCs w:val="21"/>
          <w:highlight w:val="none"/>
        </w:rPr>
        <w:t>电话/移动电话：　　　　　　　　　　　　　　　</w:t>
      </w:r>
    </w:p>
    <w:p w14:paraId="30A729C6">
      <w:pPr>
        <w:rPr>
          <w:rFonts w:ascii="宋体" w:hAnsi="宋体"/>
          <w:color w:val="auto"/>
          <w:szCs w:val="21"/>
          <w:highlight w:val="none"/>
        </w:rPr>
      </w:pPr>
      <w:r>
        <w:rPr>
          <w:rFonts w:hint="eastAsia" w:ascii="宋体" w:hAnsi="宋体"/>
          <w:color w:val="auto"/>
          <w:szCs w:val="21"/>
          <w:highlight w:val="none"/>
        </w:rPr>
        <w:t xml:space="preserve">投标人法定代表人（或其授权代表）签字： </w:t>
      </w:r>
    </w:p>
    <w:p w14:paraId="365ECBDB">
      <w:pPr>
        <w:rPr>
          <w:rFonts w:ascii="宋体" w:hAnsi="宋体"/>
          <w:color w:val="auto"/>
          <w:szCs w:val="21"/>
          <w:highlight w:val="none"/>
        </w:rPr>
      </w:pPr>
      <w:r>
        <w:rPr>
          <w:rFonts w:hint="eastAsia" w:ascii="宋体" w:hAnsi="宋体"/>
          <w:color w:val="auto"/>
          <w:szCs w:val="21"/>
          <w:highlight w:val="none"/>
        </w:rPr>
        <w:t xml:space="preserve">投标人名称（全称）： </w:t>
      </w:r>
    </w:p>
    <w:p w14:paraId="0F031A5E">
      <w:pPr>
        <w:rPr>
          <w:rFonts w:ascii="宋体" w:hAnsi="宋体"/>
          <w:color w:val="auto"/>
          <w:szCs w:val="21"/>
          <w:highlight w:val="none"/>
        </w:rPr>
      </w:pPr>
      <w:r>
        <w:rPr>
          <w:rFonts w:hint="eastAsia" w:ascii="宋体" w:hAnsi="宋体"/>
          <w:color w:val="auto"/>
          <w:szCs w:val="21"/>
          <w:highlight w:val="none"/>
        </w:rPr>
        <w:t xml:space="preserve">投标人盖章： </w:t>
      </w:r>
    </w:p>
    <w:p w14:paraId="3EE00456">
      <w:pPr>
        <w:rPr>
          <w:color w:val="auto"/>
          <w:highlight w:val="none"/>
        </w:rPr>
      </w:pPr>
      <w:r>
        <w:rPr>
          <w:rFonts w:hint="eastAsia" w:ascii="宋体" w:hAnsi="宋体"/>
          <w:color w:val="auto"/>
          <w:szCs w:val="21"/>
          <w:highlight w:val="none"/>
        </w:rPr>
        <w:t>日期：</w:t>
      </w:r>
      <w:r>
        <w:rPr>
          <w:color w:val="auto"/>
          <w:highlight w:val="none"/>
        </w:rPr>
        <w:br w:type="page"/>
      </w:r>
    </w:p>
    <w:p w14:paraId="24E1A032">
      <w:pPr>
        <w:pStyle w:val="6"/>
        <w:widowControl w:val="0"/>
        <w:overflowPunct w:val="0"/>
        <w:spacing w:line="240" w:lineRule="auto"/>
        <w:rPr>
          <w:rFonts w:ascii="宋体" w:hAnsi="宋体"/>
          <w:color w:val="auto"/>
          <w:sz w:val="21"/>
          <w:szCs w:val="21"/>
          <w:highlight w:val="none"/>
        </w:rPr>
      </w:pPr>
      <w:bookmarkStart w:id="478" w:name="_Toc13039"/>
      <w:r>
        <w:rPr>
          <w:rFonts w:hint="eastAsia" w:ascii="宋体" w:hAnsi="宋体"/>
          <w:color w:val="auto"/>
          <w:sz w:val="21"/>
          <w:szCs w:val="21"/>
          <w:highlight w:val="none"/>
        </w:rPr>
        <w:t>附件5. 法定代表人证明书格式</w:t>
      </w:r>
      <w:bookmarkEnd w:id="478"/>
    </w:p>
    <w:p w14:paraId="51235E31">
      <w:pPr>
        <w:rPr>
          <w:color w:val="auto"/>
          <w:highlight w:val="none"/>
        </w:rPr>
      </w:pPr>
    </w:p>
    <w:p w14:paraId="767A5292">
      <w:pP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14:paraId="7385145C">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致：xxx公司</w:t>
      </w:r>
    </w:p>
    <w:p w14:paraId="4C45C384">
      <w:pPr>
        <w:pStyle w:val="44"/>
        <w:spacing w:line="420" w:lineRule="atLeast"/>
        <w:ind w:firstLine="433"/>
        <w:rPr>
          <w:rFonts w:ascii="宋体" w:eastAsia="宋体"/>
          <w:color w:val="auto"/>
          <w:sz w:val="21"/>
          <w:szCs w:val="21"/>
          <w:highlight w:val="none"/>
        </w:rPr>
      </w:pPr>
    </w:p>
    <w:p w14:paraId="07B32BAA">
      <w:pPr>
        <w:pStyle w:val="4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投标人名称:</w:t>
      </w:r>
    </w:p>
    <w:p w14:paraId="141339D8">
      <w:pPr>
        <w:pStyle w:val="4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14:paraId="4E6AC434">
      <w:pPr>
        <w:pStyle w:val="44"/>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14:paraId="2B645FBC">
      <w:pPr>
        <w:pStyle w:val="4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14:paraId="4F468D25">
      <w:pPr>
        <w:pStyle w:val="4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14:paraId="2D139F57">
      <w:pPr>
        <w:pStyle w:val="4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14:paraId="3E359188">
      <w:pPr>
        <w:pStyle w:val="44"/>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系（投标人名称）的法定代表人。</w:t>
      </w:r>
    </w:p>
    <w:p w14:paraId="4C8F5877">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18DA1D0E">
      <w:pPr>
        <w:pStyle w:val="44"/>
        <w:spacing w:line="500" w:lineRule="atLeast"/>
        <w:ind w:firstLine="3517" w:firstLineChars="1675"/>
        <w:rPr>
          <w:rFonts w:ascii="宋体" w:eastAsia="宋体"/>
          <w:color w:val="auto"/>
          <w:sz w:val="21"/>
          <w:szCs w:val="21"/>
          <w:highlight w:val="none"/>
        </w:rPr>
      </w:pPr>
    </w:p>
    <w:p w14:paraId="410F28A8">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5B30ECFE">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69F64F55">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14:paraId="67C7DBBD">
      <w:pPr>
        <w:pStyle w:val="4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493ED78A">
      <w:pPr>
        <w:pStyle w:val="44"/>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49D68434">
      <w:pPr>
        <w:ind w:firstLine="420" w:firstLineChars="200"/>
        <w:rPr>
          <w:rFonts w:ascii="宋体" w:hAnsi="宋体"/>
          <w:color w:val="auto"/>
          <w:szCs w:val="21"/>
          <w:highlight w:val="none"/>
        </w:rPr>
      </w:pPr>
    </w:p>
    <w:p w14:paraId="285A7E81">
      <w:pP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30"/>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114494A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vAlign w:val="center"/>
          </w:tcPr>
          <w:p w14:paraId="39F205DD">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vAlign w:val="center"/>
          </w:tcPr>
          <w:p w14:paraId="6D8385DB">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62D5FEDE">
      <w:pPr>
        <w:rPr>
          <w:color w:val="auto"/>
          <w:highlight w:val="none"/>
        </w:rPr>
      </w:pPr>
    </w:p>
    <w:p w14:paraId="1E94DD67">
      <w:pPr>
        <w:adjustRightInd/>
        <w:snapToGrid/>
        <w:spacing w:line="276" w:lineRule="auto"/>
        <w:rPr>
          <w:rFonts w:ascii="楷体_GB2312" w:eastAsia="楷体_GB2312" w:hAnsiTheme="majorHAnsi" w:cstheme="majorBidi"/>
          <w:b/>
          <w:bCs/>
          <w:color w:val="auto"/>
          <w:sz w:val="24"/>
          <w:szCs w:val="28"/>
          <w:highlight w:val="none"/>
        </w:rPr>
      </w:pPr>
      <w:r>
        <w:rPr>
          <w:rFonts w:ascii="楷体_GB2312" w:eastAsia="楷体_GB2312"/>
          <w:color w:val="auto"/>
          <w:sz w:val="24"/>
          <w:highlight w:val="none"/>
        </w:rPr>
        <w:br w:type="page"/>
      </w:r>
    </w:p>
    <w:p w14:paraId="53DE3F35">
      <w:pPr>
        <w:pStyle w:val="6"/>
        <w:widowControl w:val="0"/>
        <w:overflowPunct w:val="0"/>
        <w:spacing w:line="240" w:lineRule="auto"/>
        <w:rPr>
          <w:color w:val="auto"/>
          <w:highlight w:val="none"/>
        </w:rPr>
      </w:pPr>
      <w:bookmarkStart w:id="479" w:name="_Toc28322"/>
      <w:r>
        <w:rPr>
          <w:rFonts w:hint="eastAsia" w:ascii="宋体" w:hAnsi="宋体"/>
          <w:color w:val="auto"/>
          <w:sz w:val="21"/>
          <w:szCs w:val="21"/>
          <w:highlight w:val="none"/>
        </w:rPr>
        <w:t>附件6.法定代表人授权书格式</w:t>
      </w:r>
      <w:bookmarkEnd w:id="479"/>
    </w:p>
    <w:p w14:paraId="08EBCD16">
      <w:pPr>
        <w:rPr>
          <w:color w:val="auto"/>
          <w:highlight w:val="none"/>
        </w:rPr>
      </w:pPr>
    </w:p>
    <w:p w14:paraId="1466DD40">
      <w:pP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14:paraId="384E275A">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致：xxx公司</w:t>
      </w:r>
    </w:p>
    <w:p w14:paraId="2AC3BE83">
      <w:pPr>
        <w:pStyle w:val="44"/>
        <w:spacing w:line="420" w:lineRule="atLeast"/>
        <w:ind w:firstLine="433"/>
        <w:rPr>
          <w:rFonts w:ascii="宋体" w:eastAsia="宋体"/>
          <w:color w:val="auto"/>
          <w:sz w:val="21"/>
          <w:szCs w:val="21"/>
          <w:highlight w:val="none"/>
        </w:rPr>
      </w:pPr>
    </w:p>
    <w:p w14:paraId="2E0E6677">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投标及参加项目谈判，以本单位名义处理一切与之有关的事务。</w:t>
      </w:r>
    </w:p>
    <w:p w14:paraId="2AAD7CD4">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2257E23A">
      <w:pPr>
        <w:pStyle w:val="44"/>
        <w:spacing w:line="500" w:lineRule="atLeast"/>
        <w:ind w:firstLine="3517" w:firstLineChars="1675"/>
        <w:rPr>
          <w:rFonts w:ascii="宋体" w:eastAsia="宋体"/>
          <w:color w:val="auto"/>
          <w:sz w:val="21"/>
          <w:szCs w:val="21"/>
          <w:highlight w:val="none"/>
        </w:rPr>
      </w:pPr>
    </w:p>
    <w:p w14:paraId="6EE9447D">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242C020F">
      <w:pPr>
        <w:pStyle w:val="4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14:paraId="4ECD6673">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14:paraId="239BA487">
      <w:pPr>
        <w:pStyle w:val="44"/>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14:paraId="0A194B5C">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14:paraId="6DFD8BFA">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14:paraId="47354B53">
      <w:pPr>
        <w:pStyle w:val="44"/>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14:paraId="5A267128">
      <w:pPr>
        <w:pStyle w:val="44"/>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0611F965">
      <w:pPr>
        <w:pStyle w:val="44"/>
        <w:spacing w:line="460" w:lineRule="exact"/>
        <w:ind w:firstLine="433"/>
        <w:rPr>
          <w:rFonts w:ascii="宋体" w:eastAsia="宋体"/>
          <w:color w:val="auto"/>
          <w:sz w:val="21"/>
          <w:szCs w:val="21"/>
          <w:highlight w:val="none"/>
        </w:rPr>
      </w:pPr>
    </w:p>
    <w:p w14:paraId="462423D1">
      <w:pPr>
        <w:ind w:firstLine="420" w:firstLineChars="200"/>
        <w:rPr>
          <w:color w:val="auto"/>
          <w:highlight w:val="none"/>
        </w:rPr>
      </w:pPr>
      <w:r>
        <w:rPr>
          <w:rFonts w:hint="eastAsia" w:ascii="宋体" w:hAnsi="宋体"/>
          <w:color w:val="auto"/>
          <w:szCs w:val="21"/>
          <w:highlight w:val="none"/>
        </w:rPr>
        <w:t>须附：被授权人身份证复印件。</w:t>
      </w:r>
    </w:p>
    <w:tbl>
      <w:tblPr>
        <w:tblStyle w:val="30"/>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052446F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vAlign w:val="center"/>
          </w:tcPr>
          <w:p w14:paraId="10571D3B">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vAlign w:val="center"/>
          </w:tcPr>
          <w:p w14:paraId="149A5589">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3AFA51FE">
      <w:pPr>
        <w:adjustRightInd/>
        <w:snapToGrid/>
        <w:spacing w:line="276" w:lineRule="auto"/>
        <w:rPr>
          <w:color w:val="auto"/>
          <w:highlight w:val="none"/>
        </w:rPr>
      </w:pPr>
      <w:bookmarkStart w:id="480" w:name="_Toc22486"/>
      <w:r>
        <w:rPr>
          <w:rFonts w:hint="eastAsia" w:ascii="宋体" w:hAnsi="宋体"/>
          <w:color w:val="auto"/>
          <w:szCs w:val="21"/>
          <w:highlight w:val="none"/>
        </w:rPr>
        <w:br w:type="page"/>
      </w:r>
    </w:p>
    <w:p w14:paraId="1751C279">
      <w:pPr>
        <w:pStyle w:val="6"/>
        <w:widowControl w:val="0"/>
        <w:overflowPunct w:val="0"/>
        <w:spacing w:line="240" w:lineRule="auto"/>
        <w:rPr>
          <w:rFonts w:ascii="宋体" w:hAnsi="宋体"/>
          <w:color w:val="auto"/>
          <w:sz w:val="21"/>
          <w:szCs w:val="21"/>
          <w:highlight w:val="none"/>
        </w:rPr>
      </w:pPr>
      <w:bookmarkStart w:id="481" w:name="_Toc27829"/>
      <w:r>
        <w:rPr>
          <w:rFonts w:hint="eastAsia" w:ascii="宋体" w:hAnsi="宋体"/>
          <w:color w:val="auto"/>
          <w:sz w:val="21"/>
          <w:szCs w:val="21"/>
          <w:highlight w:val="none"/>
        </w:rPr>
        <w:t>附件7.资格申明</w:t>
      </w:r>
      <w:bookmarkEnd w:id="481"/>
    </w:p>
    <w:p w14:paraId="553EA114">
      <w:pP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14:paraId="1512428C">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xxx   </w:t>
      </w:r>
      <w:r>
        <w:rPr>
          <w:rFonts w:hint="eastAsia" w:ascii="宋体" w:eastAsia="宋体"/>
          <w:color w:val="auto"/>
          <w:sz w:val="21"/>
          <w:szCs w:val="21"/>
          <w:highlight w:val="none"/>
        </w:rPr>
        <w:t>公司：</w:t>
      </w:r>
    </w:p>
    <w:p w14:paraId="1807F5D4">
      <w:pPr>
        <w:ind w:firstLine="420" w:firstLineChars="200"/>
        <w:rPr>
          <w:rFonts w:ascii="宋体" w:hAnsi="宋体"/>
          <w:color w:val="auto"/>
          <w:szCs w:val="21"/>
          <w:highlight w:val="none"/>
        </w:rPr>
      </w:pPr>
    </w:p>
    <w:p w14:paraId="755E3220">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采购</w:t>
      </w:r>
      <w:r>
        <w:rPr>
          <w:rFonts w:ascii="宋体" w:hAnsi="宋体"/>
          <w:color w:val="auto"/>
          <w:szCs w:val="21"/>
          <w:highlight w:val="none"/>
        </w:rPr>
        <w:t>文件要求提交所附资格文件且声明和保证如下：</w:t>
      </w:r>
    </w:p>
    <w:p w14:paraId="207BE5AE">
      <w:pPr>
        <w:ind w:firstLine="420" w:firstLineChars="200"/>
        <w:rPr>
          <w:rFonts w:ascii="宋体" w:hAnsi="宋体"/>
          <w:color w:val="auto"/>
          <w:szCs w:val="21"/>
          <w:highlight w:val="none"/>
        </w:rPr>
      </w:pPr>
      <w:r>
        <w:rPr>
          <w:rFonts w:hint="eastAsia" w:ascii="宋体" w:hAnsi="宋体"/>
          <w:color w:val="auto"/>
          <w:szCs w:val="21"/>
          <w:highlight w:val="none"/>
        </w:rPr>
        <w:t>一、我方具备投标人邀请中所要求</w:t>
      </w:r>
      <w:r>
        <w:rPr>
          <w:rFonts w:hint="eastAsia" w:ascii="宋体" w:hAnsi="宋体"/>
          <w:color w:val="auto"/>
          <w:szCs w:val="21"/>
          <w:highlight w:val="none"/>
          <w:lang w:val="en-US" w:eastAsia="zh-CN"/>
        </w:rPr>
        <w:t>的</w:t>
      </w:r>
      <w:r>
        <w:rPr>
          <w:rFonts w:hint="eastAsia" w:ascii="宋体" w:hAnsi="宋体"/>
          <w:color w:val="auto"/>
          <w:szCs w:val="21"/>
          <w:highlight w:val="none"/>
        </w:rPr>
        <w:t>资格条件，已清楚采购文件所有要求及有关规定；并承诺参加本次采购活动中，如有违法、违规、弄虚作假行为，所造成的损失、不良后果及法律责任，一律由我方承担；</w:t>
      </w:r>
    </w:p>
    <w:p w14:paraId="28F1F670">
      <w:pP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rPr>
        <w:t>采购人</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14:paraId="7429AF51">
      <w:pPr>
        <w:pStyle w:val="44"/>
        <w:spacing w:line="500" w:lineRule="atLeast"/>
        <w:ind w:firstLine="3517" w:firstLineChars="1675"/>
        <w:rPr>
          <w:rFonts w:ascii="宋体" w:eastAsia="宋体"/>
          <w:color w:val="auto"/>
          <w:sz w:val="21"/>
          <w:szCs w:val="21"/>
          <w:highlight w:val="none"/>
        </w:rPr>
      </w:pPr>
    </w:p>
    <w:p w14:paraId="68DDC413">
      <w:pPr>
        <w:pStyle w:val="44"/>
        <w:spacing w:line="500" w:lineRule="atLeast"/>
        <w:ind w:firstLine="3517" w:firstLineChars="1675"/>
        <w:rPr>
          <w:rFonts w:ascii="宋体" w:eastAsia="宋体"/>
          <w:color w:val="auto"/>
          <w:sz w:val="21"/>
          <w:szCs w:val="21"/>
          <w:highlight w:val="none"/>
        </w:rPr>
      </w:pPr>
    </w:p>
    <w:p w14:paraId="3CAE08F1">
      <w:pPr>
        <w:pStyle w:val="4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投标人名称（加盖公章）：</w:t>
      </w:r>
    </w:p>
    <w:p w14:paraId="3C3E4D2A">
      <w:pPr>
        <w:pStyle w:val="4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14:paraId="179277D2">
      <w:pPr>
        <w:pStyle w:val="4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14:paraId="69625C80">
      <w:pPr>
        <w:pStyle w:val="44"/>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14:paraId="0BF0DD31">
      <w:pPr>
        <w:pStyle w:val="6"/>
        <w:widowControl w:val="0"/>
        <w:overflowPunct w:val="0"/>
        <w:spacing w:line="240" w:lineRule="auto"/>
        <w:rPr>
          <w:rFonts w:hint="eastAsia" w:ascii="宋体" w:hAnsi="宋体" w:eastAsia="宋体"/>
          <w:color w:val="auto"/>
          <w:sz w:val="21"/>
          <w:szCs w:val="21"/>
          <w:highlight w:val="none"/>
          <w:lang w:eastAsia="zh-CN"/>
        </w:rPr>
      </w:pPr>
      <w:bookmarkStart w:id="482" w:name="_Toc2475"/>
      <w:r>
        <w:rPr>
          <w:rFonts w:hint="eastAsia" w:ascii="宋体" w:hAnsi="宋体"/>
          <w:color w:val="auto"/>
          <w:sz w:val="21"/>
          <w:szCs w:val="21"/>
          <w:highlight w:val="none"/>
        </w:rPr>
        <w:t>附件8.营业执照、道路运输经营许可证</w:t>
      </w:r>
      <w:r>
        <w:rPr>
          <w:rFonts w:hint="eastAsia" w:ascii="宋体" w:hAnsi="宋体"/>
          <w:color w:val="auto"/>
          <w:sz w:val="21"/>
          <w:szCs w:val="21"/>
          <w:highlight w:val="none"/>
          <w:lang w:eastAsia="zh-CN"/>
        </w:rPr>
        <w:t>、</w:t>
      </w:r>
      <w:r>
        <w:rPr>
          <w:rFonts w:hint="eastAsia" w:ascii="宋体" w:hAnsi="宋体"/>
          <w:color w:val="auto"/>
          <w:sz w:val="21"/>
          <w:szCs w:val="21"/>
          <w:highlight w:val="none"/>
        </w:rPr>
        <w:t>惠州市石化区通行证</w:t>
      </w:r>
      <w:bookmarkEnd w:id="482"/>
    </w:p>
    <w:p w14:paraId="4B85A2E2">
      <w:pPr>
        <w:jc w:val="center"/>
        <w:rPr>
          <w:rFonts w:hint="eastAsia" w:ascii="黑体" w:eastAsia="黑体"/>
          <w:color w:val="auto"/>
          <w:sz w:val="28"/>
          <w:szCs w:val="28"/>
          <w:highlight w:val="none"/>
          <w:lang w:eastAsia="zh-CN"/>
        </w:rPr>
      </w:pPr>
      <w:bookmarkStart w:id="483" w:name="_Toc5919"/>
      <w:bookmarkStart w:id="484" w:name="_Toc24210"/>
      <w:bookmarkStart w:id="485" w:name="_Toc1511"/>
      <w:bookmarkStart w:id="486" w:name="_Toc17470"/>
      <w:bookmarkStart w:id="487" w:name="_Toc4926"/>
      <w:r>
        <w:rPr>
          <w:rFonts w:hint="eastAsia" w:ascii="黑体" w:eastAsia="黑体"/>
          <w:color w:val="auto"/>
          <w:sz w:val="28"/>
          <w:szCs w:val="28"/>
          <w:highlight w:val="none"/>
        </w:rPr>
        <w:t>营业执照、道路运输经营许可证</w:t>
      </w:r>
      <w:r>
        <w:rPr>
          <w:rFonts w:hint="eastAsia" w:ascii="黑体" w:eastAsia="黑体"/>
          <w:color w:val="auto"/>
          <w:sz w:val="28"/>
          <w:szCs w:val="28"/>
          <w:highlight w:val="none"/>
          <w:lang w:eastAsia="zh-CN"/>
        </w:rPr>
        <w:t>、惠州市石化区通行证</w:t>
      </w:r>
    </w:p>
    <w:p w14:paraId="47F2C5DE">
      <w:pPr>
        <w:jc w:val="center"/>
        <w:rPr>
          <w:rFonts w:hint="eastAsia" w:ascii="黑体" w:eastAsia="黑体"/>
          <w:color w:val="auto"/>
          <w:sz w:val="28"/>
          <w:szCs w:val="28"/>
          <w:highlight w:val="none"/>
        </w:rPr>
      </w:pPr>
      <w:r>
        <w:rPr>
          <w:rFonts w:hint="eastAsia" w:ascii="黑体" w:eastAsia="黑体"/>
          <w:color w:val="auto"/>
          <w:sz w:val="28"/>
          <w:szCs w:val="28"/>
          <w:highlight w:val="none"/>
        </w:rPr>
        <w:t>（提供复印件并加盖公章）</w:t>
      </w:r>
      <w:bookmarkEnd w:id="483"/>
      <w:bookmarkEnd w:id="484"/>
      <w:bookmarkEnd w:id="485"/>
      <w:bookmarkEnd w:id="486"/>
      <w:bookmarkEnd w:id="487"/>
    </w:p>
    <w:p w14:paraId="379EB238">
      <w:pPr>
        <w:rPr>
          <w:rFonts w:hint="eastAsia" w:ascii="黑体" w:eastAsia="黑体"/>
          <w:color w:val="auto"/>
          <w:sz w:val="28"/>
          <w:szCs w:val="28"/>
          <w:highlight w:val="none"/>
        </w:rPr>
      </w:pPr>
      <w:r>
        <w:rPr>
          <w:rFonts w:hint="eastAsia" w:ascii="黑体" w:eastAsia="黑体"/>
          <w:color w:val="auto"/>
          <w:sz w:val="28"/>
          <w:szCs w:val="28"/>
          <w:highlight w:val="none"/>
        </w:rPr>
        <w:br w:type="page"/>
      </w:r>
    </w:p>
    <w:p w14:paraId="7C658BA9">
      <w:pPr>
        <w:pStyle w:val="6"/>
        <w:widowControl w:val="0"/>
        <w:overflowPunct w:val="0"/>
        <w:spacing w:line="240" w:lineRule="auto"/>
        <w:rPr>
          <w:rFonts w:hint="eastAsia" w:ascii="宋体" w:hAnsi="宋体" w:eastAsia="宋体"/>
          <w:color w:val="auto"/>
          <w:sz w:val="21"/>
          <w:szCs w:val="21"/>
          <w:highlight w:val="none"/>
        </w:rPr>
      </w:pPr>
      <w:bookmarkStart w:id="488" w:name="_Toc11564"/>
      <w:r>
        <w:rPr>
          <w:rFonts w:hint="eastAsia" w:ascii="宋体" w:hAnsi="宋体" w:eastAsia="宋体"/>
          <w:color w:val="auto"/>
          <w:sz w:val="21"/>
          <w:szCs w:val="21"/>
          <w:highlight w:val="none"/>
          <w:lang w:val="en-US" w:eastAsia="zh-CN"/>
        </w:rPr>
        <w:t xml:space="preserve">附件9  </w:t>
      </w:r>
      <w:r>
        <w:rPr>
          <w:rFonts w:hint="eastAsia" w:ascii="宋体" w:hAnsi="宋体" w:eastAsia="宋体"/>
          <w:color w:val="auto"/>
          <w:sz w:val="21"/>
          <w:szCs w:val="21"/>
          <w:highlight w:val="none"/>
        </w:rPr>
        <w:t>体系认证</w:t>
      </w:r>
      <w:r>
        <w:rPr>
          <w:rFonts w:hint="eastAsia" w:ascii="宋体" w:hAnsi="宋体" w:eastAsia="宋体"/>
          <w:color w:val="auto"/>
          <w:sz w:val="21"/>
          <w:szCs w:val="21"/>
          <w:highlight w:val="none"/>
          <w:lang w:val="en-US" w:eastAsia="zh-CN"/>
        </w:rPr>
        <w:t>证明材料</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rPr>
        <w:t>财务报表</w:t>
      </w:r>
      <w:bookmarkEnd w:id="488"/>
    </w:p>
    <w:p w14:paraId="2A675F28">
      <w:pPr>
        <w:bidi w:val="0"/>
        <w:rPr>
          <w:rFonts w:hint="eastAsia"/>
          <w:color w:val="auto"/>
          <w:highlight w:val="none"/>
        </w:rPr>
      </w:pPr>
    </w:p>
    <w:p w14:paraId="4F750259">
      <w:pPr>
        <w:jc w:val="center"/>
        <w:rPr>
          <w:rFonts w:hint="eastAsia" w:ascii="黑体" w:eastAsia="黑体"/>
          <w:color w:val="auto"/>
          <w:sz w:val="28"/>
          <w:szCs w:val="28"/>
          <w:highlight w:val="none"/>
        </w:rPr>
      </w:pPr>
      <w:r>
        <w:rPr>
          <w:rFonts w:hint="eastAsia" w:ascii="黑体" w:eastAsia="黑体"/>
          <w:color w:val="auto"/>
          <w:sz w:val="28"/>
          <w:szCs w:val="28"/>
          <w:highlight w:val="none"/>
        </w:rPr>
        <w:t>体系认证</w:t>
      </w:r>
      <w:r>
        <w:rPr>
          <w:rFonts w:hint="eastAsia" w:ascii="黑体" w:eastAsia="黑体"/>
          <w:color w:val="auto"/>
          <w:sz w:val="28"/>
          <w:szCs w:val="28"/>
          <w:highlight w:val="none"/>
          <w:lang w:val="en-US" w:eastAsia="zh-CN"/>
        </w:rPr>
        <w:t>证明材料</w:t>
      </w:r>
      <w:r>
        <w:rPr>
          <w:rFonts w:hint="eastAsia" w:ascii="黑体" w:eastAsia="黑体"/>
          <w:color w:val="auto"/>
          <w:sz w:val="28"/>
          <w:szCs w:val="28"/>
          <w:highlight w:val="none"/>
          <w:lang w:eastAsia="zh-CN"/>
        </w:rPr>
        <w:t>、</w:t>
      </w:r>
      <w:r>
        <w:rPr>
          <w:rFonts w:hint="eastAsia" w:ascii="黑体" w:eastAsia="黑体"/>
          <w:color w:val="auto"/>
          <w:sz w:val="28"/>
          <w:szCs w:val="28"/>
          <w:highlight w:val="none"/>
        </w:rPr>
        <w:t>财务报表</w:t>
      </w:r>
    </w:p>
    <w:p w14:paraId="7160DB7D">
      <w:pPr>
        <w:jc w:val="center"/>
        <w:rPr>
          <w:rFonts w:hint="eastAsia" w:ascii="黑体" w:eastAsia="黑体"/>
          <w:color w:val="auto"/>
          <w:sz w:val="28"/>
          <w:szCs w:val="28"/>
          <w:highlight w:val="none"/>
        </w:rPr>
      </w:pPr>
      <w:r>
        <w:rPr>
          <w:rFonts w:hint="eastAsia" w:ascii="黑体" w:eastAsia="黑体"/>
          <w:color w:val="auto"/>
          <w:sz w:val="28"/>
          <w:szCs w:val="28"/>
          <w:highlight w:val="none"/>
        </w:rPr>
        <w:t>（提供复印件并加盖公章）</w:t>
      </w:r>
    </w:p>
    <w:p w14:paraId="1AA81A26">
      <w:pPr>
        <w:bidi w:val="0"/>
        <w:rPr>
          <w:rFonts w:hint="eastAsia"/>
          <w:color w:val="auto"/>
          <w:highlight w:val="none"/>
        </w:rPr>
      </w:pPr>
    </w:p>
    <w:p w14:paraId="012FA6AD">
      <w:pPr>
        <w:bidi w:val="0"/>
        <w:rPr>
          <w:rFonts w:hint="eastAsia"/>
          <w:color w:val="auto"/>
          <w:highlight w:val="none"/>
        </w:rPr>
      </w:pPr>
      <w:r>
        <w:rPr>
          <w:rFonts w:hint="eastAsia"/>
          <w:color w:val="auto"/>
          <w:highlight w:val="none"/>
        </w:rPr>
        <w:br w:type="page"/>
      </w:r>
    </w:p>
    <w:p w14:paraId="445473A5">
      <w:pPr>
        <w:pStyle w:val="6"/>
        <w:widowControl w:val="0"/>
        <w:overflowPunct w:val="0"/>
        <w:spacing w:line="240" w:lineRule="auto"/>
        <w:rPr>
          <w:rFonts w:ascii="楷体_GB2312" w:eastAsia="楷体_GB2312"/>
          <w:color w:val="auto"/>
          <w:sz w:val="21"/>
          <w:szCs w:val="21"/>
          <w:highlight w:val="none"/>
        </w:rPr>
      </w:pPr>
      <w:bookmarkStart w:id="489" w:name="_Toc2142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 xml:space="preserve">10  </w:t>
      </w:r>
      <w:r>
        <w:rPr>
          <w:rFonts w:hint="eastAsia" w:ascii="宋体" w:hAnsi="宋体"/>
          <w:color w:val="auto"/>
          <w:sz w:val="21"/>
          <w:szCs w:val="21"/>
          <w:highlight w:val="none"/>
        </w:rPr>
        <w:t>在经营活动中没有重大违法记录的书面声明格式</w:t>
      </w:r>
      <w:bookmarkEnd w:id="489"/>
    </w:p>
    <w:p w14:paraId="7608B67B">
      <w:pPr>
        <w:rPr>
          <w:color w:val="auto"/>
          <w:highlight w:val="none"/>
        </w:rPr>
      </w:pPr>
    </w:p>
    <w:p w14:paraId="10989E2A">
      <w:pPr>
        <w:jc w:val="center"/>
        <w:rPr>
          <w:rFonts w:ascii="黑体" w:eastAsia="黑体"/>
          <w:color w:val="auto"/>
          <w:sz w:val="28"/>
          <w:szCs w:val="28"/>
          <w:highlight w:val="none"/>
        </w:rPr>
      </w:pPr>
      <w:r>
        <w:rPr>
          <w:rFonts w:hint="eastAsia" w:ascii="黑体" w:eastAsia="黑体"/>
          <w:color w:val="auto"/>
          <w:sz w:val="28"/>
          <w:szCs w:val="28"/>
          <w:highlight w:val="none"/>
        </w:rPr>
        <w:t>投标人在经营活动中前三年内未有重大违法记录、没有不良信用记录的声明函</w:t>
      </w:r>
    </w:p>
    <w:p w14:paraId="337EEBEC">
      <w:pPr>
        <w:ind w:firstLine="420" w:firstLineChars="200"/>
        <w:rPr>
          <w:rFonts w:ascii="宋体" w:hAnsi="宋体" w:cs="宋体"/>
          <w:color w:val="auto"/>
          <w:szCs w:val="21"/>
          <w:highlight w:val="none"/>
        </w:rPr>
      </w:pPr>
    </w:p>
    <w:p w14:paraId="4EFD351A">
      <w:pPr>
        <w:spacing w:line="480" w:lineRule="auto"/>
        <w:ind w:firstLine="0" w:firstLineChars="0"/>
        <w:rPr>
          <w:rFonts w:ascii="宋体" w:hAnsi="宋体" w:cs="宋体"/>
          <w:color w:val="auto"/>
          <w:szCs w:val="21"/>
          <w:highlight w:val="none"/>
        </w:rPr>
      </w:pPr>
      <w:r>
        <w:rPr>
          <w:rFonts w:hint="eastAsia" w:ascii="宋体" w:hAnsi="宋体" w:cs="宋体"/>
          <w:color w:val="auto"/>
          <w:szCs w:val="21"/>
          <w:highlight w:val="none"/>
        </w:rPr>
        <w:t>x</w:t>
      </w:r>
      <w:r>
        <w:rPr>
          <w:rFonts w:ascii="宋体" w:hAnsi="宋体" w:cs="宋体"/>
          <w:color w:val="auto"/>
          <w:szCs w:val="21"/>
          <w:highlight w:val="none"/>
        </w:rPr>
        <w:t>xxxxx</w:t>
      </w:r>
      <w:r>
        <w:rPr>
          <w:rFonts w:hint="eastAsia" w:ascii="宋体" w:hAnsi="宋体" w:cs="宋体"/>
          <w:color w:val="auto"/>
          <w:szCs w:val="21"/>
          <w:highlight w:val="none"/>
        </w:rPr>
        <w:t>公司：</w:t>
      </w:r>
    </w:p>
    <w:p w14:paraId="1EB4BD94">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lang w:val="en-US" w:eastAsia="zh-CN"/>
        </w:rPr>
        <w:t>XX</w:t>
      </w:r>
      <w:r>
        <w:rPr>
          <w:rFonts w:hint="eastAsia" w:ascii="宋体" w:hAnsi="宋体" w:cs="宋体"/>
          <w:color w:val="auto"/>
          <w:szCs w:val="21"/>
          <w:highlight w:val="none"/>
        </w:rPr>
        <w:t>）采购活动前三年内（设立不满三年的从设立之日计算），在经营活动中没有重大违法记录；至本项目提交投标文件截止时间止未被列入“信用中国”网站失信被执行人、重大税收违法失信主体、政府采购严重违法失信行为记录名单。</w:t>
      </w:r>
    </w:p>
    <w:p w14:paraId="39852AD9">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w:t>
      </w:r>
      <w:r>
        <w:rPr>
          <w:rFonts w:hint="eastAsia" w:ascii="宋体" w:hAnsi="宋体" w:cs="宋体"/>
          <w:color w:val="auto"/>
          <w:szCs w:val="21"/>
          <w:highlight w:val="none"/>
          <w:lang w:val="en-US" w:eastAsia="zh-CN"/>
        </w:rPr>
        <w:t>分</w:t>
      </w:r>
      <w:r>
        <w:rPr>
          <w:rFonts w:hint="eastAsia" w:ascii="宋体" w:hAnsi="宋体" w:cs="宋体"/>
          <w:color w:val="auto"/>
          <w:szCs w:val="21"/>
          <w:highlight w:val="none"/>
        </w:rPr>
        <w:t>，否则，愿承担相应的后果和法律责任。</w:t>
      </w:r>
    </w:p>
    <w:p w14:paraId="4590318B">
      <w:pPr>
        <w:ind w:firstLine="420" w:firstLineChars="200"/>
        <w:rPr>
          <w:rFonts w:ascii="宋体" w:hAnsi="宋体" w:cs="宋体"/>
          <w:color w:val="auto"/>
          <w:szCs w:val="21"/>
          <w:highlight w:val="none"/>
        </w:rPr>
      </w:pPr>
    </w:p>
    <w:p w14:paraId="5090E150">
      <w:pPr>
        <w:rPr>
          <w:rFonts w:ascii="宋体" w:hAnsi="宋体" w:cs="宋体"/>
          <w:color w:val="auto"/>
          <w:szCs w:val="21"/>
          <w:highlight w:val="none"/>
        </w:rPr>
      </w:pPr>
    </w:p>
    <w:p w14:paraId="4B48A363">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投标人名称（盖章）：</w:t>
      </w:r>
    </w:p>
    <w:p w14:paraId="18147A31">
      <w:pPr>
        <w:rPr>
          <w:rFonts w:ascii="宋体" w:hAnsi="宋体" w:cs="宋体"/>
          <w:color w:val="auto"/>
          <w:szCs w:val="21"/>
          <w:highlight w:val="none"/>
        </w:rPr>
      </w:pPr>
    </w:p>
    <w:p w14:paraId="2D72D20A">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355270D">
      <w:pPr>
        <w:pStyle w:val="6"/>
        <w:widowControl w:val="0"/>
        <w:overflowPunct w:val="0"/>
        <w:spacing w:line="240" w:lineRule="auto"/>
        <w:rPr>
          <w:rFonts w:hint="eastAsia" w:ascii="宋体" w:hAnsi="宋体" w:eastAsia="宋体"/>
          <w:color w:val="auto"/>
          <w:sz w:val="21"/>
          <w:szCs w:val="21"/>
          <w:highlight w:val="none"/>
          <w:lang w:val="en-US" w:eastAsia="zh-CN"/>
        </w:rPr>
      </w:pPr>
      <w:r>
        <w:rPr>
          <w:color w:val="auto"/>
          <w:highlight w:val="none"/>
        </w:rPr>
        <w:br w:type="page"/>
      </w:r>
      <w:bookmarkStart w:id="490" w:name="_Toc27765"/>
      <w:r>
        <w:rPr>
          <w:rFonts w:hint="eastAsia"/>
          <w:color w:val="auto"/>
          <w:highlight w:val="none"/>
          <w:lang w:val="en-US" w:eastAsia="zh-CN"/>
        </w:rPr>
        <w:t xml:space="preserve">附件11  </w:t>
      </w:r>
      <w:r>
        <w:rPr>
          <w:rFonts w:hint="eastAsia" w:ascii="宋体" w:hAnsi="宋体"/>
          <w:color w:val="auto"/>
          <w:sz w:val="21"/>
          <w:szCs w:val="21"/>
          <w:highlight w:val="none"/>
          <w:lang w:val="en-US" w:eastAsia="zh-CN"/>
        </w:rPr>
        <w:t>纳税证明和无欠税证明</w:t>
      </w:r>
      <w:bookmarkEnd w:id="490"/>
    </w:p>
    <w:p w14:paraId="74697000">
      <w:pPr>
        <w:rPr>
          <w:rFonts w:hint="eastAsia" w:ascii="宋体" w:hAnsi="宋体"/>
          <w:color w:val="auto"/>
          <w:szCs w:val="21"/>
          <w:highlight w:val="none"/>
        </w:rPr>
      </w:pPr>
    </w:p>
    <w:p w14:paraId="45F0EE29">
      <w:pPr>
        <w:rPr>
          <w:rFonts w:ascii="宋体" w:hAnsi="宋体"/>
          <w:color w:val="auto"/>
          <w:szCs w:val="21"/>
          <w:highlight w:val="none"/>
        </w:rPr>
      </w:pPr>
      <w:r>
        <w:rPr>
          <w:rFonts w:hint="eastAsia" w:ascii="宋体" w:hAnsi="宋体"/>
          <w:color w:val="auto"/>
          <w:szCs w:val="21"/>
          <w:highlight w:val="none"/>
        </w:rPr>
        <w:t>报价人须提供投标截止日前6个月内任意1个月依法</w:t>
      </w:r>
      <w:r>
        <w:rPr>
          <w:rFonts w:hint="eastAsia" w:ascii="宋体" w:hAnsi="宋体"/>
          <w:b/>
          <w:bCs/>
          <w:color w:val="auto"/>
          <w:szCs w:val="21"/>
          <w:highlight w:val="none"/>
        </w:rPr>
        <w:t>缴纳税收的证明材料</w:t>
      </w:r>
      <w:r>
        <w:rPr>
          <w:rFonts w:hint="eastAsia" w:ascii="宋体" w:hAnsi="宋体"/>
          <w:b/>
          <w:bCs/>
          <w:color w:val="auto"/>
          <w:szCs w:val="21"/>
          <w:highlight w:val="none"/>
          <w:u w:val="single"/>
        </w:rPr>
        <w:t>及</w:t>
      </w:r>
      <w:r>
        <w:rPr>
          <w:rFonts w:hint="eastAsia" w:ascii="宋体" w:hAnsi="宋体"/>
          <w:b/>
          <w:bCs/>
          <w:color w:val="auto"/>
          <w:szCs w:val="21"/>
          <w:highlight w:val="none"/>
        </w:rPr>
        <w:t>无欠税的证明</w:t>
      </w:r>
      <w:r>
        <w:rPr>
          <w:rFonts w:hint="eastAsia" w:ascii="宋体" w:hAnsi="宋体"/>
          <w:color w:val="auto"/>
          <w:szCs w:val="21"/>
          <w:highlight w:val="none"/>
        </w:rPr>
        <w:t>材料。如依法免税的，须提供相应证明材料（提供依法缴纳税收的证明材料及无欠税的证明材料，</w:t>
      </w:r>
      <w:r>
        <w:rPr>
          <w:rFonts w:hint="eastAsia" w:ascii="宋体" w:hAnsi="宋体"/>
          <w:b/>
          <w:bCs/>
          <w:color w:val="auto"/>
          <w:szCs w:val="21"/>
          <w:highlight w:val="none"/>
        </w:rPr>
        <w:t>证明材料须加盖公章</w:t>
      </w:r>
      <w:r>
        <w:rPr>
          <w:rFonts w:hint="eastAsia" w:ascii="宋体" w:hAnsi="宋体"/>
          <w:color w:val="auto"/>
          <w:szCs w:val="21"/>
          <w:highlight w:val="none"/>
        </w:rPr>
        <w:t>）。</w:t>
      </w:r>
    </w:p>
    <w:p w14:paraId="28FF9412">
      <w:pPr>
        <w:pStyle w:val="10"/>
        <w:spacing w:line="460" w:lineRule="exact"/>
        <w:jc w:val="center"/>
        <w:rPr>
          <w:rFonts w:hint="eastAsia" w:ascii="楷体" w:hAnsi="楷体" w:eastAsia="楷体" w:cs="楷体"/>
          <w:color w:val="auto"/>
          <w:sz w:val="24"/>
          <w:szCs w:val="24"/>
          <w:highlight w:val="none"/>
        </w:rPr>
      </w:pPr>
      <w:r>
        <w:rPr>
          <w:rFonts w:hint="eastAsia" w:ascii="楷体" w:hAnsi="楷体" w:eastAsia="楷体" w:cs="楷体"/>
          <w:color w:val="auto"/>
          <w:sz w:val="24"/>
          <w:szCs w:val="24"/>
          <w:highlight w:val="none"/>
        </w:rPr>
        <w:drawing>
          <wp:anchor distT="0" distB="0" distL="114300" distR="114300" simplePos="0" relativeHeight="251664384" behindDoc="0" locked="0" layoutInCell="1" allowOverlap="1">
            <wp:simplePos x="0" y="0"/>
            <wp:positionH relativeFrom="column">
              <wp:posOffset>34925</wp:posOffset>
            </wp:positionH>
            <wp:positionV relativeFrom="paragraph">
              <wp:posOffset>225425</wp:posOffset>
            </wp:positionV>
            <wp:extent cx="5192395" cy="3663950"/>
            <wp:effectExtent l="0" t="0" r="8255" b="12700"/>
            <wp:wrapTopAndBottom/>
            <wp:docPr id="21" name="图片 21" descr="74358953-b4bf-4151-b761-5eed190046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4358953-b4bf-4151-b761-5eed190046fc"/>
                    <pic:cNvPicPr>
                      <a:picLocks noChangeAspect="1"/>
                    </pic:cNvPicPr>
                  </pic:nvPicPr>
                  <pic:blipFill>
                    <a:blip r:embed="rId17"/>
                    <a:stretch>
                      <a:fillRect/>
                    </a:stretch>
                  </pic:blipFill>
                  <pic:spPr>
                    <a:xfrm>
                      <a:off x="0" y="0"/>
                      <a:ext cx="5192395" cy="3663950"/>
                    </a:xfrm>
                    <a:prstGeom prst="rect">
                      <a:avLst/>
                    </a:prstGeom>
                  </pic:spPr>
                </pic:pic>
              </a:graphicData>
            </a:graphic>
          </wp:anchor>
        </w:drawing>
      </w:r>
      <w:r>
        <w:rPr>
          <w:rFonts w:hint="eastAsia" w:ascii="楷体" w:hAnsi="楷体" w:eastAsia="楷体" w:cs="楷体"/>
          <w:color w:val="auto"/>
          <w:sz w:val="24"/>
          <w:szCs w:val="24"/>
          <w:highlight w:val="none"/>
        </w:rPr>
        <w:t>▲</w:t>
      </w:r>
      <w:r>
        <w:rPr>
          <w:rFonts w:hint="eastAsia" w:ascii="楷体" w:hAnsi="楷体" w:eastAsia="楷体" w:cs="楷体"/>
          <w:color w:val="auto"/>
          <w:sz w:val="24"/>
          <w:szCs w:val="24"/>
          <w:highlight w:val="none"/>
          <w:lang w:val="en-US" w:eastAsia="zh-CN"/>
        </w:rPr>
        <w:t>纳税（完税）证明</w:t>
      </w:r>
      <w:r>
        <w:rPr>
          <w:rFonts w:hint="eastAsia" w:ascii="楷体" w:hAnsi="楷体" w:eastAsia="楷体" w:cs="楷体"/>
          <w:color w:val="auto"/>
          <w:sz w:val="24"/>
          <w:szCs w:val="24"/>
          <w:highlight w:val="none"/>
        </w:rPr>
        <w:t>示图，供参考</w:t>
      </w:r>
    </w:p>
    <w:p w14:paraId="57AA8B22">
      <w:pPr>
        <w:jc w:val="center"/>
        <w:rPr>
          <w:rFonts w:hint="eastAsia" w:ascii="楷体" w:hAnsi="楷体" w:eastAsia="楷体" w:cs="楷体"/>
          <w:color w:val="auto"/>
          <w:sz w:val="24"/>
          <w:szCs w:val="24"/>
          <w:highlight w:val="none"/>
        </w:rPr>
      </w:pPr>
      <w:r>
        <w:rPr>
          <w:color w:val="auto"/>
          <w:highlight w:val="none"/>
        </w:rPr>
        <w:drawing>
          <wp:inline distT="0" distB="0" distL="114300" distR="114300">
            <wp:extent cx="5272405" cy="4209415"/>
            <wp:effectExtent l="0" t="0" r="4445" b="635"/>
            <wp:docPr id="6" name="图片 6" descr="fda532986622e0229a6f4425e9639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da532986622e0229a6f4425e96396e7"/>
                    <pic:cNvPicPr>
                      <a:picLocks noChangeAspect="1"/>
                    </pic:cNvPicPr>
                  </pic:nvPicPr>
                  <pic:blipFill>
                    <a:blip r:embed="rId18"/>
                    <a:stretch>
                      <a:fillRect/>
                    </a:stretch>
                  </pic:blipFill>
                  <pic:spPr>
                    <a:xfrm>
                      <a:off x="0" y="0"/>
                      <a:ext cx="5272405" cy="4209415"/>
                    </a:xfrm>
                    <a:prstGeom prst="rect">
                      <a:avLst/>
                    </a:prstGeom>
                  </pic:spPr>
                </pic:pic>
              </a:graphicData>
            </a:graphic>
          </wp:inline>
        </w:drawing>
      </w:r>
      <w:r>
        <w:rPr>
          <w:rFonts w:hint="eastAsia" w:ascii="楷体" w:hAnsi="楷体" w:eastAsia="楷体" w:cs="楷体"/>
          <w:color w:val="auto"/>
          <w:sz w:val="24"/>
          <w:szCs w:val="24"/>
          <w:highlight w:val="none"/>
        </w:rPr>
        <w:t>▲</w:t>
      </w:r>
      <w:r>
        <w:rPr>
          <w:rFonts w:hint="eastAsia" w:ascii="楷体" w:hAnsi="楷体" w:eastAsia="楷体" w:cs="楷体"/>
          <w:color w:val="auto"/>
          <w:sz w:val="24"/>
          <w:szCs w:val="24"/>
          <w:highlight w:val="none"/>
          <w:lang w:val="en-US" w:eastAsia="zh-CN"/>
        </w:rPr>
        <w:t>无欠税证明</w:t>
      </w:r>
      <w:r>
        <w:rPr>
          <w:rFonts w:hint="eastAsia" w:ascii="楷体" w:hAnsi="楷体" w:eastAsia="楷体" w:cs="楷体"/>
          <w:color w:val="auto"/>
          <w:sz w:val="24"/>
          <w:szCs w:val="24"/>
          <w:highlight w:val="none"/>
        </w:rPr>
        <w:t>示图，供参考</w:t>
      </w:r>
    </w:p>
    <w:p w14:paraId="539CB638">
      <w:pPr>
        <w:rPr>
          <w:color w:val="auto"/>
          <w:highlight w:val="none"/>
        </w:rPr>
      </w:pPr>
      <w:r>
        <w:rPr>
          <w:color w:val="auto"/>
          <w:highlight w:val="none"/>
        </w:rPr>
        <w:br w:type="page"/>
      </w:r>
    </w:p>
    <w:p w14:paraId="605928F9">
      <w:pPr>
        <w:pStyle w:val="6"/>
        <w:widowControl w:val="0"/>
        <w:overflowPunct w:val="0"/>
        <w:spacing w:line="240" w:lineRule="auto"/>
        <w:rPr>
          <w:rFonts w:hint="eastAsia" w:ascii="宋体" w:hAnsi="宋体"/>
          <w:color w:val="auto"/>
          <w:sz w:val="21"/>
          <w:szCs w:val="21"/>
          <w:highlight w:val="none"/>
        </w:rPr>
      </w:pPr>
      <w:bookmarkStart w:id="491" w:name="_Toc32477"/>
      <w:r>
        <w:rPr>
          <w:rFonts w:hint="eastAsia" w:ascii="宋体" w:hAnsi="宋体"/>
          <w:color w:val="auto"/>
          <w:sz w:val="21"/>
          <w:szCs w:val="21"/>
          <w:highlight w:val="none"/>
          <w:lang w:val="en-US" w:eastAsia="zh-CN"/>
        </w:rPr>
        <w:t xml:space="preserve">附件12  </w:t>
      </w:r>
      <w:r>
        <w:rPr>
          <w:rFonts w:hint="eastAsia" w:ascii="宋体" w:hAnsi="宋体"/>
          <w:color w:val="auto"/>
          <w:sz w:val="21"/>
          <w:szCs w:val="21"/>
          <w:highlight w:val="none"/>
        </w:rPr>
        <w:t>固废平台运输量截图</w:t>
      </w:r>
      <w:bookmarkEnd w:id="491"/>
    </w:p>
    <w:p w14:paraId="6D570C78">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投标人必须</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投标人2022年8月-2025年8月期间</w:t>
      </w:r>
      <w:r>
        <w:rPr>
          <w:rFonts w:hint="eastAsia" w:ascii="宋体" w:hAnsi="宋体" w:eastAsia="宋体" w:cs="宋体"/>
          <w:color w:val="auto"/>
          <w:sz w:val="21"/>
          <w:szCs w:val="21"/>
          <w:highlight w:val="none"/>
        </w:rPr>
        <w:t>“广东省固体废物环境监管信息平台”</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https://www-app.gdeei.cn/gfjgqy-rz/login</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危废运输量，具体</w:t>
      </w:r>
      <w:r>
        <w:rPr>
          <w:rFonts w:hint="eastAsia" w:ascii="宋体" w:hAnsi="宋体" w:eastAsia="宋体" w:cs="宋体"/>
          <w:color w:val="auto"/>
          <w:sz w:val="21"/>
          <w:szCs w:val="21"/>
          <w:highlight w:val="none"/>
        </w:rPr>
        <w:t>固废平台数据筛选按下表：</w:t>
      </w:r>
    </w:p>
    <w:tbl>
      <w:tblPr>
        <w:tblStyle w:val="3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316"/>
        <w:gridCol w:w="4110"/>
      </w:tblGrid>
      <w:tr w14:paraId="7867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486B02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处置方式大类</w:t>
            </w:r>
          </w:p>
        </w:tc>
        <w:tc>
          <w:tcPr>
            <w:tcW w:w="2316" w:type="dxa"/>
            <w:vAlign w:val="center"/>
          </w:tcPr>
          <w:p w14:paraId="1BFD1F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处置方式小类</w:t>
            </w:r>
          </w:p>
        </w:tc>
        <w:tc>
          <w:tcPr>
            <w:tcW w:w="4110" w:type="dxa"/>
            <w:vAlign w:val="center"/>
          </w:tcPr>
          <w:p w14:paraId="55B8EBB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202</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lang w:val="en-US" w:eastAsia="zh-CN"/>
              </w:rPr>
              <w:t>8月-2025年8月</w:t>
            </w:r>
          </w:p>
          <w:p w14:paraId="6505C7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合计量（吨）</w:t>
            </w:r>
          </w:p>
        </w:tc>
      </w:tr>
      <w:tr w14:paraId="3591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Align w:val="center"/>
          </w:tcPr>
          <w:p w14:paraId="497529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D-处置</w:t>
            </w:r>
          </w:p>
        </w:tc>
        <w:tc>
          <w:tcPr>
            <w:tcW w:w="2316" w:type="dxa"/>
            <w:vAlign w:val="center"/>
          </w:tcPr>
          <w:p w14:paraId="1189FE0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D10-焚烧</w:t>
            </w:r>
          </w:p>
        </w:tc>
        <w:tc>
          <w:tcPr>
            <w:tcW w:w="4110" w:type="dxa"/>
            <w:vAlign w:val="center"/>
          </w:tcPr>
          <w:p w14:paraId="3EFE57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21"/>
                <w:szCs w:val="21"/>
                <w:highlight w:val="none"/>
              </w:rPr>
            </w:pPr>
          </w:p>
        </w:tc>
      </w:tr>
    </w:tbl>
    <w:p w14:paraId="7DF37C36">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drawing>
          <wp:anchor distT="0" distB="0" distL="0" distR="0" simplePos="0" relativeHeight="251665408" behindDoc="0" locked="0" layoutInCell="1" allowOverlap="1">
            <wp:simplePos x="0" y="0"/>
            <wp:positionH relativeFrom="column">
              <wp:posOffset>-32385</wp:posOffset>
            </wp:positionH>
            <wp:positionV relativeFrom="paragraph">
              <wp:posOffset>133350</wp:posOffset>
            </wp:positionV>
            <wp:extent cx="5237480" cy="2829560"/>
            <wp:effectExtent l="0" t="0" r="1270" b="8890"/>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9"/>
                    <a:stretch>
                      <a:fillRect/>
                    </a:stretch>
                  </pic:blipFill>
                  <pic:spPr>
                    <a:xfrm>
                      <a:off x="0" y="0"/>
                      <a:ext cx="5255819" cy="2839889"/>
                    </a:xfrm>
                    <a:prstGeom prst="rect">
                      <a:avLst/>
                    </a:prstGeom>
                  </pic:spPr>
                </pic:pic>
              </a:graphicData>
            </a:graphic>
          </wp:anchor>
        </w:drawing>
      </w:r>
    </w:p>
    <w:p w14:paraId="4578661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备注：截图必须清晰体现“实际转移量汇总”、投标人公司名称等信息，如因截图模糊或信息不全等影响评审的，视为无效资料。</w:t>
      </w:r>
    </w:p>
    <w:p w14:paraId="28AB535A">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宋体" w:hAnsi="宋体" w:eastAsia="宋体" w:cs="宋体"/>
          <w:color w:val="auto"/>
          <w:sz w:val="21"/>
          <w:szCs w:val="21"/>
          <w:highlight w:val="none"/>
        </w:rPr>
      </w:pPr>
    </w:p>
    <w:p w14:paraId="36E85B6F">
      <w:pPr>
        <w:keepNext w:val="0"/>
        <w:keepLines w:val="0"/>
        <w:pageBreakBefore w:val="0"/>
        <w:widowControl w:val="0"/>
        <w:kinsoku/>
        <w:wordWrap/>
        <w:overflowPunct/>
        <w:topLinePunct w:val="0"/>
        <w:autoSpaceDE/>
        <w:autoSpaceDN/>
        <w:bidi w:val="0"/>
        <w:adjustRightInd/>
        <w:snapToGrid/>
        <w:spacing w:line="560" w:lineRule="exact"/>
        <w:ind w:firstLine="422" w:firstLineChars="200"/>
        <w:textAlignment w:val="auto"/>
        <w:rPr>
          <w:rFonts w:hint="eastAsia" w:ascii="宋体" w:hAnsi="宋体" w:eastAsia="宋体" w:cs="宋体"/>
          <w:b/>
          <w:bCs/>
          <w:color w:val="auto"/>
          <w:sz w:val="21"/>
          <w:szCs w:val="21"/>
          <w:highlight w:val="none"/>
        </w:rPr>
      </w:pPr>
    </w:p>
    <w:p w14:paraId="227819C8">
      <w:pPr>
        <w:rPr>
          <w:rFonts w:hint="default"/>
          <w:color w:val="auto"/>
          <w:highlight w:val="none"/>
          <w:lang w:val="en-US" w:eastAsia="zh-CN"/>
        </w:rPr>
      </w:pPr>
    </w:p>
    <w:p w14:paraId="1B4F03E2">
      <w:pPr>
        <w:widowControl w:val="0"/>
        <w:overflowPunct w:val="0"/>
        <w:spacing w:line="240" w:lineRule="auto"/>
        <w:rPr>
          <w:rFonts w:hint="eastAsia" w:ascii="宋体" w:hAnsi="宋体"/>
          <w:color w:val="auto"/>
          <w:sz w:val="21"/>
          <w:szCs w:val="21"/>
          <w:highlight w:val="none"/>
        </w:rPr>
      </w:pPr>
      <w:r>
        <w:rPr>
          <w:rFonts w:hint="eastAsia" w:ascii="宋体" w:hAnsi="宋体"/>
          <w:color w:val="auto"/>
          <w:sz w:val="21"/>
          <w:szCs w:val="21"/>
          <w:highlight w:val="none"/>
        </w:rPr>
        <w:br w:type="page"/>
      </w:r>
    </w:p>
    <w:p w14:paraId="35CAC4C9">
      <w:pPr>
        <w:pStyle w:val="6"/>
        <w:widowControl w:val="0"/>
        <w:overflowPunct w:val="0"/>
        <w:spacing w:line="240" w:lineRule="auto"/>
        <w:rPr>
          <w:color w:val="auto"/>
          <w:highlight w:val="none"/>
        </w:rPr>
      </w:pPr>
      <w:bookmarkStart w:id="492" w:name="_Toc27774"/>
      <w:r>
        <w:rPr>
          <w:rFonts w:hint="eastAsia" w:ascii="宋体" w:hAnsi="宋体"/>
          <w:color w:val="auto"/>
          <w:sz w:val="21"/>
          <w:szCs w:val="21"/>
          <w:highlight w:val="none"/>
          <w:lang w:val="en-US" w:eastAsia="zh-CN"/>
        </w:rPr>
        <w:t xml:space="preserve">附件13  </w:t>
      </w:r>
      <w:bookmarkStart w:id="493" w:name="_Toc17437"/>
      <w:bookmarkStart w:id="494" w:name="_Toc18421"/>
      <w:bookmarkStart w:id="495" w:name="_Toc22061"/>
      <w:bookmarkStart w:id="496" w:name="_Toc21350"/>
      <w:bookmarkStart w:id="497" w:name="_Toc30127"/>
      <w:bookmarkStart w:id="498" w:name="_Toc3228"/>
      <w:bookmarkStart w:id="499" w:name="_Toc1278"/>
      <w:bookmarkStart w:id="500" w:name="_Toc16324"/>
      <w:bookmarkStart w:id="501" w:name="_Toc14363"/>
      <w:r>
        <w:rPr>
          <w:rFonts w:hint="eastAsia" w:ascii="宋体" w:hAnsi="宋体"/>
          <w:color w:val="auto"/>
          <w:sz w:val="21"/>
          <w:szCs w:val="21"/>
          <w:highlight w:val="none"/>
        </w:rPr>
        <w:t>投标保证金汇入情况说明格式</w:t>
      </w:r>
      <w:bookmarkEnd w:id="492"/>
      <w:bookmarkEnd w:id="493"/>
      <w:bookmarkEnd w:id="494"/>
      <w:bookmarkEnd w:id="495"/>
      <w:bookmarkEnd w:id="496"/>
      <w:bookmarkEnd w:id="497"/>
      <w:bookmarkEnd w:id="498"/>
      <w:bookmarkEnd w:id="499"/>
      <w:bookmarkEnd w:id="500"/>
      <w:bookmarkEnd w:id="501"/>
    </w:p>
    <w:p w14:paraId="6072462D">
      <w:pPr>
        <w:rPr>
          <w:color w:val="auto"/>
          <w:highlight w:val="none"/>
        </w:rPr>
      </w:pPr>
    </w:p>
    <w:p w14:paraId="72E26185">
      <w:pPr>
        <w:jc w:val="center"/>
        <w:rPr>
          <w:rFonts w:ascii="黑体" w:eastAsia="黑体"/>
          <w:color w:val="auto"/>
          <w:sz w:val="28"/>
          <w:szCs w:val="28"/>
          <w:highlight w:val="none"/>
        </w:rPr>
      </w:pPr>
      <w:r>
        <w:rPr>
          <w:rFonts w:hint="eastAsia" w:ascii="黑体" w:eastAsia="黑体"/>
          <w:color w:val="auto"/>
          <w:sz w:val="28"/>
          <w:szCs w:val="28"/>
          <w:highlight w:val="none"/>
        </w:rPr>
        <w:t>投标保证金汇入情况说明</w:t>
      </w:r>
    </w:p>
    <w:p w14:paraId="0DEAA2F3">
      <w:pPr>
        <w:spacing w:line="480" w:lineRule="auto"/>
        <w:rPr>
          <w:rFonts w:ascii="宋体" w:hAnsi="宋体"/>
          <w:color w:val="auto"/>
          <w:szCs w:val="21"/>
          <w:highlight w:val="none"/>
        </w:rPr>
      </w:pPr>
      <w:r>
        <w:rPr>
          <w:rFonts w:hint="eastAsia" w:ascii="宋体" w:hAnsi="宋体"/>
          <w:color w:val="auto"/>
          <w:szCs w:val="21"/>
          <w:highlight w:val="none"/>
        </w:rPr>
        <w:t>致：x</w:t>
      </w:r>
      <w:r>
        <w:rPr>
          <w:rFonts w:ascii="宋体" w:hAnsi="宋体"/>
          <w:color w:val="auto"/>
          <w:szCs w:val="21"/>
          <w:highlight w:val="none"/>
        </w:rPr>
        <w:t>xxxxx</w:t>
      </w:r>
      <w:r>
        <w:rPr>
          <w:rFonts w:hint="eastAsia" w:ascii="宋体" w:hAnsi="宋体"/>
          <w:color w:val="auto"/>
          <w:szCs w:val="21"/>
          <w:highlight w:val="none"/>
        </w:rPr>
        <w:t>公司：</w:t>
      </w:r>
    </w:p>
    <w:p w14:paraId="6FAE84C9">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项目（采购项目编号：）的采购文件要求，于年月日前以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w:t>
      </w:r>
      <w:r>
        <w:rPr>
          <w:rFonts w:hint="eastAsia" w:ascii="宋体" w:hAnsi="宋体"/>
          <w:color w:val="auto"/>
          <w:szCs w:val="21"/>
          <w:highlight w:val="none"/>
          <w:lang w:eastAsia="zh-CN"/>
        </w:rPr>
        <w:t>账</w:t>
      </w:r>
      <w:r>
        <w:rPr>
          <w:rFonts w:hint="eastAsia" w:ascii="宋体" w:hAnsi="宋体"/>
          <w:color w:val="auto"/>
          <w:szCs w:val="21"/>
          <w:highlight w:val="none"/>
        </w:rPr>
        <w:t>户（</w:t>
      </w:r>
      <w:r>
        <w:rPr>
          <w:rFonts w:hint="eastAsia" w:ascii="宋体" w:hAnsi="宋体"/>
          <w:color w:val="auto"/>
          <w:szCs w:val="21"/>
          <w:highlight w:val="none"/>
          <w:lang w:eastAsia="zh-CN"/>
        </w:rPr>
        <w:t>账</w:t>
      </w:r>
      <w:r>
        <w:rPr>
          <w:rFonts w:hint="eastAsia" w:ascii="宋体" w:hAnsi="宋体"/>
          <w:color w:val="auto"/>
          <w:szCs w:val="21"/>
          <w:highlight w:val="none"/>
        </w:rPr>
        <w:t>户名称：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账</w:t>
      </w:r>
      <w:r>
        <w:rPr>
          <w:rFonts w:hint="eastAsia" w:ascii="宋体" w:hAnsi="宋体"/>
          <w:color w:val="auto"/>
          <w:szCs w:val="21"/>
          <w:highlight w:val="none"/>
        </w:rPr>
        <w:t>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8A39706">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w:t>
      </w:r>
      <w:r>
        <w:rPr>
          <w:rFonts w:hint="eastAsia" w:ascii="宋体" w:hAnsi="宋体"/>
          <w:color w:val="auto"/>
          <w:szCs w:val="21"/>
          <w:highlight w:val="none"/>
          <w:lang w:eastAsia="zh-CN"/>
        </w:rPr>
        <w:t>账</w:t>
      </w:r>
      <w:r>
        <w:rPr>
          <w:rFonts w:hint="eastAsia" w:ascii="宋体" w:hAnsi="宋体"/>
          <w:color w:val="auto"/>
          <w:szCs w:val="21"/>
          <w:highlight w:val="none"/>
        </w:rPr>
        <w:t>单）</w:t>
      </w:r>
    </w:p>
    <w:p w14:paraId="74395AC8">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8452BF3">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7DF29749">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w:t>
      </w:r>
      <w:r>
        <w:rPr>
          <w:rFonts w:hint="eastAsia" w:ascii="宋体" w:hAnsi="宋体"/>
          <w:color w:val="auto"/>
          <w:szCs w:val="21"/>
          <w:highlight w:val="none"/>
          <w:lang w:eastAsia="zh-CN"/>
        </w:rPr>
        <w:t>账</w:t>
      </w:r>
      <w:r>
        <w:rPr>
          <w:rFonts w:hint="eastAsia" w:ascii="宋体" w:hAnsi="宋体"/>
          <w:color w:val="auto"/>
          <w:szCs w:val="21"/>
          <w:highlight w:val="none"/>
        </w:rPr>
        <w:t>户名称：</w:t>
      </w:r>
      <w:r>
        <w:rPr>
          <w:rFonts w:hint="eastAsia" w:ascii="宋体" w:hAnsi="宋体"/>
          <w:color w:val="auto"/>
          <w:szCs w:val="21"/>
          <w:highlight w:val="none"/>
          <w:u w:val="single"/>
        </w:rPr>
        <w:t xml:space="preserve">  （必须是投标时使用的</w:t>
      </w:r>
      <w:r>
        <w:rPr>
          <w:rFonts w:hint="eastAsia" w:ascii="宋体" w:hAnsi="宋体"/>
          <w:color w:val="auto"/>
          <w:szCs w:val="21"/>
          <w:highlight w:val="none"/>
          <w:u w:val="single"/>
          <w:lang w:eastAsia="zh-CN"/>
        </w:rPr>
        <w:t>账</w:t>
      </w:r>
      <w:r>
        <w:rPr>
          <w:rFonts w:hint="eastAsia" w:ascii="宋体" w:hAnsi="宋体"/>
          <w:color w:val="auto"/>
          <w:szCs w:val="21"/>
          <w:highlight w:val="none"/>
          <w:u w:val="single"/>
        </w:rPr>
        <w:t xml:space="preserve">户名）   </w:t>
      </w:r>
    </w:p>
    <w:p w14:paraId="3D8BE28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账</w:t>
      </w:r>
      <w:r>
        <w:rPr>
          <w:rFonts w:hint="eastAsia" w:ascii="宋体" w:hAnsi="宋体"/>
          <w:color w:val="auto"/>
          <w:szCs w:val="21"/>
          <w:highlight w:val="none"/>
        </w:rPr>
        <w:t xml:space="preserve">        号：</w:t>
      </w:r>
      <w:r>
        <w:rPr>
          <w:rFonts w:hint="eastAsia" w:ascii="宋体" w:hAnsi="宋体"/>
          <w:color w:val="auto"/>
          <w:szCs w:val="21"/>
          <w:highlight w:val="none"/>
          <w:u w:val="single"/>
        </w:rPr>
        <w:t xml:space="preserve">  （必须是投标时使用的</w:t>
      </w:r>
      <w:r>
        <w:rPr>
          <w:rFonts w:hint="eastAsia" w:ascii="宋体" w:hAnsi="宋体"/>
          <w:color w:val="auto"/>
          <w:szCs w:val="21"/>
          <w:highlight w:val="none"/>
          <w:u w:val="single"/>
          <w:lang w:eastAsia="zh-CN"/>
        </w:rPr>
        <w:t>账</w:t>
      </w:r>
      <w:r>
        <w:rPr>
          <w:rFonts w:hint="eastAsia" w:ascii="宋体" w:hAnsi="宋体"/>
          <w:color w:val="auto"/>
          <w:szCs w:val="21"/>
          <w:highlight w:val="none"/>
          <w:u w:val="single"/>
        </w:rPr>
        <w:t xml:space="preserve">号）        </w:t>
      </w:r>
    </w:p>
    <w:p w14:paraId="29D2C261">
      <w:pP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14:paraId="2531AAB8">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34568E02">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14:paraId="73AE8B8F">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07BE4A41">
      <w:pP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月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日</w:t>
      </w:r>
    </w:p>
    <w:p w14:paraId="4018C814">
      <w:pPr>
        <w:spacing w:line="480" w:lineRule="auto"/>
        <w:rPr>
          <w:rFonts w:ascii="宋体" w:hAnsi="宋体"/>
          <w:color w:val="auto"/>
          <w:szCs w:val="21"/>
          <w:highlight w:val="none"/>
        </w:rPr>
      </w:pPr>
      <w:r>
        <w:rPr>
          <w:rFonts w:hint="eastAsia" w:ascii="宋体" w:hAnsi="宋体"/>
          <w:color w:val="auto"/>
          <w:szCs w:val="21"/>
          <w:highlight w:val="none"/>
        </w:rPr>
        <w:t>单位名称：</w:t>
      </w:r>
    </w:p>
    <w:p w14:paraId="415549B2">
      <w:pPr>
        <w:spacing w:line="480" w:lineRule="auto"/>
        <w:rPr>
          <w:rFonts w:ascii="宋体" w:hAnsi="宋体"/>
          <w:color w:val="auto"/>
          <w:szCs w:val="21"/>
          <w:highlight w:val="none"/>
        </w:rPr>
      </w:pPr>
      <w:r>
        <w:rPr>
          <w:rFonts w:hint="eastAsia" w:ascii="宋体" w:hAnsi="宋体"/>
          <w:color w:val="auto"/>
          <w:szCs w:val="21"/>
          <w:highlight w:val="none"/>
        </w:rPr>
        <w:t>单位地址：</w:t>
      </w:r>
    </w:p>
    <w:p w14:paraId="5BD7027A">
      <w:pPr>
        <w:spacing w:line="480" w:lineRule="auto"/>
        <w:rPr>
          <w:rFonts w:ascii="宋体" w:hAnsi="宋体"/>
          <w:color w:val="auto"/>
          <w:szCs w:val="21"/>
          <w:highlight w:val="none"/>
        </w:rPr>
      </w:pPr>
      <w:r>
        <w:rPr>
          <w:rFonts w:hint="eastAsia" w:ascii="宋体" w:hAnsi="宋体"/>
          <w:color w:val="auto"/>
          <w:szCs w:val="21"/>
          <w:highlight w:val="none"/>
        </w:rPr>
        <w:t>联系人：</w:t>
      </w:r>
    </w:p>
    <w:p w14:paraId="3CB65941">
      <w:pP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14:paraId="5A2C8940">
      <w:pPr>
        <w:rPr>
          <w:rFonts w:ascii="宋体" w:hAnsi="宋体"/>
          <w:color w:val="auto"/>
          <w:szCs w:val="21"/>
          <w:highlight w:val="none"/>
        </w:rPr>
      </w:pPr>
    </w:p>
    <w:p w14:paraId="32295108">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58D39F6A">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30"/>
        <w:tblW w:w="86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0"/>
      </w:tblGrid>
      <w:tr w14:paraId="33B2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600" w:type="dxa"/>
            <w:vAlign w:val="center"/>
          </w:tcPr>
          <w:p w14:paraId="604175A6">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12B66AA8">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注：此表既要装订在投标文件中，又要按投标人须知的规定与开标一览表、投标保证金汇款底单复印件及授权委托书一同密封装入唱标信封，唱标信封单独提交。</w:t>
      </w:r>
    </w:p>
    <w:p w14:paraId="4B8C1874">
      <w:pPr>
        <w:rPr>
          <w:rFonts w:hint="eastAsia"/>
          <w:color w:val="auto"/>
          <w:highlight w:val="none"/>
          <w:lang w:val="en-US" w:eastAsia="zh-CN"/>
        </w:rPr>
      </w:pPr>
    </w:p>
    <w:p w14:paraId="49AF8BCC">
      <w:pPr>
        <w:widowControl w:val="0"/>
        <w:overflowPunct w:val="0"/>
        <w:spacing w:line="240" w:lineRule="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br w:type="page"/>
      </w:r>
    </w:p>
    <w:bookmarkEnd w:id="480"/>
    <w:p w14:paraId="35925B8F">
      <w:pPr>
        <w:pStyle w:val="6"/>
        <w:widowControl w:val="0"/>
        <w:overflowPunct w:val="0"/>
        <w:spacing w:line="240" w:lineRule="auto"/>
        <w:rPr>
          <w:rFonts w:ascii="宋体" w:hAnsi="宋体"/>
          <w:color w:val="auto"/>
          <w:sz w:val="21"/>
          <w:szCs w:val="21"/>
          <w:highlight w:val="none"/>
        </w:rPr>
      </w:pPr>
      <w:bookmarkStart w:id="502" w:name="_Toc28040"/>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 xml:space="preserve">4  </w:t>
      </w:r>
      <w:r>
        <w:rPr>
          <w:rFonts w:hint="eastAsia" w:ascii="宋体" w:hAnsi="宋体"/>
          <w:color w:val="auto"/>
          <w:sz w:val="21"/>
          <w:szCs w:val="21"/>
          <w:highlight w:val="none"/>
        </w:rPr>
        <w:t>商务需求条款偏离表格式</w:t>
      </w:r>
      <w:bookmarkEnd w:id="502"/>
    </w:p>
    <w:p w14:paraId="6B9E03FE">
      <w:pPr>
        <w:jc w:val="center"/>
        <w:rPr>
          <w:rFonts w:ascii="黑体" w:eastAsia="黑体"/>
          <w:color w:val="auto"/>
          <w:sz w:val="28"/>
          <w:szCs w:val="28"/>
          <w:highlight w:val="none"/>
        </w:rPr>
      </w:pPr>
    </w:p>
    <w:p w14:paraId="7D27AE48">
      <w:pP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30"/>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14:paraId="227C4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vAlign w:val="center"/>
          </w:tcPr>
          <w:p w14:paraId="513E0CC8">
            <w:pPr>
              <w:jc w:val="center"/>
              <w:rPr>
                <w:rFonts w:ascii="宋体" w:hAnsi="宋体"/>
                <w:color w:val="auto"/>
                <w:szCs w:val="21"/>
                <w:highlight w:val="none"/>
              </w:rPr>
            </w:pPr>
            <w:r>
              <w:rPr>
                <w:rFonts w:hint="eastAsia" w:ascii="宋体" w:hAnsi="宋体"/>
                <w:color w:val="auto"/>
                <w:szCs w:val="21"/>
                <w:highlight w:val="none"/>
              </w:rPr>
              <w:t>序号</w:t>
            </w:r>
          </w:p>
        </w:tc>
        <w:tc>
          <w:tcPr>
            <w:tcW w:w="1620" w:type="dxa"/>
            <w:vAlign w:val="center"/>
          </w:tcPr>
          <w:p w14:paraId="697D0DE5">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vAlign w:val="center"/>
          </w:tcPr>
          <w:p w14:paraId="4898C966">
            <w:pP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vAlign w:val="center"/>
          </w:tcPr>
          <w:p w14:paraId="7C552F60">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133" w:type="dxa"/>
            <w:vAlign w:val="center"/>
          </w:tcPr>
          <w:p w14:paraId="4646E8AB">
            <w:pP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vAlign w:val="center"/>
          </w:tcPr>
          <w:p w14:paraId="68BC920F">
            <w:pPr>
              <w:jc w:val="center"/>
              <w:rPr>
                <w:rFonts w:ascii="宋体" w:hAnsi="宋体"/>
                <w:color w:val="auto"/>
                <w:szCs w:val="21"/>
                <w:highlight w:val="none"/>
              </w:rPr>
            </w:pPr>
            <w:r>
              <w:rPr>
                <w:rFonts w:hint="eastAsia" w:ascii="宋体" w:hAnsi="宋体"/>
                <w:color w:val="auto"/>
                <w:szCs w:val="21"/>
                <w:highlight w:val="none"/>
              </w:rPr>
              <w:t>说明</w:t>
            </w:r>
          </w:p>
        </w:tc>
      </w:tr>
      <w:tr w14:paraId="08D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1D57116">
            <w:pPr>
              <w:jc w:val="center"/>
              <w:rPr>
                <w:rFonts w:ascii="宋体" w:hAnsi="宋体"/>
                <w:color w:val="auto"/>
                <w:szCs w:val="21"/>
                <w:highlight w:val="none"/>
              </w:rPr>
            </w:pPr>
          </w:p>
        </w:tc>
        <w:tc>
          <w:tcPr>
            <w:tcW w:w="1620" w:type="dxa"/>
            <w:vAlign w:val="center"/>
          </w:tcPr>
          <w:p w14:paraId="05801D99">
            <w:pPr>
              <w:jc w:val="center"/>
              <w:rPr>
                <w:rFonts w:ascii="宋体" w:hAnsi="宋体"/>
                <w:color w:val="auto"/>
                <w:szCs w:val="21"/>
                <w:highlight w:val="none"/>
              </w:rPr>
            </w:pPr>
          </w:p>
        </w:tc>
        <w:tc>
          <w:tcPr>
            <w:tcW w:w="1360" w:type="dxa"/>
            <w:vAlign w:val="center"/>
          </w:tcPr>
          <w:p w14:paraId="52F35A99">
            <w:pPr>
              <w:jc w:val="center"/>
              <w:rPr>
                <w:rFonts w:ascii="宋体" w:hAnsi="宋体"/>
                <w:color w:val="auto"/>
                <w:szCs w:val="21"/>
                <w:highlight w:val="none"/>
              </w:rPr>
            </w:pPr>
          </w:p>
        </w:tc>
        <w:tc>
          <w:tcPr>
            <w:tcW w:w="1587" w:type="dxa"/>
            <w:vAlign w:val="center"/>
          </w:tcPr>
          <w:p w14:paraId="416F28E3">
            <w:pPr>
              <w:jc w:val="center"/>
              <w:rPr>
                <w:rFonts w:ascii="宋体" w:hAnsi="宋体"/>
                <w:color w:val="auto"/>
                <w:szCs w:val="21"/>
                <w:highlight w:val="none"/>
              </w:rPr>
            </w:pPr>
          </w:p>
        </w:tc>
        <w:tc>
          <w:tcPr>
            <w:tcW w:w="1133" w:type="dxa"/>
            <w:vAlign w:val="center"/>
          </w:tcPr>
          <w:p w14:paraId="46F89E64">
            <w:pPr>
              <w:jc w:val="center"/>
              <w:rPr>
                <w:rFonts w:ascii="宋体" w:hAnsi="宋体"/>
                <w:color w:val="auto"/>
                <w:szCs w:val="21"/>
                <w:highlight w:val="none"/>
              </w:rPr>
            </w:pPr>
          </w:p>
        </w:tc>
        <w:tc>
          <w:tcPr>
            <w:tcW w:w="1730" w:type="dxa"/>
            <w:vAlign w:val="center"/>
          </w:tcPr>
          <w:p w14:paraId="01245AFA">
            <w:pPr>
              <w:jc w:val="center"/>
              <w:rPr>
                <w:rFonts w:ascii="宋体" w:hAnsi="宋体"/>
                <w:color w:val="auto"/>
                <w:szCs w:val="21"/>
                <w:highlight w:val="none"/>
              </w:rPr>
            </w:pPr>
          </w:p>
        </w:tc>
      </w:tr>
      <w:tr w14:paraId="061C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FC509A4">
            <w:pPr>
              <w:jc w:val="center"/>
              <w:rPr>
                <w:rFonts w:ascii="宋体" w:hAnsi="宋体"/>
                <w:color w:val="auto"/>
                <w:szCs w:val="21"/>
                <w:highlight w:val="none"/>
              </w:rPr>
            </w:pPr>
          </w:p>
        </w:tc>
        <w:tc>
          <w:tcPr>
            <w:tcW w:w="1620" w:type="dxa"/>
            <w:vAlign w:val="center"/>
          </w:tcPr>
          <w:p w14:paraId="292D7A81">
            <w:pPr>
              <w:jc w:val="center"/>
              <w:rPr>
                <w:rFonts w:ascii="宋体" w:hAnsi="宋体"/>
                <w:color w:val="auto"/>
                <w:szCs w:val="21"/>
                <w:highlight w:val="none"/>
              </w:rPr>
            </w:pPr>
          </w:p>
        </w:tc>
        <w:tc>
          <w:tcPr>
            <w:tcW w:w="1360" w:type="dxa"/>
            <w:vAlign w:val="center"/>
          </w:tcPr>
          <w:p w14:paraId="0E7BBAF1">
            <w:pPr>
              <w:jc w:val="center"/>
              <w:rPr>
                <w:rFonts w:ascii="宋体" w:hAnsi="宋体"/>
                <w:color w:val="auto"/>
                <w:szCs w:val="21"/>
                <w:highlight w:val="none"/>
              </w:rPr>
            </w:pPr>
          </w:p>
        </w:tc>
        <w:tc>
          <w:tcPr>
            <w:tcW w:w="1587" w:type="dxa"/>
            <w:vAlign w:val="center"/>
          </w:tcPr>
          <w:p w14:paraId="5CEAA2F7">
            <w:pPr>
              <w:jc w:val="center"/>
              <w:rPr>
                <w:rFonts w:ascii="宋体" w:hAnsi="宋体"/>
                <w:color w:val="auto"/>
                <w:szCs w:val="21"/>
                <w:highlight w:val="none"/>
              </w:rPr>
            </w:pPr>
          </w:p>
        </w:tc>
        <w:tc>
          <w:tcPr>
            <w:tcW w:w="1133" w:type="dxa"/>
            <w:vAlign w:val="center"/>
          </w:tcPr>
          <w:p w14:paraId="3A63879B">
            <w:pPr>
              <w:jc w:val="center"/>
              <w:rPr>
                <w:rFonts w:ascii="宋体" w:hAnsi="宋体"/>
                <w:color w:val="auto"/>
                <w:szCs w:val="21"/>
                <w:highlight w:val="none"/>
              </w:rPr>
            </w:pPr>
          </w:p>
        </w:tc>
        <w:tc>
          <w:tcPr>
            <w:tcW w:w="1730" w:type="dxa"/>
            <w:vAlign w:val="center"/>
          </w:tcPr>
          <w:p w14:paraId="1BA008CA">
            <w:pPr>
              <w:jc w:val="center"/>
              <w:rPr>
                <w:rFonts w:ascii="宋体" w:hAnsi="宋体"/>
                <w:color w:val="auto"/>
                <w:szCs w:val="21"/>
                <w:highlight w:val="none"/>
              </w:rPr>
            </w:pPr>
          </w:p>
        </w:tc>
      </w:tr>
      <w:tr w14:paraId="3F12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02CE610">
            <w:pPr>
              <w:jc w:val="center"/>
              <w:rPr>
                <w:rFonts w:ascii="宋体" w:hAnsi="宋体"/>
                <w:color w:val="auto"/>
                <w:szCs w:val="21"/>
                <w:highlight w:val="none"/>
              </w:rPr>
            </w:pPr>
          </w:p>
        </w:tc>
        <w:tc>
          <w:tcPr>
            <w:tcW w:w="1620" w:type="dxa"/>
            <w:vAlign w:val="center"/>
          </w:tcPr>
          <w:p w14:paraId="7A24FE8A">
            <w:pPr>
              <w:jc w:val="center"/>
              <w:rPr>
                <w:rFonts w:ascii="宋体" w:hAnsi="宋体"/>
                <w:color w:val="auto"/>
                <w:szCs w:val="21"/>
                <w:highlight w:val="none"/>
              </w:rPr>
            </w:pPr>
          </w:p>
        </w:tc>
        <w:tc>
          <w:tcPr>
            <w:tcW w:w="1360" w:type="dxa"/>
            <w:vAlign w:val="center"/>
          </w:tcPr>
          <w:p w14:paraId="51B19459">
            <w:pPr>
              <w:jc w:val="center"/>
              <w:rPr>
                <w:rFonts w:ascii="宋体" w:hAnsi="宋体"/>
                <w:color w:val="auto"/>
                <w:szCs w:val="21"/>
                <w:highlight w:val="none"/>
              </w:rPr>
            </w:pPr>
          </w:p>
        </w:tc>
        <w:tc>
          <w:tcPr>
            <w:tcW w:w="1587" w:type="dxa"/>
            <w:vAlign w:val="center"/>
          </w:tcPr>
          <w:p w14:paraId="32A3D277">
            <w:pPr>
              <w:jc w:val="center"/>
              <w:rPr>
                <w:rFonts w:ascii="宋体" w:hAnsi="宋体"/>
                <w:color w:val="auto"/>
                <w:szCs w:val="21"/>
                <w:highlight w:val="none"/>
              </w:rPr>
            </w:pPr>
          </w:p>
        </w:tc>
        <w:tc>
          <w:tcPr>
            <w:tcW w:w="1133" w:type="dxa"/>
            <w:vAlign w:val="center"/>
          </w:tcPr>
          <w:p w14:paraId="06ADD8E7">
            <w:pPr>
              <w:jc w:val="center"/>
              <w:rPr>
                <w:rFonts w:ascii="宋体" w:hAnsi="宋体"/>
                <w:color w:val="auto"/>
                <w:szCs w:val="21"/>
                <w:highlight w:val="none"/>
              </w:rPr>
            </w:pPr>
          </w:p>
        </w:tc>
        <w:tc>
          <w:tcPr>
            <w:tcW w:w="1730" w:type="dxa"/>
            <w:vAlign w:val="center"/>
          </w:tcPr>
          <w:p w14:paraId="1C153F84">
            <w:pPr>
              <w:jc w:val="center"/>
              <w:rPr>
                <w:rFonts w:ascii="宋体" w:hAnsi="宋体"/>
                <w:color w:val="auto"/>
                <w:szCs w:val="21"/>
                <w:highlight w:val="none"/>
              </w:rPr>
            </w:pPr>
          </w:p>
        </w:tc>
      </w:tr>
      <w:tr w14:paraId="3590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637F6A1">
            <w:pPr>
              <w:jc w:val="center"/>
              <w:rPr>
                <w:rFonts w:ascii="宋体" w:hAnsi="宋体"/>
                <w:color w:val="auto"/>
                <w:szCs w:val="21"/>
                <w:highlight w:val="none"/>
              </w:rPr>
            </w:pPr>
          </w:p>
        </w:tc>
        <w:tc>
          <w:tcPr>
            <w:tcW w:w="1620" w:type="dxa"/>
            <w:vAlign w:val="center"/>
          </w:tcPr>
          <w:p w14:paraId="284BD167">
            <w:pPr>
              <w:jc w:val="center"/>
              <w:rPr>
                <w:rFonts w:ascii="宋体" w:hAnsi="宋体"/>
                <w:color w:val="auto"/>
                <w:szCs w:val="21"/>
                <w:highlight w:val="none"/>
              </w:rPr>
            </w:pPr>
          </w:p>
        </w:tc>
        <w:tc>
          <w:tcPr>
            <w:tcW w:w="1360" w:type="dxa"/>
            <w:vAlign w:val="center"/>
          </w:tcPr>
          <w:p w14:paraId="01E7F10C">
            <w:pPr>
              <w:jc w:val="center"/>
              <w:rPr>
                <w:rFonts w:ascii="宋体" w:hAnsi="宋体"/>
                <w:color w:val="auto"/>
                <w:szCs w:val="21"/>
                <w:highlight w:val="none"/>
              </w:rPr>
            </w:pPr>
          </w:p>
        </w:tc>
        <w:tc>
          <w:tcPr>
            <w:tcW w:w="1587" w:type="dxa"/>
            <w:vAlign w:val="center"/>
          </w:tcPr>
          <w:p w14:paraId="0067C48E">
            <w:pPr>
              <w:jc w:val="center"/>
              <w:rPr>
                <w:rFonts w:ascii="宋体" w:hAnsi="宋体"/>
                <w:color w:val="auto"/>
                <w:szCs w:val="21"/>
                <w:highlight w:val="none"/>
              </w:rPr>
            </w:pPr>
          </w:p>
        </w:tc>
        <w:tc>
          <w:tcPr>
            <w:tcW w:w="1133" w:type="dxa"/>
            <w:vAlign w:val="center"/>
          </w:tcPr>
          <w:p w14:paraId="01D90B06">
            <w:pPr>
              <w:jc w:val="center"/>
              <w:rPr>
                <w:rFonts w:ascii="宋体" w:hAnsi="宋体"/>
                <w:color w:val="auto"/>
                <w:szCs w:val="21"/>
                <w:highlight w:val="none"/>
              </w:rPr>
            </w:pPr>
          </w:p>
        </w:tc>
        <w:tc>
          <w:tcPr>
            <w:tcW w:w="1730" w:type="dxa"/>
            <w:vAlign w:val="center"/>
          </w:tcPr>
          <w:p w14:paraId="06B13341">
            <w:pPr>
              <w:jc w:val="center"/>
              <w:rPr>
                <w:rFonts w:ascii="宋体" w:hAnsi="宋体"/>
                <w:color w:val="auto"/>
                <w:szCs w:val="21"/>
                <w:highlight w:val="none"/>
              </w:rPr>
            </w:pPr>
          </w:p>
        </w:tc>
      </w:tr>
      <w:tr w14:paraId="2653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98A688D">
            <w:pPr>
              <w:jc w:val="center"/>
              <w:rPr>
                <w:rFonts w:ascii="宋体" w:hAnsi="宋体"/>
                <w:color w:val="auto"/>
                <w:szCs w:val="21"/>
                <w:highlight w:val="none"/>
              </w:rPr>
            </w:pPr>
          </w:p>
        </w:tc>
        <w:tc>
          <w:tcPr>
            <w:tcW w:w="1620" w:type="dxa"/>
            <w:vAlign w:val="center"/>
          </w:tcPr>
          <w:p w14:paraId="0C76A271">
            <w:pPr>
              <w:jc w:val="center"/>
              <w:rPr>
                <w:rFonts w:ascii="宋体" w:hAnsi="宋体"/>
                <w:color w:val="auto"/>
                <w:szCs w:val="21"/>
                <w:highlight w:val="none"/>
              </w:rPr>
            </w:pPr>
          </w:p>
        </w:tc>
        <w:tc>
          <w:tcPr>
            <w:tcW w:w="1360" w:type="dxa"/>
            <w:vAlign w:val="center"/>
          </w:tcPr>
          <w:p w14:paraId="4F5CA6D8">
            <w:pPr>
              <w:jc w:val="center"/>
              <w:rPr>
                <w:rFonts w:ascii="宋体" w:hAnsi="宋体"/>
                <w:color w:val="auto"/>
                <w:szCs w:val="21"/>
                <w:highlight w:val="none"/>
              </w:rPr>
            </w:pPr>
          </w:p>
        </w:tc>
        <w:tc>
          <w:tcPr>
            <w:tcW w:w="1587" w:type="dxa"/>
            <w:vAlign w:val="center"/>
          </w:tcPr>
          <w:p w14:paraId="35C02EE5">
            <w:pPr>
              <w:jc w:val="center"/>
              <w:rPr>
                <w:rFonts w:ascii="宋体" w:hAnsi="宋体"/>
                <w:color w:val="auto"/>
                <w:szCs w:val="21"/>
                <w:highlight w:val="none"/>
              </w:rPr>
            </w:pPr>
          </w:p>
        </w:tc>
        <w:tc>
          <w:tcPr>
            <w:tcW w:w="1133" w:type="dxa"/>
            <w:vAlign w:val="center"/>
          </w:tcPr>
          <w:p w14:paraId="280E77AC">
            <w:pPr>
              <w:jc w:val="center"/>
              <w:rPr>
                <w:rFonts w:ascii="宋体" w:hAnsi="宋体"/>
                <w:color w:val="auto"/>
                <w:szCs w:val="21"/>
                <w:highlight w:val="none"/>
              </w:rPr>
            </w:pPr>
          </w:p>
        </w:tc>
        <w:tc>
          <w:tcPr>
            <w:tcW w:w="1730" w:type="dxa"/>
            <w:vAlign w:val="center"/>
          </w:tcPr>
          <w:p w14:paraId="5174E8A2">
            <w:pPr>
              <w:jc w:val="center"/>
              <w:rPr>
                <w:rFonts w:ascii="宋体" w:hAnsi="宋体"/>
                <w:color w:val="auto"/>
                <w:szCs w:val="21"/>
                <w:highlight w:val="none"/>
              </w:rPr>
            </w:pPr>
          </w:p>
        </w:tc>
      </w:tr>
      <w:tr w14:paraId="0787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F8CD1D7">
            <w:pPr>
              <w:jc w:val="center"/>
              <w:rPr>
                <w:rFonts w:ascii="宋体" w:hAnsi="宋体"/>
                <w:color w:val="auto"/>
                <w:szCs w:val="21"/>
                <w:highlight w:val="none"/>
              </w:rPr>
            </w:pPr>
          </w:p>
        </w:tc>
        <w:tc>
          <w:tcPr>
            <w:tcW w:w="1620" w:type="dxa"/>
            <w:vAlign w:val="center"/>
          </w:tcPr>
          <w:p w14:paraId="2630E8D7">
            <w:pPr>
              <w:jc w:val="center"/>
              <w:rPr>
                <w:rFonts w:ascii="宋体" w:hAnsi="宋体"/>
                <w:color w:val="auto"/>
                <w:szCs w:val="21"/>
                <w:highlight w:val="none"/>
              </w:rPr>
            </w:pPr>
          </w:p>
        </w:tc>
        <w:tc>
          <w:tcPr>
            <w:tcW w:w="1360" w:type="dxa"/>
            <w:vAlign w:val="center"/>
          </w:tcPr>
          <w:p w14:paraId="26B89CAD">
            <w:pPr>
              <w:jc w:val="center"/>
              <w:rPr>
                <w:rFonts w:ascii="宋体" w:hAnsi="宋体"/>
                <w:color w:val="auto"/>
                <w:szCs w:val="21"/>
                <w:highlight w:val="none"/>
              </w:rPr>
            </w:pPr>
          </w:p>
        </w:tc>
        <w:tc>
          <w:tcPr>
            <w:tcW w:w="1587" w:type="dxa"/>
            <w:vAlign w:val="center"/>
          </w:tcPr>
          <w:p w14:paraId="36CF0F02">
            <w:pPr>
              <w:jc w:val="center"/>
              <w:rPr>
                <w:rFonts w:ascii="宋体" w:hAnsi="宋体"/>
                <w:color w:val="auto"/>
                <w:szCs w:val="21"/>
                <w:highlight w:val="none"/>
              </w:rPr>
            </w:pPr>
          </w:p>
        </w:tc>
        <w:tc>
          <w:tcPr>
            <w:tcW w:w="1133" w:type="dxa"/>
            <w:vAlign w:val="center"/>
          </w:tcPr>
          <w:p w14:paraId="5E78DB91">
            <w:pPr>
              <w:jc w:val="center"/>
              <w:rPr>
                <w:rFonts w:ascii="宋体" w:hAnsi="宋体"/>
                <w:color w:val="auto"/>
                <w:szCs w:val="21"/>
                <w:highlight w:val="none"/>
              </w:rPr>
            </w:pPr>
          </w:p>
        </w:tc>
        <w:tc>
          <w:tcPr>
            <w:tcW w:w="1730" w:type="dxa"/>
            <w:vAlign w:val="center"/>
          </w:tcPr>
          <w:p w14:paraId="21EEE916">
            <w:pPr>
              <w:jc w:val="center"/>
              <w:rPr>
                <w:rFonts w:ascii="宋体" w:hAnsi="宋体"/>
                <w:color w:val="auto"/>
                <w:szCs w:val="21"/>
                <w:highlight w:val="none"/>
              </w:rPr>
            </w:pPr>
          </w:p>
        </w:tc>
      </w:tr>
      <w:tr w14:paraId="08DF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06678AC">
            <w:pPr>
              <w:jc w:val="center"/>
              <w:rPr>
                <w:rFonts w:ascii="宋体" w:hAnsi="宋体"/>
                <w:color w:val="auto"/>
                <w:szCs w:val="21"/>
                <w:highlight w:val="none"/>
              </w:rPr>
            </w:pPr>
          </w:p>
        </w:tc>
        <w:tc>
          <w:tcPr>
            <w:tcW w:w="1620" w:type="dxa"/>
            <w:vAlign w:val="center"/>
          </w:tcPr>
          <w:p w14:paraId="4184D297">
            <w:pPr>
              <w:jc w:val="center"/>
              <w:rPr>
                <w:rFonts w:ascii="宋体" w:hAnsi="宋体"/>
                <w:color w:val="auto"/>
                <w:szCs w:val="21"/>
                <w:highlight w:val="none"/>
              </w:rPr>
            </w:pPr>
          </w:p>
        </w:tc>
        <w:tc>
          <w:tcPr>
            <w:tcW w:w="1360" w:type="dxa"/>
            <w:vAlign w:val="center"/>
          </w:tcPr>
          <w:p w14:paraId="69951718">
            <w:pPr>
              <w:jc w:val="center"/>
              <w:rPr>
                <w:rFonts w:ascii="宋体" w:hAnsi="宋体"/>
                <w:color w:val="auto"/>
                <w:szCs w:val="21"/>
                <w:highlight w:val="none"/>
              </w:rPr>
            </w:pPr>
          </w:p>
        </w:tc>
        <w:tc>
          <w:tcPr>
            <w:tcW w:w="1587" w:type="dxa"/>
            <w:vAlign w:val="center"/>
          </w:tcPr>
          <w:p w14:paraId="4262FB16">
            <w:pPr>
              <w:jc w:val="center"/>
              <w:rPr>
                <w:rFonts w:ascii="宋体" w:hAnsi="宋体"/>
                <w:color w:val="auto"/>
                <w:szCs w:val="21"/>
                <w:highlight w:val="none"/>
              </w:rPr>
            </w:pPr>
          </w:p>
        </w:tc>
        <w:tc>
          <w:tcPr>
            <w:tcW w:w="1133" w:type="dxa"/>
            <w:vAlign w:val="center"/>
          </w:tcPr>
          <w:p w14:paraId="2BD5D333">
            <w:pPr>
              <w:jc w:val="center"/>
              <w:rPr>
                <w:rFonts w:ascii="宋体" w:hAnsi="宋体"/>
                <w:color w:val="auto"/>
                <w:szCs w:val="21"/>
                <w:highlight w:val="none"/>
              </w:rPr>
            </w:pPr>
          </w:p>
        </w:tc>
        <w:tc>
          <w:tcPr>
            <w:tcW w:w="1730" w:type="dxa"/>
            <w:vAlign w:val="center"/>
          </w:tcPr>
          <w:p w14:paraId="0E611EC6">
            <w:pPr>
              <w:jc w:val="center"/>
              <w:rPr>
                <w:rFonts w:ascii="宋体" w:hAnsi="宋体"/>
                <w:color w:val="auto"/>
                <w:szCs w:val="21"/>
                <w:highlight w:val="none"/>
              </w:rPr>
            </w:pPr>
          </w:p>
        </w:tc>
      </w:tr>
      <w:tr w14:paraId="2C4C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13ED13A">
            <w:pPr>
              <w:jc w:val="center"/>
              <w:rPr>
                <w:rFonts w:ascii="宋体" w:hAnsi="宋体"/>
                <w:color w:val="auto"/>
                <w:szCs w:val="21"/>
                <w:highlight w:val="none"/>
              </w:rPr>
            </w:pPr>
          </w:p>
        </w:tc>
        <w:tc>
          <w:tcPr>
            <w:tcW w:w="1620" w:type="dxa"/>
            <w:vAlign w:val="center"/>
          </w:tcPr>
          <w:p w14:paraId="730734D5">
            <w:pPr>
              <w:jc w:val="center"/>
              <w:rPr>
                <w:rFonts w:ascii="宋体" w:hAnsi="宋体"/>
                <w:color w:val="auto"/>
                <w:szCs w:val="21"/>
                <w:highlight w:val="none"/>
              </w:rPr>
            </w:pPr>
          </w:p>
        </w:tc>
        <w:tc>
          <w:tcPr>
            <w:tcW w:w="1360" w:type="dxa"/>
            <w:vAlign w:val="center"/>
          </w:tcPr>
          <w:p w14:paraId="5F29C4EB">
            <w:pPr>
              <w:jc w:val="center"/>
              <w:rPr>
                <w:rFonts w:ascii="宋体" w:hAnsi="宋体"/>
                <w:color w:val="auto"/>
                <w:szCs w:val="21"/>
                <w:highlight w:val="none"/>
              </w:rPr>
            </w:pPr>
          </w:p>
        </w:tc>
        <w:tc>
          <w:tcPr>
            <w:tcW w:w="1587" w:type="dxa"/>
            <w:vAlign w:val="center"/>
          </w:tcPr>
          <w:p w14:paraId="60E690B2">
            <w:pPr>
              <w:jc w:val="center"/>
              <w:rPr>
                <w:rFonts w:ascii="宋体" w:hAnsi="宋体"/>
                <w:color w:val="auto"/>
                <w:szCs w:val="21"/>
                <w:highlight w:val="none"/>
              </w:rPr>
            </w:pPr>
          </w:p>
        </w:tc>
        <w:tc>
          <w:tcPr>
            <w:tcW w:w="1133" w:type="dxa"/>
            <w:vAlign w:val="center"/>
          </w:tcPr>
          <w:p w14:paraId="11EFE5DD">
            <w:pPr>
              <w:jc w:val="center"/>
              <w:rPr>
                <w:rFonts w:ascii="宋体" w:hAnsi="宋体"/>
                <w:color w:val="auto"/>
                <w:szCs w:val="21"/>
                <w:highlight w:val="none"/>
              </w:rPr>
            </w:pPr>
          </w:p>
        </w:tc>
        <w:tc>
          <w:tcPr>
            <w:tcW w:w="1730" w:type="dxa"/>
            <w:vAlign w:val="center"/>
          </w:tcPr>
          <w:p w14:paraId="3C290454">
            <w:pPr>
              <w:jc w:val="center"/>
              <w:rPr>
                <w:rFonts w:ascii="宋体" w:hAnsi="宋体"/>
                <w:color w:val="auto"/>
                <w:szCs w:val="21"/>
                <w:highlight w:val="none"/>
              </w:rPr>
            </w:pPr>
          </w:p>
        </w:tc>
      </w:tr>
      <w:tr w14:paraId="0A7B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48DAECA">
            <w:pPr>
              <w:jc w:val="center"/>
              <w:rPr>
                <w:rFonts w:ascii="宋体" w:hAnsi="宋体"/>
                <w:color w:val="auto"/>
                <w:szCs w:val="21"/>
                <w:highlight w:val="none"/>
              </w:rPr>
            </w:pPr>
          </w:p>
        </w:tc>
        <w:tc>
          <w:tcPr>
            <w:tcW w:w="1620" w:type="dxa"/>
            <w:vAlign w:val="center"/>
          </w:tcPr>
          <w:p w14:paraId="68D27D00">
            <w:pPr>
              <w:jc w:val="center"/>
              <w:rPr>
                <w:rFonts w:ascii="宋体" w:hAnsi="宋体"/>
                <w:color w:val="auto"/>
                <w:szCs w:val="21"/>
                <w:highlight w:val="none"/>
              </w:rPr>
            </w:pPr>
          </w:p>
        </w:tc>
        <w:tc>
          <w:tcPr>
            <w:tcW w:w="1360" w:type="dxa"/>
            <w:vAlign w:val="center"/>
          </w:tcPr>
          <w:p w14:paraId="3E5793FD">
            <w:pPr>
              <w:jc w:val="center"/>
              <w:rPr>
                <w:rFonts w:ascii="宋体" w:hAnsi="宋体"/>
                <w:color w:val="auto"/>
                <w:szCs w:val="21"/>
                <w:highlight w:val="none"/>
              </w:rPr>
            </w:pPr>
          </w:p>
        </w:tc>
        <w:tc>
          <w:tcPr>
            <w:tcW w:w="1587" w:type="dxa"/>
            <w:vAlign w:val="center"/>
          </w:tcPr>
          <w:p w14:paraId="78929A5E">
            <w:pPr>
              <w:jc w:val="center"/>
              <w:rPr>
                <w:rFonts w:ascii="宋体" w:hAnsi="宋体"/>
                <w:color w:val="auto"/>
                <w:szCs w:val="21"/>
                <w:highlight w:val="none"/>
              </w:rPr>
            </w:pPr>
          </w:p>
        </w:tc>
        <w:tc>
          <w:tcPr>
            <w:tcW w:w="1133" w:type="dxa"/>
            <w:vAlign w:val="center"/>
          </w:tcPr>
          <w:p w14:paraId="7E7F7F85">
            <w:pPr>
              <w:jc w:val="center"/>
              <w:rPr>
                <w:rFonts w:ascii="宋体" w:hAnsi="宋体"/>
                <w:color w:val="auto"/>
                <w:szCs w:val="21"/>
                <w:highlight w:val="none"/>
              </w:rPr>
            </w:pPr>
          </w:p>
        </w:tc>
        <w:tc>
          <w:tcPr>
            <w:tcW w:w="1730" w:type="dxa"/>
            <w:vAlign w:val="center"/>
          </w:tcPr>
          <w:p w14:paraId="0F07B266">
            <w:pPr>
              <w:jc w:val="center"/>
              <w:rPr>
                <w:rFonts w:ascii="宋体" w:hAnsi="宋体"/>
                <w:color w:val="auto"/>
                <w:szCs w:val="21"/>
                <w:highlight w:val="none"/>
              </w:rPr>
            </w:pPr>
          </w:p>
        </w:tc>
      </w:tr>
      <w:tr w14:paraId="4D82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2544B17">
            <w:pPr>
              <w:jc w:val="center"/>
              <w:rPr>
                <w:rFonts w:ascii="宋体" w:hAnsi="宋体"/>
                <w:color w:val="auto"/>
                <w:szCs w:val="21"/>
                <w:highlight w:val="none"/>
              </w:rPr>
            </w:pPr>
          </w:p>
        </w:tc>
        <w:tc>
          <w:tcPr>
            <w:tcW w:w="1620" w:type="dxa"/>
            <w:vAlign w:val="center"/>
          </w:tcPr>
          <w:p w14:paraId="7121E6AC">
            <w:pPr>
              <w:jc w:val="center"/>
              <w:rPr>
                <w:rFonts w:ascii="宋体" w:hAnsi="宋体"/>
                <w:color w:val="auto"/>
                <w:szCs w:val="21"/>
                <w:highlight w:val="none"/>
              </w:rPr>
            </w:pPr>
          </w:p>
        </w:tc>
        <w:tc>
          <w:tcPr>
            <w:tcW w:w="1360" w:type="dxa"/>
            <w:vAlign w:val="center"/>
          </w:tcPr>
          <w:p w14:paraId="4D17CE76">
            <w:pPr>
              <w:jc w:val="center"/>
              <w:rPr>
                <w:rFonts w:ascii="宋体" w:hAnsi="宋体"/>
                <w:color w:val="auto"/>
                <w:szCs w:val="21"/>
                <w:highlight w:val="none"/>
              </w:rPr>
            </w:pPr>
          </w:p>
        </w:tc>
        <w:tc>
          <w:tcPr>
            <w:tcW w:w="1587" w:type="dxa"/>
            <w:vAlign w:val="center"/>
          </w:tcPr>
          <w:p w14:paraId="65749094">
            <w:pPr>
              <w:jc w:val="center"/>
              <w:rPr>
                <w:rFonts w:ascii="宋体" w:hAnsi="宋体"/>
                <w:color w:val="auto"/>
                <w:szCs w:val="21"/>
                <w:highlight w:val="none"/>
              </w:rPr>
            </w:pPr>
          </w:p>
        </w:tc>
        <w:tc>
          <w:tcPr>
            <w:tcW w:w="1133" w:type="dxa"/>
            <w:vAlign w:val="center"/>
          </w:tcPr>
          <w:p w14:paraId="17946D8B">
            <w:pPr>
              <w:jc w:val="center"/>
              <w:rPr>
                <w:rFonts w:ascii="宋体" w:hAnsi="宋体"/>
                <w:color w:val="auto"/>
                <w:szCs w:val="21"/>
                <w:highlight w:val="none"/>
              </w:rPr>
            </w:pPr>
          </w:p>
        </w:tc>
        <w:tc>
          <w:tcPr>
            <w:tcW w:w="1730" w:type="dxa"/>
            <w:vAlign w:val="center"/>
          </w:tcPr>
          <w:p w14:paraId="6889F1DB">
            <w:pPr>
              <w:jc w:val="center"/>
              <w:rPr>
                <w:rFonts w:ascii="宋体" w:hAnsi="宋体"/>
                <w:color w:val="auto"/>
                <w:szCs w:val="21"/>
                <w:highlight w:val="none"/>
              </w:rPr>
            </w:pPr>
          </w:p>
        </w:tc>
      </w:tr>
    </w:tbl>
    <w:p w14:paraId="4D8FC9E4">
      <w:pPr>
        <w:rPr>
          <w:rFonts w:ascii="宋体" w:hAnsi="宋体"/>
          <w:color w:val="auto"/>
          <w:szCs w:val="21"/>
          <w:highlight w:val="none"/>
        </w:rPr>
      </w:pPr>
    </w:p>
    <w:p w14:paraId="78A7E137">
      <w:pPr>
        <w:rPr>
          <w:rFonts w:ascii="宋体" w:hAnsi="宋体"/>
          <w:color w:val="auto"/>
          <w:szCs w:val="21"/>
          <w:highlight w:val="none"/>
        </w:rPr>
      </w:pPr>
      <w:r>
        <w:rPr>
          <w:rFonts w:hint="eastAsia" w:ascii="宋体" w:hAnsi="宋体"/>
          <w:color w:val="auto"/>
          <w:szCs w:val="21"/>
          <w:highlight w:val="none"/>
        </w:rPr>
        <w:t>投标人代表签字：</w:t>
      </w:r>
    </w:p>
    <w:p w14:paraId="05E650FA">
      <w:pPr>
        <w:rPr>
          <w:rFonts w:ascii="宋体" w:hAnsi="宋体"/>
          <w:color w:val="auto"/>
          <w:szCs w:val="21"/>
          <w:highlight w:val="none"/>
        </w:rPr>
      </w:pPr>
      <w:r>
        <w:rPr>
          <w:rFonts w:hint="eastAsia" w:ascii="宋体" w:hAnsi="宋体"/>
          <w:color w:val="auto"/>
          <w:szCs w:val="21"/>
          <w:highlight w:val="none"/>
        </w:rPr>
        <w:t>投标人盖章：</w:t>
      </w:r>
    </w:p>
    <w:p w14:paraId="1B2535E1">
      <w:pPr>
        <w:rPr>
          <w:rFonts w:ascii="宋体" w:hAnsi="宋体"/>
          <w:color w:val="auto"/>
          <w:szCs w:val="21"/>
          <w:highlight w:val="none"/>
        </w:rPr>
      </w:pPr>
    </w:p>
    <w:p w14:paraId="0E903317">
      <w:pPr>
        <w:ind w:left="718" w:hanging="718" w:hangingChars="342"/>
        <w:rPr>
          <w:rFonts w:ascii="宋体" w:hAnsi="宋体"/>
          <w:color w:val="auto"/>
          <w:szCs w:val="21"/>
          <w:highlight w:val="none"/>
        </w:rPr>
      </w:pPr>
      <w:r>
        <w:rPr>
          <w:rFonts w:hint="eastAsia" w:ascii="宋体" w:hAnsi="宋体"/>
          <w:color w:val="auto"/>
          <w:szCs w:val="21"/>
          <w:highlight w:val="none"/>
        </w:rPr>
        <w:t>注：</w:t>
      </w:r>
    </w:p>
    <w:p w14:paraId="1761D4E4">
      <w:pPr>
        <w:rPr>
          <w:rFonts w:ascii="宋体" w:hAnsi="宋体"/>
          <w:color w:val="auto"/>
          <w:szCs w:val="21"/>
          <w:highlight w:val="none"/>
        </w:rPr>
      </w:pPr>
      <w:r>
        <w:rPr>
          <w:rFonts w:hint="eastAsia" w:ascii="宋体" w:hAnsi="宋体"/>
          <w:color w:val="auto"/>
          <w:szCs w:val="21"/>
          <w:highlight w:val="none"/>
        </w:rPr>
        <w:t>1、投标人应对照采购文件商务需求书中商务要求，说明已对采购文件的商务内容做出了实质性的响应。</w:t>
      </w:r>
    </w:p>
    <w:p w14:paraId="6C3224EF">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需求书”的内容并对采购人所需的服务要求作全面响应，投标人必须承担完成“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，因此对投标人投标产生负面影响的，投标人自行承担后果。</w:t>
      </w:r>
    </w:p>
    <w:p w14:paraId="65737945">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5CCB99EC">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14:paraId="4CDDF066">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14:paraId="7B9E8A2D">
      <w:pPr>
        <w:rPr>
          <w:rFonts w:ascii="宋体" w:hAnsi="宋体"/>
          <w:color w:val="auto"/>
          <w:szCs w:val="21"/>
          <w:highlight w:val="none"/>
        </w:rPr>
      </w:pPr>
      <w:r>
        <w:rPr>
          <w:rFonts w:hint="eastAsia" w:ascii="宋体" w:hAnsi="宋体"/>
          <w:color w:val="auto"/>
          <w:szCs w:val="21"/>
          <w:highlight w:val="none"/>
        </w:rPr>
        <w:br w:type="page"/>
      </w:r>
    </w:p>
    <w:p w14:paraId="37A5C88B">
      <w:pPr>
        <w:rPr>
          <w:color w:val="auto"/>
          <w:highlight w:val="none"/>
        </w:rPr>
      </w:pPr>
    </w:p>
    <w:p w14:paraId="5A816611">
      <w:pPr>
        <w:pStyle w:val="4"/>
        <w:spacing w:before="0" w:after="0" w:line="360" w:lineRule="auto"/>
        <w:jc w:val="center"/>
        <w:rPr>
          <w:color w:val="auto"/>
          <w:sz w:val="72"/>
          <w:szCs w:val="72"/>
          <w:highlight w:val="none"/>
        </w:rPr>
      </w:pPr>
      <w:bookmarkStart w:id="503" w:name="_Toc26809"/>
      <w:r>
        <w:rPr>
          <w:rFonts w:hint="eastAsia"/>
          <w:color w:val="auto"/>
          <w:sz w:val="72"/>
          <w:szCs w:val="72"/>
          <w:highlight w:val="none"/>
        </w:rPr>
        <w:t>技术文件</w:t>
      </w:r>
      <w:bookmarkEnd w:id="503"/>
    </w:p>
    <w:p w14:paraId="1EA04475">
      <w:pP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14:paraId="7E3AFAAE">
      <w:pPr>
        <w:rPr>
          <w:color w:val="auto"/>
          <w:highlight w:val="none"/>
        </w:rPr>
      </w:pPr>
    </w:p>
    <w:p w14:paraId="79F91471">
      <w:pPr>
        <w:pStyle w:val="10"/>
        <w:rPr>
          <w:color w:val="auto"/>
          <w:highlight w:val="none"/>
        </w:rPr>
      </w:pPr>
    </w:p>
    <w:p w14:paraId="231DE107">
      <w:pPr>
        <w:pStyle w:val="27"/>
        <w:ind w:firstLine="240"/>
        <w:rPr>
          <w:color w:val="auto"/>
          <w:highlight w:val="none"/>
        </w:rPr>
      </w:pPr>
    </w:p>
    <w:p w14:paraId="438ABE1D">
      <w:pP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292250509"/>
        </w:rPr>
        <w:t>项目名</w:t>
      </w:r>
      <w:r>
        <w:rPr>
          <w:rFonts w:hint="eastAsia" w:ascii="宋体" w:hAnsi="宋体" w:cs="宋体"/>
          <w:b/>
          <w:bCs/>
          <w:color w:val="auto"/>
          <w:spacing w:val="1"/>
          <w:kern w:val="0"/>
          <w:sz w:val="32"/>
          <w:szCs w:val="32"/>
          <w:highlight w:val="none"/>
          <w:fitText w:val="1600" w:id="292250509"/>
        </w:rPr>
        <w:t>称</w:t>
      </w:r>
      <w:r>
        <w:rPr>
          <w:rFonts w:hint="eastAsia" w:ascii="宋体" w:hAnsi="宋体" w:cs="宋体"/>
          <w:b/>
          <w:bCs/>
          <w:color w:val="auto"/>
          <w:spacing w:val="-6"/>
          <w:sz w:val="32"/>
          <w:szCs w:val="32"/>
          <w:highlight w:val="none"/>
        </w:rPr>
        <w:t>：</w:t>
      </w:r>
    </w:p>
    <w:p w14:paraId="09E2148C">
      <w:pP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1231831253"/>
        </w:rPr>
        <w:t>项目编</w:t>
      </w:r>
      <w:r>
        <w:rPr>
          <w:rFonts w:hint="eastAsia" w:ascii="宋体" w:hAnsi="宋体" w:cs="宋体"/>
          <w:b/>
          <w:bCs/>
          <w:color w:val="auto"/>
          <w:spacing w:val="1"/>
          <w:kern w:val="0"/>
          <w:sz w:val="32"/>
          <w:szCs w:val="32"/>
          <w:highlight w:val="none"/>
          <w:fitText w:val="1600" w:id="1231831253"/>
        </w:rPr>
        <w:t>号</w:t>
      </w:r>
      <w:r>
        <w:rPr>
          <w:rFonts w:hint="eastAsia" w:ascii="宋体" w:hAnsi="宋体" w:cs="宋体"/>
          <w:b/>
          <w:bCs/>
          <w:color w:val="auto"/>
          <w:sz w:val="32"/>
          <w:szCs w:val="32"/>
          <w:highlight w:val="none"/>
        </w:rPr>
        <w:t>：</w:t>
      </w:r>
    </w:p>
    <w:p w14:paraId="47D2882C">
      <w:pPr>
        <w:pStyle w:val="10"/>
        <w:ind w:left="0"/>
        <w:rPr>
          <w:b/>
          <w:color w:val="auto"/>
          <w:spacing w:val="1280"/>
          <w:sz w:val="32"/>
          <w:szCs w:val="32"/>
          <w:highlight w:val="none"/>
        </w:rPr>
      </w:pPr>
      <w:r>
        <w:rPr>
          <w:b/>
          <w:color w:val="auto"/>
          <w:spacing w:val="106"/>
          <w:sz w:val="32"/>
          <w:szCs w:val="32"/>
          <w:highlight w:val="none"/>
          <w:lang w:val="en-US" w:bidi="ar-SA"/>
        </w:rPr>
        <w:t>包组号（如有）：</w:t>
      </w:r>
    </w:p>
    <w:p w14:paraId="18CC4F56">
      <w:pP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764384445"/>
        </w:rPr>
        <w:t>投标人名称</w:t>
      </w:r>
      <w:r>
        <w:rPr>
          <w:rFonts w:hint="eastAsia" w:ascii="宋体" w:hAnsi="宋体" w:cs="宋体"/>
          <w:b/>
          <w:color w:val="auto"/>
          <w:sz w:val="32"/>
          <w:szCs w:val="32"/>
          <w:highlight w:val="none"/>
        </w:rPr>
        <w:t>：</w:t>
      </w:r>
    </w:p>
    <w:p w14:paraId="014CE462">
      <w:pP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2061173831"/>
        </w:rPr>
        <w:t xml:space="preserve">日    </w:t>
      </w:r>
      <w:r>
        <w:rPr>
          <w:rFonts w:hint="eastAsia" w:ascii="宋体" w:hAnsi="宋体" w:cs="宋体"/>
          <w:b/>
          <w:color w:val="auto"/>
          <w:spacing w:val="0"/>
          <w:kern w:val="0"/>
          <w:sz w:val="32"/>
          <w:szCs w:val="32"/>
          <w:highlight w:val="none"/>
          <w:fitText w:val="1600" w:id="2061173831"/>
        </w:rPr>
        <w:t>期</w:t>
      </w:r>
      <w:r>
        <w:rPr>
          <w:rFonts w:hint="eastAsia" w:ascii="宋体" w:hAnsi="宋体" w:cs="宋体"/>
          <w:b/>
          <w:color w:val="auto"/>
          <w:sz w:val="32"/>
          <w:szCs w:val="32"/>
          <w:highlight w:val="none"/>
        </w:rPr>
        <w:t>：</w:t>
      </w:r>
    </w:p>
    <w:p w14:paraId="361703D0">
      <w:pPr>
        <w:rPr>
          <w:rFonts w:ascii="宋体" w:hAnsi="宋体"/>
          <w:color w:val="auto"/>
          <w:szCs w:val="21"/>
          <w:highlight w:val="none"/>
        </w:rPr>
      </w:pPr>
      <w:r>
        <w:rPr>
          <w:rFonts w:hint="eastAsia" w:ascii="宋体" w:hAnsi="宋体"/>
          <w:color w:val="auto"/>
          <w:szCs w:val="21"/>
          <w:highlight w:val="none"/>
        </w:rPr>
        <w:br w:type="page"/>
      </w:r>
    </w:p>
    <w:p w14:paraId="7E08358F">
      <w:pPr>
        <w:pStyle w:val="6"/>
        <w:widowControl w:val="0"/>
        <w:overflowPunct w:val="0"/>
        <w:spacing w:line="240" w:lineRule="auto"/>
        <w:rPr>
          <w:rFonts w:ascii="宋体" w:hAnsi="宋体"/>
          <w:color w:val="auto"/>
          <w:sz w:val="21"/>
          <w:szCs w:val="21"/>
          <w:highlight w:val="none"/>
        </w:rPr>
      </w:pPr>
      <w:bookmarkStart w:id="504" w:name="_Toc14309"/>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 xml:space="preserve">5 </w:t>
      </w:r>
      <w:r>
        <w:rPr>
          <w:rFonts w:hint="eastAsia" w:ascii="宋体" w:hAnsi="宋体"/>
          <w:color w:val="auto"/>
          <w:sz w:val="21"/>
          <w:szCs w:val="21"/>
          <w:highlight w:val="none"/>
        </w:rPr>
        <w:t xml:space="preserve"> 技术规格偏离表格式</w:t>
      </w:r>
      <w:bookmarkEnd w:id="504"/>
    </w:p>
    <w:p w14:paraId="39400A6D">
      <w:pPr>
        <w:jc w:val="center"/>
        <w:rPr>
          <w:rFonts w:ascii="黑体" w:eastAsia="黑体"/>
          <w:color w:val="auto"/>
          <w:sz w:val="28"/>
          <w:szCs w:val="28"/>
          <w:highlight w:val="none"/>
        </w:rPr>
      </w:pPr>
    </w:p>
    <w:p w14:paraId="03F5E2E1">
      <w:pP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14:paraId="3FD7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vAlign w:val="center"/>
          </w:tcPr>
          <w:p w14:paraId="2A6DA95D">
            <w:pPr>
              <w:jc w:val="center"/>
              <w:rPr>
                <w:rFonts w:ascii="宋体" w:hAnsi="宋体"/>
                <w:color w:val="auto"/>
                <w:szCs w:val="21"/>
                <w:highlight w:val="none"/>
              </w:rPr>
            </w:pPr>
            <w:r>
              <w:rPr>
                <w:rFonts w:hint="eastAsia" w:ascii="宋体" w:hAnsi="宋体"/>
                <w:color w:val="auto"/>
                <w:szCs w:val="21"/>
                <w:highlight w:val="none"/>
              </w:rPr>
              <w:t>序号</w:t>
            </w:r>
          </w:p>
        </w:tc>
        <w:tc>
          <w:tcPr>
            <w:tcW w:w="1902" w:type="dxa"/>
            <w:vAlign w:val="center"/>
          </w:tcPr>
          <w:p w14:paraId="09AB2B11">
            <w:pP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vAlign w:val="center"/>
          </w:tcPr>
          <w:p w14:paraId="42CA1BD1">
            <w:pP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vAlign w:val="center"/>
          </w:tcPr>
          <w:p w14:paraId="1A142183">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239" w:type="dxa"/>
            <w:vAlign w:val="center"/>
          </w:tcPr>
          <w:p w14:paraId="50F919E9">
            <w:pP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vAlign w:val="center"/>
          </w:tcPr>
          <w:p w14:paraId="296E6C7F">
            <w:pPr>
              <w:jc w:val="center"/>
              <w:rPr>
                <w:rFonts w:ascii="宋体" w:hAnsi="宋体"/>
                <w:color w:val="auto"/>
                <w:szCs w:val="21"/>
                <w:highlight w:val="none"/>
              </w:rPr>
            </w:pPr>
            <w:r>
              <w:rPr>
                <w:rFonts w:hint="eastAsia" w:ascii="宋体" w:hAnsi="宋体"/>
                <w:color w:val="auto"/>
                <w:szCs w:val="21"/>
                <w:highlight w:val="none"/>
              </w:rPr>
              <w:t>说明</w:t>
            </w:r>
          </w:p>
        </w:tc>
      </w:tr>
      <w:tr w14:paraId="1D97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523BA749">
            <w:pPr>
              <w:jc w:val="center"/>
              <w:rPr>
                <w:rFonts w:ascii="宋体" w:hAnsi="宋体"/>
                <w:color w:val="auto"/>
                <w:szCs w:val="21"/>
                <w:highlight w:val="none"/>
              </w:rPr>
            </w:pPr>
          </w:p>
        </w:tc>
        <w:tc>
          <w:tcPr>
            <w:tcW w:w="1902" w:type="dxa"/>
            <w:vAlign w:val="center"/>
          </w:tcPr>
          <w:p w14:paraId="5788B2A4">
            <w:pPr>
              <w:jc w:val="center"/>
              <w:rPr>
                <w:rFonts w:ascii="宋体" w:hAnsi="宋体"/>
                <w:color w:val="auto"/>
                <w:szCs w:val="21"/>
                <w:highlight w:val="none"/>
              </w:rPr>
            </w:pPr>
          </w:p>
        </w:tc>
        <w:tc>
          <w:tcPr>
            <w:tcW w:w="1370" w:type="dxa"/>
            <w:vAlign w:val="center"/>
          </w:tcPr>
          <w:p w14:paraId="7E1240C4">
            <w:pPr>
              <w:jc w:val="center"/>
              <w:rPr>
                <w:rFonts w:ascii="宋体" w:hAnsi="宋体"/>
                <w:color w:val="auto"/>
                <w:szCs w:val="21"/>
                <w:highlight w:val="none"/>
              </w:rPr>
            </w:pPr>
          </w:p>
        </w:tc>
        <w:tc>
          <w:tcPr>
            <w:tcW w:w="1629" w:type="dxa"/>
            <w:vAlign w:val="center"/>
          </w:tcPr>
          <w:p w14:paraId="092D1596">
            <w:pPr>
              <w:jc w:val="center"/>
              <w:rPr>
                <w:rFonts w:ascii="宋体" w:hAnsi="宋体"/>
                <w:color w:val="auto"/>
                <w:szCs w:val="21"/>
                <w:highlight w:val="none"/>
              </w:rPr>
            </w:pPr>
          </w:p>
        </w:tc>
        <w:tc>
          <w:tcPr>
            <w:tcW w:w="1239" w:type="dxa"/>
            <w:vAlign w:val="center"/>
          </w:tcPr>
          <w:p w14:paraId="16C615B2">
            <w:pPr>
              <w:jc w:val="center"/>
              <w:rPr>
                <w:rFonts w:ascii="宋体" w:hAnsi="宋体"/>
                <w:color w:val="auto"/>
                <w:szCs w:val="21"/>
                <w:highlight w:val="none"/>
              </w:rPr>
            </w:pPr>
          </w:p>
        </w:tc>
        <w:tc>
          <w:tcPr>
            <w:tcW w:w="1544" w:type="dxa"/>
            <w:vAlign w:val="center"/>
          </w:tcPr>
          <w:p w14:paraId="6C2011A5">
            <w:pPr>
              <w:jc w:val="center"/>
              <w:rPr>
                <w:rFonts w:ascii="宋体" w:hAnsi="宋体"/>
                <w:color w:val="auto"/>
                <w:szCs w:val="21"/>
                <w:highlight w:val="none"/>
              </w:rPr>
            </w:pPr>
          </w:p>
        </w:tc>
      </w:tr>
      <w:tr w14:paraId="3060B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49BB5E08">
            <w:pPr>
              <w:jc w:val="center"/>
              <w:rPr>
                <w:rFonts w:ascii="宋体" w:hAnsi="宋体"/>
                <w:color w:val="auto"/>
                <w:szCs w:val="21"/>
                <w:highlight w:val="none"/>
              </w:rPr>
            </w:pPr>
          </w:p>
        </w:tc>
        <w:tc>
          <w:tcPr>
            <w:tcW w:w="1902" w:type="dxa"/>
            <w:vAlign w:val="center"/>
          </w:tcPr>
          <w:p w14:paraId="1907F643">
            <w:pPr>
              <w:jc w:val="center"/>
              <w:rPr>
                <w:rFonts w:ascii="宋体" w:hAnsi="宋体"/>
                <w:color w:val="auto"/>
                <w:szCs w:val="21"/>
                <w:highlight w:val="none"/>
              </w:rPr>
            </w:pPr>
          </w:p>
        </w:tc>
        <w:tc>
          <w:tcPr>
            <w:tcW w:w="1370" w:type="dxa"/>
            <w:vAlign w:val="center"/>
          </w:tcPr>
          <w:p w14:paraId="43C84F83">
            <w:pPr>
              <w:jc w:val="center"/>
              <w:rPr>
                <w:rFonts w:ascii="宋体" w:hAnsi="宋体"/>
                <w:color w:val="auto"/>
                <w:szCs w:val="21"/>
                <w:highlight w:val="none"/>
              </w:rPr>
            </w:pPr>
          </w:p>
        </w:tc>
        <w:tc>
          <w:tcPr>
            <w:tcW w:w="1629" w:type="dxa"/>
            <w:vAlign w:val="center"/>
          </w:tcPr>
          <w:p w14:paraId="03B6A145">
            <w:pPr>
              <w:jc w:val="center"/>
              <w:rPr>
                <w:rFonts w:ascii="宋体" w:hAnsi="宋体"/>
                <w:color w:val="auto"/>
                <w:szCs w:val="21"/>
                <w:highlight w:val="none"/>
              </w:rPr>
            </w:pPr>
          </w:p>
        </w:tc>
        <w:tc>
          <w:tcPr>
            <w:tcW w:w="1239" w:type="dxa"/>
            <w:vAlign w:val="center"/>
          </w:tcPr>
          <w:p w14:paraId="4C05FBAF">
            <w:pPr>
              <w:jc w:val="center"/>
              <w:rPr>
                <w:rFonts w:ascii="宋体" w:hAnsi="宋体"/>
                <w:color w:val="auto"/>
                <w:szCs w:val="21"/>
                <w:highlight w:val="none"/>
              </w:rPr>
            </w:pPr>
          </w:p>
        </w:tc>
        <w:tc>
          <w:tcPr>
            <w:tcW w:w="1544" w:type="dxa"/>
            <w:vAlign w:val="center"/>
          </w:tcPr>
          <w:p w14:paraId="29E8DE9E">
            <w:pPr>
              <w:jc w:val="center"/>
              <w:rPr>
                <w:rFonts w:ascii="宋体" w:hAnsi="宋体"/>
                <w:color w:val="auto"/>
                <w:szCs w:val="21"/>
                <w:highlight w:val="none"/>
              </w:rPr>
            </w:pPr>
          </w:p>
        </w:tc>
      </w:tr>
      <w:tr w14:paraId="6CE9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6CC458E3">
            <w:pPr>
              <w:jc w:val="center"/>
              <w:rPr>
                <w:rFonts w:ascii="宋体" w:hAnsi="宋体"/>
                <w:color w:val="auto"/>
                <w:szCs w:val="21"/>
                <w:highlight w:val="none"/>
              </w:rPr>
            </w:pPr>
          </w:p>
        </w:tc>
        <w:tc>
          <w:tcPr>
            <w:tcW w:w="1902" w:type="dxa"/>
            <w:vAlign w:val="center"/>
          </w:tcPr>
          <w:p w14:paraId="1D4E3329">
            <w:pPr>
              <w:jc w:val="center"/>
              <w:rPr>
                <w:rFonts w:ascii="宋体" w:hAnsi="宋体"/>
                <w:color w:val="auto"/>
                <w:szCs w:val="21"/>
                <w:highlight w:val="none"/>
              </w:rPr>
            </w:pPr>
          </w:p>
        </w:tc>
        <w:tc>
          <w:tcPr>
            <w:tcW w:w="1370" w:type="dxa"/>
            <w:vAlign w:val="center"/>
          </w:tcPr>
          <w:p w14:paraId="6E388021">
            <w:pPr>
              <w:jc w:val="center"/>
              <w:rPr>
                <w:rFonts w:ascii="宋体" w:hAnsi="宋体"/>
                <w:color w:val="auto"/>
                <w:szCs w:val="21"/>
                <w:highlight w:val="none"/>
              </w:rPr>
            </w:pPr>
          </w:p>
        </w:tc>
        <w:tc>
          <w:tcPr>
            <w:tcW w:w="1629" w:type="dxa"/>
            <w:vAlign w:val="center"/>
          </w:tcPr>
          <w:p w14:paraId="0B76D110">
            <w:pPr>
              <w:jc w:val="center"/>
              <w:rPr>
                <w:rFonts w:ascii="宋体" w:hAnsi="宋体"/>
                <w:color w:val="auto"/>
                <w:szCs w:val="21"/>
                <w:highlight w:val="none"/>
              </w:rPr>
            </w:pPr>
          </w:p>
        </w:tc>
        <w:tc>
          <w:tcPr>
            <w:tcW w:w="1239" w:type="dxa"/>
            <w:vAlign w:val="center"/>
          </w:tcPr>
          <w:p w14:paraId="27E51CE1">
            <w:pPr>
              <w:jc w:val="center"/>
              <w:rPr>
                <w:rFonts w:ascii="宋体" w:hAnsi="宋体"/>
                <w:color w:val="auto"/>
                <w:szCs w:val="21"/>
                <w:highlight w:val="none"/>
              </w:rPr>
            </w:pPr>
          </w:p>
        </w:tc>
        <w:tc>
          <w:tcPr>
            <w:tcW w:w="1544" w:type="dxa"/>
            <w:vAlign w:val="center"/>
          </w:tcPr>
          <w:p w14:paraId="71AF1EC6">
            <w:pPr>
              <w:jc w:val="center"/>
              <w:rPr>
                <w:rFonts w:ascii="宋体" w:hAnsi="宋体"/>
                <w:color w:val="auto"/>
                <w:szCs w:val="21"/>
                <w:highlight w:val="none"/>
              </w:rPr>
            </w:pPr>
          </w:p>
        </w:tc>
      </w:tr>
      <w:tr w14:paraId="6B61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462EACC8">
            <w:pPr>
              <w:jc w:val="center"/>
              <w:rPr>
                <w:rFonts w:ascii="宋体" w:hAnsi="宋体"/>
                <w:color w:val="auto"/>
                <w:szCs w:val="21"/>
                <w:highlight w:val="none"/>
              </w:rPr>
            </w:pPr>
          </w:p>
        </w:tc>
        <w:tc>
          <w:tcPr>
            <w:tcW w:w="1902" w:type="dxa"/>
            <w:vAlign w:val="center"/>
          </w:tcPr>
          <w:p w14:paraId="3A5064E6">
            <w:pPr>
              <w:jc w:val="center"/>
              <w:rPr>
                <w:rFonts w:ascii="宋体" w:hAnsi="宋体"/>
                <w:color w:val="auto"/>
                <w:szCs w:val="21"/>
                <w:highlight w:val="none"/>
              </w:rPr>
            </w:pPr>
          </w:p>
        </w:tc>
        <w:tc>
          <w:tcPr>
            <w:tcW w:w="1370" w:type="dxa"/>
            <w:vAlign w:val="center"/>
          </w:tcPr>
          <w:p w14:paraId="051D7A3D">
            <w:pPr>
              <w:jc w:val="center"/>
              <w:rPr>
                <w:rFonts w:ascii="宋体" w:hAnsi="宋体"/>
                <w:color w:val="auto"/>
                <w:szCs w:val="21"/>
                <w:highlight w:val="none"/>
              </w:rPr>
            </w:pPr>
          </w:p>
        </w:tc>
        <w:tc>
          <w:tcPr>
            <w:tcW w:w="1629" w:type="dxa"/>
            <w:vAlign w:val="center"/>
          </w:tcPr>
          <w:p w14:paraId="029D9E64">
            <w:pPr>
              <w:jc w:val="center"/>
              <w:rPr>
                <w:rFonts w:ascii="宋体" w:hAnsi="宋体"/>
                <w:color w:val="auto"/>
                <w:szCs w:val="21"/>
                <w:highlight w:val="none"/>
              </w:rPr>
            </w:pPr>
          </w:p>
        </w:tc>
        <w:tc>
          <w:tcPr>
            <w:tcW w:w="1239" w:type="dxa"/>
            <w:vAlign w:val="center"/>
          </w:tcPr>
          <w:p w14:paraId="05B49C07">
            <w:pPr>
              <w:jc w:val="center"/>
              <w:rPr>
                <w:rFonts w:ascii="宋体" w:hAnsi="宋体"/>
                <w:color w:val="auto"/>
                <w:szCs w:val="21"/>
                <w:highlight w:val="none"/>
              </w:rPr>
            </w:pPr>
          </w:p>
        </w:tc>
        <w:tc>
          <w:tcPr>
            <w:tcW w:w="1544" w:type="dxa"/>
            <w:vAlign w:val="center"/>
          </w:tcPr>
          <w:p w14:paraId="326C8B0D">
            <w:pPr>
              <w:jc w:val="center"/>
              <w:rPr>
                <w:rFonts w:ascii="宋体" w:hAnsi="宋体"/>
                <w:color w:val="auto"/>
                <w:szCs w:val="21"/>
                <w:highlight w:val="none"/>
              </w:rPr>
            </w:pPr>
          </w:p>
        </w:tc>
      </w:tr>
      <w:tr w14:paraId="71E8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35B58F28">
            <w:pPr>
              <w:jc w:val="center"/>
              <w:rPr>
                <w:rFonts w:ascii="宋体" w:hAnsi="宋体"/>
                <w:color w:val="auto"/>
                <w:szCs w:val="21"/>
                <w:highlight w:val="none"/>
              </w:rPr>
            </w:pPr>
          </w:p>
        </w:tc>
        <w:tc>
          <w:tcPr>
            <w:tcW w:w="1902" w:type="dxa"/>
            <w:vAlign w:val="center"/>
          </w:tcPr>
          <w:p w14:paraId="1EC01FED">
            <w:pPr>
              <w:jc w:val="center"/>
              <w:rPr>
                <w:rFonts w:ascii="宋体" w:hAnsi="宋体"/>
                <w:color w:val="auto"/>
                <w:szCs w:val="21"/>
                <w:highlight w:val="none"/>
              </w:rPr>
            </w:pPr>
          </w:p>
        </w:tc>
        <w:tc>
          <w:tcPr>
            <w:tcW w:w="1370" w:type="dxa"/>
            <w:vAlign w:val="center"/>
          </w:tcPr>
          <w:p w14:paraId="7063D213">
            <w:pPr>
              <w:jc w:val="center"/>
              <w:rPr>
                <w:rFonts w:ascii="宋体" w:hAnsi="宋体"/>
                <w:color w:val="auto"/>
                <w:szCs w:val="21"/>
                <w:highlight w:val="none"/>
              </w:rPr>
            </w:pPr>
          </w:p>
        </w:tc>
        <w:tc>
          <w:tcPr>
            <w:tcW w:w="1629" w:type="dxa"/>
            <w:vAlign w:val="center"/>
          </w:tcPr>
          <w:p w14:paraId="6E721DFA">
            <w:pPr>
              <w:jc w:val="center"/>
              <w:rPr>
                <w:rFonts w:ascii="宋体" w:hAnsi="宋体"/>
                <w:color w:val="auto"/>
                <w:szCs w:val="21"/>
                <w:highlight w:val="none"/>
              </w:rPr>
            </w:pPr>
          </w:p>
        </w:tc>
        <w:tc>
          <w:tcPr>
            <w:tcW w:w="1239" w:type="dxa"/>
            <w:vAlign w:val="center"/>
          </w:tcPr>
          <w:p w14:paraId="45DE19DF">
            <w:pPr>
              <w:jc w:val="center"/>
              <w:rPr>
                <w:rFonts w:ascii="宋体" w:hAnsi="宋体"/>
                <w:color w:val="auto"/>
                <w:szCs w:val="21"/>
                <w:highlight w:val="none"/>
              </w:rPr>
            </w:pPr>
          </w:p>
        </w:tc>
        <w:tc>
          <w:tcPr>
            <w:tcW w:w="1544" w:type="dxa"/>
            <w:vAlign w:val="center"/>
          </w:tcPr>
          <w:p w14:paraId="3C8CD640">
            <w:pPr>
              <w:jc w:val="center"/>
              <w:rPr>
                <w:rFonts w:ascii="宋体" w:hAnsi="宋体"/>
                <w:color w:val="auto"/>
                <w:szCs w:val="21"/>
                <w:highlight w:val="none"/>
              </w:rPr>
            </w:pPr>
          </w:p>
        </w:tc>
      </w:tr>
      <w:tr w14:paraId="6D72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591D7BCB">
            <w:pPr>
              <w:jc w:val="center"/>
              <w:rPr>
                <w:rFonts w:ascii="宋体" w:hAnsi="宋体"/>
                <w:color w:val="auto"/>
                <w:szCs w:val="21"/>
                <w:highlight w:val="none"/>
              </w:rPr>
            </w:pPr>
          </w:p>
        </w:tc>
        <w:tc>
          <w:tcPr>
            <w:tcW w:w="1902" w:type="dxa"/>
            <w:vAlign w:val="center"/>
          </w:tcPr>
          <w:p w14:paraId="5294A6A9">
            <w:pPr>
              <w:jc w:val="center"/>
              <w:rPr>
                <w:rFonts w:ascii="宋体" w:hAnsi="宋体"/>
                <w:color w:val="auto"/>
                <w:szCs w:val="21"/>
                <w:highlight w:val="none"/>
              </w:rPr>
            </w:pPr>
          </w:p>
        </w:tc>
        <w:tc>
          <w:tcPr>
            <w:tcW w:w="1370" w:type="dxa"/>
            <w:vAlign w:val="center"/>
          </w:tcPr>
          <w:p w14:paraId="5815BAB5">
            <w:pPr>
              <w:jc w:val="center"/>
              <w:rPr>
                <w:rFonts w:ascii="宋体" w:hAnsi="宋体"/>
                <w:color w:val="auto"/>
                <w:szCs w:val="21"/>
                <w:highlight w:val="none"/>
              </w:rPr>
            </w:pPr>
          </w:p>
        </w:tc>
        <w:tc>
          <w:tcPr>
            <w:tcW w:w="1629" w:type="dxa"/>
            <w:vAlign w:val="center"/>
          </w:tcPr>
          <w:p w14:paraId="5360C8DD">
            <w:pPr>
              <w:jc w:val="center"/>
              <w:rPr>
                <w:rFonts w:ascii="宋体" w:hAnsi="宋体"/>
                <w:color w:val="auto"/>
                <w:szCs w:val="21"/>
                <w:highlight w:val="none"/>
              </w:rPr>
            </w:pPr>
          </w:p>
        </w:tc>
        <w:tc>
          <w:tcPr>
            <w:tcW w:w="1239" w:type="dxa"/>
            <w:vAlign w:val="center"/>
          </w:tcPr>
          <w:p w14:paraId="348CCF11">
            <w:pPr>
              <w:jc w:val="center"/>
              <w:rPr>
                <w:rFonts w:ascii="宋体" w:hAnsi="宋体"/>
                <w:color w:val="auto"/>
                <w:szCs w:val="21"/>
                <w:highlight w:val="none"/>
              </w:rPr>
            </w:pPr>
          </w:p>
        </w:tc>
        <w:tc>
          <w:tcPr>
            <w:tcW w:w="1544" w:type="dxa"/>
            <w:vAlign w:val="center"/>
          </w:tcPr>
          <w:p w14:paraId="66BFF581">
            <w:pPr>
              <w:jc w:val="center"/>
              <w:rPr>
                <w:rFonts w:ascii="宋体" w:hAnsi="宋体"/>
                <w:color w:val="auto"/>
                <w:szCs w:val="21"/>
                <w:highlight w:val="none"/>
              </w:rPr>
            </w:pPr>
          </w:p>
        </w:tc>
      </w:tr>
      <w:tr w14:paraId="40BF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14C307CA">
            <w:pPr>
              <w:jc w:val="center"/>
              <w:rPr>
                <w:rFonts w:ascii="宋体" w:hAnsi="宋体"/>
                <w:color w:val="auto"/>
                <w:szCs w:val="21"/>
                <w:highlight w:val="none"/>
              </w:rPr>
            </w:pPr>
          </w:p>
        </w:tc>
        <w:tc>
          <w:tcPr>
            <w:tcW w:w="1902" w:type="dxa"/>
            <w:vAlign w:val="center"/>
          </w:tcPr>
          <w:p w14:paraId="4A6870CD">
            <w:pPr>
              <w:jc w:val="center"/>
              <w:rPr>
                <w:rFonts w:ascii="宋体" w:hAnsi="宋体"/>
                <w:color w:val="auto"/>
                <w:szCs w:val="21"/>
                <w:highlight w:val="none"/>
              </w:rPr>
            </w:pPr>
          </w:p>
        </w:tc>
        <w:tc>
          <w:tcPr>
            <w:tcW w:w="1370" w:type="dxa"/>
            <w:vAlign w:val="center"/>
          </w:tcPr>
          <w:p w14:paraId="53DEA2AD">
            <w:pPr>
              <w:jc w:val="center"/>
              <w:rPr>
                <w:rFonts w:ascii="宋体" w:hAnsi="宋体"/>
                <w:color w:val="auto"/>
                <w:szCs w:val="21"/>
                <w:highlight w:val="none"/>
              </w:rPr>
            </w:pPr>
          </w:p>
        </w:tc>
        <w:tc>
          <w:tcPr>
            <w:tcW w:w="1629" w:type="dxa"/>
            <w:vAlign w:val="center"/>
          </w:tcPr>
          <w:p w14:paraId="568578AB">
            <w:pPr>
              <w:jc w:val="center"/>
              <w:rPr>
                <w:rFonts w:ascii="宋体" w:hAnsi="宋体"/>
                <w:color w:val="auto"/>
                <w:szCs w:val="21"/>
                <w:highlight w:val="none"/>
              </w:rPr>
            </w:pPr>
          </w:p>
        </w:tc>
        <w:tc>
          <w:tcPr>
            <w:tcW w:w="1239" w:type="dxa"/>
            <w:vAlign w:val="center"/>
          </w:tcPr>
          <w:p w14:paraId="746A0094">
            <w:pPr>
              <w:jc w:val="center"/>
              <w:rPr>
                <w:rFonts w:ascii="宋体" w:hAnsi="宋体"/>
                <w:color w:val="auto"/>
                <w:szCs w:val="21"/>
                <w:highlight w:val="none"/>
              </w:rPr>
            </w:pPr>
          </w:p>
        </w:tc>
        <w:tc>
          <w:tcPr>
            <w:tcW w:w="1544" w:type="dxa"/>
            <w:vAlign w:val="center"/>
          </w:tcPr>
          <w:p w14:paraId="61956DAE">
            <w:pPr>
              <w:jc w:val="center"/>
              <w:rPr>
                <w:rFonts w:ascii="宋体" w:hAnsi="宋体"/>
                <w:color w:val="auto"/>
                <w:szCs w:val="21"/>
                <w:highlight w:val="none"/>
              </w:rPr>
            </w:pPr>
          </w:p>
        </w:tc>
      </w:tr>
      <w:tr w14:paraId="047A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1FBDC0DD">
            <w:pPr>
              <w:jc w:val="center"/>
              <w:rPr>
                <w:rFonts w:ascii="宋体" w:hAnsi="宋体"/>
                <w:color w:val="auto"/>
                <w:szCs w:val="21"/>
                <w:highlight w:val="none"/>
              </w:rPr>
            </w:pPr>
          </w:p>
        </w:tc>
        <w:tc>
          <w:tcPr>
            <w:tcW w:w="1902" w:type="dxa"/>
            <w:vAlign w:val="center"/>
          </w:tcPr>
          <w:p w14:paraId="60A85A87">
            <w:pPr>
              <w:jc w:val="center"/>
              <w:rPr>
                <w:rFonts w:ascii="宋体" w:hAnsi="宋体"/>
                <w:color w:val="auto"/>
                <w:szCs w:val="21"/>
                <w:highlight w:val="none"/>
              </w:rPr>
            </w:pPr>
          </w:p>
        </w:tc>
        <w:tc>
          <w:tcPr>
            <w:tcW w:w="1370" w:type="dxa"/>
            <w:vAlign w:val="center"/>
          </w:tcPr>
          <w:p w14:paraId="608A9640">
            <w:pPr>
              <w:jc w:val="center"/>
              <w:rPr>
                <w:rFonts w:ascii="宋体" w:hAnsi="宋体"/>
                <w:color w:val="auto"/>
                <w:szCs w:val="21"/>
                <w:highlight w:val="none"/>
              </w:rPr>
            </w:pPr>
          </w:p>
        </w:tc>
        <w:tc>
          <w:tcPr>
            <w:tcW w:w="1629" w:type="dxa"/>
            <w:vAlign w:val="center"/>
          </w:tcPr>
          <w:p w14:paraId="47DD43C2">
            <w:pPr>
              <w:jc w:val="center"/>
              <w:rPr>
                <w:rFonts w:ascii="宋体" w:hAnsi="宋体"/>
                <w:color w:val="auto"/>
                <w:szCs w:val="21"/>
                <w:highlight w:val="none"/>
              </w:rPr>
            </w:pPr>
          </w:p>
        </w:tc>
        <w:tc>
          <w:tcPr>
            <w:tcW w:w="1239" w:type="dxa"/>
            <w:vAlign w:val="center"/>
          </w:tcPr>
          <w:p w14:paraId="32C1E610">
            <w:pPr>
              <w:jc w:val="center"/>
              <w:rPr>
                <w:rFonts w:ascii="宋体" w:hAnsi="宋体"/>
                <w:color w:val="auto"/>
                <w:szCs w:val="21"/>
                <w:highlight w:val="none"/>
              </w:rPr>
            </w:pPr>
          </w:p>
        </w:tc>
        <w:tc>
          <w:tcPr>
            <w:tcW w:w="1544" w:type="dxa"/>
            <w:vAlign w:val="center"/>
          </w:tcPr>
          <w:p w14:paraId="6DE8EB44">
            <w:pPr>
              <w:jc w:val="center"/>
              <w:rPr>
                <w:rFonts w:ascii="宋体" w:hAnsi="宋体"/>
                <w:color w:val="auto"/>
                <w:szCs w:val="21"/>
                <w:highlight w:val="none"/>
              </w:rPr>
            </w:pPr>
          </w:p>
        </w:tc>
      </w:tr>
      <w:tr w14:paraId="2115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7E038BC1">
            <w:pPr>
              <w:jc w:val="center"/>
              <w:rPr>
                <w:rFonts w:ascii="宋体" w:hAnsi="宋体"/>
                <w:color w:val="auto"/>
                <w:szCs w:val="21"/>
                <w:highlight w:val="none"/>
              </w:rPr>
            </w:pPr>
          </w:p>
        </w:tc>
        <w:tc>
          <w:tcPr>
            <w:tcW w:w="1902" w:type="dxa"/>
            <w:vAlign w:val="center"/>
          </w:tcPr>
          <w:p w14:paraId="62FB7EC2">
            <w:pPr>
              <w:jc w:val="center"/>
              <w:rPr>
                <w:rFonts w:ascii="宋体" w:hAnsi="宋体"/>
                <w:color w:val="auto"/>
                <w:szCs w:val="21"/>
                <w:highlight w:val="none"/>
              </w:rPr>
            </w:pPr>
          </w:p>
        </w:tc>
        <w:tc>
          <w:tcPr>
            <w:tcW w:w="1370" w:type="dxa"/>
            <w:vAlign w:val="center"/>
          </w:tcPr>
          <w:p w14:paraId="7410A058">
            <w:pPr>
              <w:jc w:val="center"/>
              <w:rPr>
                <w:rFonts w:ascii="宋体" w:hAnsi="宋体"/>
                <w:color w:val="auto"/>
                <w:szCs w:val="21"/>
                <w:highlight w:val="none"/>
              </w:rPr>
            </w:pPr>
          </w:p>
        </w:tc>
        <w:tc>
          <w:tcPr>
            <w:tcW w:w="1629" w:type="dxa"/>
            <w:vAlign w:val="center"/>
          </w:tcPr>
          <w:p w14:paraId="51029773">
            <w:pPr>
              <w:jc w:val="center"/>
              <w:rPr>
                <w:rFonts w:ascii="宋体" w:hAnsi="宋体"/>
                <w:color w:val="auto"/>
                <w:szCs w:val="21"/>
                <w:highlight w:val="none"/>
              </w:rPr>
            </w:pPr>
          </w:p>
        </w:tc>
        <w:tc>
          <w:tcPr>
            <w:tcW w:w="1239" w:type="dxa"/>
            <w:vAlign w:val="center"/>
          </w:tcPr>
          <w:p w14:paraId="4FC550CC">
            <w:pPr>
              <w:jc w:val="center"/>
              <w:rPr>
                <w:rFonts w:ascii="宋体" w:hAnsi="宋体"/>
                <w:color w:val="auto"/>
                <w:szCs w:val="21"/>
                <w:highlight w:val="none"/>
              </w:rPr>
            </w:pPr>
          </w:p>
        </w:tc>
        <w:tc>
          <w:tcPr>
            <w:tcW w:w="1544" w:type="dxa"/>
            <w:vAlign w:val="center"/>
          </w:tcPr>
          <w:p w14:paraId="48F2DACC">
            <w:pPr>
              <w:jc w:val="center"/>
              <w:rPr>
                <w:rFonts w:ascii="宋体" w:hAnsi="宋体"/>
                <w:color w:val="auto"/>
                <w:szCs w:val="21"/>
                <w:highlight w:val="none"/>
              </w:rPr>
            </w:pPr>
          </w:p>
        </w:tc>
      </w:tr>
      <w:tr w14:paraId="04A3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Align w:val="center"/>
          </w:tcPr>
          <w:p w14:paraId="5B490DBC">
            <w:pPr>
              <w:jc w:val="center"/>
              <w:rPr>
                <w:rFonts w:ascii="宋体" w:hAnsi="宋体"/>
                <w:color w:val="auto"/>
                <w:szCs w:val="21"/>
                <w:highlight w:val="none"/>
              </w:rPr>
            </w:pPr>
          </w:p>
        </w:tc>
        <w:tc>
          <w:tcPr>
            <w:tcW w:w="1902" w:type="dxa"/>
            <w:vAlign w:val="center"/>
          </w:tcPr>
          <w:p w14:paraId="6A60D9D6">
            <w:pPr>
              <w:jc w:val="center"/>
              <w:rPr>
                <w:rFonts w:ascii="宋体" w:hAnsi="宋体"/>
                <w:color w:val="auto"/>
                <w:szCs w:val="21"/>
                <w:highlight w:val="none"/>
              </w:rPr>
            </w:pPr>
          </w:p>
        </w:tc>
        <w:tc>
          <w:tcPr>
            <w:tcW w:w="1370" w:type="dxa"/>
            <w:vAlign w:val="center"/>
          </w:tcPr>
          <w:p w14:paraId="399447A1">
            <w:pPr>
              <w:jc w:val="center"/>
              <w:rPr>
                <w:rFonts w:ascii="宋体" w:hAnsi="宋体"/>
                <w:color w:val="auto"/>
                <w:szCs w:val="21"/>
                <w:highlight w:val="none"/>
              </w:rPr>
            </w:pPr>
          </w:p>
        </w:tc>
        <w:tc>
          <w:tcPr>
            <w:tcW w:w="1629" w:type="dxa"/>
            <w:vAlign w:val="center"/>
          </w:tcPr>
          <w:p w14:paraId="572A499C">
            <w:pPr>
              <w:jc w:val="center"/>
              <w:rPr>
                <w:rFonts w:ascii="宋体" w:hAnsi="宋体"/>
                <w:color w:val="auto"/>
                <w:szCs w:val="21"/>
                <w:highlight w:val="none"/>
              </w:rPr>
            </w:pPr>
          </w:p>
        </w:tc>
        <w:tc>
          <w:tcPr>
            <w:tcW w:w="1239" w:type="dxa"/>
            <w:vAlign w:val="center"/>
          </w:tcPr>
          <w:p w14:paraId="3C77DC73">
            <w:pPr>
              <w:jc w:val="center"/>
              <w:rPr>
                <w:rFonts w:ascii="宋体" w:hAnsi="宋体"/>
                <w:color w:val="auto"/>
                <w:szCs w:val="21"/>
                <w:highlight w:val="none"/>
              </w:rPr>
            </w:pPr>
          </w:p>
        </w:tc>
        <w:tc>
          <w:tcPr>
            <w:tcW w:w="1544" w:type="dxa"/>
            <w:vAlign w:val="center"/>
          </w:tcPr>
          <w:p w14:paraId="22D908BE">
            <w:pPr>
              <w:jc w:val="center"/>
              <w:rPr>
                <w:rFonts w:ascii="宋体" w:hAnsi="宋体"/>
                <w:color w:val="auto"/>
                <w:szCs w:val="21"/>
                <w:highlight w:val="none"/>
              </w:rPr>
            </w:pPr>
          </w:p>
        </w:tc>
      </w:tr>
    </w:tbl>
    <w:p w14:paraId="0199838C">
      <w:pPr>
        <w:rPr>
          <w:rFonts w:ascii="宋体" w:hAnsi="宋体"/>
          <w:color w:val="auto"/>
          <w:szCs w:val="21"/>
          <w:highlight w:val="none"/>
        </w:rPr>
      </w:pPr>
    </w:p>
    <w:p w14:paraId="2581A7EA">
      <w:pPr>
        <w:rPr>
          <w:rFonts w:ascii="宋体" w:hAnsi="宋体"/>
          <w:color w:val="auto"/>
          <w:szCs w:val="21"/>
          <w:highlight w:val="none"/>
        </w:rPr>
      </w:pPr>
      <w:r>
        <w:rPr>
          <w:rFonts w:hint="eastAsia" w:ascii="宋体" w:hAnsi="宋体"/>
          <w:color w:val="auto"/>
          <w:szCs w:val="21"/>
          <w:highlight w:val="none"/>
        </w:rPr>
        <w:t>投标人代表签字：</w:t>
      </w:r>
    </w:p>
    <w:p w14:paraId="3059BD8D">
      <w:pPr>
        <w:rPr>
          <w:rFonts w:ascii="宋体" w:hAnsi="宋体"/>
          <w:color w:val="auto"/>
          <w:szCs w:val="21"/>
          <w:highlight w:val="none"/>
        </w:rPr>
      </w:pPr>
      <w:r>
        <w:rPr>
          <w:rFonts w:hint="eastAsia" w:ascii="宋体" w:hAnsi="宋体"/>
          <w:color w:val="auto"/>
          <w:szCs w:val="21"/>
          <w:highlight w:val="none"/>
        </w:rPr>
        <w:t>投标人盖章：</w:t>
      </w:r>
    </w:p>
    <w:p w14:paraId="28E5A84E">
      <w:pPr>
        <w:ind w:firstLine="178" w:firstLineChars="85"/>
        <w:rPr>
          <w:rFonts w:ascii="宋体" w:hAnsi="宋体"/>
          <w:color w:val="auto"/>
          <w:szCs w:val="21"/>
          <w:highlight w:val="none"/>
        </w:rPr>
      </w:pPr>
    </w:p>
    <w:p w14:paraId="02CA6D03">
      <w:pPr>
        <w:rPr>
          <w:rFonts w:ascii="宋体" w:hAnsi="宋体"/>
          <w:color w:val="auto"/>
          <w:szCs w:val="21"/>
          <w:highlight w:val="none"/>
        </w:rPr>
      </w:pPr>
      <w:r>
        <w:rPr>
          <w:rFonts w:hint="eastAsia" w:ascii="宋体" w:hAnsi="宋体"/>
          <w:color w:val="auto"/>
          <w:szCs w:val="21"/>
          <w:highlight w:val="none"/>
        </w:rPr>
        <w:t>注：</w:t>
      </w:r>
    </w:p>
    <w:p w14:paraId="718E1028">
      <w:pPr>
        <w:rPr>
          <w:rFonts w:ascii="宋体" w:hAnsi="宋体"/>
          <w:color w:val="auto"/>
          <w:szCs w:val="21"/>
          <w:highlight w:val="none"/>
        </w:rPr>
      </w:pPr>
      <w:r>
        <w:rPr>
          <w:rFonts w:hint="eastAsia" w:ascii="宋体" w:hAnsi="宋体"/>
          <w:color w:val="auto"/>
          <w:szCs w:val="21"/>
          <w:highlight w:val="none"/>
        </w:rPr>
        <w:t>1、投标人</w:t>
      </w:r>
      <w:r>
        <w:rPr>
          <w:rFonts w:hint="eastAsia" w:ascii="宋体" w:hAnsi="宋体"/>
          <w:color w:val="auto"/>
          <w:szCs w:val="21"/>
          <w:highlight w:val="none"/>
        </w:rPr>
        <w:t>应对照采购文件技术需求书中技术规格，说明所提供服务已对采购文件的技术规格做出了实质性的响应，并申明与技术规格条文的偏差和例外。特别对有具体参数要求的指标，投标人必须提供所投设备的具体参数值。</w:t>
      </w:r>
    </w:p>
    <w:p w14:paraId="6518C813">
      <w:pP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，投标人都被认为已清楚了解采购文件“技术需求书”的内容并对采购人所需的服务要求作全面响应，投标人必须承担完成“技术需求书”所描述内容的义务</w:t>
      </w:r>
      <w:r>
        <w:rPr>
          <w:rFonts w:hint="eastAsia" w:ascii="宋体" w:hAnsi="宋体"/>
          <w:color w:val="auto"/>
          <w:szCs w:val="21"/>
          <w:highlight w:val="none"/>
        </w:rPr>
        <w:t>，因此对投标人投标产生负面影响的，投标人自行承担后果。</w:t>
      </w:r>
    </w:p>
    <w:p w14:paraId="70283FAF">
      <w:pP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38C40C64">
      <w:pP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如投标人差异内容较多可另附页说明。</w:t>
      </w:r>
    </w:p>
    <w:p w14:paraId="7910F23F">
      <w:pP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如投标人对用户需求书商务要求的条款全部响应的，也可以在表格下面用文字总括性的说明。</w:t>
      </w:r>
    </w:p>
    <w:p w14:paraId="164C6632">
      <w:pPr>
        <w:adjustRightInd/>
        <w:snapToGrid/>
        <w:spacing w:line="276" w:lineRule="auto"/>
        <w:rPr>
          <w:color w:val="auto"/>
          <w:highlight w:val="none"/>
        </w:rPr>
      </w:pPr>
    </w:p>
    <w:p w14:paraId="194EBCE2">
      <w:pPr>
        <w:adjustRightInd/>
        <w:snapToGrid/>
        <w:spacing w:line="276" w:lineRule="auto"/>
        <w:rPr>
          <w:color w:val="auto"/>
          <w:highlight w:val="none"/>
        </w:rPr>
      </w:pPr>
    </w:p>
    <w:p w14:paraId="17C72616">
      <w:pPr>
        <w:pStyle w:val="6"/>
        <w:widowControl w:val="0"/>
        <w:overflowPunct w:val="0"/>
        <w:spacing w:line="240" w:lineRule="auto"/>
        <w:rPr>
          <w:rFonts w:hint="eastAsia" w:ascii="宋体" w:hAnsi="宋体"/>
          <w:color w:val="auto"/>
          <w:sz w:val="21"/>
          <w:szCs w:val="21"/>
          <w:highlight w:val="none"/>
          <w:lang w:val="en-US" w:eastAsia="zh-CN"/>
        </w:rPr>
      </w:pPr>
      <w:bookmarkStart w:id="505" w:name="_Toc17691"/>
      <w:r>
        <w:rPr>
          <w:rFonts w:hint="eastAsia" w:ascii="宋体" w:hAnsi="宋体"/>
          <w:color w:val="auto"/>
          <w:szCs w:val="21"/>
          <w:highlight w:val="none"/>
        </w:rPr>
        <w:br w:type="page"/>
      </w:r>
      <w:bookmarkStart w:id="506" w:name="_Toc2210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 xml:space="preserve">6  </w:t>
      </w:r>
      <w:r>
        <w:rPr>
          <w:rFonts w:hint="eastAsia" w:ascii="宋体" w:hAnsi="宋体"/>
          <w:color w:val="auto"/>
          <w:sz w:val="22"/>
          <w:szCs w:val="22"/>
          <w:highlight w:val="none"/>
        </w:rPr>
        <w:t>★</w:t>
      </w:r>
      <w:r>
        <w:rPr>
          <w:rFonts w:hint="eastAsia" w:ascii="宋体" w:hAnsi="宋体"/>
          <w:color w:val="auto"/>
          <w:sz w:val="21"/>
          <w:szCs w:val="21"/>
          <w:highlight w:val="none"/>
          <w:lang w:val="en-US" w:eastAsia="zh-CN"/>
        </w:rPr>
        <w:t>号条款响应表</w:t>
      </w:r>
      <w:bookmarkEnd w:id="506"/>
    </w:p>
    <w:p w14:paraId="2B9C97E5">
      <w:pPr>
        <w:spacing w:line="360" w:lineRule="auto"/>
        <w:jc w:val="center"/>
        <w:rPr>
          <w:rFonts w:hint="eastAsia" w:ascii="宋体" w:hAnsi="宋体" w:cs="宋体"/>
          <w:color w:val="auto"/>
          <w:sz w:val="22"/>
          <w:szCs w:val="22"/>
          <w:highlight w:val="none"/>
        </w:rPr>
      </w:pPr>
      <w:r>
        <w:rPr>
          <w:rFonts w:hint="eastAsia" w:ascii="宋体" w:hAnsi="宋体"/>
          <w:b/>
          <w:bCs/>
          <w:color w:val="auto"/>
          <w:sz w:val="28"/>
          <w:szCs w:val="28"/>
          <w:highlight w:val="none"/>
        </w:rPr>
        <w:t>★</w:t>
      </w:r>
      <w:r>
        <w:rPr>
          <w:rFonts w:hint="eastAsia" w:ascii="宋体" w:hAnsi="宋体"/>
          <w:b/>
          <w:bCs/>
          <w:color w:val="auto"/>
          <w:sz w:val="28"/>
          <w:szCs w:val="28"/>
          <w:highlight w:val="none"/>
          <w:lang w:val="en-US" w:eastAsia="zh-CN"/>
        </w:rPr>
        <w:t>号条款响应表</w:t>
      </w:r>
    </w:p>
    <w:p w14:paraId="04A6412C">
      <w:pPr>
        <w:spacing w:line="360" w:lineRule="auto"/>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项目名称：</w:t>
      </w:r>
    </w:p>
    <w:p w14:paraId="15AB1B56">
      <w:pPr>
        <w:spacing w:line="360" w:lineRule="auto"/>
        <w:rPr>
          <w:rFonts w:hint="eastAsia" w:ascii="宋体" w:hAnsi="宋体" w:eastAsia="宋体" w:cs="宋体"/>
          <w:color w:val="auto"/>
          <w:szCs w:val="21"/>
          <w:highlight w:val="none"/>
          <w:u w:val="single"/>
          <w:lang w:eastAsia="zh-CN"/>
        </w:rPr>
      </w:pPr>
      <w:r>
        <w:rPr>
          <w:rFonts w:hint="eastAsia" w:ascii="宋体" w:hAnsi="宋体" w:cs="宋体"/>
          <w:color w:val="auto"/>
          <w:sz w:val="22"/>
          <w:szCs w:val="22"/>
          <w:highlight w:val="none"/>
          <w:lang w:val="en-US" w:eastAsia="zh-CN"/>
        </w:rPr>
        <w:t>采购</w:t>
      </w:r>
      <w:r>
        <w:rPr>
          <w:rFonts w:hint="eastAsia" w:ascii="宋体" w:hAnsi="宋体" w:cs="宋体"/>
          <w:color w:val="auto"/>
          <w:sz w:val="22"/>
          <w:szCs w:val="22"/>
          <w:highlight w:val="none"/>
        </w:rPr>
        <w:t>编号：</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430"/>
        <w:gridCol w:w="3043"/>
        <w:gridCol w:w="3413"/>
      </w:tblGrid>
      <w:tr w14:paraId="207BC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3" w:type="pct"/>
            <w:vMerge w:val="restart"/>
            <w:noWrap w:val="0"/>
            <w:vAlign w:val="center"/>
          </w:tcPr>
          <w:p w14:paraId="07916D8D">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2624" w:type="pct"/>
            <w:gridSpan w:val="2"/>
            <w:noWrap w:val="0"/>
            <w:vAlign w:val="center"/>
          </w:tcPr>
          <w:p w14:paraId="20BAFAC5">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采购</w:t>
            </w:r>
            <w:r>
              <w:rPr>
                <w:rFonts w:hint="eastAsia" w:ascii="宋体" w:hAnsi="宋体" w:cs="宋体"/>
                <w:b/>
                <w:bCs/>
                <w:color w:val="auto"/>
                <w:szCs w:val="21"/>
                <w:highlight w:val="none"/>
              </w:rPr>
              <w:t>文件要求</w:t>
            </w:r>
          </w:p>
        </w:tc>
        <w:tc>
          <w:tcPr>
            <w:tcW w:w="2002" w:type="pct"/>
            <w:vMerge w:val="restart"/>
            <w:noWrap w:val="0"/>
            <w:vAlign w:val="center"/>
          </w:tcPr>
          <w:p w14:paraId="2A30FD50">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响应情况</w:t>
            </w:r>
          </w:p>
        </w:tc>
      </w:tr>
      <w:tr w14:paraId="66BB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3" w:type="pct"/>
            <w:vMerge w:val="continue"/>
            <w:noWrap w:val="0"/>
            <w:vAlign w:val="center"/>
          </w:tcPr>
          <w:p w14:paraId="2C149928">
            <w:pPr>
              <w:spacing w:line="240" w:lineRule="auto"/>
              <w:jc w:val="center"/>
              <w:rPr>
                <w:rFonts w:ascii="宋体" w:hAnsi="宋体" w:cs="宋体"/>
                <w:color w:val="auto"/>
                <w:szCs w:val="21"/>
                <w:highlight w:val="none"/>
              </w:rPr>
            </w:pPr>
          </w:p>
        </w:tc>
        <w:tc>
          <w:tcPr>
            <w:tcW w:w="839" w:type="pct"/>
            <w:noWrap w:val="0"/>
            <w:vAlign w:val="center"/>
          </w:tcPr>
          <w:p w14:paraId="670ED140">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785" w:type="pct"/>
            <w:noWrap w:val="0"/>
            <w:vAlign w:val="center"/>
          </w:tcPr>
          <w:p w14:paraId="33B766CD">
            <w:pPr>
              <w:spacing w:line="240" w:lineRule="auto"/>
              <w:jc w:val="center"/>
              <w:rPr>
                <w:rFonts w:ascii="宋体" w:hAnsi="宋体" w:cs="宋体"/>
                <w:b/>
                <w:bCs/>
                <w:color w:val="auto"/>
                <w:szCs w:val="21"/>
                <w:highlight w:val="none"/>
              </w:rPr>
            </w:pPr>
            <w:r>
              <w:rPr>
                <w:rFonts w:hint="eastAsia" w:ascii="宋体" w:hAnsi="宋体" w:cs="宋体"/>
                <w:b/>
                <w:bCs/>
                <w:color w:val="auto"/>
                <w:szCs w:val="21"/>
                <w:highlight w:val="none"/>
                <w:lang w:val="en-US" w:eastAsia="zh-CN"/>
              </w:rPr>
              <w:t>采购</w:t>
            </w:r>
            <w:r>
              <w:rPr>
                <w:rFonts w:hint="eastAsia" w:ascii="宋体" w:hAnsi="宋体" w:cs="宋体"/>
                <w:b/>
                <w:bCs/>
                <w:color w:val="auto"/>
                <w:szCs w:val="21"/>
                <w:highlight w:val="none"/>
              </w:rPr>
              <w:t>文件要求</w:t>
            </w:r>
          </w:p>
        </w:tc>
        <w:tc>
          <w:tcPr>
            <w:tcW w:w="2002" w:type="pct"/>
            <w:vMerge w:val="continue"/>
            <w:noWrap w:val="0"/>
            <w:vAlign w:val="center"/>
          </w:tcPr>
          <w:p w14:paraId="1BBCE5CA">
            <w:pPr>
              <w:spacing w:line="240" w:lineRule="auto"/>
              <w:jc w:val="center"/>
              <w:rPr>
                <w:rFonts w:ascii="宋体" w:hAnsi="宋体" w:cs="宋体"/>
                <w:color w:val="auto"/>
                <w:szCs w:val="21"/>
                <w:highlight w:val="none"/>
              </w:rPr>
            </w:pPr>
          </w:p>
        </w:tc>
      </w:tr>
      <w:tr w14:paraId="7484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trPr>
        <w:tc>
          <w:tcPr>
            <w:tcW w:w="373" w:type="pct"/>
            <w:noWrap w:val="0"/>
            <w:vAlign w:val="center"/>
          </w:tcPr>
          <w:p w14:paraId="3737474A">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839" w:type="pct"/>
            <w:noWrap w:val="0"/>
            <w:vAlign w:val="center"/>
          </w:tcPr>
          <w:p w14:paraId="7D4817B7">
            <w:pPr>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第二章 技术需求书</w:t>
            </w:r>
          </w:p>
          <w:p w14:paraId="725CA60C">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（一）运力需求</w:t>
            </w:r>
          </w:p>
        </w:tc>
        <w:tc>
          <w:tcPr>
            <w:tcW w:w="1785" w:type="pct"/>
            <w:noWrap w:val="0"/>
            <w:vAlign w:val="center"/>
          </w:tcPr>
          <w:p w14:paraId="2BFCE4F5">
            <w:pPr>
              <w:spacing w:line="240" w:lineRule="auto"/>
              <w:jc w:val="both"/>
              <w:rPr>
                <w:rFonts w:ascii="宋体" w:hAnsi="宋体" w:cs="宋体"/>
                <w:color w:val="auto"/>
                <w:szCs w:val="21"/>
                <w:highlight w:val="none"/>
              </w:rPr>
            </w:pPr>
            <w:r>
              <w:rPr>
                <w:rFonts w:hint="eastAsia" w:ascii="宋体" w:hAnsi="宋体" w:cs="宋体"/>
                <w:color w:val="auto"/>
                <w:szCs w:val="21"/>
                <w:highlight w:val="none"/>
              </w:rPr>
              <w:t>结合年度派单情况，综合淡旺季需求考虑，预计日用车约20-40车次（仅供参考，最终以实际用车情况为准），要求响应人为本项目配备车辆包括：不少于1台5.2米厢车，不少于1台7.6米厢车，不少于2台9.6米厢车和不少于1台12.5米挂网，最终以实际用车需求为准。</w:t>
            </w:r>
          </w:p>
        </w:tc>
        <w:tc>
          <w:tcPr>
            <w:tcW w:w="2002" w:type="pct"/>
            <w:noWrap w:val="0"/>
            <w:vAlign w:val="center"/>
          </w:tcPr>
          <w:p w14:paraId="7CC6C4AE">
            <w:pPr>
              <w:spacing w:line="240" w:lineRule="auto"/>
              <w:jc w:val="center"/>
              <w:rPr>
                <w:rFonts w:ascii="宋体" w:hAnsi="宋体" w:cs="宋体"/>
                <w:color w:val="auto"/>
                <w:szCs w:val="21"/>
                <w:highlight w:val="none"/>
              </w:rPr>
            </w:pPr>
          </w:p>
        </w:tc>
      </w:tr>
      <w:tr w14:paraId="635E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3" w:type="pct"/>
            <w:noWrap w:val="0"/>
            <w:vAlign w:val="center"/>
          </w:tcPr>
          <w:p w14:paraId="225635B0">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839" w:type="pct"/>
            <w:noWrap w:val="0"/>
            <w:vAlign w:val="center"/>
          </w:tcPr>
          <w:p w14:paraId="151E6CE3">
            <w:pPr>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第二章 技术需求书</w:t>
            </w:r>
          </w:p>
          <w:p w14:paraId="6995C7E4">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五、其他要求</w:t>
            </w:r>
          </w:p>
        </w:tc>
        <w:tc>
          <w:tcPr>
            <w:tcW w:w="1785" w:type="pct"/>
            <w:noWrap w:val="0"/>
            <w:vAlign w:val="center"/>
          </w:tcPr>
          <w:p w14:paraId="7D91284B">
            <w:pPr>
              <w:spacing w:line="240" w:lineRule="auto"/>
              <w:jc w:val="both"/>
              <w:rPr>
                <w:rFonts w:ascii="宋体" w:hAnsi="宋体" w:cs="宋体"/>
                <w:color w:val="auto"/>
                <w:szCs w:val="21"/>
                <w:highlight w:val="none"/>
              </w:rPr>
            </w:pPr>
            <w:r>
              <w:rPr>
                <w:rFonts w:hint="eastAsia" w:ascii="宋体" w:hAnsi="宋体" w:cs="宋体"/>
                <w:color w:val="auto"/>
                <w:sz w:val="21"/>
                <w:szCs w:val="21"/>
                <w:highlight w:val="none"/>
                <w:lang w:eastAsia="zh-CN"/>
              </w:rPr>
              <w:t>投标人</w:t>
            </w:r>
            <w:r>
              <w:rPr>
                <w:rFonts w:hint="eastAsia" w:ascii="宋体" w:hAnsi="宋体" w:eastAsia="宋体" w:cs="宋体"/>
                <w:color w:val="auto"/>
                <w:sz w:val="21"/>
                <w:szCs w:val="21"/>
                <w:highlight w:val="none"/>
              </w:rPr>
              <w:t>需要为危险废物装卸提供必要设备支持，包含</w:t>
            </w:r>
            <w:r>
              <w:rPr>
                <w:rFonts w:hint="eastAsia" w:ascii="宋体" w:hAnsi="宋体" w:eastAsia="宋体" w:cs="宋体"/>
                <w:b/>
                <w:bCs/>
                <w:color w:val="auto"/>
                <w:sz w:val="21"/>
                <w:szCs w:val="21"/>
                <w:highlight w:val="none"/>
              </w:rPr>
              <w:t>升降尾板、手动（电动）叉车、电子叉车秤、抽液设备及管道</w:t>
            </w:r>
            <w:r>
              <w:rPr>
                <w:rFonts w:hint="eastAsia" w:ascii="宋体" w:hAnsi="宋体" w:eastAsia="宋体" w:cs="宋体"/>
                <w:color w:val="auto"/>
                <w:sz w:val="21"/>
                <w:szCs w:val="21"/>
                <w:highlight w:val="none"/>
              </w:rPr>
              <w:t>。</w:t>
            </w:r>
          </w:p>
        </w:tc>
        <w:tc>
          <w:tcPr>
            <w:tcW w:w="2002" w:type="pct"/>
            <w:noWrap w:val="0"/>
            <w:vAlign w:val="center"/>
          </w:tcPr>
          <w:p w14:paraId="4C856B7E">
            <w:pPr>
              <w:spacing w:line="240" w:lineRule="auto"/>
              <w:jc w:val="center"/>
              <w:rPr>
                <w:rFonts w:ascii="宋体" w:hAnsi="宋体" w:cs="宋体"/>
                <w:color w:val="auto"/>
                <w:szCs w:val="21"/>
                <w:highlight w:val="none"/>
              </w:rPr>
            </w:pPr>
          </w:p>
        </w:tc>
      </w:tr>
      <w:tr w14:paraId="6B2F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73" w:type="pct"/>
            <w:noWrap w:val="0"/>
            <w:vAlign w:val="center"/>
          </w:tcPr>
          <w:p w14:paraId="7366BE68">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839" w:type="pct"/>
            <w:noWrap w:val="0"/>
            <w:vAlign w:val="center"/>
          </w:tcPr>
          <w:p w14:paraId="7D30D529">
            <w:pPr>
              <w:spacing w:line="240" w:lineRule="auto"/>
              <w:jc w:val="center"/>
              <w:rPr>
                <w:rFonts w:hint="eastAsia" w:ascii="宋体" w:hAnsi="宋体" w:cs="宋体"/>
                <w:color w:val="auto"/>
                <w:szCs w:val="21"/>
                <w:highlight w:val="none"/>
              </w:rPr>
            </w:pPr>
            <w:r>
              <w:rPr>
                <w:rFonts w:hint="eastAsia" w:ascii="宋体" w:hAnsi="宋体" w:cs="宋体"/>
                <w:color w:val="auto"/>
                <w:szCs w:val="21"/>
                <w:highlight w:val="none"/>
              </w:rPr>
              <w:t>第二章 技术需求书</w:t>
            </w:r>
          </w:p>
          <w:p w14:paraId="42064ECB">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（一）响应要求</w:t>
            </w:r>
          </w:p>
        </w:tc>
        <w:tc>
          <w:tcPr>
            <w:tcW w:w="1785" w:type="pct"/>
            <w:noWrap w:val="0"/>
            <w:vAlign w:val="center"/>
          </w:tcPr>
          <w:p w14:paraId="76AFF549">
            <w:pPr>
              <w:spacing w:line="240" w:lineRule="auto"/>
              <w:jc w:val="left"/>
              <w:rPr>
                <w:rFonts w:ascii="宋体" w:hAnsi="宋体" w:cs="宋体"/>
                <w:color w:val="auto"/>
                <w:szCs w:val="21"/>
                <w:highlight w:val="none"/>
              </w:rPr>
            </w:pPr>
            <w:r>
              <w:rPr>
                <w:rFonts w:hint="eastAsia" w:ascii="宋体" w:hAnsi="宋体" w:cs="宋体"/>
                <w:color w:val="auto"/>
                <w:szCs w:val="21"/>
                <w:highlight w:val="none"/>
              </w:rPr>
              <w:t>限行区域：合同服务期内，成交人必须具有惠州市石化区通行证。成交人须在投标时提供惠州市石化区的通行证（加盖公章），如非自有车辆需提供合作合同（加盖公章）。</w:t>
            </w:r>
          </w:p>
        </w:tc>
        <w:tc>
          <w:tcPr>
            <w:tcW w:w="2002" w:type="pct"/>
            <w:noWrap w:val="0"/>
            <w:vAlign w:val="center"/>
          </w:tcPr>
          <w:p w14:paraId="603A88BF">
            <w:pPr>
              <w:spacing w:line="240" w:lineRule="auto"/>
              <w:jc w:val="center"/>
              <w:rPr>
                <w:rFonts w:ascii="宋体" w:hAnsi="宋体" w:cs="宋体"/>
                <w:color w:val="auto"/>
                <w:szCs w:val="21"/>
                <w:highlight w:val="none"/>
              </w:rPr>
            </w:pPr>
          </w:p>
        </w:tc>
      </w:tr>
    </w:tbl>
    <w:p w14:paraId="1A44D203">
      <w:pPr>
        <w:keepNext w:val="0"/>
        <w:keepLines w:val="0"/>
        <w:pageBreakBefore w:val="0"/>
        <w:widowControl w:val="0"/>
        <w:kinsoku/>
        <w:wordWrap/>
        <w:overflowPunct/>
        <w:topLinePunct w:val="0"/>
        <w:autoSpaceDE/>
        <w:autoSpaceDN/>
        <w:bidi w:val="0"/>
        <w:adjustRightInd/>
        <w:snapToGrid/>
        <w:spacing w:line="460" w:lineRule="exact"/>
        <w:ind w:left="0" w:firstLine="440" w:firstLineChars="200"/>
        <w:textAlignment w:val="auto"/>
        <w:rPr>
          <w:rFonts w:ascii="宋体" w:hAnsi="宋体" w:cs="宋体"/>
          <w:color w:val="auto"/>
          <w:sz w:val="22"/>
          <w:szCs w:val="22"/>
          <w:highlight w:val="none"/>
        </w:rPr>
      </w:pPr>
    </w:p>
    <w:p w14:paraId="2FD98198">
      <w:pPr>
        <w:keepNext w:val="0"/>
        <w:keepLines w:val="0"/>
        <w:pageBreakBefore w:val="0"/>
        <w:widowControl w:val="0"/>
        <w:kinsoku/>
        <w:wordWrap/>
        <w:overflowPunct/>
        <w:topLinePunct w:val="0"/>
        <w:autoSpaceDE/>
        <w:autoSpaceDN/>
        <w:bidi w:val="0"/>
        <w:adjustRightInd/>
        <w:snapToGrid/>
        <w:spacing w:line="460" w:lineRule="exact"/>
        <w:ind w:left="0"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备注</w:t>
      </w:r>
      <w:r>
        <w:rPr>
          <w:rFonts w:hint="eastAsia" w:ascii="宋体" w:hAnsi="宋体" w:cs="宋体"/>
          <w:color w:val="auto"/>
          <w:sz w:val="22"/>
          <w:szCs w:val="22"/>
          <w:highlight w:val="none"/>
        </w:rPr>
        <w:t>：</w:t>
      </w:r>
    </w:p>
    <w:p w14:paraId="7FABEAED">
      <w:pPr>
        <w:keepNext w:val="0"/>
        <w:keepLines w:val="0"/>
        <w:pageBreakBefore w:val="0"/>
        <w:widowControl w:val="0"/>
        <w:kinsoku/>
        <w:wordWrap/>
        <w:overflowPunct/>
        <w:topLinePunct w:val="0"/>
        <w:autoSpaceDE/>
        <w:autoSpaceDN/>
        <w:bidi w:val="0"/>
        <w:adjustRightInd/>
        <w:snapToGrid/>
        <w:spacing w:line="460" w:lineRule="exact"/>
        <w:ind w:left="0"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b/>
          <w:bCs/>
          <w:color w:val="auto"/>
          <w:sz w:val="22"/>
          <w:szCs w:val="22"/>
          <w:highlight w:val="none"/>
          <w:u w:val="single"/>
        </w:rPr>
        <w:t>凡标有“★”的地方均被视为实质性内容或重要的技术指标要求或性能要求。投标人要特别加以注意，必须对此回答并完全满足这些要求，若需要提供相关证明材料的，应当提供，否则若有一项带“★”的指标未响应或不满足，将按无效投标处理。</w:t>
      </w:r>
    </w:p>
    <w:p w14:paraId="7C6CB8E3">
      <w:pPr>
        <w:keepNext w:val="0"/>
        <w:keepLines w:val="0"/>
        <w:pageBreakBefore w:val="0"/>
        <w:widowControl w:val="0"/>
        <w:kinsoku/>
        <w:wordWrap/>
        <w:overflowPunct/>
        <w:topLinePunct w:val="0"/>
        <w:autoSpaceDE/>
        <w:autoSpaceDN/>
        <w:bidi w:val="0"/>
        <w:adjustRightInd/>
        <w:snapToGrid/>
        <w:spacing w:line="460" w:lineRule="exact"/>
        <w:ind w:left="0" w:firstLine="440" w:firstLineChars="200"/>
        <w:textAlignment w:val="auto"/>
        <w:rPr>
          <w:rFonts w:ascii="宋体" w:hAnsi="宋体" w:cs="宋体"/>
          <w:color w:val="auto"/>
          <w:szCs w:val="21"/>
          <w:highlight w:val="none"/>
        </w:rPr>
      </w:pPr>
      <w:r>
        <w:rPr>
          <w:rFonts w:hint="eastAsia" w:ascii="宋体" w:hAnsi="宋体" w:cs="宋体"/>
          <w:color w:val="auto"/>
          <w:sz w:val="22"/>
          <w:szCs w:val="22"/>
          <w:highlight w:val="none"/>
        </w:rPr>
        <w:t>（2）“投标文件对应内容”填写“★”内容的响应内容，“</w:t>
      </w:r>
      <w:r>
        <w:rPr>
          <w:rFonts w:hint="eastAsia" w:ascii="宋体" w:hAnsi="宋体" w:cs="宋体"/>
          <w:color w:val="auto"/>
          <w:szCs w:val="21"/>
          <w:highlight w:val="none"/>
        </w:rPr>
        <w:t>响应情况”填写“完全响应”。</w:t>
      </w:r>
    </w:p>
    <w:p w14:paraId="37EED4F5">
      <w:pPr>
        <w:spacing w:line="360" w:lineRule="auto"/>
        <w:ind w:firstLine="4840" w:firstLineChars="2200"/>
        <w:rPr>
          <w:rFonts w:ascii="宋体" w:hAnsi="宋体" w:cs="宋体"/>
          <w:color w:val="auto"/>
          <w:sz w:val="22"/>
          <w:szCs w:val="22"/>
          <w:highlight w:val="none"/>
        </w:rPr>
      </w:pPr>
    </w:p>
    <w:p w14:paraId="11A3CCB7">
      <w:pPr>
        <w:spacing w:line="360" w:lineRule="auto"/>
        <w:ind w:firstLine="4840" w:firstLineChars="2200"/>
        <w:rPr>
          <w:rFonts w:ascii="宋体" w:hAnsi="宋体" w:cs="宋体"/>
          <w:color w:val="auto"/>
          <w:sz w:val="22"/>
          <w:szCs w:val="22"/>
          <w:highlight w:val="none"/>
          <w:u w:val="single"/>
        </w:rPr>
      </w:pPr>
      <w:r>
        <w:rPr>
          <w:rFonts w:hint="eastAsia" w:ascii="宋体" w:hAnsi="宋体" w:cs="宋体"/>
          <w:color w:val="auto"/>
          <w:sz w:val="22"/>
          <w:szCs w:val="22"/>
          <w:highlight w:val="none"/>
        </w:rPr>
        <w:t>投标人名称（加盖公章）：</w:t>
      </w:r>
    </w:p>
    <w:p w14:paraId="555B32DC">
      <w:pPr>
        <w:pStyle w:val="44"/>
        <w:spacing w:line="480" w:lineRule="auto"/>
        <w:ind w:left="3969" w:leftChars="1890" w:firstLine="891" w:firstLineChars="405"/>
        <w:rPr>
          <w:rFonts w:ascii="宋体" w:eastAsia="宋体" w:cs="宋体"/>
          <w:color w:val="auto"/>
          <w:sz w:val="22"/>
          <w:szCs w:val="22"/>
          <w:highlight w:val="none"/>
          <w:u w:val="single"/>
        </w:rPr>
      </w:pPr>
      <w:r>
        <w:rPr>
          <w:rFonts w:hint="eastAsia" w:ascii="宋体" w:eastAsia="宋体" w:cs="宋体"/>
          <w:color w:val="auto"/>
          <w:sz w:val="22"/>
          <w:szCs w:val="22"/>
          <w:highlight w:val="none"/>
        </w:rPr>
        <w:t>日期：</w:t>
      </w:r>
      <w:r>
        <w:rPr>
          <w:rFonts w:hint="eastAsia" w:ascii="宋体" w:eastAsia="宋体" w:cs="宋体"/>
          <w:color w:val="auto"/>
          <w:sz w:val="22"/>
          <w:szCs w:val="22"/>
          <w:highlight w:val="none"/>
          <w:u w:val="single"/>
        </w:rPr>
        <w:t xml:space="preserve">     年    月   日</w:t>
      </w:r>
    </w:p>
    <w:p w14:paraId="11AF25C4">
      <w:pPr>
        <w:rPr>
          <w:rFonts w:hint="eastAsia" w:ascii="宋体" w:hAnsi="宋体"/>
          <w:color w:val="auto"/>
          <w:sz w:val="21"/>
          <w:szCs w:val="21"/>
          <w:highlight w:val="none"/>
          <w:lang w:val="en-US" w:eastAsia="zh-CN"/>
        </w:rPr>
      </w:pPr>
    </w:p>
    <w:p w14:paraId="4A1241D9">
      <w:pPr>
        <w:rPr>
          <w:rFonts w:hint="default" w:ascii="宋体" w:hAnsi="宋体"/>
          <w:color w:val="auto"/>
          <w:sz w:val="21"/>
          <w:szCs w:val="21"/>
          <w:highlight w:val="none"/>
          <w:lang w:val="en-US" w:eastAsia="zh-CN"/>
        </w:rPr>
      </w:pPr>
    </w:p>
    <w:p w14:paraId="1C48221F">
      <w:pPr>
        <w:rPr>
          <w:rFonts w:hint="eastAsia" w:ascii="宋体" w:hAnsi="宋体"/>
          <w:color w:val="auto"/>
          <w:szCs w:val="21"/>
          <w:highlight w:val="none"/>
        </w:rPr>
      </w:pPr>
      <w:r>
        <w:rPr>
          <w:rFonts w:hint="eastAsia" w:ascii="宋体" w:hAnsi="宋体"/>
          <w:color w:val="auto"/>
          <w:szCs w:val="21"/>
          <w:highlight w:val="none"/>
        </w:rPr>
        <w:br w:type="page"/>
      </w:r>
    </w:p>
    <w:bookmarkEnd w:id="505"/>
    <w:p w14:paraId="50678F63">
      <w:pPr>
        <w:pStyle w:val="6"/>
        <w:widowControl w:val="0"/>
        <w:overflowPunct w:val="0"/>
        <w:spacing w:line="240" w:lineRule="auto"/>
        <w:rPr>
          <w:rFonts w:hint="default" w:ascii="宋体" w:hAnsi="宋体" w:eastAsia="宋体"/>
          <w:color w:val="auto"/>
          <w:sz w:val="21"/>
          <w:szCs w:val="21"/>
          <w:highlight w:val="none"/>
          <w:lang w:val="en-US" w:eastAsia="zh-CN"/>
        </w:rPr>
      </w:pPr>
      <w:bookmarkStart w:id="507" w:name="_Toc1140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  服务方案</w:t>
      </w:r>
      <w:bookmarkEnd w:id="507"/>
    </w:p>
    <w:p w14:paraId="6AE2F856">
      <w:pPr>
        <w:jc w:val="center"/>
        <w:rPr>
          <w:rFonts w:ascii="黑体" w:eastAsia="黑体"/>
          <w:color w:val="auto"/>
          <w:sz w:val="32"/>
          <w:szCs w:val="32"/>
          <w:highlight w:val="none"/>
        </w:rPr>
      </w:pPr>
    </w:p>
    <w:p w14:paraId="4D091C9B">
      <w:pPr>
        <w:jc w:val="center"/>
        <w:rPr>
          <w:rFonts w:hint="default" w:ascii="黑体" w:eastAsia="黑体"/>
          <w:color w:val="auto"/>
          <w:sz w:val="32"/>
          <w:szCs w:val="32"/>
          <w:highlight w:val="none"/>
          <w:lang w:val="en-US" w:eastAsia="zh-CN"/>
        </w:rPr>
      </w:pPr>
      <w:r>
        <w:rPr>
          <w:rFonts w:hint="eastAsia" w:ascii="黑体" w:eastAsia="黑体"/>
          <w:color w:val="auto"/>
          <w:sz w:val="32"/>
          <w:szCs w:val="32"/>
          <w:highlight w:val="none"/>
          <w:lang w:val="en-US" w:eastAsia="zh-CN"/>
        </w:rPr>
        <w:t>服务方案（自行编写）</w:t>
      </w:r>
    </w:p>
    <w:p w14:paraId="153C93A3">
      <w:pPr>
        <w:ind w:left="0" w:leftChars="0" w:firstLine="296" w:firstLineChars="141"/>
        <w:rPr>
          <w:rFonts w:hint="eastAsia" w:ascii="宋体" w:hAnsi="宋体"/>
          <w:color w:val="auto"/>
          <w:szCs w:val="21"/>
          <w:highlight w:val="none"/>
        </w:rPr>
      </w:pPr>
      <w:r>
        <w:rPr>
          <w:rFonts w:hint="eastAsia" w:ascii="宋体" w:hAnsi="宋体"/>
          <w:color w:val="auto"/>
          <w:szCs w:val="21"/>
          <w:highlight w:val="none"/>
        </w:rPr>
        <w:t>本项目服务方案，内容应包括但不限于：异常情况处理、车辆故障处理、沟通技巧、打包装卸服务规范等</w:t>
      </w:r>
    </w:p>
    <w:p w14:paraId="1D832F31">
      <w:pPr>
        <w:ind w:left="718" w:leftChars="200" w:hanging="298" w:hangingChars="142"/>
        <w:rPr>
          <w:rFonts w:ascii="宋体" w:hAnsi="宋体"/>
          <w:color w:val="auto"/>
          <w:szCs w:val="21"/>
          <w:highlight w:val="none"/>
        </w:rPr>
      </w:pPr>
      <w:r>
        <w:rPr>
          <w:rFonts w:hint="eastAsia" w:ascii="宋体" w:hAnsi="宋体"/>
          <w:color w:val="auto"/>
          <w:szCs w:val="21"/>
          <w:highlight w:val="none"/>
        </w:rPr>
        <w:t>1、投标人为本项目制定的具体项目实施方案与项目实施流程</w:t>
      </w:r>
    </w:p>
    <w:p w14:paraId="63B388D8">
      <w:pPr>
        <w:ind w:left="718" w:leftChars="200" w:hanging="298" w:hangingChars="142"/>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、服务方案</w:t>
      </w:r>
    </w:p>
    <w:p w14:paraId="0B5510F1">
      <w:pPr>
        <w:ind w:left="718" w:leftChars="200" w:hanging="298" w:hangingChars="142"/>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p>
    <w:p w14:paraId="681F2C24">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14:paraId="6795CCE1">
      <w:pPr>
        <w:ind w:left="718" w:leftChars="200" w:hanging="298" w:hangingChars="142"/>
        <w:rPr>
          <w:rFonts w:ascii="宋体" w:hAnsi="宋体"/>
          <w:color w:val="auto"/>
          <w:szCs w:val="21"/>
          <w:highlight w:val="none"/>
        </w:rPr>
      </w:pPr>
    </w:p>
    <w:p w14:paraId="56633C64">
      <w:pPr>
        <w:ind w:left="718" w:leftChars="200" w:hanging="298" w:hangingChars="142"/>
        <w:rPr>
          <w:rFonts w:ascii="宋体" w:hAnsi="宋体"/>
          <w:color w:val="auto"/>
          <w:szCs w:val="21"/>
          <w:highlight w:val="none"/>
        </w:rPr>
      </w:pPr>
    </w:p>
    <w:p w14:paraId="388A9479">
      <w:pPr>
        <w:pStyle w:val="6"/>
        <w:widowControl w:val="0"/>
        <w:overflowPunct w:val="0"/>
        <w:spacing w:line="240" w:lineRule="auto"/>
        <w:rPr>
          <w:rFonts w:hint="eastAsia" w:ascii="宋体" w:hAnsi="宋体"/>
          <w:color w:val="auto"/>
          <w:sz w:val="21"/>
          <w:szCs w:val="21"/>
          <w:highlight w:val="none"/>
        </w:rPr>
      </w:pPr>
      <w:r>
        <w:rPr>
          <w:rFonts w:hint="eastAsia" w:ascii="宋体" w:hAnsi="宋体"/>
          <w:color w:val="auto"/>
          <w:szCs w:val="21"/>
          <w:highlight w:val="none"/>
        </w:rPr>
        <w:br w:type="page"/>
      </w:r>
      <w:bookmarkStart w:id="508" w:name="_Toc21755"/>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 xml:space="preserve">8  </w:t>
      </w:r>
      <w:r>
        <w:rPr>
          <w:rFonts w:hint="eastAsia" w:ascii="宋体" w:hAnsi="宋体"/>
          <w:color w:val="auto"/>
          <w:sz w:val="21"/>
          <w:szCs w:val="21"/>
          <w:highlight w:val="none"/>
        </w:rPr>
        <w:t>重点难点分析及方案</w:t>
      </w:r>
      <w:bookmarkEnd w:id="508"/>
    </w:p>
    <w:p w14:paraId="1FB34C20">
      <w:pPr>
        <w:rPr>
          <w:rFonts w:hint="eastAsia" w:ascii="宋体" w:hAnsi="宋体"/>
          <w:color w:val="auto"/>
          <w:sz w:val="21"/>
          <w:szCs w:val="21"/>
          <w:highlight w:val="none"/>
        </w:rPr>
      </w:pPr>
    </w:p>
    <w:p w14:paraId="7B5E8F36">
      <w:pPr>
        <w:ind w:left="718" w:leftChars="200" w:hanging="298" w:hangingChars="142"/>
        <w:rPr>
          <w:rFonts w:hint="default" w:ascii="宋体" w:hAnsi="宋体" w:eastAsia="宋体"/>
          <w:color w:val="auto"/>
          <w:szCs w:val="21"/>
          <w:highlight w:val="none"/>
          <w:lang w:val="en-US" w:eastAsia="zh-CN"/>
        </w:rPr>
      </w:pPr>
      <w:r>
        <w:rPr>
          <w:rFonts w:hint="eastAsia" w:ascii="宋体" w:hAnsi="宋体"/>
          <w:color w:val="auto"/>
          <w:szCs w:val="21"/>
          <w:highlight w:val="none"/>
        </w:rPr>
        <w:t>1、投标人为本项目</w:t>
      </w:r>
      <w:r>
        <w:rPr>
          <w:rFonts w:hint="eastAsia" w:ascii="宋体" w:hAnsi="宋体"/>
          <w:color w:val="auto"/>
          <w:szCs w:val="21"/>
          <w:highlight w:val="none"/>
          <w:lang w:val="en-US" w:eastAsia="zh-CN"/>
        </w:rPr>
        <w:t>做好重点难点分析及方案</w:t>
      </w:r>
    </w:p>
    <w:p w14:paraId="4FFBCEB3">
      <w:pPr>
        <w:ind w:left="718" w:leftChars="200" w:hanging="298" w:hangingChars="142"/>
        <w:rPr>
          <w:rFonts w:hint="eastAsia"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p>
    <w:p w14:paraId="6CC15B24">
      <w:pPr>
        <w:ind w:left="718" w:leftChars="200" w:hanging="298" w:hangingChars="142"/>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p>
    <w:p w14:paraId="139EF1CB">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14:paraId="57D63108">
      <w:pPr>
        <w:pStyle w:val="2"/>
        <w:ind w:firstLine="0" w:firstLineChars="0"/>
        <w:rPr>
          <w:rFonts w:hint="default"/>
          <w:color w:val="auto"/>
          <w:highlight w:val="none"/>
          <w:lang w:val="en-US" w:eastAsia="zh-CN"/>
        </w:rPr>
      </w:pPr>
    </w:p>
    <w:p w14:paraId="455C1408">
      <w:pPr>
        <w:spacing w:before="180" w:beforeLines="50" w:after="180" w:afterLines="50" w:line="360" w:lineRule="exact"/>
        <w:ind w:firstLineChars="0"/>
        <w:jc w:val="both"/>
        <w:outlineLvl w:val="9"/>
        <w:rPr>
          <w:rFonts w:hint="eastAsia" w:ascii="宋体" w:hAnsi="宋体"/>
          <w:color w:val="auto"/>
          <w:szCs w:val="21"/>
          <w:highlight w:val="none"/>
        </w:rPr>
      </w:pPr>
      <w:r>
        <w:rPr>
          <w:rFonts w:hint="eastAsia" w:ascii="宋体" w:hAnsi="宋体"/>
          <w:color w:val="auto"/>
          <w:szCs w:val="21"/>
          <w:highlight w:val="none"/>
        </w:rPr>
        <w:br w:type="page"/>
      </w:r>
    </w:p>
    <w:p w14:paraId="224D683B">
      <w:pPr>
        <w:pStyle w:val="6"/>
        <w:widowControl w:val="0"/>
        <w:overflowPunct w:val="0"/>
        <w:spacing w:line="240" w:lineRule="auto"/>
        <w:rPr>
          <w:rFonts w:hint="default" w:ascii="宋体" w:hAnsi="宋体" w:eastAsia="宋体"/>
          <w:color w:val="auto"/>
          <w:sz w:val="21"/>
          <w:szCs w:val="21"/>
          <w:highlight w:val="none"/>
          <w:lang w:val="en-US" w:eastAsia="zh-CN"/>
        </w:rPr>
      </w:pPr>
      <w:bookmarkStart w:id="509" w:name="_Toc23418"/>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9  响应时间承诺函</w:t>
      </w:r>
      <w:bookmarkEnd w:id="509"/>
    </w:p>
    <w:p w14:paraId="5D74900A">
      <w:pPr>
        <w:spacing w:before="180" w:beforeLines="50" w:after="180" w:afterLines="50" w:line="360" w:lineRule="exact"/>
        <w:ind w:firstLineChars="0"/>
        <w:jc w:val="center"/>
        <w:outlineLvl w:val="9"/>
        <w:rPr>
          <w:rFonts w:hint="eastAsia" w:ascii="宋体" w:hAnsi="宋体"/>
          <w:color w:val="auto"/>
          <w:sz w:val="21"/>
          <w:szCs w:val="21"/>
          <w:highlight w:val="none"/>
          <w:lang w:val="en-US" w:eastAsia="zh-CN"/>
        </w:rPr>
      </w:pPr>
      <w:r>
        <w:rPr>
          <w:rFonts w:hint="eastAsia" w:ascii="宋体" w:hAnsi="宋体"/>
          <w:b/>
          <w:bCs/>
          <w:color w:val="auto"/>
          <w:sz w:val="21"/>
          <w:szCs w:val="21"/>
          <w:highlight w:val="none"/>
          <w:lang w:val="en-US" w:eastAsia="zh-CN"/>
        </w:rPr>
        <w:t>响应时间承诺函</w:t>
      </w:r>
    </w:p>
    <w:p w14:paraId="779BD856">
      <w:pPr>
        <w:pStyle w:val="2"/>
        <w:ind w:firstLine="0" w:firstLineChars="0"/>
        <w:rPr>
          <w:rFonts w:hint="eastAsia"/>
          <w:color w:val="auto"/>
          <w:highlight w:val="none"/>
        </w:rPr>
      </w:pPr>
    </w:p>
    <w:p w14:paraId="28E654B8">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东莞市新东欣环保投资有限公司：</w:t>
      </w:r>
    </w:p>
    <w:p w14:paraId="44BD0CEC">
      <w:pPr>
        <w:ind w:left="0" w:leftChars="0" w:firstLine="504" w:firstLineChars="24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我司参加贵司组织的</w:t>
      </w:r>
      <w:r>
        <w:rPr>
          <w:rFonts w:hint="eastAsia" w:ascii="宋体" w:hAnsi="宋体"/>
          <w:color w:val="auto"/>
          <w:szCs w:val="21"/>
          <w:highlight w:val="none"/>
        </w:rPr>
        <w:t>东莞市新东欣环保投资有限公司莞惠区域危废运输服务项目</w:t>
      </w:r>
      <w:r>
        <w:rPr>
          <w:rFonts w:hint="eastAsia" w:ascii="宋体" w:hAnsi="宋体"/>
          <w:color w:val="auto"/>
          <w:szCs w:val="21"/>
          <w:highlight w:val="none"/>
          <w:lang w:val="en-US" w:eastAsia="zh-CN"/>
        </w:rPr>
        <w:t>投标工作，对于服务响应时间，作出承诺如下：</w:t>
      </w:r>
    </w:p>
    <w:p w14:paraId="47AE75DA">
      <w:pPr>
        <w:ind w:left="0" w:leftChars="0" w:firstLine="296" w:firstLineChars="141"/>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1.我方完全响应采购文件的要求和条件，承诺自接到贵司收运指令并确认响应承运后，在   小时内完成人员和车辆派单安排。</w:t>
      </w:r>
    </w:p>
    <w:p w14:paraId="1C56BA20">
      <w:pPr>
        <w:ind w:left="0" w:leftChars="0" w:firstLine="296" w:firstLineChars="141"/>
        <w:rPr>
          <w:rFonts w:hint="eastAsia" w:ascii="宋体" w:hAnsi="宋体"/>
          <w:color w:val="auto"/>
          <w:szCs w:val="21"/>
          <w:highlight w:val="none"/>
        </w:rPr>
      </w:pPr>
      <w:r>
        <w:rPr>
          <w:rFonts w:hint="eastAsia" w:ascii="宋体" w:hAnsi="宋体"/>
          <w:color w:val="auto"/>
          <w:szCs w:val="21"/>
          <w:highlight w:val="none"/>
          <w:lang w:val="en-US" w:eastAsia="zh-CN"/>
        </w:rPr>
        <w:t>2.我方同意如合同期内，我司</w:t>
      </w:r>
      <w:r>
        <w:rPr>
          <w:rFonts w:hint="eastAsia" w:ascii="宋体" w:hAnsi="宋体"/>
          <w:color w:val="auto"/>
          <w:szCs w:val="21"/>
          <w:highlight w:val="none"/>
        </w:rPr>
        <w:t>未能按承诺时间内派车，</w:t>
      </w:r>
      <w:r>
        <w:rPr>
          <w:rFonts w:hint="eastAsia" w:ascii="宋体" w:hAnsi="宋体"/>
          <w:color w:val="auto"/>
          <w:szCs w:val="21"/>
          <w:highlight w:val="none"/>
          <w:lang w:val="en-US" w:eastAsia="zh-CN"/>
        </w:rPr>
        <w:t>贵司</w:t>
      </w:r>
      <w:r>
        <w:rPr>
          <w:rFonts w:hint="eastAsia" w:ascii="宋体" w:hAnsi="宋体"/>
          <w:color w:val="auto"/>
          <w:szCs w:val="21"/>
          <w:highlight w:val="none"/>
        </w:rPr>
        <w:t>有权处于500元/次的处罚，如一个月内出现5次未能按承诺时间内派车且派车时间超过3小时的，采购人有权购人有权无责解除合同并保留追责权利。</w:t>
      </w:r>
    </w:p>
    <w:p w14:paraId="107A1361">
      <w:pPr>
        <w:ind w:left="0" w:leftChars="0" w:firstLine="296" w:firstLineChars="141"/>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特此承诺</w:t>
      </w:r>
    </w:p>
    <w:p w14:paraId="2C0C2655">
      <w:pPr>
        <w:pStyle w:val="2"/>
        <w:ind w:firstLine="0" w:firstLineChars="0"/>
        <w:rPr>
          <w:rFonts w:hint="eastAsia"/>
          <w:color w:val="auto"/>
          <w:highlight w:val="none"/>
          <w:lang w:val="en-US" w:eastAsia="zh-CN"/>
        </w:rPr>
      </w:pPr>
    </w:p>
    <w:p w14:paraId="708990BA">
      <w:pPr>
        <w:pStyle w:val="2"/>
        <w:ind w:firstLine="0" w:firstLineChars="0"/>
        <w:rPr>
          <w:rFonts w:hint="eastAsia"/>
          <w:color w:val="auto"/>
          <w:highlight w:val="none"/>
          <w:lang w:val="en-US" w:eastAsia="zh-CN"/>
        </w:rPr>
      </w:pPr>
      <w:r>
        <w:rPr>
          <w:rFonts w:hint="eastAsia"/>
          <w:color w:val="auto"/>
          <w:highlight w:val="none"/>
          <w:lang w:val="en-US" w:eastAsia="zh-CN"/>
        </w:rPr>
        <w:t>报价人：</w:t>
      </w:r>
    </w:p>
    <w:p w14:paraId="4D08849C">
      <w:pPr>
        <w:pStyle w:val="2"/>
        <w:ind w:firstLine="0" w:firstLineChars="0"/>
        <w:rPr>
          <w:rFonts w:hint="eastAsia" w:ascii="宋体" w:hAnsi="宋体"/>
          <w:color w:val="auto"/>
          <w:sz w:val="21"/>
          <w:szCs w:val="21"/>
          <w:highlight w:val="none"/>
        </w:rPr>
      </w:pPr>
      <w:r>
        <w:rPr>
          <w:rFonts w:hint="eastAsia"/>
          <w:color w:val="auto"/>
          <w:highlight w:val="none"/>
          <w:lang w:val="en-US" w:eastAsia="zh-CN"/>
        </w:rPr>
        <w:t>时间：  年  月  日</w:t>
      </w:r>
      <w:r>
        <w:rPr>
          <w:rFonts w:hint="eastAsia" w:ascii="宋体" w:hAnsi="宋体"/>
          <w:color w:val="auto"/>
          <w:szCs w:val="21"/>
          <w:highlight w:val="none"/>
        </w:rPr>
        <w:br w:type="page"/>
      </w:r>
      <w:bookmarkStart w:id="510" w:name="_Toc1477"/>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 xml:space="preserve">20  </w:t>
      </w:r>
      <w:r>
        <w:rPr>
          <w:rFonts w:hint="eastAsia" w:ascii="宋体" w:hAnsi="宋体"/>
          <w:color w:val="auto"/>
          <w:sz w:val="21"/>
          <w:szCs w:val="21"/>
          <w:highlight w:val="none"/>
        </w:rPr>
        <w:t>自有跟踪或视频监控平台</w:t>
      </w:r>
      <w:bookmarkEnd w:id="510"/>
    </w:p>
    <w:p w14:paraId="1169CC12">
      <w:pPr>
        <w:rPr>
          <w:rFonts w:hint="eastAsia" w:ascii="宋体" w:hAnsi="宋体"/>
          <w:color w:val="auto"/>
          <w:sz w:val="21"/>
          <w:szCs w:val="21"/>
          <w:highlight w:val="none"/>
        </w:rPr>
      </w:pPr>
    </w:p>
    <w:p w14:paraId="2959873E">
      <w:pPr>
        <w:ind w:left="0" w:leftChars="0" w:firstLine="296" w:firstLineChars="141"/>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投标人除广东省固废平台外，还另行自有或享有使用权的独立软件或平台，要求软件或平台具备包括但不限于实时车辆位置跟踪和视频监控等功能。每有1个满足上述功能的软件或平台可得1分，本项满分3分。</w:t>
      </w:r>
    </w:p>
    <w:p w14:paraId="6D1FD46F">
      <w:pPr>
        <w:ind w:left="0" w:leftChars="0" w:firstLine="296" w:firstLineChars="141"/>
        <w:rPr>
          <w:rFonts w:hint="default" w:ascii="宋体" w:hAnsi="宋体"/>
          <w:color w:val="auto"/>
          <w:szCs w:val="21"/>
          <w:highlight w:val="none"/>
          <w:lang w:val="en-US" w:eastAsia="zh-CN"/>
        </w:rPr>
      </w:pPr>
    </w:p>
    <w:p w14:paraId="003D32E4">
      <w:pPr>
        <w:ind w:left="0" w:leftChars="0" w:firstLine="296" w:firstLineChars="141"/>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备注：投标人需提供软件或平台截图，要求展示软件或平台对车辆位置跟踪和视频监控截图</w:t>
      </w:r>
    </w:p>
    <w:p w14:paraId="65A590E1">
      <w:pPr>
        <w:pStyle w:val="2"/>
        <w:ind w:firstLine="0" w:firstLineChars="0"/>
        <w:rPr>
          <w:rFonts w:hint="default"/>
          <w:color w:val="auto"/>
          <w:highlight w:val="none"/>
          <w:lang w:val="en-US" w:eastAsia="zh-CN"/>
        </w:rPr>
      </w:pPr>
    </w:p>
    <w:p w14:paraId="43498D9A">
      <w:pPr>
        <w:spacing w:before="0" w:beforeLines="-2147483648" w:after="0" w:afterLines="-2147483648" w:line="240" w:lineRule="auto"/>
        <w:ind w:firstLineChars="0"/>
        <w:jc w:val="left"/>
        <w:outlineLvl w:val="9"/>
        <w:rPr>
          <w:rFonts w:hint="eastAsia" w:ascii="宋体" w:hAnsi="宋体"/>
          <w:color w:val="auto"/>
          <w:szCs w:val="21"/>
          <w:highlight w:val="none"/>
        </w:rPr>
      </w:pPr>
      <w:r>
        <w:rPr>
          <w:rFonts w:hint="eastAsia" w:ascii="宋体" w:hAnsi="宋体"/>
          <w:color w:val="auto"/>
          <w:szCs w:val="21"/>
          <w:highlight w:val="none"/>
        </w:rPr>
        <w:br w:type="page"/>
      </w:r>
    </w:p>
    <w:p w14:paraId="6592A264">
      <w:pPr>
        <w:pStyle w:val="6"/>
        <w:widowControl w:val="0"/>
        <w:overflowPunct w:val="0"/>
        <w:spacing w:line="240" w:lineRule="auto"/>
        <w:rPr>
          <w:rFonts w:ascii="宋体" w:hAnsi="宋体"/>
          <w:color w:val="auto"/>
          <w:szCs w:val="21"/>
          <w:highlight w:val="none"/>
        </w:rPr>
      </w:pPr>
      <w:bookmarkStart w:id="511" w:name="_Toc22013"/>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 xml:space="preserve">21  </w:t>
      </w:r>
      <w:r>
        <w:rPr>
          <w:rFonts w:hint="eastAsia" w:ascii="宋体" w:hAnsi="宋体"/>
          <w:color w:val="auto"/>
          <w:sz w:val="21"/>
          <w:szCs w:val="21"/>
          <w:highlight w:val="none"/>
        </w:rPr>
        <w:t>拟投入本项目的</w:t>
      </w:r>
      <w:r>
        <w:rPr>
          <w:rFonts w:hint="eastAsia" w:ascii="宋体" w:hAnsi="宋体"/>
          <w:color w:val="auto"/>
          <w:sz w:val="21"/>
          <w:szCs w:val="21"/>
          <w:highlight w:val="none"/>
          <w:lang w:val="en-US" w:eastAsia="zh-CN"/>
        </w:rPr>
        <w:t>运输车辆及服务人员</w:t>
      </w:r>
      <w:r>
        <w:rPr>
          <w:rFonts w:hint="eastAsia" w:ascii="宋体" w:hAnsi="宋体"/>
          <w:color w:val="auto"/>
          <w:sz w:val="21"/>
          <w:szCs w:val="21"/>
          <w:highlight w:val="none"/>
        </w:rPr>
        <w:t>情况</w:t>
      </w:r>
      <w:bookmarkEnd w:id="511"/>
    </w:p>
    <w:p w14:paraId="4909004A">
      <w:pPr>
        <w:keepNext w:val="0"/>
        <w:keepLines w:val="0"/>
        <w:pageBreakBefore w:val="0"/>
        <w:widowControl w:val="0"/>
        <w:kinsoku/>
        <w:wordWrap/>
        <w:overflowPunct/>
        <w:topLinePunct w:val="0"/>
        <w:autoSpaceDE/>
        <w:autoSpaceDN/>
        <w:bidi w:val="0"/>
        <w:adjustRightInd/>
        <w:snapToGrid/>
        <w:spacing w:line="460" w:lineRule="exact"/>
        <w:ind w:firstLine="0" w:firstLineChars="0"/>
        <w:jc w:val="center"/>
        <w:textAlignment w:val="auto"/>
        <w:outlineLvl w:val="9"/>
        <w:rPr>
          <w:rFonts w:ascii="宋体" w:hAnsi="宋体"/>
          <w:b/>
          <w:color w:val="auto"/>
          <w:sz w:val="21"/>
          <w:szCs w:val="21"/>
          <w:highlight w:val="none"/>
        </w:rPr>
      </w:pPr>
      <w:r>
        <w:rPr>
          <w:rFonts w:hint="eastAsia" w:ascii="宋体" w:hAnsi="宋体"/>
          <w:b/>
          <w:color w:val="auto"/>
          <w:sz w:val="21"/>
          <w:szCs w:val="21"/>
          <w:highlight w:val="none"/>
        </w:rPr>
        <w:t>《运输车辆名册》</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3"/>
        <w:gridCol w:w="2525"/>
      </w:tblGrid>
      <w:tr w14:paraId="365E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4BAF94C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3AAB905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车牌号</w:t>
            </w:r>
          </w:p>
        </w:tc>
        <w:tc>
          <w:tcPr>
            <w:tcW w:w="1545" w:type="pct"/>
          </w:tcPr>
          <w:p w14:paraId="2BFB6F6F">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车型</w:t>
            </w:r>
          </w:p>
        </w:tc>
        <w:tc>
          <w:tcPr>
            <w:tcW w:w="1481" w:type="pct"/>
          </w:tcPr>
          <w:p w14:paraId="6D9F1902">
            <w:pPr>
              <w:widowControl w:val="0"/>
              <w:adjustRightInd/>
              <w:snapToGrid/>
              <w:spacing w:line="360" w:lineRule="exact"/>
              <w:ind w:firstLine="660" w:firstLineChars="300"/>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4708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0A16E4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2450A61C">
            <w:pPr>
              <w:widowControl w:val="0"/>
              <w:adjustRightInd/>
              <w:snapToGrid/>
              <w:spacing w:line="360" w:lineRule="exact"/>
              <w:outlineLvl w:val="9"/>
              <w:rPr>
                <w:rFonts w:ascii="宋体" w:hAnsi="宋体" w:cs="宋体"/>
                <w:color w:val="auto"/>
                <w:sz w:val="22"/>
                <w:highlight w:val="none"/>
              </w:rPr>
            </w:pPr>
          </w:p>
        </w:tc>
        <w:tc>
          <w:tcPr>
            <w:tcW w:w="1545" w:type="pct"/>
          </w:tcPr>
          <w:p w14:paraId="1BD0F6E6">
            <w:pPr>
              <w:widowControl w:val="0"/>
              <w:adjustRightInd/>
              <w:snapToGrid/>
              <w:spacing w:line="360" w:lineRule="exact"/>
              <w:outlineLvl w:val="9"/>
              <w:rPr>
                <w:rFonts w:ascii="宋体" w:hAnsi="宋体" w:cs="宋体"/>
                <w:color w:val="auto"/>
                <w:sz w:val="22"/>
                <w:highlight w:val="none"/>
              </w:rPr>
            </w:pPr>
          </w:p>
        </w:tc>
        <w:tc>
          <w:tcPr>
            <w:tcW w:w="1481" w:type="pct"/>
          </w:tcPr>
          <w:p w14:paraId="4125A057">
            <w:pPr>
              <w:widowControl w:val="0"/>
              <w:adjustRightInd/>
              <w:snapToGrid/>
              <w:spacing w:line="360" w:lineRule="exact"/>
              <w:outlineLvl w:val="9"/>
              <w:rPr>
                <w:rFonts w:ascii="宋体" w:hAnsi="宋体" w:cs="宋体"/>
                <w:color w:val="auto"/>
                <w:sz w:val="22"/>
                <w:highlight w:val="none"/>
              </w:rPr>
            </w:pPr>
          </w:p>
        </w:tc>
      </w:tr>
      <w:tr w14:paraId="2948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F2173A5">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00814911">
            <w:pPr>
              <w:widowControl w:val="0"/>
              <w:adjustRightInd/>
              <w:snapToGrid/>
              <w:spacing w:line="360" w:lineRule="exact"/>
              <w:outlineLvl w:val="9"/>
              <w:rPr>
                <w:rFonts w:ascii="宋体" w:hAnsi="宋体" w:cs="宋体"/>
                <w:color w:val="auto"/>
                <w:sz w:val="22"/>
                <w:highlight w:val="none"/>
              </w:rPr>
            </w:pPr>
          </w:p>
        </w:tc>
        <w:tc>
          <w:tcPr>
            <w:tcW w:w="1545" w:type="pct"/>
          </w:tcPr>
          <w:p w14:paraId="1972B417">
            <w:pPr>
              <w:widowControl w:val="0"/>
              <w:adjustRightInd/>
              <w:snapToGrid/>
              <w:spacing w:line="360" w:lineRule="exact"/>
              <w:outlineLvl w:val="9"/>
              <w:rPr>
                <w:rFonts w:ascii="宋体" w:hAnsi="宋体" w:cs="宋体"/>
                <w:color w:val="auto"/>
                <w:sz w:val="22"/>
                <w:highlight w:val="none"/>
              </w:rPr>
            </w:pPr>
          </w:p>
        </w:tc>
        <w:tc>
          <w:tcPr>
            <w:tcW w:w="1481" w:type="pct"/>
          </w:tcPr>
          <w:p w14:paraId="27AB781D">
            <w:pPr>
              <w:widowControl w:val="0"/>
              <w:adjustRightInd/>
              <w:snapToGrid/>
              <w:spacing w:line="360" w:lineRule="exact"/>
              <w:outlineLvl w:val="9"/>
              <w:rPr>
                <w:rFonts w:ascii="宋体" w:hAnsi="宋体" w:cs="宋体"/>
                <w:color w:val="auto"/>
                <w:sz w:val="22"/>
                <w:highlight w:val="none"/>
              </w:rPr>
            </w:pPr>
          </w:p>
        </w:tc>
      </w:tr>
      <w:tr w14:paraId="521E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4073E21">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49C7F566">
            <w:pPr>
              <w:widowControl w:val="0"/>
              <w:adjustRightInd/>
              <w:snapToGrid/>
              <w:spacing w:line="360" w:lineRule="exact"/>
              <w:outlineLvl w:val="9"/>
              <w:rPr>
                <w:rFonts w:ascii="宋体" w:hAnsi="宋体" w:cs="宋体"/>
                <w:color w:val="auto"/>
                <w:sz w:val="22"/>
                <w:highlight w:val="none"/>
              </w:rPr>
            </w:pPr>
          </w:p>
        </w:tc>
        <w:tc>
          <w:tcPr>
            <w:tcW w:w="1545" w:type="pct"/>
          </w:tcPr>
          <w:p w14:paraId="1AD63BAD">
            <w:pPr>
              <w:widowControl w:val="0"/>
              <w:adjustRightInd/>
              <w:snapToGrid/>
              <w:spacing w:line="360" w:lineRule="exact"/>
              <w:outlineLvl w:val="9"/>
              <w:rPr>
                <w:rFonts w:ascii="宋体" w:hAnsi="宋体" w:cs="宋体"/>
                <w:color w:val="auto"/>
                <w:sz w:val="22"/>
                <w:highlight w:val="none"/>
              </w:rPr>
            </w:pPr>
          </w:p>
        </w:tc>
        <w:tc>
          <w:tcPr>
            <w:tcW w:w="1481" w:type="pct"/>
          </w:tcPr>
          <w:p w14:paraId="1D8076CC">
            <w:pPr>
              <w:widowControl w:val="0"/>
              <w:adjustRightInd/>
              <w:snapToGrid/>
              <w:spacing w:line="360" w:lineRule="exact"/>
              <w:outlineLvl w:val="9"/>
              <w:rPr>
                <w:rFonts w:ascii="宋体" w:hAnsi="宋体" w:cs="宋体"/>
                <w:color w:val="auto"/>
                <w:sz w:val="22"/>
                <w:highlight w:val="none"/>
              </w:rPr>
            </w:pPr>
          </w:p>
        </w:tc>
      </w:tr>
      <w:tr w14:paraId="05EB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CA34075">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539349B9">
            <w:pPr>
              <w:widowControl w:val="0"/>
              <w:adjustRightInd/>
              <w:snapToGrid/>
              <w:spacing w:line="360" w:lineRule="exact"/>
              <w:outlineLvl w:val="9"/>
              <w:rPr>
                <w:rFonts w:ascii="宋体" w:hAnsi="宋体" w:cs="宋体"/>
                <w:color w:val="auto"/>
                <w:sz w:val="22"/>
                <w:highlight w:val="none"/>
              </w:rPr>
            </w:pPr>
          </w:p>
        </w:tc>
        <w:tc>
          <w:tcPr>
            <w:tcW w:w="1545" w:type="pct"/>
          </w:tcPr>
          <w:p w14:paraId="05BD245A">
            <w:pPr>
              <w:widowControl w:val="0"/>
              <w:adjustRightInd/>
              <w:snapToGrid/>
              <w:spacing w:line="360" w:lineRule="exact"/>
              <w:outlineLvl w:val="9"/>
              <w:rPr>
                <w:rFonts w:ascii="宋体" w:hAnsi="宋体" w:cs="宋体"/>
                <w:color w:val="auto"/>
                <w:sz w:val="22"/>
                <w:highlight w:val="none"/>
              </w:rPr>
            </w:pPr>
          </w:p>
        </w:tc>
        <w:tc>
          <w:tcPr>
            <w:tcW w:w="1481" w:type="pct"/>
          </w:tcPr>
          <w:p w14:paraId="6F449FF1">
            <w:pPr>
              <w:widowControl w:val="0"/>
              <w:adjustRightInd/>
              <w:snapToGrid/>
              <w:spacing w:line="360" w:lineRule="exact"/>
              <w:outlineLvl w:val="9"/>
              <w:rPr>
                <w:rFonts w:ascii="宋体" w:hAnsi="宋体" w:cs="宋体"/>
                <w:color w:val="auto"/>
                <w:sz w:val="22"/>
                <w:highlight w:val="none"/>
              </w:rPr>
            </w:pPr>
          </w:p>
        </w:tc>
      </w:tr>
      <w:tr w14:paraId="4A4E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4FDE12D">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1315ADBB">
            <w:pPr>
              <w:widowControl w:val="0"/>
              <w:adjustRightInd/>
              <w:snapToGrid/>
              <w:spacing w:line="360" w:lineRule="exact"/>
              <w:outlineLvl w:val="9"/>
              <w:rPr>
                <w:rFonts w:ascii="宋体" w:hAnsi="宋体" w:cs="宋体"/>
                <w:color w:val="auto"/>
                <w:sz w:val="22"/>
                <w:highlight w:val="none"/>
              </w:rPr>
            </w:pPr>
          </w:p>
        </w:tc>
        <w:tc>
          <w:tcPr>
            <w:tcW w:w="1545" w:type="pct"/>
          </w:tcPr>
          <w:p w14:paraId="341EC360">
            <w:pPr>
              <w:widowControl w:val="0"/>
              <w:adjustRightInd/>
              <w:snapToGrid/>
              <w:spacing w:line="360" w:lineRule="exact"/>
              <w:outlineLvl w:val="9"/>
              <w:rPr>
                <w:rFonts w:ascii="宋体" w:hAnsi="宋体" w:cs="宋体"/>
                <w:color w:val="auto"/>
                <w:sz w:val="22"/>
                <w:highlight w:val="none"/>
              </w:rPr>
            </w:pPr>
          </w:p>
        </w:tc>
        <w:tc>
          <w:tcPr>
            <w:tcW w:w="1481" w:type="pct"/>
          </w:tcPr>
          <w:p w14:paraId="265C0A61">
            <w:pPr>
              <w:widowControl w:val="0"/>
              <w:adjustRightInd/>
              <w:snapToGrid/>
              <w:spacing w:line="360" w:lineRule="exact"/>
              <w:outlineLvl w:val="9"/>
              <w:rPr>
                <w:rFonts w:ascii="宋体" w:hAnsi="宋体" w:cs="宋体"/>
                <w:color w:val="auto"/>
                <w:sz w:val="22"/>
                <w:highlight w:val="none"/>
              </w:rPr>
            </w:pPr>
          </w:p>
        </w:tc>
      </w:tr>
      <w:tr w14:paraId="46555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F7B7914">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38FC3FF6">
            <w:pPr>
              <w:widowControl w:val="0"/>
              <w:adjustRightInd/>
              <w:snapToGrid/>
              <w:spacing w:line="360" w:lineRule="exact"/>
              <w:outlineLvl w:val="9"/>
              <w:rPr>
                <w:rFonts w:ascii="宋体" w:hAnsi="宋体" w:cs="宋体"/>
                <w:color w:val="auto"/>
                <w:sz w:val="22"/>
                <w:highlight w:val="none"/>
              </w:rPr>
            </w:pPr>
          </w:p>
        </w:tc>
        <w:tc>
          <w:tcPr>
            <w:tcW w:w="1545" w:type="pct"/>
          </w:tcPr>
          <w:p w14:paraId="67BF553A">
            <w:pPr>
              <w:widowControl w:val="0"/>
              <w:adjustRightInd/>
              <w:snapToGrid/>
              <w:spacing w:line="360" w:lineRule="exact"/>
              <w:outlineLvl w:val="9"/>
              <w:rPr>
                <w:rFonts w:ascii="宋体" w:hAnsi="宋体" w:cs="宋体"/>
                <w:color w:val="auto"/>
                <w:sz w:val="22"/>
                <w:highlight w:val="none"/>
              </w:rPr>
            </w:pPr>
          </w:p>
        </w:tc>
        <w:tc>
          <w:tcPr>
            <w:tcW w:w="1481" w:type="pct"/>
          </w:tcPr>
          <w:p w14:paraId="0B24B82B">
            <w:pPr>
              <w:widowControl w:val="0"/>
              <w:adjustRightInd/>
              <w:snapToGrid/>
              <w:spacing w:line="360" w:lineRule="exact"/>
              <w:outlineLvl w:val="9"/>
              <w:rPr>
                <w:rFonts w:ascii="宋体" w:hAnsi="宋体" w:cs="宋体"/>
                <w:color w:val="auto"/>
                <w:sz w:val="22"/>
                <w:highlight w:val="none"/>
              </w:rPr>
            </w:pPr>
          </w:p>
        </w:tc>
      </w:tr>
      <w:tr w14:paraId="7447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93A6AD4">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387FFB5F">
            <w:pPr>
              <w:widowControl w:val="0"/>
              <w:adjustRightInd/>
              <w:snapToGrid/>
              <w:spacing w:line="360" w:lineRule="exact"/>
              <w:outlineLvl w:val="9"/>
              <w:rPr>
                <w:rFonts w:ascii="宋体" w:hAnsi="宋体" w:cs="宋体"/>
                <w:color w:val="auto"/>
                <w:sz w:val="22"/>
                <w:highlight w:val="none"/>
              </w:rPr>
            </w:pPr>
          </w:p>
        </w:tc>
        <w:tc>
          <w:tcPr>
            <w:tcW w:w="1545" w:type="pct"/>
          </w:tcPr>
          <w:p w14:paraId="36214CED">
            <w:pPr>
              <w:widowControl w:val="0"/>
              <w:adjustRightInd/>
              <w:snapToGrid/>
              <w:spacing w:line="360" w:lineRule="exact"/>
              <w:outlineLvl w:val="9"/>
              <w:rPr>
                <w:rFonts w:ascii="宋体" w:hAnsi="宋体" w:cs="宋体"/>
                <w:color w:val="auto"/>
                <w:sz w:val="22"/>
                <w:highlight w:val="none"/>
              </w:rPr>
            </w:pPr>
          </w:p>
        </w:tc>
        <w:tc>
          <w:tcPr>
            <w:tcW w:w="1481" w:type="pct"/>
          </w:tcPr>
          <w:p w14:paraId="198BC7FA">
            <w:pPr>
              <w:widowControl w:val="0"/>
              <w:adjustRightInd/>
              <w:snapToGrid/>
              <w:spacing w:line="360" w:lineRule="exact"/>
              <w:outlineLvl w:val="9"/>
              <w:rPr>
                <w:rFonts w:ascii="宋体" w:hAnsi="宋体" w:cs="宋体"/>
                <w:color w:val="auto"/>
                <w:sz w:val="22"/>
                <w:highlight w:val="none"/>
              </w:rPr>
            </w:pPr>
          </w:p>
        </w:tc>
      </w:tr>
      <w:tr w14:paraId="3F3D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1226269">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56FE079E">
            <w:pPr>
              <w:widowControl w:val="0"/>
              <w:adjustRightInd/>
              <w:snapToGrid/>
              <w:spacing w:line="360" w:lineRule="exact"/>
              <w:outlineLvl w:val="9"/>
              <w:rPr>
                <w:rFonts w:ascii="宋体" w:hAnsi="宋体" w:cs="宋体"/>
                <w:color w:val="auto"/>
                <w:sz w:val="22"/>
                <w:highlight w:val="none"/>
              </w:rPr>
            </w:pPr>
          </w:p>
        </w:tc>
        <w:tc>
          <w:tcPr>
            <w:tcW w:w="1545" w:type="pct"/>
          </w:tcPr>
          <w:p w14:paraId="3659765E">
            <w:pPr>
              <w:widowControl w:val="0"/>
              <w:adjustRightInd/>
              <w:snapToGrid/>
              <w:spacing w:line="360" w:lineRule="exact"/>
              <w:outlineLvl w:val="9"/>
              <w:rPr>
                <w:rFonts w:ascii="宋体" w:hAnsi="宋体" w:cs="宋体"/>
                <w:color w:val="auto"/>
                <w:sz w:val="22"/>
                <w:highlight w:val="none"/>
              </w:rPr>
            </w:pPr>
          </w:p>
        </w:tc>
        <w:tc>
          <w:tcPr>
            <w:tcW w:w="1481" w:type="pct"/>
          </w:tcPr>
          <w:p w14:paraId="15951BFE">
            <w:pPr>
              <w:widowControl w:val="0"/>
              <w:adjustRightInd/>
              <w:snapToGrid/>
              <w:spacing w:line="360" w:lineRule="exact"/>
              <w:outlineLvl w:val="9"/>
              <w:rPr>
                <w:rFonts w:ascii="宋体" w:hAnsi="宋体" w:cs="宋体"/>
                <w:color w:val="auto"/>
                <w:sz w:val="22"/>
                <w:highlight w:val="none"/>
              </w:rPr>
            </w:pPr>
          </w:p>
        </w:tc>
      </w:tr>
      <w:tr w14:paraId="4DA0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72A071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1BB2C7AE">
            <w:pPr>
              <w:widowControl w:val="0"/>
              <w:adjustRightInd/>
              <w:snapToGrid/>
              <w:spacing w:line="360" w:lineRule="exact"/>
              <w:outlineLvl w:val="9"/>
              <w:rPr>
                <w:rFonts w:ascii="宋体" w:hAnsi="宋体" w:cs="宋体"/>
                <w:color w:val="auto"/>
                <w:sz w:val="22"/>
                <w:highlight w:val="none"/>
              </w:rPr>
            </w:pPr>
          </w:p>
        </w:tc>
        <w:tc>
          <w:tcPr>
            <w:tcW w:w="1545" w:type="pct"/>
          </w:tcPr>
          <w:p w14:paraId="3E2EBC1D">
            <w:pPr>
              <w:widowControl w:val="0"/>
              <w:adjustRightInd/>
              <w:snapToGrid/>
              <w:spacing w:line="360" w:lineRule="exact"/>
              <w:outlineLvl w:val="9"/>
              <w:rPr>
                <w:rFonts w:ascii="宋体" w:hAnsi="宋体" w:cs="宋体"/>
                <w:color w:val="auto"/>
                <w:sz w:val="22"/>
                <w:highlight w:val="none"/>
              </w:rPr>
            </w:pPr>
          </w:p>
        </w:tc>
        <w:tc>
          <w:tcPr>
            <w:tcW w:w="1481" w:type="pct"/>
          </w:tcPr>
          <w:p w14:paraId="15B56FF8">
            <w:pPr>
              <w:widowControl w:val="0"/>
              <w:adjustRightInd/>
              <w:snapToGrid/>
              <w:spacing w:line="360" w:lineRule="exact"/>
              <w:outlineLvl w:val="9"/>
              <w:rPr>
                <w:rFonts w:ascii="宋体" w:hAnsi="宋体" w:cs="宋体"/>
                <w:color w:val="auto"/>
                <w:sz w:val="22"/>
                <w:highlight w:val="none"/>
              </w:rPr>
            </w:pPr>
          </w:p>
        </w:tc>
      </w:tr>
      <w:tr w14:paraId="0BF2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9CA7541">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63CA5D2A">
            <w:pPr>
              <w:widowControl w:val="0"/>
              <w:adjustRightInd/>
              <w:snapToGrid/>
              <w:spacing w:line="360" w:lineRule="exact"/>
              <w:outlineLvl w:val="9"/>
              <w:rPr>
                <w:rFonts w:ascii="宋体" w:hAnsi="宋体" w:cs="宋体"/>
                <w:color w:val="auto"/>
                <w:sz w:val="22"/>
                <w:highlight w:val="none"/>
              </w:rPr>
            </w:pPr>
          </w:p>
        </w:tc>
        <w:tc>
          <w:tcPr>
            <w:tcW w:w="1545" w:type="pct"/>
          </w:tcPr>
          <w:p w14:paraId="4852BA5E">
            <w:pPr>
              <w:widowControl w:val="0"/>
              <w:adjustRightInd/>
              <w:snapToGrid/>
              <w:spacing w:line="360" w:lineRule="exact"/>
              <w:outlineLvl w:val="9"/>
              <w:rPr>
                <w:rFonts w:ascii="宋体" w:hAnsi="宋体" w:cs="宋体"/>
                <w:color w:val="auto"/>
                <w:sz w:val="22"/>
                <w:highlight w:val="none"/>
              </w:rPr>
            </w:pPr>
          </w:p>
        </w:tc>
        <w:tc>
          <w:tcPr>
            <w:tcW w:w="1481" w:type="pct"/>
          </w:tcPr>
          <w:p w14:paraId="2A7E0F82">
            <w:pPr>
              <w:widowControl w:val="0"/>
              <w:adjustRightInd/>
              <w:snapToGrid/>
              <w:spacing w:line="360" w:lineRule="exact"/>
              <w:outlineLvl w:val="9"/>
              <w:rPr>
                <w:rFonts w:ascii="宋体" w:hAnsi="宋体" w:cs="宋体"/>
                <w:color w:val="auto"/>
                <w:sz w:val="22"/>
                <w:highlight w:val="none"/>
              </w:rPr>
            </w:pPr>
          </w:p>
        </w:tc>
      </w:tr>
      <w:tr w14:paraId="4384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A542688">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41A11F09">
            <w:pPr>
              <w:widowControl w:val="0"/>
              <w:adjustRightInd/>
              <w:snapToGrid/>
              <w:spacing w:line="360" w:lineRule="exact"/>
              <w:outlineLvl w:val="9"/>
              <w:rPr>
                <w:rFonts w:ascii="宋体" w:hAnsi="宋体" w:cs="宋体"/>
                <w:color w:val="auto"/>
                <w:sz w:val="22"/>
                <w:highlight w:val="none"/>
              </w:rPr>
            </w:pPr>
          </w:p>
        </w:tc>
        <w:tc>
          <w:tcPr>
            <w:tcW w:w="1545" w:type="pct"/>
          </w:tcPr>
          <w:p w14:paraId="7A79B7C7">
            <w:pPr>
              <w:widowControl w:val="0"/>
              <w:adjustRightInd/>
              <w:snapToGrid/>
              <w:spacing w:line="360" w:lineRule="exact"/>
              <w:outlineLvl w:val="9"/>
              <w:rPr>
                <w:rFonts w:ascii="宋体" w:hAnsi="宋体" w:cs="宋体"/>
                <w:color w:val="auto"/>
                <w:sz w:val="22"/>
                <w:highlight w:val="none"/>
              </w:rPr>
            </w:pPr>
          </w:p>
        </w:tc>
        <w:tc>
          <w:tcPr>
            <w:tcW w:w="1481" w:type="pct"/>
          </w:tcPr>
          <w:p w14:paraId="59060D64">
            <w:pPr>
              <w:widowControl w:val="0"/>
              <w:adjustRightInd/>
              <w:snapToGrid/>
              <w:spacing w:line="360" w:lineRule="exact"/>
              <w:outlineLvl w:val="9"/>
              <w:rPr>
                <w:rFonts w:ascii="宋体" w:hAnsi="宋体" w:cs="宋体"/>
                <w:color w:val="auto"/>
                <w:sz w:val="22"/>
                <w:highlight w:val="none"/>
              </w:rPr>
            </w:pPr>
          </w:p>
        </w:tc>
      </w:tr>
      <w:tr w14:paraId="1F40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FE9DDC3">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3F305382">
            <w:pPr>
              <w:widowControl w:val="0"/>
              <w:adjustRightInd/>
              <w:snapToGrid/>
              <w:spacing w:line="360" w:lineRule="exact"/>
              <w:outlineLvl w:val="9"/>
              <w:rPr>
                <w:rFonts w:ascii="宋体" w:hAnsi="宋体" w:cs="宋体"/>
                <w:color w:val="auto"/>
                <w:sz w:val="22"/>
                <w:highlight w:val="none"/>
              </w:rPr>
            </w:pPr>
          </w:p>
        </w:tc>
        <w:tc>
          <w:tcPr>
            <w:tcW w:w="1545" w:type="pct"/>
          </w:tcPr>
          <w:p w14:paraId="3AD7C572">
            <w:pPr>
              <w:widowControl w:val="0"/>
              <w:adjustRightInd/>
              <w:snapToGrid/>
              <w:spacing w:line="360" w:lineRule="exact"/>
              <w:outlineLvl w:val="9"/>
              <w:rPr>
                <w:rFonts w:ascii="宋体" w:hAnsi="宋体" w:cs="宋体"/>
                <w:color w:val="auto"/>
                <w:sz w:val="22"/>
                <w:highlight w:val="none"/>
              </w:rPr>
            </w:pPr>
          </w:p>
        </w:tc>
        <w:tc>
          <w:tcPr>
            <w:tcW w:w="1481" w:type="pct"/>
          </w:tcPr>
          <w:p w14:paraId="5CDAA0F2">
            <w:pPr>
              <w:widowControl w:val="0"/>
              <w:adjustRightInd/>
              <w:snapToGrid/>
              <w:spacing w:line="360" w:lineRule="exact"/>
              <w:outlineLvl w:val="9"/>
              <w:rPr>
                <w:rFonts w:ascii="宋体" w:hAnsi="宋体" w:cs="宋体"/>
                <w:color w:val="auto"/>
                <w:sz w:val="22"/>
                <w:highlight w:val="none"/>
              </w:rPr>
            </w:pPr>
          </w:p>
        </w:tc>
      </w:tr>
      <w:tr w14:paraId="7F71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622C37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06832AA9">
            <w:pPr>
              <w:widowControl w:val="0"/>
              <w:adjustRightInd/>
              <w:snapToGrid/>
              <w:spacing w:line="360" w:lineRule="exact"/>
              <w:outlineLvl w:val="9"/>
              <w:rPr>
                <w:rFonts w:ascii="宋体" w:hAnsi="宋体" w:cs="宋体"/>
                <w:color w:val="auto"/>
                <w:sz w:val="22"/>
                <w:highlight w:val="none"/>
              </w:rPr>
            </w:pPr>
          </w:p>
        </w:tc>
        <w:tc>
          <w:tcPr>
            <w:tcW w:w="1545" w:type="pct"/>
          </w:tcPr>
          <w:p w14:paraId="45691C16">
            <w:pPr>
              <w:widowControl w:val="0"/>
              <w:adjustRightInd/>
              <w:snapToGrid/>
              <w:spacing w:line="360" w:lineRule="exact"/>
              <w:outlineLvl w:val="9"/>
              <w:rPr>
                <w:rFonts w:ascii="宋体" w:hAnsi="宋体" w:cs="宋体"/>
                <w:color w:val="auto"/>
                <w:sz w:val="22"/>
                <w:highlight w:val="none"/>
              </w:rPr>
            </w:pPr>
          </w:p>
        </w:tc>
        <w:tc>
          <w:tcPr>
            <w:tcW w:w="1481" w:type="pct"/>
          </w:tcPr>
          <w:p w14:paraId="79C8A77B">
            <w:pPr>
              <w:widowControl w:val="0"/>
              <w:adjustRightInd/>
              <w:snapToGrid/>
              <w:spacing w:line="360" w:lineRule="exact"/>
              <w:outlineLvl w:val="9"/>
              <w:rPr>
                <w:rFonts w:ascii="宋体" w:hAnsi="宋体" w:cs="宋体"/>
                <w:color w:val="auto"/>
                <w:sz w:val="22"/>
                <w:highlight w:val="none"/>
              </w:rPr>
            </w:pPr>
          </w:p>
        </w:tc>
      </w:tr>
      <w:tr w14:paraId="5105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DC3A852">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45B8A082">
            <w:pPr>
              <w:widowControl w:val="0"/>
              <w:adjustRightInd/>
              <w:snapToGrid/>
              <w:spacing w:line="360" w:lineRule="exact"/>
              <w:outlineLvl w:val="9"/>
              <w:rPr>
                <w:rFonts w:ascii="宋体" w:hAnsi="宋体" w:cs="宋体"/>
                <w:color w:val="auto"/>
                <w:sz w:val="22"/>
                <w:highlight w:val="none"/>
              </w:rPr>
            </w:pPr>
          </w:p>
        </w:tc>
        <w:tc>
          <w:tcPr>
            <w:tcW w:w="1545" w:type="pct"/>
          </w:tcPr>
          <w:p w14:paraId="6E63C6E9">
            <w:pPr>
              <w:widowControl w:val="0"/>
              <w:adjustRightInd/>
              <w:snapToGrid/>
              <w:spacing w:line="360" w:lineRule="exact"/>
              <w:outlineLvl w:val="9"/>
              <w:rPr>
                <w:rFonts w:ascii="宋体" w:hAnsi="宋体" w:cs="宋体"/>
                <w:color w:val="auto"/>
                <w:sz w:val="22"/>
                <w:highlight w:val="none"/>
              </w:rPr>
            </w:pPr>
          </w:p>
        </w:tc>
        <w:tc>
          <w:tcPr>
            <w:tcW w:w="1481" w:type="pct"/>
          </w:tcPr>
          <w:p w14:paraId="01246C68">
            <w:pPr>
              <w:widowControl w:val="0"/>
              <w:adjustRightInd/>
              <w:snapToGrid/>
              <w:spacing w:line="360" w:lineRule="exact"/>
              <w:outlineLvl w:val="9"/>
              <w:rPr>
                <w:rFonts w:ascii="宋体" w:hAnsi="宋体" w:cs="宋体"/>
                <w:color w:val="auto"/>
                <w:sz w:val="22"/>
                <w:highlight w:val="none"/>
              </w:rPr>
            </w:pPr>
          </w:p>
        </w:tc>
      </w:tr>
      <w:tr w14:paraId="3555E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120DE77">
            <w:pPr>
              <w:widowControl w:val="0"/>
              <w:adjustRightInd/>
              <w:snapToGrid/>
              <w:spacing w:line="360" w:lineRule="exact"/>
              <w:ind w:firstLine="220" w:firstLineChars="100"/>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2684F8DE">
            <w:pPr>
              <w:widowControl w:val="0"/>
              <w:adjustRightInd/>
              <w:snapToGrid/>
              <w:spacing w:line="360" w:lineRule="exact"/>
              <w:outlineLvl w:val="9"/>
              <w:rPr>
                <w:rFonts w:ascii="宋体" w:hAnsi="宋体" w:cs="宋体"/>
                <w:color w:val="auto"/>
                <w:sz w:val="22"/>
                <w:highlight w:val="none"/>
              </w:rPr>
            </w:pPr>
          </w:p>
        </w:tc>
        <w:tc>
          <w:tcPr>
            <w:tcW w:w="1545" w:type="pct"/>
          </w:tcPr>
          <w:p w14:paraId="022454F3">
            <w:pPr>
              <w:widowControl w:val="0"/>
              <w:adjustRightInd/>
              <w:snapToGrid/>
              <w:spacing w:line="360" w:lineRule="exact"/>
              <w:outlineLvl w:val="9"/>
              <w:rPr>
                <w:rFonts w:ascii="宋体" w:hAnsi="宋体" w:cs="宋体"/>
                <w:color w:val="auto"/>
                <w:sz w:val="22"/>
                <w:highlight w:val="none"/>
              </w:rPr>
            </w:pPr>
          </w:p>
        </w:tc>
        <w:tc>
          <w:tcPr>
            <w:tcW w:w="1481" w:type="pct"/>
          </w:tcPr>
          <w:p w14:paraId="0E9B7397">
            <w:pPr>
              <w:widowControl w:val="0"/>
              <w:adjustRightInd/>
              <w:snapToGrid/>
              <w:spacing w:line="360" w:lineRule="exact"/>
              <w:outlineLvl w:val="9"/>
              <w:rPr>
                <w:rFonts w:ascii="宋体" w:hAnsi="宋体" w:cs="宋体"/>
                <w:color w:val="auto"/>
                <w:sz w:val="22"/>
                <w:highlight w:val="none"/>
              </w:rPr>
            </w:pPr>
          </w:p>
        </w:tc>
      </w:tr>
      <w:tr w14:paraId="34E7D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A51C0F3">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1151ABCD">
            <w:pPr>
              <w:widowControl w:val="0"/>
              <w:adjustRightInd/>
              <w:snapToGrid/>
              <w:spacing w:line="360" w:lineRule="exact"/>
              <w:outlineLvl w:val="9"/>
              <w:rPr>
                <w:rFonts w:ascii="宋体" w:hAnsi="宋体" w:cs="宋体"/>
                <w:color w:val="auto"/>
                <w:sz w:val="22"/>
                <w:highlight w:val="none"/>
              </w:rPr>
            </w:pPr>
          </w:p>
        </w:tc>
        <w:tc>
          <w:tcPr>
            <w:tcW w:w="1545" w:type="pct"/>
          </w:tcPr>
          <w:p w14:paraId="2E8FF3EF">
            <w:pPr>
              <w:widowControl w:val="0"/>
              <w:adjustRightInd/>
              <w:snapToGrid/>
              <w:spacing w:line="360" w:lineRule="exact"/>
              <w:outlineLvl w:val="9"/>
              <w:rPr>
                <w:rFonts w:ascii="宋体" w:hAnsi="宋体" w:cs="宋体"/>
                <w:color w:val="auto"/>
                <w:sz w:val="22"/>
                <w:highlight w:val="none"/>
              </w:rPr>
            </w:pPr>
          </w:p>
        </w:tc>
        <w:tc>
          <w:tcPr>
            <w:tcW w:w="1481" w:type="pct"/>
          </w:tcPr>
          <w:p w14:paraId="44CB2F8E">
            <w:pPr>
              <w:widowControl w:val="0"/>
              <w:adjustRightInd/>
              <w:snapToGrid/>
              <w:spacing w:line="360" w:lineRule="exact"/>
              <w:outlineLvl w:val="9"/>
              <w:rPr>
                <w:rFonts w:ascii="宋体" w:hAnsi="宋体" w:cs="宋体"/>
                <w:color w:val="auto"/>
                <w:sz w:val="22"/>
                <w:highlight w:val="none"/>
              </w:rPr>
            </w:pPr>
          </w:p>
        </w:tc>
      </w:tr>
      <w:tr w14:paraId="20FC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02CAE0E">
            <w:pPr>
              <w:widowControl w:val="0"/>
              <w:adjustRightInd/>
              <w:snapToGrid/>
              <w:spacing w:line="360" w:lineRule="exact"/>
              <w:ind w:firstLine="220" w:firstLineChars="100"/>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5A0C3503">
            <w:pPr>
              <w:widowControl w:val="0"/>
              <w:adjustRightInd/>
              <w:snapToGrid/>
              <w:spacing w:line="360" w:lineRule="exact"/>
              <w:outlineLvl w:val="9"/>
              <w:rPr>
                <w:rFonts w:ascii="宋体" w:hAnsi="宋体" w:cs="宋体"/>
                <w:color w:val="auto"/>
                <w:sz w:val="22"/>
                <w:highlight w:val="none"/>
              </w:rPr>
            </w:pPr>
          </w:p>
        </w:tc>
        <w:tc>
          <w:tcPr>
            <w:tcW w:w="1545" w:type="pct"/>
          </w:tcPr>
          <w:p w14:paraId="62554851">
            <w:pPr>
              <w:widowControl w:val="0"/>
              <w:adjustRightInd/>
              <w:snapToGrid/>
              <w:spacing w:line="360" w:lineRule="exact"/>
              <w:outlineLvl w:val="9"/>
              <w:rPr>
                <w:rFonts w:ascii="宋体" w:hAnsi="宋体" w:cs="宋体"/>
                <w:color w:val="auto"/>
                <w:sz w:val="22"/>
                <w:highlight w:val="none"/>
              </w:rPr>
            </w:pPr>
          </w:p>
        </w:tc>
        <w:tc>
          <w:tcPr>
            <w:tcW w:w="1481" w:type="pct"/>
          </w:tcPr>
          <w:p w14:paraId="246B591A">
            <w:pPr>
              <w:widowControl w:val="0"/>
              <w:adjustRightInd/>
              <w:snapToGrid/>
              <w:spacing w:line="360" w:lineRule="exact"/>
              <w:outlineLvl w:val="9"/>
              <w:rPr>
                <w:rFonts w:ascii="宋体" w:hAnsi="宋体" w:cs="宋体"/>
                <w:color w:val="auto"/>
                <w:sz w:val="22"/>
                <w:highlight w:val="none"/>
              </w:rPr>
            </w:pPr>
          </w:p>
        </w:tc>
      </w:tr>
      <w:tr w14:paraId="585E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552E8BA">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51628575">
            <w:pPr>
              <w:widowControl w:val="0"/>
              <w:adjustRightInd/>
              <w:snapToGrid/>
              <w:spacing w:line="360" w:lineRule="exact"/>
              <w:outlineLvl w:val="9"/>
              <w:rPr>
                <w:rFonts w:ascii="宋体" w:hAnsi="宋体" w:cs="宋体"/>
                <w:color w:val="auto"/>
                <w:sz w:val="22"/>
                <w:highlight w:val="none"/>
              </w:rPr>
            </w:pPr>
          </w:p>
        </w:tc>
        <w:tc>
          <w:tcPr>
            <w:tcW w:w="1545" w:type="pct"/>
          </w:tcPr>
          <w:p w14:paraId="4D8CEAC3">
            <w:pPr>
              <w:widowControl w:val="0"/>
              <w:adjustRightInd/>
              <w:snapToGrid/>
              <w:spacing w:line="360" w:lineRule="exact"/>
              <w:outlineLvl w:val="9"/>
              <w:rPr>
                <w:rFonts w:ascii="宋体" w:hAnsi="宋体" w:cs="宋体"/>
                <w:color w:val="auto"/>
                <w:sz w:val="22"/>
                <w:highlight w:val="none"/>
              </w:rPr>
            </w:pPr>
          </w:p>
        </w:tc>
        <w:tc>
          <w:tcPr>
            <w:tcW w:w="1481" w:type="pct"/>
          </w:tcPr>
          <w:p w14:paraId="43A2ABA1">
            <w:pPr>
              <w:widowControl w:val="0"/>
              <w:adjustRightInd/>
              <w:snapToGrid/>
              <w:spacing w:line="360" w:lineRule="exact"/>
              <w:outlineLvl w:val="9"/>
              <w:rPr>
                <w:rFonts w:ascii="宋体" w:hAnsi="宋体" w:cs="宋体"/>
                <w:color w:val="auto"/>
                <w:sz w:val="22"/>
                <w:highlight w:val="none"/>
              </w:rPr>
            </w:pPr>
          </w:p>
        </w:tc>
      </w:tr>
      <w:tr w14:paraId="47D6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9F22AEB">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7F662431">
            <w:pPr>
              <w:widowControl w:val="0"/>
              <w:adjustRightInd/>
              <w:snapToGrid/>
              <w:spacing w:line="360" w:lineRule="exact"/>
              <w:outlineLvl w:val="9"/>
              <w:rPr>
                <w:rFonts w:ascii="宋体" w:hAnsi="宋体" w:cs="宋体"/>
                <w:color w:val="auto"/>
                <w:sz w:val="22"/>
                <w:highlight w:val="none"/>
              </w:rPr>
            </w:pPr>
          </w:p>
        </w:tc>
        <w:tc>
          <w:tcPr>
            <w:tcW w:w="1545" w:type="pct"/>
          </w:tcPr>
          <w:p w14:paraId="27A6C20A">
            <w:pPr>
              <w:widowControl w:val="0"/>
              <w:adjustRightInd/>
              <w:snapToGrid/>
              <w:spacing w:line="360" w:lineRule="exact"/>
              <w:outlineLvl w:val="9"/>
              <w:rPr>
                <w:rFonts w:ascii="宋体" w:hAnsi="宋体" w:cs="宋体"/>
                <w:color w:val="auto"/>
                <w:sz w:val="22"/>
                <w:highlight w:val="none"/>
              </w:rPr>
            </w:pPr>
          </w:p>
        </w:tc>
        <w:tc>
          <w:tcPr>
            <w:tcW w:w="1481" w:type="pct"/>
          </w:tcPr>
          <w:p w14:paraId="70C91244">
            <w:pPr>
              <w:widowControl w:val="0"/>
              <w:adjustRightInd/>
              <w:snapToGrid/>
              <w:spacing w:line="360" w:lineRule="exact"/>
              <w:outlineLvl w:val="9"/>
              <w:rPr>
                <w:rFonts w:ascii="宋体" w:hAnsi="宋体" w:cs="宋体"/>
                <w:color w:val="auto"/>
                <w:sz w:val="22"/>
                <w:highlight w:val="none"/>
              </w:rPr>
            </w:pPr>
          </w:p>
        </w:tc>
      </w:tr>
      <w:tr w14:paraId="5957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1CEAC3A">
            <w:pPr>
              <w:widowControl w:val="0"/>
              <w:adjustRightInd/>
              <w:snapToGrid/>
              <w:spacing w:line="360" w:lineRule="exact"/>
              <w:ind w:firstLine="220" w:firstLineChars="100"/>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427252F8">
            <w:pPr>
              <w:widowControl w:val="0"/>
              <w:adjustRightInd/>
              <w:snapToGrid/>
              <w:spacing w:line="360" w:lineRule="exact"/>
              <w:outlineLvl w:val="9"/>
              <w:rPr>
                <w:rFonts w:ascii="宋体" w:hAnsi="宋体" w:cs="宋体"/>
                <w:color w:val="auto"/>
                <w:sz w:val="22"/>
                <w:highlight w:val="none"/>
              </w:rPr>
            </w:pPr>
          </w:p>
        </w:tc>
        <w:tc>
          <w:tcPr>
            <w:tcW w:w="1545" w:type="pct"/>
          </w:tcPr>
          <w:p w14:paraId="3DBA9D02">
            <w:pPr>
              <w:widowControl w:val="0"/>
              <w:adjustRightInd/>
              <w:snapToGrid/>
              <w:spacing w:line="360" w:lineRule="exact"/>
              <w:outlineLvl w:val="9"/>
              <w:rPr>
                <w:rFonts w:ascii="宋体" w:hAnsi="宋体" w:cs="宋体"/>
                <w:color w:val="auto"/>
                <w:sz w:val="22"/>
                <w:highlight w:val="none"/>
              </w:rPr>
            </w:pPr>
          </w:p>
        </w:tc>
        <w:tc>
          <w:tcPr>
            <w:tcW w:w="1481" w:type="pct"/>
          </w:tcPr>
          <w:p w14:paraId="3486084B">
            <w:pPr>
              <w:widowControl w:val="0"/>
              <w:adjustRightInd/>
              <w:snapToGrid/>
              <w:spacing w:line="360" w:lineRule="exact"/>
              <w:outlineLvl w:val="9"/>
              <w:rPr>
                <w:rFonts w:ascii="宋体" w:hAnsi="宋体" w:cs="宋体"/>
                <w:color w:val="auto"/>
                <w:sz w:val="22"/>
                <w:highlight w:val="none"/>
              </w:rPr>
            </w:pPr>
          </w:p>
        </w:tc>
      </w:tr>
    </w:tbl>
    <w:p w14:paraId="7D83B801">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备注：</w:t>
      </w:r>
    </w:p>
    <w:p w14:paraId="7BF5A4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outlineLvl w:val="9"/>
        <w:rPr>
          <w:rFonts w:hint="eastAsia" w:ascii="宋体" w:hAnsi="宋体" w:eastAsia="宋体" w:cs="宋体"/>
          <w:color w:val="auto"/>
          <w:highlight w:val="none"/>
          <w:lang w:val="en-US" w:eastAsia="zh-CN"/>
        </w:rPr>
      </w:pPr>
      <w:r>
        <w:rPr>
          <w:rFonts w:hint="eastAsia" w:ascii="宋体" w:hAnsi="宋体" w:eastAsia="宋体" w:cs="宋体"/>
          <w:color w:val="auto"/>
          <w:sz w:val="21"/>
          <w:szCs w:val="22"/>
          <w:highlight w:val="none"/>
          <w:lang w:val="en-US" w:eastAsia="zh-CN" w:bidi="ar-SA"/>
        </w:rPr>
        <w:t>1.</w:t>
      </w:r>
      <w:r>
        <w:rPr>
          <w:rFonts w:hint="eastAsia" w:ascii="宋体" w:hAnsi="宋体" w:eastAsia="宋体" w:cs="宋体"/>
          <w:color w:val="auto"/>
          <w:highlight w:val="none"/>
        </w:rPr>
        <w:t>以上为拟投入本项目运输车辆清单，</w:t>
      </w: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可根据情况增加，不得减少。</w:t>
      </w:r>
      <w:r>
        <w:rPr>
          <w:rFonts w:hint="eastAsia" w:ascii="宋体" w:hAnsi="宋体" w:eastAsia="宋体" w:cs="宋体"/>
          <w:color w:val="auto"/>
          <w:highlight w:val="none"/>
          <w:lang w:val="en-US" w:eastAsia="zh-CN"/>
        </w:rPr>
        <w:t>以上</w:t>
      </w:r>
      <w:r>
        <w:rPr>
          <w:rFonts w:hint="eastAsia" w:ascii="宋体" w:hAnsi="宋体" w:eastAsia="宋体" w:cs="宋体"/>
          <w:color w:val="auto"/>
          <w:highlight w:val="none"/>
        </w:rPr>
        <w:t>名单为初步填写，后续如需更换，</w:t>
      </w:r>
      <w:r>
        <w:rPr>
          <w:rFonts w:hint="eastAsia" w:ascii="宋体" w:hAnsi="宋体" w:eastAsia="宋体" w:cs="宋体"/>
          <w:color w:val="auto"/>
          <w:highlight w:val="none"/>
          <w:lang w:val="en-US" w:eastAsia="zh-CN"/>
        </w:rPr>
        <w:t>需</w:t>
      </w:r>
      <w:r>
        <w:rPr>
          <w:rFonts w:hint="eastAsia" w:ascii="宋体" w:hAnsi="宋体" w:eastAsia="宋体" w:cs="宋体"/>
          <w:color w:val="auto"/>
          <w:highlight w:val="none"/>
        </w:rPr>
        <w:t>征得采购人</w:t>
      </w:r>
      <w:r>
        <w:rPr>
          <w:rFonts w:hint="eastAsia" w:ascii="宋体" w:hAnsi="宋体" w:eastAsia="宋体" w:cs="宋体"/>
          <w:color w:val="auto"/>
          <w:highlight w:val="none"/>
          <w:lang w:val="en-US" w:eastAsia="zh-CN"/>
        </w:rPr>
        <w:t>书面</w:t>
      </w:r>
      <w:r>
        <w:rPr>
          <w:rFonts w:hint="eastAsia" w:ascii="宋体" w:hAnsi="宋体" w:eastAsia="宋体" w:cs="宋体"/>
          <w:color w:val="auto"/>
          <w:highlight w:val="none"/>
        </w:rPr>
        <w:t>同意后方可更换。非投标人自有车辆的，需提供投标人与承租人的租赁合同或合作协议，均加盖公章；</w:t>
      </w:r>
      <w:r>
        <w:rPr>
          <w:rFonts w:hint="eastAsia" w:ascii="宋体" w:hAnsi="宋体" w:eastAsia="宋体" w:cs="宋体"/>
          <w:color w:val="auto"/>
          <w:highlight w:val="none"/>
          <w:lang w:val="en-US" w:eastAsia="zh-CN"/>
        </w:rPr>
        <w:t>合同履约过程中，成交人每少一辆</w:t>
      </w:r>
      <w:r>
        <w:rPr>
          <w:rFonts w:hint="eastAsia" w:ascii="宋体" w:hAnsi="宋体" w:cs="宋体"/>
          <w:color w:val="auto"/>
          <w:highlight w:val="none"/>
          <w:lang w:val="en-US" w:eastAsia="zh-CN"/>
        </w:rPr>
        <w:t>处以</w:t>
      </w:r>
      <w:r>
        <w:rPr>
          <w:rFonts w:hint="eastAsia" w:ascii="宋体" w:hAnsi="宋体" w:eastAsia="宋体" w:cs="宋体"/>
          <w:color w:val="auto"/>
          <w:highlight w:val="none"/>
          <w:lang w:val="en-US" w:eastAsia="zh-CN"/>
        </w:rPr>
        <w:t>10000元处罚，超过3辆的采购人有权无责解除合同并没收履约保证金。</w:t>
      </w:r>
    </w:p>
    <w:p w14:paraId="66C30D43">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资料要求：</w:t>
      </w:r>
    </w:p>
    <w:p w14:paraId="113AA6E7">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outlineLvl w:val="9"/>
        <w:rPr>
          <w:rFonts w:hint="eastAsia" w:ascii="宋体" w:hAnsi="宋体" w:eastAsia="宋体" w:cs="宋体"/>
          <w:color w:val="auto"/>
          <w:highlight w:val="none"/>
          <w:lang w:eastAsia="zh-CN"/>
        </w:rPr>
      </w:pPr>
      <w:r>
        <w:rPr>
          <w:rFonts w:hint="eastAsia" w:ascii="宋体" w:hAnsi="宋体" w:eastAsia="宋体" w:cs="宋体"/>
          <w:color w:val="auto"/>
          <w:highlight w:val="none"/>
        </w:rPr>
        <w:t>【投标时提供】</w:t>
      </w:r>
      <w:r>
        <w:rPr>
          <w:rFonts w:hint="eastAsia" w:ascii="宋体" w:hAnsi="宋体" w:eastAsia="宋体" w:cs="宋体"/>
          <w:color w:val="auto"/>
          <w:highlight w:val="none"/>
          <w:lang w:val="en-US" w:eastAsia="zh-CN"/>
        </w:rPr>
        <w:t>上述</w:t>
      </w:r>
      <w:r>
        <w:rPr>
          <w:rFonts w:hint="eastAsia" w:ascii="宋体" w:hAnsi="宋体" w:eastAsia="宋体" w:cs="宋体"/>
          <w:color w:val="auto"/>
          <w:highlight w:val="none"/>
        </w:rPr>
        <w:t>运输车辆的《道路运输证》</w:t>
      </w:r>
      <w:r>
        <w:rPr>
          <w:rFonts w:hint="eastAsia" w:ascii="宋体" w:hAnsi="宋体" w:eastAsia="宋体" w:cs="宋体"/>
          <w:color w:val="auto"/>
          <w:highlight w:val="none"/>
          <w:lang w:val="en-US" w:eastAsia="zh-CN"/>
        </w:rPr>
        <w:t>且经营范围包括“危险货物运输”</w:t>
      </w:r>
      <w:r>
        <w:rPr>
          <w:rFonts w:hint="eastAsia" w:ascii="宋体" w:hAnsi="宋体" w:eastAsia="宋体" w:cs="宋体"/>
          <w:color w:val="auto"/>
          <w:highlight w:val="none"/>
        </w:rPr>
        <w:t>（加盖公章）；非投标人自有车辆的，需提供投标人与承租人的租赁合同或合作协议，均加盖公章</w:t>
      </w:r>
      <w:r>
        <w:rPr>
          <w:rFonts w:hint="eastAsia" w:ascii="宋体" w:hAnsi="宋体" w:eastAsia="宋体" w:cs="宋体"/>
          <w:color w:val="auto"/>
          <w:highlight w:val="none"/>
          <w:lang w:eastAsia="zh-CN"/>
        </w:rPr>
        <w:t>。</w:t>
      </w:r>
    </w:p>
    <w:p w14:paraId="6A99279F">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outlineLvl w:val="9"/>
        <w:rPr>
          <w:rFonts w:hint="eastAsia" w:ascii="宋体" w:hAnsi="宋体" w:eastAsia="宋体" w:cs="宋体"/>
          <w:color w:val="auto"/>
          <w:highlight w:val="none"/>
        </w:rPr>
      </w:pPr>
      <w:r>
        <w:rPr>
          <w:rFonts w:hint="eastAsia" w:ascii="宋体" w:hAnsi="宋体" w:eastAsia="宋体" w:cs="宋体"/>
          <w:color w:val="auto"/>
          <w:highlight w:val="none"/>
        </w:rPr>
        <w:t>【中标后向</w:t>
      </w:r>
      <w:r>
        <w:rPr>
          <w:rFonts w:hint="eastAsia" w:ascii="宋体" w:hAnsi="宋体" w:eastAsia="宋体" w:cs="宋体"/>
          <w:color w:val="auto"/>
          <w:highlight w:val="none"/>
          <w:lang w:val="en-US" w:eastAsia="zh-CN"/>
        </w:rPr>
        <w:t>采购人</w:t>
      </w:r>
      <w:r>
        <w:rPr>
          <w:rFonts w:hint="eastAsia" w:ascii="宋体" w:hAnsi="宋体" w:eastAsia="宋体" w:cs="宋体"/>
          <w:color w:val="auto"/>
          <w:highlight w:val="none"/>
        </w:rPr>
        <w:t>备案】运输车辆的行驶证、道路运输证、强制险保单、商业险保单、危险货物承运人保单、GPS定位系统安装证明、视频监控接入证明等。</w:t>
      </w:r>
    </w:p>
    <w:p w14:paraId="0DED4BD5">
      <w:pPr>
        <w:pStyle w:val="44"/>
        <w:ind w:firstLine="0" w:firstLineChars="0"/>
        <w:rPr>
          <w:rFonts w:hint="eastAsia" w:ascii="宋体" w:eastAsia="宋体" w:cs="宋体"/>
          <w:color w:val="auto"/>
          <w:sz w:val="22"/>
          <w:highlight w:val="none"/>
        </w:rPr>
      </w:pPr>
    </w:p>
    <w:p w14:paraId="796EBE53">
      <w:pPr>
        <w:pStyle w:val="44"/>
        <w:ind w:firstLine="0" w:firstLineChars="0"/>
        <w:rPr>
          <w:rFonts w:ascii="宋体" w:eastAsia="宋体" w:cs="宋体"/>
          <w:color w:val="auto"/>
          <w:sz w:val="22"/>
          <w:highlight w:val="none"/>
        </w:rPr>
      </w:pPr>
      <w:r>
        <w:rPr>
          <w:rFonts w:hint="eastAsia" w:ascii="宋体" w:eastAsia="宋体" w:cs="宋体"/>
          <w:color w:val="auto"/>
          <w:sz w:val="22"/>
          <w:highlight w:val="none"/>
        </w:rPr>
        <w:t>投标人名称（加盖公章）：</w:t>
      </w:r>
    </w:p>
    <w:p w14:paraId="32782EDA">
      <w:pPr>
        <w:pStyle w:val="44"/>
        <w:spacing w:before="180" w:beforeLines="50" w:after="180" w:afterLines="50" w:line="360" w:lineRule="exact"/>
        <w:ind w:firstLine="0" w:firstLineChars="0"/>
        <w:jc w:val="both"/>
        <w:outlineLvl w:val="9"/>
        <w:rPr>
          <w:color w:val="auto"/>
          <w:highlight w:val="none"/>
        </w:rPr>
      </w:pPr>
      <w:r>
        <w:rPr>
          <w:rFonts w:hint="eastAsia" w:ascii="宋体" w:eastAsia="宋体" w:cs="宋体"/>
          <w:color w:val="auto"/>
          <w:sz w:val="22"/>
          <w:highlight w:val="none"/>
        </w:rPr>
        <w:t>日      期：</w:t>
      </w:r>
    </w:p>
    <w:p w14:paraId="7BC0ECDE">
      <w:pPr>
        <w:ind w:firstLineChars="0"/>
        <w:rPr>
          <w:rFonts w:ascii="宋体" w:hAnsi="宋体" w:cs="Times New Roman"/>
          <w:color w:val="auto"/>
          <w:szCs w:val="21"/>
          <w:highlight w:val="none"/>
        </w:rPr>
      </w:pPr>
      <w:r>
        <w:rPr>
          <w:rFonts w:hint="eastAsia" w:ascii="宋体" w:hAnsi="宋体"/>
          <w:color w:val="auto"/>
          <w:szCs w:val="21"/>
          <w:highlight w:val="none"/>
        </w:rPr>
        <w:br w:type="page"/>
      </w:r>
    </w:p>
    <w:p w14:paraId="6B9A391A">
      <w:pPr>
        <w:jc w:val="center"/>
        <w:outlineLvl w:val="9"/>
        <w:rPr>
          <w:rFonts w:hint="eastAsia" w:ascii="宋体" w:hAnsi="宋体"/>
          <w:b/>
          <w:color w:val="auto"/>
          <w:sz w:val="21"/>
          <w:szCs w:val="21"/>
          <w:highlight w:val="none"/>
        </w:rPr>
      </w:pPr>
      <w:r>
        <w:rPr>
          <w:rFonts w:hint="eastAsia" w:ascii="宋体" w:hAnsi="宋体"/>
          <w:b/>
          <w:color w:val="auto"/>
          <w:sz w:val="21"/>
          <w:szCs w:val="21"/>
          <w:highlight w:val="none"/>
        </w:rPr>
        <w:t>《运输人员花名册》</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393"/>
        <w:gridCol w:w="2634"/>
        <w:gridCol w:w="2525"/>
      </w:tblGrid>
      <w:tr w14:paraId="75EC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68" w:type="pct"/>
          </w:tcPr>
          <w:p w14:paraId="3B813BA1">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序号</w:t>
            </w:r>
          </w:p>
        </w:tc>
        <w:tc>
          <w:tcPr>
            <w:tcW w:w="1404" w:type="pct"/>
          </w:tcPr>
          <w:p w14:paraId="3A059717">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人员名单</w:t>
            </w:r>
          </w:p>
        </w:tc>
        <w:tc>
          <w:tcPr>
            <w:tcW w:w="1545" w:type="pct"/>
          </w:tcPr>
          <w:p w14:paraId="38E6FD60">
            <w:pPr>
              <w:widowControl w:val="0"/>
              <w:adjustRightInd/>
              <w:snapToGrid/>
              <w:spacing w:line="360" w:lineRule="exact"/>
              <w:ind w:firstLine="220" w:firstLineChars="100"/>
              <w:jc w:val="center"/>
              <w:outlineLvl w:val="9"/>
              <w:rPr>
                <w:rFonts w:ascii="宋体" w:hAnsi="宋体" w:cs="宋体"/>
                <w:color w:val="auto"/>
                <w:sz w:val="22"/>
                <w:highlight w:val="none"/>
              </w:rPr>
            </w:pPr>
            <w:r>
              <w:rPr>
                <w:rFonts w:hint="eastAsia" w:ascii="宋体" w:hAnsi="宋体" w:cs="宋体"/>
                <w:color w:val="auto"/>
                <w:sz w:val="22"/>
                <w:highlight w:val="none"/>
              </w:rPr>
              <w:t>证照（类别）</w:t>
            </w:r>
          </w:p>
        </w:tc>
        <w:tc>
          <w:tcPr>
            <w:tcW w:w="1481" w:type="pct"/>
          </w:tcPr>
          <w:p w14:paraId="2A50D6D5">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备注</w:t>
            </w:r>
          </w:p>
        </w:tc>
      </w:tr>
      <w:tr w14:paraId="305B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30ED989">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w:t>
            </w:r>
          </w:p>
        </w:tc>
        <w:tc>
          <w:tcPr>
            <w:tcW w:w="1404" w:type="pct"/>
          </w:tcPr>
          <w:p w14:paraId="140832FF">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46D43B0">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396D9DE">
            <w:pPr>
              <w:widowControl w:val="0"/>
              <w:adjustRightInd/>
              <w:snapToGrid/>
              <w:spacing w:line="360" w:lineRule="exact"/>
              <w:jc w:val="center"/>
              <w:outlineLvl w:val="9"/>
              <w:rPr>
                <w:rFonts w:ascii="宋体" w:hAnsi="宋体" w:cs="宋体"/>
                <w:color w:val="auto"/>
                <w:sz w:val="22"/>
                <w:highlight w:val="none"/>
              </w:rPr>
            </w:pPr>
          </w:p>
        </w:tc>
      </w:tr>
      <w:tr w14:paraId="5481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44C26E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2</w:t>
            </w:r>
          </w:p>
        </w:tc>
        <w:tc>
          <w:tcPr>
            <w:tcW w:w="1404" w:type="pct"/>
          </w:tcPr>
          <w:p w14:paraId="0313AFA6">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A4018D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74488D6">
            <w:pPr>
              <w:widowControl w:val="0"/>
              <w:adjustRightInd/>
              <w:snapToGrid/>
              <w:spacing w:line="360" w:lineRule="exact"/>
              <w:jc w:val="center"/>
              <w:outlineLvl w:val="9"/>
              <w:rPr>
                <w:rFonts w:ascii="宋体" w:hAnsi="宋体" w:cs="宋体"/>
                <w:color w:val="auto"/>
                <w:sz w:val="22"/>
                <w:highlight w:val="none"/>
              </w:rPr>
            </w:pPr>
          </w:p>
        </w:tc>
      </w:tr>
      <w:tr w14:paraId="1D75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22CAABE">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3</w:t>
            </w:r>
          </w:p>
        </w:tc>
        <w:tc>
          <w:tcPr>
            <w:tcW w:w="1404" w:type="pct"/>
          </w:tcPr>
          <w:p w14:paraId="25756C39">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32CFA2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6E68097">
            <w:pPr>
              <w:widowControl w:val="0"/>
              <w:adjustRightInd/>
              <w:snapToGrid/>
              <w:spacing w:line="360" w:lineRule="exact"/>
              <w:jc w:val="center"/>
              <w:outlineLvl w:val="9"/>
              <w:rPr>
                <w:rFonts w:ascii="宋体" w:hAnsi="宋体" w:cs="宋体"/>
                <w:color w:val="auto"/>
                <w:sz w:val="22"/>
                <w:highlight w:val="none"/>
              </w:rPr>
            </w:pPr>
          </w:p>
        </w:tc>
      </w:tr>
      <w:tr w14:paraId="61A1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B9CD4F4">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4</w:t>
            </w:r>
          </w:p>
        </w:tc>
        <w:tc>
          <w:tcPr>
            <w:tcW w:w="1404" w:type="pct"/>
          </w:tcPr>
          <w:p w14:paraId="4463DE12">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17F598C">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C25F077">
            <w:pPr>
              <w:widowControl w:val="0"/>
              <w:adjustRightInd/>
              <w:snapToGrid/>
              <w:spacing w:line="360" w:lineRule="exact"/>
              <w:jc w:val="center"/>
              <w:outlineLvl w:val="9"/>
              <w:rPr>
                <w:rFonts w:ascii="宋体" w:hAnsi="宋体" w:cs="宋体"/>
                <w:color w:val="auto"/>
                <w:sz w:val="22"/>
                <w:highlight w:val="none"/>
              </w:rPr>
            </w:pPr>
          </w:p>
        </w:tc>
      </w:tr>
      <w:tr w14:paraId="321A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731318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5</w:t>
            </w:r>
          </w:p>
        </w:tc>
        <w:tc>
          <w:tcPr>
            <w:tcW w:w="1404" w:type="pct"/>
          </w:tcPr>
          <w:p w14:paraId="67AC1B34">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F64AC37">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C770CD9">
            <w:pPr>
              <w:widowControl w:val="0"/>
              <w:adjustRightInd/>
              <w:snapToGrid/>
              <w:spacing w:line="360" w:lineRule="exact"/>
              <w:jc w:val="center"/>
              <w:outlineLvl w:val="9"/>
              <w:rPr>
                <w:rFonts w:ascii="宋体" w:hAnsi="宋体" w:cs="宋体"/>
                <w:color w:val="auto"/>
                <w:sz w:val="22"/>
                <w:highlight w:val="none"/>
              </w:rPr>
            </w:pPr>
          </w:p>
        </w:tc>
      </w:tr>
      <w:tr w14:paraId="1F99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7DA821C8">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6</w:t>
            </w:r>
          </w:p>
        </w:tc>
        <w:tc>
          <w:tcPr>
            <w:tcW w:w="1404" w:type="pct"/>
          </w:tcPr>
          <w:p w14:paraId="5594BA39">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770914CA">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9883EF2">
            <w:pPr>
              <w:widowControl w:val="0"/>
              <w:adjustRightInd/>
              <w:snapToGrid/>
              <w:spacing w:line="360" w:lineRule="exact"/>
              <w:jc w:val="center"/>
              <w:outlineLvl w:val="9"/>
              <w:rPr>
                <w:rFonts w:ascii="宋体" w:hAnsi="宋体" w:cs="宋体"/>
                <w:color w:val="auto"/>
                <w:sz w:val="22"/>
                <w:highlight w:val="none"/>
              </w:rPr>
            </w:pPr>
          </w:p>
        </w:tc>
      </w:tr>
      <w:tr w14:paraId="646F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3B34A28">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7</w:t>
            </w:r>
          </w:p>
        </w:tc>
        <w:tc>
          <w:tcPr>
            <w:tcW w:w="1404" w:type="pct"/>
          </w:tcPr>
          <w:p w14:paraId="5B72BC3B">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6CE08341">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602E16D">
            <w:pPr>
              <w:widowControl w:val="0"/>
              <w:adjustRightInd/>
              <w:snapToGrid/>
              <w:spacing w:line="360" w:lineRule="exact"/>
              <w:jc w:val="center"/>
              <w:outlineLvl w:val="9"/>
              <w:rPr>
                <w:rFonts w:ascii="宋体" w:hAnsi="宋体" w:cs="宋体"/>
                <w:color w:val="auto"/>
                <w:sz w:val="22"/>
                <w:highlight w:val="none"/>
              </w:rPr>
            </w:pPr>
          </w:p>
        </w:tc>
      </w:tr>
      <w:tr w14:paraId="1E81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6EAA8E85">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8</w:t>
            </w:r>
          </w:p>
        </w:tc>
        <w:tc>
          <w:tcPr>
            <w:tcW w:w="1404" w:type="pct"/>
          </w:tcPr>
          <w:p w14:paraId="7895EA1A">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9F956B3">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C15517A">
            <w:pPr>
              <w:widowControl w:val="0"/>
              <w:adjustRightInd/>
              <w:snapToGrid/>
              <w:spacing w:line="360" w:lineRule="exact"/>
              <w:jc w:val="center"/>
              <w:outlineLvl w:val="9"/>
              <w:rPr>
                <w:rFonts w:ascii="宋体" w:hAnsi="宋体" w:cs="宋体"/>
                <w:color w:val="auto"/>
                <w:sz w:val="22"/>
                <w:highlight w:val="none"/>
              </w:rPr>
            </w:pPr>
          </w:p>
        </w:tc>
      </w:tr>
      <w:tr w14:paraId="1ECA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8767FBE">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9</w:t>
            </w:r>
          </w:p>
        </w:tc>
        <w:tc>
          <w:tcPr>
            <w:tcW w:w="1404" w:type="pct"/>
          </w:tcPr>
          <w:p w14:paraId="773EE19B">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2D8EDD7">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32E9871B">
            <w:pPr>
              <w:widowControl w:val="0"/>
              <w:adjustRightInd/>
              <w:snapToGrid/>
              <w:spacing w:line="360" w:lineRule="exact"/>
              <w:jc w:val="center"/>
              <w:outlineLvl w:val="9"/>
              <w:rPr>
                <w:rFonts w:ascii="宋体" w:hAnsi="宋体" w:cs="宋体"/>
                <w:color w:val="auto"/>
                <w:sz w:val="22"/>
                <w:highlight w:val="none"/>
              </w:rPr>
            </w:pPr>
          </w:p>
        </w:tc>
      </w:tr>
      <w:tr w14:paraId="2C0D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5BA84E6C">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10</w:t>
            </w:r>
          </w:p>
        </w:tc>
        <w:tc>
          <w:tcPr>
            <w:tcW w:w="1404" w:type="pct"/>
          </w:tcPr>
          <w:p w14:paraId="5055348F">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708DE4A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4BE6E3CE">
            <w:pPr>
              <w:widowControl w:val="0"/>
              <w:adjustRightInd/>
              <w:snapToGrid/>
              <w:spacing w:line="360" w:lineRule="exact"/>
              <w:jc w:val="center"/>
              <w:outlineLvl w:val="9"/>
              <w:rPr>
                <w:rFonts w:ascii="宋体" w:hAnsi="宋体" w:cs="宋体"/>
                <w:color w:val="auto"/>
                <w:sz w:val="22"/>
                <w:highlight w:val="none"/>
              </w:rPr>
            </w:pPr>
          </w:p>
        </w:tc>
      </w:tr>
      <w:tr w14:paraId="4C0A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29A972A">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11</w:t>
            </w:r>
          </w:p>
        </w:tc>
        <w:tc>
          <w:tcPr>
            <w:tcW w:w="1404" w:type="pct"/>
          </w:tcPr>
          <w:p w14:paraId="3C758A4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5C0A5BE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21C411C">
            <w:pPr>
              <w:widowControl w:val="0"/>
              <w:adjustRightInd/>
              <w:snapToGrid/>
              <w:spacing w:line="360" w:lineRule="exact"/>
              <w:jc w:val="center"/>
              <w:outlineLvl w:val="9"/>
              <w:rPr>
                <w:rFonts w:ascii="宋体" w:hAnsi="宋体" w:cs="宋体"/>
                <w:color w:val="auto"/>
                <w:sz w:val="22"/>
                <w:highlight w:val="none"/>
              </w:rPr>
            </w:pPr>
          </w:p>
        </w:tc>
      </w:tr>
      <w:tr w14:paraId="234C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020CF1D3">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12</w:t>
            </w:r>
          </w:p>
        </w:tc>
        <w:tc>
          <w:tcPr>
            <w:tcW w:w="1404" w:type="pct"/>
          </w:tcPr>
          <w:p w14:paraId="77A9D10A">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386AB7CA">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0713D725">
            <w:pPr>
              <w:widowControl w:val="0"/>
              <w:adjustRightInd/>
              <w:snapToGrid/>
              <w:spacing w:line="360" w:lineRule="exact"/>
              <w:jc w:val="center"/>
              <w:outlineLvl w:val="9"/>
              <w:rPr>
                <w:rFonts w:ascii="宋体" w:hAnsi="宋体" w:cs="宋体"/>
                <w:color w:val="auto"/>
                <w:sz w:val="22"/>
                <w:highlight w:val="none"/>
              </w:rPr>
            </w:pPr>
          </w:p>
        </w:tc>
      </w:tr>
      <w:tr w14:paraId="4506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EC99D50">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13</w:t>
            </w:r>
          </w:p>
        </w:tc>
        <w:tc>
          <w:tcPr>
            <w:tcW w:w="1404" w:type="pct"/>
          </w:tcPr>
          <w:p w14:paraId="3B645A90">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10C018F">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48ACDC15">
            <w:pPr>
              <w:widowControl w:val="0"/>
              <w:adjustRightInd/>
              <w:snapToGrid/>
              <w:spacing w:line="360" w:lineRule="exact"/>
              <w:jc w:val="center"/>
              <w:outlineLvl w:val="9"/>
              <w:rPr>
                <w:rFonts w:ascii="宋体" w:hAnsi="宋体" w:cs="宋体"/>
                <w:color w:val="auto"/>
                <w:sz w:val="22"/>
                <w:highlight w:val="none"/>
              </w:rPr>
            </w:pPr>
          </w:p>
        </w:tc>
      </w:tr>
      <w:tr w14:paraId="0D66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38C8EF2">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14</w:t>
            </w:r>
          </w:p>
        </w:tc>
        <w:tc>
          <w:tcPr>
            <w:tcW w:w="1404" w:type="pct"/>
          </w:tcPr>
          <w:p w14:paraId="0D13B116">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9D369D6">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E054D82">
            <w:pPr>
              <w:widowControl w:val="0"/>
              <w:adjustRightInd/>
              <w:snapToGrid/>
              <w:spacing w:line="360" w:lineRule="exact"/>
              <w:jc w:val="center"/>
              <w:outlineLvl w:val="9"/>
              <w:rPr>
                <w:rFonts w:ascii="宋体" w:hAnsi="宋体" w:cs="宋体"/>
                <w:color w:val="auto"/>
                <w:sz w:val="22"/>
                <w:highlight w:val="none"/>
              </w:rPr>
            </w:pPr>
          </w:p>
        </w:tc>
      </w:tr>
      <w:tr w14:paraId="47BB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C8B419B">
            <w:pPr>
              <w:widowControl w:val="0"/>
              <w:adjustRightInd/>
              <w:snapToGrid/>
              <w:spacing w:line="360" w:lineRule="exact"/>
              <w:jc w:val="center"/>
              <w:outlineLvl w:val="9"/>
              <w:rPr>
                <w:rFonts w:ascii="宋体" w:hAnsi="宋体" w:cs="宋体"/>
                <w:color w:val="auto"/>
                <w:sz w:val="22"/>
                <w:highlight w:val="none"/>
              </w:rPr>
            </w:pPr>
            <w:r>
              <w:rPr>
                <w:rFonts w:hint="eastAsia" w:ascii="宋体" w:hAnsi="宋体" w:cs="宋体"/>
                <w:color w:val="auto"/>
                <w:sz w:val="22"/>
                <w:highlight w:val="none"/>
              </w:rPr>
              <w:t>15</w:t>
            </w:r>
          </w:p>
        </w:tc>
        <w:tc>
          <w:tcPr>
            <w:tcW w:w="1404" w:type="pct"/>
          </w:tcPr>
          <w:p w14:paraId="5CFC11FC">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A2D368E">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4897FCEA">
            <w:pPr>
              <w:widowControl w:val="0"/>
              <w:adjustRightInd/>
              <w:snapToGrid/>
              <w:spacing w:line="360" w:lineRule="exact"/>
              <w:jc w:val="center"/>
              <w:outlineLvl w:val="9"/>
              <w:rPr>
                <w:rFonts w:ascii="宋体" w:hAnsi="宋体" w:cs="宋体"/>
                <w:color w:val="auto"/>
                <w:sz w:val="22"/>
                <w:highlight w:val="none"/>
              </w:rPr>
            </w:pPr>
          </w:p>
        </w:tc>
      </w:tr>
      <w:tr w14:paraId="234C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1DCE31AD">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16</w:t>
            </w:r>
          </w:p>
        </w:tc>
        <w:tc>
          <w:tcPr>
            <w:tcW w:w="1404" w:type="pct"/>
          </w:tcPr>
          <w:p w14:paraId="12096665">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4F898F90">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10A4F037">
            <w:pPr>
              <w:widowControl w:val="0"/>
              <w:adjustRightInd/>
              <w:snapToGrid/>
              <w:spacing w:line="360" w:lineRule="exact"/>
              <w:jc w:val="center"/>
              <w:outlineLvl w:val="9"/>
              <w:rPr>
                <w:rFonts w:ascii="宋体" w:hAnsi="宋体" w:cs="宋体"/>
                <w:color w:val="auto"/>
                <w:sz w:val="22"/>
                <w:highlight w:val="none"/>
              </w:rPr>
            </w:pPr>
          </w:p>
        </w:tc>
      </w:tr>
      <w:tr w14:paraId="0258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5AB2BA2">
            <w:pPr>
              <w:widowControl w:val="0"/>
              <w:adjustRightInd/>
              <w:snapToGrid/>
              <w:spacing w:line="360" w:lineRule="exact"/>
              <w:jc w:val="center"/>
              <w:outlineLvl w:val="9"/>
              <w:rPr>
                <w:rFonts w:hint="default" w:ascii="宋体" w:hAnsi="宋体" w:eastAsia="宋体" w:cs="宋体"/>
                <w:color w:val="auto"/>
                <w:sz w:val="22"/>
                <w:highlight w:val="none"/>
                <w:lang w:val="en-US" w:eastAsia="zh-CN"/>
              </w:rPr>
            </w:pPr>
            <w:r>
              <w:rPr>
                <w:rFonts w:hint="eastAsia" w:ascii="宋体" w:hAnsi="宋体" w:cs="宋体"/>
                <w:color w:val="auto"/>
                <w:sz w:val="22"/>
                <w:highlight w:val="none"/>
                <w:lang w:val="en-US" w:eastAsia="zh-CN"/>
              </w:rPr>
              <w:t>17</w:t>
            </w:r>
          </w:p>
        </w:tc>
        <w:tc>
          <w:tcPr>
            <w:tcW w:w="1404" w:type="pct"/>
          </w:tcPr>
          <w:p w14:paraId="5D4D5ED4">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668AFF8">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671F2B2F">
            <w:pPr>
              <w:widowControl w:val="0"/>
              <w:adjustRightInd/>
              <w:snapToGrid/>
              <w:spacing w:line="360" w:lineRule="exact"/>
              <w:jc w:val="center"/>
              <w:outlineLvl w:val="9"/>
              <w:rPr>
                <w:rFonts w:ascii="宋体" w:hAnsi="宋体" w:cs="宋体"/>
                <w:color w:val="auto"/>
                <w:sz w:val="22"/>
                <w:highlight w:val="none"/>
              </w:rPr>
            </w:pPr>
          </w:p>
        </w:tc>
      </w:tr>
      <w:tr w14:paraId="168E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296AE073">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18</w:t>
            </w:r>
          </w:p>
        </w:tc>
        <w:tc>
          <w:tcPr>
            <w:tcW w:w="1404" w:type="pct"/>
          </w:tcPr>
          <w:p w14:paraId="7B1CD8C2">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2D60705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B043D9B">
            <w:pPr>
              <w:widowControl w:val="0"/>
              <w:adjustRightInd/>
              <w:snapToGrid/>
              <w:spacing w:line="360" w:lineRule="exact"/>
              <w:jc w:val="center"/>
              <w:outlineLvl w:val="9"/>
              <w:rPr>
                <w:rFonts w:ascii="宋体" w:hAnsi="宋体" w:cs="宋体"/>
                <w:color w:val="auto"/>
                <w:sz w:val="22"/>
                <w:highlight w:val="none"/>
              </w:rPr>
            </w:pPr>
          </w:p>
        </w:tc>
      </w:tr>
      <w:tr w14:paraId="7F78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3A211DEB">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19</w:t>
            </w:r>
          </w:p>
        </w:tc>
        <w:tc>
          <w:tcPr>
            <w:tcW w:w="1404" w:type="pct"/>
          </w:tcPr>
          <w:p w14:paraId="76BE1C57">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0A5EAEA">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7786B665">
            <w:pPr>
              <w:widowControl w:val="0"/>
              <w:adjustRightInd/>
              <w:snapToGrid/>
              <w:spacing w:line="360" w:lineRule="exact"/>
              <w:jc w:val="center"/>
              <w:outlineLvl w:val="9"/>
              <w:rPr>
                <w:rFonts w:ascii="宋体" w:hAnsi="宋体" w:cs="宋体"/>
                <w:color w:val="auto"/>
                <w:sz w:val="22"/>
                <w:highlight w:val="none"/>
              </w:rPr>
            </w:pPr>
          </w:p>
        </w:tc>
      </w:tr>
      <w:tr w14:paraId="4594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pct"/>
          </w:tcPr>
          <w:p w14:paraId="4ACE3622">
            <w:pPr>
              <w:widowControl w:val="0"/>
              <w:adjustRightInd/>
              <w:snapToGrid/>
              <w:spacing w:line="360" w:lineRule="exact"/>
              <w:jc w:val="center"/>
              <w:outlineLvl w:val="9"/>
              <w:rPr>
                <w:rFonts w:hint="default" w:ascii="宋体" w:hAnsi="宋体" w:cs="宋体"/>
                <w:color w:val="auto"/>
                <w:sz w:val="22"/>
                <w:highlight w:val="none"/>
                <w:lang w:val="en-US" w:eastAsia="zh-CN"/>
              </w:rPr>
            </w:pPr>
            <w:r>
              <w:rPr>
                <w:rFonts w:hint="eastAsia" w:ascii="宋体" w:hAnsi="宋体" w:cs="宋体"/>
                <w:color w:val="auto"/>
                <w:sz w:val="22"/>
                <w:highlight w:val="none"/>
                <w:lang w:val="en-US" w:eastAsia="zh-CN"/>
              </w:rPr>
              <w:t>20</w:t>
            </w:r>
          </w:p>
        </w:tc>
        <w:tc>
          <w:tcPr>
            <w:tcW w:w="1404" w:type="pct"/>
          </w:tcPr>
          <w:p w14:paraId="267BC17D">
            <w:pPr>
              <w:widowControl w:val="0"/>
              <w:adjustRightInd/>
              <w:snapToGrid/>
              <w:spacing w:line="360" w:lineRule="exact"/>
              <w:jc w:val="center"/>
              <w:outlineLvl w:val="9"/>
              <w:rPr>
                <w:rFonts w:ascii="宋体" w:hAnsi="宋体" w:cs="宋体"/>
                <w:color w:val="auto"/>
                <w:sz w:val="22"/>
                <w:highlight w:val="none"/>
              </w:rPr>
            </w:pPr>
          </w:p>
        </w:tc>
        <w:tc>
          <w:tcPr>
            <w:tcW w:w="1545" w:type="pct"/>
          </w:tcPr>
          <w:p w14:paraId="02B7F3DD">
            <w:pPr>
              <w:widowControl w:val="0"/>
              <w:adjustRightInd/>
              <w:snapToGrid/>
              <w:spacing w:line="360" w:lineRule="exact"/>
              <w:jc w:val="center"/>
              <w:outlineLvl w:val="9"/>
              <w:rPr>
                <w:rFonts w:ascii="宋体" w:hAnsi="宋体" w:cs="宋体"/>
                <w:color w:val="auto"/>
                <w:sz w:val="22"/>
                <w:highlight w:val="none"/>
              </w:rPr>
            </w:pPr>
          </w:p>
        </w:tc>
        <w:tc>
          <w:tcPr>
            <w:tcW w:w="1481" w:type="pct"/>
          </w:tcPr>
          <w:p w14:paraId="20348530">
            <w:pPr>
              <w:widowControl w:val="0"/>
              <w:adjustRightInd/>
              <w:snapToGrid/>
              <w:spacing w:line="360" w:lineRule="exact"/>
              <w:jc w:val="center"/>
              <w:outlineLvl w:val="9"/>
              <w:rPr>
                <w:rFonts w:ascii="宋体" w:hAnsi="宋体" w:cs="宋体"/>
                <w:color w:val="auto"/>
                <w:sz w:val="22"/>
                <w:highlight w:val="none"/>
              </w:rPr>
            </w:pPr>
          </w:p>
        </w:tc>
      </w:tr>
    </w:tbl>
    <w:p w14:paraId="6A3FECD5">
      <w:pPr>
        <w:keepNext w:val="0"/>
        <w:keepLines w:val="0"/>
        <w:pageBreakBefore w:val="0"/>
        <w:widowControl w:val="0"/>
        <w:kinsoku/>
        <w:wordWrap/>
        <w:overflowPunct/>
        <w:topLinePunct w:val="0"/>
        <w:autoSpaceDE/>
        <w:autoSpaceDN/>
        <w:bidi w:val="0"/>
        <w:adjustRightInd/>
        <w:snapToGrid/>
        <w:spacing w:line="5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备注：</w:t>
      </w:r>
    </w:p>
    <w:p w14:paraId="7D96DA42">
      <w:pPr>
        <w:keepNext w:val="0"/>
        <w:keepLines w:val="0"/>
        <w:pageBreakBefore w:val="0"/>
        <w:widowControl w:val="0"/>
        <w:kinsoku/>
        <w:wordWrap/>
        <w:overflowPunct/>
        <w:topLinePunct w:val="0"/>
        <w:autoSpaceDE/>
        <w:autoSpaceDN/>
        <w:bidi w:val="0"/>
        <w:adjustRightInd/>
        <w:snapToGrid/>
        <w:spacing w:line="5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rPr>
        <w:t>1、投标人须</w:t>
      </w:r>
      <w:r>
        <w:rPr>
          <w:rFonts w:hint="eastAsia" w:ascii="宋体" w:hAnsi="宋体" w:cs="宋体"/>
          <w:color w:val="auto"/>
          <w:sz w:val="22"/>
          <w:highlight w:val="none"/>
          <w:lang w:val="en-US" w:eastAsia="zh-CN"/>
        </w:rPr>
        <w:t>根据《运输车辆名册》车辆数量配备驾驶员、押运员，及调度、后勤、管理等人员</w:t>
      </w:r>
      <w:r>
        <w:rPr>
          <w:rFonts w:hint="eastAsia" w:ascii="宋体" w:hAnsi="宋体" w:cs="宋体"/>
          <w:color w:val="auto"/>
          <w:sz w:val="22"/>
          <w:highlight w:val="none"/>
        </w:rPr>
        <w:t>。如驾驶员和押运员非投标人自有员工的，需提供投标人与承租人的租赁合同或合作协议</w:t>
      </w:r>
      <w:r>
        <w:rPr>
          <w:rFonts w:hint="eastAsia" w:ascii="宋体" w:hAnsi="宋体" w:cs="宋体"/>
          <w:color w:val="auto"/>
          <w:sz w:val="22"/>
          <w:highlight w:val="none"/>
          <w:lang w:eastAsia="zh-CN"/>
        </w:rPr>
        <w:t>，</w:t>
      </w:r>
      <w:r>
        <w:rPr>
          <w:rFonts w:hint="eastAsia" w:ascii="宋体" w:hAnsi="宋体" w:cs="宋体"/>
          <w:color w:val="auto"/>
          <w:sz w:val="22"/>
          <w:highlight w:val="none"/>
          <w:lang w:val="en-US" w:eastAsia="zh-CN"/>
        </w:rPr>
        <w:t>加盖公章</w:t>
      </w:r>
      <w:r>
        <w:rPr>
          <w:rFonts w:hint="eastAsia" w:ascii="宋体" w:hAnsi="宋体" w:cs="宋体"/>
          <w:color w:val="auto"/>
          <w:sz w:val="22"/>
          <w:highlight w:val="none"/>
        </w:rPr>
        <w:t>；具体人员名单为初步填写，后续如需更换，</w:t>
      </w:r>
      <w:r>
        <w:rPr>
          <w:rFonts w:hint="eastAsia" w:ascii="宋体" w:hAnsi="宋体" w:cs="宋体"/>
          <w:color w:val="auto"/>
          <w:sz w:val="22"/>
          <w:highlight w:val="none"/>
          <w:lang w:val="en-US" w:eastAsia="zh-CN"/>
        </w:rPr>
        <w:t>需</w:t>
      </w:r>
      <w:r>
        <w:rPr>
          <w:rFonts w:hint="eastAsia" w:ascii="宋体" w:hAnsi="宋体" w:cs="宋体"/>
          <w:color w:val="auto"/>
          <w:sz w:val="22"/>
          <w:highlight w:val="none"/>
        </w:rPr>
        <w:t>征得采购人</w:t>
      </w:r>
      <w:r>
        <w:rPr>
          <w:rFonts w:hint="eastAsia" w:ascii="宋体" w:hAnsi="宋体" w:cs="宋体"/>
          <w:color w:val="auto"/>
          <w:sz w:val="22"/>
          <w:highlight w:val="none"/>
          <w:lang w:val="en-US" w:eastAsia="zh-CN"/>
        </w:rPr>
        <w:t>书面</w:t>
      </w:r>
      <w:r>
        <w:rPr>
          <w:rFonts w:hint="eastAsia" w:ascii="宋体" w:hAnsi="宋体" w:cs="宋体"/>
          <w:color w:val="auto"/>
          <w:sz w:val="22"/>
          <w:highlight w:val="none"/>
        </w:rPr>
        <w:t>同意后方可更换。</w:t>
      </w:r>
    </w:p>
    <w:p w14:paraId="17C32788">
      <w:pPr>
        <w:keepNext w:val="0"/>
        <w:keepLines w:val="0"/>
        <w:pageBreakBefore w:val="0"/>
        <w:widowControl w:val="0"/>
        <w:kinsoku/>
        <w:wordWrap/>
        <w:overflowPunct/>
        <w:topLinePunct w:val="0"/>
        <w:autoSpaceDE/>
        <w:autoSpaceDN/>
        <w:bidi w:val="0"/>
        <w:adjustRightInd/>
        <w:snapToGrid/>
        <w:spacing w:line="560" w:lineRule="exact"/>
        <w:ind w:firstLine="440" w:firstLineChars="200"/>
        <w:jc w:val="both"/>
        <w:textAlignment w:val="auto"/>
        <w:rPr>
          <w:rFonts w:hint="eastAsia" w:ascii="宋体" w:hAnsi="宋体" w:cs="宋体"/>
          <w:color w:val="auto"/>
          <w:sz w:val="22"/>
          <w:highlight w:val="none"/>
        </w:rPr>
      </w:pPr>
      <w:r>
        <w:rPr>
          <w:rFonts w:hint="eastAsia" w:ascii="宋体" w:hAnsi="宋体" w:cs="宋体"/>
          <w:color w:val="auto"/>
          <w:sz w:val="22"/>
          <w:highlight w:val="none"/>
          <w:lang w:val="en-US" w:eastAsia="zh-CN"/>
        </w:rPr>
        <w:t>2</w:t>
      </w:r>
      <w:r>
        <w:rPr>
          <w:rFonts w:hint="eastAsia" w:ascii="宋体" w:hAnsi="宋体" w:cs="宋体"/>
          <w:color w:val="auto"/>
          <w:sz w:val="22"/>
          <w:highlight w:val="none"/>
        </w:rPr>
        <w:t>、资料要求：</w:t>
      </w:r>
    </w:p>
    <w:p w14:paraId="436E17F9">
      <w:pPr>
        <w:keepNext w:val="0"/>
        <w:keepLines w:val="0"/>
        <w:pageBreakBefore w:val="0"/>
        <w:widowControl w:val="0"/>
        <w:kinsoku/>
        <w:wordWrap/>
        <w:overflowPunct/>
        <w:topLinePunct w:val="0"/>
        <w:autoSpaceDE/>
        <w:autoSpaceDN/>
        <w:bidi w:val="0"/>
        <w:adjustRightInd/>
        <w:snapToGrid/>
        <w:spacing w:line="560" w:lineRule="exact"/>
        <w:ind w:firstLine="442" w:firstLineChars="200"/>
        <w:jc w:val="both"/>
        <w:textAlignment w:val="auto"/>
        <w:rPr>
          <w:rFonts w:hint="eastAsia" w:ascii="宋体" w:hAnsi="宋体" w:cs="宋体"/>
          <w:color w:val="auto"/>
          <w:sz w:val="22"/>
          <w:highlight w:val="none"/>
        </w:rPr>
      </w:pPr>
      <w:r>
        <w:rPr>
          <w:rFonts w:hint="eastAsia" w:ascii="宋体" w:hAnsi="宋体" w:cs="宋体"/>
          <w:b/>
          <w:bCs/>
          <w:color w:val="auto"/>
          <w:sz w:val="22"/>
          <w:highlight w:val="none"/>
        </w:rPr>
        <w:t>【投标时提供】</w:t>
      </w:r>
      <w:r>
        <w:rPr>
          <w:rFonts w:hint="eastAsia" w:ascii="宋体" w:hAnsi="宋体" w:cs="宋体"/>
          <w:color w:val="auto"/>
          <w:sz w:val="22"/>
          <w:highlight w:val="none"/>
        </w:rPr>
        <w:t>驾驶员的《道路运输从业人员从业资格证》且从业资格类别包括“道路危险货物运输</w:t>
      </w:r>
      <w:r>
        <w:rPr>
          <w:rFonts w:hint="eastAsia" w:ascii="宋体" w:hAnsi="宋体" w:cs="宋体"/>
          <w:color w:val="auto"/>
          <w:sz w:val="22"/>
          <w:highlight w:val="none"/>
          <w:lang w:val="en-US" w:eastAsia="zh-CN"/>
        </w:rPr>
        <w:t>驾驶员</w:t>
      </w:r>
      <w:r>
        <w:rPr>
          <w:rFonts w:hint="eastAsia" w:ascii="宋体" w:hAnsi="宋体" w:cs="宋体"/>
          <w:color w:val="auto"/>
          <w:sz w:val="22"/>
          <w:highlight w:val="none"/>
        </w:rPr>
        <w:t>”及押运员的《道路运输从业人员从业资格证》且从业资格类别包括“道路危险货物运输押运人员”，加盖公章。</w:t>
      </w:r>
    </w:p>
    <w:p w14:paraId="75BF46D3">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color w:val="auto"/>
          <w:highlight w:val="none"/>
          <w:lang w:eastAsia="zh-CN"/>
        </w:rPr>
      </w:pPr>
      <w:r>
        <w:rPr>
          <w:rFonts w:hint="eastAsia" w:ascii="宋体" w:hAnsi="宋体" w:cs="宋体"/>
          <w:b/>
          <w:bCs/>
          <w:color w:val="auto"/>
          <w:sz w:val="22"/>
          <w:highlight w:val="none"/>
        </w:rPr>
        <w:t>【中标后</w:t>
      </w:r>
      <w:r>
        <w:rPr>
          <w:rFonts w:hint="eastAsia" w:ascii="宋体" w:hAnsi="宋体" w:cs="宋体"/>
          <w:b/>
          <w:bCs/>
          <w:color w:val="auto"/>
          <w:sz w:val="22"/>
          <w:highlight w:val="none"/>
          <w:lang w:val="en-US" w:eastAsia="zh-CN"/>
        </w:rPr>
        <w:t>向甲方备案</w:t>
      </w:r>
      <w:r>
        <w:rPr>
          <w:rFonts w:hint="eastAsia" w:ascii="宋体" w:hAnsi="宋体" w:cs="宋体"/>
          <w:b/>
          <w:bCs/>
          <w:color w:val="auto"/>
          <w:sz w:val="22"/>
          <w:highlight w:val="none"/>
        </w:rPr>
        <w:t>】</w:t>
      </w:r>
      <w:r>
        <w:rPr>
          <w:rFonts w:hint="eastAsia" w:ascii="宋体" w:hAnsi="宋体" w:cs="宋体"/>
          <w:color w:val="auto"/>
          <w:sz w:val="22"/>
          <w:highlight w:val="none"/>
        </w:rPr>
        <w:t>驾驶员的身份证、</w:t>
      </w:r>
      <w:r>
        <w:rPr>
          <w:rFonts w:hint="eastAsia" w:ascii="宋体" w:hAnsi="宋体" w:cs="宋体"/>
          <w:color w:val="auto"/>
          <w:sz w:val="22"/>
          <w:highlight w:val="none"/>
          <w:lang w:val="en-US" w:eastAsia="zh-CN"/>
        </w:rPr>
        <w:t>驾驶证、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和保险证明等；押运员的身份证、</w:t>
      </w:r>
      <w:r>
        <w:rPr>
          <w:rFonts w:hint="eastAsia" w:ascii="宋体" w:hAnsi="宋体" w:cs="宋体"/>
          <w:color w:val="auto"/>
          <w:sz w:val="22"/>
          <w:highlight w:val="none"/>
        </w:rPr>
        <w:t>《道路运输从业人员从业资格证》</w:t>
      </w:r>
      <w:r>
        <w:rPr>
          <w:rFonts w:hint="eastAsia" w:ascii="宋体" w:hAnsi="宋体" w:cs="宋体"/>
          <w:color w:val="auto"/>
          <w:sz w:val="22"/>
          <w:highlight w:val="none"/>
          <w:lang w:val="en-US" w:eastAsia="zh-CN"/>
        </w:rPr>
        <w:t>和保险证明等。</w:t>
      </w:r>
    </w:p>
    <w:p w14:paraId="3DC70841">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color w:val="auto"/>
          <w:highlight w:val="none"/>
          <w:lang w:eastAsia="zh-CN"/>
        </w:rPr>
      </w:pPr>
    </w:p>
    <w:p w14:paraId="68DD050B">
      <w:pPr>
        <w:pStyle w:val="44"/>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ascii="宋体" w:eastAsia="宋体" w:cs="宋体"/>
          <w:color w:val="auto"/>
          <w:sz w:val="22"/>
          <w:highlight w:val="none"/>
        </w:rPr>
      </w:pPr>
      <w:r>
        <w:rPr>
          <w:rFonts w:hint="eastAsia" w:ascii="宋体" w:eastAsia="宋体" w:cs="宋体"/>
          <w:color w:val="auto"/>
          <w:sz w:val="22"/>
          <w:highlight w:val="none"/>
        </w:rPr>
        <w:t>投标人名称（加盖公章）：</w:t>
      </w:r>
    </w:p>
    <w:p w14:paraId="4C733C27">
      <w:pPr>
        <w:pStyle w:val="44"/>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outlineLvl w:val="9"/>
        <w:rPr>
          <w:color w:val="auto"/>
          <w:highlight w:val="none"/>
        </w:rPr>
      </w:pPr>
      <w:r>
        <w:rPr>
          <w:rFonts w:hint="eastAsia" w:ascii="宋体" w:eastAsia="宋体" w:cs="宋体"/>
          <w:color w:val="auto"/>
          <w:sz w:val="22"/>
          <w:highlight w:val="none"/>
        </w:rPr>
        <w:t>日      期：</w:t>
      </w:r>
    </w:p>
    <w:p w14:paraId="4A225F85">
      <w:pPr>
        <w:rPr>
          <w:rFonts w:ascii="宋体" w:hAnsi="宋体"/>
          <w:color w:val="auto"/>
          <w:szCs w:val="21"/>
          <w:highlight w:val="none"/>
        </w:rPr>
      </w:pPr>
    </w:p>
    <w:p w14:paraId="33E01316">
      <w:pPr>
        <w:rPr>
          <w:rFonts w:ascii="宋体" w:hAnsi="宋体"/>
          <w:color w:val="auto"/>
          <w:szCs w:val="21"/>
          <w:highlight w:val="none"/>
        </w:rPr>
      </w:pPr>
    </w:p>
    <w:p w14:paraId="6553A04C">
      <w:pPr>
        <w:rPr>
          <w:rFonts w:ascii="宋体" w:hAnsi="宋体"/>
          <w:color w:val="auto"/>
          <w:szCs w:val="21"/>
          <w:highlight w:val="none"/>
        </w:rPr>
      </w:pPr>
    </w:p>
    <w:p w14:paraId="74B32058">
      <w:pPr>
        <w:rPr>
          <w:rFonts w:ascii="宋体" w:hAnsi="宋体"/>
          <w:color w:val="auto"/>
          <w:szCs w:val="21"/>
          <w:highlight w:val="none"/>
        </w:rPr>
      </w:pPr>
    </w:p>
    <w:p w14:paraId="770560BF">
      <w:pPr>
        <w:rPr>
          <w:color w:val="auto"/>
          <w:szCs w:val="21"/>
          <w:highlight w:val="none"/>
        </w:rPr>
      </w:pPr>
      <w:r>
        <w:rPr>
          <w:color w:val="auto"/>
          <w:szCs w:val="21"/>
          <w:highlight w:val="none"/>
        </w:rPr>
        <w:br w:type="page"/>
      </w:r>
    </w:p>
    <w:p w14:paraId="58FF492A">
      <w:pPr>
        <w:pStyle w:val="6"/>
        <w:bidi w:val="0"/>
        <w:rPr>
          <w:color w:val="auto"/>
          <w:highlight w:val="none"/>
        </w:rPr>
      </w:pPr>
      <w:bookmarkStart w:id="512" w:name="_Toc12308"/>
      <w:bookmarkStart w:id="513" w:name="_Toc28872"/>
      <w:bookmarkStart w:id="514" w:name="_Toc27822"/>
      <w:bookmarkStart w:id="515" w:name="_Toc5495"/>
      <w:bookmarkStart w:id="516" w:name="_Toc3025"/>
      <w:bookmarkStart w:id="517" w:name="_Toc20432"/>
      <w:bookmarkStart w:id="518" w:name="_Toc14847"/>
      <w:bookmarkStart w:id="519" w:name="_Toc7863"/>
      <w:r>
        <w:rPr>
          <w:rFonts w:hint="eastAsia"/>
          <w:color w:val="auto"/>
          <w:highlight w:val="none"/>
        </w:rPr>
        <w:t>附件</w:t>
      </w:r>
      <w:bookmarkEnd w:id="512"/>
      <w:bookmarkEnd w:id="513"/>
      <w:bookmarkEnd w:id="514"/>
      <w:bookmarkEnd w:id="515"/>
      <w:bookmarkEnd w:id="516"/>
      <w:bookmarkEnd w:id="517"/>
      <w:bookmarkEnd w:id="518"/>
      <w:r>
        <w:rPr>
          <w:rFonts w:hint="eastAsia"/>
          <w:color w:val="auto"/>
          <w:highlight w:val="none"/>
          <w:lang w:val="en-US" w:eastAsia="zh-CN"/>
        </w:rPr>
        <w:t xml:space="preserve">22  </w:t>
      </w:r>
      <w:r>
        <w:rPr>
          <w:rFonts w:hint="eastAsia"/>
          <w:color w:val="auto"/>
          <w:highlight w:val="none"/>
        </w:rPr>
        <w:t>应急处理方案</w:t>
      </w:r>
      <w:bookmarkEnd w:id="519"/>
    </w:p>
    <w:p w14:paraId="63D4C7C7">
      <w:pPr>
        <w:jc w:val="center"/>
        <w:rPr>
          <w:rFonts w:ascii="黑体" w:eastAsia="黑体"/>
          <w:color w:val="auto"/>
          <w:sz w:val="32"/>
          <w:szCs w:val="32"/>
          <w:highlight w:val="none"/>
        </w:rPr>
      </w:pPr>
    </w:p>
    <w:p w14:paraId="34195649">
      <w:pPr>
        <w:jc w:val="center"/>
        <w:rPr>
          <w:rFonts w:hint="eastAsia" w:ascii="黑体" w:eastAsia="黑体"/>
          <w:color w:val="auto"/>
          <w:sz w:val="32"/>
          <w:szCs w:val="32"/>
          <w:highlight w:val="none"/>
          <w:lang w:eastAsia="zh-CN"/>
        </w:rPr>
      </w:pPr>
      <w:r>
        <w:rPr>
          <w:rFonts w:hint="eastAsia" w:ascii="黑体" w:eastAsia="黑体"/>
          <w:color w:val="auto"/>
          <w:sz w:val="32"/>
          <w:szCs w:val="32"/>
          <w:highlight w:val="none"/>
        </w:rPr>
        <w:t>应急处理方案</w:t>
      </w:r>
      <w:r>
        <w:rPr>
          <w:rFonts w:hint="eastAsia" w:ascii="黑体" w:eastAsia="黑体"/>
          <w:color w:val="auto"/>
          <w:sz w:val="32"/>
          <w:szCs w:val="32"/>
          <w:highlight w:val="none"/>
          <w:lang w:eastAsia="zh-CN"/>
        </w:rPr>
        <w:t>（</w:t>
      </w:r>
      <w:r>
        <w:rPr>
          <w:rFonts w:hint="eastAsia" w:ascii="黑体" w:eastAsia="黑体"/>
          <w:color w:val="auto"/>
          <w:sz w:val="32"/>
          <w:szCs w:val="32"/>
          <w:highlight w:val="none"/>
          <w:lang w:val="en-US" w:eastAsia="zh-CN"/>
        </w:rPr>
        <w:t>自行编写</w:t>
      </w:r>
      <w:r>
        <w:rPr>
          <w:rFonts w:hint="eastAsia" w:ascii="黑体" w:eastAsia="黑体"/>
          <w:color w:val="auto"/>
          <w:sz w:val="32"/>
          <w:szCs w:val="32"/>
          <w:highlight w:val="none"/>
          <w:lang w:eastAsia="zh-CN"/>
        </w:rPr>
        <w:t>）</w:t>
      </w:r>
    </w:p>
    <w:p w14:paraId="6322F651">
      <w:pPr>
        <w:ind w:left="718" w:leftChars="200" w:hanging="298" w:hangingChars="142"/>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w:t>
      </w:r>
      <w:r>
        <w:rPr>
          <w:rFonts w:hint="eastAsia" w:ascii="宋体" w:hAnsi="宋体"/>
          <w:color w:val="auto"/>
          <w:szCs w:val="21"/>
          <w:highlight w:val="none"/>
          <w:lang w:val="en-US" w:eastAsia="zh-CN"/>
        </w:rPr>
        <w:t>根据投标人制定的应急处理方案进行总体评分，内容应包括但不限于废物泄漏、冒烟反应、着火、恶劣天气、交通事故、车辆故障和防疫等</w:t>
      </w:r>
    </w:p>
    <w:p w14:paraId="189BFEAB">
      <w:pPr>
        <w:ind w:left="718" w:leftChars="200" w:hanging="298" w:hangingChars="142"/>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p>
    <w:p w14:paraId="06F366E7">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自行编写。</w:t>
      </w:r>
    </w:p>
    <w:p w14:paraId="697ADEB8">
      <w:pPr>
        <w:rPr>
          <w:color w:val="auto"/>
          <w:highlight w:val="none"/>
        </w:rPr>
      </w:pPr>
      <w:r>
        <w:rPr>
          <w:color w:val="auto"/>
          <w:highlight w:val="none"/>
        </w:rPr>
        <w:br w:type="page"/>
      </w:r>
    </w:p>
    <w:p w14:paraId="3F937E36">
      <w:pPr>
        <w:pStyle w:val="10"/>
        <w:rPr>
          <w:color w:val="auto"/>
          <w:highlight w:val="none"/>
        </w:rPr>
      </w:pPr>
      <w:bookmarkStart w:id="520" w:name="_Toc1968"/>
    </w:p>
    <w:p w14:paraId="473FA161">
      <w:pPr>
        <w:jc w:val="center"/>
        <w:outlineLvl w:val="1"/>
        <w:rPr>
          <w:rFonts w:eastAsia="黑体"/>
          <w:color w:val="auto"/>
          <w:sz w:val="72"/>
          <w:szCs w:val="72"/>
          <w:highlight w:val="none"/>
        </w:rPr>
      </w:pPr>
      <w:bookmarkStart w:id="521" w:name="_Toc25683"/>
      <w:r>
        <w:rPr>
          <w:rFonts w:hint="eastAsia" w:eastAsia="黑体"/>
          <w:color w:val="auto"/>
          <w:sz w:val="72"/>
          <w:szCs w:val="72"/>
          <w:highlight w:val="none"/>
        </w:rPr>
        <w:t>唱标信封</w:t>
      </w:r>
      <w:bookmarkEnd w:id="521"/>
    </w:p>
    <w:p w14:paraId="395C6E9E">
      <w:pP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14:paraId="3CACF0C2">
      <w:pPr>
        <w:rPr>
          <w:color w:val="auto"/>
          <w:highlight w:val="none"/>
        </w:rPr>
      </w:pPr>
    </w:p>
    <w:p w14:paraId="64EA3535">
      <w:pPr>
        <w:pStyle w:val="10"/>
        <w:rPr>
          <w:color w:val="auto"/>
          <w:highlight w:val="none"/>
        </w:rPr>
      </w:pPr>
    </w:p>
    <w:p w14:paraId="42BBA952">
      <w:pPr>
        <w:pStyle w:val="27"/>
        <w:ind w:firstLine="240"/>
        <w:rPr>
          <w:color w:val="auto"/>
          <w:highlight w:val="none"/>
        </w:rPr>
      </w:pPr>
    </w:p>
    <w:p w14:paraId="04483B75">
      <w:pPr>
        <w:pStyle w:val="27"/>
        <w:ind w:firstLine="240"/>
        <w:rPr>
          <w:color w:val="auto"/>
          <w:highlight w:val="none"/>
        </w:rPr>
      </w:pPr>
    </w:p>
    <w:p w14:paraId="525537A3">
      <w:pP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14:paraId="453F98CC">
      <w:pP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14:paraId="2B768DBD">
      <w:pPr>
        <w:pStyle w:val="10"/>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14:paraId="7B159388">
      <w:pPr>
        <w:rPr>
          <w:rFonts w:ascii="宋体" w:hAnsi="宋体" w:cs="宋体"/>
          <w:b/>
          <w:color w:val="auto"/>
          <w:sz w:val="32"/>
          <w:szCs w:val="32"/>
          <w:highlight w:val="none"/>
        </w:rPr>
      </w:pPr>
      <w:r>
        <w:rPr>
          <w:rFonts w:hint="eastAsia" w:ascii="宋体" w:hAnsi="宋体" w:cs="宋体"/>
          <w:b/>
          <w:color w:val="auto"/>
          <w:sz w:val="32"/>
          <w:szCs w:val="32"/>
          <w:highlight w:val="none"/>
        </w:rPr>
        <w:t>投标人名称：</w:t>
      </w:r>
    </w:p>
    <w:p w14:paraId="5C69F522">
      <w:pP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14:paraId="0BFAC259">
      <w:pPr>
        <w:rPr>
          <w:rFonts w:ascii="宋体" w:hAnsi="宋体"/>
          <w:color w:val="auto"/>
          <w:szCs w:val="21"/>
          <w:highlight w:val="none"/>
        </w:rPr>
      </w:pPr>
      <w:r>
        <w:rPr>
          <w:rFonts w:hint="eastAsia" w:ascii="宋体" w:hAnsi="宋体"/>
          <w:color w:val="auto"/>
          <w:szCs w:val="21"/>
          <w:highlight w:val="none"/>
        </w:rPr>
        <w:br w:type="page"/>
      </w:r>
    </w:p>
    <w:p w14:paraId="4AC436D9">
      <w:pPr>
        <w:outlineLvl w:val="1"/>
        <w:rPr>
          <w:color w:val="auto"/>
          <w:sz w:val="72"/>
          <w:szCs w:val="72"/>
          <w:highlight w:val="none"/>
        </w:rPr>
        <w:sectPr>
          <w:headerReference r:id="rId12" w:type="first"/>
          <w:footerReference r:id="rId14" w:type="first"/>
          <w:headerReference r:id="rId11" w:type="default"/>
          <w:footerReference r:id="rId13" w:type="default"/>
          <w:pgSz w:w="11906" w:h="16838"/>
          <w:pgMar w:top="1440" w:right="1800" w:bottom="1440" w:left="1800" w:header="708" w:footer="708" w:gutter="0"/>
          <w:cols w:space="708" w:num="1"/>
          <w:titlePg/>
          <w:docGrid w:type="lines" w:linePitch="360" w:charSpace="0"/>
        </w:sectPr>
      </w:pPr>
    </w:p>
    <w:bookmarkEnd w:id="520"/>
    <w:p w14:paraId="61103638">
      <w:pPr>
        <w:pStyle w:val="6"/>
        <w:numPr>
          <w:ilvl w:val="255"/>
          <w:numId w:val="0"/>
        </w:numPr>
        <w:tabs>
          <w:tab w:val="left" w:pos="720"/>
          <w:tab w:val="left" w:pos="3840"/>
        </w:tabs>
        <w:ind w:left="283"/>
        <w:jc w:val="both"/>
        <w:rPr>
          <w:rFonts w:ascii="宋体" w:hAnsi="宋体"/>
          <w:color w:val="auto"/>
          <w:sz w:val="21"/>
          <w:szCs w:val="21"/>
          <w:highlight w:val="none"/>
        </w:rPr>
      </w:pPr>
      <w:bookmarkStart w:id="522" w:name="_Toc4180"/>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 xml:space="preserve">3  </w:t>
      </w:r>
      <w:r>
        <w:rPr>
          <w:rFonts w:hint="eastAsia" w:ascii="宋体" w:hAnsi="宋体"/>
          <w:color w:val="auto"/>
          <w:sz w:val="21"/>
          <w:szCs w:val="21"/>
          <w:highlight w:val="none"/>
        </w:rPr>
        <w:t>唱标信封内装（内容务必与投标文件正本一致）</w:t>
      </w:r>
      <w:bookmarkEnd w:id="522"/>
    </w:p>
    <w:p w14:paraId="46663CE8">
      <w:pPr>
        <w:numPr>
          <w:ilvl w:val="0"/>
          <w:numId w:val="12"/>
        </w:numPr>
        <w:ind w:firstLineChars="200"/>
        <w:rPr>
          <w:rFonts w:hAnsi="宋体"/>
          <w:color w:val="auto"/>
          <w:szCs w:val="21"/>
          <w:highlight w:val="none"/>
        </w:rPr>
      </w:pPr>
      <w:r>
        <w:rPr>
          <w:rFonts w:hint="eastAsia" w:hAnsi="宋体"/>
          <w:color w:val="auto"/>
          <w:szCs w:val="21"/>
          <w:highlight w:val="none"/>
        </w:rPr>
        <w:t>开标一览表加盖公章；</w:t>
      </w:r>
    </w:p>
    <w:p w14:paraId="5973FD81">
      <w:pPr>
        <w:numPr>
          <w:ilvl w:val="0"/>
          <w:numId w:val="12"/>
        </w:numPr>
        <w:ind w:firstLineChars="200"/>
        <w:rPr>
          <w:rFonts w:hAnsi="宋体"/>
          <w:color w:val="auto"/>
          <w:szCs w:val="21"/>
          <w:highlight w:val="none"/>
        </w:rPr>
      </w:pPr>
      <w:r>
        <w:rPr>
          <w:rFonts w:hint="eastAsia" w:hAnsi="宋体"/>
          <w:color w:val="auto"/>
          <w:szCs w:val="21"/>
          <w:highlight w:val="none"/>
        </w:rPr>
        <w:t>法定代表人证明书加盖公章；</w:t>
      </w:r>
    </w:p>
    <w:p w14:paraId="6E19E54A">
      <w:pPr>
        <w:numPr>
          <w:ilvl w:val="0"/>
          <w:numId w:val="12"/>
        </w:numP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14:paraId="77F89922">
      <w:pPr>
        <w:numPr>
          <w:ilvl w:val="0"/>
          <w:numId w:val="12"/>
        </w:numPr>
        <w:ind w:firstLineChars="200"/>
        <w:rPr>
          <w:rFonts w:hAnsi="宋体"/>
          <w:color w:val="auto"/>
          <w:szCs w:val="21"/>
          <w:highlight w:val="none"/>
        </w:rPr>
      </w:pPr>
      <w:r>
        <w:rPr>
          <w:rFonts w:hint="eastAsia" w:hAnsi="宋体"/>
          <w:color w:val="auto"/>
          <w:szCs w:val="21"/>
          <w:highlight w:val="none"/>
        </w:rPr>
        <w:t>投标保证金汇入情况说明（含银行汇款凭证）或投标保函加盖公章；</w:t>
      </w:r>
    </w:p>
    <w:p w14:paraId="69E6888F">
      <w:pPr>
        <w:numPr>
          <w:ilvl w:val="0"/>
          <w:numId w:val="12"/>
        </w:numPr>
        <w:ind w:firstLineChars="200"/>
        <w:rPr>
          <w:rFonts w:hAnsi="宋体"/>
          <w:color w:val="auto"/>
          <w:szCs w:val="21"/>
          <w:highlight w:val="none"/>
        </w:rPr>
      </w:pPr>
      <w:r>
        <w:rPr>
          <w:rFonts w:hint="eastAsia" w:hAnsi="宋体"/>
          <w:color w:val="auto"/>
          <w:szCs w:val="21"/>
          <w:highlight w:val="none"/>
        </w:rPr>
        <w:t>投标文件电子文件（U盘，须含盖章版PDF投标文件和WORD版投标文件各一版，文字采用WORD文档，计算表格采用 EXCEL文档。）</w:t>
      </w:r>
    </w:p>
    <w:p w14:paraId="2C42380F">
      <w:pPr>
        <w:rPr>
          <w:rFonts w:ascii="宋体" w:hAnsi="宋体" w:cs="宋体"/>
          <w:color w:val="auto"/>
          <w:szCs w:val="21"/>
          <w:highlight w:val="none"/>
        </w:rPr>
      </w:pPr>
    </w:p>
    <w:p w14:paraId="0D9B143D">
      <w:pPr>
        <w:pStyle w:val="10"/>
        <w:rPr>
          <w:color w:val="auto"/>
          <w:highlight w:val="none"/>
        </w:rPr>
      </w:pPr>
    </w:p>
    <w:sectPr>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方正书宋简体">
    <w:altName w:val="宋体"/>
    <w:panose1 w:val="00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方正小标宋简体">
    <w:altName w:val="黑体"/>
    <w:panose1 w:val="03000509000000000000"/>
    <w:charset w:val="86"/>
    <w:family w:val="script"/>
    <w:pitch w:val="default"/>
    <w:sig w:usb0="00000000" w:usb1="00000000" w:usb2="00000000" w:usb3="00000000" w:csb0="0004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B374B">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F952A">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02F952A">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F1934">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52E52">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B7AC78">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4B7AC78">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AFB97">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wps:spPr>
                    <wps:txbx>
                      <w:txbxContent>
                        <w:p w14:paraId="3A4EAEC0">
                          <w:pPr>
                            <w:pStyle w:val="17"/>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lIns="0" tIns="0" rIns="0" bIns="0" upright="1">
                      <a:spAutoFit/>
                    </wps:bodyPr>
                  </wps:wsp>
                </a:graphicData>
              </a:graphic>
            </wp:anchor>
          </w:drawing>
        </mc:Choice>
        <mc:Fallback>
          <w:pict>
            <v:shape id="文本框 1026" o:spid="_x0000_s1026" o:spt="202" type="#_x0000_t202" style="position:absolute;left:0pt;margin-top:0pt;height:144pt;width:85.7pt;mso-position-horizontal:center;mso-position-horizontal-relative:margin;z-index:251659264;mso-width-relative:page;mso-height-relative:page;" filled="f" stroked="f" coordsize="21600,21600" o:gfxdata="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xsfqk0wAAAAUBAAAPAAAAAAAAAAEAIAAAACIAAABkcnMvZG93bnJl&#10;di54bWxQSwECFAAUAAAACACHTuJARcufEMkBAACQAwAADgAAAAAAAAABACAAAAAiAQAAZHJzL2Uy&#10;b0RvYy54bWxQSwUGAAAAAAYABgBZAQAAXQUAAAAA&#10;">
              <v:fill on="f" focussize="0,0"/>
              <v:stroke on="f"/>
              <v:imagedata o:title=""/>
              <o:lock v:ext="edit" aspectratio="f"/>
              <v:textbox inset="0mm,0mm,0mm,0mm" style="mso-fit-shape-to-text:t;">
                <w:txbxContent>
                  <w:p w14:paraId="3A4EAEC0">
                    <w:pPr>
                      <w:pStyle w:val="17"/>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A58FC">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wps:spPr>
                    <wps:txbx>
                      <w:txbxContent>
                        <w:p w14:paraId="2BD6CDD4">
                          <w:pPr>
                            <w:pStyle w:val="17"/>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wps:txbx>
                    <wps:bodyPr lIns="0" tIns="0" rIns="0" bIns="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YIEizSAAAABQEAAA8AAAAAAAAAAQAgAAAAIgAAAGRycy9kb3ducmV2&#10;LnhtbFBLAQIUABQAAAAIAIdO4kB4R5WwyQEAAJADAAAOAAAAAAAAAAEAIAAAACEBAABkcnMvZTJv&#10;RG9jLnhtbFBLBQYAAAAABgAGAFkBAABcBQAAAAA=&#10;">
              <v:fill on="f" focussize="0,0"/>
              <v:stroke on="f"/>
              <v:imagedata o:title=""/>
              <o:lock v:ext="edit" aspectratio="f"/>
              <v:textbox inset="0mm,0mm,0mm,0mm" style="mso-fit-shape-to-text:t;">
                <w:txbxContent>
                  <w:p w14:paraId="2BD6CDD4">
                    <w:pPr>
                      <w:pStyle w:val="17"/>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185</w:t>
                    </w:r>
                    <w: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88D40">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EC1E9">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67AC4">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594FA">
    <w:pPr>
      <w:pStyle w:val="18"/>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407E8">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555E15"/>
    <w:multiLevelType w:val="singleLevel"/>
    <w:tmpl w:val="C9555E15"/>
    <w:lvl w:ilvl="0" w:tentative="0">
      <w:start w:val="1"/>
      <w:numFmt w:val="decimal"/>
      <w:lvlText w:val="(%1)"/>
      <w:lvlJc w:val="left"/>
      <w:pPr>
        <w:ind w:left="425" w:hanging="425"/>
      </w:pPr>
      <w:rPr>
        <w:rFonts w:hint="default"/>
      </w:rPr>
    </w:lvl>
  </w:abstractNum>
  <w:abstractNum w:abstractNumId="1">
    <w:nsid w:val="CFF174A5"/>
    <w:multiLevelType w:val="singleLevel"/>
    <w:tmpl w:val="CFF174A5"/>
    <w:lvl w:ilvl="0" w:tentative="0">
      <w:start w:val="1"/>
      <w:numFmt w:val="decimal"/>
      <w:suff w:val="nothing"/>
      <w:lvlText w:val="%1、"/>
      <w:lvlJc w:val="left"/>
    </w:lvl>
  </w:abstractNum>
  <w:abstractNum w:abstractNumId="2">
    <w:nsid w:val="E5F531A8"/>
    <w:multiLevelType w:val="singleLevel"/>
    <w:tmpl w:val="E5F531A8"/>
    <w:lvl w:ilvl="0" w:tentative="0">
      <w:start w:val="1"/>
      <w:numFmt w:val="decimal"/>
      <w:suff w:val="nothing"/>
      <w:lvlText w:val="%1、"/>
      <w:lvlJc w:val="left"/>
    </w:lvl>
  </w:abstractNum>
  <w:abstractNum w:abstractNumId="3">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3F88662E"/>
    <w:multiLevelType w:val="singleLevel"/>
    <w:tmpl w:val="3F88662E"/>
    <w:lvl w:ilvl="0" w:tentative="0">
      <w:start w:val="1"/>
      <w:numFmt w:val="decimal"/>
      <w:suff w:val="space"/>
      <w:lvlText w:val="%1)"/>
      <w:lvlJc w:val="left"/>
    </w:lvl>
  </w:abstractNum>
  <w:abstractNum w:abstractNumId="7">
    <w:nsid w:val="43C09802"/>
    <w:multiLevelType w:val="singleLevel"/>
    <w:tmpl w:val="43C09802"/>
    <w:lvl w:ilvl="0" w:tentative="0">
      <w:start w:val="1"/>
      <w:numFmt w:val="decimal"/>
      <w:suff w:val="nothing"/>
      <w:lvlText w:val="%1、"/>
      <w:lvlJc w:val="left"/>
    </w:lvl>
  </w:abstractNum>
  <w:abstractNum w:abstractNumId="8">
    <w:nsid w:val="45515F79"/>
    <w:multiLevelType w:val="singleLevel"/>
    <w:tmpl w:val="45515F79"/>
    <w:lvl w:ilvl="0" w:tentative="0">
      <w:start w:val="1"/>
      <w:numFmt w:val="decimal"/>
      <w:suff w:val="nothing"/>
      <w:lvlText w:val="%1、"/>
      <w:lvlJc w:val="left"/>
    </w:lvl>
  </w:abstractNum>
  <w:abstractNum w:abstractNumId="9">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1">
    <w:nsid w:val="5D1539A1"/>
    <w:multiLevelType w:val="multilevel"/>
    <w:tmpl w:val="5D1539A1"/>
    <w:lvl w:ilvl="0" w:tentative="0">
      <w:start w:val="1"/>
      <w:numFmt w:val="decimal"/>
      <w:lvlText w:val="（%1）"/>
      <w:lvlJc w:val="left"/>
      <w:pPr>
        <w:ind w:left="1287" w:hanging="7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8"/>
  </w:num>
  <w:num w:numId="3">
    <w:abstractNumId w:val="9"/>
  </w:num>
  <w:num w:numId="4">
    <w:abstractNumId w:val="5"/>
  </w:num>
  <w:num w:numId="5">
    <w:abstractNumId w:val="11"/>
  </w:num>
  <w:num w:numId="6">
    <w:abstractNumId w:val="6"/>
  </w:num>
  <w:num w:numId="7">
    <w:abstractNumId w:val="0"/>
  </w:num>
  <w:num w:numId="8">
    <w:abstractNumId w:val="4"/>
  </w:num>
  <w:num w:numId="9">
    <w:abstractNumId w:val="2"/>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2OWZjMzFhMTkyMDAyODA3ZTFjMTFjMjllMjRlNjUifQ=="/>
  </w:docVars>
  <w:rsids>
    <w:rsidRoot w:val="00172A27"/>
    <w:rsid w:val="00005A66"/>
    <w:rsid w:val="00006462"/>
    <w:rsid w:val="000300E4"/>
    <w:rsid w:val="0003307E"/>
    <w:rsid w:val="000336BA"/>
    <w:rsid w:val="000359A1"/>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21ADA"/>
    <w:rsid w:val="001242F3"/>
    <w:rsid w:val="001332BB"/>
    <w:rsid w:val="00134CAD"/>
    <w:rsid w:val="001368B7"/>
    <w:rsid w:val="0013730B"/>
    <w:rsid w:val="00137853"/>
    <w:rsid w:val="00137E1C"/>
    <w:rsid w:val="00147012"/>
    <w:rsid w:val="00172A27"/>
    <w:rsid w:val="00173126"/>
    <w:rsid w:val="00173905"/>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4B02"/>
    <w:rsid w:val="001F6BC7"/>
    <w:rsid w:val="002065A7"/>
    <w:rsid w:val="0021149E"/>
    <w:rsid w:val="00213021"/>
    <w:rsid w:val="00216BE9"/>
    <w:rsid w:val="00221E7A"/>
    <w:rsid w:val="0022503E"/>
    <w:rsid w:val="00225BB4"/>
    <w:rsid w:val="00226313"/>
    <w:rsid w:val="002373BB"/>
    <w:rsid w:val="00240F5F"/>
    <w:rsid w:val="00247224"/>
    <w:rsid w:val="00247AE0"/>
    <w:rsid w:val="00260AC1"/>
    <w:rsid w:val="0026312D"/>
    <w:rsid w:val="0027078E"/>
    <w:rsid w:val="0028395F"/>
    <w:rsid w:val="00284156"/>
    <w:rsid w:val="00285643"/>
    <w:rsid w:val="002867A1"/>
    <w:rsid w:val="002901F8"/>
    <w:rsid w:val="002920A4"/>
    <w:rsid w:val="002B4087"/>
    <w:rsid w:val="002B5F6C"/>
    <w:rsid w:val="002C6C78"/>
    <w:rsid w:val="002D1594"/>
    <w:rsid w:val="002D3F9C"/>
    <w:rsid w:val="002D503C"/>
    <w:rsid w:val="002D7E27"/>
    <w:rsid w:val="002E17E5"/>
    <w:rsid w:val="002E6B7E"/>
    <w:rsid w:val="002F0FC9"/>
    <w:rsid w:val="0030669E"/>
    <w:rsid w:val="003101A3"/>
    <w:rsid w:val="00320CEA"/>
    <w:rsid w:val="00323B43"/>
    <w:rsid w:val="00326831"/>
    <w:rsid w:val="003274CE"/>
    <w:rsid w:val="003361E9"/>
    <w:rsid w:val="003430F6"/>
    <w:rsid w:val="00353842"/>
    <w:rsid w:val="0035595E"/>
    <w:rsid w:val="00381C26"/>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60B31"/>
    <w:rsid w:val="00462105"/>
    <w:rsid w:val="00475A80"/>
    <w:rsid w:val="00475BB4"/>
    <w:rsid w:val="00490B9E"/>
    <w:rsid w:val="00497577"/>
    <w:rsid w:val="004A05D7"/>
    <w:rsid w:val="004A2B28"/>
    <w:rsid w:val="004A69F1"/>
    <w:rsid w:val="004B3550"/>
    <w:rsid w:val="004B3F06"/>
    <w:rsid w:val="004C7FD6"/>
    <w:rsid w:val="004D08C0"/>
    <w:rsid w:val="004D1669"/>
    <w:rsid w:val="004D1736"/>
    <w:rsid w:val="004D51A2"/>
    <w:rsid w:val="004D5AFB"/>
    <w:rsid w:val="004E04FD"/>
    <w:rsid w:val="004F1BB7"/>
    <w:rsid w:val="0050759C"/>
    <w:rsid w:val="00510827"/>
    <w:rsid w:val="005267F1"/>
    <w:rsid w:val="005269A9"/>
    <w:rsid w:val="00532034"/>
    <w:rsid w:val="00545D9A"/>
    <w:rsid w:val="00546A42"/>
    <w:rsid w:val="0055408D"/>
    <w:rsid w:val="0057492D"/>
    <w:rsid w:val="0058523E"/>
    <w:rsid w:val="00590819"/>
    <w:rsid w:val="00593D68"/>
    <w:rsid w:val="005A208B"/>
    <w:rsid w:val="005A555E"/>
    <w:rsid w:val="005A7612"/>
    <w:rsid w:val="005B58A6"/>
    <w:rsid w:val="005C57E1"/>
    <w:rsid w:val="005C702E"/>
    <w:rsid w:val="005D01B8"/>
    <w:rsid w:val="005D066B"/>
    <w:rsid w:val="005D2D85"/>
    <w:rsid w:val="005D52E7"/>
    <w:rsid w:val="005F021D"/>
    <w:rsid w:val="005F20A4"/>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76E3"/>
    <w:rsid w:val="00650DDC"/>
    <w:rsid w:val="00652983"/>
    <w:rsid w:val="0065365D"/>
    <w:rsid w:val="006546D0"/>
    <w:rsid w:val="006576FD"/>
    <w:rsid w:val="00664F6B"/>
    <w:rsid w:val="006731D2"/>
    <w:rsid w:val="00680EB0"/>
    <w:rsid w:val="00682986"/>
    <w:rsid w:val="00691701"/>
    <w:rsid w:val="00691AE0"/>
    <w:rsid w:val="0069491E"/>
    <w:rsid w:val="006B004E"/>
    <w:rsid w:val="006B3E6C"/>
    <w:rsid w:val="006B4832"/>
    <w:rsid w:val="006B7878"/>
    <w:rsid w:val="006C14BD"/>
    <w:rsid w:val="006C28E5"/>
    <w:rsid w:val="006C67A9"/>
    <w:rsid w:val="006D393E"/>
    <w:rsid w:val="006D43C5"/>
    <w:rsid w:val="006D4AD8"/>
    <w:rsid w:val="006E0B58"/>
    <w:rsid w:val="006E0C4B"/>
    <w:rsid w:val="00704F7B"/>
    <w:rsid w:val="007110BA"/>
    <w:rsid w:val="00711465"/>
    <w:rsid w:val="00716E96"/>
    <w:rsid w:val="00723B11"/>
    <w:rsid w:val="007343A7"/>
    <w:rsid w:val="00734BB2"/>
    <w:rsid w:val="00737823"/>
    <w:rsid w:val="0075028E"/>
    <w:rsid w:val="007528A6"/>
    <w:rsid w:val="007608B9"/>
    <w:rsid w:val="007724B4"/>
    <w:rsid w:val="0077462B"/>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2299"/>
    <w:rsid w:val="0083486A"/>
    <w:rsid w:val="00837E35"/>
    <w:rsid w:val="00841378"/>
    <w:rsid w:val="00842B87"/>
    <w:rsid w:val="00845BEB"/>
    <w:rsid w:val="008472E6"/>
    <w:rsid w:val="008518B4"/>
    <w:rsid w:val="00853463"/>
    <w:rsid w:val="008548BD"/>
    <w:rsid w:val="0086026F"/>
    <w:rsid w:val="008640F5"/>
    <w:rsid w:val="0087704E"/>
    <w:rsid w:val="008907DA"/>
    <w:rsid w:val="008A0587"/>
    <w:rsid w:val="008A7273"/>
    <w:rsid w:val="008B55B9"/>
    <w:rsid w:val="008B7726"/>
    <w:rsid w:val="008C05BA"/>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6B4A"/>
    <w:rsid w:val="009A7058"/>
    <w:rsid w:val="009C19DE"/>
    <w:rsid w:val="009C23A6"/>
    <w:rsid w:val="009C5206"/>
    <w:rsid w:val="009C6AD9"/>
    <w:rsid w:val="009E398C"/>
    <w:rsid w:val="009E6F05"/>
    <w:rsid w:val="009F644E"/>
    <w:rsid w:val="009F6A05"/>
    <w:rsid w:val="00A01BE2"/>
    <w:rsid w:val="00A10906"/>
    <w:rsid w:val="00A12E66"/>
    <w:rsid w:val="00A13E78"/>
    <w:rsid w:val="00A14EEF"/>
    <w:rsid w:val="00A23304"/>
    <w:rsid w:val="00A275C2"/>
    <w:rsid w:val="00A3295D"/>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D630F"/>
    <w:rsid w:val="00BD7C1B"/>
    <w:rsid w:val="00BE0825"/>
    <w:rsid w:val="00BE2EE6"/>
    <w:rsid w:val="00BF17FD"/>
    <w:rsid w:val="00BF2820"/>
    <w:rsid w:val="00BF41D4"/>
    <w:rsid w:val="00BF5AFB"/>
    <w:rsid w:val="00C16734"/>
    <w:rsid w:val="00C17B47"/>
    <w:rsid w:val="00C25C77"/>
    <w:rsid w:val="00C303E7"/>
    <w:rsid w:val="00C319C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D05388"/>
    <w:rsid w:val="00D114CD"/>
    <w:rsid w:val="00D14476"/>
    <w:rsid w:val="00D232FF"/>
    <w:rsid w:val="00D279AA"/>
    <w:rsid w:val="00D31215"/>
    <w:rsid w:val="00D34544"/>
    <w:rsid w:val="00D34841"/>
    <w:rsid w:val="00D4444E"/>
    <w:rsid w:val="00D44A97"/>
    <w:rsid w:val="00D45C0C"/>
    <w:rsid w:val="00D508A5"/>
    <w:rsid w:val="00D5104B"/>
    <w:rsid w:val="00D555D8"/>
    <w:rsid w:val="00D60778"/>
    <w:rsid w:val="00D63EB2"/>
    <w:rsid w:val="00D64D28"/>
    <w:rsid w:val="00D6604D"/>
    <w:rsid w:val="00D677F1"/>
    <w:rsid w:val="00D74601"/>
    <w:rsid w:val="00D83E46"/>
    <w:rsid w:val="00D847B6"/>
    <w:rsid w:val="00D93958"/>
    <w:rsid w:val="00D951D3"/>
    <w:rsid w:val="00DA1DB9"/>
    <w:rsid w:val="00DA6169"/>
    <w:rsid w:val="00DA7B28"/>
    <w:rsid w:val="00DB5480"/>
    <w:rsid w:val="00DB6317"/>
    <w:rsid w:val="00DC2FC5"/>
    <w:rsid w:val="00DC5AD9"/>
    <w:rsid w:val="00DC691F"/>
    <w:rsid w:val="00DD02DE"/>
    <w:rsid w:val="00DD07B7"/>
    <w:rsid w:val="00DD113C"/>
    <w:rsid w:val="00DD324C"/>
    <w:rsid w:val="00DE0BEB"/>
    <w:rsid w:val="00DE4856"/>
    <w:rsid w:val="00DF485B"/>
    <w:rsid w:val="00E0295D"/>
    <w:rsid w:val="00E042BC"/>
    <w:rsid w:val="00E132FE"/>
    <w:rsid w:val="00E21B77"/>
    <w:rsid w:val="00E23352"/>
    <w:rsid w:val="00E40CAD"/>
    <w:rsid w:val="00E40DC7"/>
    <w:rsid w:val="00E4215F"/>
    <w:rsid w:val="00E61D2E"/>
    <w:rsid w:val="00E62B7F"/>
    <w:rsid w:val="00E7066D"/>
    <w:rsid w:val="00E726BC"/>
    <w:rsid w:val="00E72821"/>
    <w:rsid w:val="00E75C82"/>
    <w:rsid w:val="00E81DDC"/>
    <w:rsid w:val="00E81F67"/>
    <w:rsid w:val="00E83650"/>
    <w:rsid w:val="00E83A31"/>
    <w:rsid w:val="00E93BF5"/>
    <w:rsid w:val="00E97CC0"/>
    <w:rsid w:val="00EA22B8"/>
    <w:rsid w:val="00EA2524"/>
    <w:rsid w:val="00EA33E7"/>
    <w:rsid w:val="00EC092D"/>
    <w:rsid w:val="00EC0DF8"/>
    <w:rsid w:val="00EC7F91"/>
    <w:rsid w:val="00ED378B"/>
    <w:rsid w:val="00EE08F9"/>
    <w:rsid w:val="00EE70B3"/>
    <w:rsid w:val="00EF24AA"/>
    <w:rsid w:val="00EF728A"/>
    <w:rsid w:val="00EF7D0D"/>
    <w:rsid w:val="00F00FF7"/>
    <w:rsid w:val="00F02093"/>
    <w:rsid w:val="00F068E3"/>
    <w:rsid w:val="00F10B5F"/>
    <w:rsid w:val="00F218C1"/>
    <w:rsid w:val="00F321EB"/>
    <w:rsid w:val="00F32B00"/>
    <w:rsid w:val="00F346CF"/>
    <w:rsid w:val="00F3610C"/>
    <w:rsid w:val="00F36839"/>
    <w:rsid w:val="00F52A5F"/>
    <w:rsid w:val="00F55954"/>
    <w:rsid w:val="00F57308"/>
    <w:rsid w:val="00F61962"/>
    <w:rsid w:val="00F62865"/>
    <w:rsid w:val="00F64022"/>
    <w:rsid w:val="00F64660"/>
    <w:rsid w:val="00F74FF3"/>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C51B0"/>
    <w:rsid w:val="01651C23"/>
    <w:rsid w:val="018023CE"/>
    <w:rsid w:val="01881AD6"/>
    <w:rsid w:val="019127B6"/>
    <w:rsid w:val="01B71A01"/>
    <w:rsid w:val="01DC03CE"/>
    <w:rsid w:val="01E36F4E"/>
    <w:rsid w:val="0208150E"/>
    <w:rsid w:val="02287D63"/>
    <w:rsid w:val="024179E7"/>
    <w:rsid w:val="0246437B"/>
    <w:rsid w:val="025F63E5"/>
    <w:rsid w:val="02985CD5"/>
    <w:rsid w:val="02A741FD"/>
    <w:rsid w:val="02C16E5D"/>
    <w:rsid w:val="02D964CF"/>
    <w:rsid w:val="02DE5ECF"/>
    <w:rsid w:val="03157D2F"/>
    <w:rsid w:val="032E6AB8"/>
    <w:rsid w:val="03707410"/>
    <w:rsid w:val="039170C0"/>
    <w:rsid w:val="039240A3"/>
    <w:rsid w:val="03A0770F"/>
    <w:rsid w:val="03A27726"/>
    <w:rsid w:val="03A448B8"/>
    <w:rsid w:val="03B34A78"/>
    <w:rsid w:val="03C01631"/>
    <w:rsid w:val="03C656A9"/>
    <w:rsid w:val="03F33148"/>
    <w:rsid w:val="04074764"/>
    <w:rsid w:val="042F3419"/>
    <w:rsid w:val="04491596"/>
    <w:rsid w:val="047B4012"/>
    <w:rsid w:val="04822497"/>
    <w:rsid w:val="04974587"/>
    <w:rsid w:val="049A0C65"/>
    <w:rsid w:val="04A07C4B"/>
    <w:rsid w:val="04DF1036"/>
    <w:rsid w:val="04E24985"/>
    <w:rsid w:val="050C01DF"/>
    <w:rsid w:val="05316537"/>
    <w:rsid w:val="053A5A77"/>
    <w:rsid w:val="0599183C"/>
    <w:rsid w:val="05A97DEC"/>
    <w:rsid w:val="05B23978"/>
    <w:rsid w:val="05C81981"/>
    <w:rsid w:val="05FC20B9"/>
    <w:rsid w:val="060043AE"/>
    <w:rsid w:val="060C3203"/>
    <w:rsid w:val="06281344"/>
    <w:rsid w:val="062D4EC8"/>
    <w:rsid w:val="069B4E4A"/>
    <w:rsid w:val="06A26008"/>
    <w:rsid w:val="06BC41F2"/>
    <w:rsid w:val="06F415CC"/>
    <w:rsid w:val="070E26CD"/>
    <w:rsid w:val="07197D08"/>
    <w:rsid w:val="071E5C55"/>
    <w:rsid w:val="075C1FE5"/>
    <w:rsid w:val="077005AB"/>
    <w:rsid w:val="078F4581"/>
    <w:rsid w:val="07A715F3"/>
    <w:rsid w:val="07BF027F"/>
    <w:rsid w:val="07F06C60"/>
    <w:rsid w:val="08031A31"/>
    <w:rsid w:val="080E2872"/>
    <w:rsid w:val="08420CAE"/>
    <w:rsid w:val="089A5AE8"/>
    <w:rsid w:val="08DC331B"/>
    <w:rsid w:val="09061A75"/>
    <w:rsid w:val="09182241"/>
    <w:rsid w:val="09325D4D"/>
    <w:rsid w:val="095F1030"/>
    <w:rsid w:val="09855177"/>
    <w:rsid w:val="09A17D47"/>
    <w:rsid w:val="09EE5125"/>
    <w:rsid w:val="0A3D7585"/>
    <w:rsid w:val="0A462748"/>
    <w:rsid w:val="0A4D0C81"/>
    <w:rsid w:val="0A723E95"/>
    <w:rsid w:val="0A733243"/>
    <w:rsid w:val="0AA534D5"/>
    <w:rsid w:val="0AA650EB"/>
    <w:rsid w:val="0AA7129C"/>
    <w:rsid w:val="0AF47339"/>
    <w:rsid w:val="0B121934"/>
    <w:rsid w:val="0B1F4D52"/>
    <w:rsid w:val="0B22594B"/>
    <w:rsid w:val="0B27506F"/>
    <w:rsid w:val="0B3061AD"/>
    <w:rsid w:val="0B9610F4"/>
    <w:rsid w:val="0BBF77A4"/>
    <w:rsid w:val="0BD16C8D"/>
    <w:rsid w:val="0BDF26F7"/>
    <w:rsid w:val="0C027DB2"/>
    <w:rsid w:val="0C2B4952"/>
    <w:rsid w:val="0C516C55"/>
    <w:rsid w:val="0C5D161C"/>
    <w:rsid w:val="0C7B2220"/>
    <w:rsid w:val="0CB67D83"/>
    <w:rsid w:val="0CCF79BE"/>
    <w:rsid w:val="0CD20599"/>
    <w:rsid w:val="0CE53018"/>
    <w:rsid w:val="0D0B5B12"/>
    <w:rsid w:val="0D133046"/>
    <w:rsid w:val="0D153F28"/>
    <w:rsid w:val="0D305390"/>
    <w:rsid w:val="0D3A0F98"/>
    <w:rsid w:val="0D5D37FD"/>
    <w:rsid w:val="0D6A4502"/>
    <w:rsid w:val="0D7415CA"/>
    <w:rsid w:val="0D890E47"/>
    <w:rsid w:val="0DC64A00"/>
    <w:rsid w:val="0DCF786E"/>
    <w:rsid w:val="0DEB5FFA"/>
    <w:rsid w:val="0DF75C46"/>
    <w:rsid w:val="0DFC60BA"/>
    <w:rsid w:val="0E045D30"/>
    <w:rsid w:val="0E1C06B2"/>
    <w:rsid w:val="0E35000C"/>
    <w:rsid w:val="0E69691B"/>
    <w:rsid w:val="0E7900C2"/>
    <w:rsid w:val="0EBB5484"/>
    <w:rsid w:val="0EBD5AA3"/>
    <w:rsid w:val="0F085784"/>
    <w:rsid w:val="0F5723EF"/>
    <w:rsid w:val="0F7C5FF6"/>
    <w:rsid w:val="0F9F36BB"/>
    <w:rsid w:val="0FC63FBD"/>
    <w:rsid w:val="0FDD003F"/>
    <w:rsid w:val="0FF63282"/>
    <w:rsid w:val="0FF87EA4"/>
    <w:rsid w:val="0FFF7484"/>
    <w:rsid w:val="10007DD4"/>
    <w:rsid w:val="100131FC"/>
    <w:rsid w:val="100B77ED"/>
    <w:rsid w:val="10305890"/>
    <w:rsid w:val="103D5A1A"/>
    <w:rsid w:val="106C564D"/>
    <w:rsid w:val="10767478"/>
    <w:rsid w:val="107B7B8F"/>
    <w:rsid w:val="107C67CE"/>
    <w:rsid w:val="10912D03"/>
    <w:rsid w:val="109D68CB"/>
    <w:rsid w:val="10A949B8"/>
    <w:rsid w:val="10CB4D26"/>
    <w:rsid w:val="11144AFE"/>
    <w:rsid w:val="11200D07"/>
    <w:rsid w:val="114E4E39"/>
    <w:rsid w:val="116A3F32"/>
    <w:rsid w:val="11786AB5"/>
    <w:rsid w:val="118049D4"/>
    <w:rsid w:val="118561F8"/>
    <w:rsid w:val="11914FAF"/>
    <w:rsid w:val="11A8021A"/>
    <w:rsid w:val="11B21219"/>
    <w:rsid w:val="11B4024C"/>
    <w:rsid w:val="11DA73AF"/>
    <w:rsid w:val="11FC1ECD"/>
    <w:rsid w:val="12457C5E"/>
    <w:rsid w:val="124D097B"/>
    <w:rsid w:val="12511265"/>
    <w:rsid w:val="126561B4"/>
    <w:rsid w:val="127A3FFC"/>
    <w:rsid w:val="127D0E25"/>
    <w:rsid w:val="127E0B34"/>
    <w:rsid w:val="1283614B"/>
    <w:rsid w:val="12856FF3"/>
    <w:rsid w:val="129671FB"/>
    <w:rsid w:val="12A576FF"/>
    <w:rsid w:val="12C60D80"/>
    <w:rsid w:val="130523B3"/>
    <w:rsid w:val="13097496"/>
    <w:rsid w:val="13154AD2"/>
    <w:rsid w:val="131F7A3A"/>
    <w:rsid w:val="132645D0"/>
    <w:rsid w:val="134312FF"/>
    <w:rsid w:val="13455ABC"/>
    <w:rsid w:val="1370322B"/>
    <w:rsid w:val="13A27B91"/>
    <w:rsid w:val="13BA0460"/>
    <w:rsid w:val="13BB41AE"/>
    <w:rsid w:val="13C24F9B"/>
    <w:rsid w:val="13C45A18"/>
    <w:rsid w:val="13C9247B"/>
    <w:rsid w:val="13C92A4D"/>
    <w:rsid w:val="13DE55D1"/>
    <w:rsid w:val="13E0285C"/>
    <w:rsid w:val="143B2E0B"/>
    <w:rsid w:val="147C1943"/>
    <w:rsid w:val="148054E9"/>
    <w:rsid w:val="14892735"/>
    <w:rsid w:val="14906D6C"/>
    <w:rsid w:val="14CC769D"/>
    <w:rsid w:val="14D764D5"/>
    <w:rsid w:val="14F43330"/>
    <w:rsid w:val="152509D7"/>
    <w:rsid w:val="15436F05"/>
    <w:rsid w:val="155541C5"/>
    <w:rsid w:val="15691FE3"/>
    <w:rsid w:val="158B5DDD"/>
    <w:rsid w:val="15A41986"/>
    <w:rsid w:val="15B11221"/>
    <w:rsid w:val="15C16EB3"/>
    <w:rsid w:val="15CB76C9"/>
    <w:rsid w:val="15D359D7"/>
    <w:rsid w:val="160E7A2C"/>
    <w:rsid w:val="16111028"/>
    <w:rsid w:val="161F7731"/>
    <w:rsid w:val="163C77BE"/>
    <w:rsid w:val="16573587"/>
    <w:rsid w:val="1679588C"/>
    <w:rsid w:val="168C2855"/>
    <w:rsid w:val="16903443"/>
    <w:rsid w:val="16994962"/>
    <w:rsid w:val="16A233CF"/>
    <w:rsid w:val="16A71041"/>
    <w:rsid w:val="16AA24BF"/>
    <w:rsid w:val="171D3FE1"/>
    <w:rsid w:val="1742794A"/>
    <w:rsid w:val="17680CAB"/>
    <w:rsid w:val="176E4128"/>
    <w:rsid w:val="1783371F"/>
    <w:rsid w:val="178D7563"/>
    <w:rsid w:val="17B61794"/>
    <w:rsid w:val="17C52CBF"/>
    <w:rsid w:val="17C93012"/>
    <w:rsid w:val="17E62B67"/>
    <w:rsid w:val="180F4499"/>
    <w:rsid w:val="182201B4"/>
    <w:rsid w:val="18221ECE"/>
    <w:rsid w:val="18303840"/>
    <w:rsid w:val="18324633"/>
    <w:rsid w:val="183C3D90"/>
    <w:rsid w:val="18504A07"/>
    <w:rsid w:val="185365A4"/>
    <w:rsid w:val="1859036F"/>
    <w:rsid w:val="18681814"/>
    <w:rsid w:val="18A81CCC"/>
    <w:rsid w:val="18B0649B"/>
    <w:rsid w:val="18C8297B"/>
    <w:rsid w:val="18D24A90"/>
    <w:rsid w:val="18D418FC"/>
    <w:rsid w:val="18FC7745"/>
    <w:rsid w:val="19027053"/>
    <w:rsid w:val="191677A6"/>
    <w:rsid w:val="19353F17"/>
    <w:rsid w:val="19DD405E"/>
    <w:rsid w:val="1A460CF5"/>
    <w:rsid w:val="1A7A6BB4"/>
    <w:rsid w:val="1A7F297D"/>
    <w:rsid w:val="1A8D231C"/>
    <w:rsid w:val="1A9B268C"/>
    <w:rsid w:val="1A9D6244"/>
    <w:rsid w:val="1AAF6004"/>
    <w:rsid w:val="1AB16AC1"/>
    <w:rsid w:val="1ABF1CEA"/>
    <w:rsid w:val="1B014DDE"/>
    <w:rsid w:val="1B0320FB"/>
    <w:rsid w:val="1B034A52"/>
    <w:rsid w:val="1B45344E"/>
    <w:rsid w:val="1B591D2B"/>
    <w:rsid w:val="1B5D76FB"/>
    <w:rsid w:val="1B683578"/>
    <w:rsid w:val="1B8C0040"/>
    <w:rsid w:val="1BBA4E52"/>
    <w:rsid w:val="1BD9519A"/>
    <w:rsid w:val="1BDE2F66"/>
    <w:rsid w:val="1C2A22B3"/>
    <w:rsid w:val="1C750ECE"/>
    <w:rsid w:val="1CA56AF4"/>
    <w:rsid w:val="1CE1575A"/>
    <w:rsid w:val="1D196139"/>
    <w:rsid w:val="1D2E2708"/>
    <w:rsid w:val="1D5E02D1"/>
    <w:rsid w:val="1D7B74A7"/>
    <w:rsid w:val="1D7F0ED0"/>
    <w:rsid w:val="1DA31EB7"/>
    <w:rsid w:val="1DA55D97"/>
    <w:rsid w:val="1DBB6100"/>
    <w:rsid w:val="1DBE6816"/>
    <w:rsid w:val="1DC67725"/>
    <w:rsid w:val="1DCB4FF1"/>
    <w:rsid w:val="1DDC11E4"/>
    <w:rsid w:val="1DF5452A"/>
    <w:rsid w:val="1DF7056A"/>
    <w:rsid w:val="1DF738E9"/>
    <w:rsid w:val="1E010AF7"/>
    <w:rsid w:val="1E1C405A"/>
    <w:rsid w:val="1E2E29E0"/>
    <w:rsid w:val="1E301173"/>
    <w:rsid w:val="1E884D18"/>
    <w:rsid w:val="1ED8781E"/>
    <w:rsid w:val="1EDD3235"/>
    <w:rsid w:val="1EE7283A"/>
    <w:rsid w:val="1F1102B0"/>
    <w:rsid w:val="1F2F1047"/>
    <w:rsid w:val="1F43381C"/>
    <w:rsid w:val="1F7D6A3D"/>
    <w:rsid w:val="1FA4148D"/>
    <w:rsid w:val="1FC10FAB"/>
    <w:rsid w:val="1FC65577"/>
    <w:rsid w:val="1FD82385"/>
    <w:rsid w:val="20121621"/>
    <w:rsid w:val="201636E2"/>
    <w:rsid w:val="202E3F6D"/>
    <w:rsid w:val="2032134B"/>
    <w:rsid w:val="20325F7E"/>
    <w:rsid w:val="20386C02"/>
    <w:rsid w:val="204778E7"/>
    <w:rsid w:val="204E554F"/>
    <w:rsid w:val="20546774"/>
    <w:rsid w:val="20590035"/>
    <w:rsid w:val="20851B47"/>
    <w:rsid w:val="209A2C3D"/>
    <w:rsid w:val="209A7911"/>
    <w:rsid w:val="20E5011E"/>
    <w:rsid w:val="20FC7430"/>
    <w:rsid w:val="20FC799E"/>
    <w:rsid w:val="21286DA7"/>
    <w:rsid w:val="2134683B"/>
    <w:rsid w:val="21C82E72"/>
    <w:rsid w:val="21DE0801"/>
    <w:rsid w:val="21DE339D"/>
    <w:rsid w:val="22154DDD"/>
    <w:rsid w:val="221D4DB5"/>
    <w:rsid w:val="22336873"/>
    <w:rsid w:val="22396826"/>
    <w:rsid w:val="225471A3"/>
    <w:rsid w:val="225E34DC"/>
    <w:rsid w:val="227D1295"/>
    <w:rsid w:val="22947F00"/>
    <w:rsid w:val="229B678A"/>
    <w:rsid w:val="22AB3B7D"/>
    <w:rsid w:val="22AF3A08"/>
    <w:rsid w:val="22F92F75"/>
    <w:rsid w:val="239634D6"/>
    <w:rsid w:val="23BB4E7D"/>
    <w:rsid w:val="23C172D6"/>
    <w:rsid w:val="23CB1286"/>
    <w:rsid w:val="23D77537"/>
    <w:rsid w:val="23E6195D"/>
    <w:rsid w:val="23F04F64"/>
    <w:rsid w:val="242654AA"/>
    <w:rsid w:val="24552F64"/>
    <w:rsid w:val="246C5900"/>
    <w:rsid w:val="24814CBE"/>
    <w:rsid w:val="24AC168B"/>
    <w:rsid w:val="24BB6664"/>
    <w:rsid w:val="24EC64CB"/>
    <w:rsid w:val="250B6301"/>
    <w:rsid w:val="250E1318"/>
    <w:rsid w:val="25103738"/>
    <w:rsid w:val="253F46D8"/>
    <w:rsid w:val="254D0389"/>
    <w:rsid w:val="25884C5D"/>
    <w:rsid w:val="258C3BEC"/>
    <w:rsid w:val="25A03144"/>
    <w:rsid w:val="25A87695"/>
    <w:rsid w:val="25B2479F"/>
    <w:rsid w:val="25C15C5D"/>
    <w:rsid w:val="25D329B9"/>
    <w:rsid w:val="25E5427A"/>
    <w:rsid w:val="26094761"/>
    <w:rsid w:val="26276A31"/>
    <w:rsid w:val="26366F9D"/>
    <w:rsid w:val="263B1230"/>
    <w:rsid w:val="2642752B"/>
    <w:rsid w:val="26485508"/>
    <w:rsid w:val="26554808"/>
    <w:rsid w:val="265E685B"/>
    <w:rsid w:val="26607D95"/>
    <w:rsid w:val="26700955"/>
    <w:rsid w:val="26A16AE9"/>
    <w:rsid w:val="26A605D9"/>
    <w:rsid w:val="26AD0500"/>
    <w:rsid w:val="26B121A3"/>
    <w:rsid w:val="26E464C3"/>
    <w:rsid w:val="272E3097"/>
    <w:rsid w:val="272E6F74"/>
    <w:rsid w:val="273B7A3B"/>
    <w:rsid w:val="275B47DA"/>
    <w:rsid w:val="277E6655"/>
    <w:rsid w:val="2780046C"/>
    <w:rsid w:val="27933DEA"/>
    <w:rsid w:val="27B36A67"/>
    <w:rsid w:val="27D9633F"/>
    <w:rsid w:val="280B2E27"/>
    <w:rsid w:val="281E404F"/>
    <w:rsid w:val="28302479"/>
    <w:rsid w:val="2846581F"/>
    <w:rsid w:val="284A5CA4"/>
    <w:rsid w:val="286550ED"/>
    <w:rsid w:val="286602C8"/>
    <w:rsid w:val="28665C95"/>
    <w:rsid w:val="28736F5F"/>
    <w:rsid w:val="28B01D1E"/>
    <w:rsid w:val="28C2628C"/>
    <w:rsid w:val="28CC3373"/>
    <w:rsid w:val="28F47F99"/>
    <w:rsid w:val="28F579BA"/>
    <w:rsid w:val="290B3EB9"/>
    <w:rsid w:val="292728C1"/>
    <w:rsid w:val="294E392A"/>
    <w:rsid w:val="2950768C"/>
    <w:rsid w:val="297A5FC4"/>
    <w:rsid w:val="29B51252"/>
    <w:rsid w:val="29E14657"/>
    <w:rsid w:val="29E474B8"/>
    <w:rsid w:val="29ED574B"/>
    <w:rsid w:val="29FA2D3E"/>
    <w:rsid w:val="29FE5CE6"/>
    <w:rsid w:val="2A743AE8"/>
    <w:rsid w:val="2A8D4F8F"/>
    <w:rsid w:val="2A917B34"/>
    <w:rsid w:val="2A9308A8"/>
    <w:rsid w:val="2A9F5AB8"/>
    <w:rsid w:val="2AB10C99"/>
    <w:rsid w:val="2AD74E8C"/>
    <w:rsid w:val="2AE3766F"/>
    <w:rsid w:val="2AEC612E"/>
    <w:rsid w:val="2B0268A7"/>
    <w:rsid w:val="2B060F9E"/>
    <w:rsid w:val="2B0E56AB"/>
    <w:rsid w:val="2B51141C"/>
    <w:rsid w:val="2B590601"/>
    <w:rsid w:val="2B710DB7"/>
    <w:rsid w:val="2B7408CF"/>
    <w:rsid w:val="2B7E4054"/>
    <w:rsid w:val="2BBA6A76"/>
    <w:rsid w:val="2BCC03D1"/>
    <w:rsid w:val="2BDF1FBA"/>
    <w:rsid w:val="2C0C6D59"/>
    <w:rsid w:val="2C5B0D4B"/>
    <w:rsid w:val="2C8903AA"/>
    <w:rsid w:val="2C987C56"/>
    <w:rsid w:val="2CA156F3"/>
    <w:rsid w:val="2CC11460"/>
    <w:rsid w:val="2CC15BAA"/>
    <w:rsid w:val="2CC72A61"/>
    <w:rsid w:val="2CDC3153"/>
    <w:rsid w:val="2CDF621C"/>
    <w:rsid w:val="2CE136D7"/>
    <w:rsid w:val="2CFE7A11"/>
    <w:rsid w:val="2CFF149A"/>
    <w:rsid w:val="2D201865"/>
    <w:rsid w:val="2D2B6EDE"/>
    <w:rsid w:val="2D4B5CEA"/>
    <w:rsid w:val="2D4C5B4C"/>
    <w:rsid w:val="2D542188"/>
    <w:rsid w:val="2D652658"/>
    <w:rsid w:val="2D964A56"/>
    <w:rsid w:val="2DC16E0A"/>
    <w:rsid w:val="2DC80C49"/>
    <w:rsid w:val="2DCA6355"/>
    <w:rsid w:val="2E030E17"/>
    <w:rsid w:val="2E14481A"/>
    <w:rsid w:val="2E166748"/>
    <w:rsid w:val="2E2054A0"/>
    <w:rsid w:val="2E482374"/>
    <w:rsid w:val="2E491580"/>
    <w:rsid w:val="2E556F01"/>
    <w:rsid w:val="2E8345A7"/>
    <w:rsid w:val="2E8E20B4"/>
    <w:rsid w:val="2EAA7BAE"/>
    <w:rsid w:val="2EC1207D"/>
    <w:rsid w:val="2ED06066"/>
    <w:rsid w:val="2ED1223D"/>
    <w:rsid w:val="2F000139"/>
    <w:rsid w:val="2F1B303D"/>
    <w:rsid w:val="2F3F11F4"/>
    <w:rsid w:val="2F5E0754"/>
    <w:rsid w:val="2F9B0EAA"/>
    <w:rsid w:val="2F9F42DC"/>
    <w:rsid w:val="2FBB4121"/>
    <w:rsid w:val="2FBC2844"/>
    <w:rsid w:val="2FBE3786"/>
    <w:rsid w:val="2FC32F68"/>
    <w:rsid w:val="2FD6418B"/>
    <w:rsid w:val="2FF37AB3"/>
    <w:rsid w:val="30210B8A"/>
    <w:rsid w:val="30224DC7"/>
    <w:rsid w:val="303B4C3F"/>
    <w:rsid w:val="3073310C"/>
    <w:rsid w:val="309D6BE6"/>
    <w:rsid w:val="30AA1790"/>
    <w:rsid w:val="30EE385E"/>
    <w:rsid w:val="30F85AFE"/>
    <w:rsid w:val="31031402"/>
    <w:rsid w:val="31170995"/>
    <w:rsid w:val="31264A30"/>
    <w:rsid w:val="312651F8"/>
    <w:rsid w:val="31280191"/>
    <w:rsid w:val="31564B2B"/>
    <w:rsid w:val="31862EE3"/>
    <w:rsid w:val="31884E67"/>
    <w:rsid w:val="31A0275E"/>
    <w:rsid w:val="31A67308"/>
    <w:rsid w:val="31B91526"/>
    <w:rsid w:val="31BA7402"/>
    <w:rsid w:val="31EF0041"/>
    <w:rsid w:val="320107F5"/>
    <w:rsid w:val="324175CB"/>
    <w:rsid w:val="326A0524"/>
    <w:rsid w:val="327B7EDF"/>
    <w:rsid w:val="32AB70C5"/>
    <w:rsid w:val="32EF2122"/>
    <w:rsid w:val="32F17F41"/>
    <w:rsid w:val="332038B4"/>
    <w:rsid w:val="33247607"/>
    <w:rsid w:val="333014B0"/>
    <w:rsid w:val="335D0AF5"/>
    <w:rsid w:val="336917EF"/>
    <w:rsid w:val="336B2EA4"/>
    <w:rsid w:val="336B3E67"/>
    <w:rsid w:val="3370088C"/>
    <w:rsid w:val="33872039"/>
    <w:rsid w:val="339A687B"/>
    <w:rsid w:val="33DC2F78"/>
    <w:rsid w:val="3428227C"/>
    <w:rsid w:val="343230D5"/>
    <w:rsid w:val="3439428E"/>
    <w:rsid w:val="34571EF7"/>
    <w:rsid w:val="347918A5"/>
    <w:rsid w:val="34802E4C"/>
    <w:rsid w:val="349D37D5"/>
    <w:rsid w:val="34A61BDE"/>
    <w:rsid w:val="34BB7B5F"/>
    <w:rsid w:val="3522586C"/>
    <w:rsid w:val="35572473"/>
    <w:rsid w:val="35602226"/>
    <w:rsid w:val="356B72E7"/>
    <w:rsid w:val="356D2AC8"/>
    <w:rsid w:val="3572424F"/>
    <w:rsid w:val="35734CF3"/>
    <w:rsid w:val="35866014"/>
    <w:rsid w:val="359E5CE0"/>
    <w:rsid w:val="35D275C3"/>
    <w:rsid w:val="35E50FBB"/>
    <w:rsid w:val="35EB111D"/>
    <w:rsid w:val="362B215D"/>
    <w:rsid w:val="366666CA"/>
    <w:rsid w:val="367070F4"/>
    <w:rsid w:val="367801A9"/>
    <w:rsid w:val="36807FCC"/>
    <w:rsid w:val="36AD519D"/>
    <w:rsid w:val="36B57705"/>
    <w:rsid w:val="36B93E53"/>
    <w:rsid w:val="36DC1DD3"/>
    <w:rsid w:val="36F3711D"/>
    <w:rsid w:val="36FC25DD"/>
    <w:rsid w:val="37090CD6"/>
    <w:rsid w:val="37122320"/>
    <w:rsid w:val="3754697A"/>
    <w:rsid w:val="37636A21"/>
    <w:rsid w:val="377C03A4"/>
    <w:rsid w:val="37A103ED"/>
    <w:rsid w:val="37A367C3"/>
    <w:rsid w:val="37BD33EE"/>
    <w:rsid w:val="37E02B23"/>
    <w:rsid w:val="37E345A6"/>
    <w:rsid w:val="37EA5E6E"/>
    <w:rsid w:val="37EC6A58"/>
    <w:rsid w:val="37FB2268"/>
    <w:rsid w:val="37FF016F"/>
    <w:rsid w:val="382A6E2D"/>
    <w:rsid w:val="386E4145"/>
    <w:rsid w:val="387C5ABE"/>
    <w:rsid w:val="38B66D0C"/>
    <w:rsid w:val="38D41643"/>
    <w:rsid w:val="38EB6119"/>
    <w:rsid w:val="39044996"/>
    <w:rsid w:val="392C6D9B"/>
    <w:rsid w:val="393B020C"/>
    <w:rsid w:val="39506E15"/>
    <w:rsid w:val="396678D9"/>
    <w:rsid w:val="39790BE6"/>
    <w:rsid w:val="397A0ADB"/>
    <w:rsid w:val="39844799"/>
    <w:rsid w:val="39954B2B"/>
    <w:rsid w:val="39DA2245"/>
    <w:rsid w:val="39E66E3B"/>
    <w:rsid w:val="39FD4CC2"/>
    <w:rsid w:val="3A51228C"/>
    <w:rsid w:val="3A545E48"/>
    <w:rsid w:val="3A552E60"/>
    <w:rsid w:val="3A5D642F"/>
    <w:rsid w:val="3A744447"/>
    <w:rsid w:val="3A78219D"/>
    <w:rsid w:val="3A995C5C"/>
    <w:rsid w:val="3AB210FC"/>
    <w:rsid w:val="3ADB7381"/>
    <w:rsid w:val="3AF04A37"/>
    <w:rsid w:val="3B043A1D"/>
    <w:rsid w:val="3B1E01C3"/>
    <w:rsid w:val="3B3E5B8A"/>
    <w:rsid w:val="3B793A48"/>
    <w:rsid w:val="3B7E3699"/>
    <w:rsid w:val="3B85393E"/>
    <w:rsid w:val="3BCA4B8A"/>
    <w:rsid w:val="3BCD72F7"/>
    <w:rsid w:val="3BFC2F5F"/>
    <w:rsid w:val="3C37146A"/>
    <w:rsid w:val="3C3D3625"/>
    <w:rsid w:val="3C414142"/>
    <w:rsid w:val="3C5B725E"/>
    <w:rsid w:val="3C84047F"/>
    <w:rsid w:val="3C88055A"/>
    <w:rsid w:val="3C9E57AB"/>
    <w:rsid w:val="3CAF79B9"/>
    <w:rsid w:val="3CB35097"/>
    <w:rsid w:val="3CD951D6"/>
    <w:rsid w:val="3CF737A2"/>
    <w:rsid w:val="3D10295A"/>
    <w:rsid w:val="3D184041"/>
    <w:rsid w:val="3D370C2A"/>
    <w:rsid w:val="3D414FC0"/>
    <w:rsid w:val="3D4F12A7"/>
    <w:rsid w:val="3D7B5F78"/>
    <w:rsid w:val="3D7D049C"/>
    <w:rsid w:val="3DE20EAE"/>
    <w:rsid w:val="3DEF3701"/>
    <w:rsid w:val="3E0572FD"/>
    <w:rsid w:val="3E0720FE"/>
    <w:rsid w:val="3E2819F6"/>
    <w:rsid w:val="3E287A22"/>
    <w:rsid w:val="3E5A7FE7"/>
    <w:rsid w:val="3E7D40EF"/>
    <w:rsid w:val="3E955A6A"/>
    <w:rsid w:val="3E964D81"/>
    <w:rsid w:val="3EF66B2E"/>
    <w:rsid w:val="3F217914"/>
    <w:rsid w:val="3FD10810"/>
    <w:rsid w:val="3FD70BB0"/>
    <w:rsid w:val="3FFB55AC"/>
    <w:rsid w:val="40017152"/>
    <w:rsid w:val="401C5F9D"/>
    <w:rsid w:val="401C690C"/>
    <w:rsid w:val="401D7195"/>
    <w:rsid w:val="405C1C05"/>
    <w:rsid w:val="407A652F"/>
    <w:rsid w:val="40825D97"/>
    <w:rsid w:val="40836C36"/>
    <w:rsid w:val="40870EA3"/>
    <w:rsid w:val="409928E7"/>
    <w:rsid w:val="40997CFE"/>
    <w:rsid w:val="40C34607"/>
    <w:rsid w:val="40CE3DC0"/>
    <w:rsid w:val="40D7455A"/>
    <w:rsid w:val="40E743E5"/>
    <w:rsid w:val="40EB4012"/>
    <w:rsid w:val="41075C9E"/>
    <w:rsid w:val="410A1661"/>
    <w:rsid w:val="412D5EA0"/>
    <w:rsid w:val="415A62F5"/>
    <w:rsid w:val="416D78C7"/>
    <w:rsid w:val="41734CBA"/>
    <w:rsid w:val="417F4E1A"/>
    <w:rsid w:val="418B0C8A"/>
    <w:rsid w:val="41A82190"/>
    <w:rsid w:val="41DE5999"/>
    <w:rsid w:val="41E1181A"/>
    <w:rsid w:val="41E32A20"/>
    <w:rsid w:val="41FA3241"/>
    <w:rsid w:val="420F7A65"/>
    <w:rsid w:val="4216611A"/>
    <w:rsid w:val="42321B6A"/>
    <w:rsid w:val="423E300F"/>
    <w:rsid w:val="425656C8"/>
    <w:rsid w:val="4257273C"/>
    <w:rsid w:val="42687ACE"/>
    <w:rsid w:val="4270145E"/>
    <w:rsid w:val="429E6041"/>
    <w:rsid w:val="42BF4B02"/>
    <w:rsid w:val="42DE6028"/>
    <w:rsid w:val="42FD694D"/>
    <w:rsid w:val="43034DFA"/>
    <w:rsid w:val="432F280D"/>
    <w:rsid w:val="437D6687"/>
    <w:rsid w:val="438351F5"/>
    <w:rsid w:val="438D35EA"/>
    <w:rsid w:val="43BC1E57"/>
    <w:rsid w:val="43D23F8D"/>
    <w:rsid w:val="43D43F1D"/>
    <w:rsid w:val="43FA5777"/>
    <w:rsid w:val="44023422"/>
    <w:rsid w:val="44184A2D"/>
    <w:rsid w:val="441C1611"/>
    <w:rsid w:val="443C440B"/>
    <w:rsid w:val="44514F52"/>
    <w:rsid w:val="44761C8F"/>
    <w:rsid w:val="449722E3"/>
    <w:rsid w:val="449D7B09"/>
    <w:rsid w:val="44AE3FD4"/>
    <w:rsid w:val="44D0586F"/>
    <w:rsid w:val="44FA2D53"/>
    <w:rsid w:val="453C4912"/>
    <w:rsid w:val="45687813"/>
    <w:rsid w:val="4571374F"/>
    <w:rsid w:val="458B1BB0"/>
    <w:rsid w:val="45A41560"/>
    <w:rsid w:val="45AD31D6"/>
    <w:rsid w:val="45B93426"/>
    <w:rsid w:val="45CF1361"/>
    <w:rsid w:val="46194474"/>
    <w:rsid w:val="464C6420"/>
    <w:rsid w:val="46552F9B"/>
    <w:rsid w:val="467A0297"/>
    <w:rsid w:val="468B7125"/>
    <w:rsid w:val="46B506EF"/>
    <w:rsid w:val="46C4691F"/>
    <w:rsid w:val="46CB53EF"/>
    <w:rsid w:val="46EE513F"/>
    <w:rsid w:val="470F5A71"/>
    <w:rsid w:val="473154FF"/>
    <w:rsid w:val="47607747"/>
    <w:rsid w:val="47685427"/>
    <w:rsid w:val="476C4065"/>
    <w:rsid w:val="4779499C"/>
    <w:rsid w:val="477B6530"/>
    <w:rsid w:val="47801172"/>
    <w:rsid w:val="479D1D34"/>
    <w:rsid w:val="47B609C0"/>
    <w:rsid w:val="47EC3B04"/>
    <w:rsid w:val="47EC6277"/>
    <w:rsid w:val="48021483"/>
    <w:rsid w:val="481A219B"/>
    <w:rsid w:val="482D31EA"/>
    <w:rsid w:val="48447D02"/>
    <w:rsid w:val="485970A0"/>
    <w:rsid w:val="486A6E89"/>
    <w:rsid w:val="48823516"/>
    <w:rsid w:val="48877686"/>
    <w:rsid w:val="488B498B"/>
    <w:rsid w:val="48B176C2"/>
    <w:rsid w:val="48B65C71"/>
    <w:rsid w:val="48D550F0"/>
    <w:rsid w:val="48FB1909"/>
    <w:rsid w:val="4901712A"/>
    <w:rsid w:val="491F266E"/>
    <w:rsid w:val="492E6A57"/>
    <w:rsid w:val="495839AA"/>
    <w:rsid w:val="49700A6F"/>
    <w:rsid w:val="49771AFE"/>
    <w:rsid w:val="49802948"/>
    <w:rsid w:val="4986089F"/>
    <w:rsid w:val="498B5309"/>
    <w:rsid w:val="499F0AAB"/>
    <w:rsid w:val="49C154CE"/>
    <w:rsid w:val="49C33FF5"/>
    <w:rsid w:val="49DB11EC"/>
    <w:rsid w:val="49E31DD1"/>
    <w:rsid w:val="4A0030EE"/>
    <w:rsid w:val="4A0568D6"/>
    <w:rsid w:val="4A0C4F3C"/>
    <w:rsid w:val="4A162478"/>
    <w:rsid w:val="4A171EC9"/>
    <w:rsid w:val="4A1A1689"/>
    <w:rsid w:val="4A484D41"/>
    <w:rsid w:val="4A6D15F8"/>
    <w:rsid w:val="4A7617B6"/>
    <w:rsid w:val="4A832DFA"/>
    <w:rsid w:val="4A8C4FB8"/>
    <w:rsid w:val="4A952D7F"/>
    <w:rsid w:val="4A9A25BD"/>
    <w:rsid w:val="4A9E0551"/>
    <w:rsid w:val="4AB542AE"/>
    <w:rsid w:val="4AF72FEA"/>
    <w:rsid w:val="4B1477B3"/>
    <w:rsid w:val="4B1F062C"/>
    <w:rsid w:val="4B243D9D"/>
    <w:rsid w:val="4B281425"/>
    <w:rsid w:val="4B6F66A1"/>
    <w:rsid w:val="4B85213F"/>
    <w:rsid w:val="4B8C2DEB"/>
    <w:rsid w:val="4BFA3C9F"/>
    <w:rsid w:val="4BFA7F6C"/>
    <w:rsid w:val="4C107F48"/>
    <w:rsid w:val="4C3117D0"/>
    <w:rsid w:val="4C3277BC"/>
    <w:rsid w:val="4C5C442D"/>
    <w:rsid w:val="4C6D42A9"/>
    <w:rsid w:val="4C716A38"/>
    <w:rsid w:val="4CC0351C"/>
    <w:rsid w:val="4CC353EB"/>
    <w:rsid w:val="4CE64E14"/>
    <w:rsid w:val="4CE95EE5"/>
    <w:rsid w:val="4CF36F3C"/>
    <w:rsid w:val="4D007BC8"/>
    <w:rsid w:val="4D0602E5"/>
    <w:rsid w:val="4D1470BD"/>
    <w:rsid w:val="4D154882"/>
    <w:rsid w:val="4D1C3C50"/>
    <w:rsid w:val="4D603399"/>
    <w:rsid w:val="4D6A7284"/>
    <w:rsid w:val="4D6E30E1"/>
    <w:rsid w:val="4D867EE1"/>
    <w:rsid w:val="4DBC4C65"/>
    <w:rsid w:val="4DC9105D"/>
    <w:rsid w:val="4DE2009B"/>
    <w:rsid w:val="4DF86974"/>
    <w:rsid w:val="4E0F235E"/>
    <w:rsid w:val="4E157689"/>
    <w:rsid w:val="4E2C6A27"/>
    <w:rsid w:val="4E471216"/>
    <w:rsid w:val="4E533FA5"/>
    <w:rsid w:val="4E550010"/>
    <w:rsid w:val="4E5F14CB"/>
    <w:rsid w:val="4E6808B0"/>
    <w:rsid w:val="4E780BC4"/>
    <w:rsid w:val="4EAC21FE"/>
    <w:rsid w:val="4EBA42F2"/>
    <w:rsid w:val="4EC00DDD"/>
    <w:rsid w:val="4ED908C5"/>
    <w:rsid w:val="4EF265BE"/>
    <w:rsid w:val="4EFB1C45"/>
    <w:rsid w:val="4F0C2A48"/>
    <w:rsid w:val="4F26273B"/>
    <w:rsid w:val="4F2D3A8A"/>
    <w:rsid w:val="4F32478A"/>
    <w:rsid w:val="4F3705F8"/>
    <w:rsid w:val="4F913A9A"/>
    <w:rsid w:val="4F9714A0"/>
    <w:rsid w:val="4FA66CBC"/>
    <w:rsid w:val="4FAA3F91"/>
    <w:rsid w:val="4FAC3540"/>
    <w:rsid w:val="4FCF1583"/>
    <w:rsid w:val="4FD23E66"/>
    <w:rsid w:val="4FD44D1B"/>
    <w:rsid w:val="4FDC066D"/>
    <w:rsid w:val="4FFA7625"/>
    <w:rsid w:val="50453E7E"/>
    <w:rsid w:val="50594CF7"/>
    <w:rsid w:val="507950F0"/>
    <w:rsid w:val="507D2599"/>
    <w:rsid w:val="5096229D"/>
    <w:rsid w:val="509E157D"/>
    <w:rsid w:val="50A6165E"/>
    <w:rsid w:val="50DC4184"/>
    <w:rsid w:val="50FB6146"/>
    <w:rsid w:val="512F4CA0"/>
    <w:rsid w:val="51361FFF"/>
    <w:rsid w:val="513D4C38"/>
    <w:rsid w:val="514C3EA7"/>
    <w:rsid w:val="51774396"/>
    <w:rsid w:val="51AC4D00"/>
    <w:rsid w:val="51FF3C99"/>
    <w:rsid w:val="522A20E4"/>
    <w:rsid w:val="52363D4D"/>
    <w:rsid w:val="524A2AC9"/>
    <w:rsid w:val="52521A20"/>
    <w:rsid w:val="528604EC"/>
    <w:rsid w:val="529E2C3A"/>
    <w:rsid w:val="52AC4ABC"/>
    <w:rsid w:val="52C201B9"/>
    <w:rsid w:val="52E57A12"/>
    <w:rsid w:val="52F20B62"/>
    <w:rsid w:val="531C4FCC"/>
    <w:rsid w:val="53807A9C"/>
    <w:rsid w:val="53827E49"/>
    <w:rsid w:val="538A6BB9"/>
    <w:rsid w:val="539964FD"/>
    <w:rsid w:val="539C1B81"/>
    <w:rsid w:val="539D7755"/>
    <w:rsid w:val="53A447B1"/>
    <w:rsid w:val="53AE750F"/>
    <w:rsid w:val="53D224B3"/>
    <w:rsid w:val="53F81D96"/>
    <w:rsid w:val="541D5DE8"/>
    <w:rsid w:val="541F57C4"/>
    <w:rsid w:val="544B5214"/>
    <w:rsid w:val="546F523C"/>
    <w:rsid w:val="54782FBD"/>
    <w:rsid w:val="5483138F"/>
    <w:rsid w:val="5488523A"/>
    <w:rsid w:val="549A6BFA"/>
    <w:rsid w:val="54C341E7"/>
    <w:rsid w:val="54D933CD"/>
    <w:rsid w:val="551751CF"/>
    <w:rsid w:val="5522558F"/>
    <w:rsid w:val="55244D7F"/>
    <w:rsid w:val="55305397"/>
    <w:rsid w:val="55362287"/>
    <w:rsid w:val="55432F3C"/>
    <w:rsid w:val="55A37FFD"/>
    <w:rsid w:val="55AE22F1"/>
    <w:rsid w:val="55C3227E"/>
    <w:rsid w:val="55CE1AA9"/>
    <w:rsid w:val="55F6381F"/>
    <w:rsid w:val="55FA2961"/>
    <w:rsid w:val="5602250F"/>
    <w:rsid w:val="564220BA"/>
    <w:rsid w:val="565E7F4F"/>
    <w:rsid w:val="565F3DA6"/>
    <w:rsid w:val="56914056"/>
    <w:rsid w:val="56B61E36"/>
    <w:rsid w:val="56C36589"/>
    <w:rsid w:val="570D55B0"/>
    <w:rsid w:val="57293C95"/>
    <w:rsid w:val="572A6381"/>
    <w:rsid w:val="572B41B4"/>
    <w:rsid w:val="57365868"/>
    <w:rsid w:val="573C1959"/>
    <w:rsid w:val="57554571"/>
    <w:rsid w:val="57F65317"/>
    <w:rsid w:val="57FC2169"/>
    <w:rsid w:val="58024015"/>
    <w:rsid w:val="58096275"/>
    <w:rsid w:val="5819544F"/>
    <w:rsid w:val="582D6D32"/>
    <w:rsid w:val="582E6EF7"/>
    <w:rsid w:val="584E30E6"/>
    <w:rsid w:val="58546EFD"/>
    <w:rsid w:val="5881703E"/>
    <w:rsid w:val="58E26731"/>
    <w:rsid w:val="58EB1371"/>
    <w:rsid w:val="59091D98"/>
    <w:rsid w:val="590E4A97"/>
    <w:rsid w:val="591250FF"/>
    <w:rsid w:val="5920012C"/>
    <w:rsid w:val="593700E7"/>
    <w:rsid w:val="595578DE"/>
    <w:rsid w:val="597B384D"/>
    <w:rsid w:val="59996DA8"/>
    <w:rsid w:val="59C30F1B"/>
    <w:rsid w:val="59CE4759"/>
    <w:rsid w:val="59D90B78"/>
    <w:rsid w:val="5A814766"/>
    <w:rsid w:val="5A8C20D0"/>
    <w:rsid w:val="5ABC17C7"/>
    <w:rsid w:val="5ABC29E4"/>
    <w:rsid w:val="5AC7121C"/>
    <w:rsid w:val="5AD90B8D"/>
    <w:rsid w:val="5AE12927"/>
    <w:rsid w:val="5AE35472"/>
    <w:rsid w:val="5AF41CF3"/>
    <w:rsid w:val="5AF87CC9"/>
    <w:rsid w:val="5B07329F"/>
    <w:rsid w:val="5B4E1A44"/>
    <w:rsid w:val="5B873201"/>
    <w:rsid w:val="5B967767"/>
    <w:rsid w:val="5B9D1624"/>
    <w:rsid w:val="5BBF73E2"/>
    <w:rsid w:val="5BEE5378"/>
    <w:rsid w:val="5C0C2FF6"/>
    <w:rsid w:val="5C1241CC"/>
    <w:rsid w:val="5C286807"/>
    <w:rsid w:val="5C34339E"/>
    <w:rsid w:val="5C355656"/>
    <w:rsid w:val="5C370E72"/>
    <w:rsid w:val="5C446BC8"/>
    <w:rsid w:val="5C4B56E1"/>
    <w:rsid w:val="5C7146B1"/>
    <w:rsid w:val="5C7C2768"/>
    <w:rsid w:val="5C9D1EAA"/>
    <w:rsid w:val="5CAD3BC1"/>
    <w:rsid w:val="5CAE62DC"/>
    <w:rsid w:val="5CB23AE6"/>
    <w:rsid w:val="5CED5863"/>
    <w:rsid w:val="5D0D6DF5"/>
    <w:rsid w:val="5D4A5E05"/>
    <w:rsid w:val="5D580A8A"/>
    <w:rsid w:val="5D606747"/>
    <w:rsid w:val="5D760704"/>
    <w:rsid w:val="5D7E6D71"/>
    <w:rsid w:val="5D893B14"/>
    <w:rsid w:val="5DB42C29"/>
    <w:rsid w:val="5E1219F7"/>
    <w:rsid w:val="5E18541D"/>
    <w:rsid w:val="5E291636"/>
    <w:rsid w:val="5E48511F"/>
    <w:rsid w:val="5E655B72"/>
    <w:rsid w:val="5E8B0770"/>
    <w:rsid w:val="5EA06921"/>
    <w:rsid w:val="5EBA259F"/>
    <w:rsid w:val="5EE1082B"/>
    <w:rsid w:val="5EE97BB4"/>
    <w:rsid w:val="5EF55BC9"/>
    <w:rsid w:val="5F085DDA"/>
    <w:rsid w:val="5F2E2D52"/>
    <w:rsid w:val="5F54198B"/>
    <w:rsid w:val="5F6C74C2"/>
    <w:rsid w:val="5F9D1350"/>
    <w:rsid w:val="5FA44AD1"/>
    <w:rsid w:val="5FBE370A"/>
    <w:rsid w:val="5FC61F2E"/>
    <w:rsid w:val="5FC83407"/>
    <w:rsid w:val="5FD56E87"/>
    <w:rsid w:val="5FF0558C"/>
    <w:rsid w:val="60015A45"/>
    <w:rsid w:val="601A27F4"/>
    <w:rsid w:val="60292845"/>
    <w:rsid w:val="60557590"/>
    <w:rsid w:val="606F2632"/>
    <w:rsid w:val="6071543B"/>
    <w:rsid w:val="607921FE"/>
    <w:rsid w:val="607E12CC"/>
    <w:rsid w:val="608F62AE"/>
    <w:rsid w:val="60B9251B"/>
    <w:rsid w:val="60E236C1"/>
    <w:rsid w:val="60E37983"/>
    <w:rsid w:val="61260B6B"/>
    <w:rsid w:val="612B3ABB"/>
    <w:rsid w:val="612E1A5D"/>
    <w:rsid w:val="614E5D7E"/>
    <w:rsid w:val="61816046"/>
    <w:rsid w:val="61BD04E4"/>
    <w:rsid w:val="61C81AB1"/>
    <w:rsid w:val="620B0059"/>
    <w:rsid w:val="62391564"/>
    <w:rsid w:val="624A22BE"/>
    <w:rsid w:val="6263230B"/>
    <w:rsid w:val="626E235A"/>
    <w:rsid w:val="626F60D5"/>
    <w:rsid w:val="62816669"/>
    <w:rsid w:val="6282086D"/>
    <w:rsid w:val="628B6631"/>
    <w:rsid w:val="629007F7"/>
    <w:rsid w:val="62AB4D99"/>
    <w:rsid w:val="62B36CD7"/>
    <w:rsid w:val="62BA0953"/>
    <w:rsid w:val="62D03A7C"/>
    <w:rsid w:val="62F42FAE"/>
    <w:rsid w:val="62F648FE"/>
    <w:rsid w:val="63167A4F"/>
    <w:rsid w:val="631D2BD6"/>
    <w:rsid w:val="635356F3"/>
    <w:rsid w:val="637D5B70"/>
    <w:rsid w:val="63825E77"/>
    <w:rsid w:val="63961934"/>
    <w:rsid w:val="63A10995"/>
    <w:rsid w:val="63C23EFA"/>
    <w:rsid w:val="63D255DA"/>
    <w:rsid w:val="63EB2168"/>
    <w:rsid w:val="63F854C1"/>
    <w:rsid w:val="63FB5857"/>
    <w:rsid w:val="64076B79"/>
    <w:rsid w:val="640B7654"/>
    <w:rsid w:val="64116D46"/>
    <w:rsid w:val="643A070A"/>
    <w:rsid w:val="64410A96"/>
    <w:rsid w:val="644C573D"/>
    <w:rsid w:val="64507EFB"/>
    <w:rsid w:val="65032F85"/>
    <w:rsid w:val="651304A7"/>
    <w:rsid w:val="65136B50"/>
    <w:rsid w:val="6531690D"/>
    <w:rsid w:val="65320485"/>
    <w:rsid w:val="655A12F3"/>
    <w:rsid w:val="657E2A35"/>
    <w:rsid w:val="65A94E9D"/>
    <w:rsid w:val="65B96B3F"/>
    <w:rsid w:val="65BE1071"/>
    <w:rsid w:val="65C60A92"/>
    <w:rsid w:val="65DB19DF"/>
    <w:rsid w:val="660451CE"/>
    <w:rsid w:val="66102603"/>
    <w:rsid w:val="664B3BEB"/>
    <w:rsid w:val="665346B7"/>
    <w:rsid w:val="667C7CCE"/>
    <w:rsid w:val="66A12460"/>
    <w:rsid w:val="66BE2423"/>
    <w:rsid w:val="66DD6702"/>
    <w:rsid w:val="66E856F1"/>
    <w:rsid w:val="66FB0BAD"/>
    <w:rsid w:val="671B1623"/>
    <w:rsid w:val="671E6EBA"/>
    <w:rsid w:val="6731269C"/>
    <w:rsid w:val="675352AA"/>
    <w:rsid w:val="6759400B"/>
    <w:rsid w:val="675E528D"/>
    <w:rsid w:val="676C598C"/>
    <w:rsid w:val="67966EFB"/>
    <w:rsid w:val="679E7FA1"/>
    <w:rsid w:val="67A32389"/>
    <w:rsid w:val="67B768D0"/>
    <w:rsid w:val="67C779FD"/>
    <w:rsid w:val="67C85DAF"/>
    <w:rsid w:val="67E36EEF"/>
    <w:rsid w:val="68281CFE"/>
    <w:rsid w:val="682A2352"/>
    <w:rsid w:val="682A2630"/>
    <w:rsid w:val="682E4A5B"/>
    <w:rsid w:val="682E7AFD"/>
    <w:rsid w:val="68707071"/>
    <w:rsid w:val="687A4379"/>
    <w:rsid w:val="687B015C"/>
    <w:rsid w:val="687E3889"/>
    <w:rsid w:val="6884222C"/>
    <w:rsid w:val="68A957C8"/>
    <w:rsid w:val="68AC7245"/>
    <w:rsid w:val="68AD17BB"/>
    <w:rsid w:val="68D6620B"/>
    <w:rsid w:val="68D94D22"/>
    <w:rsid w:val="68F06F2B"/>
    <w:rsid w:val="69011241"/>
    <w:rsid w:val="692B2E4A"/>
    <w:rsid w:val="696A0B34"/>
    <w:rsid w:val="69821807"/>
    <w:rsid w:val="698D6A17"/>
    <w:rsid w:val="699026E3"/>
    <w:rsid w:val="699E0BED"/>
    <w:rsid w:val="699F0522"/>
    <w:rsid w:val="69D37590"/>
    <w:rsid w:val="69F954C1"/>
    <w:rsid w:val="6A1E1E73"/>
    <w:rsid w:val="6A2031B6"/>
    <w:rsid w:val="6A2D3B5E"/>
    <w:rsid w:val="6A2F57D7"/>
    <w:rsid w:val="6A3924BB"/>
    <w:rsid w:val="6A3C1D40"/>
    <w:rsid w:val="6A6432E1"/>
    <w:rsid w:val="6A760712"/>
    <w:rsid w:val="6AA23DFF"/>
    <w:rsid w:val="6AAA6F38"/>
    <w:rsid w:val="6AC61F6F"/>
    <w:rsid w:val="6AD34E53"/>
    <w:rsid w:val="6AD83EA1"/>
    <w:rsid w:val="6ADE74F0"/>
    <w:rsid w:val="6B1D62E8"/>
    <w:rsid w:val="6B723594"/>
    <w:rsid w:val="6B805156"/>
    <w:rsid w:val="6B945E48"/>
    <w:rsid w:val="6B974A7B"/>
    <w:rsid w:val="6BB506C7"/>
    <w:rsid w:val="6BD50977"/>
    <w:rsid w:val="6BE450D3"/>
    <w:rsid w:val="6BE60C84"/>
    <w:rsid w:val="6C4F0900"/>
    <w:rsid w:val="6C6C32E1"/>
    <w:rsid w:val="6C6E3E15"/>
    <w:rsid w:val="6C8B1F5D"/>
    <w:rsid w:val="6CA85D3A"/>
    <w:rsid w:val="6CAA3931"/>
    <w:rsid w:val="6CE2512E"/>
    <w:rsid w:val="6CEA06D7"/>
    <w:rsid w:val="6CF70607"/>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3A144E"/>
    <w:rsid w:val="6E5606D3"/>
    <w:rsid w:val="6E5F4465"/>
    <w:rsid w:val="6E8B1663"/>
    <w:rsid w:val="6E8C54DA"/>
    <w:rsid w:val="6EB752BD"/>
    <w:rsid w:val="6EF11E03"/>
    <w:rsid w:val="6EF1241D"/>
    <w:rsid w:val="6EF82916"/>
    <w:rsid w:val="6F0B2DE7"/>
    <w:rsid w:val="6F111C62"/>
    <w:rsid w:val="6F2176E5"/>
    <w:rsid w:val="6F3A2A5F"/>
    <w:rsid w:val="6F4F7F03"/>
    <w:rsid w:val="6F5523A2"/>
    <w:rsid w:val="6F592303"/>
    <w:rsid w:val="6F5F5B74"/>
    <w:rsid w:val="6F682400"/>
    <w:rsid w:val="6F9600A4"/>
    <w:rsid w:val="6F98032D"/>
    <w:rsid w:val="6F9B1C65"/>
    <w:rsid w:val="6FA44937"/>
    <w:rsid w:val="6FAD3FB9"/>
    <w:rsid w:val="6FE82C9C"/>
    <w:rsid w:val="6FFB146E"/>
    <w:rsid w:val="70160742"/>
    <w:rsid w:val="7030610F"/>
    <w:rsid w:val="70612DB4"/>
    <w:rsid w:val="706516C3"/>
    <w:rsid w:val="70660714"/>
    <w:rsid w:val="70896E68"/>
    <w:rsid w:val="708A4844"/>
    <w:rsid w:val="70C94DCA"/>
    <w:rsid w:val="70E05E9D"/>
    <w:rsid w:val="71073061"/>
    <w:rsid w:val="711A201F"/>
    <w:rsid w:val="71215AE9"/>
    <w:rsid w:val="712864E5"/>
    <w:rsid w:val="71396ACC"/>
    <w:rsid w:val="715B60E9"/>
    <w:rsid w:val="716F0EE9"/>
    <w:rsid w:val="7196674D"/>
    <w:rsid w:val="719E245E"/>
    <w:rsid w:val="71BA3FE5"/>
    <w:rsid w:val="71EA1FED"/>
    <w:rsid w:val="72165C6B"/>
    <w:rsid w:val="722021E3"/>
    <w:rsid w:val="72290340"/>
    <w:rsid w:val="722C6DDA"/>
    <w:rsid w:val="72515945"/>
    <w:rsid w:val="729243CB"/>
    <w:rsid w:val="72E661B1"/>
    <w:rsid w:val="72F122F0"/>
    <w:rsid w:val="730313F6"/>
    <w:rsid w:val="730E4732"/>
    <w:rsid w:val="73370D24"/>
    <w:rsid w:val="73397FB3"/>
    <w:rsid w:val="73472C84"/>
    <w:rsid w:val="7359268C"/>
    <w:rsid w:val="735F327A"/>
    <w:rsid w:val="7366631C"/>
    <w:rsid w:val="736C263C"/>
    <w:rsid w:val="73723640"/>
    <w:rsid w:val="737311F5"/>
    <w:rsid w:val="739503EB"/>
    <w:rsid w:val="73A05B28"/>
    <w:rsid w:val="73C07D69"/>
    <w:rsid w:val="73C979D4"/>
    <w:rsid w:val="73DC335B"/>
    <w:rsid w:val="740B60EC"/>
    <w:rsid w:val="745E7D35"/>
    <w:rsid w:val="7465362D"/>
    <w:rsid w:val="7475188D"/>
    <w:rsid w:val="749E16A8"/>
    <w:rsid w:val="74B42AE4"/>
    <w:rsid w:val="74C54993"/>
    <w:rsid w:val="74EB68F6"/>
    <w:rsid w:val="750A429D"/>
    <w:rsid w:val="752739E7"/>
    <w:rsid w:val="75474B47"/>
    <w:rsid w:val="75533AB0"/>
    <w:rsid w:val="75614792"/>
    <w:rsid w:val="75761866"/>
    <w:rsid w:val="75784473"/>
    <w:rsid w:val="75B10995"/>
    <w:rsid w:val="75B161B3"/>
    <w:rsid w:val="75DC6C44"/>
    <w:rsid w:val="75E957D9"/>
    <w:rsid w:val="75F05CC0"/>
    <w:rsid w:val="762F6A19"/>
    <w:rsid w:val="76341B33"/>
    <w:rsid w:val="76736B32"/>
    <w:rsid w:val="76807C04"/>
    <w:rsid w:val="76AF35EE"/>
    <w:rsid w:val="76C27A74"/>
    <w:rsid w:val="76C726A5"/>
    <w:rsid w:val="76E3765E"/>
    <w:rsid w:val="76FC2AFA"/>
    <w:rsid w:val="77527424"/>
    <w:rsid w:val="77653671"/>
    <w:rsid w:val="77707007"/>
    <w:rsid w:val="778546CC"/>
    <w:rsid w:val="778B6B46"/>
    <w:rsid w:val="77A337B9"/>
    <w:rsid w:val="77B551B3"/>
    <w:rsid w:val="77B56730"/>
    <w:rsid w:val="77B92EBE"/>
    <w:rsid w:val="77C04A8B"/>
    <w:rsid w:val="77D85DB3"/>
    <w:rsid w:val="77EB1B74"/>
    <w:rsid w:val="782A3EA3"/>
    <w:rsid w:val="78490703"/>
    <w:rsid w:val="78A50513"/>
    <w:rsid w:val="78C43087"/>
    <w:rsid w:val="78D37FAF"/>
    <w:rsid w:val="78EF7AB5"/>
    <w:rsid w:val="790D6849"/>
    <w:rsid w:val="795767E3"/>
    <w:rsid w:val="79586707"/>
    <w:rsid w:val="796518DD"/>
    <w:rsid w:val="79724BEF"/>
    <w:rsid w:val="797264AC"/>
    <w:rsid w:val="79775469"/>
    <w:rsid w:val="79AA0532"/>
    <w:rsid w:val="79FA22BC"/>
    <w:rsid w:val="79FE1DDD"/>
    <w:rsid w:val="7A075767"/>
    <w:rsid w:val="7A0C15B3"/>
    <w:rsid w:val="7A212062"/>
    <w:rsid w:val="7A2522C9"/>
    <w:rsid w:val="7A282A11"/>
    <w:rsid w:val="7A3A59B8"/>
    <w:rsid w:val="7A5D0F75"/>
    <w:rsid w:val="7A715CD2"/>
    <w:rsid w:val="7A921E9A"/>
    <w:rsid w:val="7A9E53BF"/>
    <w:rsid w:val="7AA914B9"/>
    <w:rsid w:val="7ABF2475"/>
    <w:rsid w:val="7AC21562"/>
    <w:rsid w:val="7AD474A4"/>
    <w:rsid w:val="7AFC38DE"/>
    <w:rsid w:val="7B303E8C"/>
    <w:rsid w:val="7B7D6B6D"/>
    <w:rsid w:val="7B865D50"/>
    <w:rsid w:val="7B8D34C3"/>
    <w:rsid w:val="7B971D84"/>
    <w:rsid w:val="7BAB0CB7"/>
    <w:rsid w:val="7BB4028F"/>
    <w:rsid w:val="7BC1107E"/>
    <w:rsid w:val="7BF32F03"/>
    <w:rsid w:val="7BF50D2C"/>
    <w:rsid w:val="7C066F4E"/>
    <w:rsid w:val="7C1724A5"/>
    <w:rsid w:val="7C297C08"/>
    <w:rsid w:val="7C8561DF"/>
    <w:rsid w:val="7CA54112"/>
    <w:rsid w:val="7CA553D9"/>
    <w:rsid w:val="7CAB27F5"/>
    <w:rsid w:val="7CAF438A"/>
    <w:rsid w:val="7CCE726D"/>
    <w:rsid w:val="7CD71EA3"/>
    <w:rsid w:val="7CE50CE4"/>
    <w:rsid w:val="7CE94EE1"/>
    <w:rsid w:val="7CF877E9"/>
    <w:rsid w:val="7D134762"/>
    <w:rsid w:val="7D244CB3"/>
    <w:rsid w:val="7D2E5ABF"/>
    <w:rsid w:val="7D4A45B8"/>
    <w:rsid w:val="7D535AC7"/>
    <w:rsid w:val="7D964A74"/>
    <w:rsid w:val="7DFB43EA"/>
    <w:rsid w:val="7E007625"/>
    <w:rsid w:val="7E0737C8"/>
    <w:rsid w:val="7E131C51"/>
    <w:rsid w:val="7E176B90"/>
    <w:rsid w:val="7E2142A2"/>
    <w:rsid w:val="7E240411"/>
    <w:rsid w:val="7E48335A"/>
    <w:rsid w:val="7E797DE5"/>
    <w:rsid w:val="7E7B0BF2"/>
    <w:rsid w:val="7E8D75B6"/>
    <w:rsid w:val="7E8E672B"/>
    <w:rsid w:val="7EA27DDF"/>
    <w:rsid w:val="7EC67BB0"/>
    <w:rsid w:val="7ED809AD"/>
    <w:rsid w:val="7EF760EE"/>
    <w:rsid w:val="7F2536B5"/>
    <w:rsid w:val="7F2C3CE7"/>
    <w:rsid w:val="7F5A01CA"/>
    <w:rsid w:val="7F75661B"/>
    <w:rsid w:val="7FB17429"/>
    <w:rsid w:val="7FC237CA"/>
    <w:rsid w:val="7FF127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link w:val="73"/>
    <w:qFormat/>
    <w:uiPriority w:val="9"/>
    <w:pPr>
      <w:keepNext/>
      <w:keepLines/>
      <w:spacing w:before="340" w:after="330" w:line="576" w:lineRule="auto"/>
      <w:outlineLvl w:val="0"/>
    </w:pPr>
    <w:rPr>
      <w:b/>
      <w:kern w:val="44"/>
      <w:sz w:val="44"/>
    </w:rPr>
  </w:style>
  <w:style w:type="paragraph" w:styleId="4">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0"/>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7">
    <w:name w:val="heading 5"/>
    <w:basedOn w:val="1"/>
    <w:next w:val="1"/>
    <w:link w:val="72"/>
    <w:autoRedefine/>
    <w:semiHidden/>
    <w:unhideWhenUsed/>
    <w:qFormat/>
    <w:uiPriority w:val="9"/>
    <w:pPr>
      <w:keepNext/>
      <w:keepLines/>
      <w:spacing w:before="280" w:after="290" w:line="372" w:lineRule="auto"/>
      <w:outlineLvl w:val="4"/>
    </w:pPr>
    <w:rPr>
      <w:b/>
      <w:sz w:val="28"/>
    </w:rPr>
  </w:style>
  <w:style w:type="character" w:default="1" w:styleId="32">
    <w:name w:val="Default Paragraph Font"/>
    <w:autoRedefine/>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ascii="Times New Roman" w:hAnsi="Times New Roman"/>
    </w:rPr>
  </w:style>
  <w:style w:type="paragraph" w:styleId="8">
    <w:name w:val="toc 7"/>
    <w:basedOn w:val="1"/>
    <w:next w:val="1"/>
    <w:autoRedefine/>
    <w:unhideWhenUsed/>
    <w:qFormat/>
    <w:uiPriority w:val="39"/>
    <w:pPr>
      <w:widowControl w:val="0"/>
      <w:adjustRightInd/>
      <w:snapToGrid/>
      <w:spacing w:line="240" w:lineRule="auto"/>
      <w:ind w:left="2520" w:leftChars="1200"/>
      <w:jc w:val="both"/>
    </w:pPr>
    <w:rPr>
      <w:rFonts w:asciiTheme="minorHAnsi" w:hAnsiTheme="minorHAnsi" w:eastAsiaTheme="minorEastAsia"/>
      <w:kern w:val="2"/>
    </w:rPr>
  </w:style>
  <w:style w:type="paragraph" w:styleId="9">
    <w:name w:val="annotation text"/>
    <w:basedOn w:val="1"/>
    <w:link w:val="61"/>
    <w:autoRedefine/>
    <w:unhideWhenUsed/>
    <w:qFormat/>
    <w:uiPriority w:val="99"/>
  </w:style>
  <w:style w:type="paragraph" w:styleId="10">
    <w:name w:val="Body Text"/>
    <w:basedOn w:val="1"/>
    <w:link w:val="64"/>
    <w:autoRedefine/>
    <w:qFormat/>
    <w:uiPriority w:val="1"/>
    <w:pPr>
      <w:spacing w:before="161"/>
      <w:ind w:left="120"/>
    </w:pPr>
    <w:rPr>
      <w:rFonts w:ascii="宋体" w:hAnsi="宋体" w:cs="宋体"/>
      <w:sz w:val="24"/>
      <w:lang w:val="zh-CN" w:bidi="zh-CN"/>
    </w:rPr>
  </w:style>
  <w:style w:type="paragraph" w:styleId="11">
    <w:name w:val="Body Text Indent"/>
    <w:basedOn w:val="1"/>
    <w:next w:val="1"/>
    <w:qFormat/>
    <w:uiPriority w:val="0"/>
    <w:pPr>
      <w:ind w:left="359" w:leftChars="171" w:firstLine="179" w:firstLineChars="85"/>
    </w:pPr>
    <w:rPr>
      <w:rFonts w:ascii="宋体" w:hAnsi="宋体"/>
      <w:b/>
      <w:bCs/>
      <w:szCs w:val="26"/>
    </w:rPr>
  </w:style>
  <w:style w:type="paragraph" w:styleId="12">
    <w:name w:val="toc 5"/>
    <w:basedOn w:val="1"/>
    <w:next w:val="1"/>
    <w:autoRedefine/>
    <w:unhideWhenUsed/>
    <w:qFormat/>
    <w:uiPriority w:val="39"/>
    <w:pPr>
      <w:widowControl w:val="0"/>
      <w:adjustRightInd/>
      <w:snapToGrid/>
      <w:spacing w:line="240" w:lineRule="auto"/>
      <w:ind w:left="1680" w:leftChars="800"/>
      <w:jc w:val="both"/>
    </w:pPr>
    <w:rPr>
      <w:rFonts w:asciiTheme="minorHAnsi" w:hAnsiTheme="minorHAnsi" w:eastAsiaTheme="minorEastAsia"/>
      <w:kern w:val="2"/>
    </w:rPr>
  </w:style>
  <w:style w:type="paragraph" w:styleId="13">
    <w:name w:val="toc 3"/>
    <w:basedOn w:val="1"/>
    <w:next w:val="1"/>
    <w:autoRedefine/>
    <w:unhideWhenUsed/>
    <w:qFormat/>
    <w:uiPriority w:val="39"/>
    <w:pPr>
      <w:tabs>
        <w:tab w:val="right" w:leader="dot" w:pos="8296"/>
      </w:tabs>
      <w:ind w:left="838" w:leftChars="381"/>
    </w:pPr>
    <w:rPr>
      <w:szCs w:val="21"/>
    </w:rPr>
  </w:style>
  <w:style w:type="paragraph" w:styleId="14">
    <w:name w:val="Plain Text"/>
    <w:basedOn w:val="1"/>
    <w:link w:val="53"/>
    <w:autoRedefine/>
    <w:qFormat/>
    <w:uiPriority w:val="0"/>
    <w:pPr>
      <w:widowControl w:val="0"/>
      <w:adjustRightInd/>
      <w:snapToGrid/>
      <w:jc w:val="both"/>
    </w:pPr>
    <w:rPr>
      <w:rFonts w:ascii="宋体" w:hAnsi="Courier New" w:cs="Times New Roman"/>
      <w:b/>
      <w:kern w:val="2"/>
      <w:szCs w:val="20"/>
    </w:rPr>
  </w:style>
  <w:style w:type="paragraph" w:styleId="15">
    <w:name w:val="toc 8"/>
    <w:basedOn w:val="1"/>
    <w:next w:val="1"/>
    <w:autoRedefine/>
    <w:unhideWhenUsed/>
    <w:qFormat/>
    <w:uiPriority w:val="39"/>
    <w:pPr>
      <w:widowControl w:val="0"/>
      <w:adjustRightInd/>
      <w:snapToGrid/>
      <w:spacing w:line="240" w:lineRule="auto"/>
      <w:ind w:left="2940" w:leftChars="1400"/>
      <w:jc w:val="both"/>
    </w:pPr>
    <w:rPr>
      <w:rFonts w:asciiTheme="minorHAnsi" w:hAnsiTheme="minorHAnsi" w:eastAsiaTheme="minorEastAsia"/>
      <w:kern w:val="2"/>
    </w:rPr>
  </w:style>
  <w:style w:type="paragraph" w:styleId="16">
    <w:name w:val="Balloon Text"/>
    <w:basedOn w:val="1"/>
    <w:link w:val="56"/>
    <w:autoRedefine/>
    <w:semiHidden/>
    <w:unhideWhenUsed/>
    <w:qFormat/>
    <w:uiPriority w:val="99"/>
    <w:rPr>
      <w:sz w:val="18"/>
      <w:szCs w:val="18"/>
    </w:rPr>
  </w:style>
  <w:style w:type="paragraph" w:styleId="17">
    <w:name w:val="footer"/>
    <w:basedOn w:val="1"/>
    <w:link w:val="55"/>
    <w:autoRedefine/>
    <w:unhideWhenUsed/>
    <w:qFormat/>
    <w:uiPriority w:val="99"/>
    <w:pPr>
      <w:tabs>
        <w:tab w:val="center" w:pos="4153"/>
        <w:tab w:val="right" w:pos="8306"/>
      </w:tabs>
    </w:pPr>
    <w:rPr>
      <w:sz w:val="18"/>
      <w:szCs w:val="18"/>
    </w:rPr>
  </w:style>
  <w:style w:type="paragraph" w:styleId="18">
    <w:name w:val="header"/>
    <w:basedOn w:val="1"/>
    <w:link w:val="54"/>
    <w:autoRedefine/>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tabs>
        <w:tab w:val="right" w:leader="dot" w:pos="8296"/>
      </w:tabs>
      <w:spacing w:after="120"/>
      <w:ind w:left="1320" w:leftChars="600"/>
    </w:pPr>
  </w:style>
  <w:style w:type="paragraph" w:styleId="21">
    <w:name w:val="footnote text"/>
    <w:basedOn w:val="1"/>
    <w:autoRedefine/>
    <w:semiHidden/>
    <w:unhideWhenUsed/>
    <w:qFormat/>
    <w:uiPriority w:val="99"/>
    <w:rPr>
      <w:sz w:val="18"/>
    </w:rPr>
  </w:style>
  <w:style w:type="paragraph" w:styleId="22">
    <w:name w:val="toc 6"/>
    <w:basedOn w:val="1"/>
    <w:next w:val="1"/>
    <w:autoRedefine/>
    <w:qFormat/>
    <w:uiPriority w:val="39"/>
    <w:pPr>
      <w:ind w:left="1200"/>
    </w:pPr>
    <w:rPr>
      <w:rFonts w:ascii="Calibri" w:cs="Calibri"/>
      <w:sz w:val="18"/>
      <w:szCs w:val="18"/>
    </w:rPr>
  </w:style>
  <w:style w:type="paragraph" w:styleId="23">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4">
    <w:name w:val="toc 9"/>
    <w:basedOn w:val="1"/>
    <w:next w:val="1"/>
    <w:autoRedefine/>
    <w:unhideWhenUsed/>
    <w:qFormat/>
    <w:uiPriority w:val="39"/>
    <w:pPr>
      <w:widowControl w:val="0"/>
      <w:adjustRightInd/>
      <w:snapToGrid/>
      <w:spacing w:line="240" w:lineRule="auto"/>
      <w:ind w:left="3360" w:leftChars="1600"/>
      <w:jc w:val="both"/>
    </w:pPr>
    <w:rPr>
      <w:rFonts w:asciiTheme="minorHAnsi" w:hAnsiTheme="minorHAnsi" w:eastAsiaTheme="minorEastAsia"/>
      <w:kern w:val="2"/>
    </w:rPr>
  </w:style>
  <w:style w:type="paragraph" w:styleId="25">
    <w:name w:val="Normal (Web)"/>
    <w:basedOn w:val="1"/>
    <w:link w:val="58"/>
    <w:autoRedefine/>
    <w:qFormat/>
    <w:uiPriority w:val="0"/>
    <w:pPr>
      <w:widowControl w:val="0"/>
      <w:adjustRightInd/>
      <w:snapToGrid/>
      <w:jc w:val="both"/>
    </w:pPr>
    <w:rPr>
      <w:rFonts w:asciiTheme="minorHAnsi" w:hAnsiTheme="minorHAnsi"/>
      <w:kern w:val="2"/>
      <w:sz w:val="24"/>
      <w:szCs w:val="24"/>
    </w:rPr>
  </w:style>
  <w:style w:type="paragraph" w:styleId="26">
    <w:name w:val="annotation subject"/>
    <w:basedOn w:val="9"/>
    <w:next w:val="9"/>
    <w:link w:val="62"/>
    <w:autoRedefine/>
    <w:semiHidden/>
    <w:unhideWhenUsed/>
    <w:qFormat/>
    <w:uiPriority w:val="99"/>
    <w:rPr>
      <w:b/>
      <w:bCs/>
    </w:rPr>
  </w:style>
  <w:style w:type="paragraph" w:styleId="27">
    <w:name w:val="Body Text First Indent"/>
    <w:basedOn w:val="10"/>
    <w:next w:val="28"/>
    <w:autoRedefine/>
    <w:qFormat/>
    <w:uiPriority w:val="0"/>
    <w:pPr>
      <w:spacing w:after="120"/>
      <w:ind w:firstLine="420" w:firstLineChars="100"/>
    </w:pPr>
    <w:rPr>
      <w:bCs/>
      <w:szCs w:val="21"/>
    </w:rPr>
  </w:style>
  <w:style w:type="paragraph" w:customStyle="1" w:styleId="28">
    <w:name w:val="样式 正文首行缩进 + 首行缩进:  1 字符"/>
    <w:basedOn w:val="1"/>
    <w:next w:val="1"/>
    <w:autoRedefine/>
    <w:qFormat/>
    <w:uiPriority w:val="0"/>
    <w:pPr>
      <w:ind w:firstLine="200" w:firstLineChars="200"/>
    </w:pPr>
    <w:rPr>
      <w:rFonts w:cs="宋体"/>
      <w:szCs w:val="20"/>
    </w:rPr>
  </w:style>
  <w:style w:type="paragraph" w:styleId="29">
    <w:name w:val="Body Text First Indent 2"/>
    <w:basedOn w:val="11"/>
    <w:autoRedefine/>
    <w:qFormat/>
    <w:uiPriority w:val="0"/>
    <w:pPr>
      <w:spacing w:after="120" w:line="240" w:lineRule="auto"/>
      <w:ind w:left="420" w:leftChars="200" w:firstLine="420"/>
    </w:pPr>
    <w:rPr>
      <w:sz w:val="21"/>
    </w:r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autoRedefine/>
    <w:qFormat/>
    <w:uiPriority w:val="0"/>
  </w:style>
  <w:style w:type="character" w:styleId="34">
    <w:name w:val="Emphasis"/>
    <w:basedOn w:val="32"/>
    <w:autoRedefine/>
    <w:qFormat/>
    <w:uiPriority w:val="20"/>
    <w:rPr>
      <w:i/>
      <w:iCs/>
    </w:rPr>
  </w:style>
  <w:style w:type="character" w:styleId="35">
    <w:name w:val="Hyperlink"/>
    <w:autoRedefine/>
    <w:qFormat/>
    <w:uiPriority w:val="99"/>
    <w:rPr>
      <w:rFonts w:hint="eastAsia" w:ascii="宋体" w:hAnsi="宋体" w:eastAsia="宋体" w:cs="宋体"/>
      <w:b/>
      <w:color w:val="0031C1"/>
      <w:kern w:val="0"/>
      <w:sz w:val="18"/>
      <w:szCs w:val="18"/>
      <w:u w:val="none"/>
      <w:lang w:eastAsia="en-US"/>
    </w:rPr>
  </w:style>
  <w:style w:type="character" w:styleId="36">
    <w:name w:val="annotation reference"/>
    <w:basedOn w:val="32"/>
    <w:autoRedefine/>
    <w:semiHidden/>
    <w:unhideWhenUsed/>
    <w:qFormat/>
    <w:uiPriority w:val="99"/>
    <w:rPr>
      <w:sz w:val="21"/>
      <w:szCs w:val="21"/>
    </w:rPr>
  </w:style>
  <w:style w:type="character" w:styleId="37">
    <w:name w:val="footnote reference"/>
    <w:basedOn w:val="32"/>
    <w:autoRedefine/>
    <w:semiHidden/>
    <w:unhideWhenUsed/>
    <w:qFormat/>
    <w:uiPriority w:val="99"/>
    <w:rPr>
      <w:vertAlign w:val="superscript"/>
    </w:rPr>
  </w:style>
  <w:style w:type="paragraph" w:customStyle="1" w:styleId="38">
    <w:name w:val="首行缩进"/>
    <w:basedOn w:val="1"/>
    <w:autoRedefine/>
    <w:qFormat/>
    <w:uiPriority w:val="0"/>
    <w:pPr>
      <w:adjustRightInd/>
      <w:spacing w:line="300" w:lineRule="auto"/>
      <w:ind w:firstLine="420" w:firstLineChars="200"/>
      <w:jc w:val="both"/>
    </w:pPr>
    <w:rPr>
      <w:rFonts w:ascii="Calibri" w:hAnsi="Calibri" w:eastAsia="方正书宋简体" w:cs="Times New Roman"/>
      <w:sz w:val="20"/>
    </w:rPr>
  </w:style>
  <w:style w:type="character" w:customStyle="1" w:styleId="39">
    <w:name w:val="标题 2 字符"/>
    <w:basedOn w:val="32"/>
    <w:link w:val="4"/>
    <w:autoRedefine/>
    <w:qFormat/>
    <w:uiPriority w:val="9"/>
    <w:rPr>
      <w:rFonts w:asciiTheme="majorHAnsi" w:hAnsiTheme="majorHAnsi" w:eastAsiaTheme="majorEastAsia" w:cstheme="majorBidi"/>
      <w:b/>
      <w:bCs/>
      <w:sz w:val="32"/>
      <w:szCs w:val="32"/>
    </w:rPr>
  </w:style>
  <w:style w:type="character" w:customStyle="1" w:styleId="40">
    <w:name w:val="标题 3 字符"/>
    <w:basedOn w:val="32"/>
    <w:link w:val="5"/>
    <w:autoRedefine/>
    <w:qFormat/>
    <w:uiPriority w:val="9"/>
    <w:rPr>
      <w:rFonts w:ascii="Tahoma" w:hAnsi="Tahoma"/>
      <w:b/>
      <w:bCs/>
      <w:sz w:val="32"/>
      <w:szCs w:val="32"/>
    </w:rPr>
  </w:style>
  <w:style w:type="paragraph" w:styleId="41">
    <w:name w:val="List Paragraph"/>
    <w:basedOn w:val="1"/>
    <w:link w:val="63"/>
    <w:autoRedefine/>
    <w:qFormat/>
    <w:uiPriority w:val="0"/>
    <w:pPr>
      <w:ind w:firstLine="420" w:firstLineChars="200"/>
    </w:pPr>
  </w:style>
  <w:style w:type="character" w:customStyle="1" w:styleId="42">
    <w:name w:val="标题 4 字符"/>
    <w:basedOn w:val="32"/>
    <w:link w:val="6"/>
    <w:autoRedefine/>
    <w:qFormat/>
    <w:uiPriority w:val="9"/>
    <w:rPr>
      <w:rFonts w:eastAsia="宋体" w:asciiTheme="majorHAnsi" w:hAnsiTheme="majorHAnsi" w:cstheme="majorBidi"/>
      <w:b/>
      <w:bCs/>
      <w:sz w:val="24"/>
      <w:szCs w:val="28"/>
    </w:rPr>
  </w:style>
  <w:style w:type="character" w:customStyle="1" w:styleId="43">
    <w:name w:val="正文缩进2格 Char"/>
    <w:link w:val="44"/>
    <w:autoRedefine/>
    <w:qFormat/>
    <w:uiPriority w:val="0"/>
    <w:rPr>
      <w:rFonts w:ascii="仿宋_GB2312" w:hAnsi="宋体" w:eastAsia="仿宋_GB2312"/>
      <w:kern w:val="2"/>
      <w:sz w:val="31"/>
    </w:rPr>
  </w:style>
  <w:style w:type="paragraph" w:customStyle="1" w:styleId="44">
    <w:name w:val="正文缩进2格"/>
    <w:basedOn w:val="1"/>
    <w:link w:val="43"/>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qFormat/>
    <w:uiPriority w:val="0"/>
    <w:pPr>
      <w:ind w:left="2" w:firstLine="538" w:firstLineChars="192"/>
    </w:pPr>
    <w:rPr>
      <w:color w:val="0000FF"/>
      <w:sz w:val="28"/>
    </w:rPr>
  </w:style>
  <w:style w:type="character" w:customStyle="1" w:styleId="46">
    <w:name w:val="正文缩进2格 Char Char"/>
    <w:autoRedefine/>
    <w:qFormat/>
    <w:uiPriority w:val="0"/>
    <w:rPr>
      <w:rFonts w:ascii="仿宋_GB2312" w:hAnsi="宋体" w:eastAsia="仿宋_GB2312" w:cs="Times New Roman"/>
      <w:b/>
      <w:kern w:val="2"/>
      <w:sz w:val="31"/>
      <w:szCs w:val="28"/>
      <w:lang w:val="en-US" w:eastAsia="zh-CN" w:bidi="ar-SA"/>
    </w:rPr>
  </w:style>
  <w:style w:type="paragraph" w:customStyle="1" w:styleId="47">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8">
    <w:name w:val="标题1"/>
    <w:autoRedefine/>
    <w:qFormat/>
    <w:uiPriority w:val="0"/>
    <w:rPr>
      <w:rFonts w:ascii="Times New Roman" w:hAnsi="Times New Roman" w:eastAsia="宋体" w:cs="Times New Roman"/>
      <w:b/>
      <w:kern w:val="0"/>
      <w:sz w:val="24"/>
      <w:szCs w:val="20"/>
      <w:lang w:eastAsia="en-US"/>
    </w:rPr>
  </w:style>
  <w:style w:type="character" w:customStyle="1" w:styleId="49">
    <w:name w:val="标题 3.1 Char"/>
    <w:link w:val="50"/>
    <w:autoRedefine/>
    <w:qFormat/>
    <w:uiPriority w:val="0"/>
    <w:rPr>
      <w:rFonts w:ascii="宋体" w:hAnsi="宋体" w:eastAsia="宋体"/>
      <w:b/>
      <w:color w:val="FF0000"/>
      <w:kern w:val="2"/>
      <w:sz w:val="32"/>
    </w:rPr>
  </w:style>
  <w:style w:type="paragraph" w:customStyle="1" w:styleId="50">
    <w:name w:val="标题 3.1"/>
    <w:basedOn w:val="5"/>
    <w:link w:val="49"/>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1">
    <w:name w:val="样式 楷体_GB2312 小四"/>
    <w:autoRedefine/>
    <w:qFormat/>
    <w:uiPriority w:val="0"/>
    <w:rPr>
      <w:rFonts w:ascii="楷体_GB2312" w:hAnsi="楷体_GB2312" w:eastAsia="仿宋_GB2312"/>
      <w:sz w:val="24"/>
    </w:rPr>
  </w:style>
  <w:style w:type="character" w:customStyle="1" w:styleId="52">
    <w:name w:val="纯文本 Char"/>
    <w:autoRedefine/>
    <w:qFormat/>
    <w:uiPriority w:val="0"/>
    <w:rPr>
      <w:rFonts w:ascii="宋体" w:hAnsi="Courier New" w:eastAsia="宋体" w:cs="Times New Roman"/>
      <w:b/>
      <w:kern w:val="2"/>
      <w:sz w:val="21"/>
      <w:szCs w:val="20"/>
    </w:rPr>
  </w:style>
  <w:style w:type="character" w:customStyle="1" w:styleId="53">
    <w:name w:val="纯文本 字符"/>
    <w:basedOn w:val="32"/>
    <w:link w:val="14"/>
    <w:autoRedefine/>
    <w:semiHidden/>
    <w:qFormat/>
    <w:uiPriority w:val="99"/>
    <w:rPr>
      <w:rFonts w:ascii="宋体" w:hAnsi="Courier New" w:eastAsia="宋体" w:cs="Courier New"/>
      <w:sz w:val="21"/>
      <w:szCs w:val="21"/>
    </w:rPr>
  </w:style>
  <w:style w:type="character" w:customStyle="1" w:styleId="54">
    <w:name w:val="页眉 字符"/>
    <w:basedOn w:val="32"/>
    <w:link w:val="18"/>
    <w:autoRedefine/>
    <w:qFormat/>
    <w:uiPriority w:val="99"/>
    <w:rPr>
      <w:rFonts w:ascii="Tahoma" w:hAnsi="Tahoma"/>
      <w:sz w:val="18"/>
      <w:szCs w:val="18"/>
    </w:rPr>
  </w:style>
  <w:style w:type="character" w:customStyle="1" w:styleId="55">
    <w:name w:val="页脚 字符"/>
    <w:basedOn w:val="32"/>
    <w:link w:val="17"/>
    <w:autoRedefine/>
    <w:qFormat/>
    <w:uiPriority w:val="99"/>
    <w:rPr>
      <w:rFonts w:ascii="Tahoma" w:hAnsi="Tahoma"/>
      <w:sz w:val="18"/>
      <w:szCs w:val="18"/>
    </w:rPr>
  </w:style>
  <w:style w:type="character" w:customStyle="1" w:styleId="56">
    <w:name w:val="批注框文本 字符"/>
    <w:basedOn w:val="32"/>
    <w:link w:val="16"/>
    <w:semiHidden/>
    <w:qFormat/>
    <w:uiPriority w:val="99"/>
    <w:rPr>
      <w:rFonts w:ascii="Tahoma" w:hAnsi="Tahoma"/>
      <w:sz w:val="18"/>
      <w:szCs w:val="18"/>
    </w:rPr>
  </w:style>
  <w:style w:type="paragraph" w:customStyle="1" w:styleId="57">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8">
    <w:name w:val="普通(网站) 字符"/>
    <w:link w:val="25"/>
    <w:autoRedefine/>
    <w:qFormat/>
    <w:uiPriority w:val="0"/>
    <w:rPr>
      <w:rFonts w:eastAsia="宋体"/>
      <w:kern w:val="2"/>
      <w:sz w:val="24"/>
      <w:szCs w:val="24"/>
    </w:rPr>
  </w:style>
  <w:style w:type="paragraph" w:customStyle="1" w:styleId="59">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60">
    <w:name w:val="p141"/>
    <w:qFormat/>
    <w:uiPriority w:val="0"/>
    <w:rPr>
      <w:sz w:val="21"/>
      <w:szCs w:val="21"/>
    </w:rPr>
  </w:style>
  <w:style w:type="character" w:customStyle="1" w:styleId="61">
    <w:name w:val="批注文字 字符"/>
    <w:basedOn w:val="32"/>
    <w:link w:val="9"/>
    <w:autoRedefine/>
    <w:qFormat/>
    <w:uiPriority w:val="99"/>
    <w:rPr>
      <w:rFonts w:ascii="Tahoma" w:hAnsi="Tahoma" w:eastAsia="微软雅黑" w:cstheme="minorBidi"/>
      <w:sz w:val="22"/>
      <w:szCs w:val="22"/>
    </w:rPr>
  </w:style>
  <w:style w:type="character" w:customStyle="1" w:styleId="62">
    <w:name w:val="批注主题 字符"/>
    <w:basedOn w:val="61"/>
    <w:link w:val="26"/>
    <w:autoRedefine/>
    <w:semiHidden/>
    <w:qFormat/>
    <w:uiPriority w:val="99"/>
    <w:rPr>
      <w:rFonts w:ascii="Tahoma" w:hAnsi="Tahoma" w:eastAsia="微软雅黑" w:cstheme="minorBidi"/>
      <w:b/>
      <w:bCs/>
      <w:sz w:val="22"/>
      <w:szCs w:val="22"/>
    </w:rPr>
  </w:style>
  <w:style w:type="character" w:customStyle="1" w:styleId="63">
    <w:name w:val="列表段落 字符"/>
    <w:link w:val="41"/>
    <w:autoRedefine/>
    <w:qFormat/>
    <w:uiPriority w:val="0"/>
    <w:rPr>
      <w:rFonts w:ascii="Tahoma" w:hAnsi="Tahoma" w:eastAsia="微软雅黑" w:cstheme="minorBidi"/>
      <w:sz w:val="22"/>
      <w:szCs w:val="22"/>
    </w:rPr>
  </w:style>
  <w:style w:type="character" w:customStyle="1" w:styleId="64">
    <w:name w:val="正文文本 字符"/>
    <w:basedOn w:val="32"/>
    <w:link w:val="10"/>
    <w:autoRedefine/>
    <w:qFormat/>
    <w:uiPriority w:val="1"/>
    <w:rPr>
      <w:rFonts w:ascii="宋体" w:hAnsi="宋体" w:cs="宋体"/>
      <w:sz w:val="24"/>
      <w:szCs w:val="22"/>
      <w:lang w:val="zh-CN" w:bidi="zh-CN"/>
    </w:rPr>
  </w:style>
  <w:style w:type="paragraph" w:customStyle="1" w:styleId="6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_Style 1"/>
    <w:basedOn w:val="1"/>
    <w:autoRedefine/>
    <w:qFormat/>
    <w:uiPriority w:val="0"/>
    <w:pPr>
      <w:ind w:firstLine="420" w:firstLineChars="200"/>
    </w:pPr>
  </w:style>
  <w:style w:type="paragraph" w:customStyle="1" w:styleId="67">
    <w:name w:val="列出段落2"/>
    <w:basedOn w:val="1"/>
    <w:autoRedefine/>
    <w:qFormat/>
    <w:uiPriority w:val="0"/>
    <w:pPr>
      <w:ind w:firstLine="420" w:firstLineChars="200"/>
    </w:pPr>
  </w:style>
  <w:style w:type="paragraph" w:customStyle="1" w:styleId="68">
    <w:name w:val="p0"/>
    <w:basedOn w:val="1"/>
    <w:autoRedefine/>
    <w:qFormat/>
    <w:uiPriority w:val="0"/>
    <w:rPr>
      <w:szCs w:val="21"/>
    </w:rPr>
  </w:style>
  <w:style w:type="paragraph" w:customStyle="1" w:styleId="69">
    <w:name w:val="正文文本缩进 21"/>
    <w:basedOn w:val="1"/>
    <w:autoRedefine/>
    <w:qFormat/>
    <w:uiPriority w:val="0"/>
    <w:pPr>
      <w:spacing w:line="480" w:lineRule="auto"/>
      <w:ind w:firstLine="540"/>
    </w:pPr>
    <w:rPr>
      <w:rFonts w:ascii="Calibri" w:hAnsi="Calibri"/>
      <w:sz w:val="20"/>
      <w:szCs w:val="20"/>
    </w:rPr>
  </w:style>
  <w:style w:type="paragraph" w:customStyle="1" w:styleId="70">
    <w:name w:val="_Style 2"/>
    <w:basedOn w:val="1"/>
    <w:autoRedefine/>
    <w:qFormat/>
    <w:uiPriority w:val="0"/>
    <w:pPr>
      <w:ind w:firstLine="420" w:firstLineChars="200"/>
    </w:pPr>
  </w:style>
  <w:style w:type="paragraph" w:customStyle="1" w:styleId="71">
    <w:name w:val="msolistparagraph"/>
    <w:basedOn w:val="1"/>
    <w:autoRedefine/>
    <w:qFormat/>
    <w:uiPriority w:val="0"/>
    <w:pPr>
      <w:ind w:firstLine="420" w:firstLineChars="200"/>
    </w:pPr>
    <w:rPr>
      <w:rFonts w:hint="eastAsia" w:hAnsi="宋体"/>
    </w:rPr>
  </w:style>
  <w:style w:type="character" w:customStyle="1" w:styleId="72">
    <w:name w:val="标题 5 字符"/>
    <w:link w:val="7"/>
    <w:autoRedefine/>
    <w:qFormat/>
    <w:uiPriority w:val="0"/>
    <w:rPr>
      <w:b/>
      <w:sz w:val="28"/>
    </w:rPr>
  </w:style>
  <w:style w:type="character" w:customStyle="1" w:styleId="73">
    <w:name w:val="标题 1 字符"/>
    <w:link w:val="3"/>
    <w:autoRedefine/>
    <w:qFormat/>
    <w:uiPriority w:val="9"/>
    <w:rPr>
      <w:b/>
      <w:kern w:val="44"/>
      <w:sz w:val="44"/>
    </w:rPr>
  </w:style>
  <w:style w:type="paragraph" w:customStyle="1" w:styleId="74">
    <w:name w:val="修订1"/>
    <w:autoRedefine/>
    <w:hidden/>
    <w:semiHidden/>
    <w:qFormat/>
    <w:uiPriority w:val="99"/>
    <w:rPr>
      <w:rFonts w:ascii="Tahoma" w:hAnsi="Tahoma" w:eastAsia="宋体" w:cstheme="minorBidi"/>
      <w:sz w:val="21"/>
      <w:szCs w:val="22"/>
      <w:lang w:val="en-US" w:eastAsia="zh-CN" w:bidi="ar-SA"/>
    </w:rPr>
  </w:style>
  <w:style w:type="paragraph" w:customStyle="1" w:styleId="75">
    <w:name w:val="表格文字"/>
    <w:basedOn w:val="1"/>
    <w:autoRedefine/>
    <w:qFormat/>
    <w:uiPriority w:val="0"/>
    <w:pPr>
      <w:adjustRightInd/>
      <w:spacing w:before="25" w:after="25"/>
    </w:pPr>
    <w:rPr>
      <w:rFonts w:ascii="Times New Roman"/>
      <w:bCs/>
      <w:spacing w:val="10"/>
      <w:szCs w:val="20"/>
    </w:rPr>
  </w:style>
  <w:style w:type="paragraph" w:customStyle="1" w:styleId="76">
    <w:name w:val="纯文本1"/>
    <w:basedOn w:val="77"/>
    <w:qFormat/>
    <w:uiPriority w:val="0"/>
    <w:rPr>
      <w:rFonts w:ascii="宋体" w:hAnsi="Courier New"/>
      <w:szCs w:val="20"/>
    </w:rPr>
  </w:style>
  <w:style w:type="paragraph" w:customStyle="1" w:styleId="77">
    <w:name w:val="正文 New"/>
    <w:autoRedefine/>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8">
    <w:name w:val="正文2"/>
    <w:autoRedefine/>
    <w:qFormat/>
    <w:uiPriority w:val="0"/>
    <w:pPr>
      <w:jc w:val="both"/>
    </w:pPr>
    <w:rPr>
      <w:rFonts w:ascii="Times New Roman" w:hAnsi="Times New Roman" w:eastAsia="宋体" w:cs="Times New Roman"/>
      <w:kern w:val="2"/>
      <w:sz w:val="21"/>
      <w:szCs w:val="21"/>
      <w:lang w:val="en-US" w:eastAsia="zh-CN" w:bidi="ar-SA"/>
    </w:rPr>
  </w:style>
  <w:style w:type="table" w:customStyle="1" w:styleId="79">
    <w:name w:val="Table Normal"/>
    <w:autoRedefine/>
    <w:semiHidden/>
    <w:unhideWhenUsed/>
    <w:qFormat/>
    <w:uiPriority w:val="2"/>
    <w:tblPr>
      <w:tblCellMar>
        <w:top w:w="0" w:type="dxa"/>
        <w:left w:w="0" w:type="dxa"/>
        <w:bottom w:w="0" w:type="dxa"/>
        <w:right w:w="0" w:type="dxa"/>
      </w:tblCellMar>
    </w:tblPr>
  </w:style>
  <w:style w:type="paragraph" w:customStyle="1" w:styleId="80">
    <w:name w:val="Table Paragraph"/>
    <w:basedOn w:val="1"/>
    <w:autoRedefine/>
    <w:qFormat/>
    <w:uiPriority w:val="1"/>
  </w:style>
  <w:style w:type="paragraph" w:customStyle="1" w:styleId="81">
    <w:name w:val="正文文本缩进1"/>
    <w:basedOn w:val="77"/>
    <w:autoRedefine/>
    <w:qFormat/>
    <w:uiPriority w:val="0"/>
    <w:pPr>
      <w:spacing w:after="120"/>
      <w:ind w:left="420" w:leftChars="200"/>
    </w:pPr>
  </w:style>
  <w:style w:type="paragraph" w:customStyle="1" w:styleId="82">
    <w:name w:val="正文 New New"/>
    <w:autoRedefine/>
    <w:qFormat/>
    <w:uiPriority w:val="0"/>
    <w:pPr>
      <w:widowControl w:val="0"/>
      <w:jc w:val="both"/>
    </w:pPr>
    <w:rPr>
      <w:rFonts w:ascii="Times New Roman" w:hAnsi="Times New Roman" w:eastAsia="宋体" w:cs="Times New Roman"/>
      <w:szCs w:val="24"/>
      <w:lang w:val="en-US" w:eastAsia="zh-CN" w:bidi="ar-SA"/>
    </w:rPr>
  </w:style>
  <w:style w:type="paragraph" w:customStyle="1" w:styleId="83">
    <w:name w:val="纯文本2"/>
    <w:basedOn w:val="77"/>
    <w:autoRedefine/>
    <w:qFormat/>
    <w:uiPriority w:val="0"/>
    <w:rPr>
      <w:rFonts w:ascii="宋体" w:hAnsi="Courier New"/>
      <w:szCs w:val="20"/>
    </w:rPr>
  </w:style>
  <w:style w:type="character" w:customStyle="1" w:styleId="84">
    <w:name w:val="font141"/>
    <w:autoRedefine/>
    <w:qFormat/>
    <w:uiPriority w:val="0"/>
    <w:rPr>
      <w:rFonts w:hint="default" w:ascii="Times New Roman" w:hAnsi="Times New Roman" w:cs="Times New Roman"/>
      <w:color w:val="000000"/>
      <w:sz w:val="18"/>
      <w:szCs w:val="18"/>
      <w:u w:val="none"/>
    </w:rPr>
  </w:style>
  <w:style w:type="character" w:customStyle="1" w:styleId="85">
    <w:name w:val="font71"/>
    <w:autoRedefine/>
    <w:qFormat/>
    <w:uiPriority w:val="0"/>
    <w:rPr>
      <w:rFonts w:hint="eastAsia" w:ascii="宋体" w:hAnsi="宋体" w:eastAsia="宋体" w:cs="宋体"/>
      <w:color w:val="000000"/>
      <w:sz w:val="18"/>
      <w:szCs w:val="18"/>
      <w:u w:val="none"/>
    </w:rPr>
  </w:style>
  <w:style w:type="character" w:customStyle="1" w:styleId="86">
    <w:name w:val="font61"/>
    <w:autoRedefine/>
    <w:qFormat/>
    <w:uiPriority w:val="0"/>
    <w:rPr>
      <w:rFonts w:hint="default" w:ascii="等线" w:hAnsi="等线" w:eastAsia="等线" w:cs="等线"/>
      <w:b/>
      <w:bCs/>
      <w:color w:val="FF0000"/>
      <w:sz w:val="22"/>
      <w:szCs w:val="22"/>
      <w:u w:val="none"/>
    </w:rPr>
  </w:style>
  <w:style w:type="character" w:customStyle="1" w:styleId="87">
    <w:name w:val="font31"/>
    <w:basedOn w:val="32"/>
    <w:autoRedefine/>
    <w:qFormat/>
    <w:uiPriority w:val="0"/>
    <w:rPr>
      <w:rFonts w:hint="eastAsia" w:ascii="宋体" w:hAnsi="宋体" w:eastAsia="宋体" w:cs="宋体"/>
      <w:color w:val="000000"/>
      <w:sz w:val="22"/>
      <w:szCs w:val="22"/>
      <w:u w:val="none"/>
    </w:rPr>
  </w:style>
  <w:style w:type="character" w:customStyle="1" w:styleId="88">
    <w:name w:val="font41"/>
    <w:basedOn w:val="32"/>
    <w:autoRedefine/>
    <w:qFormat/>
    <w:uiPriority w:val="0"/>
    <w:rPr>
      <w:rFonts w:hint="eastAsia" w:ascii="宋体" w:hAnsi="宋体" w:eastAsia="宋体" w:cs="宋体"/>
      <w:color w:val="FF0000"/>
      <w:sz w:val="22"/>
      <w:szCs w:val="22"/>
      <w:u w:val="none"/>
    </w:rPr>
  </w:style>
  <w:style w:type="character" w:customStyle="1" w:styleId="89">
    <w:name w:val="font01"/>
    <w:basedOn w:val="32"/>
    <w:autoRedefine/>
    <w:qFormat/>
    <w:uiPriority w:val="0"/>
    <w:rPr>
      <w:rFonts w:hint="eastAsia" w:ascii="宋体" w:hAnsi="宋体" w:eastAsia="宋体" w:cs="宋体"/>
      <w:color w:val="000000"/>
      <w:sz w:val="22"/>
      <w:szCs w:val="22"/>
      <w:u w:val="none"/>
    </w:rPr>
  </w:style>
  <w:style w:type="paragraph" w:customStyle="1" w:styleId="90">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2FDE4B-77BC-4B7C-94B1-DC883D12665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114</Pages>
  <Words>55843</Words>
  <Characters>58525</Characters>
  <Lines>66</Lines>
  <Paragraphs>65</Paragraphs>
  <TotalTime>11</TotalTime>
  <ScaleCrop>false</ScaleCrop>
  <LinksUpToDate>false</LinksUpToDate>
  <CharactersWithSpaces>60403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2022-10-28T09:19:00Z</dcterms:created>
  <dc:creator>MyPC</dc:creator>
  <cp:lastModifiedBy>仰望星空</cp:lastModifiedBy>
  <cp:lastPrinted>2022-12-01T06:09:00Z</cp:lastPrinted>
  <dcterms:modified xsi:type="dcterms:W3CDTF">2025-10-28T07:28:15Z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9B4496D277B841E2864CE244E6A8E62A_13</vt:lpwstr>
  </property>
  <property fmtid="{D5CDD505-2E9C-101B-9397-08002B2CF9AE}" pid="4" name="KSOTemplateDocerSaveRecord">
    <vt:lpwstr>eyJoZGlkIjoiZjU4NWFhMGMzNzUyMDc0OTg0MWY2YzhkNTYxN2ZhZGIiLCJ1c2VySWQiOiI0MTEwODk2MjcifQ==</vt:lpwstr>
  </property>
</Properties>
</file>